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JSZC-320585-TCZX-G2026-0012</w:t>
      </w:r>
      <w:r/>
    </w:p>
    <w:p>
      <w:pPr>
        <w:pStyle w:val="826"/>
        <w:ind w:left="2563" w:hanging="1606"/>
        <w:jc w:val="both"/>
        <w:spacing w:before="0" w:line="360" w:lineRule="auto"/>
        <w:rPr>
          <w:rFonts w:hint="default"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default" w:hAnsi="宋体" w:cs="宋体"/>
          <w:b/>
          <w:bCs/>
          <w:color w:val="auto"/>
          <w:sz w:val="32"/>
          <w:szCs w:val="32"/>
          <w:highlight w:val="none"/>
          <w:lang w:eastAsia="zh-CN"/>
        </w:rPr>
        <w:t xml:space="preserve">城厢镇民政服务站购买第三方社工服务项目</w:t>
      </w:r>
      <w:r/>
    </w:p>
    <w:p>
      <w:pPr>
        <w:pStyle w:val="826"/>
        <w:ind w:left="0" w:firstLine="964"/>
        <w:jc w:val="both"/>
        <w:spacing w:before="0"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default" w:hAnsi="宋体" w:cs="宋体"/>
          <w:b/>
          <w:bCs/>
          <w:color w:val="auto"/>
          <w:sz w:val="32"/>
          <w:szCs w:val="32"/>
          <w:highlight w:val="none"/>
          <w:lang w:eastAsia="zh-CN"/>
        </w:rPr>
        <w:t xml:space="preserve">太仓市城厢镇人民政府</w:t>
      </w:r>
      <w:r/>
    </w:p>
    <w:p>
      <w:pPr>
        <w:pStyle w:val="826"/>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标的所属行业：</w:t>
      </w:r>
      <w:r>
        <w:rPr>
          <w:rFonts w:hint="default" w:hAnsi="宋体" w:cs="宋体"/>
          <w:b/>
          <w:bCs/>
          <w:color w:val="auto"/>
          <w:sz w:val="32"/>
          <w:szCs w:val="32"/>
          <w:highlight w:val="none"/>
          <w:lang w:eastAsia="zh-CN"/>
        </w:rPr>
        <w:t xml:space="preserve">（十六）其他未列明行业</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826"/>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月</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10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fldChar w:fldCharType="end"/>
          </w:r>
          <w:r/>
        </w:p>
        <w:p>
          <w:pPr>
            <w:pStyle w:val="84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4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84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9</w:t>
          </w:r>
          <w:r/>
        </w:p>
        <w:p>
          <w:pPr>
            <w:pStyle w:val="84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859"/>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5</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826"/>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826"/>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5"/>
      <w:r/>
      <w:bookmarkStart w:id="3" w:name="OLE_LINK4"/>
      <w:r/>
      <w:bookmarkStart w:id="4" w:name="OLE_LINK3"/>
      <w:r>
        <w:rPr>
          <w:rFonts w:hint="eastAsia" w:ascii="宋体" w:hAnsi="宋体" w:eastAsia="宋体" w:cs="宋体"/>
          <w:b/>
          <w:bCs/>
          <w:color w:val="auto"/>
          <w:sz w:val="36"/>
          <w:szCs w:val="36"/>
          <w:highlight w:val="none"/>
        </w:rPr>
        <w:t xml:space="preserve">招标公告</w:t>
      </w:r>
      <w:bookmarkEnd w:id="0"/>
      <w:r/>
      <w:bookmarkEnd w:id="1"/>
      <w:bookmarkEnd w:id="2"/>
      <w:bookmarkEnd w:id="3"/>
      <w:bookmarkEnd w:id="4"/>
      <w:r/>
    </w:p>
    <w:p>
      <w:pPr>
        <w:spacing w:line="360" w:lineRule="auto"/>
        <w:rPr>
          <w:rFonts w:hint="eastAsia" w:ascii="宋体" w:hAnsi="宋体" w:eastAsia="宋体" w:cs="宋体"/>
          <w:b/>
          <w:bCs/>
          <w:color w:val="auto"/>
          <w:sz w:val="21"/>
          <w:szCs w:val="21"/>
          <w:highlight w:val="none"/>
        </w:rPr>
      </w:pPr>
      <w:r/>
      <w:bookmarkStart w:id="5" w:name="OLE_LINK1"/>
      <w:r>
        <w:rPr>
          <w:rFonts w:hint="eastAsia" w:ascii="宋体" w:hAnsi="宋体" w:eastAsia="宋体" w:cs="宋体"/>
          <w:b/>
          <w:bCs/>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rPr>
          <w:rFonts w:hint="default" w:hAnsi="宋体" w:cs="宋体"/>
          <w:color w:val="auto"/>
          <w:sz w:val="21"/>
          <w:szCs w:val="21"/>
          <w:highlight w:val="none"/>
          <w:lang w:eastAsia="zh-CN"/>
        </w:rPr>
        <w:t xml:space="preserve">城厢镇民政服务站购买第三方社工服务项目</w:t>
      </w:r>
      <w:r>
        <w:rPr>
          <w:rFonts w:hint="eastAsia" w:ascii="宋体" w:hAnsi="宋体" w:eastAsia="宋体" w:cs="宋体"/>
          <w:color w:val="auto"/>
          <w:sz w:val="21"/>
          <w:szCs w:val="21"/>
          <w:highlight w:val="none"/>
        </w:rPr>
        <w:t xml:space="preserve">的潜在投标人应在“苏采云政府采购一体化平台”中参与项目并获取招标文件，并于202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时（北京时间）前上传电子投标文件。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hAnsi="宋体" w:cs="宋体"/>
          <w:color w:val="auto"/>
          <w:sz w:val="21"/>
          <w:szCs w:val="21"/>
          <w:highlight w:val="none"/>
          <w:lang w:eastAsia="zh-CN"/>
        </w:rPr>
        <w:t xml:space="preserve">JSZC-320585-TCZX-G2026-0012</w:t>
      </w:r>
      <w:r/>
    </w:p>
    <w:p>
      <w:pPr>
        <w:ind w:firstLine="420"/>
        <w:spacing w:line="360" w:lineRule="auto"/>
        <w:rPr>
          <w:rFonts w:hint="default"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default" w:hAnsi="宋体" w:cs="宋体"/>
          <w:color w:val="auto"/>
          <w:sz w:val="21"/>
          <w:szCs w:val="21"/>
          <w:highlight w:val="none"/>
          <w:lang w:eastAsia="zh-CN"/>
        </w:rPr>
        <w:t xml:space="preserve">城厢镇民政服务站购买第三方社工服务项目</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4、最高限价：</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rPr>
          <w:rFonts w:hint="eastAsia"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5、采购需求</w:t>
      </w:r>
      <w:r>
        <w:rPr>
          <w:rFonts w:hint="eastAsia"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rPr>
          <w:rFonts w:hint="default" w:ascii="Arial" w:hAnsi="Arial" w:eastAsia="Arial" w:cs="Times New Roman"/>
          <w:color w:val="auto"/>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（1）标段一服务内容为</w:t>
      </w:r>
      <w:r>
        <w:rPr>
          <w:rFonts w:hint="eastAsia" w:ascii="宋体" w:hAnsi="宋体" w:eastAsia="宋体" w:cs="宋体"/>
          <w:color w:val="auto"/>
          <w:sz w:val="21"/>
          <w:highlight w:val="none"/>
          <w:lang w:val="en-US" w:eastAsia="zh-CN"/>
        </w:rPr>
        <w:t xml:space="preserve">民服站日常运营维护、镇级儿童关爱之家运营、社会组织孵化培育</w:t>
      </w:r>
      <w:r>
        <w:rPr>
          <w:rFonts w:hint="default"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（2）标段二服务内容为</w:t>
      </w:r>
      <w:r>
        <w:rPr>
          <w:rFonts w:hint="eastAsia" w:ascii="宋体" w:hAnsi="宋体" w:eastAsia="宋体" w:cs="宋体"/>
          <w:color w:val="auto"/>
          <w:sz w:val="21"/>
          <w:highlight w:val="none"/>
          <w:lang w:val="en-US" w:eastAsia="zh-CN"/>
        </w:rPr>
        <w:t xml:space="preserve">社会救助服务</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hint="default" w:ascii="宋体" w:hAnsi="宋体" w:eastAsia="宋体" w:cs="宋体"/>
          <w:color w:val="auto"/>
          <w:sz w:val="21"/>
          <w:highlight w:val="none"/>
        </w:rPr>
        <w:t xml:space="preserve">）标段</w:t>
      </w:r>
      <w:r>
        <w:rPr>
          <w:rFonts w:hint="eastAsia" w:ascii="宋体" w:hAnsi="宋体" w:eastAsia="宋体" w:cs="宋体"/>
          <w:color w:val="auto"/>
          <w:sz w:val="21"/>
          <w:highlight w:val="none"/>
          <w:lang w:val="en-US" w:eastAsia="zh-CN"/>
        </w:rPr>
        <w:t xml:space="preserve">三</w:t>
      </w:r>
      <w:r>
        <w:rPr>
          <w:rFonts w:hint="default" w:ascii="宋体" w:hAnsi="宋体" w:eastAsia="宋体" w:cs="宋体"/>
          <w:color w:val="auto"/>
          <w:sz w:val="21"/>
          <w:highlight w:val="none"/>
        </w:rPr>
        <w:t xml:space="preserve">服务内容</w:t>
      </w:r>
      <w:r>
        <w:rPr>
          <w:rFonts w:hint="eastAsia" w:ascii="宋体" w:hAnsi="宋体" w:eastAsia="宋体" w:cs="宋体"/>
          <w:color w:val="auto"/>
          <w:sz w:val="21"/>
          <w:highlight w:val="none"/>
          <w:lang w:val="en-US" w:eastAsia="zh-CN"/>
        </w:rPr>
        <w:t xml:space="preserve">为养老及助残服务</w:t>
      </w:r>
      <w:r>
        <w:rPr>
          <w:rFonts w:hint="eastAsia" w:hAnsi="宋体" w:cs="宋体"/>
          <w:color w:val="auto"/>
          <w:sz w:val="21"/>
          <w:highlight w:val="none"/>
          <w:lang w:val="en-US" w:eastAsia="zh-CN"/>
        </w:rPr>
        <w:t xml:space="preserve">。</w:t>
      </w:r>
      <w:r/>
    </w:p>
    <w:p>
      <w:pPr>
        <w:ind w:firstLine="422"/>
        <w:spacing w:line="360" w:lineRule="auto"/>
        <w:rPr>
          <w:rFonts w:hint="eastAsia" w:ascii="宋体" w:hAnsi="宋体" w:cs="宋体"/>
          <w:color w:val="auto"/>
          <w:sz w:val="21"/>
          <w:szCs w:val="21"/>
          <w:highlight w:val="none"/>
          <w:lang w:val="zh-CN"/>
        </w:rPr>
      </w:pPr>
      <w:r>
        <w:rPr>
          <w:rFonts w:ascii="宋体" w:hAnsi="宋体" w:eastAsia="宋体" w:cs="宋体"/>
          <w:b/>
          <w:color w:val="auto"/>
          <w:sz w:val="21"/>
          <w:highlight w:val="none"/>
        </w:rPr>
        <w:t xml:space="preserve">注：允许一个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w:t>
      </w:r>
      <w:r>
        <w:rPr>
          <w:rFonts w:hint="eastAsia" w:ascii="宋体" w:hAnsi="宋体" w:eastAsia="宋体" w:cs="宋体"/>
          <w:color w:val="auto"/>
          <w:sz w:val="21"/>
          <w:szCs w:val="21"/>
          <w:highlight w:val="none"/>
        </w:rPr>
        <w:t xml:space="preserve">年内（任意一个月）依法缴纳税收和社会保障资金的证明材料，依法免税或不需要缴纳社会保障资金的，提供相关证明文件）；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bCs/>
          <w:color w:val="auto"/>
          <w:sz w:val="21"/>
          <w:szCs w:val="21"/>
          <w:highlight w:val="none"/>
          <w:lang w:val="en-US" w:eastAsia="zh-CN"/>
        </w:rPr>
        <w:t xml:space="preserve">本项目为非专门面向中小企业采购的项目，行业划分类别为其他未列明行业</w:t>
      </w:r>
      <w:r>
        <w:rPr>
          <w:rFonts w:hint="eastAsia" w:ascii="宋体" w:hAnsi="宋体" w:eastAsia="宋体" w:cs="宋体"/>
          <w:b w:val="0"/>
          <w:bCs/>
          <w:color w:val="auto"/>
          <w:sz w:val="21"/>
          <w:szCs w:val="21"/>
          <w:lang w:eastAsia="zh-CN"/>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1、一标段社工人员不得少于4人，二标段社工人员不得少于3人，三标段社工人员不得少于4人。</w:t>
      </w:r>
      <w:r/>
    </w:p>
    <w:p>
      <w:pPr>
        <w:ind w:firstLine="420"/>
        <w:spacing w:line="360" w:lineRule="auto"/>
        <w:shd w:val="clear" w:color="auto" w:fill="ffffff"/>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三、投标报名及获取招标文件</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1、依法获取电子招标文件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自招标文件公告发布之日起5个工作日，</w:t>
      </w:r>
      <w:r>
        <w:rPr>
          <w:rFonts w:hint="eastAsia" w:ascii="宋体" w:hAnsi="宋体" w:eastAsia="宋体" w:cs="宋体"/>
          <w:b w:val="0"/>
          <w:bCs w:val="0"/>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2、获取方式：网上下载电子招标文件。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3、本项目免费下载电子招标文件。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ascii="宋体" w:hAnsi="宋体" w:eastAsia="宋体" w:cs="宋体"/>
          <w:b w:val="0"/>
          <w:bCs w:val="0"/>
          <w:color w:val="auto"/>
          <w:sz w:val="21"/>
          <w:szCs w:val="21"/>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2、开标时间：202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3、开标地点：苏采云网上不见面开标大厅</w:t>
      </w:r>
      <w:r>
        <w:rPr>
          <w:rFonts w:hint="eastAsia"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五、公告期限</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六、其他补充事宜</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 xml:space="preserve">事宜</w:t>
      </w:r>
      <w:r>
        <w:rPr>
          <w:rFonts w:hint="eastAsia" w:ascii="宋体" w:hAnsi="宋体" w:eastAsia="宋体" w:cs="宋体"/>
          <w:color w:val="auto"/>
          <w:sz w:val="21"/>
          <w:szCs w:val="21"/>
          <w:highlight w:val="none"/>
        </w:rPr>
        <w:t xml:space="preserve">。投标人登</w:t>
      </w:r>
      <w:r>
        <w:rPr>
          <w:rFonts w:hint="eastAsia" w:hAnsi="宋体" w:cs="宋体"/>
          <w:color w:val="auto"/>
          <w:sz w:val="21"/>
          <w:szCs w:val="21"/>
          <w:highlight w:val="none"/>
          <w:lang w:val="en-US" w:eastAsia="zh-CN"/>
        </w:rPr>
        <w:t xml:space="preserve">录</w:t>
      </w:r>
      <w:r>
        <w:rPr>
          <w:rFonts w:hint="eastAsia" w:ascii="宋体" w:hAnsi="宋体" w:eastAsia="宋体" w:cs="宋体"/>
          <w:color w:val="auto"/>
          <w:sz w:val="21"/>
          <w:szCs w:val="21"/>
          <w:highlight w:val="none"/>
        </w:rPr>
        <w:t xml:space="preserve">“苏采云”系统后选择要参与的具体项目，点击“我要参与”并签章</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提交《投标供应商确认函》，提交《投标供应商确认函》</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日期视同为依法获取招标文件</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2、本项目采用不见面开标，投标人开标时无需到现场进行解密，</w:t>
      </w:r>
      <w:r>
        <w:rPr>
          <w:rFonts w:hint="eastAsia" w:hAnsi="宋体" w:cs="宋体"/>
          <w:color w:val="auto"/>
          <w:sz w:val="21"/>
          <w:szCs w:val="21"/>
          <w:highlight w:val="none"/>
          <w:lang w:eastAsia="zh-CN"/>
        </w:rPr>
        <w:t xml:space="preserve">通过</w:t>
      </w:r>
      <w:r>
        <w:rPr>
          <w:rFonts w:hint="eastAsia" w:ascii="宋体" w:hAnsi="宋体" w:eastAsia="宋体" w:cs="宋体"/>
          <w:color w:val="auto"/>
          <w:sz w:val="21"/>
          <w:szCs w:val="21"/>
          <w:highlight w:val="none"/>
        </w:rPr>
        <w:t xml:space="preserve">网上开标大厅解密电子投标文件</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投标人远程解密要求如下：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1）投标人使用CA数字证书进行远程解密，解密</w:t>
      </w:r>
      <w:r>
        <w:rPr>
          <w:rFonts w:hint="eastAsia" w:hAnsi="宋体" w:cs="宋体"/>
          <w:color w:val="auto"/>
          <w:sz w:val="21"/>
          <w:szCs w:val="21"/>
          <w:highlight w:val="none"/>
          <w:lang w:eastAsia="zh-CN"/>
        </w:rPr>
        <w:t xml:space="preserve">所用的</w:t>
      </w:r>
      <w:r>
        <w:rPr>
          <w:rFonts w:hint="eastAsia" w:ascii="宋体" w:hAnsi="宋体" w:eastAsia="宋体" w:cs="宋体"/>
          <w:color w:val="auto"/>
          <w:sz w:val="21"/>
          <w:szCs w:val="21"/>
          <w:highlight w:val="none"/>
        </w:rPr>
        <w:t xml:space="preserve">CA数字证书与生成加密电子投标文件时的CA数字证书需为</w:t>
      </w:r>
      <w:r>
        <w:rPr>
          <w:rFonts w:hint="eastAsia" w:hAnsi="宋体" w:cs="宋体"/>
          <w:color w:val="auto"/>
          <w:sz w:val="21"/>
          <w:szCs w:val="21"/>
          <w:highlight w:val="none"/>
          <w:lang w:eastAsia="zh-CN"/>
        </w:rPr>
        <w:t xml:space="preserve">同一个</w:t>
      </w:r>
      <w:r>
        <w:rPr>
          <w:rFonts w:hint="eastAsia" w:ascii="宋体" w:hAnsi="宋体" w:eastAsia="宋体" w:cs="宋体"/>
          <w:color w:val="auto"/>
          <w:sz w:val="21"/>
          <w:szCs w:val="21"/>
          <w:highlight w:val="none"/>
        </w:rPr>
        <w:t xml:space="preserve">，否则无法解密，造成的后果由投标人自行负责。</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2）投标人登录</w:t>
      </w:r>
      <w:r>
        <w:rPr>
          <w:rFonts w:hint="eastAsia" w:hAnsi="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3）投标截止时间后</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系统提示解密电子投标文件。解密时间以系统提示为准，未在规定时间内完成解密</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其投标文件将被拒绝，不参与后续投标流程。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6、投标保证金：本项目</w:t>
      </w:r>
      <w:r>
        <w:rPr>
          <w:rFonts w:hint="eastAsia"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7、履约保证金：无。</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、本公告发布媒体：苏州市政府采购网等政府采购指定媒体。</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、政府采购履约资金扶持政策：</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七、对本次招标提出询问，请按以下方式联系</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360" w:lineRule="auto"/>
        <w:widowControl/>
        <w:rPr>
          <w:rFonts w:hint="default" w:ascii="宋体" w:hAnsi="宋体" w:eastAsia="宋体" w:cs="宋体"/>
          <w:color w:val="auto"/>
          <w:sz w:val="21"/>
          <w:szCs w:val="21"/>
          <w:highlight w:val="none"/>
          <w:lang w:eastAsia="zh-CN"/>
        </w:rPr>
      </w:pPr>
      <w:r/>
      <w:bookmarkStart w:id="6" w:name="_Hlk69823300"/>
      <w:r>
        <w:rPr>
          <w:rFonts w:hint="eastAsia" w:ascii="宋体" w:hAnsi="宋体" w:eastAsia="宋体" w:cs="宋体"/>
          <w:color w:val="auto"/>
          <w:sz w:val="21"/>
          <w:szCs w:val="21"/>
          <w:highlight w:val="none"/>
          <w:lang w:eastAsia="zh-CN"/>
        </w:rPr>
        <w:t xml:space="preserve">名    称: </w:t>
      </w:r>
      <w:bookmarkEnd w:id="6"/>
      <w:r>
        <w:rPr>
          <w:rFonts w:hint="default" w:hAnsi="宋体" w:cs="宋体"/>
          <w:color w:val="auto"/>
          <w:sz w:val="21"/>
          <w:szCs w:val="21"/>
          <w:highlight w:val="none"/>
          <w:lang w:eastAsia="zh-CN"/>
        </w:rPr>
        <w:t xml:space="preserve">太仓市城厢镇人民政府</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w:t>
      </w:r>
      <w:r>
        <w:rPr>
          <w:rFonts w:ascii="宋体" w:hAnsi="宋体" w:eastAsia="宋体" w:cs="宋体"/>
          <w:color w:val="000000"/>
          <w:sz w:val="21"/>
          <w:highlight w:val="none"/>
        </w:rPr>
        <w:t xml:space="preserve">太仓市城厢镇太平南路76号</w:t>
      </w:r>
      <w:r/>
    </w:p>
    <w:p>
      <w:pPr>
        <w:ind w:firstLine="480"/>
        <w:spacing w:line="360" w:lineRule="auto"/>
        <w:widowControl/>
        <w:rPr>
          <w:rFonts w:hint="eastAsia" w:ascii="宋体" w:hAnsi="宋体" w:eastAsia="宋体" w:cs="宋体"/>
          <w:color w:val="0000ff"/>
          <w:sz w:val="21"/>
          <w:szCs w:val="21"/>
          <w:highlight w:val="none"/>
          <w:lang w:eastAsia="zh-CN"/>
        </w:rPr>
      </w:pPr>
      <w:r>
        <w:rPr>
          <w:rFonts w:hint="eastAsia" w:ascii="宋体" w:hAnsi="宋体" w:eastAsia="宋体" w:cs="宋体"/>
          <w:color w:val="auto"/>
          <w:sz w:val="21"/>
          <w:szCs w:val="21"/>
          <w:highlight w:val="none"/>
          <w:lang w:val="zh-CN"/>
        </w:rPr>
        <w:t xml:space="preserve">联系人：曹扬翊；联系电话：</w:t>
      </w:r>
      <w:r>
        <w:rPr>
          <w:rFonts w:hint="eastAsia" w:ascii="宋体" w:hAnsi="宋体" w:eastAsia="宋体" w:cs="宋体"/>
          <w:color w:val="auto"/>
          <w:sz w:val="21"/>
          <w:szCs w:val="21"/>
          <w:highlight w:val="none"/>
          <w:lang w:val="en-US" w:eastAsia="zh-CN"/>
        </w:rPr>
        <w:t xml:space="preserve">0512-</w:t>
      </w:r>
      <w:r>
        <w:rPr>
          <w:rFonts w:hint="eastAsia" w:ascii="宋体" w:hAnsi="宋体" w:eastAsia="宋体" w:cs="宋体"/>
          <w:color w:val="auto"/>
          <w:sz w:val="21"/>
          <w:szCs w:val="21"/>
          <w:highlight w:val="none"/>
          <w:lang w:val="zh-CN"/>
        </w:rPr>
        <w:t xml:space="preserve">53564525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0000ff"/>
          <w:sz w:val="21"/>
          <w:szCs w:val="21"/>
          <w:highlight w:val="none"/>
          <w:lang w:val="en-US" w:eastAsia="zh-CN"/>
        </w:rPr>
        <w:t xml:space="preserve"> </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
      <w:r/>
    </w:p>
    <w:p>
      <w:pPr>
        <w:jc w:val="center"/>
        <w:spacing w:line="360" w:lineRule="auto"/>
        <w:rPr>
          <w:rFonts w:hint="eastAsia" w:ascii="宋体" w:hAnsi="宋体" w:eastAsia="宋体" w:cs="宋体"/>
          <w:b/>
          <w:bCs/>
          <w:color w:val="auto"/>
          <w:sz w:val="32"/>
          <w:szCs w:val="32"/>
          <w:highlight w:val="none"/>
        </w:rPr>
        <w:outlineLvl w:val="0"/>
      </w:pPr>
      <w:r/>
      <w:bookmarkStart w:id="7" w:name="_Toc159507036"/>
      <w:r>
        <w:rPr>
          <w:rFonts w:hint="eastAsia" w:ascii="宋体" w:hAnsi="宋体" w:eastAsia="宋体" w:cs="宋体"/>
          <w:b/>
          <w:bCs/>
          <w:color w:val="auto"/>
          <w:sz w:val="32"/>
          <w:szCs w:val="32"/>
          <w:highlight w:val="none"/>
        </w:rPr>
        <w:t xml:space="preserve">第二章 投标人须知</w:t>
      </w:r>
      <w:bookmarkEnd w:id="7"/>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一、说明和释义</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本招标文件仅适用于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组织的招标活动。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本次招标活动及因本次招标产生的合同受中国法律制约和保护。</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本招标文件的解释权属于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2、词语释义</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 xml:space="preserve">采购人：指依法进行政府采购的国家机关、事业单位、团体组织。</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2.2 投标单位：指向采购人提供货物、工程或服务的法人、其他组织或者自然人。</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2.3 投标人：指参加政府采购货物服务投标活动的供应商。</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2.4 采购代理机构：指依法接受采购人委托，从事货物、工程和服务等政府采购招标代理业务的社会中介机构。</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2.5 招标采购单位：采购人及采购代理机构的统称。</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2.7 响应：投标人根据采购人或采购代理机构发售的招标文件，编制投标文件并按规定投标的行为。</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2.8 知识产权：指专利权、商标权、著作权等无形财产专有权的统称。</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2.9 天：日历日。</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2.11 合同价款：根据合同规定，乙方在正确地履行合同义务后甲方应支付乙方的价款。</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 xml:space="preserve">及其他有关</w:t>
      </w:r>
      <w:r>
        <w:rPr>
          <w:rFonts w:hint="eastAsia" w:ascii="宋体" w:hAnsi="宋体" w:eastAsia="宋体" w:cs="宋体"/>
          <w:b w:val="0"/>
          <w:bCs w:val="0"/>
          <w:color w:val="auto"/>
          <w:spacing w:val="-3"/>
          <w:sz w:val="21"/>
          <w:szCs w:val="21"/>
          <w:highlight w:val="none"/>
        </w:rPr>
        <w:t xml:space="preserve">技术资料和材料。</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 xml:space="preserve">其他</w:t>
      </w:r>
      <w:r>
        <w:rPr>
          <w:rFonts w:hint="eastAsia" w:ascii="宋体" w:hAnsi="宋体" w:eastAsia="宋体" w:cs="宋体"/>
          <w:b w:val="0"/>
          <w:bCs w:val="0"/>
          <w:color w:val="auto"/>
          <w:spacing w:val="-3"/>
          <w:sz w:val="21"/>
          <w:szCs w:val="21"/>
          <w:highlight w:val="none"/>
        </w:rPr>
        <w:t xml:space="preserve">义务。</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2.15 交货地点：合同中明确约定的乙方提交的货物最终地点。</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2.16 不可抗力：不能预见、不能避免并且不能克服的客观情况。</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w:t>
      </w:r>
      <w:r>
        <w:rPr>
          <w:rFonts w:hint="eastAsia" w:hAnsi="宋体" w:cs="宋体"/>
          <w:b w:val="0"/>
          <w:bCs w:val="0"/>
          <w:color w:val="auto"/>
          <w:spacing w:val="-3"/>
          <w:sz w:val="21"/>
          <w:szCs w:val="21"/>
          <w:highlight w:val="none"/>
          <w:lang w:val="en-US" w:eastAsia="zh-CN"/>
        </w:rPr>
        <w:t xml:space="preserve">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3、合格投标人的范围</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 xml:space="preserve">符合《中华人民共和国政府采购法》第二十二条第一款之规定。</w:t>
      </w:r>
      <w:r/>
    </w:p>
    <w:p>
      <w:pPr>
        <w:pStyle w:val="814"/>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3.2 满足本文件实质性条款的规定。</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4、合格投标人的特定条件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 xml:space="preserve">详见招标公告规定。</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5、投标委托</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 指全权代表投标人参加投标活动并签署投标文件的人，如果投标人代表不是法定代表人， 须持有《法定代表人代表授权委托书》（详见统一格式）。</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6、投标费用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 无论投标过程的做法和结果如何,投标人自行承担所有与参加投标有关的全部费用。</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 本项目不接受联合投标。</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8、招标文件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9、现场踏勘</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10、招标文件的澄清</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 投标人在获取招标文件后，若有疑问，应于投标截止时间之前，向采购代理机构提出，采购代理机构将予以解答。</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11、招标文件的修改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 迟于规定的询问和提交的疑问，采购人和采购代理机构有权拒绝回答，也不承担由此带来的对投标人投标结果的影响。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 在投标截止时间 15 日前，招标采购单位无论出于自己的考虑，还是出于对投标人提问的澄清，均可对已发出的招标文件进行必要澄清或者修改。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 招标文件的更正（含澄清、修改等）内容与原招标文件在同一内容上表述不一致时，以发出日期最接近开标时间的公告为准。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 招标文件的更正（含澄清、修改等）内容将在财政部门指定的政府采购信息发布媒体上发布， 作为招标文件的组成部分，对投标人起约束作用。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四、投标文件说明</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12、提示与要求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 无论是否递交投标文件，投标人都应将招标文件及以后的所有通知、文件等视为保密文件。</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13、投标文件计量单位和使用文字</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 投标文件中所使用的计量单位，除招标文件中有特殊要求外，均应使用中华人民共和国法定计量单位。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14、知识产权</w:t>
      </w:r>
      <w:r/>
    </w:p>
    <w:p>
      <w:pPr>
        <w:pStyle w:val="826"/>
        <w:ind w:left="0" w:firstLine="426"/>
        <w:jc w:val="both"/>
        <w:spacing w:before="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 xml:space="preserve">（包括部分使用</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4"/>
          <w:sz w:val="21"/>
          <w:szCs w:val="21"/>
          <w:highlight w:val="none"/>
        </w:rPr>
        <w:t xml:space="preserve">时，不会产生因第三方提出侵犯其专利权、商标权或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知识产权而引起的法律和经济纠纷，如因专利权、商标权或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w:t>
      </w:r>
      <w:r>
        <w:rPr>
          <w:rFonts w:hint="eastAsia" w:ascii="宋体" w:hAnsi="宋体" w:eastAsia="宋体" w:cs="宋体"/>
          <w:color w:val="auto"/>
          <w:spacing w:val="-3"/>
          <w:sz w:val="21"/>
          <w:szCs w:val="21"/>
          <w:highlight w:val="none"/>
        </w:rPr>
        <w:t xml:space="preserve">起法律和经济纠纷，由投标人承担所有相关责任。</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15、投标文件的组成和顺序（顺序以软件为准）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 xml:space="preserve">报价部分</w:t>
      </w:r>
      <w:r>
        <w:rPr>
          <w:rFonts w:hint="eastAsia" w:ascii="宋体" w:hAnsi="宋体" w:eastAsia="宋体" w:cs="宋体"/>
          <w:b w:val="0"/>
          <w:bCs w:val="0"/>
          <w:color w:val="auto"/>
          <w:sz w:val="21"/>
          <w:szCs w:val="21"/>
          <w:highlight w:val="none"/>
        </w:rPr>
        <w:t xml:space="preserve">（详见投标文件格式）：</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15.1.1投标承诺函；</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15.1.2授权委托书（如有授权）；</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15.1.3投标人法定代表人身份证复印件；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15.1.4投标人授权代理人身份证复印件（如有授权）；</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15.1.5开标一览表、报价明细表（详见软件格式）；</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15.1.6关于资格文件的声明函（详见投标文件格式）；</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15.1.7投标单位情况表（详见投标文件格式）；</w:t>
      </w:r>
      <w:r/>
    </w:p>
    <w:p>
      <w:pPr>
        <w:pStyle w:val="814"/>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15.2 资质证明文件部分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15.2.1投标单位营业执照副本或三证合一营业执照复印件；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15.2.2 投标人参加本次政府采购活动前的财务状况报告或者银行出具的资信证明；</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15.2.3 投标人根据项目需求提供履行合同所必需的设备和专业技术能力的证明材料；</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15.2.4 投标人参加本次政府采购活动前</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年内（任意一个月）依法缴纳税收和社会保障资金的证明材料；</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 xml:space="preserve">投标人参加政府采购活动前在经营活动中没有重大违法记录的书面申明；</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15.2.6 投标人证明其符合招标文件规定的投标人特定资格条件的证书、证明和文件材料（如有，见招标公告特定资格要求）；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15.2.7 中小企业声明函及相关材料（如有）；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15.2.8 残疾人福利性单位声明函（如有）；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15.2.9 其他可以证明投标人资信、资质和货物、服务质量的证书、文件、推荐信等资料；（如有）</w:t>
      </w:r>
      <w:r/>
    </w:p>
    <w:p>
      <w:pPr>
        <w:pStyle w:val="814"/>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15.3商务及</w:t>
      </w:r>
      <w:r>
        <w:rPr>
          <w:rFonts w:hint="eastAsia" w:ascii="宋体" w:hAnsi="宋体" w:eastAsia="宋体" w:cs="宋体"/>
          <w:color w:val="auto"/>
          <w:sz w:val="21"/>
          <w:szCs w:val="21"/>
          <w:highlight w:val="none"/>
        </w:rPr>
        <w:t xml:space="preserve">技术部分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15.3.1 技术方案；</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15.3.2 服务（技术）要求偏离表、商务条款偏离表；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15.3.3拟投入本项目的专业技术（服务）人员情况一览表；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15.3.4企业业绩一览表；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 xml:space="preserve">投标文件由 15.1-15.3 款规定的内容共同组成。</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16、投标文件编制要求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16.1 电子投标文件编制要求：投标人应使用</w:t>
      </w:r>
      <w:r>
        <w:rPr>
          <w:rFonts w:hint="eastAsia" w:ascii="宋体" w:hAnsi="宋体" w:eastAsia="宋体" w:cs="宋体"/>
          <w:color w:val="auto"/>
          <w:sz w:val="21"/>
          <w:szCs w:val="21"/>
          <w:highlight w:val="none"/>
        </w:rPr>
        <w:t xml:space="preserve">招标文件要求的投标文件制作软件制作电子投标文件</w:t>
      </w:r>
      <w:r>
        <w:rPr>
          <w:rFonts w:hint="eastAsia" w:ascii="宋体" w:hAnsi="宋体" w:eastAsia="宋体" w:cs="宋体"/>
          <w:b w:val="0"/>
          <w:bCs w:val="0"/>
          <w:color w:val="auto"/>
          <w:sz w:val="21"/>
          <w:szCs w:val="21"/>
          <w:highlight w:val="none"/>
        </w:rPr>
        <w:t xml:space="preserve">，电子投标文件按招标文件规定的格式制作，如果未按要求制作上传，可能导致投标无效。</w:t>
      </w:r>
      <w:r/>
    </w:p>
    <w:p>
      <w:pPr>
        <w:pStyle w:val="814"/>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16.2电子投标准备</w:t>
      </w:r>
      <w:r/>
    </w:p>
    <w:p>
      <w:pPr>
        <w:pStyle w:val="814"/>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 xml:space="preserve">）</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17、投标报价（编制）要求的说明</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但不包括不可抗拒原因产生的设备、设施损坏</w:t>
      </w:r>
      <w:r>
        <w:rPr>
          <w:rFonts w:hint="eastAsia" w:ascii="宋体" w:hAnsi="宋体" w:eastAsia="宋体" w:cs="宋体"/>
          <w:b w:val="0"/>
          <w:bCs w:val="0"/>
          <w:color w:val="auto"/>
          <w:sz w:val="21"/>
          <w:szCs w:val="21"/>
          <w:highlight w:val="none"/>
          <w:lang w:val="en-US" w:eastAsia="zh-CN"/>
        </w:rPr>
        <w:t xml:space="preserve">费用）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利润、</w:t>
      </w:r>
      <w:r>
        <w:rPr>
          <w:rFonts w:hint="eastAsia" w:ascii="宋体" w:hAnsi="宋体" w:eastAsia="宋体" w:cs="宋体"/>
          <w:b w:val="0"/>
          <w:bCs w:val="0"/>
          <w:color w:val="auto"/>
          <w:sz w:val="21"/>
          <w:szCs w:val="21"/>
          <w:highlight w:val="none"/>
          <w:lang w:eastAsia="zh-CN"/>
        </w:rPr>
        <w:t xml:space="preserve">税费及政策性文件规定和合同所包含的所有风险、责任等</w:t>
      </w:r>
      <w:r>
        <w:rPr>
          <w:rFonts w:hint="eastAsia" w:ascii="宋体" w:hAnsi="宋体" w:eastAsia="宋体" w:cs="宋体"/>
          <w:b w:val="0"/>
          <w:bCs w:val="0"/>
          <w:color w:val="auto"/>
          <w:sz w:val="21"/>
          <w:szCs w:val="21"/>
          <w:highlight w:val="none"/>
        </w:rPr>
        <w:t xml:space="preserve">一切费用，采购人不再支付其他任何费用。</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 一项投标内容只允许一个报价，招标采购单位不接受任何有选择性的投标报价。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17.4 投标文件报价中的单价和总价全部采用人民币表示，除非合同的特殊条款另有规定。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17.5 最低的投标报价或最高的折扣比例是中标的重要条件，但不是中标的唯一条件。</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18、投标保证金</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本项目无须缴纳投标保证金。</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 xml:space="preserve">同意延长有效期的投标人不能修改投标文件。拒绝接受延期要求的投标人的投标将被拒绝。</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五、投标文件的递交、撤回和修改</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20、投标文件的上传、提交</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20.1 投标人应将制作好的加密电子投标文件按要求在投标截止时间前上传到交易系统平台中。</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21、投标截止时间</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21.1 电子投标文件必须按招标公告中规定的网上投标截止时间前提交，否则投标无效。</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21.3 在投标截止时间止采购代理机构收到的电子投标文件少于三份的，采购代理机构有权宣布本次招标失败。</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22、投标文件的修改和撤回</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 投标人在提交投标文件截止时间前，可对其投标文件进行撤回或修改。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 开标后投标人不得撤回投标。</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23.1 采购代理机构按采购公告规定的时间、地点主持不见面开标活动。开标仪式由采购代理机构主持。</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 采购代理机构在开标仪式上，将公布投标人的名称、投标价格，并将作唱标记录。</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 xml:space="preserve">应通过不见面开标大厅</w:t>
      </w:r>
      <w:r>
        <w:rPr>
          <w:rFonts w:hint="eastAsia" w:ascii="宋体" w:hAnsi="宋体" w:eastAsia="宋体" w:cs="宋体"/>
          <w:b w:val="0"/>
          <w:bCs w:val="0"/>
          <w:color w:val="auto"/>
          <w:sz w:val="21"/>
          <w:szCs w:val="21"/>
          <w:highlight w:val="none"/>
        </w:rPr>
        <w:t xml:space="preserve">提出询问或者回避申请。采购人、采购代理机构对投标人代表提出的询问或者回避申请应当及时处理。</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24、评标委员会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24.1 评标委员会由招标采购单位依法组建，负责本项目的评标事务。</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 评标委员会独立履行下列职责：</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24.2.1 审查投标文件是否符合招标文件的要求，并作评价；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24.2.2 可要求投标供应商对投标文件有关事项作解释或澄清；</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24.2.3 评标委员会负责本次招标的评标活动，向采购人推荐中标供应商；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24.2.4 向招标采购单位或者有关部门报告非法干预评标工作的行为。</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 评标委员会成员应当履行下列义务：</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24.3.1 遵纪守法，客观、公正、廉洁地履行职责；</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24.3.2 按照招标文件规定的评标办法和评标标准进行评标，对评审意见承担个人责任；</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24.3.3 对评标过程和结果，以及投标人的商业秘密保密；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24.3.4 参与评标报告的起草；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24.3.5 配合相关部门的投诉处理工作；</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24.3.6 配合招标采购单位答复投标供应商提出的质疑。</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25、评标内容的保密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 在投标文件的审查、澄清、评价和比较以及授予合同的过程中，投标人对招标采购单位和评标委员会成员施加影响的任何行为，都将取消其投标资格。</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25.3 在评标期间，招标采购单位将通过指定联络人与投标人进行联系。</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 投标文件初审分为资格性检查和符合性检查。</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资格性检查。依据法律法规和招标文件的规定，</w:t>
      </w:r>
      <w:r>
        <w:rPr>
          <w:rFonts w:hint="eastAsia" w:ascii="宋体" w:hAnsi="宋体" w:eastAsia="宋体" w:cs="宋体"/>
          <w:color w:val="auto"/>
          <w:sz w:val="21"/>
          <w:szCs w:val="21"/>
          <w:highlight w:val="none"/>
        </w:rPr>
        <w:t xml:space="preserve">对投标文件中的资格证明相关资料进行审查，以确定投标供应商是否具备投标资格。</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 xml:space="preserve">关于诚信记录查询：</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 xml:space="preserve">。</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（2）查询时间：投标文件递交截止时间。</w:t>
      </w:r>
      <w:r/>
    </w:p>
    <w:p>
      <w:pPr>
        <w:pStyle w:val="814"/>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（3）查询</w:t>
      </w:r>
      <w:r>
        <w:rPr>
          <w:rFonts w:hint="eastAsia" w:ascii="宋体" w:hAnsi="宋体" w:eastAsia="宋体" w:cs="宋体"/>
          <w:b w:val="0"/>
          <w:bCs w:val="0"/>
          <w:color w:val="auto"/>
          <w:sz w:val="21"/>
          <w:szCs w:val="21"/>
          <w:highlight w:val="none"/>
          <w:lang w:val="zh-CN"/>
        </w:rPr>
        <w:t xml:space="preserve">渠道：通过“信用中国”网站、中国政府采购网等渠道查询相关主体信用记录。</w:t>
      </w:r>
      <w:r/>
    </w:p>
    <w:p>
      <w:pPr>
        <w:pStyle w:val="814"/>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 xml:space="preserve">登录</w:t>
      </w:r>
      <w:r>
        <w:rPr>
          <w:rFonts w:hint="eastAsia" w:ascii="宋体" w:hAnsi="宋体" w:eastAsia="宋体" w:cs="宋体"/>
          <w:b w:val="0"/>
          <w:bCs w:val="0"/>
          <w:color w:val="auto"/>
          <w:sz w:val="21"/>
          <w:szCs w:val="21"/>
          <w:highlight w:val="none"/>
          <w:lang w:val="zh-CN"/>
        </w:rPr>
        <w:t xml:space="preserve">到来源网站页面进行复核并打印，作为证据留存。</w:t>
      </w:r>
      <w:r/>
    </w:p>
    <w:p>
      <w:pPr>
        <w:pStyle w:val="814"/>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（5）信用记录使用规则：评审小组在对供应商进行资格性审查时，应根据查询结果对供应商的不良信用记录逐项甄别确认。</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 xml:space="preserve">做</w:t>
      </w:r>
      <w:r>
        <w:rPr>
          <w:rFonts w:hint="eastAsia" w:ascii="宋体" w:hAnsi="宋体" w:eastAsia="宋体" w:cs="宋体"/>
          <w:b w:val="0"/>
          <w:bCs w:val="0"/>
          <w:color w:val="auto"/>
          <w:sz w:val="21"/>
          <w:szCs w:val="21"/>
          <w:highlight w:val="none"/>
        </w:rPr>
        <w:t xml:space="preserve">响应。</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26.2.1 不同投标人的投标文件由同一单位或者个人编制；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26.2.2 不同投标人委托同一单位或者个人办理投标事宜；</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26.2.3 不同投标人的投标文件载明的项目管理成员或者联系人员为同一人；</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26.2.4 不同投标人的投标文件异常一致或者投标报价呈规律性差异；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26.2.5 不同投标人的投标文件相互混装。</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 评委会将对确定为实质性响应的投标进行审核，看其是否有计算上或累加上的算术错误，修正错误的原则如下：</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26.6.1 投标文件中开标一览表（报价表）内容与投标文件中相应内容不一致的，以开标一览表（报价表）为准；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26.6.2 大写金额和小写金额不一致的，以大写金额为准</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26.6.3 单价金额小数点或者百分比有明显错位的，以开标一览表的总价为准，并修改单价；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26.6.4 总价金额与按单价汇总金额不一致的，以单价金额计算结果为准。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26.8 对不同文字文本投标文件的解释发生异议的，以中文文本为准；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26.9 评标委员会对投标文件的判定，只依据投标内容本身，不依靠开标后的任何外来证明。</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26.10 评标委员会将拒绝被确定为非实质性响应的投标，投标人不能通过修正或撤销不符之处而使其投标成为实质性响应的投标。</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27、投标的澄清</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 无效投标的具体情形有：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28.1.1 不同投标人的投标文件使用同一台电脑编制的；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28.1.2 投标文件未按招标文件要求签署、盖章的；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28.1.3 不具备招标文件中规定的资格要求的；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28.1.4 报价超过招标文件中规定的预算金额或者最高限价的；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28.1.5 投标文件含有采购人不能接受的附加条件的；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28.1.6 法律法规和招标文件规定的其他无效情形。</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 在招标采购中，出现下列情形之一的，应予废标：</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28.2.1 符合专业条件的供应商或者对招标文件作实质响应的供应商不足三家的；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28.2.2 出现影响采购公正的违法、违规行为的；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28.2.3 投标人的报价均超过了采购预算，采购人不能支付的；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28.2.4 因重大变故，采购任务取消的。</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28.3 废标后，采购人应当将废标理由通知所有投标人。</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29.1 评标委员会按招标文件规定的评标方法和标准，仅对资格性检查和符合性检查合格的投标文件进行商务和技术评估，综合比较与评价。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29.2.1 服务的质量保证（保障）内容；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29.2.2 服务配备的人员；</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29.2.3 投标者的资信情况和履约能力；</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29.2.4 投标者提供的其他优惠条件；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29.2.5 参与本项目政府采购工作的态度及信誉；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29.2.6 最低的投标报价或最高的折扣比例是中标的重要条件，但不是唯一条件。</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七、签订合同</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30、中标单位的确认</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经评标委员会评审并确定中标供应商后，采购代理机构将在规定的时间内将中标结果在相关媒体上予以公告。</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 xml:space="preserve">加</w:t>
      </w:r>
      <w:r>
        <w:rPr>
          <w:rFonts w:hint="eastAsia" w:ascii="宋体" w:hAnsi="宋体" w:eastAsia="宋体" w:cs="宋体"/>
          <w:b w:val="0"/>
          <w:bCs w:val="0"/>
          <w:color w:val="auto"/>
          <w:sz w:val="21"/>
          <w:szCs w:val="21"/>
          <w:highlight w:val="none"/>
        </w:rPr>
        <w:t xml:space="preserve">盖公章（原件），采购代理机构有权对该质疑不予答复。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30.4 质疑函递交地点及联系方式详见</w:t>
      </w:r>
      <w:r>
        <w:rPr>
          <w:rFonts w:hint="eastAsia" w:ascii="宋体" w:hAnsi="宋体" w:eastAsia="宋体" w:cs="宋体"/>
          <w:b w:val="0"/>
          <w:bCs w:val="0"/>
          <w:color w:val="auto"/>
          <w:sz w:val="21"/>
          <w:szCs w:val="21"/>
          <w:highlight w:val="none"/>
          <w:lang w:val="en-US" w:eastAsia="zh-CN"/>
        </w:rPr>
        <w:t xml:space="preserve">招标公告</w:t>
      </w:r>
      <w:r>
        <w:rPr>
          <w:rFonts w:hint="eastAsia" w:ascii="宋体" w:hAnsi="宋体" w:eastAsia="宋体" w:cs="宋体"/>
          <w:b w:val="0"/>
          <w:bCs w:val="0"/>
          <w:color w:val="auto"/>
          <w:sz w:val="21"/>
          <w:szCs w:val="21"/>
          <w:highlight w:val="none"/>
        </w:rPr>
        <w:t xml:space="preserve">。</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31、合同授予</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r/>
    </w:p>
    <w:p>
      <w:pPr>
        <w:pStyle w:val="814"/>
        <w:ind w:left="0" w:firstLine="420"/>
        <w:jc w:val="both"/>
        <w:spacing w:line="360"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rPr>
          <w:rFonts w:hint="eastAsia"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中标通知书在中标公告发布后将发布在业务系统中，中标通知书发布之日视为中标供应商领取之日，中标供应商自行在业务系统中下载打印。</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 中标通知书将成为合同的组成部分。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 采购代理机构对未中标供应商不承担解释未中标原因的义务。</w:t>
      </w:r>
      <w:r/>
    </w:p>
    <w:p>
      <w:pPr>
        <w:pStyle w:val="814"/>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33.1 中标供应商按合同约定的要求提交履约保证金。</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33.2 履约保证金用以约束供应商在合同履行中的行为，弥补合同执行中由于自身行为可能给采购人带来的各种损失。</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33.3 履约保证金（无息）将在中标供应商合同履行完毕后，采购人在五个工作日内退还中标供应商。</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34、合同的签订</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 签订合同及合同条款应以招标文件和中标供应商的投标文件及其澄清文件为依据。</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35、质疑的提出和答复、投诉的提起和处理须按《政府采购质疑和投诉办法》（中华人民共和国财政部令第 94 号）相关规定执行。</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36.3 上述应知其权益受到损害之日是指：</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（1）对采购文件提出质疑的，为获取采购文件或者采购文件公告期限届满之日起计算；</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（2）对采购过程提出质疑的，自采购程序环节结束之日起计算；</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（3）对中标结果提出质疑的，自中标结果公告期限届满之日起计算。</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36.4 供应商提出质疑应当提交质疑函和必要的证明材料。质疑函应当包括下列内容：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（1）供应商的姓名或者名称、地址、邮编、联系人及联系电话；</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（2）质疑项目的名称、编号；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（3）具体、明确的质疑事项和与质疑事项相关的请求；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（5）必要的法律依据；</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（6）提出质疑的日期。</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36.5 质疑函的格式和内容应当符合财政部《政府采购供应商质疑函范本》 要求，质疑函范本在财政部官网上提供下载。</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36.6 提交质疑函同时应当附如下证明材料：</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（1）对采购文件提出质疑的供应商提供参加本项目的报名确认单；</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（2）质疑供应商的营业执照复印件加盖单位公章；</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（3）质疑供应商法定代表人身份证复印件加盖单位公章；</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（5）苏采云系统中下载的《投标供应商确认函》复印件加盖单位公章。</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36.8 供应商须在法定质疑期内一次性提出针对同一采购程序环节的质疑。</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37、质疑的受理与答复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37.1 采购人负责供应商质疑答复。采购人委托采购代理机构采购的，采购代理机构在委托授权范围内作出答复。</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37.2 质疑函由采购代理机构办理签收手续。</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38、投诉的提起</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（1）投诉人和被投诉人的姓名或者名称、通讯地址、邮编、联系人及联系电话；</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（2）质疑和质疑答复情况说明及相关证明材料；</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（3）具体、明确的投诉事项和与投诉事项相关的投诉请求；</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（5）法律依据；</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（6）提起投诉的日期。</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38.4 投诉人提起投诉应当符合下列条件：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（1）提起投诉前已依法进行质疑；</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（2）投诉书内容符合本办法的规定；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（3）在投诉有效期限内提起投诉；</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（4）同一投诉事项未经财政部门投诉处理；</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（5）财政部规定的其他条件。</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38.5 供应商投诉的事项不得超出已质疑事项的范围，但基于质疑答复内容提出的投诉事项除外。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 由采购人所属预算级次的财政部门根据《政府采购质疑和投诉办法》（中华人民共和国财政部令第 94 号）相关规定进行投诉处理。</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39、政府采购政策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39.1 节能产品和环境标志产品</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39.2价格分评审</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（5）符合中小企业划分标准的个体工商户，在政府采购活动中视同中小企业。</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（6）中小企业划分标准详见“工信部联企业〔2011〕300号通知”。</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（7）中标、成交供应商享受本办法规定的中小企业扶持政策的，《中小企业声明函》应当随中标、成交结果同时公告，接受社会监督。</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（8）以上规定未尽事项，按《政府采购促进中小企业发展管理办法》（财库﹝2020﹞46号）等有关制度规定执行。</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39.2.2 残疾人福利性单位政策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 xml:space="preserve">中华人民共和国政府采购法</w:t>
      </w:r>
      <w:r>
        <w:rPr>
          <w:rFonts w:hint="eastAsia" w:ascii="宋体" w:hAnsi="宋体" w:eastAsia="宋体" w:cs="宋体"/>
          <w:b w:val="0"/>
          <w:bCs w:val="0"/>
          <w:color w:val="auto"/>
          <w:sz w:val="21"/>
          <w:szCs w:val="21"/>
          <w:highlight w:val="none"/>
        </w:rPr>
        <w:t xml:space="preserve">》第七十七条第一款的规定追究法律责任。</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（3）中标、成交供应商为残疾人福利性单位的，《残疾人福利性单位声明函》应当随中标、成交结果同时公告，接受社会监督。</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39.2.3 监狱企业发展政策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after="0" w:line="360" w:lineRule="auto"/>
        <w:widowControl/>
        <w:rPr>
          <w:rFonts w:hint="default" w:ascii="宋体" w:hAnsi="宋体" w:eastAsia="宋体" w:cs="宋体"/>
          <w:b/>
          <w:bCs/>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39.2.4 </w:t>
      </w:r>
      <w:r>
        <w:rPr>
          <w:rFonts w:hint="default" w:ascii="宋体" w:hAnsi="宋体" w:eastAsia="宋体" w:cs="宋体"/>
          <w:b/>
          <w:bCs/>
          <w:color w:val="000000"/>
          <w:sz w:val="21"/>
          <w:highlight w:val="none"/>
          <w:lang w:val="en-US" w:eastAsia="zh-CN"/>
        </w:rPr>
        <w:t xml:space="preserve">本项目非专门面向中小企业，</w:t>
      </w:r>
      <w:r>
        <w:rPr>
          <w:rFonts w:hint="default" w:ascii="宋体" w:hAnsi="宋体" w:eastAsia="宋体" w:cs="宋体"/>
          <w:b/>
          <w:bCs/>
          <w:color w:val="000000"/>
          <w:sz w:val="21"/>
          <w:highlight w:val="none"/>
          <w:lang w:eastAsia="zh-CN"/>
        </w:rPr>
        <w:t xml:space="preserve">针对小微型企业的加分：</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根据《政府采购促进中小企业发展管理办法》（财库﹝2020﹞46号）及《关于贯彻执行绿色采购、促进残疾人就业和支持监狱企业发展有关政策的通知》（苏财购〔2019〕10号）规定：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w:t>
      </w:r>
      <w:r>
        <w:rPr>
          <w:rFonts w:hint="default" w:ascii="宋体" w:hAnsi="宋体" w:eastAsia="宋体" w:cs="宋体"/>
          <w:color w:val="000000"/>
          <w:sz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3、在货物采购项目中，供应商提供的货物既有小型或微型企业制造货物，也有中型或大型企业制造货物的，不享受本办法规定的小微企业价格扶持政策。</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4、以联合体形式参加政府采购活动，联合体各方均为中小企业的，联合体视同中小企业。其中，联合体各方均为小微企业的，联合体视同小微企业。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5、符合中小企业划分标准的个体工商户，在政府采购活动中视同中小企业。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6、中小企业划分标准详见“工信部联企业〔2011〕300号通知”。</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7</w:t>
      </w:r>
      <w:r>
        <w:rPr>
          <w:rFonts w:hint="default" w:ascii="宋体" w:hAnsi="宋体" w:eastAsia="宋体" w:cs="宋体"/>
          <w:color w:val="000000"/>
          <w:sz w:val="21"/>
          <w:highlight w:val="none"/>
          <w:lang w:eastAsia="zh-CN"/>
        </w:rPr>
        <w:t xml:space="preserve">、残疾人福利性单位及监狱企业视同小微型企业，享受评审中价格扣除等促进中小企业发展的政府采购政策。</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39.3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39.3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40、中标服务费</w:t>
      </w:r>
      <w:r/>
    </w:p>
    <w:p>
      <w:pPr>
        <w:pStyle w:val="814"/>
        <w:ind w:left="0" w:firstLine="42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40.1</w:t>
      </w:r>
      <w:r>
        <w:rPr>
          <w:rFonts w:hint="eastAsia" w:ascii="宋体" w:hAnsi="宋体" w:eastAsia="宋体" w:cs="宋体"/>
          <w:color w:val="auto"/>
          <w:sz w:val="21"/>
          <w:szCs w:val="21"/>
          <w:highlight w:val="none"/>
        </w:rPr>
        <w:t xml:space="preserve">本项目采购代理服务费</w:t>
      </w:r>
      <w:r>
        <w:rPr>
          <w:rFonts w:hint="eastAsia" w:ascii="宋体" w:hAnsi="宋体" w:eastAsia="宋体" w:cs="宋体"/>
          <w:color w:val="auto"/>
          <w:sz w:val="21"/>
          <w:szCs w:val="21"/>
          <w:highlight w:val="none"/>
          <w:lang w:val="en-US" w:eastAsia="zh-CN"/>
        </w:rPr>
        <w:t xml:space="preserve">和评委费</w:t>
      </w:r>
      <w:r>
        <w:rPr>
          <w:rFonts w:hint="eastAsia" w:ascii="宋体" w:hAnsi="宋体" w:eastAsia="宋体" w:cs="宋体"/>
          <w:color w:val="auto"/>
          <w:sz w:val="21"/>
          <w:szCs w:val="21"/>
          <w:highlight w:val="none"/>
        </w:rPr>
        <w:t xml:space="preserve">由甲方支付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本项目代理服务费</w:t>
      </w:r>
      <w:r>
        <w:rPr>
          <w:rFonts w:hint="eastAsia" w:ascii="宋体" w:hAnsi="宋体" w:eastAsia="宋体" w:cs="宋体"/>
          <w:color w:val="auto"/>
          <w:sz w:val="21"/>
          <w:szCs w:val="21"/>
          <w:highlight w:val="none"/>
          <w:lang w:val="en-US" w:eastAsia="zh-CN" w:bidi="ar-SA"/>
        </w:rPr>
        <w:t xml:space="preserve">按国家发改委有关文件的规定以</w:t>
      </w:r>
      <w:r>
        <w:rPr>
          <w:rFonts w:hint="eastAsia" w:ascii="宋体" w:hAnsi="宋体" w:eastAsia="宋体" w:cs="宋体"/>
          <w:color w:val="auto"/>
          <w:sz w:val="21"/>
          <w:szCs w:val="21"/>
          <w:highlight w:val="none"/>
        </w:rPr>
        <w:t xml:space="preserve">预算金额100万元以内1.5%、预算金额100～500万元1.1%、预算金额500～1000万元0.8%、预算金额1000～5000万元0.5%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按差额定率累进法计算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不足3000元按3000元计算。本项目代理服务费</w:t>
      </w:r>
      <w:r>
        <w:rPr>
          <w:rFonts w:hint="eastAsia" w:ascii="宋体" w:hAnsi="宋体" w:eastAsia="宋体" w:cs="宋体"/>
          <w:color w:val="auto"/>
          <w:sz w:val="21"/>
          <w:szCs w:val="21"/>
          <w:highlight w:val="none"/>
        </w:rPr>
        <w:t xml:space="preserve">共计人民币</w:t>
      </w:r>
      <w:r>
        <w:rPr>
          <w:rFonts w:hint="eastAsia" w:hAnsi="宋体" w:cs="宋体"/>
          <w:color w:val="auto"/>
          <w:sz w:val="21"/>
          <w:szCs w:val="21"/>
          <w:highlight w:val="none"/>
          <w:lang w:val="en-US" w:eastAsia="zh-CN"/>
        </w:rPr>
        <w:t xml:space="preserve">壹万柒仟伍佰柒拾元柒角</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17570.7</w:t>
      </w:r>
      <w:r>
        <w:rPr>
          <w:rFonts w:hint="eastAsia" w:ascii="宋体" w:hAnsi="宋体" w:eastAsia="宋体" w:cs="宋体"/>
          <w:color w:val="auto"/>
          <w:sz w:val="21"/>
          <w:szCs w:val="21"/>
          <w:highlight w:val="none"/>
        </w:rPr>
        <w:t xml:space="preserve">0元）。专家评审费</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《关于调整苏州市政府采购专家评审费标准的通知》(苏财购(2023)37号)的规定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按实际发生金额</w:t>
      </w:r>
      <w:r>
        <w:rPr>
          <w:rFonts w:hint="eastAsia" w:ascii="宋体" w:hAnsi="宋体" w:eastAsia="宋体" w:cs="宋体"/>
          <w:color w:val="auto"/>
          <w:sz w:val="21"/>
          <w:szCs w:val="21"/>
          <w:highlight w:val="none"/>
          <w:lang w:val="en-US" w:eastAsia="zh-CN"/>
        </w:rPr>
        <w:t xml:space="preserve">结算</w:t>
      </w:r>
      <w:r>
        <w:rPr>
          <w:rFonts w:hint="eastAsia" w:ascii="宋体" w:hAnsi="宋体" w:eastAsia="宋体" w:cs="宋体"/>
          <w:color w:val="auto"/>
          <w:sz w:val="21"/>
          <w:szCs w:val="21"/>
          <w:highlight w:val="none"/>
          <w:lang w:eastAsia="zh-CN"/>
        </w:rPr>
        <w:t xml:space="preserve">。该费用自代理服务履约完毕之日起30个工作日内支付。</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41、监督</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41.1 政府有关监督部门将对招投标全过程进行监督。</w:t>
      </w:r>
      <w:r/>
    </w:p>
    <w:p>
      <w:pPr>
        <w:pStyle w:val="814"/>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42、未尽事宜</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按《中华人民共和国政府采购法》及其他有关政府采购的法律法规的规定执行。</w:t>
      </w:r>
      <w:r/>
    </w:p>
    <w:p>
      <w:pPr>
        <w:pStyle w:val="814"/>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826"/>
        <w:ind w:left="0"/>
        <w:jc w:val="both"/>
        <w:spacing w:before="0" w:line="360" w:lineRule="auto"/>
        <w:rPr>
          <w:rFonts w:hint="eastAsia" w:ascii="宋体" w:hAnsi="宋体" w:eastAsia="宋体" w:cs="宋体"/>
          <w:color w:val="auto"/>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8" w:name="_Toc159507037"/>
      <w:r>
        <w:rPr>
          <w:rFonts w:hint="eastAsia" w:ascii="宋体" w:hAnsi="宋体" w:eastAsia="宋体" w:cs="宋体"/>
          <w:b/>
          <w:bCs/>
          <w:color w:val="auto"/>
          <w:sz w:val="32"/>
          <w:szCs w:val="32"/>
          <w:highlight w:val="none"/>
        </w:rPr>
        <w:t xml:space="preserve">第三章 项目需求</w:t>
      </w:r>
      <w:bookmarkEnd w:id="8"/>
      <w:r/>
      <w:r/>
    </w:p>
    <w:p>
      <w:pPr>
        <w:pStyle w:val="814"/>
        <w:ind w:left="0" w:firstLine="420"/>
        <w:jc w:val="both"/>
        <w:spacing w:line="360" w:lineRule="auto"/>
        <w:rPr>
          <w:rFonts w:hint="eastAsia" w:ascii="宋体" w:hAnsi="宋体" w:eastAsia="宋体" w:cs="宋体"/>
          <w:b w:val="0"/>
          <w:bCs w:val="0"/>
          <w:color w:val="auto"/>
          <w:sz w:val="21"/>
          <w:szCs w:val="21"/>
          <w:highlight w:val="none"/>
        </w:rPr>
      </w:pPr>
      <w:r/>
      <w:bookmarkStart w:id="9" w:name="_Hlk121126111"/>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受</w:t>
      </w:r>
      <w:r>
        <w:rPr>
          <w:rFonts w:hint="default" w:hAnsi="宋体" w:cs="宋体"/>
          <w:b w:val="0"/>
          <w:bCs w:val="0"/>
          <w:color w:val="auto"/>
          <w:sz w:val="21"/>
          <w:szCs w:val="21"/>
          <w:highlight w:val="none"/>
          <w:lang w:eastAsia="zh-CN"/>
        </w:rPr>
        <w:t xml:space="preserve">太仓市城厢镇人民政府</w:t>
      </w:r>
      <w:r>
        <w:rPr>
          <w:rFonts w:hint="eastAsia" w:ascii="宋体" w:hAnsi="宋体" w:eastAsia="宋体" w:cs="宋体"/>
          <w:b w:val="0"/>
          <w:bCs w:val="0"/>
          <w:color w:val="auto"/>
          <w:sz w:val="21"/>
          <w:szCs w:val="21"/>
          <w:highlight w:val="none"/>
        </w:rPr>
        <w:t xml:space="preserve">的委托，就</w:t>
      </w:r>
      <w:r>
        <w:rPr>
          <w:rFonts w:hint="default" w:hAnsi="宋体" w:cs="宋体"/>
          <w:b w:val="0"/>
          <w:bCs w:val="0"/>
          <w:color w:val="auto"/>
          <w:sz w:val="21"/>
          <w:szCs w:val="21"/>
          <w:highlight w:val="none"/>
          <w:lang w:eastAsia="zh-CN"/>
        </w:rPr>
        <w:t xml:space="preserve">城厢镇民政服务站购买第三方社工服务项目</w:t>
      </w:r>
      <w:r>
        <w:rPr>
          <w:rFonts w:hint="eastAsia" w:ascii="宋体" w:hAnsi="宋体" w:eastAsia="宋体" w:cs="宋体"/>
          <w:b w:val="0"/>
          <w:bCs w:val="0"/>
          <w:color w:val="auto"/>
          <w:sz w:val="21"/>
          <w:szCs w:val="21"/>
          <w:highlight w:val="none"/>
        </w:rPr>
        <w:t xml:space="preserve">进行国内公开招标。欢迎有资格的投标人前来参加投标。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项目概况</w:t>
      </w:r>
      <w:r>
        <w:rPr>
          <w:rFonts w:hint="eastAsia" w:ascii="宋体" w:hAnsi="宋体" w:eastAsia="宋体" w:cs="宋体"/>
          <w:b/>
          <w:color w:val="auto"/>
          <w:sz w:val="21"/>
          <w:szCs w:val="21"/>
          <w:highlight w:val="none"/>
        </w:rPr>
        <w:t xml:space="preserve">：</w:t>
      </w:r>
      <w:r/>
    </w:p>
    <w:p>
      <w:pPr>
        <w:pStyle w:val="814"/>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1、项目编号</w:t>
      </w:r>
      <w:r>
        <w:rPr>
          <w:rFonts w:hint="eastAsia" w:ascii="宋体" w:hAnsi="宋体" w:eastAsia="宋体" w:cs="宋体"/>
          <w:b w:val="0"/>
          <w:bCs w:val="0"/>
          <w:color w:val="auto"/>
          <w:sz w:val="21"/>
          <w:szCs w:val="21"/>
          <w:highlight w:val="none"/>
          <w:lang w:eastAsia="zh-CN"/>
        </w:rPr>
        <w:t xml:space="preserve">：</w:t>
      </w:r>
      <w:r>
        <w:rPr>
          <w:rFonts w:hint="eastAsia" w:hAnsi="宋体" w:cs="宋体"/>
          <w:b w:val="0"/>
          <w:bCs w:val="0"/>
          <w:color w:val="auto"/>
          <w:sz w:val="21"/>
          <w:szCs w:val="21"/>
          <w:highlight w:val="none"/>
          <w:lang w:val="en-US" w:eastAsia="zh-CN"/>
        </w:rPr>
        <w:t xml:space="preserve">JSZC-320585-TCZX-G2026-0012</w:t>
      </w:r>
      <w:r/>
    </w:p>
    <w:p>
      <w:pPr>
        <w:pStyle w:val="814"/>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项目名称：</w:t>
      </w:r>
      <w:r>
        <w:rPr>
          <w:rFonts w:hint="default" w:hAnsi="宋体" w:cs="宋体"/>
          <w:b w:val="0"/>
          <w:bCs w:val="0"/>
          <w:color w:val="auto"/>
          <w:sz w:val="21"/>
          <w:szCs w:val="21"/>
          <w:highlight w:val="none"/>
          <w:lang w:eastAsia="zh-CN"/>
        </w:rPr>
        <w:t xml:space="preserve">城厢镇民政服务站购买第三方社工服务项目</w:t>
      </w:r>
      <w:bookmarkStart w:id="10" w:name="_Hlk135402291"/>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、预算金额：</w:t>
      </w:r>
      <w:r>
        <w:rPr>
          <w:rFonts w:hint="eastAsia" w:hAnsi="宋体" w:cs="宋体"/>
          <w:color w:val="auto"/>
          <w:sz w:val="21"/>
          <w:szCs w:val="21"/>
          <w:highlight w:val="none"/>
          <w:lang w:eastAsia="zh-CN"/>
        </w:rPr>
        <w:t xml:space="preserve">人民币壹佰贰拾叁万叁仟柒佰元整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1233700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其中一标段人民币肆拾肆万陆仟陆佰肆拾元整（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446640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），二标段人民币叁拾肆万零肆佰贰拾元整（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340420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），三标段人民币肆拾肆万陆仟陆佰肆拾元整（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446640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hAnsi="宋体" w:cs="宋体"/>
          <w:color w:val="auto"/>
          <w:sz w:val="21"/>
          <w:szCs w:val="21"/>
          <w:highlight w:val="none"/>
          <w:lang w:val="en-US" w:eastAsia="zh-CN"/>
        </w:rPr>
        <w:t xml:space="preserve">最高限价：</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right="-159"/>
        <w:jc w:val="left"/>
        <w:spacing w:line="360" w:lineRule="auto"/>
        <w:rPr>
          <w:rFonts w:hint="eastAsia" w:ascii="宋体" w:hAnsi="宋体" w:cs="宋体"/>
          <w:sz w:val="21"/>
          <w:szCs w:val="21"/>
          <w:lang w:val="zh-CN" w:eastAsia="zh-CN"/>
        </w:rPr>
      </w:pPr>
      <w:r>
        <w:rPr>
          <w:rFonts w:hint="eastAsia" w:ascii="宋体" w:hAnsi="宋体" w:eastAsia="宋体" w:cs="宋体"/>
          <w:b/>
          <w:bCs/>
          <w:color w:val="auto"/>
          <w:sz w:val="21"/>
          <w:szCs w:val="21"/>
          <w:highlight w:val="none"/>
        </w:rPr>
        <w:t xml:space="preserve">二、采购内容：</w:t>
      </w:r>
      <w:bookmarkEnd w:id="10"/>
      <w:r/>
      <w:r/>
    </w:p>
    <w:p>
      <w:pPr>
        <w:ind w:firstLine="420"/>
        <w:spacing w:line="360" w:lineRule="auto"/>
        <w:widowControl/>
        <w:tabs>
          <w:tab w:val="left" w:pos="567" w:leader="none"/>
        </w:tabs>
        <w:rPr>
          <w:rFonts w:hint="eastAsia" w:ascii="宋体" w:hAnsi="宋体" w:cs="宋体"/>
          <w:sz w:val="21"/>
          <w:szCs w:val="21"/>
          <w:lang w:val="zh-CN" w:eastAsia="zh-CN"/>
        </w:rPr>
      </w:pPr>
      <w:r>
        <w:rPr>
          <w:rFonts w:hint="eastAsia" w:ascii="宋体" w:hAnsi="宋体" w:cs="宋体"/>
          <w:sz w:val="21"/>
          <w:szCs w:val="21"/>
          <w:lang w:val="zh-CN" w:eastAsia="zh-CN"/>
        </w:rPr>
        <w:t xml:space="preserve">（一）服务内容</w:t>
      </w:r>
      <w:r/>
    </w:p>
    <w:p>
      <w:pPr>
        <w:ind w:left="0" w:right="0" w:firstLine="420"/>
        <w:jc w:val="both"/>
        <w:keepLines w:val="0"/>
        <w:keepNext w:val="0"/>
        <w:pageBreakBefore w:val="0"/>
        <w:spacing w:before="0" w:after="0" w:line="360" w:lineRule="auto"/>
        <w:widowControl/>
        <w:rPr>
          <w:rFonts w:hint="default" w:ascii="Arial" w:hAnsi="Arial" w:eastAsia="Arial" w:cs="Times New Roman"/>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（1）标段一服务内容为</w:t>
      </w:r>
      <w:r>
        <w:rPr>
          <w:rFonts w:hint="eastAsia" w:ascii="宋体" w:hAnsi="宋体" w:eastAsia="宋体" w:cs="宋体"/>
          <w:color w:val="000000"/>
          <w:sz w:val="21"/>
          <w:highlight w:val="none"/>
          <w:lang w:val="en-US" w:eastAsia="zh-CN"/>
        </w:rPr>
        <w:t xml:space="preserve">民服站日常运营维护、镇级儿童关爱之家运营、社会组织孵化培育</w:t>
      </w:r>
      <w:r>
        <w:rPr>
          <w:rFonts w:hint="default"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（2）标段二服务内容为</w:t>
      </w:r>
      <w:r>
        <w:rPr>
          <w:rFonts w:hint="eastAsia" w:ascii="宋体" w:hAnsi="宋体" w:eastAsia="宋体" w:cs="宋体"/>
          <w:color w:val="000000"/>
          <w:sz w:val="21"/>
          <w:highlight w:val="none"/>
          <w:lang w:val="en-US" w:eastAsia="zh-CN"/>
        </w:rPr>
        <w:t xml:space="preserve">社会救助服务（聚焦全镇社救对象，做细兜底保障、动态监测及社救相关政策精准匹配）</w:t>
      </w:r>
      <w:r>
        <w:rPr>
          <w:rFonts w:hint="eastAsia" w:hAnsi="宋体" w:cs="宋体"/>
          <w:color w:val="000000"/>
          <w:sz w:val="21"/>
          <w:highlight w:val="none"/>
          <w:lang w:val="en-US" w:eastAsia="zh-CN"/>
        </w:rPr>
        <w:t xml:space="preserve">。</w:t>
      </w:r>
      <w:r/>
    </w:p>
    <w:p>
      <w:pPr>
        <w:ind w:firstLine="420"/>
        <w:spacing w:line="360" w:lineRule="auto"/>
        <w:rPr>
          <w:rFonts w:hint="default" w:ascii="宋体" w:hAnsi="宋体" w:eastAsia="宋体" w:cs="宋体"/>
          <w:color w:val="000000"/>
          <w:sz w:val="21"/>
          <w:highlight w:val="none"/>
          <w:lang w:val="en-US" w:eastAsia="zh-CN"/>
        </w:rPr>
      </w:pPr>
      <w:r>
        <w:rPr>
          <w:rFonts w:hint="default"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）标段</w:t>
      </w:r>
      <w:r>
        <w:rPr>
          <w:rFonts w:hint="eastAsia" w:ascii="宋体" w:hAnsi="宋体" w:eastAsia="宋体" w:cs="宋体"/>
          <w:color w:val="000000"/>
          <w:sz w:val="21"/>
          <w:highlight w:val="none"/>
          <w:lang w:val="en-US" w:eastAsia="zh-CN"/>
        </w:rPr>
        <w:t xml:space="preserve">三</w:t>
      </w:r>
      <w:r>
        <w:rPr>
          <w:rFonts w:hint="default" w:ascii="宋体" w:hAnsi="宋体" w:eastAsia="宋体" w:cs="宋体"/>
          <w:color w:val="000000"/>
          <w:sz w:val="21"/>
          <w:highlight w:val="none"/>
        </w:rPr>
        <w:t xml:space="preserve">服务内容</w:t>
      </w:r>
      <w:r>
        <w:rPr>
          <w:rFonts w:hint="eastAsia" w:ascii="宋体" w:hAnsi="宋体" w:eastAsia="宋体" w:cs="宋体"/>
          <w:color w:val="000000"/>
          <w:sz w:val="21"/>
          <w:highlight w:val="none"/>
          <w:lang w:val="en-US" w:eastAsia="zh-CN"/>
        </w:rPr>
        <w:t xml:space="preserve">为养老及助残服务（聚焦全镇老年人与残疾人群体，做优为老服务品牌，深化“爱厢随”增能服务及相关政策精准匹配）</w:t>
      </w:r>
      <w:r>
        <w:rPr>
          <w:rFonts w:hint="eastAsia" w:hAnsi="宋体" w:cs="宋体"/>
          <w:color w:val="000000"/>
          <w:sz w:val="21"/>
          <w:highlight w:val="none"/>
          <w:lang w:val="en-US" w:eastAsia="zh-CN"/>
        </w:rPr>
        <w:t xml:space="preserve">。</w:t>
      </w:r>
      <w:r/>
    </w:p>
    <w:p>
      <w:pPr>
        <w:ind w:firstLine="420"/>
        <w:spacing w:line="360" w:lineRule="auto"/>
        <w:rPr>
          <w:rFonts w:hint="eastAsia" w:ascii="宋体" w:hAnsi="宋体" w:eastAsia="宋体" w:cs="宋体"/>
          <w:color w:val="000000"/>
          <w:sz w:val="21"/>
          <w:highlight w:val="none"/>
          <w:lang w:val="zh-CN"/>
        </w:rPr>
      </w:pPr>
      <w:r>
        <w:rPr>
          <w:rFonts w:hint="default" w:ascii="宋体" w:hAnsi="宋体" w:eastAsia="宋体" w:cs="宋体"/>
          <w:color w:val="000000"/>
          <w:sz w:val="21"/>
          <w:highlight w:val="none"/>
        </w:rPr>
        <w:t xml:space="preserve">注：允许一个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w:t>
      </w:r>
      <w:r/>
    </w:p>
    <w:p>
      <w:pPr>
        <w:numPr>
          <w:ilvl w:val="0"/>
          <w:numId w:val="3"/>
        </w:num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服务要求</w:t>
      </w:r>
      <w:r/>
    </w:p>
    <w:p>
      <w:pPr>
        <w:ind w:firstLine="42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严格执行太政民〔2025〕69号 关于印发《关于深化“幸福同行”民政服务站建设的实施方案（试行）》的通知（附件3）、《太仓市镇级未成年人保护工作站（儿童关爱之家）运营管理工作标准指引》（附件4）、《关于进一步完善社会救助社会化工作考评办法的通知》（太政民〔2020〕32号）（附件6）、《关于推进全省社区慈善高质量发展的指导意见》的通知（苏民慈〔2026〕4号）（附件7）等相关文件及上级民政部门下发的最新政策文件。</w:t>
      </w:r>
      <w:r/>
    </w:p>
    <w:p>
      <w:pPr>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本项目所有工作开展均以现行及后续新发政策文件为执行依据，全部项目相关文件若出台更新版本，一律按最新文件标准落实实施；项目开展期间，凡涉及活动举办、方案调整、工作人员更换等变动事项，承办方须提前向对应甲方报备，经镇级审核确认通过后方可落地执行。</w:t>
      </w:r>
      <w:r/>
    </w:p>
    <w:p>
      <w:pPr>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民服站运营、镇级儿童关爱之家服务、社会组织孵化培育、社会救助、养老及助残等所有板块日常工作，均需同步规范建立工作台账（纸质、电子都需要），台账做到目录分类清晰、记录内容详实完整，满足快速查阅检索、长期归档留存管理要求。</w:t>
      </w:r>
      <w:r/>
    </w:p>
    <w:p>
      <w:pPr>
        <w:ind w:firstLine="42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项目服务周期内，承办方产出的全部活动资料、宣传文稿、服务成果等各类物料知识产权均归属甲方，承办方后续如需使用相关产出材料，必须事前取得甲方许可；</w:t>
      </w:r>
      <w:r>
        <w:rPr>
          <w:rFonts w:hint="eastAsia" w:ascii="宋体" w:hAnsi="宋体" w:eastAsia="宋体" w:cs="宋体"/>
          <w:b/>
          <w:bCs/>
          <w:color w:val="auto"/>
          <w:sz w:val="21"/>
          <w:highlight w:val="none"/>
          <w:lang w:val="en-US" w:eastAsia="zh-CN"/>
        </w:rPr>
        <w:t xml:space="preserve">社服中心的水电费网络费由甲方承担，</w:t>
      </w:r>
      <w:r>
        <w:rPr>
          <w:rFonts w:hint="eastAsia" w:hAnsi="宋体" w:cs="宋体"/>
          <w:b/>
          <w:bCs/>
          <w:color w:val="auto"/>
          <w:sz w:val="21"/>
          <w:highlight w:val="none"/>
          <w:lang w:val="en-US" w:eastAsia="zh-CN"/>
        </w:rPr>
        <w:t xml:space="preserve">其他</w:t>
      </w:r>
      <w:r>
        <w:rPr>
          <w:rFonts w:hint="eastAsia" w:ascii="宋体" w:hAnsi="宋体" w:eastAsia="宋体" w:cs="宋体"/>
          <w:b/>
          <w:bCs/>
          <w:color w:val="auto"/>
          <w:sz w:val="21"/>
          <w:highlight w:val="none"/>
          <w:lang w:val="en-US" w:eastAsia="zh-CN"/>
        </w:rPr>
        <w:t xml:space="preserve">开展项目产生的</w:t>
      </w:r>
      <w:r>
        <w:rPr>
          <w:rFonts w:hint="eastAsia" w:hAnsi="宋体" w:cs="宋体"/>
          <w:b/>
          <w:bCs/>
          <w:color w:val="auto"/>
          <w:sz w:val="21"/>
          <w:highlight w:val="none"/>
          <w:lang w:val="en-US" w:eastAsia="zh-CN"/>
        </w:rPr>
        <w:t xml:space="preserve">物资耗材</w:t>
      </w:r>
      <w:r>
        <w:rPr>
          <w:rFonts w:hint="eastAsia" w:ascii="宋体" w:hAnsi="宋体" w:eastAsia="宋体" w:cs="宋体"/>
          <w:b/>
          <w:bCs/>
          <w:color w:val="auto"/>
          <w:sz w:val="21"/>
          <w:highlight w:val="none"/>
          <w:lang w:val="en-US" w:eastAsia="zh-CN"/>
        </w:rPr>
        <w:t xml:space="preserve">费用</w:t>
      </w:r>
      <w:r>
        <w:rPr>
          <w:rFonts w:hint="eastAsia" w:hAnsi="宋体" w:cs="宋体"/>
          <w:b/>
          <w:bCs/>
          <w:color w:val="auto"/>
          <w:sz w:val="21"/>
          <w:highlight w:val="none"/>
          <w:lang w:val="en-US" w:eastAsia="zh-CN"/>
        </w:rPr>
        <w:t xml:space="preserve">、保洁费</w:t>
      </w:r>
      <w:r>
        <w:rPr>
          <w:rFonts w:hint="eastAsia" w:ascii="宋体" w:hAnsi="宋体" w:eastAsia="宋体" w:cs="宋体"/>
          <w:b/>
          <w:bCs/>
          <w:color w:val="auto"/>
          <w:sz w:val="21"/>
          <w:highlight w:val="none"/>
          <w:lang w:val="en-US" w:eastAsia="zh-CN"/>
        </w:rPr>
        <w:t xml:space="preserve">均由中标承办方自行承担</w:t>
      </w:r>
      <w:r>
        <w:rPr>
          <w:rFonts w:hint="eastAsia" w:ascii="宋体" w:hAnsi="宋体" w:eastAsia="宋体" w:cs="宋体"/>
          <w:color w:val="auto"/>
          <w:sz w:val="21"/>
          <w:highlight w:val="none"/>
          <w:lang w:val="en-US" w:eastAsia="zh-CN"/>
        </w:rPr>
        <w:t xml:space="preserve">。</w:t>
      </w:r>
      <w:r/>
    </w:p>
    <w:p>
      <w:pPr>
        <w:ind w:firstLine="420"/>
        <w:spacing w:line="360" w:lineRule="auto"/>
        <w:rPr>
          <w:rFonts w:hint="default" w:ascii="宋体" w:hAnsi="宋体" w:eastAsia="宋体" w:cs="宋体"/>
          <w:b/>
          <w:bCs/>
          <w:color w:val="auto"/>
          <w:sz w:val="21"/>
          <w:highlight w:val="none"/>
          <w:lang w:val="en-US" w:eastAsia="zh-CN"/>
        </w:rPr>
      </w:pPr>
      <w:r>
        <w:rPr>
          <w:rFonts w:hint="eastAsia" w:ascii="宋体" w:hAnsi="宋体" w:eastAsia="宋体" w:cs="宋体"/>
          <w:color w:val="auto"/>
          <w:sz w:val="21"/>
          <w:highlight w:val="none"/>
          <w:lang w:val="en-US" w:eastAsia="zh-CN"/>
        </w:rPr>
        <w:t xml:space="preserve">总支付方式为：(1)合同签订后，甲方支付合同金额的20%。(2)服务期满半年后</w:t>
      </w:r>
      <w:r>
        <w:rPr>
          <w:rFonts w:hint="eastAsia" w:ascii="宋体" w:hAnsi="宋体" w:eastAsia="宋体" w:cs="宋体"/>
          <w:color w:val="auto"/>
          <w:sz w:val="21"/>
          <w:highlight w:val="none"/>
          <w:lang w:val="en-US" w:eastAsia="zh-CN"/>
        </w:rPr>
        <w:t xml:space="preserve">开展半年度评估，评估合格后，支付合同金额的30%：若评估结果为“不合格”的，停止支付，责令其整改。整改后合格的，继续支付。整改后仍不合格的，终止支付。(3)根据服务期末评估结果支付考核资金（合同金额的50%)：评估结果为“优秀”的，支付合同金额的50%考核资金。评估结果为“良好”的，支付合同金额的40%的考核资金。评估结果为“合格”的，支付合同金额的20%的考核资金。评估结果为“不合格”的，责令其对存在的主要问题进行整改，整改后合格的，支付合同金额的20%的考核资金；未改进的，不支付考核资金，终止本项目服务</w:t>
      </w:r>
      <w:r>
        <w:rPr>
          <w:rFonts w:hint="eastAsia" w:hAnsi="宋体" w:cs="宋体"/>
          <w:color w:val="auto"/>
          <w:sz w:val="21"/>
          <w:highlight w:val="none"/>
          <w:lang w:val="en-US" w:eastAsia="zh-CN"/>
        </w:rPr>
        <w:t xml:space="preserve">。</w:t>
      </w:r>
      <w:r>
        <w:rPr>
          <w:rFonts w:hint="eastAsia" w:ascii="宋体" w:hAnsi="宋体" w:eastAsia="宋体" w:cs="宋体"/>
          <w:b/>
          <w:bCs/>
          <w:color w:val="auto"/>
          <w:sz w:val="21"/>
          <w:highlight w:val="none"/>
          <w:lang w:val="en-US" w:eastAsia="zh-CN"/>
        </w:rPr>
        <w:t xml:space="preserve">注：总分为100分，90-100分为优秀，80-89分为良好，60-79分为合格，60分以下为不合格。</w:t>
      </w:r>
      <w:r>
        <w:rPr>
          <w:rFonts w:hint="eastAsia" w:hAnsi="宋体" w:cs="宋体"/>
          <w:b/>
          <w:bCs/>
          <w:color w:val="auto"/>
          <w:sz w:val="21"/>
          <w:highlight w:val="none"/>
          <w:lang w:val="en-US" w:eastAsia="zh-CN"/>
        </w:rPr>
        <w:t xml:space="preserve">各标段按具体考核标准执行，对于招标文件未予以明确约定的考核相关事项，由招标人与中标人于中标后另行商定，相关协商确定内容作为本项目合同组成部分，对双方具有同等约束力。</w:t>
      </w:r>
      <w:r/>
    </w:p>
    <w:p>
      <w:pPr>
        <w:ind w:firstLine="422"/>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lang w:val="en-US" w:eastAsia="zh-CN"/>
        </w:rPr>
      </w:r>
      <w:r/>
    </w:p>
    <w:p>
      <w:pPr>
        <w:numPr>
          <w:ilvl w:val="0"/>
          <w:numId w:val="0"/>
        </w:numPr>
        <w:ind w:right="-159"/>
        <w:jc w:val="center"/>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szCs w:val="21"/>
          <w:highlight w:val="none"/>
          <w:lang w:val="en-US" w:eastAsia="zh-CN"/>
        </w:rPr>
        <w:t xml:space="preserve">标段一：</w:t>
      </w:r>
      <w:r>
        <w:rPr>
          <w:rFonts w:hint="default" w:ascii="宋体" w:hAnsi="宋体" w:eastAsia="宋体" w:cs="宋体"/>
          <w:b/>
          <w:bCs/>
          <w:color w:val="auto"/>
          <w:sz w:val="21"/>
          <w:highlight w:val="none"/>
        </w:rPr>
        <w:t xml:space="preserve">民服站日常运营维护、镇级儿童关爱之家运营、社会组织孵化培育</w:t>
      </w:r>
      <w:r/>
    </w:p>
    <w:tbl>
      <w:tblPr>
        <w:tblStyle w:val="819"/>
        <w:tblW w:w="9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5"/>
        <w:gridCol w:w="2543"/>
        <w:gridCol w:w="1507"/>
        <w:gridCol w:w="1365"/>
        <w:gridCol w:w="3675"/>
      </w:tblGrid>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民服站日常运营维护、社会组织孵化培育</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40分</w:t>
            </w:r>
            <w:r/>
          </w:p>
        </w:tc>
        <w:tc>
          <w:tcPr>
            <w:shd w:val="clear" w:color="auto" w:fill="auto"/>
            <w:tcBorders>
              <w:top w:val="single" w:color="000000" w:sz="4" w:space="0"/>
              <w:left w:val="single" w:color="000000" w:sz="4" w:space="0"/>
              <w:right w:val="single" w:color="000000" w:sz="4" w:space="0"/>
            </w:tcBorders>
            <w:tcW w:w="3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标段一考评总分(满分100分) =市级对镇级民服站考核分数*30%+ 项目一分数* 40%+ 项目二分数* 30%。</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镇级儿童关爱之家运营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63"/>
        </w:trPr>
        <w:tc>
          <w:tcPr>
            <w:gridSpan w:val="3"/>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3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p>
      <w:pPr>
        <w:numPr>
          <w:ilvl w:val="0"/>
          <w:numId w:val="0"/>
        </w:numPr>
        <w:ind w:left="660" w:right="-159"/>
        <w:jc w:val="center"/>
        <w:spacing w:line="360" w:lineRule="auto"/>
        <w:rPr>
          <w:rFonts w:hint="eastAsia" w:ascii="宋体" w:hAnsi="宋体" w:eastAsia="宋体" w:cs="宋体"/>
          <w:b/>
          <w:bCs/>
          <w:color w:val="auto"/>
          <w:sz w:val="21"/>
          <w:highlight w:val="none"/>
          <w:lang w:val="en-US" w:eastAsia="zh-CN"/>
        </w:rPr>
      </w:pPr>
      <w:r>
        <w:rPr>
          <w:rFonts w:hint="default" w:ascii="宋体" w:hAnsi="宋体" w:eastAsia="宋体" w:cs="宋体"/>
          <w:b/>
          <w:bCs/>
          <w:color w:val="auto"/>
          <w:sz w:val="21"/>
          <w:szCs w:val="21"/>
          <w:highlight w:val="none"/>
          <w:lang w:val="en-US" w:eastAsia="zh-CN"/>
        </w:rPr>
        <w:t xml:space="preserve">标段二</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highlight w:val="none"/>
          <w:lang w:val="en-US" w:eastAsia="zh-CN"/>
        </w:rPr>
        <w:t xml:space="preserve">社会救助服务</w:t>
      </w:r>
      <w:r/>
    </w:p>
    <w:tbl>
      <w:tblPr>
        <w:tblStyle w:val="819"/>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5"/>
        <w:gridCol w:w="1628"/>
        <w:gridCol w:w="3120"/>
        <w:gridCol w:w="1200"/>
        <w:gridCol w:w="3135"/>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困难人群数据库建设</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1、平台升级任务按镇级部署推进，基本功能满足业务需要（3分）；                   2、积极配合镇级推进救助向综合服务转型相关工作（3分）；                    3、严格落实甲方工作要求，沟通顺畅，项目成效明显（4分）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shd w:val="clear" w:color="auto" w:fill="auto"/>
            <w:tcBorders>
              <w:top w:val="single" w:color="000000" w:sz="4" w:space="0"/>
              <w:left w:val="single" w:color="000000" w:sz="4" w:space="0"/>
              <w:right w:val="single" w:color="000000" w:sz="4" w:space="0"/>
            </w:tcBorders>
            <w:tcW w:w="31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标段二考评总分(满分100分) =市级对镇级民服站考核分数*30%+ 项目一分数* 10%+ 项目二分数* 30</w:t>
            </w:r>
            <w:r>
              <w:rPr>
                <w:rFonts w:hint="eastAsia"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+项目三分数*30%</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社会救助社会化精准帮扶</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慈善</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7"/>
        </w:trPr>
        <w:tc>
          <w:tcPr>
            <w:gridSpan w:val="3"/>
            <w:shd w:val="clear" w:color="auto" w:fill="auto"/>
            <w:tcBorders>
              <w:top w:val="single" w:color="000000" w:sz="4" w:space="0"/>
              <w:left w:val="single" w:color="000000" w:sz="4" w:space="0"/>
              <w:bottom w:val="single" w:color="000000" w:sz="4" w:space="0"/>
              <w:right w:val="single" w:color="000000" w:sz="4" w:space="0"/>
            </w:tcBorders>
            <w:tcW w:w="5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numPr>
          <w:ilvl w:val="0"/>
          <w:numId w:val="0"/>
        </w:numPr>
        <w:ind w:right="-159"/>
        <w:jc w:val="both"/>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numPr>
          <w:ilvl w:val="0"/>
          <w:numId w:val="0"/>
        </w:numPr>
        <w:ind w:left="660" w:right="-159"/>
        <w:jc w:val="center"/>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lang w:val="en-US" w:eastAsia="zh-CN"/>
        </w:rPr>
        <w:t xml:space="preserve">三：</w:t>
      </w:r>
      <w:r>
        <w:rPr>
          <w:rFonts w:hint="default" w:ascii="宋体" w:hAnsi="宋体" w:eastAsia="宋体" w:cs="宋体"/>
          <w:b/>
          <w:bCs/>
          <w:color w:val="auto"/>
          <w:sz w:val="21"/>
          <w:szCs w:val="21"/>
          <w:highlight w:val="none"/>
          <w:lang w:val="en-US" w:eastAsia="zh-CN"/>
        </w:rPr>
        <w:t xml:space="preserve">养老及助残服务</w:t>
      </w:r>
      <w:r/>
    </w:p>
    <w:tbl>
      <w:tblPr>
        <w:tblStyle w:val="819"/>
        <w:tblW w:w="98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050"/>
        <w:gridCol w:w="5175"/>
        <w:gridCol w:w="1215"/>
        <w:gridCol w:w="1710"/>
      </w:tblGrid>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养老及助残服务</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60分</w:t>
            </w:r>
            <w:r/>
          </w:p>
        </w:tc>
        <w:tc>
          <w:tcPr>
            <w:shd w:val="clear" w:color="auto" w:fill="auto"/>
            <w:tcBorders>
              <w:top w:val="single" w:color="000000" w:sz="4" w:space="0"/>
              <w:left w:val="single" w:color="000000" w:sz="4" w:space="0"/>
              <w:right w:val="single" w:color="000000" w:sz="4" w:space="0"/>
            </w:tcBorders>
            <w:tcW w:w="17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标段三考评总分(满分100分) =市级对镇级民服站考核分数*30%+ 养老及助残服务*60%+“爱厢随”增能服务*10%</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深化“爱厢随”增能服务</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厢随”梦想空间站是由城厢镇残疾人联合会携手非遗糕点传承企业，共同推出的残疾人辅助性就业项目。项目依托古塘社区老年人日间照料服务中心，开展非遗糕点制作，创新“以老助残”协作模式，鼓励健康老人与残疾人互助共进，既传承技艺，也实现共同增收。中标方需协助镇级深化“爱厢随”梦想空间站增能服务，主要有以下几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1.结合老年人银发“零工驿站”开发适老岗位，通过产业化经营带动残疾人稳定增收，引导残疾人依靠劳动实现自强自立。3分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2.依托慈善爱心企业、残疾人之家、日间照料中心等设立线下代销点，以产业收益反哺公益慈善事业，构建自我造血、长效运转的助残帮扶新格局。4分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3.融入“益心一益”公益创投项目开发的“城厢妈妈”研学课程，通过非遗体验、乡村研学等活动吸引客流，推动镇级农文旅及研学融合发展。3分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shd w:val="clear" w:color="auto" w:fill="auto"/>
            <w:tcBorders>
              <w:left w:val="single" w:color="000000" w:sz="4" w:space="0"/>
              <w:right w:val="single" w:color="000000" w:sz="4" w:space="0"/>
            </w:tcBorders>
            <w:tcW w:w="17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5"/>
        </w:trPr>
        <w:tc>
          <w:tcPr>
            <w:gridSpan w:val="3"/>
            <w:shd w:val="clear" w:color="auto" w:fill="auto"/>
            <w:tcBorders>
              <w:top w:val="single" w:color="000000" w:sz="4" w:space="0"/>
              <w:left w:val="single" w:color="000000" w:sz="4" w:space="0"/>
              <w:bottom w:val="single" w:color="000000" w:sz="4" w:space="0"/>
              <w:right w:val="single" w:color="000000" w:sz="4" w:space="0"/>
            </w:tcBorders>
            <w:tcW w:w="6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17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right="-159"/>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四、人员配置及主要任务</w:t>
      </w:r>
      <w:r/>
    </w:p>
    <w:p>
      <w:pPr>
        <w:ind w:firstLine="422"/>
        <w:spacing w:line="360" w:lineRule="auto"/>
        <w:widowControl/>
        <w:tabs>
          <w:tab w:val="left" w:pos="567"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（一）、人员配置数量：</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CN" w:eastAsia="en-US"/>
        </w:rPr>
      </w:pPr>
      <w:r>
        <w:rPr>
          <w:rFonts w:hint="eastAsia" w:ascii="宋体" w:hAnsi="宋体" w:eastAsia="宋体" w:cs="宋体"/>
          <w:color w:val="auto"/>
          <w:sz w:val="21"/>
          <w:szCs w:val="21"/>
          <w:highlight w:val="none"/>
          <w:lang w:val="en-US" w:eastAsia="zh-CN"/>
        </w:rPr>
        <w:t xml:space="preserve">各标段按要求配置</w:t>
      </w:r>
      <w:r>
        <w:rPr>
          <w:rFonts w:hint="eastAsia" w:ascii="宋体" w:hAnsi="宋体" w:eastAsia="宋体" w:cs="宋体"/>
          <w:color w:val="auto"/>
          <w:sz w:val="21"/>
          <w:szCs w:val="21"/>
          <w:highlight w:val="none"/>
          <w:lang w:val="zh-CN" w:eastAsia="en-US"/>
        </w:rPr>
        <w:t xml:space="preserve">项目团队，</w:t>
      </w:r>
      <w:r>
        <w:rPr>
          <w:rFonts w:hint="eastAsia" w:ascii="宋体" w:hAnsi="宋体" w:eastAsia="宋体" w:cs="宋体"/>
          <w:color w:val="auto"/>
          <w:sz w:val="21"/>
          <w:szCs w:val="21"/>
          <w:highlight w:val="none"/>
          <w:lang w:val="en-US" w:eastAsia="zh-CN"/>
        </w:rPr>
        <w:t xml:space="preserve">其中一标段和三标段不少于4名</w:t>
      </w:r>
      <w:r>
        <w:rPr>
          <w:rFonts w:hint="eastAsia" w:ascii="宋体" w:hAnsi="宋体" w:eastAsia="宋体" w:cs="宋体"/>
          <w:color w:val="auto"/>
          <w:sz w:val="21"/>
          <w:szCs w:val="21"/>
          <w:highlight w:val="none"/>
          <w:lang w:val="zh-CN" w:eastAsia="en-US"/>
        </w:rPr>
        <w:t xml:space="preserve">专职社工（由1名社工兼任项目主管），</w:t>
      </w:r>
      <w:r>
        <w:rPr>
          <w:rFonts w:hint="eastAsia" w:ascii="宋体" w:hAnsi="宋体" w:eastAsia="宋体" w:cs="宋体"/>
          <w:color w:val="auto"/>
          <w:sz w:val="21"/>
          <w:szCs w:val="21"/>
          <w:highlight w:val="none"/>
          <w:lang w:val="en-US" w:eastAsia="zh-CN"/>
        </w:rPr>
        <w:t xml:space="preserve">二标段不少于3名专职社工</w:t>
      </w:r>
      <w:r>
        <w:rPr>
          <w:rFonts w:hint="eastAsia" w:ascii="宋体" w:hAnsi="宋体" w:eastAsia="宋体" w:cs="宋体"/>
          <w:color w:val="auto"/>
          <w:sz w:val="21"/>
          <w:szCs w:val="21"/>
          <w:highlight w:val="none"/>
          <w:lang w:val="zh-CN" w:eastAsia="en-US"/>
        </w:rPr>
        <w:t xml:space="preserve">（由1名社工兼任项目主管）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en-US"/>
        </w:rPr>
        <w:t xml:space="preserve">项目团队需全职入驻社会工作服务站，项目团队成员须符合下列条件：</w:t>
      </w:r>
      <w:r/>
    </w:p>
    <w:p>
      <w:pPr>
        <w:ind w:firstLine="422"/>
        <w:spacing w:line="360" w:lineRule="auto"/>
        <w:widowControl/>
        <w:tabs>
          <w:tab w:val="left" w:pos="567"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（二）、人员工作任务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（1）项目督导：主要负责项目的创新设计、策划和督导，对项目整体进行监管。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（2）项目主管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项目主管应具备社会工作或心理学相关专业知识及从业经验，负责领导和管理团体、与采购方沟通协调服务内容，制定工作计划、分配工作任务，办理案件等，</w:t>
      </w:r>
      <w:r>
        <w:rPr>
          <w:rFonts w:hint="eastAsia" w:hAnsi="宋体" w:cs="宋体"/>
          <w:color w:val="auto"/>
          <w:sz w:val="21"/>
          <w:szCs w:val="21"/>
          <w:highlight w:val="none"/>
          <w:lang w:val="en-US" w:eastAsia="zh-CN"/>
        </w:rPr>
        <w:t xml:space="preserve">其中标段一的项目主管需担任民服站副站长；</w:t>
      </w:r>
      <w:r>
        <w:rPr>
          <w:rFonts w:hint="eastAsia" w:ascii="宋体" w:hAnsi="宋体" w:eastAsia="宋体" w:cs="宋体"/>
          <w:color w:val="auto"/>
          <w:sz w:val="21"/>
          <w:szCs w:val="21"/>
          <w:highlight w:val="none"/>
          <w:lang w:val="en-US" w:eastAsia="zh-CN"/>
        </w:rPr>
        <w:t xml:space="preserve">具体如下：</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①负责及时受理市社会工作服务指导中心的所有派单案件。初步研判后转派给专职社工具体承办，并对案例办理加强督促检查与协调指导；</w:t>
      </w:r>
      <w:r/>
    </w:p>
    <w:p>
      <w:pPr>
        <w:ind w:firstLine="420"/>
        <w:spacing w:line="360" w:lineRule="auto"/>
        <w:widowControl/>
        <w:tabs>
          <w:tab w:val="left" w:pos="567" w:leader="none"/>
        </w:tabs>
        <w:rPr>
          <w:rFonts w:hint="eastAsia" w:ascii="宋体" w:hAnsi="宋体" w:eastAsia="宋体" w:cs="宋体"/>
          <w:strike/>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②负责对外展服务中发现的案件进行研判，认为需要后续服务的转派给专职社工具体承办，并对案件办理过程加强督促检查与协调指导；</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③负责对专职社工提供督导服务。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（3）专职社工</w:t>
      </w:r>
      <w:r/>
    </w:p>
    <w:p>
      <w:pPr>
        <w:ind w:right="-159" w:firstLine="420"/>
        <w:jc w:val="left"/>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专职社工主要承担民政服务站日常运营管理工作，负责儿童关爱之家的常态化服务开展，落实慈善宣传动员、养老助残帮扶等民政综合业务。开展辖区服务对象摸排走访、需求评估，针对困境儿童、残疾人、老年人、困难群众等重点对象提供个案服务、情绪疏导、帮扶链接等专业社工服务；组织开展各类主题宣传、小组活动与社区公益活动，做好惠民政策解读宣传；规范完成服务记录、资料归集、台账整理归档，及时报送工作信息，保障民政各板块服务有序、规范落地。</w:t>
      </w:r>
      <w:r/>
    </w:p>
    <w:p>
      <w:pPr>
        <w:ind w:right="-159" w:firstLine="211"/>
        <w:jc w:val="left"/>
        <w:spacing w:line="360" w:lineRule="auto"/>
        <w:rPr>
          <w:rFonts w:hint="eastAsia" w:ascii="宋体" w:hAnsi="宋体" w:eastAsia="宋体" w:cs="宋体"/>
          <w:b/>
          <w:bCs/>
          <w:color w:val="auto"/>
          <w:sz w:val="21"/>
          <w:szCs w:val="21"/>
          <w:highlight w:val="none"/>
          <w:lang w:val="en-US" w:eastAsia="zh-CN"/>
        </w:rPr>
      </w:pPr>
      <w:r/>
      <w:bookmarkStart w:id="23" w:name="_GoBack"/>
      <w:r/>
      <w:bookmarkEnd w:id="23"/>
      <w:r>
        <w:rPr>
          <w:rFonts w:hint="eastAsia" w:ascii="宋体" w:hAnsi="宋体" w:eastAsia="宋体" w:cs="宋体"/>
          <w:b/>
          <w:bCs/>
          <w:color w:val="auto"/>
          <w:sz w:val="21"/>
          <w:szCs w:val="21"/>
          <w:highlight w:val="none"/>
          <w:lang w:val="en-US" w:eastAsia="zh-CN"/>
        </w:rPr>
        <w:t xml:space="preserve">五、技术方案部分：</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CN" w:eastAsia="zh-CN"/>
        </w:rPr>
        <w:t xml:space="preserve">投标单位需根据本项目工作内容，</w:t>
      </w:r>
      <w:r>
        <w:rPr>
          <w:rFonts w:hint="eastAsia" w:ascii="宋体" w:hAnsi="宋体" w:eastAsia="宋体" w:cs="宋体"/>
          <w:color w:val="auto"/>
          <w:sz w:val="21"/>
          <w:szCs w:val="21"/>
          <w:highlight w:val="none"/>
          <w:lang w:val="en-US" w:eastAsia="zh-CN"/>
        </w:rPr>
        <w:t xml:space="preserve">需制定针对性强、操作性高的各项服务方案。</w:t>
      </w:r>
      <w:r>
        <w:rPr>
          <w:rFonts w:hint="eastAsia" w:ascii="宋体" w:hAnsi="宋体" w:eastAsia="宋体" w:cs="宋体"/>
          <w:color w:val="auto"/>
          <w:sz w:val="21"/>
          <w:szCs w:val="21"/>
          <w:highlight w:val="none"/>
          <w:lang w:val="zh-CN" w:eastAsia="zh-CN"/>
        </w:rPr>
        <w:t xml:space="preserve">包括但不限于目标设定、进度安排、</w:t>
      </w:r>
      <w:r>
        <w:rPr>
          <w:rFonts w:hint="eastAsia" w:ascii="宋体" w:hAnsi="宋体" w:eastAsia="宋体" w:cs="宋体"/>
          <w:color w:val="auto"/>
          <w:sz w:val="21"/>
          <w:szCs w:val="21"/>
          <w:highlight w:val="none"/>
          <w:lang w:val="en-US" w:eastAsia="zh-CN"/>
        </w:rPr>
        <w:t xml:space="preserve">服务方案等</w:t>
      </w:r>
      <w:r>
        <w:rPr>
          <w:rFonts w:hint="eastAsia" w:ascii="宋体" w:hAnsi="宋体" w:eastAsia="宋体" w:cs="宋体"/>
          <w:color w:val="auto"/>
          <w:sz w:val="21"/>
          <w:szCs w:val="21"/>
          <w:highlight w:val="none"/>
          <w:lang w:val="zh-CN" w:eastAsia="zh-CN"/>
        </w:rPr>
        <w:t xml:space="preserve">。</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目标设定</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投标人需要</w:t>
      </w:r>
      <w:r>
        <w:rPr>
          <w:rFonts w:hint="eastAsia" w:ascii="宋体" w:hAnsi="宋体" w:eastAsia="宋体" w:cs="宋体"/>
          <w:color w:val="auto"/>
          <w:sz w:val="21"/>
          <w:szCs w:val="21"/>
          <w:highlight w:val="none"/>
          <w:lang w:val="zh-CN" w:eastAsia="zh-CN"/>
        </w:rPr>
        <w:t xml:space="preserve">针对本项目</w:t>
      </w:r>
      <w:r>
        <w:rPr>
          <w:rFonts w:hint="eastAsia" w:ascii="宋体" w:hAnsi="宋体" w:eastAsia="宋体" w:cs="宋体"/>
          <w:color w:val="auto"/>
          <w:sz w:val="21"/>
          <w:szCs w:val="21"/>
          <w:highlight w:val="none"/>
          <w:lang w:val="en-US" w:eastAsia="zh-CN"/>
        </w:rPr>
        <w:t xml:space="preserve">提供目标设定方案，</w:t>
      </w:r>
      <w:r>
        <w:rPr>
          <w:rFonts w:hint="eastAsia" w:ascii="宋体" w:hAnsi="宋体" w:eastAsia="宋体" w:cs="宋体"/>
          <w:color w:val="auto"/>
          <w:sz w:val="21"/>
          <w:szCs w:val="21"/>
          <w:highlight w:val="none"/>
          <w:lang w:val="zh-CN" w:eastAsia="zh-CN"/>
        </w:rPr>
        <w:t xml:space="preserve">方案内容至少包括：</w:t>
      </w:r>
      <w:r>
        <w:rPr>
          <w:rFonts w:hint="eastAsia" w:ascii="宋体" w:hAnsi="宋体" w:eastAsia="宋体" w:cs="宋体"/>
          <w:color w:val="auto"/>
          <w:sz w:val="21"/>
          <w:szCs w:val="21"/>
          <w:highlight w:val="none"/>
          <w:lang w:val="en-US" w:eastAsia="zh-CN"/>
        </w:rPr>
        <w:t xml:space="preserve">①工作任务②工作方法③工作分工等。</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1.1 ‌工作任务要求编制民生案件处理、评估咨询、计划制定、接单与处理跟进及事件</w:t>
      </w:r>
      <w:r>
        <w:rPr>
          <w:rFonts w:hint="eastAsia" w:ascii="宋体" w:hAnsi="宋体" w:eastAsia="宋体" w:cs="宋体"/>
          <w:sz w:val="21"/>
          <w:szCs w:val="21"/>
          <w:lang w:val="en-US" w:eastAsia="zh-CN"/>
        </w:rPr>
        <w:t xml:space="preserve">受理方案；</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 ‌工作方法要针对不同案件制定对应的具体方法，根据需求评估结果、服务计划明确服务目标、服务内容等。</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 工作分工要针对服务内容、事件、案例编制详细科学，满足与实施计划内容匹配，具有可操作性的方案。</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eastAsia="zh-CN"/>
        </w:rPr>
        <w:t xml:space="preserve">进度安排</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投标人需要</w:t>
      </w:r>
      <w:r>
        <w:rPr>
          <w:rFonts w:hint="eastAsia" w:ascii="宋体" w:hAnsi="宋体" w:eastAsia="宋体" w:cs="宋体"/>
          <w:sz w:val="21"/>
          <w:szCs w:val="21"/>
          <w:lang w:val="zh-CN" w:eastAsia="zh-CN"/>
        </w:rPr>
        <w:t xml:space="preserve">针对本项目</w:t>
      </w:r>
      <w:r>
        <w:rPr>
          <w:rFonts w:hint="eastAsia" w:ascii="宋体" w:hAnsi="宋体" w:eastAsia="宋体" w:cs="宋体"/>
          <w:sz w:val="21"/>
          <w:szCs w:val="21"/>
          <w:lang w:val="en-US" w:eastAsia="zh-CN"/>
        </w:rPr>
        <w:t xml:space="preserve">提供进度安排方案，</w:t>
      </w:r>
      <w:r>
        <w:rPr>
          <w:rFonts w:hint="eastAsia" w:ascii="宋体" w:hAnsi="宋体" w:eastAsia="宋体" w:cs="宋体"/>
          <w:sz w:val="21"/>
          <w:szCs w:val="21"/>
          <w:lang w:val="zh-CN" w:eastAsia="zh-CN"/>
        </w:rPr>
        <w:t xml:space="preserve">方案内容至少包括：</w:t>
      </w:r>
      <w:r>
        <w:rPr>
          <w:rFonts w:hint="eastAsia" w:ascii="宋体" w:hAnsi="宋体" w:eastAsia="宋体" w:cs="宋体"/>
          <w:sz w:val="21"/>
          <w:szCs w:val="21"/>
          <w:lang w:val="en-US" w:eastAsia="zh-CN"/>
        </w:rPr>
        <w:t xml:space="preserve">①</w:t>
      </w:r>
      <w:r>
        <w:rPr>
          <w:rFonts w:hint="default" w:ascii="宋体" w:hAnsi="宋体" w:eastAsia="宋体" w:cs="宋体"/>
          <w:sz w:val="21"/>
          <w:szCs w:val="21"/>
          <w:lang w:val="en-US" w:eastAsia="zh-CN"/>
        </w:rPr>
        <w:t xml:space="preserve">时间节点</w:t>
      </w:r>
      <w:r>
        <w:rPr>
          <w:rFonts w:hint="eastAsia" w:ascii="宋体" w:hAnsi="宋体" w:eastAsia="宋体" w:cs="宋体"/>
          <w:sz w:val="21"/>
          <w:szCs w:val="21"/>
          <w:lang w:val="en-US" w:eastAsia="zh-CN"/>
        </w:rPr>
        <w:t xml:space="preserve">②案件或事件进度节点等</w:t>
      </w:r>
      <w:r>
        <w:rPr>
          <w:rFonts w:hint="eastAsia" w:ascii="宋体" w:hAnsi="宋体" w:eastAsia="宋体" w:cs="宋体"/>
          <w:sz w:val="21"/>
          <w:szCs w:val="21"/>
          <w:lang w:val="zh-CN" w:eastAsia="zh-CN"/>
        </w:rPr>
        <w:t xml:space="preserve">。</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2.1时间节点明确，任务分解清晰具体。</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2.2编制所涉案件或事件的进度节点方案，分解清晰具体，逻辑合理。</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hAnsi="宋体" w:cs="宋体"/>
          <w:sz w:val="21"/>
          <w:szCs w:val="21"/>
          <w:lang w:val="en-US" w:eastAsia="zh-CN"/>
        </w:rPr>
        <w:t xml:space="preserve">3、</w:t>
      </w:r>
      <w:r>
        <w:rPr>
          <w:rFonts w:hint="eastAsia" w:ascii="宋体" w:hAnsi="宋体" w:eastAsia="宋体" w:cs="宋体"/>
          <w:sz w:val="21"/>
          <w:szCs w:val="21"/>
          <w:lang w:val="en-US" w:eastAsia="zh-CN"/>
        </w:rPr>
        <w:t xml:space="preserve">服务方案</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投标人需要针对本项目的服务方案切实操作性进行评分，方案内容至少包括：①服务流程，②自我评估机制，③投诉渠道及服务投诉处理机制，④服务区域现状分析，⑤重点难点分析及应对措施</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服务流程：前期对接需求、细化分工、岗前交底培训；常态化开展现场服务、日常巡检、隐患排查；落实过程管控，项目管理人员抽查、全覆盖检查，严控服务质量；规范台账资料，全程工作留痕、分类归档；阶段性总结复盘，配合甲方验收回访，持续优化服务标准，形成闭环提质。</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自我评估机制：建立日查、周评、月考、年复盘四级常态化自我评估机制。每日岗位自查，即时整改问题；每周项目组汇总短板、形成整改清单；每月开展量化考评，从服务规范、完成质量、整改闭环、满意度、资料台账等维度打分评级，不合格项限期闭环整改；年末全面复盘全年服务情况，优化管理制度与服务方案。评估结果与人员绩效、奖惩、岗位调整直接挂钩，保障服务质量长期稳定达标。</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3.3投诉渠道及服务投诉处理机制：公开24小时电话、现场意见箱、线上工作群三类全天候投诉渠道，保障诉求随时直达。</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3.4服务区域现状分析：服务区域覆盖范围、功能场景，全域服务无死角要求高。区域全天候运行、高峰时段服务压力集中，现场突发问题随机性强。项目管理规范、服务需求清晰，具备标准化常态化服务基础。</w:t>
      </w:r>
      <w:r/>
    </w:p>
    <w:p>
      <w:pPr>
        <w:ind w:firstLine="420"/>
        <w:spacing w:line="360" w:lineRule="auto"/>
        <w:widowControl/>
        <w:tabs>
          <w:tab w:val="left" w:pos="567" w:leader="none"/>
        </w:tabs>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3.5重点难点分析及应对措施：</w:t>
      </w:r>
      <w:r>
        <w:rPr>
          <w:rFonts w:hint="default" w:ascii="宋体" w:hAnsi="宋体" w:eastAsia="宋体" w:cs="宋体"/>
          <w:sz w:val="21"/>
          <w:szCs w:val="21"/>
          <w:lang w:val="en-US" w:eastAsia="zh-CN"/>
        </w:rPr>
        <w:t xml:space="preserve">采用网格化分片包干管理，责任到人，建立点位清单，全覆盖巡检，杜绝服务盲区。标准化全过程管控：统一作业流程与台账标准，全程留痕、闭环管理，确保服务合规可溯。多方协同对接复杂：设置专属对接人，建立日常沟通及周例会机制，主动配合甲方调度与检查工作，保障服务高效协同。</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五、报价要求：</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1、投标人须对本项目中的所有内容进行报价，否则作无效投标处理。</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2、投标应以人民币报价，投标综合报价一次报定，报价均已包括</w:t>
      </w:r>
      <w:r>
        <w:rPr>
          <w:rFonts w:hint="eastAsia" w:ascii="宋体" w:hAnsi="宋体" w:eastAsia="宋体" w:cs="宋体"/>
          <w:sz w:val="21"/>
          <w:szCs w:val="21"/>
          <w:lang w:val="zh-CN" w:eastAsia="zh-CN" w:bidi="ar-SA"/>
        </w:rPr>
        <w:t xml:space="preserve">完成本项目所需的人员（包括工资和补贴）、</w:t>
      </w:r>
      <w:r>
        <w:rPr>
          <w:rFonts w:hint="eastAsia" w:ascii="宋体" w:hAnsi="宋体" w:eastAsia="宋体" w:cs="宋体"/>
          <w:sz w:val="21"/>
          <w:szCs w:val="21"/>
          <w:lang w:val="en-US" w:eastAsia="zh-CN" w:bidi="ar-SA"/>
        </w:rPr>
        <w:t xml:space="preserve">设备</w:t>
      </w:r>
      <w:r>
        <w:rPr>
          <w:rFonts w:hint="eastAsia" w:ascii="宋体" w:hAnsi="宋体" w:eastAsia="宋体" w:cs="宋体"/>
          <w:sz w:val="21"/>
          <w:szCs w:val="21"/>
          <w:lang w:val="zh-CN" w:eastAsia="zh-CN" w:bidi="ar-SA"/>
        </w:rPr>
        <w:t xml:space="preserve">、办公场所及设施、劳保、管理、各种税费、利润、税金、政策性文件规定及合同包含的所有风险、责任等各项应有费用。</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、验收</w:t>
      </w:r>
      <w:r/>
    </w:p>
    <w:p>
      <w:pPr>
        <w:ind w:right="-159" w:firstLine="420"/>
        <w:jc w:val="left"/>
        <w:spacing w:line="360" w:lineRule="auto"/>
        <w:rPr>
          <w:rFonts w:hint="default" w:hAnsi="宋体" w:cs="宋体"/>
          <w:color w:val="0000ff"/>
          <w:sz w:val="21"/>
          <w:szCs w:val="21"/>
          <w:highlight w:val="yellow"/>
          <w:lang w:val="en-US" w:eastAsia="zh-CN"/>
        </w:rPr>
      </w:pPr>
      <w:r>
        <w:rPr>
          <w:rFonts w:hint="default" w:hAnsi="宋体" w:cs="宋体"/>
          <w:color w:val="auto"/>
          <w:sz w:val="21"/>
          <w:szCs w:val="21"/>
          <w:highlight w:val="none"/>
          <w:lang w:val="en-US" w:eastAsia="zh-CN"/>
        </w:rPr>
        <w:t xml:space="preserve">采购人以项目采购需求及合同相关内容为验收标准组织验收，中标方配合。</w:t>
      </w:r>
      <w:r/>
    </w:p>
    <w:p>
      <w:pPr>
        <w:ind w:firstLine="420"/>
        <w:jc w:val="both"/>
        <w:spacing w:line="360" w:lineRule="auto"/>
        <w:widowControl/>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1、验收条件</w:t>
      </w:r>
      <w:r/>
    </w:p>
    <w:p>
      <w:pPr>
        <w:ind w:right="-159" w:firstLine="420"/>
        <w:jc w:val="left"/>
        <w:spacing w:line="360" w:lineRule="auto"/>
        <w:rPr>
          <w:rFonts w:hint="default" w:hAnsi="宋体" w:cs="宋体"/>
          <w:color w:val="auto"/>
          <w:sz w:val="21"/>
          <w:szCs w:val="21"/>
          <w:highlight w:val="none"/>
          <w:lang w:val="en-US" w:eastAsia="zh-CN"/>
        </w:rPr>
      </w:pPr>
      <w:r>
        <w:rPr>
          <w:rFonts w:hint="default" w:hAnsi="宋体" w:cs="宋体"/>
          <w:color w:val="auto"/>
          <w:sz w:val="21"/>
          <w:szCs w:val="21"/>
          <w:highlight w:val="none"/>
          <w:lang w:val="en-US" w:eastAsia="zh-CN"/>
        </w:rPr>
        <w:t xml:space="preserve">中标方按照项目采购需求及合同相关内容完成全部服务，并通过采购人考核。</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2、验收标准</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3、验收流程</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在符合项目验收条件后，中标方可提出项目验收申请。采购人在收到中标方提出的合格的验收申请后，组织验收小组完成验收工作。具体验收流程如下：</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3.1中标方向采购人书面提出项目验收申请。</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3.2中标方整理提交项目验收相关的管理和技术文档，由采购人进行初步审核，并根据采购人要求进行修正直至审核通过。</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3.3采购人成立验收小组，召开项目验收评审会议，根据项目验收内容及相关要求，对中标方提交的项目过程文档进行验收评审。</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3.4验收评审通过后，由验收小组出具项目验收意见。</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3.5项目验收结束后，中标方配合采购人按照档案管理要求进行资料归档。</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具体履约验收标准按照附件：服务类项目履约验收方案验收。</w:t>
      </w:r>
      <w:r/>
    </w:p>
    <w:p>
      <w:pPr>
        <w:ind w:firstLine="420"/>
        <w:jc w:val="both"/>
        <w:spacing w:line="360" w:lineRule="auto"/>
        <w:widowControl/>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4、验收标准及验收依据：</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验收通知单、验收书2份材料在验收标准程序之后补足。</w:t>
      </w:r>
      <w:r/>
    </w:p>
    <w:p>
      <w:pPr>
        <w:ind w:firstLine="211"/>
        <w:spacing w:line="360" w:lineRule="auto"/>
        <w:widowControl/>
        <w:tabs>
          <w:tab w:val="left" w:pos="567" w:leader="none"/>
        </w:tabs>
        <w:rPr>
          <w:rFonts w:hint="eastAsia" w:ascii="宋体" w:hAnsi="宋体" w:eastAsia="宋体" w:cs="宋体"/>
          <w:b/>
          <w:bCs/>
          <w:color w:val="auto"/>
          <w:sz w:val="21"/>
          <w:szCs w:val="21"/>
          <w:highlight w:val="none"/>
          <w:lang w:val="zh-CN" w:eastAsia="zh-CN"/>
        </w:rPr>
      </w:pPr>
      <w:r>
        <w:rPr>
          <w:rFonts w:hint="eastAsia"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eastAsia="zh-CN"/>
        </w:rPr>
        <w:t xml:space="preserve">综合说明</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必须说明其是否响应采购文件中提出的全部服务内容与要求，如果以其中某些条款不响应时，应在文件中逐条列出，未列出的视同响应。</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提供的服务能够至少达到以上要求，同时明确具体的服务方案，方案中应包含人员配备、配备人员的具体情况、相关配置等。</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3、投标单位应对所投项目的全部内容进行报价，只投其中部分内容者，其投标文件将被拒绝。</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4、本项目涉及的相关资料、信息属保密性质，未经采购人同意，中标单位不得向第三方泄露。对不属于中标单位且受知识产权保护的产品、资料、信息等不得用于其他目的。</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对招标文件自行所做出的判断、推论、解释和结论，并由此所造成的后果，均由供应商自负。</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、因中标人原因，给采购人及第三人造成的一切后果及损失，由中标人承担，后果严重的采购方有权解除合同。</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、中标人在合同履行期间应严格遵守国家相关法律法规和项目所在地的相关规定，所有产生的一切纠纷由中标人承担，采购人不承担任何责任。</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、中标人在合同履行期间应严格遵守采购人的廉政、保密等相关制度，如有违反，采购人有权无条件终止合同，情节严重的，移交纪委、司法部门处理。</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、中标单位对服务缺陷不予更正，采购方有权另请其他单位更正，所发生的费用由中标单位承担。</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、中标单位在合同期内如因服务不合格或其他原因提前退场的，则须无条件配合采购单位做好交接工作。</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ind w:firstLine="480"/>
        <w:jc w:val="both"/>
        <w:spacing w:line="360" w:lineRule="auto"/>
        <w:rPr>
          <w:rFonts w:hint="eastAsia" w:ascii="宋体" w:hAnsi="宋体" w:eastAsia="宋体" w:cs="宋体"/>
          <w:color w:val="auto"/>
          <w:sz w:val="21"/>
          <w:szCs w:val="21"/>
          <w:highlight w:val="none"/>
          <w:lang w:val="zh-CN"/>
        </w:rPr>
        <w:outlineLvl w:val="1"/>
      </w:pPr>
      <w:r>
        <w:rPr>
          <w:rFonts w:hint="eastAsia"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TW"/>
        </w:rPr>
        <w:t xml:space="preserve">凡涉及招标文件的补充说明和修改，均以江苏省政府采购网、苏州市政府采购网最后发布的内容为准。</w:t>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附件1：</w:t>
      </w:r>
      <w:r/>
    </w:p>
    <w:p>
      <w:pPr>
        <w:jc w:val="center"/>
        <w:spacing w:before="104" w:line="185" w:lineRule="auto"/>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spacing w:line="44"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19"/>
        <w:tblW w:w="934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3064"/>
      </w:tblGrid>
      <w:tr>
        <w:trPr>
          <w:trHeight w:val="562"/>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验收地点</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联系电话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4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4325"/>
        </w:trPr>
        <w:tc>
          <w:tcPr>
            <w:gridSpan w:val="4"/>
            <w:tcW w:w="9346"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 xml:space="preserve">单位公章</w:t>
            </w:r>
            <w:r/>
          </w:p>
          <w:p>
            <w:pPr>
              <w:ind w:right="2893" w:firstLine="4356"/>
              <w:jc w:val="right"/>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zh-CN"/>
        </w:rPr>
        <w:t xml:space="preserve">附件</w:t>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819"/>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bookmarkEnd w:id="9"/>
            <w:r/>
          </w:p>
        </w:tc>
      </w:tr>
    </w:tbl>
    <w:p>
      <w:pPr>
        <w:jc w:val="both"/>
        <w:rPr>
          <w:rFonts w:hint="eastAsia" w:ascii="宋体" w:hAnsi="宋体" w:eastAsia="宋体" w:cs="宋体"/>
          <w:b/>
          <w:bCs/>
          <w:color w:val="auto"/>
          <w:sz w:val="32"/>
          <w:szCs w:val="32"/>
          <w:highlight w:val="none"/>
        </w:rPr>
        <w:outlineLvl w:val="0"/>
      </w:pPr>
      <w:r/>
      <w:bookmarkStart w:id="11" w:name="_Toc159507038"/>
      <w:r/>
      <w:r/>
    </w:p>
    <w:p>
      <w:pPr>
        <w:jc w:val="both"/>
        <w:rPr>
          <w:rFonts w:hint="default" w:hAnsi="宋体" w:cs="宋体"/>
          <w:b w:val="0"/>
          <w:bCs w:val="0"/>
          <w:color w:val="auto"/>
          <w:sz w:val="28"/>
          <w:szCs w:val="28"/>
          <w:highlight w:val="none"/>
          <w:lang w:val="en-US" w:eastAsia="zh-CN"/>
        </w:rPr>
        <w:outlineLvl w:val="0"/>
      </w:pPr>
      <w:r>
        <w:rPr>
          <w:rFonts w:hint="eastAsia" w:hAnsi="宋体" w:cs="宋体"/>
          <w:b w:val="0"/>
          <w:bCs w:val="0"/>
          <w:color w:val="auto"/>
          <w:sz w:val="28"/>
          <w:szCs w:val="28"/>
          <w:highlight w:val="none"/>
          <w:lang w:val="en-US" w:eastAsia="zh-CN"/>
        </w:rPr>
        <w:t xml:space="preserve">附件3：</w:t>
      </w:r>
      <w:r/>
    </w:p>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tbl>
      <w:tblPr>
        <w:tblStyle w:val="854"/>
        <w:tblpPr w:horzAnchor="page" w:tblpX="1563" w:vertAnchor="page" w:tblpY="3235" w:leftFromText="181" w:topFromText="0" w:rightFromText="181" w:bottomFromText="0"/>
        <w:tblW w:w="8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845"/>
      </w:tblGrid>
      <w:tr>
        <w:trPr>
          <w:trHeight w:val="20"/>
        </w:trPr>
        <w:tc>
          <w:tcPr>
            <w:tcW w:w="8845" w:type="dxa"/>
            <w:vAlign w:val="center"/>
            <w:textDirection w:val="lrTb"/>
            <w:noWrap w:val="false"/>
          </w:tcPr>
          <w:p>
            <w:pPr>
              <w:ind w:firstLine="0"/>
              <w:jc w:val="left"/>
              <w:spacing w:line="560" w:lineRule="exact"/>
              <w:widowControl w:val="off"/>
              <w:tabs>
                <w:tab w:val="left" w:pos="5040" w:leader="none"/>
                <w:tab w:val="left" w:pos="9193" w:leader="none"/>
                <w:tab w:val="left" w:pos="9827" w:leader="none"/>
              </w:tabs>
              <w:rPr>
                <w:rFonts w:hint="default" w:ascii="Times New Roman" w:hAnsi="Times New Roman" w:eastAsia="黑体" w:cs="Times New Roman"/>
                <w:sz w:val="32"/>
                <w:szCs w:val="32"/>
                <w:lang w:val="en-US" w:eastAsia="zh-CN" w:bidi="ar-SA"/>
              </w:rPr>
            </w:pPr>
            <w:r>
              <w:rPr>
                <w:rFonts w:hint="default" w:ascii="Times New Roman" w:hAnsi="Times New Roman" w:eastAsia="黑体" w:cs="Times New Roman"/>
                <w:sz w:val="32"/>
                <w:szCs w:val="32"/>
                <w:lang w:val="en-US" w:eastAsia="zh-CN" w:bidi="ar-SA"/>
              </w:rPr>
              <w:t xml:space="preserve">　　</w:t>
            </w:r>
            <w:r/>
          </w:p>
        </w:tc>
      </w:tr>
      <w:tr>
        <w:trPr>
          <w:trHeight w:val="1963"/>
        </w:trPr>
        <w:tc>
          <w:tcPr>
            <w:tcW w:w="8845" w:type="dxa"/>
            <w:vAlign w:val="center"/>
            <w:textDirection w:val="lrTb"/>
            <w:noWrap w:val="false"/>
          </w:tcPr>
          <w:p>
            <w:pPr>
              <w:ind w:firstLine="0"/>
              <w:jc w:val="both"/>
              <w:spacing w:line="1600" w:lineRule="exact"/>
              <w:widowControl w:val="off"/>
              <w:tabs>
                <w:tab w:val="left" w:pos="5040" w:leader="none"/>
                <w:tab w:val="left" w:pos="9193" w:leader="none"/>
                <w:tab w:val="left" w:pos="9827" w:leader="none"/>
              </w:tabs>
              <w:rPr>
                <w:rFonts w:hint="default" w:ascii="Times New Roman" w:hAnsi="Times New Roman" w:eastAsia="黑体" w:cs="Times New Roman"/>
                <w:color w:val="ff0000"/>
                <w:sz w:val="32"/>
                <w:szCs w:val="32"/>
                <w:lang w:val="en-US" w:eastAsia="zh-CN" w:bidi="ar-SA"/>
              </w:rPr>
            </w:pPr>
            <w:r>
              <w:rPr>
                <w:rFonts w:hint="default" w:ascii="Times New Roman" w:hAnsi="Times New Roman" w:eastAsia="方正小标宋简体" w:cs="Times New Roman"/>
                <w:color w:val="ff0000"/>
                <w:sz w:val="144"/>
                <w:szCs w:val="24"/>
                <w:lang w:val="en-US" w:eastAsia="zh-CN" w:bidi="ar-SA"/>
              </w:rPr>
              <w:t xml:space="preserve">太仓市民政局文件</w:t>
            </w:r>
            <w:r/>
          </w:p>
        </w:tc>
      </w:tr>
      <w:tr>
        <w:trPr>
          <w:trHeight w:val="20"/>
        </w:trPr>
        <w:tc>
          <w:tcPr>
            <w:tcW w:w="8845"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default" w:ascii="Times New Roman" w:hAnsi="Times New Roman" w:eastAsia="方正小标宋简体" w:cs="Times New Roman"/>
                <w:sz w:val="44"/>
                <w:szCs w:val="24"/>
                <w:lang w:val="en-US" w:eastAsia="zh-CN" w:bidi="ar-SA"/>
              </w:rPr>
            </w:pPr>
            <w:r>
              <w:rPr>
                <w:rFonts w:hint="default" w:ascii="Times New Roman" w:hAnsi="Times New Roman" w:eastAsia="方正小标宋简体" w:cs="Times New Roman"/>
                <w:sz w:val="44"/>
                <w:szCs w:val="24"/>
                <w:lang w:val="en-US" w:eastAsia="zh-CN" w:bidi="ar-SA"/>
              </w:rPr>
            </w:r>
            <w:r/>
          </w:p>
        </w:tc>
      </w:tr>
      <w:tr>
        <w:trPr>
          <w:trHeight w:val="712"/>
        </w:trPr>
        <w:tc>
          <w:tcPr>
            <w:tcW w:w="8845" w:type="dxa"/>
            <w:textDirection w:val="lrTb"/>
            <w:noWrap w:val="false"/>
          </w:tcPr>
          <w:p>
            <w:pPr>
              <w:ind w:firstLine="0"/>
              <w:jc w:val="center"/>
              <w:spacing w:line="560" w:lineRule="exact"/>
              <w:tabs>
                <w:tab w:val="left" w:pos="8364" w:leader="none"/>
              </w:tabs>
              <w:rPr>
                <w:rFonts w:hint="default" w:ascii="Times New Roman" w:hAnsi="Times New Roman" w:eastAsia="方正大标宋简体" w:cs="Times New Roman"/>
                <w:sz w:val="32"/>
                <w:szCs w:val="32"/>
              </w:rPr>
            </w:pPr>
            <w:r>
              <w:rPr>
                <w:rFonts w:hint="default" w:ascii="Times New Roman" w:hAnsi="Times New Roman" w:eastAsia="方正小标宋简体" w:cs="Times New Roman"/>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align>center</wp:align>
                      </wp:positionH>
                      <wp:positionV relativeFrom="paragraph">
                        <wp:posOffset>453390</wp:posOffset>
                      </wp:positionV>
                      <wp:extent cx="5615940" cy="635"/>
                      <wp:effectExtent l="0" t="19050" r="3810" b="37465"/>
                      <wp:wrapNone/>
                      <wp:docPr id="5" name="直接箭头连接符 3"/>
                      <wp:cNvGraphicFramePr/>
                      <a:graphic xmlns:a="http://schemas.openxmlformats.org/drawingml/2006/main">
                        <a:graphicData uri="http://schemas.microsoft.com/office/word/2010/wordprocessingShape">
                          <wps:wsp>
                            <wps:cNvPr id="0" name=""/>
                            <wps:cNvSpPr/>
                            <wps:spPr bwMode="auto">
                              <a:xfrm>
                                <a:off x="0" y="0"/>
                                <a:ext cx="5615940" cy="635"/>
                              </a:xfrm>
                              <a:prstGeom prst="straightConnector1">
                                <a:avLst/>
                              </a:prstGeom>
                              <a:ln w="38100">
                                <a:solidFill>
                                  <a:srgbClr val="FF0000"/>
                                </a:solidFill>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so-position-horizontal:center;mso-position-vertical-relative:text;margin-top:35.7pt;mso-position-vertical:absolute;width:442.2pt;height:0.0pt;mso-wrap-distance-left:9.0pt;mso-wrap-distance-top:0.0pt;mso-wrap-distance-right:9.0pt;mso-wrap-distance-bottom:0.0pt;visibility:visible;" filled="f" strokecolor="#FF0000" strokeweight="3.00pt"/>
                  </w:pict>
                </mc:Fallback>
              </mc:AlternateContent>
            </w:r>
            <w:r>
              <w:rPr>
                <w:rFonts w:hint="default" w:ascii="Times New Roman" w:hAnsi="Times New Roman" w:eastAsia="仿宋_GB2312" w:cs="Times New Roman"/>
                <w:sz w:val="32"/>
                <w:szCs w:val="32"/>
              </w:rPr>
              <w:t xml:space="preserve">太</w:t>
            </w:r>
            <w:r>
              <w:rPr>
                <w:rFonts w:hint="default" w:ascii="Times New Roman" w:hAnsi="Times New Roman" w:eastAsia="仿宋_GB2312" w:cs="Times New Roman"/>
                <w:sz w:val="32"/>
                <w:szCs w:val="32"/>
                <w:lang w:eastAsia="zh-CN"/>
              </w:rPr>
              <w:t xml:space="preserve">政民</w:t>
            </w:r>
            <w:r>
              <w:rPr>
                <w:rFonts w:hint="default" w:ascii="Times New Roman" w:hAnsi="Times New Roman" w:eastAsia="仿宋_GB2312" w:cs="Times New Roman"/>
                <w:sz w:val="32"/>
                <w:szCs w:val="32"/>
              </w:rPr>
              <w:t xml:space="preserve">〔202</w:t>
            </w:r>
            <w:r>
              <w:rPr>
                <w:rFonts w:hint="default" w:ascii="Times New Roman" w:hAnsi="Times New Roman" w:eastAsia="仿宋_GB2312" w:cs="Times New Roman"/>
                <w:sz w:val="32"/>
                <w:szCs w:val="32"/>
                <w:lang w:val="en-US" w:eastAsia="zh-CN"/>
              </w:rPr>
              <w:t xml:space="preserve">5</w:t>
            </w:r>
            <w:r>
              <w:rPr>
                <w:rFonts w:hint="default" w:ascii="Times New Roman" w:hAnsi="Times New Roman" w:eastAsia="仿宋_GB2312" w:cs="Times New Roman"/>
                <w:sz w:val="32"/>
                <w:szCs w:val="32"/>
              </w:rPr>
              <w:t xml:space="preserve">〕</w:t>
            </w:r>
            <w:r>
              <w:rPr>
                <w:rFonts w:hint="eastAsia" w:ascii="Times New Roman" w:hAnsi="Times New Roman" w:eastAsia="仿宋_GB2312" w:cs="Times New Roman"/>
                <w:sz w:val="32"/>
                <w:szCs w:val="32"/>
                <w:lang w:val="en-US" w:eastAsia="zh-CN"/>
              </w:rPr>
              <w:t xml:space="preserve">69</w:t>
            </w:r>
            <w:r>
              <w:rPr>
                <w:rFonts w:hint="default" w:ascii="Times New Roman" w:hAnsi="Times New Roman" w:eastAsia="仿宋_GB2312" w:cs="Times New Roman"/>
                <w:sz w:val="32"/>
                <w:szCs w:val="32"/>
              </w:rPr>
              <w:t xml:space="preserve">号</w:t>
            </w:r>
            <w:r/>
          </w:p>
        </w:tc>
      </w:tr>
    </w:tbl>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p>
      <w:pPr>
        <w:ind w:left="0"/>
        <w:jc w:val="center"/>
        <w:keepLines w:val="0"/>
        <w:keepNext w:val="0"/>
        <w:pageBreakBefore w:val="0"/>
        <w:spacing w:line="560" w:lineRule="exact"/>
        <w:widowControl w:val="off"/>
        <w:rPr>
          <w:rFonts w:hint="default" w:ascii="宋体" w:hAnsi="宋体" w:eastAsia="宋体" w:cs="宋体"/>
          <w:b w:val="0"/>
          <w:bCs w:val="0"/>
          <w:spacing w:val="0"/>
          <w:sz w:val="21"/>
          <w:szCs w:val="21"/>
          <w:lang w:val="en-US" w:eastAsia="zh-CN"/>
        </w:rPr>
      </w:pPr>
      <w:r>
        <w:rPr>
          <w:rFonts w:hint="eastAsia" w:hAnsi="宋体" w:cs="宋体"/>
          <w:b w:val="0"/>
          <w:bCs w:val="0"/>
          <w:spacing w:val="0"/>
          <w:sz w:val="21"/>
          <w:szCs w:val="21"/>
          <w:lang w:val="en-US" w:eastAsia="zh-CN"/>
        </w:rPr>
        <w:t xml:space="preserve">:</w:t>
      </w:r>
      <w:r/>
    </w:p>
    <w:p>
      <w:pPr>
        <w:ind w:left="0"/>
        <w:jc w:val="center"/>
        <w:keepLines w:val="0"/>
        <w:keepNext w:val="0"/>
        <w:pageBreakBefore w:val="0"/>
        <w:spacing w:line="560" w:lineRule="exact"/>
        <w:widowControl w:val="off"/>
        <w:rPr>
          <w:rFonts w:hint="eastAsia" w:ascii="宋体" w:hAnsi="宋体" w:eastAsia="宋体" w:cs="宋体"/>
          <w:b w:val="0"/>
          <w:bCs w:val="0"/>
          <w:spacing w:val="0"/>
          <w:sz w:val="21"/>
          <w:szCs w:val="21"/>
          <w:lang w:val="en-US" w:eastAsia="zh-CN"/>
        </w:rPr>
      </w:pPr>
      <w:r>
        <w:rPr>
          <w:rFonts w:hint="eastAsia" w:ascii="宋体" w:hAnsi="宋体" w:eastAsia="宋体" w:cs="宋体"/>
          <w:b w:val="0"/>
          <w:bCs w:val="0"/>
          <w:spacing w:val="0"/>
          <w:sz w:val="21"/>
          <w:szCs w:val="21"/>
          <w:lang w:val="en-US" w:eastAsia="zh-CN"/>
        </w:rPr>
        <w:t xml:space="preserve">关于印发《关于深化“幸福同行”民政服务站建设的实施方案（试行）》的通知</w:t>
      </w:r>
      <w:r/>
    </w:p>
    <w:p>
      <w:pPr>
        <w:ind w:firstLine="420"/>
        <w:jc w:val="both"/>
        <w:spacing w:line="5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各镇（街道）社会事业办公室（便民服务和社会事业办公室），局各科室、下属单位，各社会组织</w:t>
      </w:r>
      <w:r>
        <w:rPr>
          <w:rFonts w:hint="eastAsia" w:ascii="宋体" w:hAnsi="宋体" w:eastAsia="宋体" w:cs="宋体"/>
          <w:sz w:val="21"/>
          <w:szCs w:val="21"/>
        </w:rPr>
        <w:t xml:space="preserve">：</w:t>
      </w:r>
      <w:r/>
    </w:p>
    <w:p>
      <w:pPr>
        <w:ind w:firstLine="640"/>
        <w:jc w:val="left"/>
        <w:spacing w:line="560" w:lineRule="exact"/>
        <w:widowControl w:val="off"/>
        <w:tabs>
          <w:tab w:val="left" w:pos="1588" w:leader="none"/>
        </w:tabs>
        <w:rPr>
          <w:rFonts w:hint="eastAsia" w:ascii="宋体" w:hAnsi="宋体" w:eastAsia="宋体" w:cs="宋体"/>
          <w:sz w:val="21"/>
          <w:szCs w:val="21"/>
          <w:lang w:val="en-US" w:eastAsia="zh-CN"/>
        </w:rPr>
      </w:pPr>
      <w:r>
        <w:rPr>
          <w:rFonts w:hint="eastAsia" w:ascii="宋体" w:hAnsi="宋体" w:eastAsia="宋体" w:cs="宋体"/>
          <w:b w:val="0"/>
          <w:bCs w:val="0"/>
          <w:color w:val="auto"/>
          <w:sz w:val="21"/>
          <w:szCs w:val="21"/>
          <w:lang w:val="en-US" w:eastAsia="zh-CN"/>
        </w:rPr>
        <w:t xml:space="preserve">为贯彻民政部、省民政厅文件要求，</w:t>
      </w:r>
      <w:r>
        <w:rPr>
          <w:rFonts w:hint="eastAsia" w:ascii="宋体" w:hAnsi="宋体" w:eastAsia="宋体" w:cs="宋体"/>
          <w:sz w:val="21"/>
          <w:szCs w:val="21"/>
          <w:highlight w:val="none"/>
          <w:lang w:val="en-US" w:eastAsia="zh-CN"/>
        </w:rPr>
        <w:t xml:space="preserve">推动政府向社会力量购买服务</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sz w:val="21"/>
          <w:szCs w:val="21"/>
          <w:highlight w:val="none"/>
          <w:lang w:val="en-US" w:eastAsia="zh-CN"/>
        </w:rPr>
        <w:t xml:space="preserve">提升基层民政服务能力水平，</w:t>
      </w:r>
      <w:r>
        <w:rPr>
          <w:rFonts w:hint="eastAsia" w:ascii="宋体" w:hAnsi="宋体" w:eastAsia="宋体" w:cs="宋体"/>
          <w:b w:val="0"/>
          <w:bCs w:val="0"/>
          <w:color w:val="auto"/>
          <w:sz w:val="21"/>
          <w:szCs w:val="21"/>
          <w:lang w:val="en-US" w:eastAsia="zh-CN"/>
        </w:rPr>
        <w:t xml:space="preserve">现制定下发《关于深化“幸福同行”民政服务站建设的实施方案（试行）》，请结合工作实际贯彻执行</w:t>
      </w:r>
      <w:r>
        <w:rPr>
          <w:rFonts w:hint="eastAsia" w:ascii="宋体" w:hAnsi="宋体" w:eastAsia="宋体" w:cs="宋体"/>
          <w:sz w:val="21"/>
          <w:szCs w:val="21"/>
          <w:lang w:val="en-US" w:eastAsia="zh-CN"/>
        </w:rPr>
        <w:t xml:space="preserve">。</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854"/>
        <w:tblpPr w:horzAnchor="margin" w:tblpXSpec="left" w:vertAnchor="text" w:tblpY="1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86"/>
        <w:gridCol w:w="3397"/>
        <w:gridCol w:w="762"/>
      </w:tblGrid>
      <w:tr>
        <w:trPr>
          <w:cantSplit/>
          <w:trHeight w:val="20"/>
        </w:trPr>
        <w:tc>
          <w:tcPr>
            <w:tcW w:w="4686"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3397"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太仓市民政局</w:t>
            </w:r>
            <w:r/>
          </w:p>
        </w:tc>
        <w:tc>
          <w:tcPr>
            <w:tcW w:w="762"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20"/>
        </w:trPr>
        <w:tc>
          <w:tcPr>
            <w:tcW w:w="4686"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3397"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2025年11月18日</w:t>
            </w:r>
            <w:r/>
          </w:p>
        </w:tc>
        <w:tc>
          <w:tcPr>
            <w:tcW w:w="762"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jc w:val="both"/>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（此件公开发布）</w:t>
      </w:r>
      <w:r/>
    </w:p>
    <w:p>
      <w:pPr>
        <w:jc w:val="both"/>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val="en-US" w:eastAsia="zh-CN"/>
        </w:rPr>
        <w:br w:type="page" w:clear="all"/>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关于深化“幸福同行”民政服务站</w:t>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建设的实施方案（试行）</w:t>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both"/>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为贯彻落实《民政部办公厅关于支持开展政府购买服务进一步增强基层民政服务能力的指导意见》《江苏省民政厅关于支持开展政府购买服务进一步增强基层民政服务能力的实施意见》等文件要求，</w:t>
      </w:r>
      <w:r>
        <w:rPr>
          <w:rFonts w:hint="eastAsia" w:ascii="宋体" w:hAnsi="宋体" w:eastAsia="宋体" w:cs="宋体"/>
          <w:sz w:val="21"/>
          <w:szCs w:val="21"/>
          <w:highlight w:val="none"/>
          <w:lang w:val="en-US" w:eastAsia="zh-CN"/>
        </w:rPr>
        <w:t xml:space="preserve">推动政府向社会力量购买服务，发挥社会工作专业服务优势，提升基层民政服务能力水平，提升人民群众获得感、幸福感，</w:t>
      </w:r>
      <w:r>
        <w:rPr>
          <w:rFonts w:hint="eastAsia" w:ascii="宋体" w:hAnsi="宋体" w:eastAsia="宋体" w:cs="宋体"/>
          <w:color w:val="auto"/>
          <w:sz w:val="21"/>
          <w:szCs w:val="21"/>
          <w:highlight w:val="none"/>
          <w:lang w:val="en-US" w:eastAsia="zh-CN"/>
        </w:rPr>
        <w:t xml:space="preserve">制定本指引（试行）。</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val="en-US" w:eastAsia="zh-CN"/>
        </w:rPr>
        <w:t xml:space="preserve">总体要求</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（一）指导思想。坚持以习近平新时代中国特色社会主义思想为指导，深入贯彻落实习近平总书记对民政工作的重要指示精神，以构建新时代民生服务幸福基地为目标，结合机构职能转隶实际，</w:t>
      </w:r>
      <w:r>
        <w:rPr>
          <w:rFonts w:hint="eastAsia" w:ascii="宋体" w:hAnsi="宋体" w:eastAsia="宋体" w:cs="宋体"/>
          <w:color w:val="auto"/>
          <w:sz w:val="21"/>
          <w:szCs w:val="21"/>
          <w:highlight w:val="none"/>
          <w:lang w:val="en-US" w:eastAsia="zh-CN"/>
        </w:rPr>
        <w:t xml:space="preserve">进一步推动镇级社会工作站向民政服务站（以下简称“民服站”）转型发展</w:t>
      </w:r>
      <w:r>
        <w:rPr>
          <w:rFonts w:hint="eastAsia" w:ascii="宋体" w:hAnsi="宋体" w:eastAsia="宋体" w:cs="宋体"/>
          <w:sz w:val="21"/>
          <w:szCs w:val="21"/>
          <w:highlight w:val="none"/>
          <w:lang w:val="en-US" w:eastAsia="zh-CN"/>
        </w:rPr>
        <w:t xml:space="preserve">，坚持民生服务专业性发展方向不变，创新提升慈善资源动态匹配度、特殊困难对象服务精准度和民政综合服务协同度，深化打造布局合理、管理规范、服务高效的“幸福同行”民服站，持续擦亮“民为本、福满仓”民政服务品牌，不断提升民生服务对象获得感、幸福感。</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（二）基本原则。</w:t>
      </w:r>
      <w:r>
        <w:rPr>
          <w:rFonts w:hint="eastAsia" w:ascii="宋体" w:hAnsi="宋体" w:eastAsia="宋体" w:cs="宋体"/>
          <w:b/>
          <w:bCs/>
          <w:sz w:val="21"/>
          <w:szCs w:val="21"/>
          <w:highlight w:val="none"/>
          <w:lang w:val="en-US" w:eastAsia="zh-CN" w:bidi="ar-SA"/>
        </w:rPr>
        <w:t xml:space="preserve">坚持保障基本民生</w:t>
      </w:r>
      <w:r>
        <w:rPr>
          <w:rFonts w:hint="eastAsia" w:ascii="宋体" w:hAnsi="宋体" w:eastAsia="宋体" w:cs="宋体"/>
          <w:sz w:val="21"/>
          <w:szCs w:val="21"/>
          <w:highlight w:val="none"/>
          <w:lang w:val="en-US" w:eastAsia="zh-CN" w:bidi="ar-SA"/>
        </w:rPr>
        <w:t xml:space="preserve">。坚持以人民为中心的发展思想，聚焦社会各类困弱群体，提供温情化服务，结合实际向有服务需求的其他群体扩展。</w:t>
      </w:r>
      <w:r>
        <w:rPr>
          <w:rFonts w:hint="eastAsia" w:ascii="宋体" w:hAnsi="宋体" w:eastAsia="宋体" w:cs="宋体"/>
          <w:b/>
          <w:bCs/>
          <w:sz w:val="21"/>
          <w:szCs w:val="21"/>
          <w:highlight w:val="none"/>
          <w:lang w:val="en-US" w:eastAsia="zh-CN" w:bidi="ar-SA"/>
        </w:rPr>
        <w:t xml:space="preserve">坚持专业暖心服务</w:t>
      </w:r>
      <w:r>
        <w:rPr>
          <w:rFonts w:hint="eastAsia" w:ascii="宋体" w:hAnsi="宋体" w:eastAsia="宋体" w:cs="宋体"/>
          <w:sz w:val="21"/>
          <w:szCs w:val="21"/>
          <w:highlight w:val="none"/>
          <w:lang w:val="en-US" w:eastAsia="zh-CN" w:bidi="ar-SA"/>
        </w:rPr>
        <w:t xml:space="preserve">。围绕群众身边的“急难愁盼”问题，协同提供更加精细化、个性化、专业化的社会工作服务，提升专业化服务整体水平。</w:t>
      </w:r>
      <w:r>
        <w:rPr>
          <w:rFonts w:hint="eastAsia" w:ascii="宋体" w:hAnsi="宋体" w:eastAsia="宋体" w:cs="宋体"/>
          <w:b/>
          <w:bCs/>
          <w:sz w:val="21"/>
          <w:szCs w:val="21"/>
          <w:highlight w:val="none"/>
          <w:lang w:val="en-US" w:eastAsia="zh-CN" w:bidi="ar-SA"/>
        </w:rPr>
        <w:t xml:space="preserve">坚持资源融合推进</w:t>
      </w:r>
      <w:r>
        <w:rPr>
          <w:rFonts w:hint="eastAsia" w:ascii="宋体" w:hAnsi="宋体" w:eastAsia="宋体" w:cs="宋体"/>
          <w:sz w:val="21"/>
          <w:szCs w:val="21"/>
          <w:highlight w:val="none"/>
          <w:lang w:val="en-US" w:eastAsia="zh-CN" w:bidi="ar-SA"/>
        </w:rPr>
        <w:t xml:space="preserve">。将站点打造成提供民生服务的综合性平台，坚持扩大多元参与主体，持续整合信息、资源、平台、人才等，推进民生服务创新机制建设。</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（三）工作目标。切实发挥基层民政服务能效，高效整合民政领域资源和平台，</w:t>
      </w:r>
      <w:r>
        <w:rPr>
          <w:rFonts w:hint="eastAsia" w:ascii="宋体" w:hAnsi="宋体" w:eastAsia="宋体" w:cs="宋体"/>
          <w:sz w:val="21"/>
          <w:szCs w:val="21"/>
          <w:highlight w:val="none"/>
        </w:rPr>
        <w:t xml:space="preserve">不断扩大</w:t>
      </w:r>
      <w:r>
        <w:rPr>
          <w:rFonts w:hint="eastAsia" w:ascii="宋体" w:hAnsi="宋体" w:eastAsia="宋体" w:cs="宋体"/>
          <w:sz w:val="21"/>
          <w:szCs w:val="21"/>
          <w:highlight w:val="none"/>
          <w:lang w:val="en-US" w:eastAsia="zh-CN"/>
        </w:rPr>
        <w:t xml:space="preserve">民政</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可及范围和受益人群，</w:t>
      </w:r>
      <w:r>
        <w:rPr>
          <w:rFonts w:hint="eastAsia" w:ascii="宋体" w:hAnsi="宋体" w:eastAsia="宋体" w:cs="宋体"/>
          <w:sz w:val="21"/>
          <w:szCs w:val="21"/>
          <w:highlight w:val="none"/>
          <w:lang w:val="en-US" w:eastAsia="zh-CN"/>
        </w:rPr>
        <w:t xml:space="preserve">不断满足人民日益增长的美好生活需要</w:t>
      </w:r>
      <w:r>
        <w:rPr>
          <w:rFonts w:hint="eastAsia" w:ascii="宋体" w:hAnsi="宋体" w:eastAsia="宋体" w:cs="宋体"/>
          <w:sz w:val="21"/>
          <w:szCs w:val="21"/>
          <w:highlight w:val="none"/>
        </w:rPr>
        <w:t xml:space="preserve">。到202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实现“幸福同行”民服站</w:t>
      </w:r>
      <w:r>
        <w:rPr>
          <w:rFonts w:hint="eastAsia" w:ascii="宋体" w:hAnsi="宋体" w:eastAsia="宋体" w:cs="宋体"/>
          <w:color w:val="auto"/>
          <w:sz w:val="21"/>
          <w:szCs w:val="21"/>
          <w:highlight w:val="none"/>
          <w:lang w:val="en-US" w:eastAsia="zh-CN"/>
        </w:rPr>
        <w:t xml:space="preserve">建设基本完成，有序推进转型升级发展；</w:t>
      </w:r>
      <w:r>
        <w:rPr>
          <w:rFonts w:hint="eastAsia" w:ascii="宋体" w:hAnsi="宋体" w:eastAsia="宋体" w:cs="宋体"/>
          <w:color w:val="auto"/>
          <w:sz w:val="21"/>
          <w:szCs w:val="21"/>
          <w:highlight w:val="none"/>
        </w:rPr>
        <w:t xml:space="preserve">到20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实现“幸福同行”民服站</w:t>
      </w:r>
      <w:r>
        <w:rPr>
          <w:rFonts w:hint="eastAsia" w:ascii="宋体" w:hAnsi="宋体" w:eastAsia="宋体" w:cs="宋体"/>
          <w:sz w:val="21"/>
          <w:szCs w:val="21"/>
          <w:highlight w:val="none"/>
          <w:lang w:val="en-US" w:eastAsia="zh-CN"/>
        </w:rPr>
        <w:t xml:space="preserve">规范化建设，服务体系运行高效，群众满意度显著提升。</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en-US" w:eastAsia="zh-CN"/>
        </w:rPr>
        <w:t xml:space="preserve">建设要求</w:t>
      </w:r>
      <w:r/>
    </w:p>
    <w:p>
      <w:pPr>
        <w:numPr>
          <w:ilvl w:val="0"/>
          <w:numId w:val="0"/>
        </w:numPr>
        <w:jc w:val="both"/>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（一）明确功能定位。“幸福同行”民服站是在乡镇（街道）层面建立的直接面向社会服务对象（以民政服务对象为主）的综合性服务平台，接受</w:t>
      </w:r>
      <w:r>
        <w:rPr>
          <w:rFonts w:hint="eastAsia" w:ascii="宋体" w:hAnsi="宋体" w:eastAsia="宋体" w:cs="宋体"/>
          <w:sz w:val="21"/>
          <w:szCs w:val="21"/>
          <w:highlight w:val="none"/>
          <w:shd w:val="clear" w:color="auto" w:fill="auto"/>
          <w:lang w:val="en-US" w:eastAsia="zh-CN" w:bidi="ar-SA"/>
        </w:rPr>
        <w:t xml:space="preserve">市</w:t>
      </w:r>
      <w:r>
        <w:rPr>
          <w:rFonts w:hint="eastAsia" w:ascii="宋体" w:hAnsi="宋体" w:eastAsia="宋体" w:cs="宋体"/>
          <w:sz w:val="21"/>
          <w:szCs w:val="21"/>
          <w:highlight w:val="none"/>
          <w:lang w:val="en-US" w:eastAsia="zh-CN" w:bidi="ar-SA"/>
        </w:rPr>
        <w:t xml:space="preserve">民政局指导。民服站聚焦民生幸福和社会发展，坚持资源利用最大化、服务协同高效化原则，建立健全民生保障部门、群团组织、慈善志愿等多元主体协同治理机制，围绕民政服务领域重点关</w:t>
      </w:r>
      <w:r>
        <w:rPr>
          <w:rFonts w:hint="eastAsia" w:ascii="宋体" w:hAnsi="宋体" w:eastAsia="宋体" w:cs="宋体"/>
          <w:color w:val="auto"/>
          <w:sz w:val="21"/>
          <w:szCs w:val="21"/>
          <w:highlight w:val="none"/>
          <w:lang w:val="en-US" w:eastAsia="zh-CN" w:bidi="ar-SA"/>
        </w:rPr>
        <w:t xml:space="preserve">护对</w:t>
      </w:r>
      <w:r>
        <w:rPr>
          <w:rFonts w:hint="eastAsia" w:ascii="宋体" w:hAnsi="宋体" w:eastAsia="宋体" w:cs="宋体"/>
          <w:sz w:val="21"/>
          <w:szCs w:val="21"/>
          <w:highlight w:val="none"/>
          <w:lang w:val="en-US" w:eastAsia="zh-CN" w:bidi="ar-SA"/>
        </w:rPr>
        <w:t xml:space="preserve">象提供服务，联合推进新时代民生服务创新发展。</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（二）规范站点建设。</w:t>
      </w:r>
      <w:r>
        <w:rPr>
          <w:rFonts w:hint="eastAsia" w:ascii="宋体" w:hAnsi="宋体" w:eastAsia="宋体" w:cs="宋体"/>
          <w:sz w:val="21"/>
          <w:szCs w:val="21"/>
          <w:highlight w:val="none"/>
          <w:lang w:val="en-US" w:eastAsia="zh-CN"/>
        </w:rPr>
        <w:t xml:space="preserve">“幸福同行”民服站站点，挂牌“XX乡镇（街道）民政服务站”。设置驻站社工办公、培训、服务、咨询等功能空间，配备办公和服务必备的设备设施。“</w:t>
      </w:r>
      <w:r>
        <w:rPr>
          <w:rFonts w:hint="eastAsia" w:ascii="宋体" w:hAnsi="宋体" w:eastAsia="宋体" w:cs="宋体"/>
          <w:sz w:val="21"/>
          <w:szCs w:val="21"/>
          <w:highlight w:val="none"/>
          <w:shd w:val="clear" w:color="auto" w:fill="auto"/>
          <w:lang w:val="en-US" w:eastAsia="zh-CN"/>
        </w:rPr>
        <w:t xml:space="preserve">幸福同行</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shd w:val="clear" w:color="auto" w:fill="auto"/>
          <w:lang w:val="en-US" w:eastAsia="zh-CN"/>
        </w:rPr>
        <w:t xml:space="preserve">民服站与镇级社会组织服务中心协同发展，</w:t>
      </w:r>
      <w:r>
        <w:rPr>
          <w:rFonts w:hint="eastAsia" w:ascii="宋体" w:hAnsi="宋体" w:eastAsia="宋体" w:cs="宋体"/>
          <w:sz w:val="21"/>
          <w:szCs w:val="21"/>
          <w:highlight w:val="none"/>
          <w:lang w:val="en-US" w:eastAsia="zh-CN"/>
        </w:rPr>
        <w:t xml:space="preserve">支持功能场所的整合使用，建设面积不少于300平方米</w:t>
      </w:r>
      <w:r>
        <w:rPr>
          <w:rFonts w:hint="eastAsia" w:ascii="宋体" w:hAnsi="宋体" w:eastAsia="宋体" w:cs="宋体"/>
          <w:sz w:val="21"/>
          <w:szCs w:val="21"/>
          <w:highlight w:val="none"/>
          <w:shd w:val="clear" w:color="auto" w:fill="auto"/>
          <w:lang w:val="en-US" w:eastAsia="zh-CN"/>
        </w:rPr>
        <w:t xml:space="preserve">。</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lang w:val="en-US" w:eastAsia="zh-CN" w:bidi="ar-SA"/>
        </w:rPr>
        <w:t xml:space="preserve">（三）健全管理机制。</w:t>
      </w:r>
      <w:r>
        <w:rPr>
          <w:rFonts w:hint="eastAsia" w:ascii="宋体" w:hAnsi="宋体" w:eastAsia="宋体" w:cs="宋体"/>
          <w:sz w:val="21"/>
          <w:szCs w:val="21"/>
          <w:highlight w:val="none"/>
          <w:shd w:val="clear" w:color="auto" w:fill="auto"/>
          <w:lang w:val="en-US" w:eastAsia="zh-CN"/>
        </w:rPr>
        <w:t xml:space="preserve">“幸福同行”民服站实行“一正两副”管理机制。站长由乡镇（街道）分管民政</w:t>
      </w:r>
      <w:r>
        <w:rPr>
          <w:rFonts w:hint="eastAsia" w:ascii="宋体" w:hAnsi="宋体" w:eastAsia="宋体" w:cs="宋体"/>
          <w:sz w:val="21"/>
          <w:szCs w:val="21"/>
          <w:highlight w:val="none"/>
          <w:lang w:val="en-US" w:eastAsia="zh-CN"/>
        </w:rPr>
        <w:t xml:space="preserve">工作的负责同志兼任，负责统筹协调站点建设和管理工作。分设两名副站长，常务副</w:t>
      </w:r>
      <w:r>
        <w:rPr>
          <w:rFonts w:hint="eastAsia" w:ascii="宋体" w:hAnsi="宋体" w:eastAsia="宋体" w:cs="宋体"/>
          <w:sz w:val="21"/>
          <w:szCs w:val="21"/>
          <w:highlight w:val="none"/>
        </w:rPr>
        <w:t xml:space="preserve">站长由乡镇（街道）民政办负责人兼任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负责对民服站的业务指导、综合协调、监督管理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另一名副站长由承接机构的负责人兼任，</w:t>
      </w:r>
      <w:r>
        <w:rPr>
          <w:rFonts w:hint="eastAsia" w:ascii="宋体" w:hAnsi="宋体" w:eastAsia="宋体" w:cs="宋体"/>
          <w:sz w:val="21"/>
          <w:szCs w:val="21"/>
          <w:highlight w:val="none"/>
          <w:shd w:val="clear" w:color="auto" w:fill="auto"/>
          <w:lang w:val="en-US" w:eastAsia="zh-CN"/>
        </w:rPr>
        <w:t xml:space="preserve">负责业务日常服务、活动统筹、团队管理。</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lang w:val="en-US" w:eastAsia="zh-CN" w:bidi="ar-SA"/>
        </w:rPr>
        <w:t xml:space="preserve">（四）配备服务团队。</w:t>
      </w:r>
      <w:r>
        <w:rPr>
          <w:rFonts w:hint="eastAsia" w:ascii="宋体" w:hAnsi="宋体" w:eastAsia="宋体" w:cs="宋体"/>
          <w:sz w:val="21"/>
          <w:szCs w:val="21"/>
          <w:highlight w:val="none"/>
          <w:shd w:val="clear" w:color="auto" w:fill="auto"/>
          <w:lang w:val="en-US" w:eastAsia="zh-CN"/>
        </w:rPr>
        <w:t xml:space="preserve">各镇（街道）</w:t>
      </w:r>
      <w:r>
        <w:rPr>
          <w:rFonts w:hint="eastAsia" w:ascii="宋体" w:hAnsi="宋体" w:eastAsia="宋体" w:cs="宋体"/>
          <w:sz w:val="21"/>
          <w:szCs w:val="21"/>
          <w:highlight w:val="none"/>
          <w:shd w:val="clear" w:color="auto" w:fill="auto"/>
        </w:rPr>
        <w:t xml:space="preserve">采用</w:t>
      </w:r>
      <w:r>
        <w:rPr>
          <w:rFonts w:hint="eastAsia" w:ascii="宋体" w:hAnsi="宋体" w:eastAsia="宋体" w:cs="宋体"/>
          <w:sz w:val="21"/>
          <w:szCs w:val="21"/>
          <w:highlight w:val="none"/>
          <w:shd w:val="clear" w:color="auto" w:fill="auto"/>
          <w:lang w:val="en-US" w:eastAsia="zh-CN"/>
        </w:rPr>
        <w:t xml:space="preserve">向社会组织</w:t>
      </w:r>
      <w:r>
        <w:rPr>
          <w:rFonts w:hint="eastAsia" w:ascii="宋体" w:hAnsi="宋体" w:eastAsia="宋体" w:cs="宋体"/>
          <w:sz w:val="21"/>
          <w:szCs w:val="21"/>
          <w:highlight w:val="none"/>
          <w:shd w:val="clear" w:color="auto" w:fill="auto"/>
        </w:rPr>
        <w:t xml:space="preserve">购买</w:t>
      </w:r>
      <w:r>
        <w:rPr>
          <w:rFonts w:hint="eastAsia" w:ascii="宋体" w:hAnsi="宋体" w:eastAsia="宋体" w:cs="宋体"/>
          <w:sz w:val="21"/>
          <w:szCs w:val="21"/>
          <w:highlight w:val="none"/>
          <w:shd w:val="clear" w:color="auto" w:fill="auto"/>
          <w:lang w:val="en-US" w:eastAsia="zh-CN"/>
        </w:rPr>
        <w:t xml:space="preserve">服务</w:t>
      </w:r>
      <w:r>
        <w:rPr>
          <w:rFonts w:hint="eastAsia" w:ascii="宋体" w:hAnsi="宋体" w:eastAsia="宋体" w:cs="宋体"/>
          <w:sz w:val="21"/>
          <w:szCs w:val="21"/>
          <w:highlight w:val="none"/>
          <w:shd w:val="clear" w:color="auto" w:fill="auto"/>
        </w:rPr>
        <w:t xml:space="preserve">方式配备</w:t>
      </w:r>
      <w:r>
        <w:rPr>
          <w:rFonts w:hint="eastAsia" w:ascii="宋体" w:hAnsi="宋体" w:eastAsia="宋体" w:cs="宋体"/>
          <w:sz w:val="21"/>
          <w:szCs w:val="21"/>
          <w:highlight w:val="none"/>
          <w:shd w:val="clear" w:color="auto" w:fill="auto"/>
          <w:lang w:val="en-US" w:eastAsia="zh-CN"/>
        </w:rPr>
        <w:t xml:space="preserve">服务团队，驻站社工</w:t>
      </w:r>
      <w:r>
        <w:rPr>
          <w:rFonts w:hint="eastAsia" w:ascii="宋体" w:hAnsi="宋体" w:eastAsia="宋体" w:cs="宋体"/>
          <w:sz w:val="21"/>
          <w:szCs w:val="21"/>
          <w:highlight w:val="none"/>
          <w:shd w:val="clear" w:color="auto" w:fill="auto"/>
        </w:rPr>
        <w:t xml:space="preserve">人数</w:t>
      </w:r>
      <w:r>
        <w:rPr>
          <w:rFonts w:hint="eastAsia" w:ascii="宋体" w:hAnsi="宋体" w:eastAsia="宋体" w:cs="宋体"/>
          <w:sz w:val="21"/>
          <w:szCs w:val="21"/>
          <w:highlight w:val="none"/>
          <w:shd w:val="clear" w:color="auto" w:fill="auto"/>
          <w:lang w:val="en-US" w:eastAsia="zh-CN"/>
        </w:rPr>
        <w:t xml:space="preserve">原则上</w:t>
      </w:r>
      <w:r>
        <w:rPr>
          <w:rFonts w:hint="eastAsia" w:ascii="宋体" w:hAnsi="宋体" w:eastAsia="宋体" w:cs="宋体"/>
          <w:sz w:val="21"/>
          <w:szCs w:val="21"/>
          <w:highlight w:val="none"/>
          <w:shd w:val="clear" w:color="auto" w:fill="auto"/>
        </w:rPr>
        <w:t xml:space="preserve">不少于</w:t>
      </w:r>
      <w:r>
        <w:rPr>
          <w:rFonts w:hint="eastAsia" w:ascii="宋体" w:hAnsi="宋体" w:eastAsia="宋体" w:cs="宋体"/>
          <w:sz w:val="21"/>
          <w:szCs w:val="21"/>
          <w:highlight w:val="none"/>
          <w:shd w:val="clear" w:color="auto" w:fill="auto"/>
          <w:lang w:val="en-US" w:eastAsia="zh-CN"/>
        </w:rPr>
        <w:t xml:space="preserve">N/2</w:t>
      </w:r>
      <w:r>
        <w:rPr>
          <w:rFonts w:hint="eastAsia" w:ascii="宋体" w:hAnsi="宋体" w:eastAsia="宋体" w:cs="宋体"/>
          <w:color w:val="auto"/>
          <w:sz w:val="21"/>
          <w:szCs w:val="21"/>
          <w:highlight w:val="none"/>
          <w:shd w:val="clear" w:color="auto" w:fill="auto"/>
          <w:lang w:val="en-US" w:eastAsia="zh-CN"/>
        </w:rPr>
        <w:t xml:space="preserve">名（</w:t>
      </w:r>
      <w:r>
        <w:rPr>
          <w:rFonts w:hint="eastAsia" w:ascii="宋体" w:hAnsi="宋体" w:eastAsia="宋体" w:cs="宋体"/>
          <w:sz w:val="21"/>
          <w:szCs w:val="21"/>
          <w:highlight w:val="none"/>
          <w:shd w:val="clear" w:color="auto" w:fill="auto"/>
          <w:lang w:val="en-US" w:eastAsia="zh-CN"/>
        </w:rPr>
        <w:t xml:space="preserve">N为</w:t>
      </w:r>
      <w:r>
        <w:rPr>
          <w:rFonts w:hint="eastAsia" w:ascii="宋体" w:hAnsi="宋体" w:eastAsia="宋体" w:cs="宋体"/>
          <w:sz w:val="21"/>
          <w:szCs w:val="21"/>
          <w:highlight w:val="none"/>
          <w:shd w:val="clear" w:color="auto" w:fill="auto"/>
        </w:rPr>
        <w:t xml:space="preserve">乡镇（街道）所辖村</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社区）</w:t>
      </w:r>
      <w:r>
        <w:rPr>
          <w:rFonts w:hint="eastAsia" w:ascii="宋体" w:hAnsi="宋体" w:eastAsia="宋体" w:cs="宋体"/>
          <w:sz w:val="21"/>
          <w:szCs w:val="21"/>
          <w:highlight w:val="none"/>
          <w:shd w:val="clear" w:color="auto" w:fill="auto"/>
          <w:lang w:val="en-US" w:eastAsia="zh-CN"/>
        </w:rPr>
        <w:t xml:space="preserve">总</w:t>
      </w:r>
      <w:r>
        <w:rPr>
          <w:rFonts w:hint="eastAsia" w:ascii="宋体" w:hAnsi="宋体" w:eastAsia="宋体" w:cs="宋体"/>
          <w:sz w:val="21"/>
          <w:szCs w:val="21"/>
          <w:highlight w:val="none"/>
          <w:shd w:val="clear" w:color="auto" w:fill="auto"/>
        </w:rPr>
        <w:t xml:space="preserve">数）</w:t>
      </w:r>
      <w:r>
        <w:rPr>
          <w:rFonts w:hint="eastAsia" w:ascii="宋体" w:hAnsi="宋体" w:eastAsia="宋体" w:cs="宋体"/>
          <w:sz w:val="21"/>
          <w:szCs w:val="21"/>
          <w:highlight w:val="none"/>
          <w:shd w:val="clear" w:color="auto" w:fill="auto"/>
          <w:lang w:val="en-US" w:eastAsia="zh-CN"/>
        </w:rPr>
        <w:t xml:space="preserve">，并根据服务需求的扩大，不断充实服务力量。驻站社工原则上应具备本科及</w:t>
      </w:r>
      <w:r>
        <w:rPr>
          <w:rFonts w:hint="eastAsia" w:ascii="宋体" w:hAnsi="宋体" w:eastAsia="宋体" w:cs="宋体"/>
          <w:sz w:val="21"/>
          <w:szCs w:val="21"/>
          <w:highlight w:val="none"/>
        </w:rPr>
        <w:t xml:space="preserve">以上学历</w:t>
      </w:r>
      <w:r>
        <w:rPr>
          <w:rFonts w:hint="eastAsia" w:ascii="宋体" w:hAnsi="宋体" w:eastAsia="宋体" w:cs="宋体"/>
          <w:sz w:val="21"/>
          <w:szCs w:val="21"/>
          <w:highlight w:val="none"/>
          <w:lang w:val="en-US" w:eastAsia="zh-CN"/>
        </w:rPr>
        <w:t xml:space="preserve">水平</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优先考虑具有社会工作专业背景、取得社工职业资格证书或民政培训结业证书人员</w:t>
      </w:r>
      <w:r>
        <w:rPr>
          <w:rFonts w:hint="eastAsia" w:ascii="宋体" w:hAnsi="宋体" w:eastAsia="宋体" w:cs="宋体"/>
          <w:sz w:val="21"/>
          <w:szCs w:val="21"/>
          <w:highlight w:val="none"/>
          <w:lang w:eastAsia="zh-CN"/>
        </w:rPr>
        <w:t xml:space="preserve">。</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（五）优化民生服务。</w:t>
      </w:r>
      <w:r>
        <w:rPr>
          <w:rFonts w:hint="eastAsia" w:ascii="宋体" w:hAnsi="宋体" w:eastAsia="宋体" w:cs="宋体"/>
          <w:sz w:val="21"/>
          <w:szCs w:val="21"/>
          <w:highlight w:val="none"/>
          <w:shd w:val="clear" w:color="auto" w:fill="auto"/>
          <w:lang w:val="en-US" w:eastAsia="zh-CN"/>
        </w:rPr>
        <w:t xml:space="preserve">乡镇（街道）“幸福同行”民服站与镇级社会组织服务中心实现职能融合、优势互补，协同推进社会组织党建引领、孵化培育、队伍建设、项目开发和资源链</w:t>
      </w:r>
      <w:r>
        <w:rPr>
          <w:rFonts w:hint="eastAsia" w:ascii="宋体" w:hAnsi="宋体" w:eastAsia="宋体" w:cs="宋体"/>
          <w:sz w:val="21"/>
          <w:szCs w:val="21"/>
          <w:highlight w:val="none"/>
          <w:lang w:val="en-US" w:eastAsia="zh-CN"/>
        </w:rPr>
        <w:t xml:space="preserve">接等职能。站点发挥社会工作专业服务优势，重点聚焦低保、低保边缘、特困等低收入群体；空巢老年人、高龄或失能老年人等特殊老年群体；孤儿、事实无人抚养儿童、重残重病儿童等困境儿童；困难残疾人、流浪乞讨人员等其他特殊群体，提供各类民生服务，具体服务内容见《“</w:t>
      </w:r>
      <w:r>
        <w:rPr>
          <w:rFonts w:hint="eastAsia" w:ascii="宋体" w:hAnsi="宋体" w:eastAsia="宋体" w:cs="宋体"/>
          <w:sz w:val="21"/>
          <w:szCs w:val="21"/>
          <w:highlight w:val="none"/>
          <w:lang w:val="en-US" w:eastAsia="zh-CN" w:bidi="ar-SA"/>
        </w:rPr>
        <w:t xml:space="preserve">幸福同行</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lang w:val="en-US" w:eastAsia="zh-CN" w:bidi="ar-SA"/>
        </w:rPr>
        <w:t xml:space="preserve">服务清单</w:t>
      </w:r>
      <w:r>
        <w:rPr>
          <w:rFonts w:hint="eastAsia" w:ascii="宋体" w:hAnsi="宋体" w:eastAsia="宋体" w:cs="宋体"/>
          <w:sz w:val="21"/>
          <w:szCs w:val="21"/>
          <w:highlight w:val="none"/>
          <w:lang w:val="en-US" w:eastAsia="zh-CN"/>
        </w:rPr>
        <w:t xml:space="preserve">》（附件）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民政部门行政管理事项不得向“</w:t>
      </w:r>
      <w:r>
        <w:rPr>
          <w:rFonts w:hint="eastAsia" w:ascii="宋体" w:hAnsi="宋体" w:eastAsia="宋体" w:cs="宋体"/>
          <w:sz w:val="21"/>
          <w:szCs w:val="21"/>
          <w:highlight w:val="none"/>
          <w:lang w:val="en-US" w:eastAsia="zh-CN" w:bidi="ar-SA"/>
        </w:rPr>
        <w:t xml:space="preserve">幸福同行</w:t>
      </w:r>
      <w:r>
        <w:rPr>
          <w:rFonts w:hint="eastAsia" w:ascii="宋体" w:hAnsi="宋体" w:eastAsia="宋体" w:cs="宋体"/>
          <w:sz w:val="21"/>
          <w:szCs w:val="21"/>
          <w:highlight w:val="none"/>
          <w:lang w:val="en-US" w:eastAsia="zh-CN"/>
        </w:rPr>
        <w:t xml:space="preserve">”民服站转移或变相转移。</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三、保障措施</w:t>
      </w:r>
      <w:r/>
    </w:p>
    <w:p>
      <w:pPr>
        <w:numPr>
          <w:ilvl w:val="0"/>
          <w:numId w:val="0"/>
        </w:numPr>
        <w:ind w:right="0"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bidi="ar-SA"/>
        </w:rPr>
        <w:t xml:space="preserve">（一）加强组织领导。</w:t>
      </w:r>
      <w:r>
        <w:rPr>
          <w:rFonts w:hint="eastAsia" w:ascii="宋体" w:hAnsi="宋体" w:eastAsia="宋体" w:cs="宋体"/>
          <w:sz w:val="21"/>
          <w:szCs w:val="21"/>
          <w:highlight w:val="none"/>
        </w:rPr>
        <w:t xml:space="preserve">市民政局</w:t>
      </w:r>
      <w:r>
        <w:rPr>
          <w:rFonts w:hint="eastAsia" w:ascii="宋体" w:hAnsi="宋体" w:eastAsia="宋体" w:cs="宋体"/>
          <w:sz w:val="21"/>
          <w:szCs w:val="21"/>
          <w:highlight w:val="none"/>
          <w:lang w:val="en-US" w:eastAsia="zh-CN"/>
        </w:rPr>
        <w:t xml:space="preserve">负责统筹指导“幸福同行”民服站建设，委托第三方开展</w:t>
      </w:r>
      <w:r>
        <w:rPr>
          <w:rFonts w:hint="eastAsia" w:ascii="宋体" w:hAnsi="宋体" w:eastAsia="宋体" w:cs="宋体"/>
          <w:sz w:val="21"/>
          <w:szCs w:val="21"/>
          <w:highlight w:val="none"/>
        </w:rPr>
        <w:t xml:space="preserve">绩效评估</w:t>
      </w:r>
      <w:r>
        <w:rPr>
          <w:rFonts w:hint="eastAsia" w:ascii="宋体" w:hAnsi="宋体" w:eastAsia="宋体" w:cs="宋体"/>
          <w:sz w:val="21"/>
          <w:szCs w:val="21"/>
          <w:highlight w:val="none"/>
          <w:lang w:val="en-US" w:eastAsia="zh-CN"/>
        </w:rPr>
        <w:t xml:space="preserve">与服务督导，并</w:t>
      </w:r>
      <w:r>
        <w:rPr>
          <w:rFonts w:hint="eastAsia" w:ascii="宋体" w:hAnsi="宋体" w:eastAsia="宋体" w:cs="宋体"/>
          <w:sz w:val="21"/>
          <w:szCs w:val="21"/>
          <w:highlight w:val="none"/>
        </w:rPr>
        <w:t xml:space="preserve">定时向购买方通报监测报告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根据民政服务规范性要求，做好对驻站社工的能力培训及工作指导，在重点服务事项的方案设计、具体执行上进行辅导和支持，确保服务走深走实。各镇（街道）民政部门</w:t>
      </w:r>
      <w:r>
        <w:rPr>
          <w:rFonts w:hint="eastAsia" w:ascii="宋体" w:hAnsi="宋体" w:eastAsia="宋体" w:cs="宋体"/>
          <w:sz w:val="21"/>
          <w:szCs w:val="21"/>
          <w:highlight w:val="none"/>
          <w:shd w:val="clear" w:color="auto" w:fill="auto"/>
          <w:lang w:val="en-US" w:eastAsia="zh-CN"/>
        </w:rPr>
        <w:t xml:space="preserve">负责具体业务指导，强化服务团队工作统筹和服务效能，指导制定年度服务计划，配套特色项目和大型活动资金，指导</w:t>
      </w:r>
      <w:r>
        <w:rPr>
          <w:rFonts w:hint="eastAsia" w:ascii="宋体" w:hAnsi="宋体" w:eastAsia="宋体" w:cs="宋体"/>
          <w:sz w:val="21"/>
          <w:szCs w:val="21"/>
          <w:highlight w:val="none"/>
          <w:shd w:val="clear" w:color="auto" w:fill="auto"/>
        </w:rPr>
        <w:t xml:space="preserve">建立健全基本</w:t>
      </w:r>
      <w:r>
        <w:rPr>
          <w:rFonts w:hint="eastAsia" w:ascii="宋体" w:hAnsi="宋体" w:eastAsia="宋体" w:cs="宋体"/>
          <w:sz w:val="21"/>
          <w:szCs w:val="21"/>
          <w:highlight w:val="none"/>
          <w:shd w:val="clear" w:color="auto" w:fill="auto"/>
          <w:lang w:val="en-US" w:eastAsia="zh-CN"/>
        </w:rPr>
        <w:t xml:space="preserve">服务流程、保密机制、人员管理机制等</w:t>
      </w:r>
      <w:r>
        <w:rPr>
          <w:rFonts w:hint="eastAsia" w:ascii="宋体" w:hAnsi="宋体" w:eastAsia="宋体" w:cs="宋体"/>
          <w:sz w:val="21"/>
          <w:szCs w:val="21"/>
          <w:highlight w:val="none"/>
          <w:shd w:val="clear" w:color="auto" w:fill="auto"/>
        </w:rPr>
        <w:t xml:space="preserve">，做好资料归档、动态推送、进度简报、经验总结等工作</w:t>
      </w:r>
      <w:r>
        <w:rPr>
          <w:rFonts w:hint="eastAsia" w:ascii="宋体" w:hAnsi="宋体" w:eastAsia="宋体" w:cs="宋体"/>
          <w:sz w:val="21"/>
          <w:szCs w:val="21"/>
          <w:highlight w:val="none"/>
          <w:shd w:val="clear" w:color="auto" w:fill="auto"/>
          <w:lang w:val="en-US" w:eastAsia="zh-CN"/>
        </w:rPr>
        <w:t xml:space="preserve">。</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highlight w:val="none"/>
          <w:lang w:val="en-US" w:eastAsia="zh-CN" w:bidi="ar-SA"/>
        </w:rPr>
        <w:t xml:space="preserve">（二）强化资金保障。</w:t>
      </w:r>
      <w:r>
        <w:rPr>
          <w:rFonts w:hint="eastAsia" w:ascii="宋体" w:hAnsi="宋体" w:eastAsia="宋体" w:cs="宋体"/>
          <w:sz w:val="21"/>
          <w:szCs w:val="21"/>
          <w:highlight w:val="none"/>
          <w:lang w:val="en-US" w:eastAsia="zh-CN"/>
        </w:rPr>
        <w:t xml:space="preserve">民服站项目资金预算根据《关于推进综合网格+社会组织服务实施方案（试行）》（太委办〔2020〕79号）编制和执行，各镇（街道）民政部门</w:t>
      </w:r>
      <w:r>
        <w:rPr>
          <w:rFonts w:hint="eastAsia" w:ascii="宋体" w:hAnsi="宋体" w:eastAsia="宋体" w:cs="宋体"/>
          <w:sz w:val="21"/>
          <w:szCs w:val="21"/>
          <w:highlight w:val="none"/>
        </w:rPr>
        <w:t xml:space="preserve">要加强与</w:t>
      </w:r>
      <w:r>
        <w:rPr>
          <w:rFonts w:hint="eastAsia" w:ascii="宋体" w:hAnsi="宋体" w:eastAsia="宋体" w:cs="宋体"/>
          <w:sz w:val="21"/>
          <w:szCs w:val="21"/>
          <w:highlight w:val="none"/>
          <w:lang w:val="en-US" w:eastAsia="zh-CN"/>
        </w:rPr>
        <w:t xml:space="preserve">属地</w:t>
      </w:r>
      <w:r>
        <w:rPr>
          <w:rFonts w:hint="eastAsia" w:ascii="宋体" w:hAnsi="宋体" w:eastAsia="宋体" w:cs="宋体"/>
          <w:sz w:val="21"/>
          <w:szCs w:val="21"/>
          <w:highlight w:val="none"/>
        </w:rPr>
        <w:t xml:space="preserve">财政部门</w:t>
      </w:r>
      <w:r>
        <w:rPr>
          <w:rFonts w:hint="eastAsia" w:ascii="宋体" w:hAnsi="宋体" w:eastAsia="宋体" w:cs="宋体"/>
          <w:sz w:val="21"/>
          <w:szCs w:val="21"/>
          <w:highlight w:val="none"/>
          <w:lang w:val="en-US" w:eastAsia="zh-CN"/>
        </w:rPr>
        <w:t xml:space="preserve">沟通</w:t>
      </w:r>
      <w:r>
        <w:rPr>
          <w:rFonts w:hint="eastAsia" w:ascii="宋体" w:hAnsi="宋体" w:eastAsia="宋体" w:cs="宋体"/>
          <w:sz w:val="21"/>
          <w:szCs w:val="21"/>
          <w:highlight w:val="none"/>
        </w:rPr>
        <w:t xml:space="preserve">协调，通过统筹整合</w:t>
      </w:r>
      <w:r>
        <w:rPr>
          <w:rFonts w:hint="eastAsia" w:ascii="宋体" w:hAnsi="宋体" w:eastAsia="宋体" w:cs="宋体"/>
          <w:sz w:val="21"/>
          <w:szCs w:val="21"/>
          <w:highlight w:val="none"/>
          <w:lang w:val="en-US" w:eastAsia="zh-CN"/>
        </w:rPr>
        <w:t xml:space="preserve">民生</w:t>
      </w:r>
      <w:r>
        <w:rPr>
          <w:rFonts w:hint="eastAsia" w:ascii="宋体" w:hAnsi="宋体" w:eastAsia="宋体" w:cs="宋体"/>
          <w:sz w:val="21"/>
          <w:szCs w:val="21"/>
          <w:highlight w:val="none"/>
        </w:rPr>
        <w:t xml:space="preserve">领域用于政府购买服务的资金，确保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资金保障到位。同时建立资金多元化投入机制，积极引导慈善资金支持开展服务。</w:t>
      </w:r>
      <w:r>
        <w:rPr>
          <w:rFonts w:hint="eastAsia" w:ascii="宋体" w:hAnsi="宋体" w:eastAsia="宋体" w:cs="宋体"/>
          <w:sz w:val="21"/>
          <w:szCs w:val="21"/>
          <w:highlight w:val="none"/>
          <w:lang w:val="en-US" w:eastAsia="zh-CN"/>
        </w:rPr>
        <w:t xml:space="preserve">支持“</w:t>
      </w:r>
      <w:r>
        <w:rPr>
          <w:rFonts w:hint="eastAsia" w:ascii="宋体" w:hAnsi="宋体" w:eastAsia="宋体" w:cs="宋体"/>
          <w:sz w:val="21"/>
          <w:szCs w:val="21"/>
          <w:highlight w:val="none"/>
          <w:shd w:val="clear" w:color="auto" w:fill="auto"/>
          <w:lang w:val="en-US" w:eastAsia="zh-CN"/>
        </w:rPr>
        <w:t xml:space="preserve">幸福同行</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shd w:val="clear" w:color="auto" w:fill="auto"/>
          <w:lang w:val="en-US" w:eastAsia="zh-CN"/>
        </w:rPr>
        <w:t xml:space="preserve">民服站承接其他部门购买的其他为民服务事项。</w:t>
      </w:r>
      <w:r>
        <w:rPr>
          <w:rFonts w:hint="eastAsia" w:ascii="宋体" w:hAnsi="宋体" w:eastAsia="宋体" w:cs="宋体"/>
          <w:sz w:val="21"/>
          <w:szCs w:val="21"/>
          <w:highlight w:val="none"/>
        </w:rPr>
        <w:t xml:space="preserve">要加强资金管理，实行单独核算、专项管理，不得混用、挤占、挪用。</w:t>
      </w:r>
      <w:r>
        <w:rPr>
          <w:rFonts w:hint="eastAsia" w:ascii="宋体" w:hAnsi="宋体" w:eastAsia="宋体" w:cs="宋体"/>
          <w:sz w:val="21"/>
          <w:szCs w:val="21"/>
          <w:highlight w:val="none"/>
          <w:lang w:val="en-US" w:eastAsia="zh-CN"/>
        </w:rPr>
        <w:t xml:space="preserve">按照对乡镇（街道）“幸福同行”民服站年度运行情况，将视情分别给予一定奖补。</w:t>
      </w:r>
      <w:r/>
    </w:p>
    <w:p>
      <w:pPr>
        <w:ind w:right="0" w:firstLine="420"/>
        <w:jc w:val="left"/>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（三）注重服务协同。“</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民服站要持续提升在专业服务介入、典型案例总结等方面的工作能力。要主动加强辖区内救助驿站、未保工作站、老年人日间照料中心等服务阵地的协同，在特殊群体关爱、“微心愿”征集、慈善资源链接、志愿队伍建设等事项上达成互联互通、共治共享。要持续优化“社区综合网格+社会组织”服务机制，依托市综合指挥中心网格巡防能效，协同开展特殊群体需求的高效对接，通过信息管理平台加强民政服务全流程管理，提升服务成效。</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（四）提升服务质效。</w:t>
      </w:r>
      <w:r>
        <w:rPr>
          <w:rFonts w:hint="eastAsia" w:ascii="宋体" w:hAnsi="宋体" w:eastAsia="宋体" w:cs="宋体"/>
          <w:sz w:val="21"/>
          <w:szCs w:val="21"/>
          <w:highlight w:val="none"/>
          <w:shd w:val="clear" w:color="auto" w:fill="auto"/>
          <w:lang w:val="en-US" w:eastAsia="zh-CN"/>
        </w:rPr>
        <w:t xml:space="preserve">承接机构要制定专职社工行为规范、考勤管理、职业伦理、考评奖惩等具体规定，加强对社工的日常管理，提供行政性督导。各</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要结合</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实际，总结提炼</w:t>
      </w:r>
      <w:r>
        <w:rPr>
          <w:rFonts w:hint="eastAsia" w:ascii="宋体" w:hAnsi="宋体" w:eastAsia="宋体" w:cs="宋体"/>
          <w:sz w:val="21"/>
          <w:szCs w:val="21"/>
          <w:highlight w:val="none"/>
          <w:lang w:val="en-US" w:eastAsia="zh-CN"/>
        </w:rPr>
        <w:t xml:space="preserve">具有示范意义的实践</w:t>
      </w:r>
      <w:r>
        <w:rPr>
          <w:rFonts w:hint="eastAsia" w:ascii="宋体" w:hAnsi="宋体" w:eastAsia="宋体" w:cs="宋体"/>
          <w:sz w:val="21"/>
          <w:szCs w:val="21"/>
          <w:highlight w:val="none"/>
        </w:rPr>
        <w:t xml:space="preserve">经验，打造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特色品牌。要建立激励机制，</w:t>
      </w:r>
      <w:r>
        <w:rPr>
          <w:rFonts w:hint="eastAsia" w:ascii="宋体" w:hAnsi="宋体" w:eastAsia="宋体" w:cs="宋体"/>
          <w:sz w:val="21"/>
          <w:szCs w:val="21"/>
          <w:highlight w:val="none"/>
          <w:lang w:val="en-US" w:eastAsia="zh-CN"/>
        </w:rPr>
        <w:t xml:space="preserve">加强对在创新服务中成效明显的先进社工和先进组织的推广宣传和鼓励激励，推进民服站建设与管理标准化建设，持续总结提炼本土服务经验模式，最大化发挥标准化引领发展效益。多维度利用媒体宣传手段，</w:t>
      </w:r>
      <w:r>
        <w:rPr>
          <w:rFonts w:hint="eastAsia" w:ascii="宋体" w:hAnsi="宋体" w:eastAsia="宋体" w:cs="宋体"/>
          <w:sz w:val="21"/>
          <w:szCs w:val="21"/>
          <w:highlight w:val="none"/>
        </w:rPr>
        <w:t xml:space="preserve">提升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民政服务的</w:t>
      </w:r>
      <w:r>
        <w:rPr>
          <w:rFonts w:hint="eastAsia" w:ascii="宋体" w:hAnsi="宋体" w:eastAsia="宋体" w:cs="宋体"/>
          <w:sz w:val="21"/>
          <w:szCs w:val="21"/>
          <w:highlight w:val="none"/>
        </w:rPr>
        <w:t xml:space="preserve">社会知晓度和影响力，</w:t>
      </w:r>
      <w:r>
        <w:rPr>
          <w:rFonts w:hint="eastAsia" w:ascii="宋体" w:hAnsi="宋体" w:eastAsia="宋体" w:cs="宋体"/>
          <w:sz w:val="21"/>
          <w:szCs w:val="21"/>
          <w:highlight w:val="none"/>
          <w:lang w:val="en-US" w:eastAsia="zh-CN"/>
        </w:rPr>
        <w:t xml:space="preserve">丰富幸福民政服务内涵。</w:t>
      </w:r>
      <w:r/>
    </w:p>
    <w:p>
      <w:pPr>
        <w:ind w:firstLine="420"/>
        <w:jc w:val="both"/>
        <w:keepLines w:val="0"/>
        <w:keepNext w:val="0"/>
        <w:pageBreakBefore w:val="0"/>
        <w:spacing w:line="560" w:lineRule="exact"/>
        <w:widowControl w:val="off"/>
        <w:rPr>
          <w:rFonts w:hint="default" w:ascii="Times New Roman" w:hAnsi="Times New Roman" w:eastAsia="黑体" w:cs="Times New Roman"/>
          <w:sz w:val="32"/>
          <w:szCs w:val="32"/>
          <w:highlight w:val="none"/>
          <w:lang w:val="en-US" w:eastAsia="zh-CN"/>
        </w:rPr>
      </w:pPr>
      <w:r>
        <w:rPr>
          <w:rFonts w:hint="eastAsia" w:ascii="宋体" w:hAnsi="宋体" w:eastAsia="宋体" w:cs="宋体"/>
          <w:sz w:val="21"/>
          <w:szCs w:val="21"/>
          <w:highlight w:val="none"/>
          <w:lang w:val="en-US" w:eastAsia="zh-CN"/>
        </w:rPr>
        <w:t xml:space="preserve">附件：“幸福同行”民政服务站服务清单</w:t>
      </w:r>
      <w:r/>
    </w:p>
    <w:p>
      <w:pPr>
        <w:ind w:left="0" w:right="0" w:firstLine="0"/>
        <w:jc w:val="center"/>
        <w:keepLines w:val="0"/>
        <w:keepNext w:val="0"/>
        <w:pageBreakBefore w:val="0"/>
        <w:spacing w:line="560" w:lineRule="exact"/>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“幸福同行”民政服务站服务</w:t>
      </w:r>
      <w:r>
        <w:rPr>
          <w:rFonts w:hint="eastAsia" w:ascii="宋体" w:hAnsi="宋体" w:eastAsia="宋体" w:cs="宋体"/>
          <w:sz w:val="21"/>
          <w:szCs w:val="21"/>
          <w:highlight w:val="none"/>
        </w:rPr>
        <w:t xml:space="preserve">清单</w:t>
      </w:r>
      <w:r/>
    </w:p>
    <w:p>
      <w:pPr>
        <w:ind w:firstLine="420"/>
        <w:jc w:val="both"/>
        <w:keepLines w:val="0"/>
        <w:keepNext w:val="0"/>
        <w:pageBreakBefore w:val="0"/>
        <w:spacing w:line="5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一、专业类服务</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1.“幸福赋能”个案服务</w:t>
      </w:r>
      <w:r>
        <w:rPr>
          <w:rFonts w:hint="eastAsia" w:ascii="宋体" w:hAnsi="宋体" w:eastAsia="宋体" w:cs="宋体"/>
          <w:b w:val="0"/>
          <w:bCs w:val="0"/>
          <w:sz w:val="21"/>
          <w:szCs w:val="21"/>
          <w:highlight w:val="none"/>
          <w:lang w:val="en-US" w:eastAsia="zh-CN"/>
        </w:rPr>
        <w:t xml:space="preserve">。重点围绕民政重点关护对象，通过个案服务或者个案管理的方式，</w:t>
      </w:r>
      <w:r>
        <w:rPr>
          <w:rFonts w:hint="eastAsia" w:ascii="宋体" w:hAnsi="宋体" w:eastAsia="宋体" w:cs="宋体"/>
          <w:b w:val="0"/>
          <w:bCs w:val="0"/>
          <w:sz w:val="21"/>
          <w:szCs w:val="21"/>
          <w:highlight w:val="none"/>
          <w:lang w:val="en-US" w:eastAsia="zh-CN" w:bidi="ar-SA"/>
        </w:rPr>
        <w:t xml:space="preserve">开展心理与情绪疏导、权益维护、能力建设等心理慰藉服务，</w:t>
      </w:r>
      <w:r>
        <w:rPr>
          <w:rFonts w:hint="eastAsia" w:ascii="宋体" w:hAnsi="宋体" w:eastAsia="宋体" w:cs="宋体"/>
          <w:b w:val="0"/>
          <w:bCs w:val="0"/>
          <w:sz w:val="21"/>
          <w:szCs w:val="21"/>
          <w:highlight w:val="none"/>
          <w:lang w:val="en-US" w:eastAsia="zh-CN"/>
        </w:rPr>
        <w:t xml:space="preserve">针对服务对象的特殊问题提供专业帮扶，助力走出困境。</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2.“幸福护航”小组服务。</w:t>
      </w:r>
      <w:r>
        <w:rPr>
          <w:rFonts w:hint="eastAsia" w:ascii="宋体" w:hAnsi="宋体" w:eastAsia="宋体" w:cs="宋体"/>
          <w:b w:val="0"/>
          <w:bCs w:val="0"/>
          <w:sz w:val="21"/>
          <w:szCs w:val="21"/>
          <w:highlight w:val="none"/>
          <w:lang w:val="en-US" w:eastAsia="zh-CN"/>
        </w:rPr>
        <w:t xml:space="preserve">重点围绕民政重点关护对象，为有共同需求或问题的服务对象集中提供服务，</w:t>
      </w:r>
      <w:r>
        <w:rPr>
          <w:rFonts w:hint="eastAsia" w:ascii="宋体" w:hAnsi="宋体" w:eastAsia="宋体" w:cs="宋体"/>
          <w:b w:val="0"/>
          <w:bCs w:val="0"/>
          <w:sz w:val="21"/>
          <w:szCs w:val="21"/>
          <w:highlight w:val="none"/>
          <w:lang w:val="en-US" w:eastAsia="zh-CN" w:bidi="ar-SA"/>
        </w:rPr>
        <w:t xml:space="preserve">实现促进成长与危机化解的目标。</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“幸福创享”培育服务。</w:t>
      </w:r>
      <w:r>
        <w:rPr>
          <w:rFonts w:hint="eastAsia" w:ascii="宋体" w:hAnsi="宋体" w:eastAsia="宋体" w:cs="宋体"/>
          <w:b w:val="0"/>
          <w:bCs w:val="0"/>
          <w:color w:val="auto"/>
          <w:sz w:val="21"/>
          <w:szCs w:val="21"/>
          <w:highlight w:val="none"/>
          <w:lang w:val="en-US" w:eastAsia="zh-CN" w:bidi="ar-SA"/>
        </w:rPr>
        <w:t xml:space="preserve">协同镇社会组织服务中心做好孵化培育工作，为辖区社会组织提供注册指导、项目策划等支持，开展社会组织服务能力建设，构建“孵化－赋能－联动”全周期支持体系，提升社会组织参与民生服务、基层治理的能力。</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二、协同类服务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4.“幸福顾问”综合服务。</w:t>
      </w:r>
      <w:r>
        <w:rPr>
          <w:rFonts w:hint="eastAsia" w:ascii="宋体" w:hAnsi="宋体" w:eastAsia="宋体" w:cs="宋体"/>
          <w:b w:val="0"/>
          <w:bCs w:val="0"/>
          <w:sz w:val="21"/>
          <w:szCs w:val="21"/>
          <w:highlight w:val="none"/>
          <w:lang w:val="en-US" w:eastAsia="zh-CN" w:bidi="ar-SA"/>
        </w:rPr>
        <w:t xml:space="preserve">提供社会救助、社会福利、老年权益保障、养老服务、婚姻登记、殡葬服务、困境儿童关爱保障等民生政策咨询；提供就业指导、生活便民、社会融入等综合咨询服务。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幸福暖心</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救助服务。</w:t>
      </w:r>
      <w:r>
        <w:rPr>
          <w:rFonts w:hint="eastAsia" w:ascii="宋体" w:hAnsi="宋体" w:eastAsia="宋体" w:cs="宋体"/>
          <w:color w:val="auto"/>
          <w:sz w:val="21"/>
          <w:szCs w:val="21"/>
          <w:highlight w:val="none"/>
          <w:lang w:val="en-US" w:eastAsia="zh-CN" w:bidi="ar-SA"/>
        </w:rPr>
        <w:t xml:space="preserve">配合建立困难对象主动发现机制，协助做好低保、低边、特困供养、困难残疾人、困境儿童等困难人群的动态监测，为困难群体提供各类个性化关爱服务。</w:t>
      </w:r>
      <w:r>
        <w:rPr>
          <w:rFonts w:hint="eastAsia" w:ascii="宋体" w:hAnsi="宋体" w:eastAsia="宋体" w:cs="宋体"/>
          <w:color w:val="auto"/>
          <w:sz w:val="21"/>
          <w:szCs w:val="21"/>
          <w:highlight w:val="none"/>
          <w:lang w:val="en-US" w:eastAsia="zh-CN"/>
        </w:rPr>
        <w:t xml:space="preserve">对发现的流浪乞讨人员</w:t>
      </w:r>
      <w:r>
        <w:rPr>
          <w:rFonts w:hint="eastAsia" w:ascii="宋体" w:hAnsi="宋体" w:eastAsia="宋体" w:cs="宋体"/>
          <w:b w:val="0"/>
          <w:bCs w:val="0"/>
          <w:color w:val="auto"/>
          <w:sz w:val="21"/>
          <w:szCs w:val="21"/>
          <w:highlight w:val="none"/>
          <w:lang w:val="en-US" w:eastAsia="zh-CN" w:bidi="ar-SA"/>
        </w:rPr>
        <w:t xml:space="preserve">等临时遇困人员，协助开展搜救排查、应急帮扶等服务。</w:t>
      </w:r>
      <w:r/>
    </w:p>
    <w:p>
      <w:pPr>
        <w:ind w:firstLine="422"/>
        <w:jc w:val="both"/>
        <w:keepLines w:val="0"/>
        <w:keepNext w:val="0"/>
        <w:pageBreakBefore w:val="0"/>
        <w:spacing w:line="56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6.“幸福银龄”为老服务。</w:t>
      </w:r>
      <w:r>
        <w:rPr>
          <w:rFonts w:hint="eastAsia" w:ascii="宋体" w:hAnsi="宋体" w:eastAsia="宋体" w:cs="宋体"/>
          <w:color w:val="auto"/>
          <w:sz w:val="21"/>
          <w:szCs w:val="21"/>
          <w:highlight w:val="none"/>
          <w:lang w:val="en-US" w:eastAsia="zh-CN"/>
        </w:rPr>
        <w:t xml:space="preserve">协助符合条件的老年人申领相关养老服务。协助推动医养资源融合，协助开展慢病管理、健康监测及康复指导。深化服务协同和人口老龄化国情教育，组织和赋能低龄老人社会参与，协助推动互助养老服务发展，促进老年协会作用发挥。协助参与上门巡访和居家上门服务，配合适老化改造、科技助老等宣传工作。</w:t>
      </w:r>
      <w:r/>
    </w:p>
    <w:p>
      <w:pPr>
        <w:ind w:firstLine="422"/>
        <w:jc w:val="left"/>
        <w:spacing w:line="5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7.“幸福圆梦”慈善服务。</w:t>
      </w:r>
      <w:r>
        <w:rPr>
          <w:rFonts w:hint="eastAsia" w:ascii="宋体" w:hAnsi="宋体" w:eastAsia="宋体" w:cs="宋体"/>
          <w:color w:val="auto"/>
          <w:sz w:val="21"/>
          <w:szCs w:val="21"/>
          <w:lang w:val="en-US" w:eastAsia="zh-CN" w:bidi="ar-SA"/>
        </w:rPr>
        <w:t xml:space="preserve">链接社区慈善基金等慈善资源，提供生活物资帮扶、临时救助对接等服务。协助开展慈善宣传活动，培育本土慈善力量，弘扬慈善文化，协同慈善组织开展公益活动，实现资源高效整合与民生需求精准对接。</w:t>
      </w:r>
      <w:r/>
    </w:p>
    <w:p>
      <w:pPr>
        <w:ind w:firstLine="640"/>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三、特色类服务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8.“幸福聚力”党建服务</w:t>
      </w:r>
      <w:r>
        <w:rPr>
          <w:rFonts w:hint="eastAsia" w:ascii="宋体" w:hAnsi="宋体" w:eastAsia="宋体" w:cs="宋体"/>
          <w:b w:val="0"/>
          <w:bCs w:val="0"/>
          <w:sz w:val="21"/>
          <w:szCs w:val="21"/>
          <w:highlight w:val="none"/>
          <w:lang w:val="en-US" w:eastAsia="zh-CN" w:bidi="ar-SA"/>
        </w:rPr>
        <w:t xml:space="preserve">。深化组织联动，推动资源整合，统筹驻区单位、企业党组织等资源落实微心愿认领、公益项目共建，构建“党建+服务”模式，将组织优势转化为服务效能。组织开展各类民生政策宣讲，引导群众感党恩、跟党走。</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9.“幸福家园”特色服务。</w:t>
      </w:r>
      <w:r>
        <w:rPr>
          <w:rFonts w:hint="eastAsia" w:ascii="宋体" w:hAnsi="宋体" w:eastAsia="宋体" w:cs="宋体"/>
          <w:b w:val="0"/>
          <w:bCs w:val="0"/>
          <w:sz w:val="21"/>
          <w:szCs w:val="21"/>
          <w:highlight w:val="none"/>
          <w:lang w:val="en-US" w:eastAsia="zh-CN" w:bidi="ar-SA"/>
        </w:rPr>
        <w:t xml:space="preserve">结合区镇实际和年度重点工作，开展需求调研，聚焦民生服务难点，</w:t>
      </w:r>
      <w:r>
        <w:rPr>
          <w:rFonts w:hint="eastAsia" w:ascii="宋体" w:hAnsi="宋体" w:eastAsia="宋体" w:cs="宋体"/>
          <w:b w:val="0"/>
          <w:bCs w:val="0"/>
          <w:color w:val="auto"/>
          <w:sz w:val="21"/>
          <w:szCs w:val="21"/>
          <w:highlight w:val="none"/>
          <w:lang w:val="en-US" w:eastAsia="zh-CN" w:bidi="ar-SA"/>
        </w:rPr>
        <w:t xml:space="preserve">加强资源对接协同，</w:t>
      </w:r>
      <w:r>
        <w:rPr>
          <w:rFonts w:hint="eastAsia" w:ascii="宋体" w:hAnsi="宋体" w:eastAsia="宋体" w:cs="宋体"/>
          <w:b w:val="0"/>
          <w:bCs w:val="0"/>
          <w:sz w:val="21"/>
          <w:szCs w:val="21"/>
          <w:highlight w:val="none"/>
          <w:lang w:val="en-US" w:eastAsia="zh-CN" w:bidi="ar-SA"/>
        </w:rPr>
        <w:t xml:space="preserve">推进区镇“一镇一品”服务品牌建设，开发具有创新性、惠民性、科学性的特色服务项目。</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10.“幸福相伴”关爱服务。</w:t>
      </w:r>
      <w:r>
        <w:rPr>
          <w:rFonts w:hint="eastAsia" w:ascii="宋体" w:hAnsi="宋体" w:eastAsia="宋体" w:cs="宋体"/>
          <w:b w:val="0"/>
          <w:bCs w:val="0"/>
          <w:sz w:val="21"/>
          <w:szCs w:val="21"/>
          <w:highlight w:val="none"/>
          <w:lang w:val="en-US" w:eastAsia="zh-CN" w:bidi="ar-SA"/>
        </w:rPr>
        <w:t xml:space="preserve">其他部门或单位有意愿纳入的民生服务内容，或</w:t>
      </w:r>
      <w:r>
        <w:rPr>
          <w:rFonts w:hint="eastAsia" w:ascii="宋体" w:hAnsi="宋体" w:eastAsia="宋体" w:cs="宋体"/>
          <w:b w:val="0"/>
          <w:bCs w:val="0"/>
          <w:sz w:val="21"/>
          <w:szCs w:val="21"/>
          <w:highlight w:val="none"/>
          <w:lang w:val="en-US" w:eastAsia="zh-CN"/>
        </w:rPr>
        <w:t xml:space="preserve">民政重点关护对象以外确需提供专业帮扶服务的其他人群类服务。</w:t>
      </w:r>
      <w:r/>
    </w:p>
    <w:p>
      <w:pPr>
        <w:jc w:val="both"/>
        <w:widowControl w:val="off"/>
        <w:rPr>
          <w:rFonts w:hint="default" w:ascii="Calibri" w:hAnsi="Calibri" w:eastAsia="宋体" w:cs="Times New Roman"/>
          <w:sz w:val="32"/>
          <w:szCs w:val="32"/>
          <w:lang w:val="en-US" w:eastAsia="zh-CN" w:bidi="ar-SA"/>
        </w:rPr>
      </w:pPr>
      <w:r>
        <w:rPr>
          <w:rFonts w:hint="default" w:ascii="Calibri" w:hAnsi="Calibri" w:eastAsia="宋体" w:cs="Times New Roman"/>
          <w:sz w:val="32"/>
          <w:szCs w:val="32"/>
          <w:lang w:val="en-US" w:eastAsia="zh-CN" w:bidi="ar-SA"/>
        </w:rPr>
      </w:r>
      <w:r/>
    </w:p>
    <w:tbl>
      <w:tblPr>
        <w:tblStyle w:val="854"/>
        <w:tblW w:w="89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62"/>
        <w:gridCol w:w="4202"/>
        <w:gridCol w:w="89"/>
      </w:tblGrid>
      <w:tr>
        <w:trPr>
          <w:jc w:val="center"/>
          <w:trHeight w:val="0"/>
        </w:trPr>
        <w:tc>
          <w:tcPr>
            <w:tcBorders>
              <w:top w:val="single" w:color="auto" w:sz="12" w:space="0"/>
              <w:bottom w:val="single" w:color="auto" w:sz="12" w:space="0"/>
            </w:tcBorders>
            <w:tcW w:w="4706" w:type="dxa"/>
            <w:vAlign w:val="center"/>
            <w:textDirection w:val="lrTb"/>
            <w:noWrap w:val="false"/>
          </w:tcPr>
          <w:p>
            <w:pPr>
              <w:ind w:firstLine="0"/>
              <w:jc w:val="left"/>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t xml:space="preserve">　太仓市</w:t>
            </w:r>
            <w:r>
              <w:rPr>
                <w:rFonts w:hint="eastAsia" w:ascii="Times New Roman" w:hAnsi="Calibri" w:eastAsia="仿宋_GB2312" w:cs="Times New Roman"/>
                <w:sz w:val="28"/>
                <w:szCs w:val="24"/>
                <w:lang w:val="en-US" w:eastAsia="zh-CN" w:bidi="ar-SA"/>
              </w:rPr>
              <w:t xml:space="preserve">民政局</w:t>
            </w:r>
            <w:r>
              <w:rPr>
                <w:rFonts w:ascii="Times New Roman" w:hAnsi="Calibri" w:eastAsia="仿宋_GB2312" w:cs="Times New Roman"/>
                <w:sz w:val="28"/>
                <w:szCs w:val="24"/>
                <w:lang w:val="en-US" w:eastAsia="zh-CN" w:bidi="ar-SA"/>
              </w:rPr>
              <w:t xml:space="preserve">办公室</w:t>
            </w:r>
            <w:r/>
          </w:p>
        </w:tc>
        <w:tc>
          <w:tcPr>
            <w:tcBorders>
              <w:top w:val="single" w:color="auto" w:sz="12" w:space="0"/>
              <w:bottom w:val="single" w:color="auto" w:sz="12" w:space="0"/>
            </w:tcBorders>
            <w:tcW w:w="4238" w:type="dxa"/>
            <w:vAlign w:val="center"/>
            <w:textDirection w:val="lrTb"/>
            <w:noWrap w:val="false"/>
          </w:tcPr>
          <w:p>
            <w:pPr>
              <w:ind w:firstLine="0"/>
              <w:jc w:val="right"/>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t xml:space="preserve">202</w:t>
            </w:r>
            <w:r>
              <w:rPr>
                <w:rFonts w:hint="eastAsia" w:ascii="Times New Roman" w:hAnsi="Calibri" w:eastAsia="仿宋_GB2312" w:cs="Times New Roman"/>
                <w:sz w:val="28"/>
                <w:szCs w:val="24"/>
                <w:lang w:val="en-US" w:eastAsia="zh-CN" w:bidi="ar-SA"/>
              </w:rPr>
              <w:t xml:space="preserve">5</w:t>
            </w:r>
            <w:r>
              <w:rPr>
                <w:rFonts w:ascii="Times New Roman" w:hAnsi="Calibri" w:eastAsia="仿宋_GB2312" w:cs="Times New Roman"/>
                <w:sz w:val="28"/>
                <w:szCs w:val="24"/>
                <w:lang w:val="en-US" w:eastAsia="zh-CN" w:bidi="ar-SA"/>
              </w:rPr>
              <w:t xml:space="preserve">年</w:t>
            </w:r>
            <w:r>
              <w:rPr>
                <w:rFonts w:hint="eastAsia" w:ascii="Times New Roman" w:hAnsi="Calibri" w:eastAsia="仿宋_GB2312" w:cs="Times New Roman"/>
                <w:sz w:val="28"/>
                <w:szCs w:val="24"/>
                <w:lang w:val="en-US" w:eastAsia="zh-CN" w:bidi="ar-SA"/>
              </w:rPr>
              <w:t xml:space="preserve">11</w:t>
            </w:r>
            <w:r>
              <w:rPr>
                <w:rFonts w:ascii="Times New Roman" w:hAnsi="Calibri" w:eastAsia="仿宋_GB2312" w:cs="Times New Roman"/>
                <w:sz w:val="28"/>
                <w:szCs w:val="24"/>
                <w:lang w:val="en-US" w:eastAsia="zh-CN" w:bidi="ar-SA"/>
              </w:rPr>
              <w:t xml:space="preserve">月</w:t>
            </w:r>
            <w:r>
              <w:rPr>
                <w:rFonts w:hint="eastAsia" w:ascii="Times New Roman" w:hAnsi="Calibri" w:eastAsia="仿宋_GB2312" w:cs="Times New Roman"/>
                <w:sz w:val="28"/>
                <w:szCs w:val="24"/>
                <w:lang w:val="en-US" w:eastAsia="zh-CN" w:bidi="ar-SA"/>
              </w:rPr>
              <w:t xml:space="preserve">18</w:t>
            </w:r>
            <w:r>
              <w:rPr>
                <w:rFonts w:ascii="Times New Roman" w:hAnsi="Calibri" w:eastAsia="仿宋_GB2312" w:cs="Times New Roman"/>
                <w:sz w:val="28"/>
                <w:szCs w:val="24"/>
                <w:lang w:val="en-US" w:eastAsia="zh-CN" w:bidi="ar-SA"/>
              </w:rPr>
              <w:t xml:space="preserve">日印发</w:t>
            </w:r>
            <w:r/>
          </w:p>
        </w:tc>
        <w:tc>
          <w:tcPr>
            <w:tcBorders>
              <w:top w:val="single" w:color="auto" w:sz="12" w:space="0"/>
              <w:bottom w:val="single" w:color="auto" w:sz="12" w:space="0"/>
            </w:tcBorders>
            <w:tcW w:w="90" w:type="dxa"/>
            <w:vAlign w:val="center"/>
            <w:textDirection w:val="lrTb"/>
            <w:noWrap w:val="false"/>
          </w:tcPr>
          <w:p>
            <w:pPr>
              <w:ind w:firstLine="0"/>
              <w:jc w:val="center"/>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r>
            <w:r/>
          </w:p>
        </w:tc>
      </w:tr>
    </w:tbl>
    <w:p>
      <w:pPr>
        <w:jc w:val="both"/>
        <w:rPr>
          <w:rFonts w:hint="default" w:hAnsi="宋体" w:cs="宋体"/>
          <w:b/>
          <w:bCs/>
          <w:color w:val="auto"/>
          <w:sz w:val="32"/>
          <w:szCs w:val="32"/>
          <w:highlight w:val="none"/>
          <w:lang w:val="en-US" w:eastAsia="zh-CN"/>
        </w:rPr>
        <w:outlineLvl w:val="0"/>
      </w:pPr>
      <w:r>
        <w:rPr>
          <w:rFonts w:hint="default"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r>
      <w:r/>
    </w:p>
    <w:p>
      <w:pPr>
        <w:jc w:val="both"/>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t xml:space="preserve">附件4：</w:t>
      </w:r>
      <w:r/>
    </w:p>
    <w:p>
      <w:pPr>
        <w:jc w:val="center"/>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4"/>
          <w:szCs w:val="24"/>
          <w:lang w:val="en-US" w:eastAsia="zh-CN"/>
        </w:rPr>
        <w:t xml:space="preserve">太仓市镇级未成年人保护工作站（儿童关爱之家）运营管理工作标准指引</w:t>
      </w:r>
      <w:r/>
    </w:p>
    <w:tbl>
      <w:tblPr>
        <w:tblStyle w:val="819"/>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705"/>
        <w:gridCol w:w="510"/>
        <w:gridCol w:w="3418"/>
        <w:gridCol w:w="1440"/>
        <w:gridCol w:w="1530"/>
        <w:gridCol w:w="1050"/>
        <w:gridCol w:w="407"/>
      </w:tblGrid>
      <w:tr>
        <w:trPr>
          <w:jc w:val="center"/>
          <w:trHeight w:val="567"/>
          <w:tblHeader/>
        </w:trPr>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一级</w:t>
            </w:r>
            <w:r/>
          </w:p>
          <w:p>
            <w:pPr>
              <w:jc w:val="center"/>
              <w:rPr>
                <w:rFonts w:hint="eastAsia" w:ascii="宋体" w:hAnsi="宋体" w:eastAsia="宋体" w:cs="宋体"/>
                <w:color w:val="auto"/>
                <w:sz w:val="20"/>
                <w:szCs w:val="20"/>
                <w:lang w:eastAsia="zh-CN"/>
              </w:rPr>
            </w:pPr>
            <w:r>
              <w:rPr>
                <w:rFonts w:hint="eastAsia" w:ascii="宋体" w:hAnsi="宋体" w:eastAsia="宋体" w:cs="宋体"/>
                <w:b/>
                <w:bCs/>
                <w:color w:val="auto"/>
                <w:sz w:val="20"/>
                <w:szCs w:val="20"/>
                <w:lang w:val="en-US" w:eastAsia="zh-CN"/>
              </w:rPr>
              <w:t xml:space="preserve">指标</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二级</w:t>
            </w:r>
            <w:r/>
          </w:p>
          <w:p>
            <w:pPr>
              <w:jc w:val="center"/>
              <w:rPr>
                <w:rFonts w:hint="eastAsia" w:ascii="宋体" w:hAnsi="宋体" w:eastAsia="宋体" w:cs="宋体"/>
                <w:color w:val="auto"/>
                <w:sz w:val="20"/>
                <w:szCs w:val="20"/>
                <w:lang w:eastAsia="zh-CN"/>
              </w:rPr>
            </w:pPr>
            <w:r>
              <w:rPr>
                <w:rFonts w:hint="eastAsia" w:ascii="宋体" w:hAnsi="宋体" w:eastAsia="宋体" w:cs="宋体"/>
                <w:b/>
                <w:bCs/>
                <w:color w:val="auto"/>
                <w:sz w:val="20"/>
                <w:szCs w:val="20"/>
                <w:vertAlign w:val="baseline"/>
                <w:lang w:val="en-US" w:eastAsia="zh-CN"/>
              </w:rPr>
              <w:t xml:space="preserve">指标</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实施标准</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评价办法</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vertAlign w:val="baseline"/>
                <w:lang w:val="en-US" w:eastAsia="zh-CN"/>
              </w:rPr>
              <w:t xml:space="preserve">评价方式</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评价</w:t>
            </w:r>
            <w:r/>
          </w:p>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结果</w:t>
            </w:r>
            <w:r/>
          </w:p>
          <w:p>
            <w:pPr>
              <w:jc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vertAlign w:val="baseline"/>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备注</w:t>
            </w:r>
            <w:r/>
          </w:p>
        </w:tc>
      </w:tr>
      <w:tr>
        <w:trPr>
          <w:jc w:val="center"/>
          <w:trHeight w:val="637"/>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管理规范</w:t>
            </w:r>
            <w:r/>
          </w:p>
          <w:p>
            <w:pPr>
              <w:jc w:val="center"/>
              <w:spacing w:line="40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建立机制</w:t>
            </w:r>
            <w:r/>
          </w:p>
        </w:tc>
        <w:tc>
          <w:tcPr>
            <w:tcBorders>
              <w:top w:val="single" w:color="auto" w:sz="4" w:space="0"/>
              <w:left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5分</w:t>
            </w:r>
            <w:r/>
          </w:p>
        </w:tc>
        <w:tc>
          <w:tcPr>
            <w:tcBorders>
              <w:top w:val="single" w:color="auto" w:sz="4" w:space="0"/>
              <w:left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农村留守儿童关爱保护</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困境儿童</w:t>
            </w:r>
            <w:r>
              <w:rPr>
                <w:rFonts w:hint="eastAsia" w:ascii="宋体" w:hAnsi="宋体" w:eastAsia="宋体" w:cs="宋体"/>
                <w:color w:val="auto"/>
                <w:sz w:val="20"/>
                <w:szCs w:val="20"/>
                <w:lang w:eastAsia="zh-CN"/>
              </w:rPr>
              <w:t xml:space="preserve">关爱</w:t>
            </w:r>
            <w:r>
              <w:rPr>
                <w:rFonts w:hint="eastAsia" w:ascii="宋体" w:hAnsi="宋体" w:eastAsia="宋体" w:cs="宋体"/>
                <w:color w:val="auto"/>
                <w:sz w:val="20"/>
                <w:szCs w:val="20"/>
              </w:rPr>
              <w:t xml:space="preserve">保障</w:t>
            </w:r>
            <w:r>
              <w:rPr>
                <w:rFonts w:hint="eastAsia" w:ascii="宋体" w:hAnsi="宋体" w:eastAsia="宋体" w:cs="宋体"/>
                <w:color w:val="auto"/>
                <w:sz w:val="20"/>
                <w:szCs w:val="20"/>
                <w:lang w:val="en-US" w:eastAsia="zh-CN"/>
              </w:rPr>
              <w:t xml:space="preserve">或未成年人保护</w:t>
            </w:r>
            <w:r>
              <w:rPr>
                <w:rFonts w:hint="eastAsia" w:ascii="宋体" w:hAnsi="宋体" w:eastAsia="宋体" w:cs="宋体"/>
                <w:color w:val="auto"/>
                <w:sz w:val="20"/>
                <w:szCs w:val="20"/>
              </w:rPr>
              <w:t xml:space="preserve">工作纳入</w:t>
            </w:r>
            <w:r>
              <w:rPr>
                <w:rFonts w:hint="eastAsia" w:ascii="宋体" w:hAnsi="宋体" w:eastAsia="宋体" w:cs="宋体"/>
                <w:color w:val="auto"/>
                <w:sz w:val="20"/>
                <w:szCs w:val="20"/>
                <w:lang w:val="en-US" w:eastAsia="zh-CN"/>
              </w:rPr>
              <w:t xml:space="preserve">镇（区、街道）</w:t>
            </w:r>
            <w:r>
              <w:rPr>
                <w:rFonts w:hint="eastAsia" w:ascii="宋体" w:hAnsi="宋体" w:eastAsia="宋体" w:cs="宋体"/>
                <w:color w:val="auto"/>
                <w:sz w:val="20"/>
                <w:szCs w:val="20"/>
              </w:rPr>
              <w:t xml:space="preserve">年度</w:t>
            </w:r>
            <w:r>
              <w:rPr>
                <w:rFonts w:hint="eastAsia" w:ascii="宋体" w:hAnsi="宋体" w:eastAsia="宋体" w:cs="宋体"/>
                <w:color w:val="auto"/>
                <w:sz w:val="20"/>
                <w:szCs w:val="20"/>
                <w:lang w:val="en-US" w:eastAsia="zh-CN"/>
              </w:rPr>
              <w:t xml:space="preserve">重点</w:t>
            </w:r>
            <w:r>
              <w:rPr>
                <w:rFonts w:hint="eastAsia" w:ascii="宋体" w:hAnsi="宋体" w:eastAsia="宋体" w:cs="宋体"/>
                <w:color w:val="auto"/>
                <w:sz w:val="20"/>
                <w:szCs w:val="20"/>
              </w:rPr>
              <w:t xml:space="preserve">工作计划</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有一项未达标扣2.5分。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查阅文件、会议纪要、计划总结。</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90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5分</w:t>
            </w:r>
            <w:r/>
          </w:p>
        </w:tc>
        <w:tc>
          <w:tcPr>
            <w:tcBorders>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建立本地</w:t>
            </w:r>
            <w:r>
              <w:rPr>
                <w:rFonts w:hint="eastAsia" w:ascii="宋体" w:hAnsi="宋体" w:eastAsia="宋体" w:cs="宋体"/>
                <w:color w:val="auto"/>
                <w:sz w:val="20"/>
                <w:szCs w:val="20"/>
                <w:lang w:eastAsia="zh-CN"/>
              </w:rPr>
              <w:t xml:space="preserve">困境儿童</w:t>
            </w:r>
            <w:r>
              <w:rPr>
                <w:rFonts w:hint="eastAsia" w:ascii="宋体" w:hAnsi="宋体" w:eastAsia="宋体" w:cs="宋体"/>
                <w:color w:val="auto"/>
                <w:sz w:val="20"/>
                <w:szCs w:val="20"/>
              </w:rPr>
              <w:t xml:space="preserve">关爱保护机制，明确责任分工，统筹推动开展，</w:t>
            </w:r>
            <w:r>
              <w:rPr>
                <w:rFonts w:hint="eastAsia" w:ascii="宋体" w:hAnsi="宋体" w:eastAsia="宋体" w:cs="宋体"/>
                <w:color w:val="auto"/>
                <w:sz w:val="20"/>
                <w:szCs w:val="20"/>
                <w:lang w:val="en-US" w:eastAsia="zh-CN"/>
              </w:rPr>
              <w:t xml:space="preserve">镇级</w:t>
            </w:r>
            <w:r>
              <w:rPr>
                <w:rFonts w:hint="eastAsia" w:ascii="宋体" w:hAnsi="宋体" w:eastAsia="宋体" w:cs="宋体"/>
                <w:color w:val="auto"/>
                <w:sz w:val="20"/>
                <w:szCs w:val="20"/>
              </w:rPr>
              <w:t xml:space="preserve">民政部门对“关爱之家”建设运营进行指导、督查</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有一项未达标扣2.5分。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查阅文件、会议纪要、计划总结、工作照片。</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1071"/>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组织管理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关爱之家”建设组织机构健全，明确管理和运行单位，有条件的可以成立管理委员会，管理委员会由社区工作人员、社会工作专业人才、志愿者等组成，鼓励农村留守儿童和困境儿童及其家长、村（居）民参与“关爱之家”的建设、管理和服务</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查阅文件、会议纪要、档案资料。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676"/>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引入</w:t>
            </w:r>
            <w:r>
              <w:rPr>
                <w:rFonts w:hint="eastAsia" w:ascii="宋体" w:hAnsi="宋体" w:eastAsia="宋体" w:cs="宋体"/>
                <w:color w:val="auto"/>
                <w:sz w:val="20"/>
                <w:szCs w:val="20"/>
              </w:rPr>
              <w:t xml:space="preserve">专业的社会组织建设和运营“关爱之家”</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社会组织应为3A级以上社会服务机构且拥有5名以上社会工作、心理学等专业背景的专职工作人员。</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全部达标得2.5</w:t>
            </w:r>
            <w:r>
              <w:rPr>
                <w:rFonts w:hint="eastAsia" w:ascii="宋体" w:hAnsi="宋体" w:eastAsia="宋体" w:cs="宋体"/>
                <w:color w:val="auto"/>
                <w:sz w:val="20"/>
                <w:szCs w:val="20"/>
              </w:rPr>
              <w:t xml:space="preserve">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查阅资质、服务协议、合同范本或其他佐证材料。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781"/>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制度规范</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“关爱之家”建立健全严格的管理与运行制度，明确安全管理责任人，切实履行管理和保护责任</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查阅资料、实地查看。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781"/>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结合当地实际制定应对各种灾害、意外伤害、传染病等突发事件预案，告知监护人有关安全责任</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查阅资料、工作照片。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档案管理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“关爱之家”应做好档案管理，对参与“关爱之家”活动的农村留守儿童和困境儿童建档立册</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查阅资料、档案材料。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3"/>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详细记录活动情况，</w:t>
            </w:r>
            <w:r>
              <w:rPr>
                <w:rFonts w:hint="eastAsia" w:ascii="宋体" w:hAnsi="宋体" w:eastAsia="宋体" w:cs="宋体"/>
                <w:sz w:val="20"/>
                <w:szCs w:val="20"/>
                <w:lang w:val="en-US" w:eastAsia="zh-CN"/>
              </w:rPr>
              <w:t xml:space="preserve">并且</w:t>
            </w:r>
            <w:r>
              <w:rPr>
                <w:rFonts w:hint="eastAsia" w:ascii="宋体" w:hAnsi="宋体" w:eastAsia="宋体" w:cs="宋体"/>
                <w:sz w:val="20"/>
                <w:szCs w:val="20"/>
              </w:rPr>
              <w:t xml:space="preserve">建立电子档案和活动记录</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查阅档台账、点子档案、活动记录。</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525"/>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设施完善</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30分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选址规划</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“关爱之家”选址以因地制宜为原则，要远离危害儿童安全、不利于儿童健康成长的环境和场所，建筑应当符合国家相关安全和消防标准。</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3分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35"/>
        </w:trPr>
        <w:tc>
          <w:tcPr>
            <w:tcBorders>
              <w:left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可依托现有城乡居民养老服务中心、学校、文化公共服务设施或已有的基层活动阵地等设立，有条件的地方可单独建立</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查阅资料、工作照片，实地查看。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3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“关爱之家”应设立在农村留守儿童和困境儿童相对集中的区域，就近就便为农村留守儿童和困境儿童服务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查阅档案、照片，实地查看。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场所要求</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“关爱之家”应有醒目标志</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室内面积不得少于60平方米</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3分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应符合基本通风、采光和消防安全要求，无危险设施和安全隐患，应有相对封闭的室外活动场地</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5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功能设置</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“关爱之家”按照农村留守儿童和困境儿童年龄特点和成长需求，合理划分活动区域，室内应包含图书阅览室、亲情视频室、心理咨询室、音乐、舞蹈、美术、劳技等多功能活动室</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278"/>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室外可提供包含篮球等多种球类活动场地</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配套设施</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“关爱之家”应配备开展活动所需的基本设施设备，包括桌椅、图书架、音像设备、不同年龄阶段儿童的图书、手工游戏材料、文体活动器材等</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应配备儿童基本卫生用品，包括消毒用品、外伤急救包等，有条件的应配备儿童饮用水、洗手、取暖和消暑设备</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设施设备的购买、设置、使用应</w:t>
            </w:r>
            <w:r>
              <w:rPr>
                <w:rFonts w:hint="eastAsia" w:ascii="宋体" w:hAnsi="宋体" w:eastAsia="宋体" w:cs="宋体"/>
                <w:sz w:val="20"/>
                <w:szCs w:val="20"/>
                <w:lang w:val="en-US" w:eastAsia="zh-CN"/>
              </w:rPr>
              <w:t xml:space="preserve">当</w:t>
            </w:r>
            <w:r>
              <w:rPr>
                <w:rFonts w:hint="eastAsia" w:ascii="宋体" w:hAnsi="宋体" w:eastAsia="宋体" w:cs="宋体"/>
                <w:sz w:val="20"/>
                <w:szCs w:val="20"/>
              </w:rPr>
              <w:t xml:space="preserve">全部符合安全要求</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rPr>
                <w:rFonts w:hint="eastAsia" w:ascii="宋体" w:hAnsi="宋体" w:eastAsia="宋体" w:cs="宋体"/>
                <w:sz w:val="20"/>
                <w:szCs w:val="20"/>
                <w:lang w:val="en-US" w:eastAsia="zh-CN"/>
              </w:rPr>
              <w:t xml:space="preserve">。</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5"/>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队伍保障</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人员配备</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“关爱之家”应配有专（兼）职工作人员至少5人，包含社区工作者、儿童类社会工作者</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须持有社工证</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、志愿者等</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并通过密切接触未成年人行业入职查询。</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查阅证明、档案资料或其他佐证材料。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工作人员应热爱儿童，热爱儿童工作，善于与儿童及其家长沟通，具有儿童工作经验</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color w:val="auto"/>
                <w:sz w:val="20"/>
                <w:szCs w:val="20"/>
                <w:lang w:val="en-US" w:eastAsia="zh-CN"/>
              </w:rPr>
              <w:t xml:space="preserve">有一项未达不得分</w:t>
            </w:r>
            <w:r>
              <w:rPr>
                <w:rFonts w:hint="eastAsia" w:ascii="宋体" w:hAnsi="宋体" w:eastAsia="宋体" w:cs="宋体"/>
                <w:sz w:val="20"/>
                <w:szCs w:val="20"/>
                <w:lang w:val="en-US" w:eastAsia="zh-CN"/>
              </w:rPr>
              <w:t xml:space="preserve">。</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查阅资料、工作照片、活动记录。</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管理培训</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“关爱之家”应做好工作人员的基本信息登记，每3个月至少培训一次，每半年进行一次工作评估</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查阅台账、活动照片、活动记录或其他佐证材料。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50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工作人员应全面掌握儿童工作相关法律法规和政策，</w:t>
            </w:r>
            <w:r>
              <w:rPr>
                <w:rFonts w:hint="eastAsia" w:ascii="宋体" w:hAnsi="宋体" w:eastAsia="宋体" w:cs="宋体"/>
                <w:sz w:val="20"/>
                <w:szCs w:val="20"/>
                <w:lang w:val="en-US" w:eastAsia="zh-CN"/>
              </w:rPr>
              <w:t xml:space="preserve">应当</w:t>
            </w:r>
            <w:r>
              <w:rPr>
                <w:rFonts w:hint="eastAsia" w:ascii="宋体" w:hAnsi="宋体" w:eastAsia="宋体" w:cs="宋体"/>
                <w:sz w:val="20"/>
                <w:szCs w:val="20"/>
              </w:rPr>
              <w:t xml:space="preserve">聘请专业社会工作者进行</w:t>
            </w:r>
            <w:r>
              <w:rPr>
                <w:rFonts w:hint="eastAsia" w:ascii="宋体" w:hAnsi="宋体" w:eastAsia="宋体" w:cs="宋体"/>
                <w:sz w:val="20"/>
                <w:szCs w:val="20"/>
                <w:lang w:val="en-US" w:eastAsia="zh-CN"/>
              </w:rPr>
              <w:t xml:space="preserve">相应的</w:t>
            </w:r>
            <w:r>
              <w:rPr>
                <w:rFonts w:hint="eastAsia" w:ascii="宋体" w:hAnsi="宋体" w:eastAsia="宋体" w:cs="宋体"/>
                <w:sz w:val="20"/>
                <w:szCs w:val="20"/>
              </w:rPr>
              <w:t xml:space="preserve">指导</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查阅台账、活动记录或其他佐证材料。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712"/>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服务内容</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45分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制定服务方案</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对</w:t>
            </w:r>
            <w:r>
              <w:rPr>
                <w:rFonts w:hint="eastAsia" w:ascii="宋体" w:hAnsi="宋体" w:eastAsia="宋体" w:cs="宋体"/>
                <w:sz w:val="20"/>
                <w:szCs w:val="20"/>
                <w:lang w:val="en"/>
              </w:rPr>
              <w:t xml:space="preserve">农村留守儿童和</w:t>
            </w:r>
            <w:r>
              <w:rPr>
                <w:rFonts w:hint="eastAsia" w:ascii="宋体" w:hAnsi="宋体" w:eastAsia="宋体" w:cs="宋体"/>
                <w:sz w:val="20"/>
                <w:szCs w:val="20"/>
              </w:rPr>
              <w:t xml:space="preserve">困境儿童及其家庭进行需求评估，设计服务内容，制定个性化的服务方案</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查阅台账、需求报告、服务方案或活动记录。</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58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引入专业社会工作力量规范开展活动</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查阅台账、服务协议、合同范本或其他佐证材料。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07"/>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实施兜底监护工程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协助有需求的家庭申请办理各类未成年人救助和保护事项</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color w:val="auto"/>
                <w:sz w:val="20"/>
                <w:szCs w:val="20"/>
                <w:lang w:val="en-US" w:eastAsia="zh-CN"/>
              </w:rPr>
              <w:t xml:space="preserve">查阅台账、事项清单、工作照片或其他佐证材料。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7"/>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开展家庭监护能力评估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识别风险等级</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分析儿童需求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制定服务方案</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形成困境儿童、农村留守儿童等特殊儿童一人一档、一事一案</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9"/>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指导儿童主任、儿童督导员、社会工作者等履行强制报告责任</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做好信息记录和报告登记</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查阅台账、活动、活动照片或其他佐证材料。</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7"/>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开展家庭教育指导服务</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积极宣传家庭应尽监护的主体责任，帮助农村留守儿童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困境儿童家庭树立科学育儿理念、掌握科学育儿知识和方法技能</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30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实施关爱提质工程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指导社会组织针对困境儿童风险评估等级、特需未成年人的个性化需求、普通未成年人的多元化需求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做好保护类、服务类、发展类等项目的设计、运行、反馈、评价、监督</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强化精准化管理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推进精细化服务</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02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5</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开展文体活动</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根据不同年龄阶段农村留守儿童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困境儿童需求，组织开展游戏、体育、文化、艺术、阅读、社会实践、科学体验活动等</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每周至少开展一次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5</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实施资源链接工程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利用各类民政服务设施、公共文化服务设施等场地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构建多领域联动参与机制</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整合“政策、资金、人员、项目”四大资源</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实现各类资源统筹联动和工作力量有效凝聚</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为未成年人提供全方位的“赋能”服务</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开展教育</w:t>
            </w:r>
            <w:r>
              <w:rPr>
                <w:rFonts w:hint="eastAsia" w:ascii="宋体" w:hAnsi="宋体" w:eastAsia="宋体" w:cs="宋体"/>
                <w:sz w:val="20"/>
                <w:szCs w:val="20"/>
                <w:lang w:val="en"/>
              </w:rPr>
              <w:t xml:space="preserve">志愿</w:t>
            </w:r>
            <w:r>
              <w:rPr>
                <w:rFonts w:hint="eastAsia" w:ascii="宋体" w:hAnsi="宋体" w:eastAsia="宋体" w:cs="宋体"/>
                <w:sz w:val="20"/>
                <w:szCs w:val="20"/>
              </w:rPr>
              <w:t xml:space="preserve">帮扶</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为农村留守儿童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困境儿童提供非在校期间的学业辅导，帮助解决学习、生活、成长中的实际问题</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每周至少开展一次</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开展心理健康服务</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加强对农村留守儿童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困境儿童的心理辅导，进行关爱教育和情感抚慰，弥补农村留守儿童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困境儿童家庭关爱的缺失</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每半月至少开展一次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实施社会倡导工程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加强政策宣讲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通过公开栏、电子屏、公益产品等多渠道宣传未成年人保护法律法规</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开展防溺水、防侵害、防意外等风险防范知识宣传和法治宣传教育</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查阅台账、宣传方案、活动记录、活动照片。</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组织开展儿童督导员、儿童主任、社会组织、志愿者等能力培训</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lang w:val="en"/>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查阅台账、培训方案、活动记录、活动照片。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困境儿童自我保护教育和法治教育，提升农村留守儿童</w:t>
            </w:r>
            <w:r>
              <w:rPr>
                <w:rFonts w:hint="eastAsia" w:ascii="宋体" w:hAnsi="宋体" w:eastAsia="宋体" w:cs="宋体"/>
                <w:sz w:val="20"/>
                <w:szCs w:val="20"/>
                <w:lang w:eastAsia="zh-CN"/>
              </w:rPr>
              <w:t xml:space="preserve">和</w:t>
            </w:r>
            <w:r>
              <w:rPr>
                <w:rFonts w:hint="eastAsia" w:ascii="宋体" w:hAnsi="宋体" w:eastAsia="宋体" w:cs="宋体"/>
                <w:sz w:val="20"/>
                <w:szCs w:val="20"/>
              </w:rPr>
              <w:t xml:space="preserve">困境儿童的安全防范意识和自我保护能力</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bl>
    <w:p>
      <w:pPr>
        <w:jc w:val="both"/>
        <w:rPr>
          <w:rFonts w:hint="default" w:hAnsi="宋体" w:cs="宋体"/>
          <w:b/>
          <w:bCs/>
          <w:color w:val="auto"/>
          <w:sz w:val="32"/>
          <w:szCs w:val="32"/>
          <w:highlight w:val="none"/>
          <w:lang w:val="en-US" w:eastAsia="zh-CN"/>
        </w:rPr>
        <w:outlineLvl w:val="0"/>
      </w:pPr>
      <w:r>
        <w:rPr>
          <w:rFonts w:hint="default"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val="0"/>
          <w:bCs w:val="0"/>
          <w:color w:val="auto"/>
          <w:sz w:val="28"/>
          <w:szCs w:val="28"/>
          <w:highlight w:val="none"/>
          <w:lang w:val="en-US" w:eastAsia="zh-CN"/>
        </w:rPr>
        <w:t xml:space="preserve">附件5：</w:t>
      </w:r>
      <w:r/>
    </w:p>
    <w:p>
      <w:pPr>
        <w:ind w:right="0"/>
        <w:jc w:val="center"/>
        <w:keepLines w:val="0"/>
        <w:keepNext w:val="0"/>
        <w:pageBreakBefore w:val="0"/>
        <w:spacing w:before="0" w:after="0" w:line="360" w:lineRule="auto"/>
        <w:widowControl/>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城厢镇民政服务站日常运营维护、社会组织孵化培育工作评分表</w:t>
      </w:r>
      <w:r/>
    </w:p>
    <w:tbl>
      <w:tblPr>
        <w:tblStyle w:val="819"/>
        <w:tblW w:w="9737"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3"/>
        <w:gridCol w:w="690"/>
        <w:gridCol w:w="2776"/>
        <w:gridCol w:w="764"/>
        <w:gridCol w:w="3273"/>
        <w:gridCol w:w="600"/>
        <w:gridCol w:w="791"/>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一、民服站日常运营维护（20分）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固定资产与环境管理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定期进行办公设备、固定资产登记管理，做好固定资产登记表；做好办公环境日常维护，保持民服站整洁有序。</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5-6分：固定资产登记完整准确，办公环境整洁规范，维护及时到位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3-4分：固定资产基本登记，办公环境整体较好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1-2分：登记不完整，环境维护不到位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0分：未开展固定资产管理和环境维护工作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eastAsia" w:ascii="Calibri" w:hAnsi="Calibri" w:eastAsia="等线" w:cs="Calibri"/>
                <w:i w:val="0"/>
                <w:iCs w:val="0"/>
                <w:color w:val="000000"/>
                <w:sz w:val="22"/>
                <w:szCs w:val="22"/>
                <w:u w:val="none"/>
              </w:rPr>
            </w:pPr>
            <w:r>
              <w:rPr>
                <w:rFonts w:hint="eastAsia"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会务接待与日常管理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负责会议室登记使用、来访人员咨询引导、来访车辆停车场导杆管理；配合做好外来访客的参观接待工作，进行专业解说和沟通协调。</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5-7分：会务接待规范有序，解说专业到位，访客满意度高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3-4分：日常管理基本到位，接待工作基本完成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1-2分：接待管理零散，偶有疏漏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0分：未开展会务接待相关工作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规范化制度与物资管理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制定民服站办公规范化管理办法，明确各项职能，保证平台正常运营；清点民服站公共空间办公用品及宣传物资，及时做好更新补充；落实民服站场地、人员、经费等具体安排，保证民服站正常运行。</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5-7分：制度健全规范，物资管理清晰，更新及时，保障有力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3-4分：制度基本建立，物资管理较好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1-2分：制度不完善，物资管理不规范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0分：未建立管理制度，物资管理混乱</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二、社会组织培育孵化（35分）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社会组织调研与孵化</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开展社区需求调研访谈，梳理各社区社会组织分布和发展情况，完成城厢镇社区社会组织发展情况调研报告；积极开展本土社会组织、特别是社区社会组织培育孵化工作。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9-10分：调研报告详实深入，孵化质量高、成效显著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6-8分：调研基本完成，孵化效果较好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1-5分：调研不够深入，孵化效果较差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0分：未开展调研及孵化工作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增能培训与队伍建设</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面向镇民服站社工、社区工作人员、社会组织骨干，围绕社工专业能力、项目管理、案例撰写等主题开展系统培训或定制化培训，提升基层社工队伍专业素养和实务能力，每年不少于4次。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9-10分：全年≥4次，培训体系完善，主题丰富针对性强，参训人员满意度高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6-8分：全年3次，培训按期开展，内容较充实，效果较好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1-5分：全年1-2次，培训频次不足，内容单一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0分：未开展社工专业能力培训</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督导咨询与内部建设指导</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培育孵化的社会组织提供内部管理实践指导，定期提供督导咨询服务，内容涵盖登记注册、日常管理、政策法律、台账准备和项目执行等，每月集中开展不少于1次，每次参与的社会组织数量不少于5家（不含民服站入驻社会组织）。</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12-15分：每月集中开展≥1次，每次参与社会组织≥5家，指导专业全面，成效显著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8-11分：督导基本按期开展，参与家数基本达标，指导效果较好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1-7分：督导频次不足，参与家数不够，指导内容单一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0分：未开展督导咨询服务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三、公益创投项目运营（30分）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创投项目策划与征集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承办"益心一益"公益创投项目，制定实施方案；开展项目需求调研、公开征集与申报指导，引导社会组织开发符合社区治理、社区服务需求的新项目；组织开展申报项目初筛与公开集中评审活动。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9-10分：方案完善，征集评审规范有序，项目质量高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6-8分：方案基本完整，评审工作顺利完成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1-5分：方案简单，征集评审不够规范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0分：未开展创投项目策划征集工作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项目日常监管与评估</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针对入选项目组织签约，加强项目规范管理和日常监管，确保项目顺利推进和服务成效，每个项目每年不少于8次；结合项目实施进展，组织开展项目中期和结项评估工作。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11-14分：监管全覆盖，每项目年≥8次，评估专业规范，成效显著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8-10分：监管基本到位，评估工作顺利开展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1-7分：监管频次不足，评估不够深入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0分：未开展项目监管与评估工作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项目成效总结与提炼</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总结提炼"益心一益"项目实施成效、工作亮点，编撰项目工作总结报告，形成可复制可推广的经验成果。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5-6分：总结报告详实，亮点提炼充分，经验价值高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3-4分：总结基本完整，有一定成效梳理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1-2分：总结简单，内容不够深入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0分：未开展项目总结工作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四、综合服务与协助（15分）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社会组织登记管理辅助</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登记管理机关开展社会组织年检、等级评估、执法监管、法规政策宣传辅导等工作；指导辖区社会组织开展规范化建设和诚信建设；指导符合条件的社会组织申请各类政策补贴；及时发现、处置、上报非法社会组织活动信息。</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4-5分：协助工作全面到位，指导专业，上报及时准确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3分：协助工作基本完成，效果较好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1-2分：协助内容零散，完成度一般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0分：未开展登记管理辅助工作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社工考试考前培训</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组织全国社会工作者职业资格考试考前培训工作，聘请经科室认可的专业授课老师，在考试报名后开展培训辅导，分别覆盖初级、中级两个级别，每一级别下的每门考试科目均安排不少于1节辅导课程，全年开展一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4-5分：按时组织培训，师资经科室认可，初/中级各科目全覆盖，每门均有课程，参训效果好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3分：基本组织培训，师资基本达标，主要科目均有覆盖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1-2分：培训组织不规范，师资未提前确认，部分科目缺失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0分：未组织考前培训</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其他协助类事项</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配合民政办完成民服站的各类材料整理、数据收集统计、报表填报等工作，及时响应民政部门交办的临时性、辅助性工作任务。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4-5分：响应及时高效，材料数据准确完整，配合度高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3分：基本完成各项协助工作，质量较好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1-2分：响应不够及时，偶有疏漏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0分：未配合开展协助类工作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66"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bl>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r>
      <w:r/>
    </w:p>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r>
      <w:r/>
    </w:p>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t xml:space="preserve">附件6：</w:t>
      </w:r>
      <w:r/>
    </w:p>
    <w:p>
      <w:pPr>
        <w:jc w:val="center"/>
        <w:rPr>
          <w:rFonts w:hint="eastAsia" w:ascii="宋体" w:hAnsi="宋体" w:eastAsia="宋体" w:cs="宋体"/>
          <w:b w:val="0"/>
          <w:bCs w:val="0"/>
          <w:sz w:val="21"/>
          <w:szCs w:val="21"/>
          <w:highlight w:val="none"/>
          <w:lang w:val="en-US" w:eastAsia="zh-CN"/>
        </w:rPr>
        <w:outlineLvl w:val="0"/>
      </w:pPr>
      <w:r>
        <w:rPr>
          <w:rFonts w:hint="eastAsia" w:ascii="宋体" w:hAnsi="宋体" w:eastAsia="宋体" w:cs="宋体"/>
          <w:b w:val="0"/>
          <w:bCs w:val="0"/>
          <w:sz w:val="21"/>
          <w:szCs w:val="21"/>
          <w:highlight w:val="none"/>
          <w:lang w:val="en-US" w:eastAsia="zh-CN"/>
        </w:rPr>
        <w:t xml:space="preserve">《关于进一步完善社会救助社会化工作考评办法的通知》（太政民〔2020〕32号）</w:t>
      </w:r>
      <w:r/>
    </w:p>
    <w:p>
      <w:pPr>
        <w:ind w:right="-350"/>
        <w:jc w:val="center"/>
        <w:rPr>
          <w:rFonts w:hint="default" w:ascii="Calibri" w:hAnsi="Calibri" w:eastAsia="Times New Roman" w:cs="Times New Roman"/>
          <w:b/>
          <w:color w:val="ff0000"/>
          <w:sz w:val="130"/>
          <w:szCs w:val="24"/>
        </w:rPr>
      </w:pPr>
      <w:r>
        <w:rPr>
          <w:rFonts w:hint="eastAsia" w:ascii="Calibri" w:hAnsi="Calibri" w:eastAsia="宋体" w:cs="Times New Roman"/>
          <w:b/>
          <w:color w:val="ff0000"/>
          <w:sz w:val="130"/>
          <w:szCs w:val="24"/>
        </w:rPr>
        <w:t xml:space="preserve">太仓市民政局文件</w:t>
      </w:r>
      <w:r/>
    </w:p>
    <w:p>
      <w:pPr>
        <w:jc w:val="center"/>
        <w:spacing w:line="400" w:lineRule="exact"/>
        <w:rPr>
          <w:rFonts w:hint="eastAsia" w:ascii="仿宋_GB2312" w:hAnsi="Calibri" w:eastAsia="仿宋_GB2312" w:cs="Times New Roman"/>
          <w:sz w:val="32"/>
          <w:szCs w:val="24"/>
        </w:rPr>
      </w:pPr>
      <w:r>
        <w:rPr>
          <w:rFonts w:hint="eastAsia" w:ascii="仿宋_GB2312" w:hAnsi="Calibri" w:eastAsia="仿宋_GB2312" w:cs="Times New Roman"/>
          <w:sz w:val="32"/>
          <w:szCs w:val="24"/>
        </w:rPr>
      </w:r>
      <w:r/>
    </w:p>
    <w:p>
      <w:pPr>
        <w:jc w:val="center"/>
        <w:rPr>
          <w:rFonts w:hint="eastAsia" w:ascii="仿宋_GB2312" w:hAnsi="Calibri" w:eastAsia="仿宋_GB2312" w:cs="Times New Roman"/>
          <w:sz w:val="32"/>
          <w:szCs w:val="24"/>
        </w:rPr>
      </w:pPr>
      <w:r>
        <w:rPr>
          <w:rFonts w:hint="eastAsia" w:ascii="仿宋_GB2312" w:hAnsi="Calibri" w:eastAsia="仿宋_GB2312" w:cs="Times New Roman"/>
          <w:sz w:val="32"/>
          <w:szCs w:val="24"/>
        </w:rPr>
        <w:t xml:space="preserve">太政民〔2020〕32号</w:t>
      </w:r>
      <w:r/>
    </w:p>
    <w:p>
      <w:pPr>
        <w:jc w:val="center"/>
        <w:rPr>
          <w:rFonts w:hint="eastAsia" w:ascii="Calibri" w:hAnsi="Calibri" w:eastAsia="宋体" w:cs="Times New Roman"/>
          <w:b/>
          <w:color w:val="ff0000"/>
          <w:sz w:val="52"/>
          <w:szCs w:val="24"/>
        </w:rPr>
      </w:pPr>
      <w:r>
        <w:rPr>
          <w:rFonts w:hint="default" w:ascii="Calibri" w:hAnsi="Calibri" w:eastAsia="宋体" w:cs="Times New Roman"/>
          <w:b/>
          <w:color w:val="ff0000"/>
          <w:sz w:val="52"/>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297180</wp:posOffset>
                </wp:positionV>
                <wp:extent cx="5417820" cy="0"/>
                <wp:effectExtent l="0" t="28575" r="11430" b="28575"/>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417820" cy="0"/>
                        </a:xfrm>
                        <a:prstGeom prst="line">
                          <a:avLst/>
                        </a:prstGeom>
                        <a:ln w="5715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0.0pt,23.4pt" to="426.6pt,23.4pt" filled="f" strokecolor="#FF0000" strokeweight="4.50pt">
                <v:stroke dashstyle="solid"/>
              </v:line>
            </w:pict>
          </mc:Fallback>
        </mc:AlternateContent>
      </w:r>
      <w:r/>
    </w:p>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关于进一步完善社会救助社会化工作</w:t>
      </w:r>
      <w:r>
        <w:rPr>
          <w:rFonts w:hint="eastAsia" w:ascii="宋体" w:hAnsi="宋体" w:eastAsia="宋体" w:cs="宋体"/>
          <w:sz w:val="21"/>
          <w:szCs w:val="21"/>
        </w:rPr>
        <w:t xml:space="preserve">考评办法的通知</w:t>
      </w:r>
      <w:r/>
    </w:p>
    <w:p>
      <w:pPr>
        <w:jc w:val="both"/>
        <w:rPr>
          <w:rFonts w:hint="eastAsia" w:ascii="宋体" w:hAnsi="宋体" w:eastAsia="宋体" w:cs="宋体"/>
          <w:sz w:val="21"/>
          <w:szCs w:val="21"/>
        </w:rPr>
      </w:pPr>
      <w:r>
        <w:rPr>
          <w:rFonts w:hint="eastAsia" w:ascii="宋体" w:hAnsi="宋体" w:eastAsia="宋体" w:cs="宋体"/>
          <w:sz w:val="21"/>
          <w:szCs w:val="21"/>
        </w:rPr>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各镇、区（街道）民政办：</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社会救助社会化，作为社会力量参与社会救助工作的有益补充，实施以来，有效满足了社会救助对象差异化、多样化、个性化的服务需求，拓展和延伸了社会救助的深度和广度。为不断改进我市社会救助社会化工作管理机制，提升社会化服务水平与能力，现将社会救助社会化工作考评办法做进一步完善要求。</w:t>
      </w:r>
      <w:r/>
    </w:p>
    <w:p>
      <w:pPr>
        <w:ind w:firstLine="21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一、考评原则</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社会救助社会化工作考评，坚持实事求是、客观公正、科学合理、公开透明的原则，做到“四个结合”：规范常规工作与鼓励探索创新相结合，定性评估与定量考评相结合，突出重点与综合比较相结合，平时工作与年度考核相结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hAnsi="宋体" w:cs="宋体"/>
          <w:b w:val="0"/>
          <w:bCs w:val="0"/>
          <w:sz w:val="21"/>
          <w:szCs w:val="21"/>
          <w:lang w:val="en-US" w:eastAsia="zh-CN"/>
        </w:rPr>
        <w:t xml:space="preserve">二、</w:t>
      </w:r>
      <w:r>
        <w:rPr>
          <w:rFonts w:hint="eastAsia" w:ascii="宋体" w:hAnsi="宋体" w:eastAsia="宋体" w:cs="宋体"/>
          <w:b w:val="0"/>
          <w:bCs w:val="0"/>
          <w:sz w:val="21"/>
          <w:szCs w:val="21"/>
          <w:lang w:val="en-US" w:eastAsia="zh-CN"/>
        </w:rPr>
        <w:t xml:space="preserve">考评主体</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太仓市低收入家庭帮扶中心按照考评标准，对镇、区（街道）开展的社会救助社会化进行考评，并形成考评等级，考评等级结果将作为发放市级补助项目运行资金的主要依据。</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三、考评时间</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原则上对镇、区（街道）民政办年度内开展的社会救助社会化运行情况每年考评一次，具体时间按考评程序分批进行，于次年3月综合考核结束。</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考评内容</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各镇、区（街道）民政办及时组织开展社会救助社会化工作，监督并指导社会组织总体运行情况，包括服务实施、政策宣传、帮扶成效以及创新做法。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（一）服务实施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1、入户走访。对低保、低保边缘、特困人员及低收入困难家庭入户走访，并根据实际情况细化一至五类家庭。按照“娄城益帮扶”微信小程序要求，及时录入走访家庭基本情况等，走访录入需有定位、走访照片，否则视为无效走访。</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其中，一类对象指政府重点关注对象，主要为分散供养人员及低保中60周岁以上的单人户；二类对象指政府兜底对象，主要为家中无劳动能力，依靠自身力量无法脱贫家庭；三类对象指有劳动能力对象，依靠自身力量有望脱贫家庭；四类对象指短期内可脱贫对象，需重点跟进的家庭；五类对象指低收入困难对象，有潜在救助需求的家庭。</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开展“一户一档一策”工作。按照走访家庭实际情况，完善家庭档案并制定相应帮扶对策。档案包括家庭概况、成员信息、困难情况评估、帮扶对策分析、帮扶工作计划、帮扶工作进展记录等，家庭需求发生变化的应对“一策”及时调整，确保“一策”动态更新，贴合家庭实际。</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3、实施个性服务。按照“一策”制定情况，定期对走访对象实施形式多样的服务，服务需有照片以及开展情况介绍（包括服务时间、目的、过程、成效等）等文字记录，同时作为“一户一档一策”材料归档。</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（二）政策宣传</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对重点社会救助政策及年度内出台的社会救助新政策，以多样化的活动形式进行宣传，并形成宣传报道，提升社会救助政策普及率、知晓率。</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（三）帮扶成效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1、年度报告。对年度内开展的社会救助社会化运行情况形成年度报告，全面总结走访服务、帮扶成效、经验总结、短板不足等。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t xml:space="preserve">帮扶案例。对年度内开展的社会救助走访服务，形成有成效的个案，包括前期咨询记录，问题评估分析、服务计划表、过程记录、帮扶成效等。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3、主动发现。对走访的困难家庭主动发现需求，根据实际需求帮助申请民政相关救助或链接相关帮扶资源，并对救助帮扶结果进行跟踪反馈。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4、经验交流。定期组织并参加经验交流会，原则上镇级每季度需组织召开一次，市级每半年召开一次。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（四）创新做法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开展“娄城益帮扶”精准帮扶项目。鼓励社会组织对我市低保、低保边缘、特困供养人员、困难残疾人、低收入人员等开展精准帮扶项目。利用社会组织专业化优势开展例如政策宣传类、心理健康疏导类、就业辅导类等服务性项目，有效扩大社会救助社会化影响力度，促进我市精准帮扶。</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2、创新服务亮点。主动发现其他具有可推广、可复制的创新工作，开展有特色亮点的服务举措。</w:t>
      </w:r>
      <w:r/>
    </w:p>
    <w:p>
      <w:pPr>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五、考评程序</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社会救助社会化工作考评程序主要包括：</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1、上报自评表。根据社会救助社会化精准帮扶项目考评细化表（详见附件），结合社会救助社会化开展情况，12月底形成自评得分上报低收入家庭帮扶中心；</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2、提交材料总结。针对考评内容，提交相应材料（需照片佐证的提供照片），于12月底和自评表一并上报；</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3、现场考察。次年3月左右，按相关要求到各镇、区（街道）现场查看个性化服务案例、“娄城益帮扶”精准帮扶项目等；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4、评价反馈。根据社会组织自评表、材料总结及现场考核等程序，按照社会救助社会化精准帮扶项目考评细化表，以百分制形式进行打分，形成考评等级并予以反馈。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六、考评结果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1、分值计算：</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社会救助社会化工作考评采用百分制，分为四个等级：90分以上为优秀，75-89分为良好，60-74分为合格，60分以下为不合格。</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2、奖惩措施：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在考评中达到优秀的，给予100%运行资金；在考评中达到良好的，给予90%运行资金；在考评中达到合格的，给予70%运行资金；不合格的，根据实施情况酌情给予运行资金。</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七、资金下拨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按微信小程序录入走访户数和考核等级结果进行综合考量，测算“年度考核计入户数”，考核结束后按“年度考核计入户数”拨付补助资金，并进行当年资金预拨。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八、考评要求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1、要严格按照考评内容，客观公正地对各镇、区（街道）开展考评，真实公布考评结果，不得徇私舞弊，弄虚作假。</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2、各镇、区（街道）要正确对待社会救助社会化工作考评，对照考评内容按时进行自查，针对考评结果做好整改落实工作。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3、各镇、区（街道）可根据文件要求，结合本地实际，对辖区内社会组织开展社会化服务工作进行考核评估，建立监督管理机制，加强指导、检查，确保社会救助社会化服务取得成效。</w:t>
      </w:r>
      <w:r/>
    </w:p>
    <w:p>
      <w:pPr>
        <w:ind w:firstLine="819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太仓市民政局 </w:t>
      </w:r>
      <w:r/>
    </w:p>
    <w:p>
      <w:pPr>
        <w:ind w:right="320"/>
        <w:jc w:val="right"/>
        <w:spacing w:line="560" w:lineRule="exact"/>
        <w:rPr>
          <w:rFonts w:hint="eastAsia" w:ascii="宋体" w:hAnsi="宋体" w:eastAsia="宋体" w:cs="宋体"/>
          <w:sz w:val="21"/>
          <w:szCs w:val="21"/>
        </w:rPr>
      </w:pPr>
      <w:r>
        <w:rPr>
          <w:rFonts w:hint="eastAsia" w:ascii="宋体" w:hAnsi="宋体" w:eastAsia="宋体" w:cs="宋体"/>
          <w:sz w:val="21"/>
          <w:szCs w:val="21"/>
        </w:rPr>
        <w:t xml:space="preserve">                                  2020年4月15日</w:t>
      </w:r>
      <w:r/>
    </w:p>
    <w:p>
      <w:pPr>
        <w:jc w:val="both"/>
        <w:spacing w:line="580" w:lineRule="exact"/>
        <w:rPr>
          <w:rFonts w:hint="eastAsia" w:ascii="宋体" w:hAnsi="宋体" w:eastAsia="宋体" w:cs="宋体"/>
          <w:sz w:val="21"/>
          <w:szCs w:val="21"/>
        </w:rPr>
      </w:pPr>
      <w:r>
        <w:rPr>
          <w:rFonts w:hint="eastAsia" w:ascii="宋体" w:hAnsi="宋体" w:eastAsia="宋体" w:cs="宋体"/>
          <w:sz w:val="21"/>
          <w:szCs w:val="21"/>
        </w:rPr>
        <w:t xml:space="preserve">（此件公开发布）</w:t>
      </w:r>
      <w:r/>
    </w:p>
    <w:p>
      <w:pPr>
        <w:jc w:val="both"/>
        <w:spacing w:line="5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附件：太仓市社会救助社会化精准帮扶项目考评细化表</w:t>
      </w:r>
      <w:r/>
    </w:p>
    <w:p>
      <w:pPr>
        <w:jc w:val="both"/>
        <w:widowControl/>
        <w:rPr>
          <w:rFonts w:hint="eastAsia" w:ascii="宋体" w:hAnsi="宋体" w:eastAsia="宋体" w:cs="宋体"/>
          <w:sz w:val="21"/>
          <w:szCs w:val="21"/>
        </w:rPr>
      </w:pPr>
      <w:r>
        <w:rPr>
          <w:rFonts w:hint="eastAsia" w:ascii="宋体" w:hAnsi="宋体" w:eastAsia="宋体" w:cs="宋体"/>
          <w:sz w:val="21"/>
          <w:szCs w:val="21"/>
        </w:rPr>
        <w:t xml:space="preserve">单位名称：                                    考评时间：   年   月   日</w:t>
      </w:r>
      <w:r/>
    </w:p>
    <w:tbl>
      <w:tblPr>
        <w:tblStyle w:val="819"/>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40"/>
        <w:gridCol w:w="2810"/>
        <w:gridCol w:w="3958"/>
        <w:gridCol w:w="705"/>
        <w:gridCol w:w="795"/>
      </w:tblGrid>
      <w:tr>
        <w:trPr>
          <w:jc w:val="center"/>
          <w:trHeight w:val="6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项目</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分值</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center"/>
              <w:widowControl/>
              <w:rPr>
                <w:rFonts w:hint="eastAsia" w:ascii="宋体" w:hAnsi="宋体" w:eastAsia="宋体" w:cs="宋体"/>
                <w:b/>
                <w:color w:val="auto"/>
                <w:sz w:val="20"/>
                <w:szCs w:val="20"/>
              </w:rPr>
            </w:pPr>
            <w:r>
              <w:rPr>
                <w:rFonts w:hint="eastAsia" w:ascii="宋体" w:hAnsi="宋体" w:eastAsia="宋体" w:cs="宋体"/>
                <w:b/>
                <w:color w:val="auto"/>
                <w:sz w:val="20"/>
                <w:szCs w:val="20"/>
              </w:rPr>
              <w:t xml:space="preserve">考评内容</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center"/>
              <w:widowControl/>
              <w:rPr>
                <w:rFonts w:hint="eastAsia" w:ascii="宋体" w:hAnsi="宋体" w:eastAsia="宋体" w:cs="宋体"/>
                <w:b/>
                <w:color w:val="auto"/>
                <w:sz w:val="20"/>
                <w:szCs w:val="20"/>
              </w:rPr>
            </w:pPr>
            <w:r>
              <w:rPr>
                <w:rFonts w:hint="eastAsia" w:ascii="宋体" w:hAnsi="宋体" w:eastAsia="宋体" w:cs="宋体"/>
                <w:b/>
                <w:color w:val="auto"/>
                <w:sz w:val="20"/>
                <w:szCs w:val="20"/>
              </w:rPr>
              <w:t xml:space="preserve">备注说明</w:t>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得分情况</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扣分</w:t>
            </w:r>
            <w:r/>
          </w:p>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原因</w:t>
            </w:r>
            <w:r/>
          </w:p>
        </w:tc>
      </w:tr>
      <w:tr>
        <w:trPr>
          <w:jc w:val="center"/>
          <w:trHeight w:val="735"/>
        </w:trPr>
        <w:tc>
          <w:tcPr>
            <w:tcBorders>
              <w:top w:val="none" w:color="000000"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服务实施</w:t>
            </w:r>
            <w:r/>
          </w:p>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及时开展5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镇、区（街道）及时组织开展社会救助社会化项目，不造成项目脱节。</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未及时开展的视实际情况扣分。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060"/>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分类走访</w:t>
            </w:r>
            <w:r/>
          </w:p>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①对走访家庭按要求进行细化分类。</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②每类对象保证一定走访次数。</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一类上门至少12次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二类上门至少2次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三类上门至少4次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四类上门至少6次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五类上门至少1次</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①按家庭情况分成五类，根据对象类别分别制定走访计划。无细化类别不得分，少一项类别扣3分，少一项计划扣2分。</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②五类对象上门次数不达要求，少一次扣1分。</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75"/>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建立档案10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开展“一户一档一策”工作，建立并完善家庭档案。</w:t>
            </w:r>
            <w:r/>
          </w:p>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档案内容不规范、更新不及时扣2分；未录入微信小程序每项扣2分；“一策”未及时更新扣1分，发生明显雷同的扣5分。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25"/>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开展服务   15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定期对有需求的困难家庭开展个性化服务，相关材料及时归档。</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对走访家庭开展服务不少于走访户数的20%。服务需有照片及文字记录，否则不计入服务次数。</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40"/>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政策宣传</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政策宣传</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全年组织2次以上活动，宣传救助政策（其中1次需结合社会救助宣传月开展）。</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未满2次不得分。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74"/>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信息报道</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全年宣传报道不少于4次。</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未满4次不得分。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22"/>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帮扶成效</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年度报告</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按要求形成年度报告。</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结构完整，不少于2500字，按报告完整度酌情给分。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57"/>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形成案例10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形成个性化案例5例，有完整的案例资料。</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每1例2分。案例资料内容不规范，不全面酌情扣分。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77"/>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主动发现困难家庭，根据实际需求情况帮助发起相关救助或帮扶。</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主动发现5户以上得3分，5户以上每多1户加1分；每成功救助帮扶1户得2分；未从小程序发起救助不得分。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05"/>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经验交流</w:t>
            </w:r>
            <w:r/>
          </w:p>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定期组织并参加经验交流会。</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未定期组织并参加1次扣2.5分，会议需有相关记录及照片。</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5"/>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加分项</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项目开展</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年度内开展“娄城益帮扶”精准化帮扶项目。</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有一项项目得2分，每增加一项得1分，项目内容及惠及人员需录入小程序。（低保、边缘等惠及人员应占总项目人数的50%以上）</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17"/>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创新亮点5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t xml:space="preserve">社会化工作有特色、亮点做法。</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sz w:val="20"/>
                <w:szCs w:val="20"/>
              </w:rPr>
            </w:pPr>
            <w:r>
              <w:rPr>
                <w:rFonts w:hint="eastAsia" w:ascii="宋体" w:hAnsi="宋体" w:eastAsia="宋体" w:cs="宋体"/>
                <w:color w:val="auto"/>
                <w:sz w:val="20"/>
                <w:szCs w:val="20"/>
              </w:rPr>
              <w:t xml:space="preserve">被苏州以上部门认可的加5分，被苏州部门认可的加3分，被本市部门认可的加2分，依最高分统计。</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bl>
    <w:p>
      <w:pPr>
        <w:jc w:val="both"/>
        <w:keepLines w:val="0"/>
        <w:keepNext w:val="0"/>
        <w:pageBreakBefore w:val="0"/>
        <w:spacing w:line="360" w:lineRule="auto"/>
        <w:widowControl w:val="off"/>
        <w:rPr>
          <w:rFonts w:hint="eastAsia"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r>
      <w:r/>
    </w:p>
    <w:p>
      <w:pPr>
        <w:jc w:val="both"/>
        <w:rPr>
          <w:rFonts w:hint="eastAsia" w:hAnsi="宋体" w:cs="宋体"/>
          <w:b w:val="0"/>
          <w:bCs w:val="0"/>
          <w:sz w:val="28"/>
          <w:szCs w:val="28"/>
          <w:highlight w:val="none"/>
          <w:lang w:val="en-US" w:eastAsia="zh-CN"/>
        </w:rPr>
        <w:outlineLvl w:val="0"/>
      </w:pPr>
      <w:r>
        <w:rPr>
          <w:rFonts w:hint="eastAsia" w:hAnsi="宋体" w:cs="宋体"/>
          <w:b w:val="0"/>
          <w:bCs w:val="0"/>
          <w:sz w:val="28"/>
          <w:szCs w:val="28"/>
          <w:highlight w:val="none"/>
          <w:lang w:val="en-US" w:eastAsia="zh-CN"/>
        </w:rPr>
        <w:t xml:space="preserve">附件7：</w:t>
      </w:r>
      <w:r/>
    </w:p>
    <w:p>
      <w:pPr>
        <w:jc w:val="center"/>
        <w:rPr>
          <w:rFonts w:hint="eastAsia" w:ascii="宋体" w:hAnsi="宋体" w:eastAsia="宋体" w:cs="宋体"/>
          <w:b w:val="0"/>
          <w:bCs w:val="0"/>
          <w:sz w:val="28"/>
          <w:szCs w:val="28"/>
          <w:lang w:val="en-US" w:eastAsia="zh-CN"/>
        </w:rPr>
        <w:outlineLvl w:val="0"/>
      </w:pPr>
      <w:r>
        <w:rPr>
          <w:rFonts w:hint="eastAsia" w:ascii="宋体" w:hAnsi="宋体" w:eastAsia="宋体" w:cs="宋体"/>
          <w:b w:val="0"/>
          <w:bCs w:val="0"/>
          <w:sz w:val="28"/>
          <w:szCs w:val="28"/>
          <w:lang w:val="en-US" w:eastAsia="zh-CN"/>
        </w:rPr>
        <w:t xml:space="preserve">&lt;关于推进全省社区慈善高质量发展的指导意见&gt;的通知》（苏民慈〔2026〕4号）文件</w:t>
      </w:r>
      <w:r/>
    </w:p>
    <w:p>
      <w:pPr>
        <w:ind w:left="29"/>
        <w:jc w:val="left"/>
        <w:spacing w:before="227" w:line="179" w:lineRule="auto"/>
        <w:rPr>
          <w:rFonts w:ascii="宋体" w:hAnsi="宋体" w:eastAsia="宋体" w:cs="宋体"/>
          <w:color w:val="000000"/>
          <w:sz w:val="70"/>
          <w:szCs w:val="70"/>
          <w:lang w:val="en-US" w:eastAsia="en-US" w:bidi="ar-SA"/>
        </w:rPr>
      </w:pPr>
      <w:r>
        <w:rPr>
          <w:rFonts w:ascii="宋体" w:hAnsi="宋体" w:eastAsia="宋体" w:cs="宋体"/>
          <w:b/>
          <w:bCs/>
          <w:color w:val="e02010"/>
          <w:spacing w:val="-38"/>
          <w:sz w:val="70"/>
          <w:szCs w:val="70"/>
          <w:lang w:val="en-US" w:eastAsia="en-US" w:bidi="ar-SA"/>
        </w:rPr>
        <w:t xml:space="preserve">江</w:t>
      </w:r>
      <w:r>
        <w:rPr>
          <w:rFonts w:ascii="宋体" w:hAnsi="宋体" w:eastAsia="宋体" w:cs="宋体"/>
          <w:color w:val="e02010"/>
          <w:spacing w:val="-3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苏</w:t>
      </w:r>
      <w:r>
        <w:rPr>
          <w:rFonts w:ascii="宋体" w:hAnsi="宋体" w:eastAsia="宋体" w:cs="宋体"/>
          <w:color w:val="e02010"/>
          <w:spacing w:val="30"/>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省</w:t>
      </w:r>
      <w:r>
        <w:rPr>
          <w:rFonts w:ascii="宋体" w:hAnsi="宋体" w:eastAsia="宋体" w:cs="宋体"/>
          <w:color w:val="e02010"/>
          <w:spacing w:val="14"/>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民</w:t>
      </w:r>
      <w:r>
        <w:rPr>
          <w:rFonts w:ascii="宋体" w:hAnsi="宋体" w:eastAsia="宋体" w:cs="宋体"/>
          <w:color w:val="e02010"/>
          <w:spacing w:val="1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政</w:t>
      </w:r>
      <w:r>
        <w:rPr>
          <w:rFonts w:ascii="宋体" w:hAnsi="宋体" w:eastAsia="宋体" w:cs="宋体"/>
          <w:color w:val="e02010"/>
          <w:spacing w:val="-3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厅</w:t>
      </w:r>
      <w:r/>
    </w:p>
    <w:p>
      <w:pPr>
        <w:jc w:val="right"/>
        <w:spacing w:line="175" w:lineRule="auto"/>
        <w:rPr>
          <w:rFonts w:ascii="宋体" w:hAnsi="宋体" w:eastAsia="宋体" w:cs="宋体"/>
          <w:color w:val="000000"/>
          <w:sz w:val="70"/>
          <w:szCs w:val="70"/>
          <w:lang w:val="en-US" w:eastAsia="en-US" w:bidi="ar-SA"/>
        </w:rPr>
      </w:pPr>
      <w:r>
        <w:rPr>
          <w:rFonts w:ascii="宋体" w:hAnsi="宋体" w:eastAsia="宋体" w:cs="宋体"/>
          <w:b/>
          <w:bCs/>
          <w:color w:val="f01010"/>
          <w:spacing w:val="-79"/>
          <w:sz w:val="70"/>
          <w:szCs w:val="70"/>
          <w:lang w:val="en-US" w:eastAsia="en-US" w:bidi="ar-SA"/>
        </w:rPr>
        <w:t xml:space="preserve">文</w:t>
      </w:r>
      <w:r>
        <w:rPr>
          <w:rFonts w:ascii="宋体" w:hAnsi="宋体" w:eastAsia="宋体" w:cs="宋体"/>
          <w:b/>
          <w:bCs/>
          <w:color w:val="f01010"/>
          <w:spacing w:val="-31"/>
          <w:sz w:val="70"/>
          <w:szCs w:val="70"/>
          <w:lang w:val="en-US" w:eastAsia="en-US" w:bidi="ar-SA"/>
        </w:rPr>
        <w:t xml:space="preserve">件</w:t>
      </w:r>
      <w:r/>
    </w:p>
    <w:p>
      <w:pPr>
        <w:ind w:left="29"/>
        <w:jc w:val="left"/>
        <w:spacing w:before="1" w:line="214" w:lineRule="auto"/>
        <w:rPr>
          <w:rFonts w:ascii="宋体" w:hAnsi="宋体" w:eastAsia="宋体" w:cs="宋体"/>
          <w:color w:val="000000"/>
          <w:sz w:val="70"/>
          <w:szCs w:val="70"/>
          <w:lang w:val="en-US" w:eastAsia="en-US" w:bidi="ar-SA"/>
        </w:rPr>
      </w:pPr>
      <w:r>
        <w:rPr>
          <w:rFonts w:ascii="宋体" w:hAnsi="宋体" w:eastAsia="宋体" w:cs="宋体"/>
          <w:b/>
          <w:bCs/>
          <w:color w:val="e02010"/>
          <w:spacing w:val="-26"/>
          <w:sz w:val="70"/>
          <w:szCs w:val="70"/>
          <w:lang w:val="en-US" w:eastAsia="en-US" w:bidi="ar-SA"/>
        </w:rPr>
        <w:t xml:space="preserve">中共江苏省委社会工作部</w:t>
      </w:r>
      <w:r/>
    </w:p>
    <w:p>
      <w:pPr>
        <w:jc w:val="left"/>
        <w:spacing w:line="27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70"/>
        <w:jc w:val="left"/>
        <w:spacing w:before="107" w:line="223" w:lineRule="auto"/>
        <w:widowControl/>
        <w:rPr>
          <w:rFonts w:ascii="仿宋" w:hAnsi="仿宋" w:eastAsia="仿宋" w:cs="仿宋"/>
          <w:color w:val="000000"/>
          <w:sz w:val="33"/>
          <w:szCs w:val="33"/>
          <w:lang w:eastAsia="en-US"/>
        </w:rPr>
      </w:pPr>
      <w:r>
        <w:rPr>
          <w:rFonts w:ascii="仿宋" w:hAnsi="仿宋" w:eastAsia="仿宋" w:cs="仿宋"/>
          <w:color w:val="000000"/>
          <w:spacing w:val="-3"/>
          <w:sz w:val="33"/>
          <w:szCs w:val="33"/>
          <w:lang w:eastAsia="en-US"/>
        </w:rPr>
        <w:t xml:space="preserve">苏民慈〔2026〕4号</w:t>
      </w:r>
      <w:r/>
    </w:p>
    <w:p>
      <w:pPr>
        <w:jc w:val="left"/>
        <w:spacing w:before="189" w:line="3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mc:AlternateContent>
          <mc:Choice Requires="wpg">
            <w:drawing>
              <wp:inline xmlns:wp="http://schemas.openxmlformats.org/drawingml/2006/wordprocessingDrawing" distT="0" distB="0" distL="0" distR="0">
                <wp:extent cx="5645150" cy="18415"/>
                <wp:effectExtent l="0" t="0" r="0" b="0"/>
                <wp:docPr id="7" name="IM 2"/>
                <wp:cNvGraphicFramePr/>
                <a:graphic xmlns:a="http://schemas.openxmlformats.org/drawingml/2006/main">
                  <a:graphicData uri="http://schemas.openxmlformats.org/drawingml/2006/picture">
                    <pic:pic xmlns:pic="http://schemas.openxmlformats.org/drawingml/2006/picture">
                      <pic:nvPicPr>
                        <pic:cNvPr id="8" name="IM 2"/>
                        <pic:cNvPicPr/>
                        <pic:nvPr/>
                      </pic:nvPicPr>
                      <pic:blipFill>
                        <a:blip r:embed="rId17"/>
                        <a:stretch/>
                      </pic:blipFill>
                      <pic:spPr bwMode="auto">
                        <a:xfrm>
                          <a:off x="0" y="0"/>
                          <a:ext cx="5645213" cy="190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4.5pt;height:1.4pt;mso-wrap-distance-left:0.0pt;mso-wrap-distance-top:0.0pt;mso-wrap-distance-right:0.0pt;mso-wrap-distance-bottom:0.0pt;" stroked="false">
                <v:path textboxrect="0,0,0,0"/>
                <v:imagedata r:id="rId17" o:title=""/>
              </v:shape>
            </w:pict>
          </mc:Fallback>
        </mc:AlternateContent>
      </w:r>
      <w:r/>
    </w:p>
    <w:p>
      <w:pPr>
        <w:jc w:val="left"/>
        <w:spacing w:line="39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center"/>
        <w:spacing w:before="157" w:line="219" w:lineRule="auto"/>
        <w:rPr>
          <w:rFonts w:ascii="宋体" w:hAnsi="宋体" w:eastAsia="宋体" w:cs="宋体"/>
          <w:color w:val="000000"/>
          <w:sz w:val="48"/>
          <w:szCs w:val="48"/>
          <w:lang w:val="en-US" w:eastAsia="en-US" w:bidi="ar-SA"/>
        </w:rPr>
      </w:pPr>
      <w:r>
        <w:rPr>
          <w:rFonts w:ascii="宋体" w:hAnsi="宋体" w:eastAsia="宋体" w:cs="宋体"/>
          <w:b/>
          <w:bCs/>
          <w:color w:val="000000"/>
          <w:spacing w:val="-42"/>
          <w:sz w:val="48"/>
          <w:szCs w:val="48"/>
          <w:lang w:val="en-US" w:eastAsia="en-US" w:bidi="ar-SA"/>
        </w:rPr>
        <w:t xml:space="preserve">江苏省民政厅</w:t>
      </w:r>
      <w:r>
        <w:rPr>
          <w:rFonts w:ascii="宋体" w:hAnsi="宋体" w:eastAsia="宋体" w:cs="宋体"/>
          <w:color w:val="000000"/>
          <w:spacing w:val="197"/>
          <w:sz w:val="48"/>
          <w:szCs w:val="48"/>
          <w:lang w:val="en-US" w:eastAsia="en-US" w:bidi="ar-SA"/>
        </w:rPr>
        <w:t xml:space="preserve"> </w:t>
      </w:r>
      <w:r>
        <w:rPr>
          <w:rFonts w:ascii="宋体" w:hAnsi="宋体" w:eastAsia="宋体" w:cs="宋体"/>
          <w:b/>
          <w:bCs/>
          <w:color w:val="000000"/>
          <w:spacing w:val="-42"/>
          <w:sz w:val="48"/>
          <w:szCs w:val="48"/>
          <w:lang w:val="en-US" w:eastAsia="en-US" w:bidi="ar-SA"/>
        </w:rPr>
        <w:t xml:space="preserve">中共江苏省委社会工作部</w:t>
      </w:r>
      <w:r/>
    </w:p>
    <w:p>
      <w:pPr>
        <w:jc w:val="center"/>
        <w:spacing w:before="144" w:line="219" w:lineRule="auto"/>
        <w:rPr>
          <w:rFonts w:ascii="宋体" w:hAnsi="宋体" w:eastAsia="宋体" w:cs="宋体"/>
          <w:color w:val="000000"/>
          <w:sz w:val="48"/>
          <w:szCs w:val="48"/>
          <w:lang w:val="en-US" w:eastAsia="en-US" w:bidi="ar-SA"/>
        </w:rPr>
      </w:pPr>
      <w:r>
        <w:rPr>
          <w:rFonts w:ascii="宋体" w:hAnsi="宋体" w:eastAsia="宋体" w:cs="宋体"/>
          <w:b/>
          <w:bCs/>
          <w:color w:val="000000"/>
          <w:spacing w:val="-43"/>
          <w:sz w:val="48"/>
          <w:szCs w:val="48"/>
          <w:lang w:val="en-US" w:eastAsia="en-US" w:bidi="ar-SA"/>
        </w:rPr>
        <w:t xml:space="preserve">关于印发《关于推进全省社区慈善高质量</w:t>
      </w:r>
      <w:r>
        <w:rPr>
          <w:rFonts w:ascii="宋体" w:hAnsi="宋体" w:eastAsia="宋体" w:cs="宋体"/>
          <w:b/>
          <w:bCs/>
          <w:color w:val="000000"/>
          <w:spacing w:val="-41"/>
          <w:sz w:val="48"/>
          <w:szCs w:val="48"/>
          <w:lang w:val="en-US" w:eastAsia="en-US" w:bidi="ar-SA"/>
        </w:rPr>
        <w:t xml:space="preserve">发展的指导意见》的通知</w:t>
      </w:r>
      <w:r/>
    </w:p>
    <w:p>
      <w:pPr>
        <w:jc w:val="left"/>
        <w:spacing w:line="39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560"/>
        <w:jc w:val="both"/>
        <w:keepLines w:val="0"/>
        <w:keepNext w:val="0"/>
        <w:pageBreakBefore w:val="0"/>
        <w:spacing w:line="360" w:lineRule="auto"/>
        <w:widowControl w:val="off"/>
        <w:rPr>
          <w:rFonts w:hint="eastAsia" w:ascii="宋体" w:hAnsi="宋体" w:eastAsia="宋体" w:cs="宋体"/>
          <w:b w:val="0"/>
          <w:bCs w:val="0"/>
          <w:sz w:val="28"/>
          <w:szCs w:val="28"/>
          <w:lang w:val="en-US" w:eastAsia="en-US"/>
        </w:rPr>
      </w:pPr>
      <w:r>
        <w:rPr>
          <w:rFonts w:hint="eastAsia" w:ascii="宋体" w:hAnsi="宋体" w:eastAsia="宋体" w:cs="宋体"/>
          <w:b w:val="0"/>
          <w:bCs w:val="0"/>
          <w:sz w:val="28"/>
          <w:szCs w:val="28"/>
          <w:lang w:val="en-US" w:eastAsia="en-US"/>
        </w:rPr>
        <w:t xml:space="preserve">各设区市民政局、党委社会工作部：</w:t>
      </w:r>
      <w:r/>
    </w:p>
    <w:p>
      <w:pPr>
        <w:ind w:firstLine="560"/>
        <w:jc w:val="both"/>
        <w:keepLines w:val="0"/>
        <w:keepNext w:val="0"/>
        <w:pageBreakBefore w:val="0"/>
        <w:spacing w:line="360" w:lineRule="auto"/>
        <w:widowControl w:val="off"/>
        <w:rPr>
          <w:rFonts w:hint="eastAsia" w:ascii="宋体" w:hAnsi="宋体" w:eastAsia="宋体" w:cs="宋体"/>
          <w:b w:val="0"/>
          <w:bCs w:val="0"/>
          <w:sz w:val="28"/>
          <w:szCs w:val="28"/>
          <w:lang w:val="en-US" w:eastAsia="en-US"/>
        </w:rPr>
      </w:pPr>
      <w:r>
        <w:rPr>
          <w:rFonts w:hint="eastAsia" w:ascii="宋体" w:hAnsi="宋体" w:eastAsia="宋体" w:cs="宋体"/>
          <w:b w:val="0"/>
          <w:bCs w:val="0"/>
          <w:sz w:val="28"/>
          <w:szCs w:val="28"/>
          <w:lang w:val="en-US" w:eastAsia="en-US"/>
        </w:rPr>
        <w:t xml:space="preserve">为深入贯彻落实习近平新时代中国特色社会主义思想， 充分发挥慈善在服务保障民生、参与基层治理、促进共同富 裕中的积极作用，在征求省有关部门、单位意见基础上，省 民政厅、省委社会工作部制定了《关于推进全省社区慈善高 质量发展的指导意见》,现印发给你们，请结合实际，认真 抓好贯彻落实。</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89"/>
        <w:jc w:val="left"/>
        <w:spacing w:before="104" w:line="224" w:lineRule="auto"/>
        <w:widowControl/>
        <w:rPr>
          <w:rFonts w:ascii="仿宋" w:hAnsi="仿宋" w:eastAsia="仿宋" w:cs="仿宋"/>
          <w:color w:val="000000"/>
          <w:sz w:val="32"/>
          <w:szCs w:val="32"/>
          <w:lang w:eastAsia="en-US"/>
        </w:rPr>
      </w:pPr>
      <w:r>
        <w:rPr>
          <w:rFonts w:ascii="仿宋" w:hAnsi="仿宋" w:eastAsia="仿宋" w:cs="仿宋"/>
          <w:color w:val="000000"/>
          <w:spacing w:val="24"/>
          <w:sz w:val="32"/>
          <w:szCs w:val="32"/>
          <w:lang w:eastAsia="en-US"/>
        </w:rPr>
        <w:t xml:space="preserve">(此页无正文)</w:t>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349250</wp:posOffset>
                </wp:positionH>
                <wp:positionV relativeFrom="paragraph">
                  <wp:posOffset>137160</wp:posOffset>
                </wp:positionV>
                <wp:extent cx="1536700" cy="1543050"/>
                <wp:effectExtent l="0" t="0" r="6350" b="0"/>
                <wp:wrapNone/>
                <wp:docPr id="8" name="IM 4"/>
                <wp:cNvGraphicFramePr/>
                <a:graphic xmlns:a="http://schemas.openxmlformats.org/drawingml/2006/main">
                  <a:graphicData uri="http://schemas.openxmlformats.org/drawingml/2006/picture">
                    <pic:pic xmlns:pic="http://schemas.openxmlformats.org/drawingml/2006/picture">
                      <pic:nvPicPr>
                        <pic:cNvPr id="9" name="IM 4"/>
                        <pic:cNvPicPr/>
                        <pic:nvPr/>
                      </pic:nvPicPr>
                      <pic:blipFill>
                        <a:blip r:embed="rId18"/>
                        <a:stretch/>
                      </pic:blipFill>
                      <pic:spPr bwMode="auto">
                        <a:xfrm>
                          <a:off x="0" y="0"/>
                          <a:ext cx="1536694" cy="154305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27.5pt;mso-position-horizontal:absolute;mso-position-vertical-relative:text;margin-top:10.8pt;mso-position-vertical:absolute;width:121.0pt;height:121.5pt;mso-wrap-distance-left:0.0pt;mso-wrap-distance-top:0.0pt;mso-wrap-distance-right:0.0pt;mso-wrap-distance-bottom:0.0pt;" stroked="false">
                <v:path textboxrect="0,0,0,0"/>
                <v:imagedata r:id="rId18" o:title=""/>
              </v:shape>
            </w:pict>
          </mc:Fallback>
        </mc:AlternateContent>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249"/>
        <w:jc w:val="left"/>
        <w:spacing w:before="104" w:line="220" w:lineRule="auto"/>
        <w:widowControl/>
        <w:rPr>
          <w:rFonts w:ascii="仿宋" w:hAnsi="仿宋" w:eastAsia="仿宋" w:cs="仿宋"/>
          <w:color w:val="000000"/>
          <w:sz w:val="32"/>
          <w:szCs w:val="32"/>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475615</wp:posOffset>
                </wp:positionH>
                <wp:positionV relativeFrom="paragraph">
                  <wp:posOffset>44450</wp:posOffset>
                </wp:positionV>
                <wp:extent cx="1284605" cy="278765"/>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284605" cy="278765"/>
                        </a:xfrm>
                        <a:prstGeom prst="rect">
                          <a:avLst/>
                        </a:prstGeom>
                        <a:noFill/>
                        <a:ln>
                          <a:noFill/>
                        </a:ln>
                      </wps:spPr>
                      <wps:txbx>
                        <w:txbxContent>
                          <w:p>
                            <w:pPr>
                              <w:ind w:left="20"/>
                              <w:jc w:val="left"/>
                              <w:spacing w:before="20" w:line="223" w:lineRule="auto"/>
                              <w:widowControl/>
                              <w:rPr>
                                <w:rFonts w:ascii="仿宋" w:hAnsi="仿宋" w:eastAsia="仿宋" w:cs="仿宋"/>
                                <w:color w:val="000000"/>
                                <w:sz w:val="33"/>
                                <w:szCs w:val="33"/>
                                <w:lang w:eastAsia="en-US"/>
                              </w:rPr>
                            </w:pPr>
                            <w:r>
                              <w:rPr>
                                <w:rFonts w:ascii="仿宋" w:hAnsi="仿宋" w:eastAsia="仿宋" w:cs="仿宋"/>
                                <w:color w:val="000000"/>
                                <w:sz w:val="33"/>
                                <w:szCs w:val="33"/>
                                <w:lang w:eastAsia="en-US"/>
                              </w:rPr>
                              <w:t xml:space="preserve">江苏省民政厅</w:t>
                            </w:r>
                            <w:r/>
                          </w:p>
                        </w:txbxContent>
                      </wps:txbx>
                      <wps:bodyPr lIns="0" tIns="0" rIns="0" bIns="0" upright="1"/>
                    </wps:wsp>
                  </a:graphicData>
                </a:graphic>
              </wp:anchor>
            </w:drawing>
          </mc:Choice>
          <mc:Fallback>
            <w:pict>
              <v:shape id="shape 8" o:spid="_x0000_s8" o:spt="202" type="#_x0000_t202" style="position:absolute;z-index:251663360;o:allowoverlap:true;o:allowincell:true;mso-position-horizontal-relative:text;margin-left:37.4pt;mso-position-horizontal:absolute;mso-position-vertical-relative:text;margin-top:3.5pt;mso-position-vertical:absolute;width:101.1pt;height:21.9pt;mso-wrap-distance-left:9.0pt;mso-wrap-distance-top:0.0pt;mso-wrap-distance-right:9.0pt;mso-wrap-distance-bottom:0.0pt;visibility:visible;" filled="f" stroked="f">
                <v:textbox inset="0,0,0,0">
                  <w:txbxContent>
                    <w:p>
                      <w:pPr>
                        <w:ind w:left="20"/>
                        <w:jc w:val="left"/>
                        <w:spacing w:before="20" w:line="223" w:lineRule="auto"/>
                        <w:widowControl/>
                        <w:rPr>
                          <w:rFonts w:ascii="仿宋" w:hAnsi="仿宋" w:eastAsia="仿宋" w:cs="仿宋"/>
                          <w:color w:val="000000"/>
                          <w:sz w:val="33"/>
                          <w:szCs w:val="33"/>
                          <w:lang w:eastAsia="en-US"/>
                        </w:rPr>
                      </w:pPr>
                      <w:r>
                        <w:rPr>
                          <w:rFonts w:ascii="仿宋" w:hAnsi="仿宋" w:eastAsia="仿宋" w:cs="仿宋"/>
                          <w:color w:val="000000"/>
                          <w:sz w:val="33"/>
                          <w:szCs w:val="33"/>
                          <w:lang w:eastAsia="en-US"/>
                        </w:rPr>
                        <w:t xml:space="preserve">江苏省民政厅</w:t>
                      </w:r>
                      <w:r/>
                    </w:p>
                  </w:txbxContent>
                </v:textbox>
              </v:shape>
            </w:pict>
          </mc:Fallback>
        </mc:AlternateContent>
      </w: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3053715</wp:posOffset>
                </wp:positionH>
                <wp:positionV relativeFrom="paragraph">
                  <wp:posOffset>-794385</wp:posOffset>
                </wp:positionV>
                <wp:extent cx="1549400" cy="1543050"/>
                <wp:effectExtent l="0" t="0" r="12700" b="0"/>
                <wp:wrapNone/>
                <wp:docPr id="10" name="IM 6"/>
                <wp:cNvGraphicFramePr/>
                <a:graphic xmlns:a="http://schemas.openxmlformats.org/drawingml/2006/main">
                  <a:graphicData uri="http://schemas.openxmlformats.org/drawingml/2006/picture">
                    <pic:pic xmlns:pic="http://schemas.openxmlformats.org/drawingml/2006/picture">
                      <pic:nvPicPr>
                        <pic:cNvPr id="14" name="IM 6"/>
                        <pic:cNvPicPr/>
                        <pic:nvPr/>
                      </pic:nvPicPr>
                      <pic:blipFill>
                        <a:blip r:embed="rId19"/>
                        <a:stretch/>
                      </pic:blipFill>
                      <pic:spPr bwMode="auto">
                        <a:xfrm>
                          <a:off x="0" y="0"/>
                          <a:ext cx="1549401" cy="154305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240.4pt;mso-position-horizontal:absolute;mso-position-vertical-relative:text;margin-top:-62.5pt;mso-position-vertical:absolute;width:122.0pt;height:121.5pt;mso-wrap-distance-left:0.0pt;mso-wrap-distance-top:0.0pt;mso-wrap-distance-right:0.0pt;mso-wrap-distance-bottom:0.0pt;" stroked="false">
                <v:path textboxrect="0,0,0,0"/>
                <v:imagedata r:id="rId19" o:title=""/>
              </v:shape>
            </w:pict>
          </mc:Fallback>
        </mc:AlternateContent>
      </w:r>
      <w:r>
        <w:rPr>
          <w:rFonts w:ascii="仿宋" w:hAnsi="仿宋" w:eastAsia="仿宋" w:cs="仿宋"/>
          <w:color w:val="000000"/>
          <w:spacing w:val="1"/>
          <w:sz w:val="32"/>
          <w:szCs w:val="32"/>
          <w:lang w:eastAsia="en-US"/>
        </w:rPr>
        <w:t xml:space="preserve">中共江苏省委社会工作部</w:t>
      </w:r>
      <w:r/>
    </w:p>
    <w:p>
      <w:pPr>
        <w:ind w:left="4959"/>
        <w:jc w:val="left"/>
        <w:spacing w:before="232" w:line="222" w:lineRule="auto"/>
        <w:widowControl/>
        <w:rPr>
          <w:rFonts w:ascii="仿宋" w:hAnsi="仿宋" w:eastAsia="仿宋" w:cs="仿宋"/>
          <w:color w:val="000000"/>
          <w:sz w:val="32"/>
          <w:szCs w:val="32"/>
          <w:lang w:eastAsia="en-US"/>
        </w:rPr>
      </w:pPr>
      <w:r>
        <w:rPr>
          <w:rFonts w:ascii="仿宋" w:hAnsi="仿宋" w:eastAsia="仿宋" w:cs="仿宋"/>
          <w:color w:val="000000"/>
          <w:spacing w:val="4"/>
          <w:sz w:val="32"/>
          <w:szCs w:val="32"/>
          <w:lang w:eastAsia="en-US"/>
        </w:rPr>
        <w:t xml:space="preserve">2026年5月12日</w:t>
      </w:r>
      <w:r/>
    </w:p>
    <w:p>
      <w:pPr>
        <w:ind w:left="589"/>
        <w:jc w:val="left"/>
        <w:spacing w:before="172" w:line="220" w:lineRule="auto"/>
        <w:widowControl/>
        <w:rPr>
          <w:rFonts w:ascii="仿宋" w:hAnsi="仿宋" w:eastAsia="仿宋" w:cs="仿宋"/>
          <w:sz w:val="35"/>
          <w:szCs w:val="35"/>
        </w:rPr>
      </w:pPr>
      <w:r>
        <w:rPr>
          <w:rFonts w:ascii="仿宋" w:hAnsi="仿宋" w:eastAsia="仿宋" w:cs="仿宋"/>
          <w:color w:val="000000"/>
          <w:spacing w:val="-6"/>
          <w:sz w:val="35"/>
          <w:szCs w:val="35"/>
          <w:lang w:eastAsia="en-US"/>
        </w:rPr>
        <w:t xml:space="preserve">(此件依申请公开)</w:t>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关于推进全省社区慈善高质量发展的指导意见</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社区慈善是政府、社会和居民良性互动的重要载体， 是在党组织领导下，以社区居民需求为导向，广泛链接社区 内外慈善资源，引导慈善组织发挥作用，实施慈善项目，开 展慈善活动和慈善服务，宣传慈善文化理念的慈善行为。为 充分发挥慈善在服务保障民生、参与基层治理、促进共同富 裕、助力中国式现代化江苏新实践中的积极作用，推动全省 社区慈善高质量发展，根据《中华人民共和国慈善法》等法 律法规和政策文件精神，现提出如下意见：</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 、总体要求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坚持以习近平新时代中国特色</w:t>
      </w:r>
      <w:r>
        <w:rPr>
          <w:rFonts w:hint="eastAsia" w:ascii="宋体" w:hAnsi="宋体" w:eastAsia="宋体" w:cs="宋体"/>
          <w:b w:val="0"/>
          <w:bCs w:val="0"/>
          <w:sz w:val="21"/>
          <w:szCs w:val="21"/>
          <w:lang w:val="en-US" w:eastAsia="en-US"/>
        </w:rPr>
        <w:t xml:space="preserve">社会主义思想和习近平总 书记关于慈善事业的重要论述为指导，贯彻落实党中央国务 院、省委省政府关于促进和规范公益慈善事业的决策部署， 坚持党建引领，着力加强党对社区慈善工作的领导；坚持精 准聚焦，及时解决社区群众身边的急难愁盼问题；坚持“多 方联动”,有效发挥村(社区)、社会组织、社会工作专业 人员、社区志愿者和慈善资源等力量在社区慈善发展中的联 动机制作用；坚持资源整合，积极推动政府公共资源、社会 慈善资源、社区内生资源有效衔接。到2026年底，各地逐步 推动社区慈善事业发展，有条件的地方探索形成一批可复制</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可推广的社区慈善典型经验，慈善嵌入社区治理初见成效； 到2030年，全省社区慈善体系基本成熟、社区慈善载体更加 丰富、慈善文化理念深入人心、慈善嵌入社区治理成效更加 显著,基本实现社区慈善有慈善组织发挥作用、有慈善基金 保障运行、有平台载体开展活动、有慈善项目满足需求、有 人员队伍推动工作、有管理制度规范运作。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二、工作举措</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(一)培育壮大社区慈善组织。 大力发展服务城乡社区 的各类公益慈善组织，通过政府购买服务、公益创投、人员 培训等形式，扶持发展初创期社区公益慈善组织，引导符合 条件的社区社会组织依法认定为慈善组织。乡镇(街道)、 村(社区)协助做好社区慈善组织培育发展工作。引导支持 慈善(总)会等慈善组织将慈善资源下沉到乡镇(街道)、 村(社区),推动设立枢纽型社区慈善组织。鼓励社区公益 慈善组织与社会工作服务机构、志愿服务组织或其他社会组 织等建设社区慈善联合体。</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(二)扩大社区慈善资金规模。 引导慈善组织根据章 程规定的业务范围，结合社区治理服务需求，设立形式多样 的社区慈善专项基金。社区慈善基金可采取应慈善捐赠人要 求设立、慈善组织主动设立、社区与慈善组织合作设立等 形式设立，鼓励有条件的地方在乡镇(街道)设立慈善会、 社区慈善基金会，支持本行政区域范围内的社区慈善事业发 展。支持具有公开募</w:t>
      </w:r>
      <w:r>
        <w:rPr>
          <w:rFonts w:hint="eastAsia" w:ascii="宋体" w:hAnsi="宋体" w:eastAsia="宋体" w:cs="宋体"/>
          <w:b w:val="0"/>
          <w:bCs w:val="0"/>
          <w:sz w:val="21"/>
          <w:szCs w:val="21"/>
          <w:lang w:val="en-US" w:eastAsia="en-US"/>
        </w:rPr>
        <w:t xml:space="preserve">捐资格的慈善组织结合社区需求，科学设置慈善项目，开展线上线下公开募捐，拓展社区慈善资金 来源。鼓励各级慈善(总)会设立“邻里有爱” “阳光助 残” “幸福相伴——关爱‘一老一小’”等社区慈善帮扶项 目，对优秀慈善项目给予资金扶持。省、市、县三级慈善 (总)会联动开展各类慈善项目，优先向社区进行资源倾 斜。鼓励慈善组织规范运用慈善信托，实现社区慈善基金保 值增值。支持并规范社区“慈善一 日捐”活动，拓展非货币 形式捐赠渠道，探索“资金+物资+服务”相结合的慈善捐赠 模式，推广“消费捐”等新型社区慈善捐赠方式。</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w:t>
      </w:r>
      <w:r>
        <w:rPr>
          <w:rFonts w:hint="eastAsia" w:ascii="宋体" w:hAnsi="宋体" w:eastAsia="宋体" w:cs="宋体"/>
          <w:b w:val="0"/>
          <w:bCs w:val="0"/>
          <w:sz w:val="21"/>
          <w:szCs w:val="21"/>
          <w:lang w:val="en-US" w:eastAsia="en-US"/>
        </w:rPr>
        <w:t xml:space="preserve">)建设社区慈善服务载体。 乡 镇 ( 街 道 ) 、 村 ( 社 区)应当为慈善组织开展社区慈善服务和慈善活动提供必要 的办公场所、活动场地等支持，协助做好捐赠款物分配送 达、信息统计等工作。支持乡镇(街道)、村(社区)依托 基层民政服务站、基层社会工作服务站、老年人活动中心、 儿童之家、残疾人之家、社区图书室等公共服务设施，因地 制宜打造慈善超市、爱心驿站、慈善空间等慈善服务阵地和 服务载体，推动社区慈善服务阵地与社区公共服务设施共建 共享、功能融合，实现提供慈善服务、传递慈善理念、弘扬 慈善文化等要求。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(四)拓展社区慈善服务场景。 创新社区慈善方式方 法，推广“慈善+文化” “慈善+金融”等“慈善+”模式， 将慈善元素嵌入社区“一老一小”、困难群体关爱、环保、 文化、应急等领域，支持开展党建引领“专业社工+志愿务”融合项目，运用爱心义卖、公益市集、社区慈善晚会等 形式，不断丰富社区慈善内涵，促进慈善与社区民生服务深 度融合。积极运用人工智能、大数据、区块链等现代信息技 术，开拓数字慈善应用场景，推动慈善服务和慈善活动可感 可及，吸引驻区单位、社会组织、社区居民等广泛参与。</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(五)精准开展社区慈善项目。 做好社区慈善供需精准 匹配和慈善服务精准对接。县级民政部门会同党委社会工作 部门等有关部门探索建立社区慈善供需对接机制，指导乡镇 (街道)、村(社区)制定并动态更新社区慈善需</w:t>
      </w:r>
      <w:r>
        <w:rPr>
          <w:rFonts w:hint="eastAsia" w:ascii="宋体" w:hAnsi="宋体" w:eastAsia="宋体" w:cs="宋体"/>
          <w:b w:val="0"/>
          <w:bCs w:val="0"/>
          <w:sz w:val="21"/>
          <w:szCs w:val="21"/>
          <w:lang w:val="en-US" w:eastAsia="en-US"/>
        </w:rPr>
        <w:t xml:space="preserve">求清单、 资源清单、项目清单。聚焦民生保障，实施纾困解忧类慈善 项目，推动政府兜底制度与慈善个案帮扶有效衔接；聚焦 基层治理，开展共建共治类慈善项目，引导各类主体积极参 与社区协商，推进现代社区建设；聚焦生态社区，拓展空间 优化类慈善项目，倡导环保理念，改善公共设施，着力提升 社区居民生活环境；聚焦文化建设，设立培育涵养类慈善项 目，传承传统文化，推广全民阅读，促进文化交流，丰富社 区居民精神文化生活；聚焦应急救援，启动预防响应类慈善 项目，强化社区安保，完善应急储备，提升处置能力，夯实 社区安全保障防线。</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 、保障措施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(一)加强组织领导。 各地要依托公益慈善领域跨</w:t>
      </w:r>
      <w:r>
        <w:rPr>
          <w:rFonts w:hint="eastAsia" w:ascii="宋体" w:hAnsi="宋体" w:eastAsia="宋体" w:cs="宋体"/>
          <w:b w:val="0"/>
          <w:bCs w:val="0"/>
          <w:sz w:val="21"/>
          <w:szCs w:val="21"/>
          <w:lang w:val="en-US" w:eastAsia="en-US"/>
        </w:rPr>
        <w:t xml:space="preserve">部门 综合监管机制，加强对社区慈善工作的统筹协调，明确部门 职责，合力构建“党委领导、政府负责、部门推动、社会协同、公众参与”的社区慈善新格局。党委社会工作部门统筹 协调党建引领基层治理，推动社会工作专业人员和志愿服务 力量融入社区慈善发展。民政部门要做好政府救助与慈善帮 扶的有效衔接，推进社区慈善资源与民政资源整合共享、双 向赋能。鼓励宣传、文明办、教育等部门将社区慈善与文明 实践、校园德育等工作融合开展，工青妇、红十字会、慈善 (总)会等群团组织和社会组织要依据各自职能充分发挥作 用，推动社区慈善发展。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(二)加强人才培养。 实施社区慈善人才分层分类培训 计划，提升慈善工作从业人员和乡镇(街道)、村(社区) 慈善</w:t>
      </w:r>
      <w:r>
        <w:rPr>
          <w:rFonts w:hint="eastAsia" w:ascii="宋体" w:hAnsi="宋体" w:eastAsia="宋体" w:cs="宋体"/>
          <w:b w:val="0"/>
          <w:bCs w:val="0"/>
          <w:sz w:val="21"/>
          <w:szCs w:val="21"/>
          <w:lang w:val="en-US" w:eastAsia="en-US"/>
        </w:rPr>
        <w:t xml:space="preserve">工作管理人员依法行善、依法治善的能力和水平。鼓励 支持将社区慈善课程纳入村(居)“两委”成员、村(社 区)专职工作人员以及公益慈善组织负责人等培训计划。慈 善组织支持工作人员参加社会工作者职业资格考试和劝募师 等职业技能考试。加强社区志愿者培养，健全志愿者评价、 服务时长记录管理、志愿服务时长兑换等制度机制，激励更 多居民参与社区志愿服务。鼓励高校与社区合作建设实习实 践或研究基地，推动慈善资源支持建设志愿服务项目孵化基 地，引导第三方专业机构提供督导和能力建设支持，为社区 慈善发展提供专业指导和人才支撑。</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(三)加强规范引导。 各地民政部门要加强对社区慈善 的监督管理，联合公安、财政、市场监管等部门单位规范社 区慈善各项工作，综合运用抽查检查、专项审计、第三方</w:t>
      </w:r>
      <w:r>
        <w:rPr>
          <w:rFonts w:hint="eastAsia" w:ascii="宋体" w:hAnsi="宋体" w:eastAsia="宋体" w:cs="宋体"/>
          <w:b w:val="0"/>
          <w:bCs w:val="0"/>
          <w:sz w:val="21"/>
          <w:szCs w:val="21"/>
          <w:lang w:val="en-US" w:eastAsia="zh-CN"/>
        </w:rPr>
        <w:t xml:space="preserve">评</w:t>
      </w:r>
      <w:r>
        <w:rPr>
          <w:rFonts w:hint="eastAsia" w:ascii="宋体" w:hAnsi="宋体" w:eastAsia="宋体" w:cs="宋体"/>
          <w:b w:val="0"/>
          <w:bCs w:val="0"/>
          <w:sz w:val="21"/>
          <w:szCs w:val="21"/>
          <w:lang w:val="en-US" w:eastAsia="en-US"/>
        </w:rPr>
        <w:t xml:space="preserve">估等方式，持续提升社区慈善公信力和透明度。指导督促慈善 组织完善内部治理，建立健全社区慈善项目审核、资金使用、 信息公开和捐赠使用反馈等制度。各地要及时总结经验和实 践成果，提炼可复制、可推广、可借鉴的典型模式，通过编 制简报、专题信息等方式进行推广，发挥示范引领作用。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(四)营造浓厚氛围。 以打造“苏慈大爱”品牌为牵 引，鼓励各地深入挖掘地方慈善文化，打造社区特色慈善文 化品牌</w:t>
      </w:r>
      <w:r>
        <w:rPr>
          <w:rFonts w:hint="eastAsia" w:ascii="宋体" w:hAnsi="宋体" w:eastAsia="宋体" w:cs="宋体"/>
          <w:b w:val="0"/>
          <w:bCs w:val="0"/>
          <w:sz w:val="21"/>
          <w:szCs w:val="21"/>
          <w:lang w:val="en-US" w:eastAsia="en-US"/>
        </w:rPr>
        <w:t xml:space="preserve">，不断增强居民对社区慈善的认同感，厚植社区慈善 发展根基。持续开展慈善文化进乡村、进社区活动，充分利 用“中华慈善日” “江苏慈善周”等重要节点，大力宣传慈 善法律法规和慈善先进典型，创新策划形式多样的慈善文化 活动。支持慈善文化与社区教育深度融合，鼓励村(社区) 开拓社区慈善文化宣传教育阵地，在社区活动中开设慈善主 题课程，培育代际传承的慈善文化。利用村(居)务公开 栏、社区网站、公众号、短视频等发布慈善活动信息，讲好 身边的慈善故事，深化社区居民的慈善意识和文化自信，增 强参与慈善的思想自觉和行动自觉。</w:t>
      </w:r>
      <w:r/>
    </w:p>
    <w:tbl>
      <w:tblPr>
        <w:tblStyle w:val="1104"/>
        <w:tblW w:w="890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900"/>
      </w:tblGrid>
      <w:tr>
        <w:trPr>
          <w:trHeight w:val="90"/>
        </w:trPr>
        <w:tc>
          <w:tcPr>
            <w:tcBorders>
              <w:top w:val="single" w:color="000000" w:sz="6" w:space="0"/>
              <w:bottom w:val="single" w:color="000000" w:sz="2" w:space="0"/>
            </w:tcBorders>
            <w:tcW w:w="8900" w:type="dxa"/>
            <w:vAlign w:val="top"/>
            <w:textDirection w:val="lrTb"/>
            <w:noWrap w:val="false"/>
          </w:tcPr>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抄送：省公益慈善领域综合监管机制各成员单位，省委宣传部、省教 育厅、省人力资源和社会保障厅、省农业农村厅、省应急管理 厅、省总工会、共青团江苏省委、省残疾人联合会、省妇女联 合会、省慈善总会。</w:t>
            </w:r>
            <w:r/>
          </w:p>
        </w:tc>
      </w:tr>
      <w:tr>
        <w:trPr>
          <w:trHeight w:val="628"/>
        </w:trPr>
        <w:tc>
          <w:tcPr>
            <w:tcBorders>
              <w:top w:val="single" w:color="000000" w:sz="2" w:space="0"/>
              <w:bottom w:val="single" w:color="000000" w:sz="2" w:space="0"/>
            </w:tcBorders>
            <w:tcW w:w="8900" w:type="dxa"/>
            <w:vAlign w:val="top"/>
            <w:textDirection w:val="lrTb"/>
            <w:noWrap w:val="false"/>
          </w:tcPr>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江苏省民政厅办公室                        2026年5月12日印发</w:t>
            </w:r>
            <w:r/>
          </w:p>
        </w:tc>
      </w:tr>
    </w:tbl>
    <w:tbl>
      <w:tblPr>
        <w:tblStyle w:val="819"/>
        <w:tblpPr w:horzAnchor="page" w:tblpX="1147" w:vertAnchor="text" w:tblpY="788" w:leftFromText="180" w:topFromText="0" w:rightFromText="180" w:bottomFromText="0"/>
        <w:tblW w:w="9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660"/>
        <w:gridCol w:w="2892"/>
        <w:gridCol w:w="683"/>
        <w:gridCol w:w="3407"/>
        <w:gridCol w:w="733"/>
        <w:gridCol w:w="783"/>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扣分原因</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一、慈善帮扶对接（25分）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需求巡访台账管理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协同各村（社区）建立常态化困境人群需求发现机制，每月开展巡访，精准识别低保、特困、独居等困难群体，建立动态更新的需求台账</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5-6分：每月全覆盖巡访，台账实时更新，信息完整准确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3-4分：巡访基本达标，台账较完整，更新偶有滞后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1-2分：巡访频次不足，台账信息缺失较多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0分：未建立需求台账或未开展巡访</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临时救助帮办服务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对排查到的突发困难群众，24小时内完成帮扶线索核实并报送科室；协助符合条件人员申请慈善临时救助，对行动不便对象提供上门帮办服务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5-7分：24小时内响应率100%，帮办全覆盖，上门服务落实到位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3-4分：响应及时率≥80%，帮办基本到位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1-2分：响应滞后，帮办覆盖率不足60%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0分：未开展救助帮办工作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5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多元慈善帮扶模式</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探索“资金+物资+服务”相结合的慈善捐赠模式，整合资金、生活物资、公益服务资源，根据困难群众差异化需求精准匹配帮扶内容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5-6分：三类帮扶模式均落地，匹配精准，成效显著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3-4分：落地两类帮扶模式，匹配效果较好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1-2分：仅落地单一帮扶模式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0分：未探索多元帮扶模式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帮扶回访闭环管理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落实受助对象全覆盖回访机制，评估帮扶效果；对救助后仍存在困难的群众及时链接补充慈善资源，形成完整救助服务闭环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5-6分：回访率100%，闭环完整，补充帮扶及时有效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3-4分：回访率≥80%，基本形成闭环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1-2分：回访率不足60%，无补充帮扶机制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0分：未开展回访工作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二、慈善公益清单（25分）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慈善资源摸排建库</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常态化摸排、挖掘、链接辖区公益慈善力量，涵盖爱心企业、爱心商户、社会组织、乡贤能人、志愿队伍等各类慈善资源，建立动态化慈善公益资源清单，入库资源单位不少于15家</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 分：入库资源≥15 家，资源类型丰富，清单动态更新及时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 分：入库 10-14 家，清单更新较为及时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分：入库 5-9 家，资源清单信息残缺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 分：入库资源不足 5 家，未建立资源清单</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4"/>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供需常态化对接</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建立稳定供需对接机制，结合辖区困难群众、特殊群体实际需求，精准匹配慈善资源，常态化开展资源对接、落地公益帮扶</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9-10分：对接机制完善，匹配精准，帮扶落地频次高、效果好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6-8分：对接机制基本建立，帮扶落地较稳定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1-5分：对接零散，帮扶落地较少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0分：未开展供需对接工作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资源台账动态更新</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持续更新资源清单、帮扶对接台账，完整记录资源信息、对接落地情况、帮扶成效、群众反馈，持续提升慈善资源使用效率</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4-5分：台账完整详实，更新及时，成效记录全面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3分：台账较完整，更新基本到位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1-2分：台账零散，信息缺失较多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0分：未建立对接台账</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三、慈善文化宣传（30分）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主题公益活动开展</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组织开展“九九公益日”“慈善一日捐”等慈善公益活动，每年开展主题活动不少于4场，每场参与群众不少50人</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10-12分：全年≥4场，场均参与≥50人，活动质量高、效果好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7-9分：全年3场，或场均参与30-49人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1-6分：全年1-2场，或场均参与不足30人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0分：未开展主题活动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活动报备规范实施</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所有慈善主题活动实施方案、点位、流程提前报送科室报备，经审核通过后方可组织落地</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4-5分：所有活动提前报备，材料规范完整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3分：大部分活动提前报备，材料基本规范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1-2分：半数以上活动未报备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0分：从未报备，擅自开展活动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多渠道慈善氛围营造</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通过线上社群、线下展板、公益市集等形式宣传慈善政策；挖掘宣传辖区爱心企业、志愿者、帮扶典型，联动村（社区）、社会组织、志愿者扩大活动覆盖面，营造社区慈善氛围</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7-8分：多渠道同步宣传，典型挖掘充分，氛围营造效果突出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5-6分：宣传渠道较丰富，有一定氛围效果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1-4分：宣传形式单一，覆盖面窄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0分：未开展慈善宣传工作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活动资料归档报送</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完整留存活动方案、宣传素材、影像资料、签到表、活动总结等全套材料，活动结束后按时向科室报送工作汇总材料</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4-5分：材料齐全完整，归档规范，报送及时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3分：材料基本齐全，报送较及时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1-2分：材料缺失较多，报送不及时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0分：未归档未报送材料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四、慈善服务阵地（10分）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阵地标准化打造运营</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依托镇级民服站打造慈善服务阵地和服务载体，完成氛围布置、功能打造、内容更新，规范设置慈善宣传、资源公示、帮扶受理、志愿对接功能板块，打造标准化镇级慈善服务窗口</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3分：功能板块齐全，阵地标准化程度高，氛围浓厚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2分：功能板块基本齐全，阵地较规范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1分：仅设置部分功能板块，阵地简陋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0分：未打造慈善服务阵地</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阵地常态化便民服务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依托阵地常态化开展慈善咨询、资源匹配、救助受理、政策宣讲、志愿者招募管理等线下慈善便民服务，实现阵地服务常态化、规范化运营</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3-4分：服务品类齐全，常态化开放，运营规范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2分：服务较齐全，开放较规律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1分：服务品类单一，开放不规律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0分：阵地未实际开展服务</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阵地运营台账管理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建立慈善阵地专项运营台账，完整记录阵地建设、日常运维、接待群众、活动落地等内容；定期梳理运营成效，形成阶段性总结报送科室</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分：台账完整详实，定期总结报送，成效梳理清晰</w:t>
            </w:r>
            <w:r>
              <w:rPr>
                <w:rFonts w:hint="eastAsia" w:ascii="宋体" w:hAnsi="宋体" w:eastAsia="宋体" w:cs="宋体"/>
                <w:i w:val="0"/>
                <w:iCs w:val="0"/>
                <w:color w:val="000000"/>
                <w:sz w:val="20"/>
                <w:szCs w:val="20"/>
                <w:u w:val="none"/>
                <w:lang w:val="en-US" w:eastAsia="zh-CN" w:bidi="ar"/>
              </w:rPr>
              <w:br/>
            </w:r>
            <w:r>
              <w:rPr>
                <w:rFonts w:hint="eastAsia"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分：台账较完整，报送基本到位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1分：台账零散，报送不及时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0分：未建立运营台账</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五、临时党支部（10分）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临时党支部日常服务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负责慈善会临时党支部日常服务工作，协助组织开展支部各类活动，做好会议记录、活动资料整理与台账管理，配合落实支部各项工作任务，保障临时党支部日常有序运转。</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8-10分：支部日常服务工作开展规范，活动组织有序，台账资料完整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5-7分：基本开展日常服务工作，有一定活动和台账基础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1-4分：工作开展零散，活动较少，台账不完整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0分：未开展临时党支部相关服务工作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both"/>
        <w:rPr>
          <w:rFonts w:hint="default" w:ascii="宋体" w:hAnsi="宋体" w:eastAsia="宋体" w:cs="宋体"/>
          <w:b w:val="0"/>
          <w:bCs w:val="0"/>
          <w:sz w:val="21"/>
          <w:szCs w:val="21"/>
          <w:lang w:val="en-US" w:eastAsia="zh-CN"/>
        </w:rPr>
        <w:outlineLvl w:val="0"/>
      </w:pPr>
      <w:r>
        <w:rPr>
          <w:rFonts w:hint="default" w:ascii="宋体" w:hAnsi="宋体" w:eastAsia="宋体" w:cs="宋体"/>
          <w:b w:val="0"/>
          <w:bCs w:val="0"/>
          <w:sz w:val="21"/>
          <w:szCs w:val="21"/>
          <w:lang w:val="en-US" w:eastAsia="zh-CN"/>
        </w:rPr>
      </w:r>
      <w:r/>
    </w:p>
    <w:p>
      <w:pPr>
        <w:jc w:val="both"/>
        <w:spacing w:line="360" w:lineRule="auto"/>
        <w:widowControl/>
        <w:tabs>
          <w:tab w:val="left" w:pos="567" w:leader="none"/>
        </w:tabs>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t xml:space="preserve">附件8：</w:t>
      </w:r>
      <w:r/>
    </w:p>
    <w:p>
      <w:pPr>
        <w:jc w:val="center"/>
        <w:spacing w:line="360" w:lineRule="auto"/>
        <w:widowControl/>
        <w:tabs>
          <w:tab w:val="left" w:pos="567" w:leader="none"/>
        </w:tabs>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城厢镇民政服务站</w:t>
      </w:r>
      <w:r>
        <w:rPr>
          <w:rFonts w:hint="eastAsia" w:hAnsi="宋体" w:cs="宋体"/>
          <w:b/>
          <w:bCs/>
          <w:color w:val="auto"/>
          <w:sz w:val="21"/>
          <w:szCs w:val="21"/>
          <w:lang w:val="en-US" w:eastAsia="zh-CN"/>
        </w:rPr>
        <w:t xml:space="preserve">养老工作评分表</w:t>
      </w:r>
      <w:r/>
    </w:p>
    <w:tbl>
      <w:tblPr>
        <w:tblStyle w:val="819"/>
        <w:tblW w:w="10215" w:type="dxa"/>
        <w:tblInd w:w="-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5"/>
        <w:gridCol w:w="855"/>
        <w:gridCol w:w="2895"/>
        <w:gridCol w:w="750"/>
        <w:gridCol w:w="3585"/>
        <w:gridCol w:w="615"/>
        <w:gridCol w:w="750"/>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一、养老服务质量监督（</w:t>
            </w:r>
            <w:r>
              <w:rPr>
                <w:rFonts w:hint="eastAsia" w:hAnsi="宋体" w:cs="宋体"/>
                <w:b/>
                <w:bCs/>
                <w:i w:val="0"/>
                <w:iCs w:val="0"/>
                <w:color w:val="000000"/>
                <w:sz w:val="20"/>
                <w:szCs w:val="20"/>
                <w:u w:val="none"/>
                <w:lang w:val="en-US" w:eastAsia="zh-CN" w:bidi="ar"/>
              </w:rPr>
              <w:t xml:space="preserve">40</w:t>
            </w:r>
            <w:r>
              <w:rPr>
                <w:rFonts w:hint="eastAsia" w:ascii="宋体" w:hAnsi="宋体" w:eastAsia="宋体" w:cs="宋体"/>
                <w:b/>
                <w:bCs/>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825"/>
              <w:rPr>
                <w:rFonts w:hint="eastAsia" w:ascii="宋体" w:hAnsi="宋体" w:eastAsia="宋体" w:cs="宋体"/>
                <w:i w:val="0"/>
                <w:iCs w:val="0"/>
                <w:color w:val="000000"/>
                <w:sz w:val="20"/>
                <w:szCs w:val="20"/>
                <w:u w:val="none"/>
              </w:rPr>
            </w:pPr>
            <w:r>
              <w:rPr>
                <w:rFonts w:hint="eastAsia"/>
              </w:rPr>
              <w:t xml:space="preserve">制作满意度调查表，经科室认可后，定期对服务对象进行满意度调查。涵盖居家养老、日间照料、助餐服务三类：居家养老每月电话回访≥500人，对回访不满意的对象，再进行上门回访；日照、助餐每季度完成点位全覆盖调查，每季度调查人数不少于该点位日均服务老人数的50%。基础数据以科室反馈为准，抽样真实客观，问题诉求全面记录、及时反馈，整改复查到位，形成完整工作闭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16-20分：三类服务全覆盖达标，抽样真实规范，报告完整详实，问题整改闭环到位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11-15分：调查频次完成率≥85%，报告较完整，大部分问题有反馈整改，闭环基本完成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6-10分：调查频次完成率60%-85%，部分季度未全覆盖，报告内容简略，闭环有缺失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0-5分：调查频次完成率&lt;60%，存在虚假抽样，无完整报告，未跟进整改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eastAsia" w:ascii="Calibri" w:hAnsi="Calibri" w:eastAsia="等线" w:cs="Calibri"/>
                <w:i w:val="0"/>
                <w:iCs w:val="0"/>
                <w:color w:val="000000"/>
                <w:sz w:val="22"/>
                <w:szCs w:val="22"/>
                <w:u w:val="none"/>
              </w:rPr>
            </w:pPr>
            <w:r>
              <w:rPr>
                <w:rFonts w:hint="eastAsia"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日间照料点位安全巡查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制作巡查调查表，经科室认可后，每季度完成一轮点位全覆盖巡查，形成季度及年度完整调查报告；对巡查发现的问题记录完整、及时反馈，整改后复查到位，形成安全巡查工作闭环。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10-12分：每季度全覆盖巡查，报告完整详实，问题整改复查到位，闭环完整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7-9分：基本完成季度全覆盖巡查，报告较完整，大部分问题有反馈跟进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4-6分：未实现季度全覆盖，部分点位漏查，报告内容简单，部分隐患未复查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0-3分：极少开展巡查，无规范巡查报告，隐患未上报、无整改闭环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养老机构安全生产研判</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依据太政民〔2026〕22号文件要求，聘请有资质的专业第三方机构并经科室审核认可，全年完成1次养老机构安全生产专项研判分析，全面排查风险，形成完整研判材料，出具专业化可落地整改意见并报送科室。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7-8分：第三方资质合规，研判全面深入，整改意见专业可落地，材料完整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5-6分：聘请合规第三方完成研判，排查较全面，整改意见具备实操性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3-4分：第三方资质存疑，风险排查有遗漏，研判报告内容简单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0-2分：未聘请专业第三方开展研判，无完整风险排查材料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二、特殊群体关爱（</w:t>
            </w:r>
            <w:r>
              <w:rPr>
                <w:rFonts w:hint="eastAsia" w:hAnsi="宋体" w:cs="宋体"/>
                <w:b/>
                <w:bCs/>
                <w:i w:val="0"/>
                <w:iCs w:val="0"/>
                <w:color w:val="000000"/>
                <w:sz w:val="20"/>
                <w:szCs w:val="20"/>
                <w:u w:val="none"/>
                <w:lang w:val="en-US" w:eastAsia="zh-CN" w:bidi="ar"/>
              </w:rPr>
              <w:t xml:space="preserve">12</w:t>
            </w:r>
            <w:r>
              <w:rPr>
                <w:rFonts w:hint="eastAsia" w:ascii="宋体" w:hAnsi="宋体" w:eastAsia="宋体" w:cs="宋体"/>
                <w:b/>
                <w:bCs/>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特殊困难老年人探访关爱</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确每位特殊困难老年人的挂钩社工，需持有全国社会工作者职业资格证书，具备专业养老服务能力。按照太政民〔2024〕52号文件要求，在省定探访任务基础上，由专业社工额外至少开展1次关爱探访。探访记录如实填写，信息动态更新，诉求、困难、隐患及时上报并协助落实帮扶，资料完整规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10-12分：全部老人配备持证社工，额外探访全覆盖，记录详实，帮扶落实到位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7-9分：全部老人配备持证社工，额外探访基本完成，记录较完整，大部分诉求落实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4-6分：部分老人无持证挂钩社工，额外探访未全覆盖，记录简略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0-3分：未按要求增配探访，频次不足，无规范记录，诉求未上报处置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三、老年教育与文化服务（32分）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老年教育服务</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考太政民〔2025〕44号文件要求，联动市老年大学教学资源，全年完成不少于20门标准化主题课程。全覆盖摸排各村（社区）学习需求，分类梳理思政、技术、艺术三类课程偏好，制定年度老年教育整体实施方案并经民政审核通过。统一对接市老年大学在册教师，相近村社可合并开课，签到、课堂记录、意见收集规范，资料完整归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10-12分：全年≥20门课程，需求摸排全面，方案审核通过，台账规范齐全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7-9分：全年14-19门课程，需求摸排较全面，日常资料基本齐全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4-6分：全年8-13门课程，需求摸排不完整，课堂记录缺失较多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0-3分：全年不足8门课程，未开展需求摸排，无规范教学台账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养老护理员节活动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根据市级最新文件要求举办养老护理员节，突出主题特色，全权负责策划、方案细化、落地执行、成果总结等全流程工作，活动成效显著，资料齐全归档。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4分：按文件要求高标准举办，主题特色鲜明，全流程到位，成效显著资料齐全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3分：按文件要求正常举办，流程完整，具备基础特色，材料齐全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2分：活动简化举办，主题不突出，方案或总结材料有缺失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0-1分：未举办或活动严重简化、无全套工作资料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便民服务运营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辖区全域巡访摸排，收集各类便民手艺人资源纳入志愿者库，在册手艺人不少于10名，涵盖理发、磨刀、缝补、修配等多类别，建立动态更新的资源清单。每季度组织1场集中便民服务活动，每场志愿者不少于5人，相近村社合并设点，方便老人就近参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7-8分：在册手艺人≥10名，每季度活动全部开展，清单动态更新，点位设置合理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5-6分：在册手艺人8-9名，季度活动全部开展，资料完整，清单有更新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3-4分：在册手艺人5-7名，部分季度未开展活动，清单更新不及时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0-2分：手艺人不足5人，全年活动不足2场，无规范资源清单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老年惠民文艺演出</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搭建稳定常态化文艺演出队伍，对接5个行政村、3个涉农社区摸排文艺活动需求，结合日间照料中心统筹安排演出，节目适配老年人喜好。演出计划、点位、节目清单提前报送科室报备审核，相近村社可合并设置演出点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7-8分：队伍稳定，全覆盖对接村社需求，报备流程规范，节目适配度高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5-6分：队伍基本稳定，需求对接较全面，报备较规范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3-4分：队伍人员不稳定，未全部对接村社，报备资料有缺漏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0-2分：未搭建固定队伍，未对接村社需求，未按要求报备</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四、综合事务管理（16分）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民政养老辅助工作</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担养老业务领域辅助性工作：①苏康养"一键呼"统计，及时汇总设备安装、使用、故障、停用等情况，专项报表按时上报；②适老化改造排摸，核查改造物品及设施使用情况，建立完善台账并按时汇总上报；③其他临时性、辅助性养老相关工作按要求及时完成。</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7-8分：各项工作及时高效完成，数据准确无误，台账完善，临时性工作落实到位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5-6分：各项工作基本按时完成，少量数据瑕疵，临时性工作基本落实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3-4分：上报存在延迟，部分数据缺失，临时性工作完成质量一般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0-2分：未按时报送，无专项台账，临时性工作未落实或完成质量差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台账规范管理</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所有养老板块工作同步建立台账，目录分类清晰、内容详实、材料完整齐全，便于查阅检索、长期留存归档，随时配合科室及上级部门检查。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7-8分：台账分类清晰，内容详实完整，归档规范，查阅便捷，随时可迎检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5-6分：台账分类基本清晰，少量记录缺失，整体较规范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3-4分：台账缺部分过程资料，归档不够规范，查阅有一定困难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0-2分：未建立统一台账，资料零散、大量缺失</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bl>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第四章 评分办法及评标标准</w:t>
      </w:r>
      <w:bookmarkEnd w:id="11"/>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4、</w:t>
      </w:r>
      <w:r>
        <w:rPr>
          <w:rFonts w:hint="default" w:ascii="宋体" w:hAnsi="宋体" w:eastAsia="宋体" w:cs="宋体"/>
          <w:bCs/>
          <w:color w:val="auto"/>
          <w:sz w:val="21"/>
          <w:szCs w:val="21"/>
          <w:highlight w:val="none"/>
          <w:lang w:val="en-US" w:eastAsia="zh-CN"/>
        </w:rPr>
        <w:t xml:space="preserve">本项目非专门面向中小企业，</w:t>
      </w:r>
      <w:r>
        <w:rPr>
          <w:rFonts w:hint="default" w:ascii="宋体" w:hAnsi="宋体" w:eastAsia="宋体" w:cs="宋体"/>
          <w:bCs/>
          <w:color w:val="auto"/>
          <w:sz w:val="21"/>
          <w:szCs w:val="21"/>
          <w:highlight w:val="none"/>
          <w:lang w:eastAsia="zh-CN"/>
        </w:rPr>
        <w:t xml:space="preserve">针对小微型企业的加分：</w:t>
      </w:r>
      <w:r/>
    </w:p>
    <w:p>
      <w:pPr>
        <w:ind w:firstLine="420"/>
        <w:spacing w:line="360" w:lineRule="auto"/>
        <w:rPr>
          <w:rFonts w:hint="default" w:ascii="宋体" w:hAnsi="宋体" w:eastAsia="宋体" w:cs="宋体"/>
          <w:bCs/>
          <w:color w:val="auto"/>
          <w:sz w:val="21"/>
          <w:szCs w:val="21"/>
          <w:highlight w:val="none"/>
          <w:lang w:eastAsia="zh-CN"/>
        </w:rPr>
      </w:pPr>
      <w:r>
        <w:rPr>
          <w:rFonts w:hint="default" w:ascii="宋体" w:hAnsi="宋体" w:eastAsia="宋体" w:cs="宋体"/>
          <w:bCs/>
          <w:color w:val="auto"/>
          <w:sz w:val="21"/>
          <w:szCs w:val="21"/>
          <w:highlight w:val="none"/>
          <w:lang w:eastAsia="zh-CN"/>
        </w:rPr>
        <w:t xml:space="preserve">根据《政府采购促进中小企业发展管理办法》（财库﹝2020﹞46号）及《关于贯彻执行绿色采购、促进残疾人就业和支持监狱企业发展有关政策的通知》（苏财购〔2019〕10号）规定：</w:t>
      </w:r>
      <w:r/>
    </w:p>
    <w:p>
      <w:pPr>
        <w:ind w:firstLine="420"/>
        <w:spacing w:line="360" w:lineRule="auto"/>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420"/>
        <w:spacing w:line="360" w:lineRule="auto"/>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lang w:eastAsia="zh-CN"/>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二、评分标准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一</w:t>
      </w:r>
      <w:r>
        <w:rPr>
          <w:rFonts w:hint="eastAsia" w:ascii="宋体" w:hAnsi="宋体" w:eastAsia="宋体" w:cs="宋体"/>
          <w:b w:val="0"/>
          <w:bCs/>
          <w:color w:val="auto"/>
          <w:sz w:val="21"/>
          <w:szCs w:val="21"/>
          <w:highlight w:val="none"/>
        </w:rPr>
        <w:t xml:space="preserve">）投标报价（</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rPr>
        <w:t xml:space="preserve">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第二步：在所有有效投标报价中满足招标文件要求，且投标价格最低的投标报价为评标基准价，其价格分为</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rPr>
        <w:t xml:space="preserve">分，其他投标人的价格分按照下列公式计算（计算结果四舍五入保留两位小数）。</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rPr>
        <w:t xml:space="preserve">投标报价得分＝（评标基准价/投标报价）×</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rPr>
        <w:t xml:space="preserve">％×100</w:t>
      </w:r>
      <w:r/>
    </w:p>
    <w:p>
      <w:pPr>
        <w:ind w:firstLine="420"/>
        <w:spacing w:line="360" w:lineRule="auto"/>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技术部分</w:t>
      </w:r>
      <w:r>
        <w:rPr>
          <w:rFonts w:hint="eastAsia" w:ascii="宋体" w:hAnsi="宋体" w:eastAsia="宋体" w:cs="宋体"/>
          <w:b w:val="0"/>
          <w:bCs/>
          <w:color w:val="auto"/>
          <w:sz w:val="21"/>
          <w:szCs w:val="21"/>
          <w:highlight w:val="none"/>
          <w:lang w:eastAsia="en-US"/>
        </w:rPr>
        <w:t xml:space="preserve">（</w:t>
      </w:r>
      <w:r>
        <w:rPr>
          <w:rFonts w:hint="eastAsia" w:hAnsi="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lang w:eastAsia="en-US"/>
        </w:rPr>
        <w:t xml:space="preserve">分）</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zh-CN" w:eastAsia="zh-CN"/>
        </w:rPr>
        <w:t xml:space="preserve">目标设定：根据投标人针对本项目的</w:t>
      </w:r>
      <w:r>
        <w:rPr>
          <w:rFonts w:hint="eastAsia" w:ascii="宋体" w:hAnsi="宋体" w:eastAsia="宋体" w:cs="宋体"/>
          <w:b w:val="0"/>
          <w:bCs/>
          <w:color w:val="auto"/>
          <w:sz w:val="21"/>
          <w:szCs w:val="21"/>
          <w:highlight w:val="none"/>
          <w:lang w:val="en-US" w:eastAsia="zh-CN"/>
        </w:rPr>
        <w:t xml:space="preserve">年度服务</w:t>
      </w:r>
      <w:r>
        <w:rPr>
          <w:rFonts w:hint="eastAsia" w:ascii="宋体" w:hAnsi="宋体" w:eastAsia="宋体" w:cs="宋体"/>
          <w:b w:val="0"/>
          <w:bCs/>
          <w:color w:val="auto"/>
          <w:sz w:val="21"/>
          <w:szCs w:val="21"/>
          <w:highlight w:val="none"/>
          <w:lang w:val="zh-CN" w:eastAsia="zh-CN"/>
        </w:rPr>
        <w:t xml:space="preserve">目标设定进行评分，方案内容至少包括：</w:t>
      </w:r>
      <w:r>
        <w:rPr>
          <w:rFonts w:hint="eastAsia" w:ascii="宋体" w:hAnsi="宋体" w:eastAsia="宋体" w:cs="宋体"/>
          <w:b w:val="0"/>
          <w:bCs/>
          <w:color w:val="auto"/>
          <w:sz w:val="21"/>
          <w:szCs w:val="21"/>
          <w:highlight w:val="none"/>
          <w:lang w:val="en-US" w:eastAsia="zh-CN"/>
        </w:rPr>
        <w:t xml:space="preserve">①工作任务②工作方法③工作分工。</w:t>
      </w:r>
      <w:r>
        <w:rPr>
          <w:rFonts w:hint="eastAsia" w:ascii="宋体" w:hAnsi="宋体" w:eastAsia="宋体" w:cs="宋体"/>
          <w:sz w:val="21"/>
          <w:szCs w:val="21"/>
          <w:highlight w:val="none"/>
          <w:lang w:val="en-US" w:eastAsia="zh-CN"/>
        </w:rPr>
        <w:t xml:space="preserve">上述内容针对本项目且符合本项目实际需求的</w:t>
      </w:r>
      <w:r>
        <w:rPr>
          <w:rFonts w:hint="eastAsia" w:hAnsi="宋体" w:cs="宋体"/>
          <w:sz w:val="21"/>
          <w:szCs w:val="21"/>
          <w:highlight w:val="none"/>
          <w:lang w:val="en-US" w:eastAsia="zh-CN"/>
        </w:rPr>
        <w:t xml:space="preserve">每提供一项得2</w:t>
      </w:r>
      <w:r>
        <w:rPr>
          <w:rFonts w:hint="eastAsia" w:ascii="宋体" w:hAnsi="宋体" w:eastAsia="宋体" w:cs="宋体"/>
          <w:sz w:val="21"/>
          <w:szCs w:val="21"/>
          <w:highlight w:val="none"/>
          <w:lang w:val="en-US" w:eastAsia="zh-CN"/>
        </w:rPr>
        <w:t xml:space="preserve">分</w:t>
      </w:r>
      <w:r>
        <w:rPr>
          <w:rFonts w:hint="eastAsia" w:hAnsi="宋体" w:cs="宋体"/>
          <w:sz w:val="21"/>
          <w:szCs w:val="21"/>
          <w:highlight w:val="none"/>
          <w:lang w:val="en-US" w:eastAsia="zh-CN"/>
        </w:rPr>
        <w:t xml:space="preserve">，最高6分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CN" w:eastAsia="zh-CN"/>
        </w:rPr>
        <w:t xml:space="preserve">进度安排：根据投标人针对本项目的</w:t>
      </w:r>
      <w:r>
        <w:rPr>
          <w:rFonts w:hint="eastAsia" w:ascii="宋体" w:hAnsi="宋体" w:eastAsia="宋体" w:cs="宋体"/>
          <w:b w:val="0"/>
          <w:bCs/>
          <w:color w:val="auto"/>
          <w:sz w:val="21"/>
          <w:szCs w:val="21"/>
          <w:highlight w:val="none"/>
          <w:lang w:val="en-US" w:eastAsia="zh-CN"/>
        </w:rPr>
        <w:t xml:space="preserve">进度安排</w:t>
      </w:r>
      <w:r>
        <w:rPr>
          <w:rFonts w:hint="eastAsia" w:ascii="宋体" w:hAnsi="宋体" w:eastAsia="宋体" w:cs="宋体"/>
          <w:b w:val="0"/>
          <w:bCs/>
          <w:color w:val="auto"/>
          <w:sz w:val="21"/>
          <w:szCs w:val="21"/>
          <w:highlight w:val="none"/>
          <w:lang w:val="zh-CN" w:eastAsia="zh-CN"/>
        </w:rPr>
        <w:t xml:space="preserve">进行评分，方案内容至少包括：</w:t>
      </w:r>
      <w:r>
        <w:rPr>
          <w:rFonts w:hint="eastAsia" w:ascii="宋体" w:hAnsi="宋体" w:eastAsia="宋体" w:cs="宋体"/>
          <w:b w:val="0"/>
          <w:bCs/>
          <w:color w:val="auto"/>
          <w:sz w:val="21"/>
          <w:szCs w:val="21"/>
          <w:highlight w:val="none"/>
          <w:lang w:val="en-US" w:eastAsia="zh-CN"/>
        </w:rPr>
        <w:t xml:space="preserve">①</w:t>
      </w:r>
      <w:r>
        <w:rPr>
          <w:rFonts w:hint="default" w:ascii="宋体" w:hAnsi="宋体" w:eastAsia="宋体" w:cs="宋体"/>
          <w:b w:val="0"/>
          <w:bCs/>
          <w:color w:val="auto"/>
          <w:sz w:val="21"/>
          <w:szCs w:val="21"/>
          <w:highlight w:val="none"/>
          <w:lang w:val="en-US" w:eastAsia="zh-CN"/>
        </w:rPr>
        <w:t xml:space="preserve">时间节点</w:t>
      </w:r>
      <w:r>
        <w:rPr>
          <w:rFonts w:hint="eastAsia" w:ascii="宋体" w:hAnsi="宋体" w:eastAsia="宋体" w:cs="宋体"/>
          <w:b w:val="0"/>
          <w:bCs/>
          <w:color w:val="auto"/>
          <w:sz w:val="21"/>
          <w:szCs w:val="21"/>
          <w:highlight w:val="none"/>
          <w:lang w:val="en-US" w:eastAsia="zh-CN"/>
        </w:rPr>
        <w:t xml:space="preserve">②案件或事件进度节点。</w:t>
      </w:r>
      <w:r>
        <w:rPr>
          <w:rFonts w:hint="eastAsia" w:ascii="宋体" w:hAnsi="宋体" w:eastAsia="宋体" w:cs="宋体"/>
          <w:sz w:val="21"/>
          <w:szCs w:val="21"/>
          <w:highlight w:val="none"/>
          <w:lang w:val="en-US" w:eastAsia="zh-CN"/>
        </w:rPr>
        <w:t xml:space="preserve">上述内容针对本项目且符合本项目实际需求的</w:t>
      </w:r>
      <w:r>
        <w:rPr>
          <w:rFonts w:hint="eastAsia" w:hAnsi="宋体" w:cs="宋体"/>
          <w:sz w:val="21"/>
          <w:szCs w:val="21"/>
          <w:highlight w:val="none"/>
          <w:lang w:val="en-US" w:eastAsia="zh-CN"/>
        </w:rPr>
        <w:t xml:space="preserve">每提供一项得2</w:t>
      </w:r>
      <w:r>
        <w:rPr>
          <w:rFonts w:hint="eastAsia" w:ascii="宋体" w:hAnsi="宋体" w:eastAsia="宋体" w:cs="宋体"/>
          <w:sz w:val="21"/>
          <w:szCs w:val="21"/>
          <w:highlight w:val="none"/>
          <w:lang w:val="en-US" w:eastAsia="zh-CN"/>
        </w:rPr>
        <w:t xml:space="preserve">分</w:t>
      </w:r>
      <w:r>
        <w:rPr>
          <w:rFonts w:hint="eastAsia" w:hAnsi="宋体" w:cs="宋体"/>
          <w:sz w:val="21"/>
          <w:szCs w:val="21"/>
          <w:highlight w:val="none"/>
          <w:lang w:val="en-US" w:eastAsia="zh-CN"/>
        </w:rPr>
        <w:t xml:space="preserve">，最高4分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 xml:space="preserve">3、服务方案</w:t>
      </w:r>
      <w:r>
        <w:rPr>
          <w:rFonts w:hint="eastAsia" w:hAnsi="宋体" w:cs="宋体"/>
          <w:b w:val="0"/>
          <w:bCs/>
          <w:color w:val="auto"/>
          <w:sz w:val="21"/>
          <w:szCs w:val="21"/>
          <w:highlight w:val="none"/>
          <w:lang w:val="en-US" w:eastAsia="zh-CN"/>
        </w:rPr>
        <w:t xml:space="preserve">（各标段根据实际标段内容评审）：</w:t>
      </w:r>
      <w:r>
        <w:rPr>
          <w:rFonts w:hint="eastAsia" w:ascii="宋体" w:hAnsi="宋体" w:eastAsia="宋体" w:cs="宋体"/>
          <w:i w:val="0"/>
          <w:iCs w:val="0"/>
          <w:color w:val="auto"/>
          <w:sz w:val="21"/>
          <w:szCs w:val="21"/>
          <w:highlight w:val="none"/>
          <w:u w:val="none"/>
          <w:lang w:val="en-US" w:eastAsia="zh-CN" w:bidi="ar"/>
        </w:rPr>
        <w:t xml:space="preserve">根据投标人针对本项目的服务方案切实操作性进行评分，方案内容至少包括：①服务流程，</w:t>
      </w:r>
      <w:r>
        <w:rPr>
          <w:rFonts w:hint="eastAsia" w:ascii="宋体" w:hAnsi="宋体" w:cs="宋体"/>
          <w:bCs/>
          <w:color w:val="auto"/>
          <w:szCs w:val="21"/>
          <w:highlight w:val="none"/>
        </w:rPr>
        <w:t xml:space="preserve">②</w:t>
      </w:r>
      <w:r>
        <w:rPr>
          <w:rFonts w:hint="eastAsia" w:ascii="宋体" w:hAnsi="宋体" w:eastAsia="宋体" w:cs="宋体"/>
          <w:i w:val="0"/>
          <w:iCs w:val="0"/>
          <w:color w:val="auto"/>
          <w:sz w:val="21"/>
          <w:szCs w:val="21"/>
          <w:highlight w:val="none"/>
          <w:u w:val="none"/>
          <w:lang w:val="en-US" w:eastAsia="zh-CN" w:bidi="ar"/>
        </w:rPr>
        <w:t xml:space="preserve">自我评估机制，③投诉渠道及服务投诉处理机制，④</w:t>
      </w:r>
      <w:r>
        <w:rPr>
          <w:rFonts w:hint="eastAsia" w:ascii="宋体" w:hAnsi="宋体" w:cs="宋体"/>
          <w:bCs/>
          <w:color w:val="auto"/>
          <w:szCs w:val="21"/>
          <w:highlight w:val="none"/>
        </w:rPr>
        <w:t xml:space="preserve">服务区域现状分析</w:t>
      </w:r>
      <w:r>
        <w:rPr>
          <w:rFonts w:hint="eastAsia"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⑤</w:t>
      </w:r>
      <w:r>
        <w:rPr>
          <w:rFonts w:hint="eastAsia" w:ascii="宋体" w:hAnsi="宋体" w:cs="宋体"/>
          <w:bCs/>
          <w:color w:val="auto"/>
          <w:szCs w:val="21"/>
          <w:highlight w:val="none"/>
        </w:rPr>
        <w:t xml:space="preserve">重点难点分析及应对措施</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上述内容针对本项目且符合本项目实际需求的</w:t>
      </w:r>
      <w:r>
        <w:rPr>
          <w:rFonts w:hint="eastAsia" w:hAnsi="宋体" w:cs="宋体"/>
          <w:color w:val="auto"/>
          <w:sz w:val="21"/>
          <w:szCs w:val="21"/>
          <w:highlight w:val="none"/>
          <w:lang w:val="en-US" w:eastAsia="zh-CN"/>
        </w:rPr>
        <w:t xml:space="preserve">每提供一项得4</w:t>
      </w:r>
      <w:r>
        <w:rPr>
          <w:rFonts w:hint="eastAsia" w:ascii="宋体" w:hAnsi="宋体" w:eastAsia="宋体" w:cs="宋体"/>
          <w:color w:val="auto"/>
          <w:sz w:val="21"/>
          <w:szCs w:val="21"/>
          <w:highlight w:val="none"/>
          <w:lang w:val="en-US" w:eastAsia="zh-CN"/>
        </w:rPr>
        <w:t xml:space="preserve">分</w:t>
      </w:r>
      <w:r>
        <w:rPr>
          <w:rFonts w:hint="eastAsia" w:hAnsi="宋体" w:cs="宋体"/>
          <w:color w:val="auto"/>
          <w:sz w:val="21"/>
          <w:szCs w:val="21"/>
          <w:highlight w:val="none"/>
          <w:lang w:val="en-US" w:eastAsia="zh-CN"/>
        </w:rPr>
        <w:t xml:space="preserve">，最高20分</w:t>
      </w:r>
      <w:r>
        <w:rPr>
          <w:rFonts w:hint="eastAsia" w:ascii="宋体" w:hAnsi="宋体" w:eastAsia="宋体" w:cs="宋体"/>
          <w:b w:val="0"/>
          <w:bCs/>
          <w:color w:val="auto"/>
          <w:sz w:val="21"/>
          <w:szCs w:val="21"/>
          <w:highlight w:val="none"/>
          <w:lang w:val="zh-CN" w:eastAsia="zh-CN"/>
        </w:rPr>
        <w:t xml:space="preserve">。</w:t>
      </w:r>
      <w:r/>
    </w:p>
    <w:p>
      <w:pPr>
        <w:ind w:firstLine="210"/>
        <w:spacing w:line="360" w:lineRule="auto"/>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eastAsia="en-US"/>
        </w:rPr>
        <w:t xml:space="preserve">（三）</w:t>
      </w:r>
      <w:r>
        <w:rPr>
          <w:rFonts w:hint="eastAsia" w:ascii="宋体" w:hAnsi="宋体" w:eastAsia="宋体" w:cs="宋体"/>
          <w:b w:val="0"/>
          <w:bCs/>
          <w:color w:val="auto"/>
          <w:sz w:val="21"/>
          <w:szCs w:val="21"/>
          <w:highlight w:val="none"/>
          <w:lang w:val="en-US" w:eastAsia="zh-CN"/>
        </w:rPr>
        <w:t xml:space="preserve">人员配备</w:t>
      </w:r>
      <w:r>
        <w:rPr>
          <w:rFonts w:hint="eastAsia" w:ascii="宋体" w:hAnsi="宋体" w:eastAsia="宋体" w:cs="宋体"/>
          <w:b w:val="0"/>
          <w:bCs/>
          <w:color w:val="auto"/>
          <w:sz w:val="21"/>
          <w:szCs w:val="21"/>
          <w:highlight w:val="none"/>
          <w:lang w:eastAsia="en-US"/>
        </w:rPr>
        <w:t xml:space="preserve">（</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lang w:eastAsia="en-US"/>
        </w:rPr>
        <w:t xml:space="preserve">分）</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1、项目主管（</w:t>
      </w:r>
      <w:r>
        <w:rPr>
          <w:rFonts w:hint="eastAsia"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val="zh-CN" w:eastAsia="zh-CN"/>
        </w:rPr>
        <w:t xml:space="preserve">）：</w:t>
      </w:r>
      <w:r/>
    </w:p>
    <w:p>
      <w:pPr>
        <w:ind w:firstLine="42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拟投入的项目主管具有国家中级</w:t>
      </w:r>
      <w:r>
        <w:rPr>
          <w:rFonts w:hint="eastAsia" w:hAnsi="宋体" w:cs="宋体"/>
          <w:b w:val="0"/>
          <w:bCs/>
          <w:color w:val="auto"/>
          <w:sz w:val="21"/>
          <w:szCs w:val="21"/>
          <w:highlight w:val="none"/>
          <w:lang w:val="en-US" w:eastAsia="zh-CN"/>
        </w:rPr>
        <w:t xml:space="preserve">及以上</w:t>
      </w:r>
      <w:r>
        <w:rPr>
          <w:rFonts w:hint="eastAsia" w:ascii="宋体" w:hAnsi="宋体" w:eastAsia="宋体" w:cs="宋体"/>
          <w:b w:val="0"/>
          <w:bCs/>
          <w:color w:val="auto"/>
          <w:sz w:val="21"/>
          <w:szCs w:val="21"/>
          <w:highlight w:val="none"/>
          <w:lang w:val="en-US" w:eastAsia="zh-CN"/>
        </w:rPr>
        <w:t xml:space="preserve">社会工作师相关专业技能证书</w:t>
      </w:r>
      <w:r>
        <w:rPr>
          <w:rFonts w:hint="eastAsia" w:hAnsi="宋体" w:cs="宋体"/>
          <w:b w:val="0"/>
          <w:bCs/>
          <w:color w:val="auto"/>
          <w:sz w:val="21"/>
          <w:szCs w:val="21"/>
          <w:highlight w:val="none"/>
          <w:lang w:val="en-US" w:eastAsia="zh-CN"/>
        </w:rPr>
        <w:t xml:space="preserve">得5分</w:t>
      </w:r>
      <w:r>
        <w:rPr>
          <w:rFonts w:hint="eastAsia" w:ascii="宋体" w:hAnsi="宋体" w:eastAsia="宋体" w:cs="宋体"/>
          <w:b w:val="0"/>
          <w:bCs/>
          <w:color w:val="auto"/>
          <w:sz w:val="21"/>
          <w:szCs w:val="21"/>
          <w:highlight w:val="none"/>
          <w:lang w:val="en-US" w:eastAsia="zh-CN"/>
        </w:rPr>
        <w:t xml:space="preserve">，具备5年以上社会工作服务经验的得</w:t>
      </w:r>
      <w:r>
        <w:rPr>
          <w:rFonts w:hint="eastAsia"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分。（注：须提供人员相关证书</w:t>
      </w:r>
      <w:r>
        <w:rPr>
          <w:rFonts w:hint="eastAsia" w:hAnsi="宋体" w:cs="宋体"/>
          <w:b w:val="0"/>
          <w:bCs/>
          <w:color w:val="auto"/>
          <w:sz w:val="21"/>
          <w:szCs w:val="21"/>
          <w:highlight w:val="none"/>
          <w:lang w:val="en-US" w:eastAsia="zh-CN"/>
        </w:rPr>
        <w:t xml:space="preserve">及相关工作经验证明材料</w:t>
      </w:r>
      <w:r>
        <w:rPr>
          <w:rFonts w:hint="eastAsia"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2、专职社工</w:t>
      </w:r>
      <w:r>
        <w:rPr>
          <w:rFonts w:hint="eastAsia" w:hAnsi="宋体" w:cs="宋体"/>
          <w:b w:val="0"/>
          <w:bCs/>
          <w:color w:val="auto"/>
          <w:sz w:val="21"/>
          <w:szCs w:val="21"/>
          <w:highlight w:val="none"/>
          <w:lang w:val="en-US" w:eastAsia="zh-CN"/>
        </w:rPr>
        <w:t xml:space="preserve">（15分）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default"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 xml:space="preserve">拟投入的</w:t>
      </w:r>
      <w:r>
        <w:rPr>
          <w:rFonts w:hint="eastAsia" w:ascii="宋体" w:hAnsi="宋体" w:eastAsia="宋体" w:cs="宋体"/>
          <w:b w:val="0"/>
          <w:bCs/>
          <w:color w:val="auto"/>
          <w:sz w:val="21"/>
          <w:szCs w:val="21"/>
          <w:highlight w:val="none"/>
          <w:lang w:val="en-US" w:eastAsia="zh-CN"/>
        </w:rPr>
        <w:t xml:space="preserve">专职社工</w:t>
      </w:r>
      <w:r>
        <w:rPr>
          <w:rFonts w:hint="default" w:ascii="宋体" w:hAnsi="宋体" w:eastAsia="宋体" w:cs="宋体"/>
          <w:b w:val="0"/>
          <w:bCs/>
          <w:color w:val="auto"/>
          <w:sz w:val="21"/>
          <w:szCs w:val="21"/>
          <w:highlight w:val="none"/>
          <w:lang w:val="en-US" w:eastAsia="zh-CN"/>
        </w:rPr>
        <w:t xml:space="preserve">（不含</w:t>
      </w:r>
      <w:r>
        <w:rPr>
          <w:rFonts w:hint="eastAsia" w:ascii="宋体" w:hAnsi="宋体" w:eastAsia="宋体" w:cs="宋体"/>
          <w:b w:val="0"/>
          <w:bCs/>
          <w:color w:val="auto"/>
          <w:sz w:val="21"/>
          <w:szCs w:val="21"/>
          <w:highlight w:val="none"/>
          <w:lang w:val="zh-CN" w:eastAsia="zh-CN"/>
        </w:rPr>
        <w:t xml:space="preserve">项目主管</w:t>
      </w:r>
      <w:r>
        <w:rPr>
          <w:rFonts w:hint="default"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中具备1年以上社会工作服务经验，每提供一名得1分，最高得3分。提供人员相关工作经验的证明材料，未提供不得分。</w:t>
      </w:r>
      <w:r/>
    </w:p>
    <w:p>
      <w:pPr>
        <w:ind w:firstLine="420"/>
        <w:spacing w:line="360" w:lineRule="auto"/>
        <w:rPr>
          <w:rFonts w:hint="eastAsia"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 xml:space="preserve">拟投入的</w:t>
      </w:r>
      <w:r>
        <w:rPr>
          <w:rFonts w:hint="eastAsia" w:ascii="宋体" w:hAnsi="宋体" w:eastAsia="宋体" w:cs="宋体"/>
          <w:b w:val="0"/>
          <w:bCs/>
          <w:color w:val="auto"/>
          <w:sz w:val="21"/>
          <w:szCs w:val="21"/>
          <w:highlight w:val="none"/>
          <w:lang w:val="en-US" w:eastAsia="zh-CN"/>
        </w:rPr>
        <w:t xml:space="preserve">专职社工</w:t>
      </w:r>
      <w:r>
        <w:rPr>
          <w:rFonts w:hint="default" w:ascii="宋体" w:hAnsi="宋体" w:eastAsia="宋体" w:cs="宋体"/>
          <w:b w:val="0"/>
          <w:bCs/>
          <w:color w:val="auto"/>
          <w:sz w:val="21"/>
          <w:szCs w:val="21"/>
          <w:highlight w:val="none"/>
          <w:lang w:val="en-US" w:eastAsia="zh-CN"/>
        </w:rPr>
        <w:t xml:space="preserve">（不含</w:t>
      </w:r>
      <w:r>
        <w:rPr>
          <w:rFonts w:hint="eastAsia" w:ascii="宋体" w:hAnsi="宋体" w:eastAsia="宋体" w:cs="宋体"/>
          <w:b w:val="0"/>
          <w:bCs/>
          <w:color w:val="auto"/>
          <w:sz w:val="21"/>
          <w:szCs w:val="21"/>
          <w:highlight w:val="none"/>
          <w:lang w:val="zh-CN" w:eastAsia="zh-CN"/>
        </w:rPr>
        <w:t xml:space="preserve">项目主管</w:t>
      </w:r>
      <w:r>
        <w:rPr>
          <w:rFonts w:hint="default" w:ascii="宋体" w:hAnsi="宋体" w:eastAsia="宋体" w:cs="宋体"/>
          <w:b w:val="0"/>
          <w:bCs/>
          <w:color w:val="auto"/>
          <w:sz w:val="21"/>
          <w:szCs w:val="21"/>
          <w:highlight w:val="none"/>
          <w:lang w:val="en-US" w:eastAsia="zh-CN"/>
        </w:rPr>
        <w:t xml:space="preserve">）中</w:t>
      </w:r>
      <w:r>
        <w:rPr>
          <w:rFonts w:hint="eastAsia" w:hAnsi="宋体" w:cs="宋体"/>
          <w:b w:val="0"/>
          <w:bCs/>
          <w:color w:val="auto"/>
          <w:sz w:val="21"/>
          <w:szCs w:val="21"/>
          <w:highlight w:val="none"/>
          <w:lang w:val="en-US" w:eastAsia="zh-CN"/>
        </w:rPr>
        <w:t xml:space="preserve">具备</w:t>
      </w:r>
      <w:r>
        <w:rPr>
          <w:rFonts w:hint="default" w:ascii="宋体" w:hAnsi="宋体" w:eastAsia="宋体" w:cs="宋体"/>
          <w:b w:val="0"/>
          <w:bCs/>
          <w:color w:val="auto"/>
          <w:sz w:val="21"/>
          <w:szCs w:val="21"/>
          <w:highlight w:val="none"/>
          <w:lang w:val="en-US" w:eastAsia="zh-CN"/>
        </w:rPr>
        <w:t xml:space="preserve">国家颁发的社会工作者职业水平证书或获得2018年前国家人社部门认证的心理咨询师初级及以上资格证书，并具备1年以上社会工作或心理咨询服务经验</w:t>
      </w:r>
      <w:r>
        <w:rPr>
          <w:rFonts w:hint="eastAsia" w:hAnsi="宋体" w:cs="宋体"/>
          <w:b w:val="0"/>
          <w:bCs/>
          <w:color w:val="auto"/>
          <w:sz w:val="21"/>
          <w:szCs w:val="21"/>
          <w:highlight w:val="none"/>
          <w:lang w:val="en-US" w:eastAsia="zh-CN"/>
        </w:rPr>
        <w:t xml:space="preserve">，每提供一名得2分，最高得6分。提供人员证书和相关工作经验的证明材料，未提供不得分。</w:t>
      </w:r>
      <w:r/>
    </w:p>
    <w:p>
      <w:pPr>
        <w:ind w:firstLine="420"/>
        <w:spacing w:line="360" w:lineRule="auto"/>
        <w:rPr>
          <w:rFonts w:hint="eastAsia"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 xml:space="preserve">拟投入的</w:t>
      </w:r>
      <w:r>
        <w:rPr>
          <w:rFonts w:hint="eastAsia" w:ascii="宋体" w:hAnsi="宋体" w:eastAsia="宋体" w:cs="宋体"/>
          <w:b w:val="0"/>
          <w:bCs/>
          <w:color w:val="auto"/>
          <w:sz w:val="21"/>
          <w:szCs w:val="21"/>
          <w:highlight w:val="none"/>
          <w:lang w:val="en-US" w:eastAsia="zh-CN"/>
        </w:rPr>
        <w:t xml:space="preserve">专职社工</w:t>
      </w:r>
      <w:r>
        <w:rPr>
          <w:rFonts w:hint="default" w:ascii="宋体" w:hAnsi="宋体" w:eastAsia="宋体" w:cs="宋体"/>
          <w:b w:val="0"/>
          <w:bCs/>
          <w:color w:val="auto"/>
          <w:sz w:val="21"/>
          <w:szCs w:val="21"/>
          <w:highlight w:val="none"/>
          <w:lang w:val="en-US" w:eastAsia="zh-CN"/>
        </w:rPr>
        <w:t xml:space="preserve">（不含</w:t>
      </w:r>
      <w:r>
        <w:rPr>
          <w:rFonts w:hint="eastAsia" w:ascii="宋体" w:hAnsi="宋体" w:eastAsia="宋体" w:cs="宋体"/>
          <w:b w:val="0"/>
          <w:bCs/>
          <w:color w:val="auto"/>
          <w:sz w:val="21"/>
          <w:szCs w:val="21"/>
          <w:highlight w:val="none"/>
          <w:lang w:val="zh-CN" w:eastAsia="zh-CN"/>
        </w:rPr>
        <w:t xml:space="preserve">项目主管</w:t>
      </w:r>
      <w:r>
        <w:rPr>
          <w:rFonts w:hint="default" w:ascii="宋体" w:hAnsi="宋体" w:eastAsia="宋体" w:cs="宋体"/>
          <w:b w:val="0"/>
          <w:bCs/>
          <w:color w:val="auto"/>
          <w:sz w:val="21"/>
          <w:szCs w:val="21"/>
          <w:highlight w:val="none"/>
          <w:lang w:val="en-US" w:eastAsia="zh-CN"/>
        </w:rPr>
        <w:t xml:space="preserve">）中</w:t>
      </w:r>
      <w:r>
        <w:rPr>
          <w:rFonts w:hint="eastAsia" w:hAnsi="宋体" w:cs="宋体"/>
          <w:b w:val="0"/>
          <w:bCs/>
          <w:color w:val="auto"/>
          <w:sz w:val="21"/>
          <w:szCs w:val="21"/>
          <w:highlight w:val="none"/>
          <w:lang w:val="en-US" w:eastAsia="zh-CN"/>
        </w:rPr>
        <w:t xml:space="preserve">经过市民政局统一培训并取得结业证书，并具备2年以上社会工作服务经验的人员。每提供一名得2分，最高得6分。提供人员证书和相关工作经验的证明材料，未提供不得分。</w:t>
      </w:r>
      <w:r/>
    </w:p>
    <w:p>
      <w:pPr>
        <w:ind w:firstLine="420"/>
        <w:spacing w:line="360" w:lineRule="auto"/>
        <w:rPr>
          <w:rFonts w:hint="default" w:ascii="宋体" w:hAnsi="宋体" w:eastAsia="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备注：拟投入本项目项目主管、专职社工等全部专业服务人员，必须全部驻点民服站，全职开展本项目工作，不允许擅自更换人员。确有特殊情况需要调换人员的，中标单位必须向采购人提交书面申请，取得采购人书面同意后，才可以更换人员。项目实施过程中，如果采购人发现在岗人员达不到本项目服务要求，有权要求中标单位更换相关人员。替换上来的人员条件，不能低于投标文件里该岗位配置的人员条件</w:t>
      </w:r>
      <w:r>
        <w:rPr>
          <w:rFonts w:hint="eastAsia" w:hAnsi="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 </w:t>
      </w:r>
      <w:r>
        <w:rPr>
          <w:rFonts w:hint="eastAsia" w:hAnsi="宋体" w:cs="宋体"/>
          <w:b w:val="0"/>
          <w:bCs/>
          <w:color w:val="auto"/>
          <w:sz w:val="21"/>
          <w:szCs w:val="21"/>
          <w:highlight w:val="none"/>
          <w:lang w:val="en-US" w:eastAsia="zh-CN"/>
        </w:rPr>
        <w:t xml:space="preserve">企业实力</w:t>
      </w:r>
      <w:r>
        <w:rPr>
          <w:rFonts w:hint="eastAsia"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1、类似业绩：</w:t>
      </w:r>
      <w:r>
        <w:rPr>
          <w:rFonts w:hint="eastAsia" w:ascii="宋体" w:hAnsi="宋体" w:eastAsia="宋体" w:cs="宋体"/>
          <w:b w:val="0"/>
          <w:bCs/>
          <w:color w:val="auto"/>
          <w:sz w:val="21"/>
          <w:szCs w:val="21"/>
          <w:highlight w:val="none"/>
          <w:lang w:eastAsia="en-US"/>
        </w:rPr>
        <w:t xml:space="preserve">投标单位</w:t>
      </w:r>
      <w:r>
        <w:rPr>
          <w:rFonts w:hint="eastAsia" w:ascii="宋体" w:hAnsi="宋体" w:eastAsia="宋体" w:cs="宋体"/>
          <w:b w:val="0"/>
          <w:bCs/>
          <w:color w:val="auto"/>
          <w:sz w:val="21"/>
          <w:szCs w:val="21"/>
          <w:highlight w:val="none"/>
          <w:lang w:val="en-US" w:eastAsia="zh-CN"/>
        </w:rPr>
        <w:t xml:space="preserve">自</w:t>
      </w:r>
      <w:r>
        <w:rPr>
          <w:rFonts w:hint="eastAsia" w:ascii="宋体" w:hAnsi="宋体" w:eastAsia="宋体" w:cs="宋体"/>
          <w:b w:val="0"/>
          <w:bCs/>
          <w:color w:val="auto"/>
          <w:sz w:val="21"/>
          <w:szCs w:val="21"/>
          <w:highlight w:val="none"/>
          <w:lang w:eastAsia="en-US"/>
        </w:rPr>
        <w:t xml:space="preserve">202</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en-US"/>
        </w:rPr>
        <w:t xml:space="preserve">年</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en-US"/>
        </w:rPr>
        <w:t xml:space="preserve">月1日（以合同签订时间为准）至今承担过</w:t>
      </w:r>
      <w:r>
        <w:rPr>
          <w:rFonts w:hint="eastAsia" w:hAnsi="宋体" w:cs="宋体"/>
          <w:b w:val="0"/>
          <w:bCs/>
          <w:color w:val="auto"/>
          <w:sz w:val="21"/>
          <w:szCs w:val="21"/>
          <w:highlight w:val="none"/>
          <w:lang w:val="en-US" w:eastAsia="zh-CN"/>
        </w:rPr>
        <w:t xml:space="preserve">类似项目</w:t>
      </w:r>
      <w:r>
        <w:rPr>
          <w:rFonts w:hint="eastAsia" w:ascii="宋体" w:hAnsi="宋体" w:eastAsia="宋体" w:cs="宋体"/>
          <w:b w:val="0"/>
          <w:bCs/>
          <w:color w:val="auto"/>
          <w:sz w:val="21"/>
          <w:szCs w:val="21"/>
          <w:highlight w:val="none"/>
          <w:lang w:eastAsia="en-US"/>
        </w:rPr>
        <w:t xml:space="preserve">，每提供一个得</w:t>
      </w:r>
      <w:r>
        <w:rPr>
          <w:rFonts w:hint="eastAsia"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en-US"/>
        </w:rPr>
        <w:t xml:space="preserve">分，最高</w:t>
      </w:r>
      <w:r>
        <w:rPr>
          <w:rFonts w:hint="eastAsia"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eastAsia="en-US"/>
        </w:rPr>
        <w:t xml:space="preserve">分。（</w:t>
      </w:r>
      <w:r>
        <w:rPr>
          <w:rFonts w:hint="eastAsia" w:ascii="宋体" w:hAnsi="宋体" w:eastAsia="宋体" w:cs="宋体"/>
          <w:b w:val="0"/>
          <w:bCs/>
          <w:color w:val="auto"/>
          <w:sz w:val="21"/>
          <w:szCs w:val="21"/>
          <w:highlight w:val="none"/>
          <w:lang w:val="en-US" w:eastAsia="zh-CN"/>
        </w:rPr>
        <w:t xml:space="preserve">注：须</w:t>
      </w:r>
      <w:r>
        <w:rPr>
          <w:rFonts w:hint="eastAsia" w:ascii="宋体" w:hAnsi="宋体" w:eastAsia="宋体" w:cs="宋体"/>
          <w:b w:val="0"/>
          <w:bCs/>
          <w:color w:val="auto"/>
          <w:sz w:val="21"/>
          <w:szCs w:val="21"/>
          <w:highlight w:val="none"/>
          <w:lang w:eastAsia="en-US"/>
        </w:rPr>
        <w:t xml:space="preserve">提供完整的合同扫描件</w:t>
      </w:r>
      <w:r>
        <w:rPr>
          <w:rFonts w:hint="eastAsia" w:hAnsi="宋体" w:cs="宋体"/>
          <w:b w:val="0"/>
          <w:bCs/>
          <w:color w:val="auto"/>
          <w:sz w:val="21"/>
          <w:szCs w:val="21"/>
          <w:highlight w:val="none"/>
          <w:lang w:val="en-US" w:eastAsia="zh-CN"/>
        </w:rPr>
        <w:t xml:space="preserve">加盖公章。</w:t>
      </w:r>
      <w:r>
        <w:rPr>
          <w:rFonts w:hint="eastAsia" w:ascii="宋体" w:hAnsi="宋体" w:eastAsia="宋体" w:cs="宋体"/>
          <w:b w:val="0"/>
          <w:bCs/>
          <w:color w:val="auto"/>
          <w:sz w:val="21"/>
          <w:szCs w:val="21"/>
          <w:highlight w:val="none"/>
          <w:lang w:eastAsia="en-US"/>
        </w:rPr>
        <w:t xml:space="preserve">提供材料不全或不提供不得分）</w:t>
      </w:r>
      <w:r>
        <w:rPr>
          <w:rFonts w:hint="eastAsia" w:ascii="宋体" w:hAnsi="宋体" w:eastAsia="宋体" w:cs="宋体"/>
          <w:b w:val="0"/>
          <w:bCs/>
          <w:color w:val="auto"/>
          <w:sz w:val="21"/>
          <w:szCs w:val="21"/>
          <w:highlight w:val="none"/>
          <w:lang w:val="en-US" w:eastAsia="zh-CN"/>
        </w:rPr>
        <w:t xml:space="preserve">。</w:t>
      </w:r>
      <w:r/>
    </w:p>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1、报价要求、付款步骤、服务期限如有负偏离的不得中标。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hint="eastAsia" w:ascii="宋体" w:hAnsi="宋体" w:eastAsia="宋体" w:cs="宋体"/>
          <w:b/>
          <w:bCs/>
          <w:color w:val="auto"/>
          <w:sz w:val="32"/>
          <w:szCs w:val="32"/>
          <w:highlight w:val="none"/>
        </w:rPr>
        <w:outlineLvl w:val="0"/>
      </w:pPr>
      <w:r/>
      <w:bookmarkStart w:id="12" w:name="_Toc159507039"/>
      <w:r>
        <w:rPr>
          <w:rFonts w:hint="eastAsia" w:ascii="宋体" w:hAnsi="宋体" w:eastAsia="宋体" w:cs="宋体"/>
          <w:b/>
          <w:bCs/>
          <w:color w:val="auto"/>
          <w:sz w:val="32"/>
          <w:szCs w:val="32"/>
          <w:highlight w:val="none"/>
        </w:rPr>
        <w:t xml:space="preserve">第五章 投标文件格式</w:t>
      </w:r>
      <w:bookmarkEnd w:id="12"/>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r/>
    </w:p>
    <w:p>
      <w:pPr>
        <w:pStyle w:val="82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1、对本章所有的格式，投标单位可根据自身情况进行补充和修改，但补充和修改不得造成与本格式内容有实质性的违背。</w:t>
      </w:r>
      <w:r/>
    </w:p>
    <w:p>
      <w:pPr>
        <w:pStyle w:val="82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2、所附表格中要求回答的全部问题和信息都必须正面回答。</w:t>
      </w:r>
      <w:r/>
    </w:p>
    <w:p>
      <w:pPr>
        <w:pStyle w:val="82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3、本资格声明的签字人应保证全部声明和问题的回答是真实的和准确的。</w:t>
      </w:r>
      <w:r/>
    </w:p>
    <w:p>
      <w:pPr>
        <w:pStyle w:val="82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4、投标人提交的材料将被保密保存，但不退还。</w:t>
      </w:r>
      <w:r/>
    </w:p>
    <w:p>
      <w:pPr>
        <w:pStyle w:val="826"/>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5、全部文件应按投标人须知中规定的语言和份数提交。</w:t>
      </w:r>
      <w:r/>
    </w:p>
    <w:p>
      <w:pPr>
        <w:pStyle w:val="826"/>
        <w:ind w:left="0"/>
        <w:jc w:val="both"/>
        <w:spacing w:before="0" w:line="360" w:lineRule="auto"/>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b/>
          <w:bCs/>
          <w:color w:val="auto"/>
          <w:sz w:val="44"/>
          <w:szCs w:val="44"/>
          <w:highlight w:val="none"/>
        </w:rPr>
      </w:pPr>
      <w:r/>
      <w:bookmarkStart w:id="13" w:name="_Toc467507054"/>
      <w:r/>
      <w:bookmarkStart w:id="14" w:name="_Toc430265233"/>
      <w:r/>
      <w:bookmarkStart w:id="15" w:name="_Toc322442932"/>
      <w:r/>
      <w:bookmarkStart w:id="16" w:name="_Toc405288080"/>
      <w:r/>
      <w:bookmarkStart w:id="17" w:name="_Toc467507044"/>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default" w:hAnsi="宋体" w:cs="宋体"/>
          <w:color w:val="auto"/>
          <w:sz w:val="32"/>
          <w:szCs w:val="32"/>
          <w:highlight w:val="none"/>
          <w:lang w:eastAsia="zh-CN"/>
        </w:rPr>
        <w:t xml:space="preserve">太仓市城厢镇人民政府</w:t>
      </w:r>
      <w:r/>
    </w:p>
    <w:p>
      <w:pPr>
        <w:pStyle w:val="826"/>
        <w:ind w:left="0"/>
        <w:jc w:val="both"/>
        <w:spacing w:before="0" w:line="360" w:lineRule="auto"/>
        <w:rPr>
          <w:rFonts w:hint="default"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default" w:hAnsi="宋体" w:cs="宋体"/>
          <w:color w:val="auto"/>
          <w:sz w:val="32"/>
          <w:szCs w:val="32"/>
          <w:highlight w:val="none"/>
          <w:lang w:eastAsia="zh-CN"/>
        </w:rPr>
        <w:t xml:space="preserve">城厢镇民政服务站购买第三方社工服务项目</w:t>
      </w:r>
      <w:r/>
    </w:p>
    <w:p>
      <w:pPr>
        <w:pStyle w:val="82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JSZC-320585-TCZX-G2026-0012</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826"/>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6"/>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826"/>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pStyle w:val="83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34"/>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3、我们已详细审查全部招标文件，包括更正文件(如有)，对招标文件及更正公告(如有)无任何异议。我们完全理解并同意放弃对这方面有不明及误解的权力。</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4、我们同意按招标文件中的规定，本投标书的有效期限为自投标截止之日起</w:t>
      </w:r>
      <w:r>
        <w:rPr>
          <w:rFonts w:hint="eastAsia" w:ascii="宋体" w:hAnsi="宋体" w:eastAsia="宋体" w:cs="宋体"/>
          <w:sz w:val="21"/>
          <w:szCs w:val="21"/>
          <w:u w:val="single"/>
          <w:lang w:val="en-US" w:eastAsia="zh-CN" w:bidi="ar-SA"/>
        </w:rPr>
        <w:t xml:space="preserve">  60  </w:t>
      </w:r>
      <w:r>
        <w:rPr>
          <w:rFonts w:hint="eastAsia" w:ascii="宋体" w:hAnsi="宋体" w:eastAsia="宋体" w:cs="宋体"/>
          <w:sz w:val="21"/>
          <w:szCs w:val="21"/>
          <w:lang w:val="en-US" w:eastAsia="zh-CN" w:bidi="ar-SA"/>
        </w:rPr>
        <w:t xml:space="preserve">天。</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5、我们愿意提供招标采购单位在招标文件中要求的相关资料。</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6、我们愿意遵守招标公告及招标文件中所列的收费标准。</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7、我们愿意按招标文件的规定交纳投标保证金，并同意遵守招标文件中投标保证金的有关规定。</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bookmarkStart w:id="18" w:name="OLE_LINK22"/>
      <w:r>
        <w:rPr>
          <w:rFonts w:hint="eastAsia" w:ascii="宋体" w:hAnsi="宋体" w:eastAsia="宋体" w:cs="宋体"/>
          <w:color w:val="auto"/>
          <w:sz w:val="21"/>
          <w:szCs w:val="21"/>
          <w:highlight w:val="none"/>
        </w:rPr>
        <w:t xml:space="preserve">授权委托书</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   月   日</w:t>
      </w:r>
      <w:bookmarkEnd w:id="18"/>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4"/>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p>
      <w:pPr>
        <w:pStyle w:val="828"/>
        <w:numPr>
          <w:ilvl w:val="0"/>
          <w:numId w:val="0"/>
        </w:numPr>
        <w:rPr>
          <w:rFonts w:hint="eastAsia"/>
          <w:color w:val="auto"/>
          <w:sz w:val="21"/>
          <w:szCs w:val="21"/>
          <w:highlight w:val="none"/>
        </w:rPr>
      </w:pPr>
      <w:r>
        <w:rPr>
          <w:rFonts w:hint="eastAsia"/>
          <w:color w:val="auto"/>
          <w:sz w:val="21"/>
          <w:szCs w:val="21"/>
          <w:highlight w:val="none"/>
        </w:rPr>
      </w:r>
      <w:r/>
    </w:p>
    <w:tbl>
      <w:tblPr>
        <w:tblStyle w:val="819"/>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84"/>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W w:w="646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tc>
      </w:tr>
      <w:tr>
        <w:trPr>
          <w:cantSplit/>
          <w:jc w:val="center"/>
          <w:trHeight w:val="82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7"/>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7"/>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numPr>
          <w:ilvl w:val="0"/>
          <w:numId w:val="5"/>
        </w:numPr>
        <w:ind w:left="0"/>
        <w:jc w:val="center"/>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报价明细表</w:t>
      </w:r>
      <w:r/>
    </w:p>
    <w:p>
      <w:pPr>
        <w:ind w:firstLine="420"/>
        <w:widowControl/>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 w:val="21"/>
          <w:szCs w:val="21"/>
          <w:highlight w:val="none"/>
        </w:rPr>
        <w:t xml:space="preserve">                                     </w:t>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37"/>
        <w:gridCol w:w="956"/>
        <w:gridCol w:w="863"/>
        <w:gridCol w:w="1416"/>
        <w:gridCol w:w="1640"/>
        <w:gridCol w:w="2583"/>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合价</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元</w:t>
            </w:r>
            <w:r>
              <w:rPr>
                <w:rFonts w:hint="eastAsia" w:ascii="Times New Roman" w:hAnsi="Times New Roman" w:eastAsia="宋体" w:cs="Times New Roman"/>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9"/>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432" w:type="dxa"/>
            <w:vAlign w:val="center"/>
            <w:textDirection w:val="lrTb"/>
            <w:noWrap w:val="false"/>
          </w:tcPr>
          <w:p>
            <w:pPr>
              <w:ind w:firstLine="210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 （大写）          人民币（小写）</w:t>
            </w:r>
            <w:r/>
          </w:p>
        </w:tc>
      </w:tr>
    </w:tbl>
    <w:p>
      <w:pPr>
        <w:contextualSpacing/>
        <w:ind w:left="0" w:firstLine="478"/>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注：1、</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lang w:eastAsia="zh-CN"/>
        </w:rPr>
        <w:t xml:space="preserve">应包括完成本项工作所需的一切费用，包括但不限于人工（包括工资、福利、社保、正常节假日的加班费等费用）、易耗材、服装、胸卡、通讯、保险、各种税费、管理费、利润、政策性文件规定及合同包含的所有风险、责任等的费用。投标报价为最终报价，除非因特殊原因并经买卖双方协商同意，投标人不得再要求追加任何费用。</w:t>
      </w:r>
      <w:r/>
    </w:p>
    <w:p>
      <w:pPr>
        <w:ind w:firstLine="420"/>
        <w:spacing w:line="360" w:lineRule="auto"/>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2、投标报价明细表总价须与开标一览表一致，否则以开标一览表报价为准。</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投标</w:t>
      </w:r>
      <w:r>
        <w:rPr>
          <w:rFonts w:hint="eastAsia" w:ascii="宋体" w:hAnsi="宋体" w:eastAsia="宋体" w:cs="宋体"/>
          <w:bCs/>
          <w:color w:val="auto"/>
          <w:sz w:val="21"/>
          <w:szCs w:val="21"/>
          <w:highlight w:val="none"/>
          <w:lang w:val="en-US" w:eastAsia="zh-CN"/>
        </w:rPr>
        <w:t xml:space="preserve">单位</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公章</w:t>
      </w:r>
      <w:r>
        <w:rPr>
          <w:rFonts w:hint="eastAsia" w:ascii="宋体" w:hAnsi="宋体" w:eastAsia="宋体" w:cs="宋体"/>
          <w:bCs/>
          <w:color w:val="auto"/>
          <w:sz w:val="21"/>
          <w:szCs w:val="21"/>
          <w:highlight w:val="none"/>
          <w:lang w:val="zh-CN"/>
        </w:rPr>
        <w:t xml:space="preserve">）</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法定代表人或代理人：（签字或盖章）</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日期：年</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月</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日</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pStyle w:val="82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参加政府采购活动前三年内，在经营活动中没有重大违法记录声明</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19"/>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361"/>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9"/>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ind w:firstLine="84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r>
      <w:tr>
        <w:trPr>
          <w:cantSplit/>
          <w:trHeight w:val="374"/>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48"/>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4"/>
          <w:szCs w:val="24"/>
          <w:highlight w:val="none"/>
        </w:rPr>
      </w:pPr>
      <w:r/>
      <w:bookmarkStart w:id="19" w:name="_Hlk150944067"/>
      <w:r/>
      <w:bookmarkEnd w:id="19"/>
      <w:r>
        <w:rPr>
          <w:rFonts w:hint="eastAsia" w:ascii="宋体" w:hAnsi="宋体" w:eastAsia="宋体" w:cs="宋体"/>
          <w:b/>
          <w:bCs/>
          <w:color w:val="auto"/>
          <w:sz w:val="24"/>
          <w:szCs w:val="24"/>
          <w:highlight w:val="none"/>
        </w:rPr>
        <w:t xml:space="preserve">7、服务(技术)要求偏离表</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0" w:name="OLE_LINK25"/>
      <w:r>
        <w:rPr>
          <w:rFonts w:hint="eastAsia" w:ascii="宋体" w:hAnsi="宋体" w:eastAsia="宋体" w:cs="宋体"/>
          <w:color w:val="auto"/>
          <w:sz w:val="21"/>
          <w:szCs w:val="21"/>
          <w:highlight w:val="none"/>
        </w:rPr>
        <w:t xml:space="preserve">服务(技术)要求偏离表</w:t>
      </w:r>
      <w:r/>
    </w:p>
    <w:tbl>
      <w:tblPr>
        <w:tblStyle w:val="819"/>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bookmarkEnd w:id="20"/>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8、商务偏离表</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1" w:name="OLE_LINK23"/>
      <w:r/>
      <w:bookmarkStart w:id="22" w:name="OLE_LINK24"/>
      <w:r>
        <w:rPr>
          <w:rFonts w:hint="eastAsia" w:ascii="宋体" w:hAnsi="宋体" w:eastAsia="宋体" w:cs="宋体"/>
          <w:color w:val="auto"/>
          <w:sz w:val="21"/>
          <w:szCs w:val="21"/>
          <w:highlight w:val="none"/>
        </w:rPr>
        <w:t xml:space="preserve">商务条款偏离表</w:t>
      </w:r>
      <w:r/>
    </w:p>
    <w:tbl>
      <w:tblPr>
        <w:tblStyle w:val="81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w:t>
      </w:r>
      <w:bookmarkEnd w:id="21"/>
      <w:bookmarkEnd w:id="22"/>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4"/>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4"/>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tbl>
      <w:tblPr>
        <w:tblStyle w:val="819"/>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62"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98"/>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819"/>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按照招标文件要求提供相应证明材料。</w:t>
      </w:r>
      <w:r/>
    </w:p>
    <w:p>
      <w:pPr>
        <w:ind w:firstLine="420"/>
        <w:spacing w:line="360" w:lineRule="auto"/>
        <w:rPr>
          <w:rFonts w:hint="eastAsia" w:ascii="宋体" w:hAnsi="宋体" w:eastAsia="宋体" w:cs="宋体"/>
          <w:color w:val="auto"/>
          <w:sz w:val="21"/>
          <w:szCs w:val="21"/>
          <w:highlight w:val="yellow"/>
          <w:lang w:eastAsia="zh-CN"/>
        </w:rPr>
      </w:pPr>
      <w:r>
        <w:rPr>
          <w:rFonts w:hint="eastAsia" w:hAnsi="宋体" w:cs="宋体"/>
          <w:color w:val="auto"/>
          <w:sz w:val="21"/>
          <w:szCs w:val="21"/>
          <w:highlight w:val="yellow"/>
          <w:lang w:val="en-US" w:eastAsia="zh-CN"/>
        </w:rPr>
        <w:t xml:space="preserve">2、</w:t>
      </w:r>
      <w:r>
        <w:rPr>
          <w:rFonts w:hint="eastAsia" w:ascii="宋体" w:hAnsi="宋体" w:eastAsia="宋体" w:cs="宋体"/>
          <w:color w:val="auto"/>
          <w:sz w:val="21"/>
          <w:szCs w:val="21"/>
          <w:highlight w:val="yellow"/>
        </w:rPr>
        <w:t xml:space="preserve">拟投入人员为中标后实际投入人员，不得随意更换</w:t>
      </w:r>
      <w:r>
        <w:rPr>
          <w:rFonts w:hint="eastAsia" w:hAnsi="宋体" w:cs="宋体"/>
          <w:color w:val="auto"/>
          <w:sz w:val="21"/>
          <w:szCs w:val="21"/>
          <w:highlight w:val="yellow"/>
          <w:lang w:eastAsia="zh-CN"/>
        </w:rPr>
        <w:t xml:space="preserve">。</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中小企业声明函（服务）</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default" w:hAnsi="宋体" w:cs="宋体"/>
          <w:color w:val="auto"/>
          <w:sz w:val="21"/>
          <w:szCs w:val="21"/>
          <w:highlight w:val="none"/>
          <w:u w:val="single"/>
          <w:lang w:eastAsia="zh-CN"/>
        </w:rPr>
        <w:t xml:space="preserve">城厢镇民政服务站购买第三方社工服务项目</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rPr>
        <w:t xml:space="preserve">，属于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中型企业/小型企业/微型企业，三选一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rFonts w:hint="eastAsia" w:ascii="宋体" w:hAnsi="宋体" w:eastAsia="宋体" w:cs="宋体"/>
          <w:color w:val="auto"/>
          <w:sz w:val="21"/>
          <w:szCs w:val="21"/>
          <w:highlight w:val="none"/>
        </w:rPr>
        <w:t xml:space="preserve">1、中小企业参加政府采购活动，应当出具《中小企业声明函》，否则不得享受相关中小企业扶持政策。</w:t>
      </w:r>
      <w:r/>
    </w:p>
    <w:p>
      <w:pPr>
        <w:pStyle w:val="849"/>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2、中标、中标供应商受规定的中小企业扶持政策的，《中小企业声明函》应当随中标、成交结果同时公告，接受社会监督。</w:t>
      </w:r>
      <w:r/>
    </w:p>
    <w:p>
      <w:pPr>
        <w:pStyle w:val="849"/>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3、投标单位提供声明函内容不实的，属于提供虚假材料谋取中标、 成交， 依照《中华人民共和国政府采购法》 等国家有关规定追究相应责任。</w:t>
      </w:r>
      <w:r/>
    </w:p>
    <w:p>
      <w:pPr>
        <w:pStyle w:val="849"/>
        <w:ind w:firstLine="63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4、在服务采购项目中，服务由中小企业承接，即提供服务的人员为中小企业依照《中华人民共和国劳动合同法》订立劳动合同的从业人员。</w:t>
      </w:r>
      <w:r/>
    </w:p>
    <w:p>
      <w:pPr>
        <w:pStyle w:val="826"/>
        <w:ind w:left="0"/>
        <w:jc w:val="both"/>
        <w:spacing w:before="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826"/>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6"/>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3"/>
      <w:bookmarkEnd w:id="14"/>
      <w:bookmarkEnd w:id="15"/>
      <w:bookmarkEnd w:id="16"/>
      <w:bookmarkEnd w:id="17"/>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hAnsi="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各政府采购供应商：</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欢迎贵公司参加苏州市政府采购活动！</w:t>
      </w:r>
      <w:r/>
    </w:p>
    <w:p>
      <w:pPr>
        <w:ind w:firstLine="420"/>
        <w:spacing w:line="360" w:lineRule="auto"/>
        <w:rPr>
          <w:rFonts w:hint="eastAsia" w:ascii="宋体" w:hAnsi="宋体" w:eastAsia="宋体" w:cs="宋体"/>
          <w:spacing w:val="6"/>
          <w:sz w:val="21"/>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 xml:space="preserve">〔2021〕</w:t>
      </w:r>
      <w:r>
        <w:rPr>
          <w:rFonts w:hint="eastAsia" w:ascii="宋体" w:hAnsi="宋体" w:eastAsia="宋体" w:cs="宋体"/>
          <w:sz w:val="21"/>
          <w:szCs w:val="21"/>
          <w:highlight w:val="none"/>
        </w:rPr>
        <w:t xml:space="preserve">82号）及苏州市财政局、人民银行苏州市分行相关文件要求，按照双方自愿的原则提供便捷、优惠的贷款服务。</w:t>
      </w:r>
      <w:r/>
    </w:p>
    <w:p>
      <w:pPr>
        <w:jc w:val="center"/>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第</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 xml:space="preserve">采购合同</w:t>
      </w:r>
      <w:r/>
    </w:p>
    <w:p>
      <w:pPr>
        <w:jc w:val="center"/>
        <w:widowControl/>
        <w:rPr>
          <w:rFonts w:hint="eastAsia"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bl>
      <w:tblPr>
        <w:tblStyle w:val="81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874"/>
        <w:gridCol w:w="4866"/>
      </w:tblGrid>
      <w:tr>
        <w:trPr/>
        <w:tc>
          <w:tcPr>
            <w:tcW w:w="5040" w:type="dxa"/>
            <w:vAlign w:val="top"/>
            <w:textDirection w:val="lrTb"/>
            <w:noWrap w:val="false"/>
          </w:tcPr>
          <w:p>
            <w:pPr>
              <w:spacing w:line="360" w:lineRule="auto"/>
              <w:widowControl/>
              <w:tabs>
                <w:tab w:val="left" w:pos="6237" w:leader="none"/>
              </w:tabs>
              <w:rPr>
                <w:rFonts w:hint="default"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甲方（买方）：</w:t>
            </w:r>
            <w:r>
              <w:rPr>
                <w:rFonts w:hint="default" w:hAnsi="宋体" w:cs="宋体"/>
                <w:color w:val="auto"/>
                <w:sz w:val="21"/>
                <w:szCs w:val="21"/>
                <w:highlight w:val="none"/>
                <w:lang w:eastAsia="zh-CN"/>
              </w:rPr>
              <w:t xml:space="preserve">太仓市城厢镇人民政府</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乙方（卖方）：</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签订时间：</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签订地点：</w:t>
            </w:r>
            <w:r/>
          </w:p>
        </w:tc>
      </w:tr>
    </w:tbl>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依据《中华人民共和国民法典》及有关法律法规、招标编号</w:t>
      </w:r>
      <w:r>
        <w:rPr>
          <w:rFonts w:hint="default" w:ascii="宋体" w:hAnsi="宋体" w:eastAsia="宋体" w:cs="宋体"/>
          <w:sz w:val="21"/>
          <w:szCs w:val="21"/>
          <w:highlight w:val="none"/>
          <w:u w:val="single"/>
          <w:lang w:eastAsia="en-US"/>
        </w:rPr>
        <w:t xml:space="preserve">         </w:t>
      </w:r>
      <w:r>
        <w:rPr>
          <w:rFonts w:hint="default" w:ascii="宋体" w:hAnsi="宋体" w:eastAsia="宋体" w:cs="宋体"/>
          <w:sz w:val="21"/>
          <w:szCs w:val="21"/>
          <w:highlight w:val="none"/>
          <w:lang w:eastAsia="en-US"/>
        </w:rPr>
        <w:t xml:space="preserve">号招标文件及乙方的投标文件和中标通知书，甲乙双方本着平等、自愿、公平和诚实信用的原则，经友好协商，特订立如下协议：</w:t>
      </w:r>
      <w:r/>
    </w:p>
    <w:p>
      <w:pPr>
        <w:ind w:firstLine="420"/>
        <w:spacing w:line="360" w:lineRule="auto"/>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en-US"/>
        </w:rPr>
        <w:t xml:space="preserve">一、合同内容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签订时按标段内容填写</w:t>
      </w:r>
      <w:r>
        <w:rPr>
          <w:rFonts w:hint="eastAsia" w:ascii="宋体" w:hAnsi="宋体" w:eastAsia="宋体" w:cs="宋体"/>
          <w:color w:val="auto"/>
          <w:sz w:val="21"/>
          <w:szCs w:val="21"/>
          <w:highlight w:val="none"/>
          <w:lang w:eastAsia="zh-CN"/>
        </w:rPr>
        <w:t xml:space="preserve">）</w:t>
      </w:r>
      <w:r/>
    </w:p>
    <w:p>
      <w:pPr>
        <w:ind w:left="0" w:right="0" w:firstLine="420"/>
        <w:jc w:val="both"/>
        <w:keepLines w:val="0"/>
        <w:keepNext w:val="0"/>
        <w:pageBreakBefore w:val="0"/>
        <w:spacing w:before="0" w:after="0" w:line="360" w:lineRule="auto"/>
        <w:widowControl/>
        <w:rPr>
          <w:rFonts w:hint="default" w:ascii="Arial" w:hAnsi="Arial" w:eastAsia="Arial" w:cs="Times New Roman"/>
          <w:color w:val="auto"/>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（1）标段一服务内容为</w:t>
      </w:r>
      <w:r>
        <w:rPr>
          <w:rFonts w:hint="eastAsia" w:ascii="宋体" w:hAnsi="宋体" w:eastAsia="宋体" w:cs="宋体"/>
          <w:color w:val="auto"/>
          <w:sz w:val="21"/>
          <w:highlight w:val="none"/>
          <w:lang w:val="en-US" w:eastAsia="zh-CN"/>
        </w:rPr>
        <w:t xml:space="preserve">民服站日常运营维护、镇级儿童关爱之家运营、社会组织孵化培育</w:t>
      </w:r>
      <w:r>
        <w:rPr>
          <w:rFonts w:hint="default"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（2）标段二服务内容为</w:t>
      </w:r>
      <w:r>
        <w:rPr>
          <w:rFonts w:hint="eastAsia" w:ascii="宋体" w:hAnsi="宋体" w:eastAsia="宋体" w:cs="宋体"/>
          <w:color w:val="auto"/>
          <w:sz w:val="21"/>
          <w:highlight w:val="none"/>
          <w:lang w:val="en-US" w:eastAsia="zh-CN"/>
        </w:rPr>
        <w:t xml:space="preserve">社会救助服务（聚焦全镇社救对象，做细兜底保障、动态监测及社救相关政策精准匹配）</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hint="default" w:ascii="宋体" w:hAnsi="宋体" w:eastAsia="宋体" w:cs="宋体"/>
          <w:color w:val="auto"/>
          <w:sz w:val="21"/>
          <w:highlight w:val="none"/>
        </w:rPr>
        <w:t xml:space="preserve">）标段</w:t>
      </w:r>
      <w:r>
        <w:rPr>
          <w:rFonts w:hint="eastAsia" w:ascii="宋体" w:hAnsi="宋体" w:eastAsia="宋体" w:cs="宋体"/>
          <w:color w:val="auto"/>
          <w:sz w:val="21"/>
          <w:highlight w:val="none"/>
          <w:lang w:val="en-US" w:eastAsia="zh-CN"/>
        </w:rPr>
        <w:t xml:space="preserve">三</w:t>
      </w:r>
      <w:r>
        <w:rPr>
          <w:rFonts w:hint="default" w:ascii="宋体" w:hAnsi="宋体" w:eastAsia="宋体" w:cs="宋体"/>
          <w:color w:val="auto"/>
          <w:sz w:val="21"/>
          <w:highlight w:val="none"/>
        </w:rPr>
        <w:t xml:space="preserve">服务内容</w:t>
      </w:r>
      <w:r>
        <w:rPr>
          <w:rFonts w:hint="eastAsia" w:ascii="宋体" w:hAnsi="宋体" w:eastAsia="宋体" w:cs="宋体"/>
          <w:color w:val="auto"/>
          <w:sz w:val="21"/>
          <w:highlight w:val="none"/>
          <w:lang w:val="en-US" w:eastAsia="zh-CN"/>
        </w:rPr>
        <w:t xml:space="preserve">为养老及助残服务（聚焦全镇老年人与残疾人群体，做优为老服务品牌，深化“爱厢随”增能服务及相关政策精准匹配）</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二、下列文件为本合同不可分割部分</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（1）中标通知书；</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（2）乙方的投标文件；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（3）乙方在招标过程中所作的其它承诺、声明、书面澄清等；</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（4）招标文件及其附件；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（5）合同附件；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（6）与本次招标有关的并经当事人双方确认的其他文件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以上与本合同具有同等法律效力</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三、服务</w:t>
      </w:r>
      <w:r>
        <w:rPr>
          <w:rFonts w:hint="default" w:ascii="宋体" w:hAnsi="宋体" w:eastAsia="宋体" w:cs="宋体"/>
          <w:color w:val="auto"/>
          <w:sz w:val="21"/>
          <w:szCs w:val="21"/>
          <w:highlight w:val="none"/>
          <w:lang w:eastAsia="en-US"/>
        </w:rPr>
        <w:t xml:space="preserve">期限</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服务</w:t>
      </w:r>
      <w:r>
        <w:rPr>
          <w:rFonts w:hint="default" w:ascii="宋体" w:hAnsi="宋体" w:eastAsia="宋体" w:cs="宋体"/>
          <w:color w:val="auto"/>
          <w:sz w:val="21"/>
          <w:szCs w:val="21"/>
          <w:highlight w:val="none"/>
          <w:lang w:eastAsia="en-US"/>
        </w:rPr>
        <w:t xml:space="preserve">期限为一年，自202</w:t>
      </w: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eastAsia="en-US"/>
        </w:rPr>
        <w:t xml:space="preserve">年 月 日起至202</w:t>
      </w:r>
      <w:r>
        <w:rPr>
          <w:rFonts w:hint="eastAsia"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eastAsia="en-US"/>
        </w:rPr>
        <w:t xml:space="preserve">年 月 日止。</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四、合同价格及费用结算</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en-US"/>
        </w:rPr>
        <w:t xml:space="preserve">本项目</w:t>
      </w:r>
      <w:r>
        <w:rPr>
          <w:rFonts w:hint="eastAsia" w:ascii="宋体" w:hAnsi="宋体" w:eastAsia="宋体" w:cs="宋体"/>
          <w:color w:val="auto"/>
          <w:sz w:val="21"/>
          <w:szCs w:val="21"/>
          <w:highlight w:val="none"/>
          <w:lang w:val="en-US" w:eastAsia="zh-CN"/>
        </w:rPr>
        <w:t xml:space="preserve">各标段分别签订合同</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en-US"/>
        </w:rPr>
        <w:t xml:space="preserve">：</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1、合同总价：</w:t>
      </w:r>
      <w:r>
        <w:rPr>
          <w:rFonts w:hint="default" w:ascii="宋体" w:hAnsi="宋体" w:eastAsia="宋体" w:cs="宋体"/>
          <w:color w:val="auto"/>
          <w:sz w:val="21"/>
          <w:szCs w:val="21"/>
          <w:highlight w:val="none"/>
          <w:u w:val="single"/>
          <w:lang w:eastAsia="en-US"/>
        </w:rPr>
        <w:t xml:space="preserve">              </w:t>
      </w:r>
      <w:r>
        <w:rPr>
          <w:rFonts w:hint="default" w:ascii="宋体" w:hAnsi="宋体" w:eastAsia="宋体" w:cs="宋体"/>
          <w:color w:val="auto"/>
          <w:sz w:val="21"/>
          <w:szCs w:val="21"/>
          <w:highlight w:val="none"/>
          <w:lang w:eastAsia="en-US"/>
        </w:rPr>
        <w:t xml:space="preserve">（元）。</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2、开具发票：每期费用采取先开票后付款的方式。乙方根据甲方要求开具相应的发票，甲方在收到乙方发票后支付费用。</w:t>
      </w:r>
      <w:r/>
    </w:p>
    <w:p>
      <w:p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en-US"/>
        </w:rPr>
        <w:t xml:space="preserve">3、付款方式：本项目</w:t>
      </w:r>
      <w:r>
        <w:rPr>
          <w:rFonts w:hint="eastAsia" w:ascii="宋体" w:hAnsi="宋体" w:eastAsia="宋体" w:cs="宋体"/>
          <w:color w:val="auto"/>
          <w:sz w:val="21"/>
          <w:szCs w:val="21"/>
          <w:highlight w:val="none"/>
          <w:lang w:val="en-US" w:eastAsia="zh-CN"/>
        </w:rPr>
        <w:t xml:space="preserve">各标段分别签订合同</w:t>
      </w:r>
      <w:r>
        <w:rPr>
          <w:rFonts w:hint="eastAsia" w:hAnsi="宋体" w:cs="宋体"/>
          <w:color w:val="auto"/>
          <w:sz w:val="21"/>
          <w:szCs w:val="21"/>
          <w:highlight w:val="none"/>
          <w:lang w:val="en-US" w:eastAsia="zh-CN"/>
        </w:rPr>
        <w:t xml:space="preserve">。</w:t>
      </w:r>
      <w:r>
        <w:rPr>
          <w:rFonts w:hint="eastAsia" w:hAnsi="宋体" w:cs="宋体"/>
          <w:color w:val="auto"/>
          <w:sz w:val="21"/>
          <w:szCs w:val="21"/>
          <w:highlight w:val="yellow"/>
          <w:lang w:val="en-US" w:eastAsia="zh-CN"/>
        </w:rPr>
        <w:t xml:space="preserve">运营费用参照相关文件规定执行，实际将遵照最新文件规定，以财政实际支付为准。</w:t>
      </w:r>
      <w:r/>
    </w:p>
    <w:p>
      <w:pPr>
        <w:ind w:firstLine="420"/>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color w:val="auto"/>
          <w:sz w:val="21"/>
          <w:highlight w:val="none"/>
          <w:lang w:val="en-US" w:eastAsia="zh-CN"/>
        </w:rPr>
        <w:t xml:space="preserve">总支付方式为：(1)合同签订后，甲方支付合同金额的20%。(2)服务期满半年后开</w:t>
      </w:r>
      <w:r>
        <w:rPr>
          <w:rFonts w:hint="eastAsia" w:ascii="宋体" w:hAnsi="宋体" w:eastAsia="宋体" w:cs="宋体"/>
          <w:color w:val="auto"/>
          <w:sz w:val="21"/>
          <w:highlight w:val="none"/>
          <w:lang w:val="en-US" w:eastAsia="zh-CN"/>
        </w:rPr>
        <w:t xml:space="preserve">展半年度评估，评估合格后，支付合同金额的30%：若评估结果为“不合格”的，停止支付，责令其整改。整改后合格的，继续支付。整改后仍不合格的，终止支付。(3)根据服务期末评估结果支付考核资金（合同金额的50%)：评估结果为“优秀”的，支付合同金额的50%考核资金。评估结果为“良好”的，支付合同金额的40%的考核资金。评估结果为“合格”的，支付合同金额的20%的考核资金。评估结果为“不合格”的，责令其对存在的主要问题进行整改，整改后合格的，支付合同金额的20%的考核资金；未改进的，不支付考核资金，终止本项目服务。</w:t>
      </w:r>
      <w:r>
        <w:rPr>
          <w:rFonts w:hint="eastAsia" w:ascii="宋体" w:hAnsi="宋体" w:eastAsia="宋体" w:cs="宋体"/>
          <w:b/>
          <w:bCs/>
          <w:color w:val="auto"/>
          <w:sz w:val="21"/>
          <w:highlight w:val="none"/>
          <w:lang w:val="en-US" w:eastAsia="zh-CN"/>
        </w:rPr>
        <w:t xml:space="preserve">注：总分为100分，90-100分为优秀，80-89分为良好，60-79分为合格，60分以下为不合格。各标段按具体考核标准执行，对于招标文件未予以明确约定的考核相关事项，由招标人与中标人于中标后另行商定，相关协商确定内容作为本项目合同组成部分，对双方具有同等约束力。</w:t>
      </w:r>
      <w:r/>
    </w:p>
    <w:p>
      <w:pPr>
        <w:ind w:firstLine="420"/>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其中：</w:t>
      </w:r>
      <w:r/>
    </w:p>
    <w:p>
      <w:pPr>
        <w:ind w:firstLine="420"/>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hAnsi="宋体" w:cs="宋体"/>
          <w:color w:val="auto"/>
          <w:sz w:val="21"/>
          <w:szCs w:val="21"/>
          <w:highlight w:val="none"/>
          <w:lang w:val="en-US" w:eastAsia="zh-CN"/>
        </w:rPr>
        <w:t xml:space="preserve">标段一考评总分(满分100分) =</w:t>
      </w:r>
      <w:r>
        <w:rPr>
          <w:rFonts w:hint="eastAsia" w:ascii="宋体" w:hAnsi="宋体" w:eastAsia="宋体" w:cs="宋体"/>
          <w:i w:val="0"/>
          <w:iCs w:val="0"/>
          <w:color w:val="auto"/>
          <w:sz w:val="21"/>
          <w:szCs w:val="21"/>
          <w:highlight w:val="none"/>
          <w:u w:val="none"/>
          <w:lang w:val="en-US" w:eastAsia="zh-CN" w:bidi="ar"/>
        </w:rPr>
        <w:t xml:space="preserve">市级对镇级民服站考核分数*30%+ 项目一分数* 40%+ 项目二分数* 30%。</w:t>
      </w:r>
      <w:r/>
    </w:p>
    <w:p>
      <w:pPr>
        <w:ind w:firstLine="420"/>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标段二考评总分(满分100分) =市级对镇级民服站考核分数*30%+ 项目一分数* 10%+ 项目二分数* 30%+项目三分数*30%。</w:t>
      </w:r>
      <w:r/>
    </w:p>
    <w:p>
      <w:pPr>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标段三考评总分(满分100分) =市级对镇级民服站考核分数*30%+ 养老及助残服务*60%+“爱厢随”增能服务*10%。</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eastAsia="en-US"/>
        </w:rPr>
        <w:t xml:space="preserve">、合同价格包括但不限于完成该项工作所需的人员费用（含社保费用、高温费、加班费用）、运营管理费、办公活动经费、劳保用品费、培训费、通讯、服装、胸卡、各种税费、保险、维护、利润、政策性文件规定及合同包含的所有风险、责任等各项应有费用。</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五、甲、乙双方权利和义务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（一）甲方的权利和义务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1、甲方应按本合同约定方式及时拨付乙方项目经费。</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2、甲方负责社区服务社会化工作的整体策划、规则制定、部署总结、经验推广，并对项目进行日常督导和阶段性考评。</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3、在本项目实施过程中，甲方如发现乙方存在违约失信或其他违法行为的，甲方有权立即停止本项目并追究责任。</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4、在本项目实施过程中，甲方有权对考核标准作出适时调整，乙方必须无条件服从。</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（二）乙方的权利和义务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1、乙方是服务承接方，须做好项目的需求调研，并按照合同要求以及经甲方审核通过的服务方案来实施项目，履行承诺，保证质量。</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2、乙方应主动接受并配合甲方及第三方管理机构对项目的财务监督、服务督查和综合评价等，并按时提交监管和评估所需的所有资料，且对于甲方提出的意见及时进行整改。</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3、乙方实施本项目产生的报告、音频、视频、照片、课件、手册等所有文字资料和影像资料，均可供甲方无期限无偿使用。</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4、乙方严格保守甲方的工作机密，遵守甲方的各项规章制度和管理规定。</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5、本合同终止时，乙方必须在规定期限内向甲方移交全部项目资料。</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6、履行乙方在投标文件中的其他服务承诺。</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四、服务要求与验收标准</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1、服务要求：见招标文件和乙方的投标文件及乙方在招投标过程中的相关承诺、澄清等有关内容。</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2、验收标准：根据招标文件要求及有关规定并按国家最新相关行业标准进行验收。</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五、违约责任</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（1）乙方未按合同及招标文件规定的质量要求提供服务，不能完成合同时，甲方有权单方解除本合同并要求乙方支付合同总价20%的违约金。乙方由此造成的直接损失和间接损失，甲方仍可以要求乙方继续赔偿。</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（2）乙方必须自己完成合同内容，不得转包、分包，否则，甲方有权按乙方不能完成合同处理；</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（3）乙方原因导致出现重大安全责任事故及其他事故的，一切责任由乙方承担。</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六、不可抗力</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1、因不可抗力不能履行合同的，根据不可抗力的影响，部分或者全部免除责任。但合同一方迟延履行后发生不可抗力的，不能免除责任。</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2、合同一方因不可抗力不能履行合同的，应当及时通知对方，以减轻可能给对方造成的损失，并应当在合理期限内提供证明。</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七、合同的解除和转让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1、合同的解除</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（1）有下列情形之一，合同一方可以解除合同：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① 因不可抗力致使不能实现合同目的，未受不可抗力影响的一方有权解除合同；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② 因合同一方违约导致合同不能履行，另一方有权解除合同；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2、合同的转让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合同的部分和全部都不得转让。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八、合同生效及其它</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1、本合同在双方签字盖章后生效，生效合同需至招标代理机构备案。</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九、合同争议</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1、因履行本合同引起的或与本合同有关的争议，甲、乙双方应首先通过友好协商解决，如果协商不能解决争议，双方均可向甲方所在地人民法院提起诉讼。</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2、在法院审理期间，除有争议部分外，本合同其他部分应继续履行。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十、附则</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1、合同份数。</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本合同一式伍份，甲、乙双方各执贰份，采购代理机构壹份。</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2、未尽事宜</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本合同未尽事宜应按《中华人民共和国民法典》、《中华人民共和国政府采购法》等规定解释。</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甲方：                                      乙方： </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法定代表人或授权代表：                    法定代表人或授权代表：</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联系电话：                                 联系电话：</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  年</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月</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日                                   年</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月</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日 </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备案方：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hAnsi="宋体" w:cs="宋体"/>
          <w:sz w:val="21"/>
          <w:szCs w:val="21"/>
          <w:highlight w:val="none"/>
          <w:lang w:val="en-US" w:eastAsia="zh-CN"/>
        </w:rPr>
      </w:pPr>
      <w:r>
        <w:rPr>
          <w:rFonts w:hint="eastAsia" w:hAnsi="宋体" w:cs="宋体"/>
          <w:sz w:val="21"/>
          <w:szCs w:val="21"/>
          <w:highlight w:val="none"/>
          <w:lang w:val="en-US" w:eastAsia="zh-CN"/>
        </w:rPr>
      </w:r>
      <w:r/>
    </w:p>
    <w:p>
      <w:pPr>
        <w:ind w:firstLine="420"/>
        <w:spacing w:line="360" w:lineRule="auto"/>
        <w:rPr>
          <w:rFonts w:hint="eastAsia" w:hAnsi="宋体" w:cs="宋体"/>
          <w:sz w:val="21"/>
          <w:szCs w:val="21"/>
          <w:highlight w:val="none"/>
          <w:lang w:val="en-US" w:eastAsia="zh-CN"/>
        </w:rPr>
      </w:pPr>
      <w:r>
        <w:rPr>
          <w:rFonts w:hint="eastAsia" w:hAnsi="宋体" w:cs="宋体"/>
          <w:sz w:val="21"/>
          <w:szCs w:val="21"/>
          <w:highlight w:val="none"/>
          <w:lang w:val="en-US" w:eastAsia="zh-CN"/>
        </w:rPr>
      </w:r>
      <w:r/>
    </w:p>
    <w:p>
      <w:pPr>
        <w:ind w:firstLine="420"/>
        <w:spacing w:line="360" w:lineRule="auto"/>
        <w:rPr>
          <w:rFonts w:hint="default" w:ascii="宋体" w:hAnsi="宋体" w:eastAsia="宋体" w:cs="宋体"/>
          <w:sz w:val="21"/>
          <w:szCs w:val="21"/>
          <w:highlight w:val="yellow"/>
          <w:lang w:val="en-US" w:eastAsia="zh-CN"/>
        </w:rPr>
      </w:pPr>
      <w:r>
        <w:rPr>
          <w:rFonts w:hint="eastAsia" w:hAnsi="宋体" w:cs="宋体"/>
          <w:sz w:val="21"/>
          <w:szCs w:val="21"/>
          <w:highlight w:val="yellow"/>
          <w:lang w:val="en-US" w:eastAsia="zh-CN"/>
        </w:rPr>
        <w:t xml:space="preserve">合同附件：投入本项目人员名单（格式自拟）</w:t>
      </w:r>
      <w:r/>
    </w:p>
    <w:p>
      <w:pPr>
        <w:jc w:val="both"/>
        <w:spacing w:before="240" w:line="360" w:lineRule="auto"/>
        <w:widowControl w:val="off"/>
        <w:rPr>
          <w:rFonts w:hint="default" w:hAnsi="宋体" w:cs="宋体"/>
          <w:color w:val="auto"/>
          <w:sz w:val="21"/>
          <w:szCs w:val="21"/>
          <w:highlight w:val="none"/>
          <w:lang w:val="en-US" w:eastAsia="zh-CN"/>
        </w:rPr>
      </w:pPr>
      <w:r>
        <w:rPr>
          <w:rFonts w:hint="default" w:hAnsi="宋体" w:cs="宋体"/>
          <w:color w:val="auto"/>
          <w:sz w:val="21"/>
          <w:szCs w:val="21"/>
          <w:highlight w:val="none"/>
          <w:lang w:val="en-US" w:eastAsia="zh-CN"/>
        </w:rPr>
      </w:r>
      <w:r/>
    </w:p>
    <w:sectPr>
      <w:headerReference w:type="default" r:id="rId10"/>
      <w:footerReference w:type="default" r:id="rId14"/>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p>
    <w:pPr>
      <w:pStyle w:val="826"/>
      <w:ind w:left="0"/>
      <w:spacing w:before="0" w:line="14" w:lineRule="auto"/>
      <w:rPr>
        <w:rFonts w:ascii="Times New Roman" w:eastAsia="等线"/>
        <w:szCs w:val="20"/>
      </w:rPr>
    </w:pPr>
    <w:r>
      <w:rPr>
        <w:rFonts w:ascii="Times New Roman" w:eastAsia="等线"/>
        <w:szCs w:val="20"/>
      </w:rPr>
    </w:r>
    <w:r/>
  </w:p>
  <w:p>
    <w:pPr>
      <w:pStyle w:val="826"/>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80</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80</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2" w:lineRule="auto"/>
      <w:rPr>
        <w:rFonts w:ascii="宋体" w:hAnsi="宋体" w:eastAsia="宋体" w:cs="宋体"/>
        <w:color w:val="000000"/>
        <w:sz w:val="22"/>
        <w:szCs w:val="22"/>
        <w:lang w:val="en-US" w:eastAsia="en-US" w:bidi="ar-SA"/>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69"/>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8" w:default="1">
    <w:name w:val="Normal"/>
    <w:uiPriority w:val="1"/>
    <w:qFormat/>
    <w:pPr>
      <w:widowControl w:val="off"/>
    </w:pPr>
    <w:rPr>
      <w:rFonts w:ascii="宋体" w:hAnsi="Times New Roman" w:eastAsia="宋体" w:cs="宋体"/>
      <w:sz w:val="22"/>
      <w:szCs w:val="22"/>
      <w:lang w:val="en-US" w:eastAsia="zh-CN" w:bidi="ar-SA"/>
    </w:rPr>
  </w:style>
  <w:style w:type="paragraph" w:styleId="809">
    <w:name w:val="Heading 1"/>
    <w:basedOn w:val="808"/>
    <w:next w:val="808"/>
    <w:link w:val="1029"/>
    <w:uiPriority w:val="1"/>
    <w:qFormat/>
    <w:pPr>
      <w:ind w:right="406"/>
      <w:jc w:val="center"/>
      <w:outlineLvl w:val="0"/>
    </w:pPr>
    <w:rPr>
      <w:rFonts w:cs="Times New Roman"/>
      <w:b/>
      <w:bCs/>
      <w:sz w:val="72"/>
      <w:szCs w:val="72"/>
    </w:rPr>
  </w:style>
  <w:style w:type="paragraph" w:styleId="810">
    <w:name w:val="Heading 2"/>
    <w:basedOn w:val="808"/>
    <w:next w:val="808"/>
    <w:link w:val="1030"/>
    <w:uiPriority w:val="1"/>
    <w:qFormat/>
    <w:pPr>
      <w:ind w:left="2791"/>
      <w:spacing w:before="26"/>
      <w:outlineLvl w:val="1"/>
    </w:pPr>
    <w:rPr>
      <w:rFonts w:cs="Times New Roman"/>
      <w:b/>
      <w:bCs/>
      <w:sz w:val="44"/>
      <w:szCs w:val="44"/>
    </w:rPr>
  </w:style>
  <w:style w:type="paragraph" w:styleId="811">
    <w:name w:val="Heading 3"/>
    <w:basedOn w:val="808"/>
    <w:next w:val="808"/>
    <w:link w:val="1031"/>
    <w:uiPriority w:val="1"/>
    <w:qFormat/>
    <w:pPr>
      <w:ind w:left="909"/>
      <w:spacing w:before="1"/>
      <w:outlineLvl w:val="2"/>
    </w:pPr>
    <w:rPr>
      <w:rFonts w:cs="Times New Roman"/>
      <w:b/>
      <w:bCs/>
      <w:sz w:val="36"/>
      <w:szCs w:val="36"/>
    </w:rPr>
  </w:style>
  <w:style w:type="paragraph" w:styleId="812">
    <w:name w:val="Heading 4"/>
    <w:basedOn w:val="808"/>
    <w:next w:val="808"/>
    <w:link w:val="870"/>
    <w:uiPriority w:val="1"/>
    <w:qFormat/>
    <w:pPr>
      <w:outlineLvl w:val="3"/>
    </w:pPr>
    <w:rPr>
      <w:rFonts w:cs="Times New Roman"/>
      <w:b/>
      <w:bCs/>
      <w:sz w:val="32"/>
      <w:szCs w:val="32"/>
    </w:rPr>
  </w:style>
  <w:style w:type="paragraph" w:styleId="813">
    <w:name w:val="Heading 5"/>
    <w:basedOn w:val="808"/>
    <w:next w:val="808"/>
    <w:link w:val="1032"/>
    <w:uiPriority w:val="1"/>
    <w:qFormat/>
    <w:pPr>
      <w:ind w:left="847"/>
      <w:outlineLvl w:val="4"/>
    </w:pPr>
    <w:rPr>
      <w:rFonts w:cs="Times New Roman"/>
      <w:sz w:val="24"/>
      <w:szCs w:val="24"/>
    </w:rPr>
  </w:style>
  <w:style w:type="paragraph" w:styleId="814">
    <w:name w:val="Heading 6"/>
    <w:basedOn w:val="808"/>
    <w:next w:val="808"/>
    <w:link w:val="1033"/>
    <w:uiPriority w:val="1"/>
    <w:qFormat/>
    <w:pPr>
      <w:ind w:left="367"/>
      <w:outlineLvl w:val="5"/>
    </w:pPr>
    <w:rPr>
      <w:rFonts w:cs="Times New Roman"/>
      <w:b/>
      <w:bCs/>
      <w:sz w:val="20"/>
      <w:szCs w:val="21"/>
    </w:rPr>
  </w:style>
  <w:style w:type="paragraph" w:styleId="815">
    <w:name w:val="Heading 7"/>
    <w:basedOn w:val="808"/>
    <w:next w:val="808"/>
    <w:link w:val="906"/>
    <w:uiPriority w:val="9"/>
    <w:unhideWhenUsed/>
    <w:qFormat/>
    <w:pPr>
      <w:keepLines/>
      <w:keepNext/>
      <w:spacing w:before="320" w:after="200"/>
      <w:outlineLvl w:val="6"/>
    </w:pPr>
    <w:rPr>
      <w:rFonts w:ascii="Arial" w:hAnsi="Arial" w:eastAsia="Arial" w:cs="Arial"/>
      <w:b/>
      <w:bCs/>
      <w:i/>
      <w:iCs/>
    </w:rPr>
  </w:style>
  <w:style w:type="paragraph" w:styleId="816">
    <w:name w:val="Heading 8"/>
    <w:basedOn w:val="808"/>
    <w:next w:val="808"/>
    <w:link w:val="907"/>
    <w:uiPriority w:val="9"/>
    <w:unhideWhenUsed/>
    <w:qFormat/>
    <w:pPr>
      <w:keepLines/>
      <w:keepNext/>
      <w:spacing w:before="320" w:after="200"/>
      <w:outlineLvl w:val="7"/>
    </w:pPr>
    <w:rPr>
      <w:rFonts w:ascii="Arial" w:hAnsi="Arial" w:eastAsia="Arial" w:cs="Arial"/>
      <w:i/>
      <w:iCs/>
    </w:rPr>
  </w:style>
  <w:style w:type="paragraph" w:styleId="817">
    <w:name w:val="Heading 9"/>
    <w:basedOn w:val="808"/>
    <w:next w:val="808"/>
    <w:link w:val="908"/>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unhideWhenUsed/>
    <w:qFormat/>
    <w:pPr>
      <w:ind w:left="1701"/>
      <w:spacing w:after="57"/>
    </w:pPr>
  </w:style>
  <w:style w:type="paragraph" w:styleId="821">
    <w:name w:val="Normal Indent"/>
    <w:basedOn w:val="808"/>
    <w:link w:val="1034"/>
    <w:uiPriority w:val="0"/>
    <w:qFormat/>
    <w:pPr>
      <w:ind w:firstLine="420"/>
    </w:pPr>
    <w:rPr>
      <w:rFonts w:ascii="Times New Roman" w:eastAsia="楷体_GB2312" w:cs="Times New Roman"/>
      <w:sz w:val="21"/>
      <w:szCs w:val="20"/>
    </w:rPr>
  </w:style>
  <w:style w:type="paragraph" w:styleId="822">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Document Map"/>
    <w:next w:val="824"/>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824">
    <w:name w:val="Plain Text"/>
    <w:basedOn w:val="808"/>
    <w:link w:val="1089"/>
    <w:uiPriority w:val="0"/>
    <w:qFormat/>
    <w:pPr>
      <w:jc w:val="both"/>
    </w:pPr>
    <w:rPr>
      <w:rFonts w:hAnsi="Courier New" w:eastAsia="楷体_GB2312" w:cs="Times New Roman"/>
      <w:sz w:val="26"/>
      <w:szCs w:val="20"/>
    </w:rPr>
  </w:style>
  <w:style w:type="paragraph" w:styleId="825">
    <w:name w:val="annotation text"/>
    <w:basedOn w:val="808"/>
    <w:link w:val="1035"/>
    <w:uiPriority w:val="0"/>
    <w:qFormat/>
    <w:rPr>
      <w:rFonts w:ascii="Calibri" w:hAnsi="Calibri" w:cs="Times New Roman"/>
      <w:sz w:val="20"/>
      <w:szCs w:val="20"/>
    </w:rPr>
  </w:style>
  <w:style w:type="paragraph" w:styleId="826">
    <w:name w:val="Body Text"/>
    <w:basedOn w:val="808"/>
    <w:next w:val="827"/>
    <w:link w:val="1036"/>
    <w:uiPriority w:val="99"/>
    <w:qFormat/>
    <w:pPr>
      <w:ind w:left="367"/>
      <w:spacing w:before="132"/>
    </w:pPr>
    <w:rPr>
      <w:rFonts w:cs="Times New Roman"/>
      <w:sz w:val="20"/>
      <w:szCs w:val="21"/>
    </w:rPr>
  </w:style>
  <w:style w:type="paragraph" w:styleId="827">
    <w:name w:val="List Bullet 5"/>
    <w:basedOn w:val="808"/>
    <w:uiPriority w:val="99"/>
    <w:semiHidden/>
    <w:unhideWhenUsed/>
    <w:qFormat/>
    <w:pPr>
      <w:numPr>
        <w:ilvl w:val="0"/>
        <w:numId w:val="1"/>
      </w:numPr>
    </w:pPr>
  </w:style>
  <w:style w:type="paragraph" w:styleId="828">
    <w:name w:val="Body Text Indent"/>
    <w:basedOn w:val="808"/>
    <w:link w:val="1037"/>
    <w:uiPriority w:val="99"/>
    <w:unhideWhenUsed/>
    <w:qFormat/>
    <w:pPr>
      <w:ind w:left="420"/>
      <w:spacing w:after="120"/>
    </w:pPr>
    <w:rPr>
      <w:rFonts w:cs="Times New Roman"/>
      <w:szCs w:val="20"/>
    </w:rPr>
  </w:style>
  <w:style w:type="paragraph" w:styleId="829">
    <w:name w:val="index 4"/>
    <w:basedOn w:val="808"/>
    <w:next w:val="808"/>
    <w:uiPriority w:val="0"/>
    <w:semiHidden/>
    <w:qFormat/>
    <w:pPr>
      <w:ind w:left="600"/>
      <w:jc w:val="both"/>
    </w:pPr>
    <w:rPr>
      <w:rFonts w:ascii="Calibri" w:hAnsi="Calibri"/>
      <w:sz w:val="21"/>
      <w:szCs w:val="20"/>
    </w:rPr>
  </w:style>
  <w:style w:type="paragraph" w:styleId="830">
    <w:name w:val="toc 5"/>
    <w:basedOn w:val="808"/>
    <w:next w:val="808"/>
    <w:uiPriority w:val="39"/>
    <w:unhideWhenUsed/>
    <w:qFormat/>
    <w:pPr>
      <w:ind w:left="1134"/>
      <w:spacing w:after="57"/>
    </w:pPr>
  </w:style>
  <w:style w:type="paragraph" w:styleId="831">
    <w:name w:val="toc 3"/>
    <w:basedOn w:val="808"/>
    <w:next w:val="808"/>
    <w:uiPriority w:val="39"/>
    <w:unhideWhenUsed/>
    <w:qFormat/>
    <w:pPr>
      <w:ind w:left="567"/>
      <w:spacing w:after="57"/>
    </w:pPr>
  </w:style>
  <w:style w:type="paragraph" w:styleId="832">
    <w:name w:val="toc 8"/>
    <w:basedOn w:val="808"/>
    <w:next w:val="808"/>
    <w:uiPriority w:val="39"/>
    <w:unhideWhenUsed/>
    <w:qFormat/>
    <w:pPr>
      <w:ind w:left="1984"/>
      <w:spacing w:after="57"/>
    </w:pPr>
  </w:style>
  <w:style w:type="paragraph" w:styleId="833">
    <w:name w:val="Date"/>
    <w:basedOn w:val="808"/>
    <w:next w:val="808"/>
    <w:link w:val="1039"/>
    <w:uiPriority w:val="99"/>
    <w:unhideWhenUsed/>
    <w:qFormat/>
    <w:pPr>
      <w:ind w:left="100"/>
    </w:pPr>
    <w:rPr>
      <w:rFonts w:cs="Times New Roman"/>
    </w:rPr>
  </w:style>
  <w:style w:type="paragraph" w:styleId="834">
    <w:name w:val="Body Text Indent 2"/>
    <w:uiPriority w:val="0"/>
    <w:qFormat/>
    <w:pPr>
      <w:ind w:left="1" w:firstLine="480"/>
      <w:jc w:val="both"/>
      <w:spacing w:line="400" w:lineRule="exact"/>
      <w:widowControl w:val="off"/>
      <w:tabs>
        <w:tab w:val="left" w:pos="360" w:leader="none"/>
      </w:tabs>
    </w:pPr>
    <w:rPr>
      <w:rFonts w:ascii="Times New Roman" w:hAnsi="Times New Roman" w:eastAsia="宋体" w:cs="Times New Roman"/>
      <w:sz w:val="24"/>
      <w:szCs w:val="24"/>
      <w:lang w:val="en-US" w:eastAsia="zh-CN" w:bidi="ar-SA"/>
    </w:rPr>
  </w:style>
  <w:style w:type="paragraph" w:styleId="835">
    <w:name w:val="endnote text"/>
    <w:basedOn w:val="808"/>
    <w:link w:val="1027"/>
    <w:uiPriority w:val="99"/>
    <w:semiHidden/>
    <w:unhideWhenUsed/>
    <w:qFormat/>
    <w:rPr>
      <w:sz w:val="20"/>
    </w:rPr>
  </w:style>
  <w:style w:type="paragraph" w:styleId="836">
    <w:name w:val="Balloon Text"/>
    <w:basedOn w:val="808"/>
    <w:link w:val="1105"/>
    <w:uiPriority w:val="99"/>
    <w:semiHidden/>
    <w:unhideWhenUsed/>
    <w:qFormat/>
    <w:rPr>
      <w:sz w:val="18"/>
      <w:szCs w:val="18"/>
    </w:rPr>
  </w:style>
  <w:style w:type="paragraph" w:styleId="837">
    <w:name w:val="Footer"/>
    <w:basedOn w:val="808"/>
    <w:link w:val="1040"/>
    <w:uiPriority w:val="99"/>
    <w:unhideWhenUsed/>
    <w:qFormat/>
    <w:pPr>
      <w:tabs>
        <w:tab w:val="center" w:pos="4153" w:leader="none"/>
        <w:tab w:val="right" w:pos="8306" w:leader="none"/>
      </w:tabs>
    </w:pPr>
    <w:rPr>
      <w:rFonts w:cs="Times New Roman"/>
      <w:sz w:val="18"/>
      <w:szCs w:val="18"/>
    </w:rPr>
  </w:style>
  <w:style w:type="paragraph" w:styleId="838">
    <w:name w:val="envelope return"/>
    <w:basedOn w:val="808"/>
    <w:uiPriority w:val="0"/>
    <w:qFormat/>
    <w:rPr>
      <w:rFonts w:ascii="Arial" w:hAnsi="Arial"/>
      <w:sz w:val="21"/>
      <w:szCs w:val="24"/>
    </w:rPr>
  </w:style>
  <w:style w:type="paragraph" w:styleId="839">
    <w:name w:val="Header"/>
    <w:basedOn w:val="808"/>
    <w:next w:val="808"/>
    <w:link w:val="104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40">
    <w:name w:val="toc 1"/>
    <w:basedOn w:val="808"/>
    <w:next w:val="808"/>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41">
    <w:name w:val="toc 4"/>
    <w:basedOn w:val="808"/>
    <w:next w:val="808"/>
    <w:uiPriority w:val="39"/>
    <w:unhideWhenUsed/>
    <w:qFormat/>
    <w:pPr>
      <w:ind w:left="850"/>
      <w:spacing w:after="57"/>
    </w:pPr>
  </w:style>
  <w:style w:type="paragraph" w:styleId="842">
    <w:name w:val="Subtitle"/>
    <w:basedOn w:val="808"/>
    <w:next w:val="808"/>
    <w:link w:val="912"/>
    <w:uiPriority w:val="11"/>
    <w:qFormat/>
    <w:pPr>
      <w:spacing w:before="200" w:after="200"/>
    </w:pPr>
    <w:rPr>
      <w:sz w:val="24"/>
      <w:szCs w:val="24"/>
    </w:rPr>
  </w:style>
  <w:style w:type="paragraph" w:styleId="843">
    <w:name w:val="footnote text"/>
    <w:basedOn w:val="808"/>
    <w:link w:val="1026"/>
    <w:uiPriority w:val="99"/>
    <w:semiHidden/>
    <w:unhideWhenUsed/>
    <w:qFormat/>
    <w:pPr>
      <w:spacing w:after="40"/>
    </w:pPr>
    <w:rPr>
      <w:sz w:val="18"/>
    </w:rPr>
  </w:style>
  <w:style w:type="paragraph" w:styleId="844">
    <w:name w:val="toc 6"/>
    <w:basedOn w:val="808"/>
    <w:next w:val="808"/>
    <w:uiPriority w:val="39"/>
    <w:unhideWhenUsed/>
    <w:qFormat/>
    <w:pPr>
      <w:ind w:left="1417"/>
      <w:spacing w:after="57"/>
    </w:pPr>
  </w:style>
  <w:style w:type="paragraph" w:styleId="845">
    <w:name w:val="Body Text Indent 3"/>
    <w:basedOn w:val="808"/>
    <w:link w:val="1042"/>
    <w:uiPriority w:val="99"/>
    <w:unhideWhenUsed/>
    <w:qFormat/>
    <w:pPr>
      <w:ind w:left="420"/>
      <w:spacing w:after="120"/>
    </w:pPr>
    <w:rPr>
      <w:rFonts w:cs="Times New Roman"/>
      <w:sz w:val="16"/>
      <w:szCs w:val="16"/>
    </w:rPr>
  </w:style>
  <w:style w:type="paragraph" w:styleId="846">
    <w:name w:val="table of figures"/>
    <w:basedOn w:val="808"/>
    <w:next w:val="808"/>
    <w:uiPriority w:val="99"/>
    <w:unhideWhenUsed/>
    <w:qFormat/>
  </w:style>
  <w:style w:type="paragraph" w:styleId="847">
    <w:name w:val="toc 2"/>
    <w:basedOn w:val="808"/>
    <w:next w:val="808"/>
    <w:uiPriority w:val="39"/>
    <w:unhideWhenUsed/>
    <w:qFormat/>
    <w:pPr>
      <w:ind w:left="283"/>
      <w:spacing w:after="57"/>
    </w:pPr>
  </w:style>
  <w:style w:type="paragraph" w:styleId="848">
    <w:name w:val="toc 9"/>
    <w:basedOn w:val="808"/>
    <w:next w:val="808"/>
    <w:uiPriority w:val="39"/>
    <w:unhideWhenUsed/>
    <w:qFormat/>
    <w:pPr>
      <w:ind w:left="2268"/>
      <w:spacing w:after="57"/>
    </w:pPr>
  </w:style>
  <w:style w:type="paragraph" w:styleId="849">
    <w:name w:val="Normal (Web)"/>
    <w:basedOn w:val="808"/>
    <w:next w:val="808"/>
    <w:link w:val="1043"/>
    <w:uiPriority w:val="0"/>
    <w:qFormat/>
    <w:pPr>
      <w:jc w:val="both"/>
    </w:pPr>
    <w:rPr>
      <w:rFonts w:ascii="Times New Roman" w:cs="Times New Roman"/>
      <w:sz w:val="24"/>
      <w:szCs w:val="21"/>
    </w:rPr>
  </w:style>
  <w:style w:type="paragraph" w:styleId="850">
    <w:name w:val="Title"/>
    <w:basedOn w:val="808"/>
    <w:next w:val="808"/>
    <w:link w:val="911"/>
    <w:uiPriority w:val="10"/>
    <w:qFormat/>
    <w:pPr>
      <w:contextualSpacing/>
      <w:spacing w:before="300" w:after="200"/>
    </w:pPr>
    <w:rPr>
      <w:sz w:val="48"/>
      <w:szCs w:val="48"/>
    </w:rPr>
  </w:style>
  <w:style w:type="paragraph" w:styleId="851">
    <w:name w:val="annotation subject"/>
    <w:basedOn w:val="825"/>
    <w:next w:val="825"/>
    <w:link w:val="1044"/>
    <w:uiPriority w:val="99"/>
    <w:unhideWhenUsed/>
    <w:qFormat/>
    <w:rPr>
      <w:rFonts w:ascii="宋体" w:hAnsi="Times New Roman"/>
      <w:b/>
      <w:bCs/>
      <w:sz w:val="22"/>
      <w:szCs w:val="22"/>
    </w:rPr>
  </w:style>
  <w:style w:type="paragraph" w:styleId="852">
    <w:name w:val="Body Text First Indent"/>
    <w:basedOn w:val="808"/>
    <w:next w:val="808"/>
    <w:uiPriority w:val="0"/>
    <w:qFormat/>
    <w:pPr>
      <w:ind w:firstLine="200"/>
      <w:spacing w:line="360" w:lineRule="auto"/>
    </w:pPr>
    <w:rPr>
      <w:rFonts w:ascii="仿宋_GB2312" w:hAnsi="宋体" w:eastAsia="仿宋_GB2312" w:cs="宋体"/>
      <w:sz w:val="30"/>
      <w:szCs w:val="30"/>
    </w:rPr>
  </w:style>
  <w:style w:type="paragraph" w:styleId="853">
    <w:name w:val="Body Text First Indent 2"/>
    <w:basedOn w:val="828"/>
    <w:link w:val="1106"/>
    <w:uiPriority w:val="99"/>
    <w:semiHidden/>
    <w:unhideWhenUsed/>
    <w:qFormat/>
    <w:pPr>
      <w:ind w:left="200" w:firstLine="420"/>
    </w:pPr>
    <w:rPr>
      <w:rFonts w:cs="宋体"/>
      <w:szCs w:val="22"/>
    </w:rPr>
  </w:style>
  <w:style w:type="table" w:styleId="854">
    <w:name w:val="Table Grid"/>
    <w:basedOn w:val="8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22"/>
    <w:qFormat/>
    <w:rPr>
      <w:b/>
    </w:rPr>
  </w:style>
  <w:style w:type="character" w:styleId="856">
    <w:name w:val="endnote reference"/>
    <w:uiPriority w:val="99"/>
    <w:semiHidden/>
    <w:unhideWhenUsed/>
    <w:qFormat/>
    <w:rPr>
      <w:vertAlign w:val="superscript"/>
    </w:rPr>
  </w:style>
  <w:style w:type="character" w:styleId="857">
    <w:name w:val="page number"/>
    <w:uiPriority w:val="0"/>
    <w:qFormat/>
  </w:style>
  <w:style w:type="character" w:styleId="858">
    <w:name w:val="HTML Typewriter"/>
    <w:uiPriority w:val="0"/>
    <w:qFormat/>
    <w:rPr>
      <w:rFonts w:ascii="黑体" w:hAnsi="Courier New" w:eastAsia="黑体" w:cs="Courier New"/>
      <w:sz w:val="14"/>
      <w:szCs w:val="14"/>
      <w:lang w:val="en-US" w:eastAsia="zh-CN" w:bidi="ar-SA"/>
    </w:rPr>
  </w:style>
  <w:style w:type="character" w:styleId="859">
    <w:name w:val="Hyperlink"/>
    <w:uiPriority w:val="99"/>
    <w:unhideWhenUsed/>
    <w:qFormat/>
    <w:rPr>
      <w:color w:val="0563c1"/>
      <w:u w:val="single"/>
    </w:rPr>
  </w:style>
  <w:style w:type="character" w:styleId="860">
    <w:name w:val="annotation reference"/>
    <w:uiPriority w:val="99"/>
    <w:unhideWhenUsed/>
    <w:qFormat/>
    <w:rPr>
      <w:sz w:val="21"/>
      <w:szCs w:val="21"/>
    </w:rPr>
  </w:style>
  <w:style w:type="character" w:styleId="861">
    <w:name w:val="footnote reference"/>
    <w:uiPriority w:val="99"/>
    <w:unhideWhenUsed/>
    <w:qFormat/>
    <w:rPr>
      <w:vertAlign w:val="superscript"/>
    </w:rPr>
  </w:style>
  <w:style w:type="paragraph" w:styleId="862" w:customStyle="1">
    <w:name w:val="正文文本缩进11"/>
    <w:next w:val="863"/>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63" w:customStyle="1">
    <w:name w:val="寄信人地址1"/>
    <w:basedOn w:val="808"/>
    <w:uiPriority w:val="0"/>
    <w:qFormat/>
    <w:rPr>
      <w:sz w:val="26"/>
    </w:rPr>
  </w:style>
  <w:style w:type="paragraph" w:styleId="864" w:customStyle="1">
    <w:name w:val="正文文本1"/>
    <w:next w:val="865"/>
    <w:uiPriority w:val="99"/>
    <w:qFormat/>
    <w:pPr>
      <w:ind w:left="367"/>
      <w:spacing w:before="132"/>
      <w:widowControl w:val="off"/>
    </w:pPr>
    <w:rPr>
      <w:rFonts w:ascii="宋体" w:hAnsi="Times New Roman" w:eastAsia="宋体" w:cs="Times New Roman"/>
      <w:szCs w:val="21"/>
      <w:lang w:val="en-US" w:eastAsia="zh-CN" w:bidi="ar-SA"/>
    </w:rPr>
  </w:style>
  <w:style w:type="paragraph" w:styleId="865" w:customStyle="1">
    <w:name w:val="正文缩进1"/>
    <w:next w:val="808"/>
    <w:uiPriority w:val="0"/>
    <w:qFormat/>
    <w:pPr>
      <w:ind w:firstLine="420"/>
      <w:widowControl w:val="off"/>
    </w:pPr>
    <w:rPr>
      <w:rFonts w:ascii="Times New Roman" w:hAnsi="Times New Roman" w:eastAsia="楷体_GB2312" w:cs="Times New Roman"/>
      <w:sz w:val="21"/>
      <w:lang w:val="en-US" w:eastAsia="zh-CN" w:bidi="ar-SA"/>
    </w:rPr>
  </w:style>
  <w:style w:type="paragraph" w:styleId="866" w:customStyle="1">
    <w:name w:val="正文首行缩进 21"/>
    <w:basedOn w:val="828"/>
    <w:next w:val="867"/>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867" w:customStyle="1">
    <w:name w:val="正文首行缩进1"/>
    <w:basedOn w:val="826"/>
    <w:next w:val="866"/>
    <w:uiPriority w:val="0"/>
    <w:qFormat/>
    <w:pPr>
      <w:ind w:firstLine="420"/>
    </w:pPr>
    <w:rPr>
      <w:rFonts w:ascii="Times New Roman" w:hAnsi="Times New Roman"/>
      <w:sz w:val="20"/>
      <w:szCs w:val="24"/>
    </w:rPr>
  </w:style>
  <w:style w:type="paragraph" w:styleId="868"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69" w:customStyle="1">
    <w:name w:val="标题 41"/>
    <w:next w:val="808"/>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70" w:customStyle="1">
    <w:name w:val="标题 4 字符"/>
    <w:link w:val="812"/>
    <w:uiPriority w:val="1"/>
    <w:qFormat/>
    <w:rPr>
      <w:rFonts w:ascii="宋体" w:hAnsi="Times New Roman" w:eastAsia="宋体" w:cs="宋体"/>
      <w:b/>
      <w:bCs/>
      <w:sz w:val="32"/>
      <w:szCs w:val="32"/>
    </w:rPr>
  </w:style>
  <w:style w:type="character" w:styleId="871" w:customStyle="1">
    <w:name w:val="Heading 7 Char"/>
    <w:basedOn w:val="818"/>
    <w:uiPriority w:val="9"/>
    <w:qFormat/>
    <w:rPr>
      <w:rFonts w:ascii="Arial" w:hAnsi="Arial" w:eastAsia="Arial" w:cs="Arial"/>
      <w:b/>
      <w:bCs/>
      <w:i/>
      <w:iCs/>
      <w:sz w:val="22"/>
      <w:szCs w:val="22"/>
    </w:rPr>
  </w:style>
  <w:style w:type="character" w:styleId="872" w:customStyle="1">
    <w:name w:val="Heading 8 Char"/>
    <w:basedOn w:val="818"/>
    <w:uiPriority w:val="9"/>
    <w:qFormat/>
    <w:rPr>
      <w:rFonts w:ascii="Arial" w:hAnsi="Arial" w:eastAsia="Arial" w:cs="Arial"/>
      <w:i/>
      <w:iCs/>
      <w:sz w:val="22"/>
      <w:szCs w:val="22"/>
    </w:rPr>
  </w:style>
  <w:style w:type="character" w:styleId="873" w:customStyle="1">
    <w:name w:val="Heading 9 Char"/>
    <w:basedOn w:val="818"/>
    <w:uiPriority w:val="9"/>
    <w:qFormat/>
    <w:rPr>
      <w:rFonts w:ascii="Arial" w:hAnsi="Arial" w:eastAsia="Arial" w:cs="Arial"/>
      <w:i/>
      <w:iCs/>
      <w:sz w:val="21"/>
      <w:szCs w:val="21"/>
    </w:rPr>
  </w:style>
  <w:style w:type="character" w:styleId="874" w:customStyle="1">
    <w:name w:val="Title Char"/>
    <w:basedOn w:val="818"/>
    <w:uiPriority w:val="10"/>
    <w:qFormat/>
    <w:rPr>
      <w:sz w:val="48"/>
      <w:szCs w:val="48"/>
    </w:rPr>
  </w:style>
  <w:style w:type="character" w:styleId="875" w:customStyle="1">
    <w:name w:val="Subtitle Char"/>
    <w:basedOn w:val="818"/>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table" w:styleId="878"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character" w:styleId="900" w:customStyle="1">
    <w:name w:val="Heading 1 Char"/>
    <w:uiPriority w:val="9"/>
    <w:qFormat/>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标题 7 字符"/>
    <w:link w:val="815"/>
    <w:uiPriority w:val="9"/>
    <w:qFormat/>
    <w:rPr>
      <w:rFonts w:ascii="Arial" w:hAnsi="Arial" w:eastAsia="Arial" w:cs="Arial"/>
      <w:b/>
      <w:bCs/>
      <w:i/>
      <w:iCs/>
      <w:sz w:val="22"/>
      <w:szCs w:val="22"/>
    </w:rPr>
  </w:style>
  <w:style w:type="character" w:styleId="907" w:customStyle="1">
    <w:name w:val="标题 8 字符"/>
    <w:link w:val="816"/>
    <w:uiPriority w:val="9"/>
    <w:qFormat/>
    <w:rPr>
      <w:rFonts w:ascii="Arial" w:hAnsi="Arial" w:eastAsia="Arial" w:cs="Arial"/>
      <w:i/>
      <w:iCs/>
      <w:sz w:val="22"/>
      <w:szCs w:val="22"/>
    </w:rPr>
  </w:style>
  <w:style w:type="character" w:styleId="908" w:customStyle="1">
    <w:name w:val="标题 9 字符"/>
    <w:link w:val="817"/>
    <w:uiPriority w:val="9"/>
    <w:qFormat/>
    <w:rPr>
      <w:rFonts w:ascii="Arial" w:hAnsi="Arial" w:eastAsia="Arial" w:cs="Arial"/>
      <w:i/>
      <w:iCs/>
      <w:sz w:val="21"/>
      <w:szCs w:val="21"/>
    </w:rPr>
  </w:style>
  <w:style w:type="paragraph" w:styleId="909">
    <w:name w:val="List Paragraph"/>
    <w:basedOn w:val="808"/>
    <w:uiPriority w:val="1"/>
    <w:qFormat/>
    <w:pPr>
      <w:contextualSpacing/>
      <w:ind w:left="720"/>
    </w:pPr>
  </w:style>
  <w:style w:type="paragraph" w:styleId="910">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11" w:customStyle="1">
    <w:name w:val="标题 字符"/>
    <w:link w:val="850"/>
    <w:uiPriority w:val="10"/>
    <w:qFormat/>
    <w:rPr>
      <w:sz w:val="48"/>
      <w:szCs w:val="48"/>
    </w:rPr>
  </w:style>
  <w:style w:type="character" w:styleId="912" w:customStyle="1">
    <w:name w:val="副标题 字符"/>
    <w:link w:val="842"/>
    <w:uiPriority w:val="11"/>
    <w:qFormat/>
    <w:rPr>
      <w:sz w:val="24"/>
      <w:szCs w:val="24"/>
    </w:rPr>
  </w:style>
  <w:style w:type="paragraph" w:styleId="913">
    <w:name w:val="Quote"/>
    <w:basedOn w:val="808"/>
    <w:next w:val="808"/>
    <w:link w:val="914"/>
    <w:uiPriority w:val="29"/>
    <w:qFormat/>
    <w:pPr>
      <w:ind w:left="720" w:right="720"/>
    </w:pPr>
    <w:rPr>
      <w:i/>
    </w:rPr>
  </w:style>
  <w:style w:type="character" w:styleId="914" w:customStyle="1">
    <w:name w:val="引用 字符"/>
    <w:link w:val="913"/>
    <w:uiPriority w:val="29"/>
    <w:qFormat/>
    <w:rPr>
      <w:i/>
    </w:rPr>
  </w:style>
  <w:style w:type="paragraph" w:styleId="915">
    <w:name w:val="Intense Quote"/>
    <w:basedOn w:val="808"/>
    <w:next w:val="808"/>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字符"/>
    <w:link w:val="915"/>
    <w:uiPriority w:val="30"/>
    <w:qFormat/>
    <w:rPr>
      <w:i/>
    </w:rPr>
  </w:style>
  <w:style w:type="character" w:styleId="917" w:customStyle="1">
    <w:name w:val="Header Char"/>
    <w:uiPriority w:val="99"/>
    <w:qFormat/>
  </w:style>
  <w:style w:type="character" w:styleId="918" w:customStyle="1">
    <w:name w:val="Footer Char"/>
    <w:uiPriority w:val="99"/>
    <w:qFormat/>
  </w:style>
  <w:style w:type="character" w:styleId="919" w:customStyle="1">
    <w:name w:val="Caption Char"/>
    <w:uiPriority w:val="99"/>
    <w:qFormat/>
  </w:style>
  <w:style w:type="table" w:styleId="9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字符"/>
    <w:link w:val="843"/>
    <w:uiPriority w:val="99"/>
    <w:qFormat/>
    <w:rPr>
      <w:sz w:val="18"/>
    </w:rPr>
  </w:style>
  <w:style w:type="character" w:styleId="1027" w:customStyle="1">
    <w:name w:val="尾注文本 字符"/>
    <w:link w:val="835"/>
    <w:uiPriority w:val="99"/>
    <w:qFormat/>
    <w:rPr>
      <w:sz w:val="20"/>
    </w:rPr>
  </w:style>
  <w:style w:type="paragraph" w:styleId="1028" w:customStyle="1">
    <w:name w:val="TOC 标题11"/>
    <w:uiPriority w:val="39"/>
    <w:unhideWhenUsed/>
    <w:qFormat/>
    <w:rPr>
      <w:rFonts w:ascii="Times New Roman" w:hAnsi="Times New Roman" w:eastAsia="宋体" w:cs="Times New Roman"/>
      <w:lang w:val="en-US" w:eastAsia="zh-CN" w:bidi="ar-SA"/>
    </w:rPr>
  </w:style>
  <w:style w:type="character" w:styleId="1029" w:customStyle="1">
    <w:name w:val="标题 1 字符"/>
    <w:link w:val="809"/>
    <w:uiPriority w:val="1"/>
    <w:qFormat/>
    <w:rPr>
      <w:rFonts w:ascii="宋体" w:hAnsi="Times New Roman" w:eastAsia="宋体" w:cs="宋体"/>
      <w:b/>
      <w:bCs/>
      <w:sz w:val="72"/>
      <w:szCs w:val="72"/>
    </w:rPr>
  </w:style>
  <w:style w:type="character" w:styleId="1030" w:customStyle="1">
    <w:name w:val="标题 2 字符"/>
    <w:link w:val="810"/>
    <w:uiPriority w:val="0"/>
    <w:qFormat/>
    <w:rPr>
      <w:rFonts w:ascii="宋体" w:hAnsi="Times New Roman" w:eastAsia="宋体" w:cs="宋体"/>
      <w:b/>
      <w:bCs/>
      <w:sz w:val="44"/>
      <w:szCs w:val="44"/>
    </w:rPr>
  </w:style>
  <w:style w:type="character" w:styleId="1031" w:customStyle="1">
    <w:name w:val="标题 3 字符"/>
    <w:link w:val="811"/>
    <w:uiPriority w:val="1"/>
    <w:qFormat/>
    <w:rPr>
      <w:rFonts w:ascii="宋体" w:hAnsi="Times New Roman" w:eastAsia="宋体" w:cs="宋体"/>
      <w:b/>
      <w:bCs/>
      <w:sz w:val="36"/>
      <w:szCs w:val="36"/>
    </w:rPr>
  </w:style>
  <w:style w:type="character" w:styleId="1032" w:customStyle="1">
    <w:name w:val="标题 5 字符"/>
    <w:link w:val="813"/>
    <w:uiPriority w:val="1"/>
    <w:qFormat/>
    <w:rPr>
      <w:rFonts w:ascii="宋体" w:hAnsi="Times New Roman" w:eastAsia="宋体" w:cs="宋体"/>
      <w:sz w:val="24"/>
      <w:szCs w:val="24"/>
    </w:rPr>
  </w:style>
  <w:style w:type="character" w:styleId="1033" w:customStyle="1">
    <w:name w:val="标题 6 字符"/>
    <w:link w:val="814"/>
    <w:uiPriority w:val="1"/>
    <w:qFormat/>
    <w:rPr>
      <w:rFonts w:ascii="宋体" w:hAnsi="Times New Roman" w:eastAsia="宋体" w:cs="宋体"/>
      <w:b/>
      <w:bCs/>
      <w:szCs w:val="21"/>
    </w:rPr>
  </w:style>
  <w:style w:type="character" w:styleId="1034" w:customStyle="1">
    <w:name w:val="正文缩进 字符"/>
    <w:link w:val="821"/>
    <w:uiPriority w:val="0"/>
    <w:qFormat/>
    <w:rPr>
      <w:rFonts w:ascii="Times New Roman" w:hAnsi="Times New Roman" w:eastAsia="楷体_GB2312"/>
      <w:sz w:val="21"/>
    </w:rPr>
  </w:style>
  <w:style w:type="character" w:styleId="1035" w:customStyle="1">
    <w:name w:val="批注文字 字符"/>
    <w:link w:val="825"/>
    <w:uiPriority w:val="0"/>
    <w:qFormat/>
    <w:rPr>
      <w:rFonts w:ascii="Calibri" w:hAnsi="Calibri" w:eastAsia="宋体" w:cs="宋体"/>
    </w:rPr>
  </w:style>
  <w:style w:type="character" w:styleId="1036" w:customStyle="1">
    <w:name w:val="正文文本 字符"/>
    <w:link w:val="826"/>
    <w:uiPriority w:val="99"/>
    <w:qFormat/>
    <w:rPr>
      <w:rFonts w:ascii="宋体" w:hAnsi="Times New Roman" w:eastAsia="宋体" w:cs="宋体"/>
      <w:szCs w:val="21"/>
    </w:rPr>
  </w:style>
  <w:style w:type="character" w:styleId="1037" w:customStyle="1">
    <w:name w:val="正文文本缩进 字符"/>
    <w:link w:val="828"/>
    <w:uiPriority w:val="99"/>
    <w:qFormat/>
    <w:rPr>
      <w:rFonts w:ascii="宋体" w:hAnsi="Times New Roman" w:eastAsia="宋体" w:cs="宋体"/>
      <w:sz w:val="22"/>
    </w:rPr>
  </w:style>
  <w:style w:type="character" w:styleId="1038" w:customStyle="1">
    <w:name w:val="纯文本 字符"/>
    <w:uiPriority w:val="0"/>
    <w:qFormat/>
    <w:rPr>
      <w:rFonts w:ascii="宋体" w:hAnsi="Courier New" w:eastAsia="楷体_GB2312"/>
      <w:sz w:val="26"/>
    </w:rPr>
  </w:style>
  <w:style w:type="character" w:styleId="1039" w:customStyle="1">
    <w:name w:val="日期 字符"/>
    <w:link w:val="833"/>
    <w:uiPriority w:val="99"/>
    <w:semiHidden/>
    <w:qFormat/>
    <w:rPr>
      <w:rFonts w:ascii="宋体" w:hAnsi="Times New Roman" w:eastAsia="宋体" w:cs="宋体"/>
      <w:sz w:val="22"/>
      <w:szCs w:val="22"/>
    </w:rPr>
  </w:style>
  <w:style w:type="character" w:styleId="1040" w:customStyle="1">
    <w:name w:val="页脚 字符"/>
    <w:link w:val="837"/>
    <w:uiPriority w:val="99"/>
    <w:qFormat/>
    <w:rPr>
      <w:rFonts w:ascii="宋体" w:hAnsi="Times New Roman" w:eastAsia="宋体" w:cs="宋体"/>
      <w:sz w:val="18"/>
      <w:szCs w:val="18"/>
    </w:rPr>
  </w:style>
  <w:style w:type="character" w:styleId="1041" w:customStyle="1">
    <w:name w:val="页眉 字符"/>
    <w:link w:val="839"/>
    <w:uiPriority w:val="99"/>
    <w:qFormat/>
    <w:rPr>
      <w:rFonts w:ascii="宋体" w:hAnsi="Times New Roman" w:eastAsia="宋体" w:cs="宋体"/>
      <w:sz w:val="18"/>
      <w:szCs w:val="18"/>
    </w:rPr>
  </w:style>
  <w:style w:type="character" w:styleId="1042" w:customStyle="1">
    <w:name w:val="正文文本缩进 3 字符"/>
    <w:link w:val="845"/>
    <w:uiPriority w:val="99"/>
    <w:qFormat/>
    <w:rPr>
      <w:rFonts w:ascii="宋体" w:hAnsi="Times New Roman" w:eastAsia="宋体" w:cs="宋体"/>
      <w:sz w:val="16"/>
      <w:szCs w:val="16"/>
    </w:rPr>
  </w:style>
  <w:style w:type="character" w:styleId="1043" w:customStyle="1">
    <w:name w:val="普通(网站) 字符"/>
    <w:link w:val="849"/>
    <w:uiPriority w:val="99"/>
    <w:qFormat/>
    <w:rPr>
      <w:rFonts w:ascii="Times New Roman" w:hAnsi="Times New Roman" w:eastAsia="宋体" w:cs="宋体"/>
      <w:sz w:val="24"/>
      <w:szCs w:val="21"/>
    </w:rPr>
  </w:style>
  <w:style w:type="character" w:styleId="1044" w:customStyle="1">
    <w:name w:val="批注主题 字符"/>
    <w:link w:val="851"/>
    <w:uiPriority w:val="99"/>
    <w:semiHidden/>
    <w:qFormat/>
    <w:rPr>
      <w:rFonts w:ascii="宋体" w:hAnsi="Times New Roman" w:eastAsia="宋体" w:cs="宋体"/>
      <w:b/>
      <w:bCs/>
      <w:sz w:val="22"/>
      <w:szCs w:val="22"/>
    </w:rPr>
  </w:style>
  <w:style w:type="paragraph" w:styleId="1045" w:customStyle="1">
    <w:name w:val="正文文本首行缩进1"/>
    <w:basedOn w:val="826"/>
    <w:link w:val="1046"/>
    <w:uiPriority w:val="99"/>
    <w:unhideWhenUsed/>
    <w:qFormat/>
    <w:pPr>
      <w:ind w:left="0" w:firstLine="420"/>
      <w:spacing w:before="0" w:after="120"/>
    </w:pPr>
    <w:rPr>
      <w:sz w:val="22"/>
      <w:szCs w:val="22"/>
    </w:rPr>
  </w:style>
  <w:style w:type="character" w:styleId="1046" w:customStyle="1">
    <w:name w:val="正文文本首行缩进 字符"/>
    <w:link w:val="1045"/>
    <w:uiPriority w:val="99"/>
    <w:qFormat/>
    <w:rPr>
      <w:rFonts w:ascii="宋体" w:hAnsi="Times New Roman" w:eastAsia="宋体" w:cs="宋体"/>
      <w:sz w:val="22"/>
      <w:szCs w:val="22"/>
    </w:rPr>
  </w:style>
  <w:style w:type="paragraph" w:styleId="1047" w:customStyle="1">
    <w:name w:val="正文文本首行缩进 21"/>
    <w:basedOn w:val="828"/>
    <w:link w:val="1048"/>
    <w:uiPriority w:val="0"/>
    <w:qFormat/>
    <w:pPr>
      <w:ind w:firstLine="420"/>
      <w:jc w:val="both"/>
    </w:pPr>
    <w:rPr>
      <w:sz w:val="21"/>
      <w:szCs w:val="24"/>
    </w:rPr>
  </w:style>
  <w:style w:type="character" w:styleId="1048" w:customStyle="1">
    <w:name w:val="正文文本首行缩进 2 字符"/>
    <w:link w:val="1047"/>
    <w:uiPriority w:val="0"/>
    <w:qFormat/>
    <w:rPr>
      <w:rFonts w:ascii="宋体" w:hAnsi="Times New Roman" w:eastAsia="宋体" w:cs="宋体"/>
      <w:sz w:val="21"/>
      <w:szCs w:val="24"/>
    </w:rPr>
  </w:style>
  <w:style w:type="paragraph" w:styleId="1049" w:customStyle="1">
    <w:name w:val="段"/>
    <w:next w:val="808"/>
    <w:uiPriority w:val="0"/>
    <w:qFormat/>
    <w:pPr>
      <w:ind w:firstLine="200"/>
      <w:jc w:val="both"/>
    </w:pPr>
    <w:rPr>
      <w:rFonts w:ascii="宋体" w:hAnsi="Times New Roman" w:eastAsia="宋体" w:cs="Times New Roman"/>
      <w:sz w:val="21"/>
      <w:lang w:val="en-US" w:eastAsia="zh-CN" w:bidi="ar-SA"/>
    </w:rPr>
  </w:style>
  <w:style w:type="paragraph" w:styleId="1050" w:customStyle="1">
    <w:name w:val="列表段落1"/>
    <w:basedOn w:val="808"/>
    <w:link w:val="1051"/>
    <w:uiPriority w:val="34"/>
    <w:qFormat/>
    <w:pPr>
      <w:ind w:left="367" w:firstLine="420"/>
      <w:spacing w:before="132"/>
    </w:pPr>
    <w:rPr>
      <w:sz w:val="24"/>
      <w:szCs w:val="24"/>
    </w:rPr>
  </w:style>
  <w:style w:type="character" w:styleId="1051" w:customStyle="1">
    <w:name w:val="列表段落 字符"/>
    <w:link w:val="1050"/>
    <w:uiPriority w:val="34"/>
    <w:qFormat/>
    <w:rPr>
      <w:rFonts w:ascii="宋体" w:cs="宋体"/>
      <w:sz w:val="24"/>
      <w:szCs w:val="24"/>
    </w:rPr>
  </w:style>
  <w:style w:type="paragraph" w:styleId="1052" w:customStyle="1">
    <w:name w:val="Table Paragraph"/>
    <w:basedOn w:val="808"/>
    <w:uiPriority w:val="1"/>
    <w:qFormat/>
    <w:pPr>
      <w:jc w:val="center"/>
      <w:spacing w:before="111"/>
    </w:pPr>
    <w:rPr>
      <w:sz w:val="24"/>
      <w:szCs w:val="24"/>
    </w:rPr>
  </w:style>
  <w:style w:type="paragraph" w:styleId="1053" w:customStyle="1">
    <w:name w:val="Plain Text2"/>
    <w:basedOn w:val="808"/>
    <w:uiPriority w:val="0"/>
    <w:qFormat/>
    <w:pPr>
      <w:jc w:val="both"/>
    </w:pPr>
    <w:rPr>
      <w:rFonts w:hAnsi="Courier New" w:eastAsia="楷体_GB2312" w:cs="Times New Roman"/>
      <w:sz w:val="28"/>
      <w:szCs w:val="24"/>
    </w:rPr>
  </w:style>
  <w:style w:type="paragraph" w:styleId="1054" w:customStyle="1">
    <w:name w:val="列表段落11"/>
    <w:basedOn w:val="808"/>
    <w:uiPriority w:val="34"/>
    <w:qFormat/>
    <w:pPr>
      <w:ind w:firstLine="420"/>
      <w:jc w:val="both"/>
    </w:pPr>
    <w:rPr>
      <w:rFonts w:ascii="等线" w:hAnsi="等线" w:eastAsia="等线" w:cs="Times New Roman"/>
      <w:sz w:val="21"/>
      <w:szCs w:val="24"/>
    </w:rPr>
  </w:style>
  <w:style w:type="paragraph" w:styleId="1055" w:customStyle="1">
    <w:name w:val="彩色列表 - 强调文字颜色 11"/>
    <w:basedOn w:val="808"/>
    <w:uiPriority w:val="0"/>
    <w:qFormat/>
    <w:pPr>
      <w:ind w:firstLine="420"/>
      <w:jc w:val="both"/>
    </w:pPr>
    <w:rPr>
      <w:rFonts w:ascii="Times New Roman" w:eastAsia="等线" w:cs="Times New Roman"/>
      <w:sz w:val="21"/>
      <w:szCs w:val="24"/>
    </w:rPr>
  </w:style>
  <w:style w:type="character" w:styleId="1056" w:customStyle="1">
    <w:name w:val="标题 4 Char"/>
    <w:uiPriority w:val="0"/>
    <w:qFormat/>
    <w:rPr>
      <w:rFonts w:ascii="Arial" w:hAnsi="Arial" w:eastAsia="黑体"/>
      <w:b/>
      <w:sz w:val="28"/>
    </w:rPr>
  </w:style>
  <w:style w:type="paragraph" w:styleId="1057" w:customStyle="1">
    <w:name w:val="xl24"/>
    <w:basedOn w:val="808"/>
    <w:uiPriority w:val="0"/>
    <w:qFormat/>
    <w:pPr>
      <w:jc w:val="center"/>
      <w:spacing w:before="100" w:beforeAutospacing="1" w:after="100" w:afterAutospacing="1"/>
      <w:widowControl/>
    </w:pPr>
    <w:rPr>
      <w:rFonts w:hint="eastAsia" w:hAnsi="宋体" w:cs="Times New Roman"/>
      <w:sz w:val="24"/>
      <w:szCs w:val="24"/>
    </w:rPr>
  </w:style>
  <w:style w:type="character" w:styleId="1058" w:customStyle="1">
    <w:name w:val="正文文本缩进 字符1"/>
    <w:uiPriority w:val="0"/>
    <w:qFormat/>
    <w:rPr>
      <w:rFonts w:ascii="宋体" w:eastAsia="宋体"/>
      <w:sz w:val="28"/>
      <w:lang w:val="en-US" w:eastAsia="zh-CN" w:bidi="ar-SA"/>
    </w:rPr>
  </w:style>
  <w:style w:type="character" w:styleId="1059" w:customStyle="1">
    <w:name w:val="方案正文 Char"/>
    <w:link w:val="1060"/>
    <w:uiPriority w:val="0"/>
    <w:qFormat/>
    <w:rPr>
      <w:sz w:val="24"/>
    </w:rPr>
  </w:style>
  <w:style w:type="paragraph" w:styleId="1060" w:customStyle="1">
    <w:name w:val="方案正文"/>
    <w:basedOn w:val="808"/>
    <w:link w:val="1059"/>
    <w:uiPriority w:val="0"/>
    <w:qFormat/>
    <w:pPr>
      <w:jc w:val="both"/>
      <w:spacing w:line="440" w:lineRule="atLeast"/>
    </w:pPr>
    <w:rPr>
      <w:rFonts w:ascii="Times New Roman" w:cs="Times New Roman"/>
      <w:sz w:val="24"/>
      <w:szCs w:val="20"/>
    </w:rPr>
  </w:style>
  <w:style w:type="paragraph" w:styleId="1061" w:customStyle="1">
    <w:name w:val="列出段落2"/>
    <w:basedOn w:val="808"/>
    <w:uiPriority w:val="34"/>
    <w:qFormat/>
    <w:pPr>
      <w:ind w:firstLine="420"/>
      <w:jc w:val="both"/>
      <w:spacing w:line="360" w:lineRule="auto"/>
    </w:pPr>
    <w:rPr>
      <w:rFonts w:ascii="Calibri" w:hAnsi="Calibri" w:cs="Times New Roman"/>
      <w:sz w:val="24"/>
      <w:szCs w:val="20"/>
    </w:rPr>
  </w:style>
  <w:style w:type="paragraph" w:styleId="1062" w:customStyle="1">
    <w:name w:val="列出段落12"/>
    <w:basedOn w:val="808"/>
    <w:uiPriority w:val="0"/>
    <w:qFormat/>
    <w:pPr>
      <w:ind w:firstLine="420"/>
      <w:jc w:val="both"/>
    </w:pPr>
    <w:rPr>
      <w:rFonts w:ascii="Times New Roman" w:cs="Times New Roman"/>
      <w:sz w:val="21"/>
      <w:szCs w:val="20"/>
    </w:rPr>
  </w:style>
  <w:style w:type="paragraph" w:styleId="1063" w:customStyle="1">
    <w:name w:val="列出段落5"/>
    <w:basedOn w:val="808"/>
    <w:uiPriority w:val="0"/>
    <w:qFormat/>
    <w:pPr>
      <w:ind w:firstLine="420"/>
      <w:jc w:val="both"/>
    </w:pPr>
    <w:rPr>
      <w:rFonts w:ascii="Calibri" w:hAnsi="Calibri" w:cs="Times New Roman"/>
      <w:sz w:val="21"/>
      <w:szCs w:val="20"/>
    </w:rPr>
  </w:style>
  <w:style w:type="paragraph" w:styleId="1064" w:customStyle="1">
    <w:name w:val="正文1"/>
    <w:basedOn w:val="808"/>
    <w:next w:val="808"/>
    <w:uiPriority w:val="0"/>
    <w:qFormat/>
    <w:pPr>
      <w:ind w:firstLine="420"/>
      <w:jc w:val="both"/>
      <w:spacing w:line="360" w:lineRule="auto"/>
      <w:tabs>
        <w:tab w:val="left" w:pos="420" w:leader="none"/>
      </w:tabs>
    </w:pPr>
    <w:rPr>
      <w:rFonts w:hAnsi="宋体" w:cs="Times New Roman"/>
      <w:sz w:val="21"/>
      <w:szCs w:val="20"/>
    </w:rPr>
  </w:style>
  <w:style w:type="character" w:styleId="1065" w:customStyle="1">
    <w:name w:val="font41"/>
    <w:uiPriority w:val="0"/>
    <w:qFormat/>
    <w:rPr>
      <w:rFonts w:hint="eastAsia" w:ascii="宋体" w:hAnsi="宋体" w:eastAsia="宋体" w:cs="宋体"/>
      <w:color w:val="000000"/>
      <w:sz w:val="20"/>
      <w:szCs w:val="20"/>
      <w:u w:val="none"/>
    </w:rPr>
  </w:style>
  <w:style w:type="character" w:styleId="1066" w:customStyle="1">
    <w:name w:val="Plain Text Char1"/>
    <w:link w:val="1067"/>
    <w:uiPriority w:val="0"/>
    <w:qFormat/>
    <w:rPr>
      <w:rFonts w:ascii="宋体" w:hAnsi="Courier New" w:eastAsia="楷体_GB2312"/>
      <w:sz w:val="26"/>
    </w:rPr>
  </w:style>
  <w:style w:type="paragraph" w:styleId="1067" w:customStyle="1">
    <w:name w:val="纯文本1"/>
    <w:basedOn w:val="808"/>
    <w:link w:val="1066"/>
    <w:uiPriority w:val="0"/>
    <w:qFormat/>
    <w:pPr>
      <w:jc w:val="both"/>
    </w:pPr>
    <w:rPr>
      <w:rFonts w:hAnsi="Courier New" w:eastAsia="楷体_GB2312" w:cs="Times New Roman"/>
      <w:sz w:val="26"/>
      <w:szCs w:val="20"/>
    </w:rPr>
  </w:style>
  <w:style w:type="character" w:styleId="1068" w:customStyle="1">
    <w:name w:val="页眉 字符2"/>
    <w:uiPriority w:val="99"/>
    <w:qFormat/>
    <w:rPr>
      <w:rFonts w:eastAsia="宋体"/>
      <w:sz w:val="18"/>
      <w:lang w:val="en-US" w:eastAsia="zh-CN" w:bidi="ar-SA"/>
    </w:rPr>
  </w:style>
  <w:style w:type="character" w:styleId="1069" w:customStyle="1">
    <w:name w:val="页脚 字符2"/>
    <w:uiPriority w:val="99"/>
    <w:qFormat/>
    <w:rPr>
      <w:rFonts w:eastAsia="宋体"/>
      <w:sz w:val="18"/>
      <w:lang w:val="en-US" w:eastAsia="zh-CN" w:bidi="ar-SA"/>
    </w:rPr>
  </w:style>
  <w:style w:type="character" w:styleId="1070" w:customStyle="1">
    <w:name w:val="01 章标 Char"/>
    <w:link w:val="1071"/>
    <w:uiPriority w:val="0"/>
    <w:qFormat/>
    <w:rPr>
      <w:b/>
      <w:sz w:val="44"/>
      <w:szCs w:val="44"/>
    </w:rPr>
  </w:style>
  <w:style w:type="paragraph" w:styleId="1071" w:customStyle="1">
    <w:name w:val="01 章标"/>
    <w:basedOn w:val="808"/>
    <w:link w:val="1070"/>
    <w:uiPriority w:val="0"/>
    <w:qFormat/>
    <w:pPr>
      <w:ind w:firstLine="883"/>
      <w:jc w:val="center"/>
      <w:outlineLvl w:val="0"/>
    </w:pPr>
    <w:rPr>
      <w:rFonts w:ascii="Times New Roman" w:cs="Times New Roman"/>
      <w:b/>
      <w:sz w:val="44"/>
      <w:szCs w:val="44"/>
    </w:rPr>
  </w:style>
  <w:style w:type="character" w:styleId="1072" w:customStyle="1">
    <w:name w:val="纯文本 字符1"/>
    <w:uiPriority w:val="99"/>
    <w:qFormat/>
    <w:rPr>
      <w:rFonts w:ascii="宋体" w:hAnsi="Courier New" w:eastAsia="宋体" w:cs="Courier New"/>
      <w:sz w:val="21"/>
      <w:szCs w:val="21"/>
    </w:rPr>
  </w:style>
  <w:style w:type="paragraph" w:styleId="1073"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74"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75" w:customStyle="1">
    <w:name w:val="未处理的提及1"/>
    <w:uiPriority w:val="99"/>
    <w:unhideWhenUsed/>
    <w:qFormat/>
    <w:rPr>
      <w:color w:val="605e5c"/>
      <w:shd w:val="clear" w:color="auto" w:fill="e1dfdd"/>
    </w:rPr>
  </w:style>
  <w:style w:type="character" w:styleId="1076" w:customStyle="1">
    <w:name w:val="font01"/>
    <w:uiPriority w:val="0"/>
    <w:qFormat/>
    <w:rPr>
      <w:rFonts w:ascii="Arial" w:hAnsi="Arial" w:cs="Arial"/>
      <w:color w:val="000000"/>
      <w:sz w:val="20"/>
      <w:szCs w:val="20"/>
      <w:u w:val="none"/>
    </w:rPr>
  </w:style>
  <w:style w:type="paragraph" w:styleId="1077"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78" w:customStyle="1">
    <w:name w:val="NormalCharacter1"/>
    <w:uiPriority w:val="0"/>
    <w:qFormat/>
  </w:style>
  <w:style w:type="paragraph" w:styleId="1079" w:customStyle="1">
    <w:name w:val="Andy_正文"/>
    <w:basedOn w:val="808"/>
    <w:uiPriority w:val="0"/>
    <w:qFormat/>
    <w:pPr>
      <w:ind w:firstLine="480"/>
      <w:jc w:val="both"/>
      <w:spacing w:line="360" w:lineRule="auto"/>
    </w:pPr>
    <w:rPr>
      <w:rFonts w:ascii="Times New Roman" w:cs="Times New Roman"/>
      <w:sz w:val="24"/>
      <w:szCs w:val="24"/>
    </w:rPr>
  </w:style>
  <w:style w:type="character" w:styleId="1080" w:customStyle="1">
    <w:name w:val="font51"/>
    <w:uiPriority w:val="0"/>
    <w:qFormat/>
    <w:rPr>
      <w:rFonts w:hint="eastAsia" w:ascii="宋体" w:hAnsi="宋体" w:eastAsia="宋体" w:cs="宋体"/>
      <w:b/>
      <w:bCs/>
      <w:color w:val="000000"/>
      <w:sz w:val="21"/>
      <w:szCs w:val="21"/>
      <w:u w:val="none"/>
    </w:rPr>
  </w:style>
  <w:style w:type="character" w:styleId="1081" w:customStyle="1">
    <w:name w:val="font71"/>
    <w:uiPriority w:val="0"/>
    <w:qFormat/>
    <w:rPr>
      <w:rFonts w:hint="eastAsia" w:ascii="宋体" w:hAnsi="宋体" w:eastAsia="宋体" w:cs="宋体"/>
      <w:color w:val="000000"/>
      <w:sz w:val="24"/>
      <w:szCs w:val="24"/>
      <w:u w:val="none"/>
    </w:rPr>
  </w:style>
  <w:style w:type="character" w:styleId="1082" w:customStyle="1">
    <w:name w:val="font91"/>
    <w:uiPriority w:val="0"/>
    <w:qFormat/>
    <w:rPr>
      <w:rFonts w:hint="eastAsia" w:ascii="宋体" w:hAnsi="宋体" w:eastAsia="宋体" w:cs="宋体"/>
      <w:color w:val="000000"/>
      <w:sz w:val="21"/>
      <w:szCs w:val="21"/>
      <w:u w:val="none"/>
    </w:rPr>
  </w:style>
  <w:style w:type="character" w:styleId="1083" w:customStyle="1">
    <w:name w:val="font61"/>
    <w:uiPriority w:val="0"/>
    <w:qFormat/>
    <w:rPr>
      <w:rFonts w:hint="eastAsia" w:ascii="宋体" w:hAnsi="宋体" w:eastAsia="宋体" w:cs="宋体"/>
      <w:color w:val="000000"/>
      <w:sz w:val="21"/>
      <w:szCs w:val="21"/>
      <w:u w:val="none"/>
    </w:rPr>
  </w:style>
  <w:style w:type="character" w:styleId="1084" w:customStyle="1">
    <w:name w:val="font81"/>
    <w:uiPriority w:val="0"/>
    <w:qFormat/>
    <w:rPr>
      <w:rFonts w:ascii="Calibri" w:hAnsi="Calibri" w:cs="Calibri"/>
      <w:color w:val="000000"/>
      <w:sz w:val="21"/>
      <w:szCs w:val="21"/>
      <w:u w:val="none"/>
    </w:rPr>
  </w:style>
  <w:style w:type="character" w:styleId="1085" w:customStyle="1">
    <w:name w:val="font101"/>
    <w:uiPriority w:val="0"/>
    <w:qFormat/>
    <w:rPr>
      <w:rFonts w:ascii="Calibri" w:hAnsi="Calibri" w:cs="Calibri"/>
      <w:b/>
      <w:bCs/>
      <w:color w:val="000000"/>
      <w:sz w:val="21"/>
      <w:szCs w:val="21"/>
      <w:u w:val="none"/>
    </w:rPr>
  </w:style>
  <w:style w:type="character" w:styleId="1086" w:customStyle="1">
    <w:name w:val="font111"/>
    <w:uiPriority w:val="0"/>
    <w:qFormat/>
    <w:rPr>
      <w:rFonts w:hint="eastAsia" w:ascii="宋体" w:hAnsi="宋体" w:eastAsia="宋体" w:cs="宋体"/>
      <w:b/>
      <w:bCs/>
      <w:color w:val="000000"/>
      <w:sz w:val="22"/>
      <w:szCs w:val="22"/>
      <w:u w:val="none"/>
    </w:rPr>
  </w:style>
  <w:style w:type="character" w:styleId="1087" w:customStyle="1">
    <w:name w:val="正文缩进 字符1"/>
    <w:uiPriority w:val="0"/>
    <w:qFormat/>
    <w:rPr>
      <w:rFonts w:eastAsia="宋体"/>
      <w:sz w:val="21"/>
      <w:szCs w:val="24"/>
      <w:lang w:val="en-US" w:eastAsia="zh-CN" w:bidi="ar-SA"/>
    </w:rPr>
  </w:style>
  <w:style w:type="paragraph" w:styleId="1088" w:customStyle="1">
    <w:name w:val="首行缩进"/>
    <w:basedOn w:val="808"/>
    <w:uiPriority w:val="0"/>
    <w:qFormat/>
    <w:pPr>
      <w:ind w:firstLine="480"/>
    </w:pPr>
    <w:rPr>
      <w:szCs w:val="20"/>
      <w:lang w:val="zh-CN"/>
    </w:rPr>
  </w:style>
  <w:style w:type="character" w:styleId="1089" w:customStyle="1">
    <w:name w:val="纯文本 字符2"/>
    <w:link w:val="824"/>
    <w:uiPriority w:val="0"/>
    <w:qFormat/>
    <w:rPr>
      <w:rFonts w:ascii="宋体" w:hAnsi="Courier New" w:eastAsia="楷体_GB2312"/>
      <w:sz w:val="26"/>
    </w:rPr>
  </w:style>
  <w:style w:type="paragraph" w:styleId="1090" w:customStyle="1">
    <w:name w:val="+正文"/>
    <w:basedOn w:val="808"/>
    <w:uiPriority w:val="0"/>
    <w:qFormat/>
    <w:pPr>
      <w:ind w:firstLine="200"/>
      <w:spacing w:line="360" w:lineRule="auto"/>
      <w:widowControl/>
    </w:pPr>
    <w:rPr>
      <w:rFonts w:ascii="Times New Roman" w:cs="Times New Roman"/>
      <w:sz w:val="24"/>
      <w:szCs w:val="24"/>
    </w:rPr>
  </w:style>
  <w:style w:type="paragraph" w:styleId="1091" w:customStyle="1">
    <w:name w:val="*正文"/>
    <w:basedOn w:val="808"/>
    <w:uiPriority w:val="0"/>
    <w:qFormat/>
    <w:rPr>
      <w:rFonts w:hAnsi="宋体"/>
      <w:sz w:val="24"/>
      <w:lang w:val="zh-CN"/>
    </w:rPr>
  </w:style>
  <w:style w:type="paragraph" w:styleId="1092" w:customStyle="1">
    <w:name w:val="p17"/>
    <w:basedOn w:val="808"/>
    <w:uiPriority w:val="99"/>
    <w:qFormat/>
    <w:pPr>
      <w:widowControl/>
    </w:pPr>
    <w:rPr>
      <w:rFonts w:hAnsi="宋体"/>
      <w:sz w:val="26"/>
      <w:szCs w:val="26"/>
    </w:rPr>
  </w:style>
  <w:style w:type="paragraph" w:styleId="1093" w:customStyle="1">
    <w:name w:val="列出段落1"/>
    <w:basedOn w:val="808"/>
    <w:uiPriority w:val="0"/>
    <w:qFormat/>
    <w:pPr>
      <w:ind w:firstLine="420"/>
    </w:pPr>
    <w:rPr>
      <w:rFonts w:ascii="Calibri" w:hAnsi="Calibri"/>
    </w:rPr>
  </w:style>
  <w:style w:type="character" w:styleId="1094" w:customStyle="1">
    <w:name w:val="正文缩进 Char"/>
    <w:uiPriority w:val="0"/>
    <w:qFormat/>
    <w:rPr>
      <w:rFonts w:eastAsia="楷体_GB2312"/>
      <w:sz w:val="24"/>
      <w:lang w:bidi="ar-SA"/>
    </w:rPr>
  </w:style>
  <w:style w:type="paragraph" w:styleId="1095" w:customStyle="1">
    <w:name w:val="Char"/>
    <w:basedOn w:val="808"/>
    <w:uiPriority w:val="0"/>
    <w:qFormat/>
    <w:pPr>
      <w:spacing w:after="160" w:line="240" w:lineRule="exact"/>
      <w:widowControl/>
    </w:pPr>
    <w:rPr>
      <w:rFonts w:ascii="Verdana" w:hAnsi="Verdana" w:eastAsia="仿宋_GB2312" w:cs="Times New Roman"/>
      <w:sz w:val="24"/>
      <w:lang w:eastAsia="en-US"/>
    </w:rPr>
  </w:style>
  <w:style w:type="character" w:styleId="1096" w:customStyle="1">
    <w:name w:val="正文缩进 字符3"/>
    <w:uiPriority w:val="0"/>
    <w:qFormat/>
    <w:rPr>
      <w:sz w:val="21"/>
    </w:rPr>
  </w:style>
  <w:style w:type="character" w:styleId="1097" w:customStyle="1">
    <w:name w:val="Plain Text Char Char"/>
    <w:link w:val="1098"/>
    <w:uiPriority w:val="0"/>
    <w:qFormat/>
    <w:rPr>
      <w:rFonts w:ascii="宋体" w:hAnsi="Courier New" w:eastAsia="楷体_GB2312"/>
      <w:sz w:val="26"/>
    </w:rPr>
  </w:style>
  <w:style w:type="paragraph" w:styleId="1098" w:customStyle="1">
    <w:name w:val="纯文本2"/>
    <w:basedOn w:val="808"/>
    <w:link w:val="1097"/>
    <w:uiPriority w:val="0"/>
    <w:qFormat/>
    <w:pPr>
      <w:jc w:val="both"/>
    </w:pPr>
    <w:rPr>
      <w:rFonts w:hAnsi="Courier New" w:eastAsia="楷体_GB2312" w:cs="Times New Roman"/>
      <w:sz w:val="26"/>
      <w:szCs w:val="20"/>
    </w:rPr>
  </w:style>
  <w:style w:type="character" w:styleId="1099" w:customStyle="1">
    <w:name w:val="正文文本 Char"/>
    <w:uiPriority w:val="99"/>
    <w:qFormat/>
    <w:rPr>
      <w:rFonts w:ascii="宋体" w:hAnsi="Times New Roman" w:eastAsia="宋体" w:cs="宋体"/>
      <w:szCs w:val="21"/>
    </w:rPr>
  </w:style>
  <w:style w:type="character" w:styleId="1100" w:customStyle="1">
    <w:name w:val="纯文本 Char"/>
    <w:uiPriority w:val="0"/>
    <w:qFormat/>
    <w:rPr>
      <w:rFonts w:ascii="宋体" w:hAnsi="Courier New" w:eastAsia="楷体_GB2312"/>
      <w:sz w:val="26"/>
    </w:rPr>
  </w:style>
  <w:style w:type="paragraph" w:styleId="1101" w:customStyle="1">
    <w:name w:val="_Style 172"/>
    <w:basedOn w:val="808"/>
    <w:next w:val="909"/>
    <w:uiPriority w:val="0"/>
    <w:qFormat/>
    <w:pPr>
      <w:ind w:firstLine="420"/>
      <w:jc w:val="both"/>
      <w:spacing w:line="360" w:lineRule="auto"/>
    </w:pPr>
    <w:rPr>
      <w:rFonts w:ascii="Calibri" w:hAnsi="Calibri" w:cs="Times New Roman"/>
      <w:sz w:val="24"/>
      <w:szCs w:val="20"/>
    </w:rPr>
  </w:style>
  <w:style w:type="character" w:styleId="1102" w:customStyle="1">
    <w:name w:val="_正文段落 Char"/>
    <w:link w:val="1103"/>
    <w:uiPriority w:val="0"/>
    <w:qFormat/>
    <w:rPr>
      <w:rFonts w:ascii="宋体" w:hAnsi="宋体"/>
      <w:sz w:val="24"/>
      <w:szCs w:val="24"/>
    </w:rPr>
  </w:style>
  <w:style w:type="paragraph" w:styleId="1103" w:customStyle="1">
    <w:name w:val="_正文段落"/>
    <w:basedOn w:val="808"/>
    <w:next w:val="808"/>
    <w:link w:val="1102"/>
    <w:uiPriority w:val="0"/>
    <w:qFormat/>
    <w:pPr>
      <w:ind w:firstLine="200"/>
      <w:jc w:val="both"/>
      <w:spacing w:line="360" w:lineRule="auto"/>
    </w:pPr>
    <w:rPr>
      <w:rFonts w:hAnsi="宋体" w:cs="Times New Roman"/>
      <w:sz w:val="24"/>
      <w:szCs w:val="24"/>
    </w:rPr>
  </w:style>
  <w:style w:type="table" w:styleId="1104"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05" w:customStyle="1">
    <w:name w:val="批注框文本 字符"/>
    <w:basedOn w:val="818"/>
    <w:link w:val="836"/>
    <w:uiPriority w:val="99"/>
    <w:semiHidden/>
    <w:qFormat/>
    <w:rPr>
      <w:rFonts w:ascii="宋体" w:cs="宋体"/>
      <w:sz w:val="18"/>
      <w:szCs w:val="18"/>
    </w:rPr>
  </w:style>
  <w:style w:type="character" w:styleId="1106" w:customStyle="1">
    <w:name w:val="正文文本首行缩进 2 字符1"/>
    <w:basedOn w:val="1037"/>
    <w:link w:val="853"/>
    <w:uiPriority w:val="99"/>
    <w:semiHidden/>
    <w:qFormat/>
    <w:rPr>
      <w:rFonts w:ascii="宋体" w:hAnsi="Times New Roman" w:eastAsia="宋体" w:cs="宋体"/>
      <w:sz w:val="22"/>
      <w:szCs w:val="22"/>
    </w:rPr>
  </w:style>
  <w:style w:type="character" w:styleId="1107" w:customStyle="1">
    <w:name w:val="纯文本 Char Char"/>
    <w:link w:val="1108"/>
    <w:uiPriority w:val="0"/>
    <w:qFormat/>
    <w:rPr>
      <w:rFonts w:ascii="宋体" w:hAnsi="Courier New" w:eastAsia="楷体_GB2312"/>
      <w:sz w:val="26"/>
      <w:szCs w:val="24"/>
    </w:rPr>
  </w:style>
  <w:style w:type="paragraph" w:styleId="1108" w:customStyle="1">
    <w:name w:val="纯文本11"/>
    <w:basedOn w:val="808"/>
    <w:next w:val="1109"/>
    <w:link w:val="1107"/>
    <w:uiPriority w:val="0"/>
    <w:qFormat/>
    <w:pPr>
      <w:widowControl/>
    </w:pPr>
    <w:rPr>
      <w:rFonts w:hAnsi="Courier New" w:eastAsia="楷体_GB2312" w:cs="Times New Roman"/>
      <w:sz w:val="26"/>
      <w:szCs w:val="24"/>
    </w:rPr>
  </w:style>
  <w:style w:type="paragraph" w:styleId="1109" w:customStyle="1">
    <w:name w:val="页眉1"/>
    <w:basedOn w:val="808"/>
    <w:next w:val="808"/>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10">
    <w:name w:val="Placeholder Text"/>
    <w:basedOn w:val="818"/>
    <w:uiPriority w:val="99"/>
    <w:semiHidden/>
    <w:qFormat/>
    <w:rPr>
      <w:color w:val="808080"/>
    </w:rPr>
  </w:style>
  <w:style w:type="character" w:styleId="1111" w:customStyle="1">
    <w:name w:val="Table Text Char1"/>
    <w:link w:val="1112"/>
    <w:uiPriority w:val="0"/>
    <w:qFormat/>
    <w:rPr>
      <w:rFonts w:ascii="Arial" w:hAnsi="Arial" w:eastAsia="Times New Roman" w:cs="Arial"/>
      <w:sz w:val="18"/>
      <w:szCs w:val="18"/>
    </w:rPr>
  </w:style>
  <w:style w:type="paragraph" w:styleId="1112" w:customStyle="1">
    <w:name w:val="Table Text"/>
    <w:link w:val="1111"/>
    <w:uiPriority w:val="0"/>
    <w:qFormat/>
    <w:pPr>
      <w:spacing w:before="80" w:after="80"/>
    </w:pPr>
    <w:rPr>
      <w:rFonts w:ascii="Arial" w:hAnsi="Arial" w:eastAsia="Times New Roman" w:cs="Arial"/>
      <w:sz w:val="18"/>
      <w:szCs w:val="18"/>
      <w:lang w:val="en-US" w:eastAsia="zh-CN" w:bidi="ar-SA"/>
    </w:rPr>
  </w:style>
  <w:style w:type="paragraph" w:styleId="1113" w:customStyle="1">
    <w:name w:val="文档结构图1"/>
    <w:basedOn w:val="808"/>
    <w:next w:val="1108"/>
    <w:uiPriority w:val="0"/>
    <w:qFormat/>
    <w:pPr>
      <w:widowControl/>
      <w:framePr w:wrap="around" w:vAnchor="margin" w:hAnchor="text" w:y="1"/>
    </w:pPr>
    <w:rPr>
      <w:rFonts w:eastAsia="Arial Unicode MS" w:cs="Times New Roman"/>
      <w:sz w:val="18"/>
      <w:szCs w:val="18"/>
      <w:lang w:eastAsia="en-US"/>
    </w:rPr>
  </w:style>
  <w:style w:type="paragraph" w:styleId="1114" w:customStyle="1">
    <w:name w:val="正文文本缩进1"/>
    <w:basedOn w:val="808"/>
    <w:next w:val="863"/>
    <w:uiPriority w:val="99"/>
    <w:unhideWhenUsed/>
    <w:qFormat/>
    <w:pPr>
      <w:ind w:left="420"/>
      <w:spacing w:after="120"/>
    </w:pPr>
    <w:rPr>
      <w:rFonts w:cs="Times New Roman"/>
      <w:szCs w:val="20"/>
    </w:rPr>
  </w:style>
  <w:style w:type="paragraph" w:styleId="1115" w:customStyle="1">
    <w:name w:val="_正文"/>
    <w:basedOn w:val="808"/>
    <w:uiPriority w:val="0"/>
    <w:qFormat/>
    <w:pPr>
      <w:ind w:firstLine="200"/>
      <w:spacing w:line="360" w:lineRule="auto"/>
    </w:pPr>
    <w:rPr>
      <w:sz w:val="24"/>
      <w:szCs w:val="24"/>
    </w:rPr>
  </w:style>
  <w:style w:type="paragraph" w:styleId="1116" w:customStyle="1">
    <w:name w:val="纯文本3"/>
    <w:basedOn w:val="808"/>
    <w:uiPriority w:val="0"/>
    <w:qFormat/>
    <w:rPr>
      <w:rFonts w:hAnsi="Courier New" w:eastAsia="楷体_GB2312"/>
      <w:sz w:val="26"/>
      <w:szCs w:val="20"/>
    </w:rPr>
  </w:style>
  <w:style w:type="paragraph" w:styleId="1117" w:customStyle="1">
    <w:name w:val="文档结构图11"/>
    <w:basedOn w:val="808"/>
    <w:next w:val="864"/>
    <w:uiPriority w:val="0"/>
    <w:qFormat/>
    <w:pPr>
      <w:shd w:val="clear" w:color="auto" w:fill="000080"/>
    </w:pPr>
  </w:style>
  <w:style w:type="paragraph" w:styleId="1118" w:customStyle="1">
    <w:name w:val="目录 11"/>
    <w:basedOn w:val="808"/>
    <w:next w:val="808"/>
    <w:uiPriority w:val="0"/>
    <w:qFormat/>
    <w:pPr>
      <w:ind w:left="480"/>
      <w:spacing w:line="360" w:lineRule="auto"/>
      <w:tabs>
        <w:tab w:val="right" w:pos="9022" w:leader="dot"/>
      </w:tabs>
    </w:pPr>
    <w:rPr>
      <w:rFonts w:eastAsia="楷体_GB2312"/>
      <w:b/>
      <w:sz w:val="32"/>
      <w:szCs w:val="32"/>
    </w:rPr>
  </w:style>
  <w:style w:type="paragraph" w:styleId="1119" w:customStyle="1">
    <w:name w:val="正文空2格  1."/>
    <w:basedOn w:val="808"/>
    <w:uiPriority w:val="0"/>
    <w:qFormat/>
    <w:pPr>
      <w:ind w:firstLine="480"/>
      <w:jc w:val="both"/>
      <w:spacing w:line="360" w:lineRule="auto"/>
      <w:widowControl w:val="off"/>
    </w:pPr>
    <w:rPr>
      <w:rFonts w:hint="eastAsia" w:ascii="宋体" w:hAnsi="Times New Roman" w:eastAsia="仿宋"/>
      <w:sz w:val="28"/>
      <w:szCs w:val="20"/>
    </w:rPr>
  </w:style>
  <w:style w:type="paragraph" w:styleId="1120" w:customStyle="1">
    <w:name w:val="标题 31"/>
    <w:basedOn w:val="808"/>
    <w:next w:val="808"/>
    <w:uiPriority w:val="0"/>
    <w:qFormat/>
    <w:pPr>
      <w:jc w:val="left"/>
      <w:keepLines/>
      <w:keepNext/>
      <w:spacing w:before="360" w:after="120"/>
      <w:outlineLvl w:val="2"/>
    </w:pPr>
    <w:rPr>
      <w:rFonts w:ascii="宋体"/>
      <w:b/>
      <w:sz w:val="24"/>
      <w:szCs w:val="20"/>
      <w:u w:val="single"/>
    </w:rPr>
  </w:style>
  <w:style w:type="paragraph" w:styleId="1121"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122" w:customStyle="1">
    <w:name w:val="font31"/>
    <w:basedOn w:val="818"/>
    <w:uiPriority w:val="0"/>
    <w:qFormat/>
    <w:rPr>
      <w:rFonts w:hint="eastAsia" w:ascii="宋体" w:hAnsi="宋体" w:eastAsia="宋体" w:cs="宋体"/>
      <w:color w:val="000000"/>
      <w:sz w:val="22"/>
      <w:szCs w:val="22"/>
      <w:u w:val="none"/>
    </w:rPr>
  </w:style>
  <w:style w:type="character" w:styleId="1123" w:customStyle="1">
    <w:name w:val="font21"/>
    <w:basedOn w:val="818"/>
    <w:uiPriority w:val="0"/>
    <w:qFormat/>
    <w:rPr>
      <w:rFonts w:hint="default" w:ascii="Calibri" w:hAnsi="Calibri" w:cs="Calibri"/>
      <w:color w:val="000000"/>
      <w:sz w:val="22"/>
      <w:szCs w:val="22"/>
      <w:u w:val="none"/>
    </w:rPr>
  </w:style>
  <w:style w:type="numbering" w:styleId="19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51D1813-679F-4AF2-B2EC-DDC13EAC4C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165</cp:revision>
  <dcterms:created xsi:type="dcterms:W3CDTF">2024-08-07T02:37:00Z</dcterms:created>
  <dcterms:modified xsi:type="dcterms:W3CDTF">2026-09-04T07:13:55Z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765F6CE2BB6C44E980E8A0BAFF3CC1F0_13</vt:lpwstr>
  </property>
  <property fmtid="{D5CDD505-2E9C-101B-9397-08002B2CF9AE}" pid="4" name="KSOTemplateDocerSaveRecord">
    <vt:lpwstr>eyJoZGlkIjoiNDM5MGUxMDM5ZjY2NTQwMzVmMDgxNmRlMzhmYmMzNDEiLCJ1c2VySWQiOiIyMzY3OTU4OTQifQ==</vt:lpwstr>
  </property>
</Properties>
</file>