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rFonts w:ascii="宋体" w:hAnsi="宋体"/>
          <w:b/>
          <w:color w:val="auto"/>
          <w:sz w:val="24"/>
          <w:szCs w:val="24"/>
          <w:highlight w:val="none"/>
        </w:rPr>
      </w:pPr>
      <w:r/>
      <w:bookmarkStart w:id="562" w:name="_GoBack"/>
      <w:r/>
      <w:r/>
    </w:p>
    <w:p>
      <w:pPr>
        <w:shd w:val="clear" w:color="auto"/>
        <w:rPr>
          <w:rFonts w:ascii="宋体" w:hAnsi="宋体"/>
          <w:b/>
          <w:color w:val="auto"/>
          <w:sz w:val="72"/>
          <w:szCs w:val="72"/>
          <w:highlight w:val="none"/>
        </w:rPr>
      </w:pPr>
      <w:r>
        <w:rPr>
          <w:rFonts w:ascii="宋体" w:hAnsi="宋体"/>
          <w:b/>
          <w:color w:val="auto"/>
          <w:sz w:val="72"/>
          <w:szCs w:val="72"/>
          <w:highlight w:val="none"/>
        </w:rPr>
      </w:r>
      <w:r/>
    </w:p>
    <w:p>
      <w:pPr>
        <w:jc w:val="center"/>
        <w:shd w:val="clear" w:color="auto"/>
        <w:rPr>
          <w:rFonts w:ascii="宋体" w:hAnsi="宋体"/>
          <w:b/>
          <w:color w:val="auto"/>
          <w:sz w:val="116"/>
          <w:szCs w:val="72"/>
          <w:highlight w:val="none"/>
        </w:rPr>
      </w:pPr>
      <w:r>
        <w:rPr>
          <w:rFonts w:hint="eastAsia" w:ascii="宋体" w:hAnsi="宋体"/>
          <w:b/>
          <w:color w:val="auto"/>
          <w:sz w:val="116"/>
          <w:szCs w:val="72"/>
          <w:highlight w:val="none"/>
        </w:rPr>
        <w:t xml:space="preserve">竞 争 性 磋 商</w:t>
      </w:r>
      <w:r/>
    </w:p>
    <w:p>
      <w:pPr>
        <w:jc w:val="center"/>
        <w:shd w:val="clear" w:color="auto"/>
        <w:rPr>
          <w:rFonts w:ascii="宋体" w:hAnsi="宋体"/>
          <w:b/>
          <w:color w:val="auto"/>
          <w:sz w:val="144"/>
          <w:szCs w:val="72"/>
          <w:highlight w:val="none"/>
        </w:rPr>
      </w:pPr>
      <w:r>
        <w:rPr>
          <w:rFonts w:hint="eastAsia" w:ascii="宋体" w:hAnsi="宋体"/>
          <w:b/>
          <w:color w:val="auto"/>
          <w:sz w:val="116"/>
          <w:szCs w:val="72"/>
          <w:highlight w:val="none"/>
        </w:rPr>
        <w:t xml:space="preserve">采 购 文 件</w:t>
      </w:r>
      <w:r/>
    </w:p>
    <w:p>
      <w:pPr>
        <w:shd w:val="clear" w:color="auto"/>
        <w:rPr>
          <w:rFonts w:ascii="宋体" w:hAnsi="宋体"/>
          <w:b/>
          <w:color w:val="auto"/>
          <w:sz w:val="48"/>
          <w:szCs w:val="48"/>
          <w:highlight w:val="none"/>
        </w:rPr>
      </w:pPr>
      <w:r>
        <w:rPr>
          <w:rFonts w:ascii="宋体" w:hAnsi="宋体"/>
          <w:b/>
          <w:color w:val="auto"/>
          <w:sz w:val="48"/>
          <w:szCs w:val="48"/>
          <w:highlight w:val="none"/>
        </w:rPr>
      </w:r>
      <w:r/>
    </w:p>
    <w:p>
      <w:pPr>
        <w:spacing w:line="360" w:lineRule="auto"/>
        <w:shd w:val="clear" w:color="auto"/>
        <w:rPr>
          <w:rFonts w:ascii="宋体" w:hAnsi="宋体"/>
          <w:b/>
          <w:color w:val="auto"/>
          <w:sz w:val="48"/>
          <w:szCs w:val="48"/>
          <w:highlight w:val="none"/>
        </w:rPr>
      </w:pPr>
      <w:r>
        <w:rPr>
          <w:rFonts w:ascii="宋体" w:hAnsi="宋体"/>
          <w:b/>
          <w:color w:val="auto"/>
          <w:sz w:val="48"/>
          <w:szCs w:val="48"/>
          <w:highlight w:val="none"/>
        </w:rPr>
      </w:r>
      <w:r/>
    </w:p>
    <w:p>
      <w:pPr>
        <w:ind w:firstLine="1985"/>
        <w:spacing w:line="360" w:lineRule="auto"/>
        <w:shd w:val="clear" w:color="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采购编号：</w:t>
      </w:r>
      <w:r>
        <w:rPr>
          <w:rFonts w:hint="eastAsia" w:ascii="宋体" w:hAnsi="宋体"/>
          <w:b/>
          <w:color w:val="auto"/>
          <w:sz w:val="30"/>
          <w:szCs w:val="30"/>
          <w:highlight w:val="none"/>
          <w:lang w:eastAsia="zh-CN"/>
        </w:rPr>
        <w:t xml:space="preserve">JSZC-320591-SZYX-C2026-0024</w:t>
      </w:r>
      <w:r/>
    </w:p>
    <w:p>
      <w:pPr>
        <w:ind w:firstLine="1985"/>
        <w:spacing w:line="360" w:lineRule="auto"/>
        <w:shd w:val="clear" w:color="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采购单位：</w:t>
      </w:r>
      <w:r>
        <w:rPr>
          <w:rFonts w:hint="eastAsia" w:ascii="宋体" w:hAnsi="宋体"/>
          <w:b/>
          <w:color w:val="auto"/>
          <w:sz w:val="30"/>
          <w:szCs w:val="30"/>
          <w:highlight w:val="none"/>
          <w:lang w:eastAsia="zh-CN"/>
        </w:rPr>
        <w:t xml:space="preserve">苏州工业园区唯亭街道办事处</w:t>
      </w:r>
      <w:r/>
    </w:p>
    <w:p>
      <w:pPr>
        <w:ind w:firstLine="1985"/>
        <w:spacing w:line="360" w:lineRule="auto"/>
        <w:shd w:val="clear" w:color="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采购内容：</w:t>
      </w:r>
      <w:r>
        <w:rPr>
          <w:rFonts w:hint="eastAsia" w:ascii="宋体" w:hAnsi="宋体"/>
          <w:b/>
          <w:color w:val="auto"/>
          <w:sz w:val="30"/>
          <w:szCs w:val="30"/>
          <w:highlight w:val="none"/>
          <w:lang w:eastAsia="zh-CN"/>
        </w:rPr>
        <w:t xml:space="preserve">畅苑新村四区负一层地库维修工程</w:t>
      </w:r>
      <w:r/>
    </w:p>
    <w:p>
      <w:pPr>
        <w:shd w:val="clear" w:color="auto"/>
        <w:rPr>
          <w:rFonts w:ascii="宋体" w:hAnsi="宋体"/>
          <w:b/>
          <w:color w:val="auto"/>
          <w:sz w:val="30"/>
          <w:szCs w:val="30"/>
          <w:highlight w:val="none"/>
        </w:rPr>
      </w:pPr>
      <w:r>
        <w:rPr>
          <w:rFonts w:ascii="宋体" w:hAnsi="宋体"/>
          <w:b/>
          <w:color w:val="auto"/>
          <w:sz w:val="30"/>
          <w:szCs w:val="30"/>
          <w:highlight w:val="none"/>
        </w:rPr>
      </w:r>
      <w:r/>
    </w:p>
    <w:p>
      <w:pPr>
        <w:shd w:val="clear" w:color="auto"/>
        <w:rPr>
          <w:rFonts w:ascii="宋体" w:hAnsi="宋体"/>
          <w:color w:val="auto"/>
          <w:sz w:val="30"/>
          <w:szCs w:val="30"/>
          <w:highlight w:val="none"/>
        </w:rPr>
      </w:pPr>
      <w:r>
        <w:rPr>
          <w:rFonts w:ascii="宋体" w:hAnsi="宋体"/>
          <w:color w:val="auto"/>
          <w:sz w:val="30"/>
          <w:szCs w:val="30"/>
          <w:highlight w:val="none"/>
        </w:rPr>
      </w:r>
      <w:r/>
    </w:p>
    <w:p>
      <w:pPr>
        <w:pStyle w:val="843"/>
        <w:shd w:val="clear" w:color="auto"/>
        <w:rPr>
          <w:color w:val="auto"/>
          <w:highlight w:val="none"/>
        </w:rPr>
      </w:pPr>
      <w:r>
        <w:rPr>
          <w:color w:val="auto"/>
          <w:highlight w:val="none"/>
        </w:rPr>
      </w:r>
      <w:r/>
    </w:p>
    <w:p>
      <w:pPr>
        <w:jc w:val="center"/>
        <w:shd w:val="clear" w:color="auto"/>
        <w:rPr>
          <w:rFonts w:ascii="宋体" w:hAnsi="宋体"/>
          <w:color w:val="auto"/>
          <w:sz w:val="30"/>
          <w:szCs w:val="30"/>
          <w:highlight w:val="none"/>
        </w:rPr>
      </w:pPr>
      <w:r>
        <w:rPr>
          <w:color w:val="auto"/>
          <w:highlight w:val="none"/>
        </w:rPr>
        <mc:AlternateContent>
          <mc:Choice Requires="wpg">
            <w:drawing>
              <wp:inline xmlns:wp="http://schemas.openxmlformats.org/drawingml/2006/wordprocessingDrawing" distT="0" distB="0" distL="0" distR="0">
                <wp:extent cx="1794510" cy="17945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794509" cy="17945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1.3pt;height:141.3pt;mso-wrap-distance-left:0.0pt;mso-wrap-distance-top:0.0pt;mso-wrap-distance-right:0.0pt;mso-wrap-distance-bottom:0.0pt;" stroked="f">
                <v:path textboxrect="0,0,0,0"/>
                <v:imagedata r:id="rId15" o:title=""/>
              </v:shape>
            </w:pict>
          </mc:Fallback>
        </mc:AlternateContent>
      </w:r>
      <w:r/>
    </w:p>
    <w:p>
      <w:pPr>
        <w:jc w:val="center"/>
        <w:shd w:val="clear" w:color="auto"/>
        <w:rPr>
          <w:rFonts w:ascii="宋体" w:hAnsi="宋体"/>
          <w:b/>
          <w:color w:val="auto"/>
          <w:sz w:val="30"/>
          <w:szCs w:val="30"/>
          <w:highlight w:val="none"/>
        </w:rPr>
      </w:pPr>
      <w:r>
        <w:rPr>
          <w:rFonts w:ascii="宋体" w:hAnsi="宋体"/>
          <w:b/>
          <w:color w:val="auto"/>
          <w:sz w:val="30"/>
          <w:szCs w:val="30"/>
          <w:highlight w:val="none"/>
        </w:rPr>
      </w:r>
      <w:r/>
    </w:p>
    <w:p>
      <w:pPr>
        <w:jc w:val="center"/>
        <w:shd w:val="clear" w:color="auto"/>
        <w:rPr>
          <w:rFonts w:ascii="宋体" w:hAnsi="宋体"/>
          <w:b/>
          <w:color w:val="auto"/>
          <w:sz w:val="30"/>
          <w:szCs w:val="30"/>
          <w:highlight w:val="none"/>
        </w:rPr>
      </w:pPr>
      <w:r>
        <w:rPr>
          <w:rFonts w:ascii="宋体" w:hAnsi="宋体"/>
          <w:b/>
          <w:color w:val="auto"/>
          <w:sz w:val="30"/>
          <w:szCs w:val="30"/>
          <w:highlight w:val="none"/>
        </w:rPr>
      </w:r>
      <w:r/>
    </w:p>
    <w:p>
      <w:pPr>
        <w:jc w:val="center"/>
        <w:shd w:val="clear" w:color="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shd w:val="clear" w:color="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shd w:val="clear" w:color="auto"/>
        <w:rPr>
          <w:rFonts w:ascii="宋体" w:hAnsi="宋体"/>
          <w:b/>
          <w:color w:val="auto"/>
          <w:sz w:val="30"/>
          <w:szCs w:val="30"/>
          <w:highlight w:val="none"/>
        </w:rPr>
      </w:pPr>
      <w:r>
        <w:rPr>
          <w:rFonts w:hint="eastAsia" w:ascii="宋体" w:hAnsi="宋体"/>
          <w:b/>
          <w:color w:val="auto"/>
          <w:sz w:val="30"/>
          <w:szCs w:val="30"/>
          <w:highlight w:val="none"/>
        </w:rPr>
        <w:t xml:space="preserve">苏州市原鑫招投标咨询服务有限公司</w:t>
      </w:r>
      <w:r/>
    </w:p>
    <w:p>
      <w:pPr>
        <w:jc w:val="center"/>
        <w:spacing w:line="360" w:lineRule="auto"/>
        <w:shd w:val="clear" w:color="auto"/>
        <w:rPr>
          <w:rFonts w:ascii="宋体" w:hAnsi="宋体"/>
          <w:b/>
          <w:color w:val="auto"/>
          <w:sz w:val="30"/>
          <w:szCs w:val="30"/>
          <w:highlight w:val="none"/>
        </w:rPr>
      </w:pPr>
      <w:r>
        <w:rPr>
          <w:rFonts w:hint="eastAsia" w:ascii="宋体" w:hAnsi="宋体"/>
          <w:b/>
          <w:color w:val="auto"/>
          <w:sz w:val="30"/>
          <w:szCs w:val="30"/>
          <w:highlight w:val="none"/>
        </w:rPr>
        <w:t xml:space="preserve">二〇二六年</w:t>
      </w:r>
      <w:r>
        <w:rPr>
          <w:rFonts w:hint="eastAsia" w:ascii="宋体" w:hAnsi="宋体"/>
          <w:b/>
          <w:color w:val="auto"/>
          <w:sz w:val="30"/>
          <w:szCs w:val="30"/>
          <w:highlight w:val="none"/>
          <w:lang w:val="en-US" w:eastAsia="zh-CN"/>
        </w:rPr>
        <w:t xml:space="preserve">八</w:t>
      </w:r>
      <w:r>
        <w:rPr>
          <w:rFonts w:hint="eastAsia" w:ascii="宋体" w:hAnsi="宋体"/>
          <w:b/>
          <w:color w:val="auto"/>
          <w:sz w:val="30"/>
          <w:szCs w:val="30"/>
          <w:highlight w:val="none"/>
        </w:rPr>
        <w:t xml:space="preserve">月</w:t>
      </w:r>
      <w:r/>
    </w:p>
    <w:p>
      <w:pPr>
        <w:pStyle w:val="1086"/>
        <w:shd w:val="clear" w:color="auto"/>
        <w:rPr>
          <w:color w:val="auto"/>
          <w:highlight w:val="none"/>
        </w:rPr>
      </w:pPr>
      <w:r>
        <w:rPr>
          <w:color w:val="auto"/>
          <w:highlight w:val="none"/>
        </w:rPr>
        <w:br w:type="page" w:clear="all"/>
      </w:r>
      <w:r>
        <w:rPr>
          <w:rFonts w:hint="eastAsia"/>
          <w:color w:val="auto"/>
          <w:highlight w:val="none"/>
        </w:rPr>
        <w:t xml:space="preserve">第一章 </w:t>
      </w:r>
      <w:r>
        <w:rPr>
          <w:color w:val="auto"/>
          <w:highlight w:val="none"/>
        </w:rPr>
        <w:t xml:space="preserve"> </w:t>
      </w:r>
      <w:r>
        <w:rPr>
          <w:rFonts w:hint="eastAsia"/>
          <w:color w:val="auto"/>
          <w:highlight w:val="none"/>
        </w:rPr>
        <w:t xml:space="preserve">竞争性磋商采购公告</w:t>
      </w:r>
      <w:r/>
    </w:p>
    <w:tbl>
      <w:tblPr>
        <w:tblStyle w:val="828"/>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0"/>
      </w:tblGrid>
      <w:tr>
        <w:trPr/>
        <w:tc>
          <w:tcPr>
            <w:tcW w:w="10080" w:type="dxa"/>
            <w:textDirection w:val="lrTb"/>
            <w:noWrap w:val="false"/>
          </w:tcPr>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项目概况： </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畅苑新村四区负一层地库维修工程</w:t>
            </w:r>
            <w:r>
              <w:rPr>
                <w:rFonts w:hint="eastAsia" w:ascii="宋体" w:hAnsi="宋体" w:cs="宋体"/>
                <w:color w:val="auto"/>
                <w:szCs w:val="21"/>
                <w:highlight w:val="none"/>
              </w:rPr>
              <w:t xml:space="preserve">采购项目的潜在供应商应在</w:t>
            </w:r>
            <w:r>
              <w:rPr>
                <w:rFonts w:hint="eastAsia" w:ascii="宋体" w:hAnsi="宋体" w:cs="宋体"/>
                <w:color w:val="auto"/>
                <w:szCs w:val="21"/>
                <w:highlight w:val="none"/>
                <w:u w:val="single"/>
              </w:rPr>
              <w:t xml:space="preserve">江苏省政府采购一体化平台“苏采云”系统</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lang w:eastAsia="zh-CN"/>
              </w:rPr>
              <w:t xml:space="preserve">月</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lang w:eastAsia="zh-CN"/>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0</w:t>
            </w:r>
            <w:r>
              <w:rPr>
                <w:rFonts w:hint="eastAsia" w:ascii="宋体" w:hAnsi="宋体" w:cs="宋体"/>
                <w:color w:val="auto"/>
                <w:szCs w:val="21"/>
                <w:highlight w:val="none"/>
                <w:u w:val="single"/>
              </w:rPr>
              <w:t xml:space="preserve">0分（</w:t>
            </w:r>
            <w:r>
              <w:rPr>
                <w:rFonts w:hint="eastAsia" w:ascii="宋体" w:hAnsi="宋体" w:cs="宋体"/>
                <w:color w:val="auto"/>
                <w:szCs w:val="21"/>
                <w:highlight w:val="none"/>
              </w:rPr>
              <w:t xml:space="preserve">北京时间）前提交响应文件。 </w:t>
            </w:r>
            <w:r/>
          </w:p>
        </w:tc>
      </w:tr>
    </w:tbl>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一、项目基本情况 </w:t>
      </w:r>
      <w:r/>
    </w:p>
    <w:p>
      <w:pPr>
        <w:numPr>
          <w:ilvl w:val="0"/>
          <w:numId w:val="4"/>
        </w:numPr>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JSZC-320591-SZYX-C2026-0024</w:t>
      </w:r>
      <w:r/>
    </w:p>
    <w:p>
      <w:pPr>
        <w:numPr>
          <w:ilvl w:val="0"/>
          <w:numId w:val="4"/>
        </w:numPr>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畅苑新村四区负一层地库维修工程</w:t>
      </w:r>
      <w:r/>
    </w:p>
    <w:p>
      <w:pPr>
        <w:numPr>
          <w:ilvl w:val="0"/>
          <w:numId w:val="4"/>
        </w:numPr>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numPr>
          <w:ilvl w:val="0"/>
          <w:numId w:val="4"/>
        </w:numPr>
        <w:spacing w:line="400" w:lineRule="exact"/>
        <w:shd w:val="clear" w:color="auto"/>
        <w:widowControl/>
        <w:rPr>
          <w:rFonts w:ascii="宋体" w:hAnsi="宋体" w:cs="宋体"/>
          <w:color w:val="auto"/>
          <w:szCs w:val="21"/>
          <w:highlight w:val="none"/>
        </w:rPr>
      </w:pPr>
      <w:r/>
      <w:bookmarkStart w:id="0" w:name="OLE_LINK4"/>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eastAsia="zh-CN"/>
        </w:rPr>
        <w:t xml:space="preserve">人民币</w:t>
      </w:r>
      <w:r>
        <w:rPr>
          <w:rFonts w:hint="eastAsia" w:ascii="宋体" w:hAnsi="宋体" w:cs="宋体"/>
          <w:color w:val="auto"/>
          <w:szCs w:val="21"/>
          <w:highlight w:val="none"/>
          <w:lang w:val="en-US" w:eastAsia="zh-CN"/>
        </w:rPr>
        <w:t xml:space="preserve">贰佰零贰万叁仟叁佰元整</w:t>
      </w:r>
      <w:r>
        <w:rPr>
          <w:rFonts w:hint="eastAsia" w:ascii="宋体" w:hAnsi="宋体" w:cs="宋体"/>
          <w:color w:val="auto"/>
          <w:szCs w:val="21"/>
          <w:highlight w:val="none"/>
          <w:lang w:eastAsia="zh-CN"/>
        </w:rPr>
        <w:t xml:space="preserve">（￥202</w:t>
      </w:r>
      <w:r>
        <w:rPr>
          <w:rFonts w:hint="eastAsia" w:ascii="宋体" w:hAnsi="宋体" w:cs="宋体"/>
          <w:color w:val="auto"/>
          <w:szCs w:val="21"/>
          <w:highlight w:val="none"/>
          <w:lang w:val="en-US" w:eastAsia="zh-CN"/>
        </w:rPr>
        <w:t xml:space="preserve">3300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lang w:eastAsia="zh-CN"/>
        </w:rPr>
        <w:t xml:space="preserve">）</w:t>
      </w:r>
      <w:bookmarkEnd w:id="0"/>
      <w:r/>
      <w:r/>
    </w:p>
    <w:p>
      <w:pPr>
        <w:numPr>
          <w:ilvl w:val="0"/>
          <w:numId w:val="4"/>
        </w:numPr>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人民币贰佰零贰万叁仟贰佰柒拾壹元贰角肆分（￥2023271.24）</w:t>
      </w:r>
      <w:r/>
    </w:p>
    <w:p>
      <w:pPr>
        <w:numPr>
          <w:ilvl w:val="0"/>
          <w:numId w:val="4"/>
        </w:numPr>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采购需求：</w:t>
      </w:r>
      <w:r/>
    </w:p>
    <w:p>
      <w:pPr>
        <w:ind w:firstLine="420"/>
        <w:spacing w:line="400" w:lineRule="exact"/>
        <w:shd w:val="clear" w:color="auto"/>
        <w:widowControl/>
        <w:rPr>
          <w:rFonts w:ascii="宋体" w:hAnsi="宋体" w:cs="宋体"/>
          <w:color w:val="auto"/>
          <w:szCs w:val="21"/>
          <w:highlight w:val="none"/>
        </w:rPr>
      </w:pPr>
      <w:r/>
      <w:bookmarkStart w:id="1" w:name="OLE_LINK22"/>
      <w:r/>
      <w:bookmarkStart w:id="2" w:name="OLE_LINK1"/>
      <w:r>
        <w:rPr>
          <w:rFonts w:hint="eastAsia" w:ascii="宋体" w:hAnsi="宋体" w:cs="宋体"/>
          <w:color w:val="auto"/>
          <w:szCs w:val="21"/>
          <w:highlight w:val="none"/>
        </w:rPr>
        <w:t xml:space="preserve">1.工程概况：</w:t>
      </w:r>
      <w:bookmarkStart w:id="3" w:name="OLE_LINK3"/>
      <w:r>
        <w:rPr>
          <w:rFonts w:hint="eastAsia" w:ascii="宋体" w:hAnsi="宋体" w:cs="宋体"/>
          <w:color w:val="auto"/>
          <w:szCs w:val="21"/>
          <w:highlight w:val="none"/>
          <w:lang w:val="en-US" w:eastAsia="zh-CN"/>
        </w:rPr>
        <w:t xml:space="preserve">本项目为</w:t>
      </w:r>
      <w:r>
        <w:rPr>
          <w:rFonts w:hint="eastAsia" w:ascii="宋体" w:hAnsi="宋体" w:cs="宋体"/>
          <w:color w:val="auto"/>
          <w:szCs w:val="21"/>
          <w:highlight w:val="none"/>
          <w:lang w:eastAsia="zh-CN"/>
        </w:rPr>
        <w:t xml:space="preserve">畅苑新村四区负一层地库维修工程，</w:t>
      </w:r>
      <w:r>
        <w:rPr>
          <w:rFonts w:hint="eastAsia" w:ascii="宋体" w:hAnsi="宋体" w:cs="宋体"/>
          <w:color w:val="auto"/>
          <w:szCs w:val="21"/>
          <w:highlight w:val="none"/>
          <w:lang w:val="en-US" w:eastAsia="zh-CN"/>
        </w:rPr>
        <w:t xml:space="preserve">具体详见工程量清单</w:t>
      </w:r>
      <w:r>
        <w:rPr>
          <w:rFonts w:hint="eastAsia" w:ascii="宋体" w:hAnsi="宋体" w:cs="宋体"/>
          <w:color w:val="auto"/>
          <w:szCs w:val="21"/>
          <w:highlight w:val="none"/>
        </w:rPr>
        <w:t xml:space="preserve">。</w:t>
      </w:r>
      <w:bookmarkEnd w:id="3"/>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2.项目地点：</w:t>
      </w:r>
      <w:r>
        <w:rPr>
          <w:rFonts w:hint="eastAsia" w:ascii="宋体" w:hAnsi="宋体" w:cs="宋体"/>
          <w:color w:val="auto"/>
          <w:szCs w:val="21"/>
          <w:highlight w:val="none"/>
          <w:lang w:val="en-US" w:eastAsia="zh-CN"/>
        </w:rPr>
        <w:t xml:space="preserve">苏州工业园区唯亭街道</w:t>
      </w:r>
      <w:r>
        <w:rPr>
          <w:rFonts w:hint="eastAsia" w:ascii="宋体" w:hAnsi="宋体" w:cs="宋体"/>
          <w:color w:val="auto"/>
          <w:szCs w:val="21"/>
          <w:highlight w:val="none"/>
        </w:rPr>
        <w:t xml:space="preserve">。</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3.项目承包方式：包工包料。</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4.施工要求：</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4.1按要求组织改造施工；</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4.2成交单位应组织成立施工项目组；</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4.3施工质量应符合现行国家技术、施工及验收规范规程，如有对施工工艺的特殊要求，按图纸及国家有关规定执行；</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4.4工程质量要求：合格。</w:t>
      </w:r>
      <w:bookmarkEnd w:id="1"/>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合同履行期限：</w:t>
      </w:r>
      <w:bookmarkStart w:id="4" w:name="OLE_LINK15"/>
      <w:r/>
      <w:bookmarkStart w:id="5" w:name="OLE_LINK24"/>
      <w:r>
        <w:rPr>
          <w:rFonts w:hint="eastAsia" w:ascii="宋体" w:hAnsi="宋体" w:cs="宋体"/>
          <w:color w:val="auto"/>
          <w:szCs w:val="21"/>
          <w:highlight w:val="none"/>
          <w:lang w:eastAsia="zh-CN"/>
        </w:rPr>
        <w:t xml:space="preserve">施工总工期90日历天</w:t>
      </w:r>
      <w:r>
        <w:rPr>
          <w:rFonts w:hint="eastAsia" w:ascii="宋体" w:hAnsi="宋体" w:cs="宋体"/>
          <w:color w:val="auto"/>
          <w:szCs w:val="21"/>
          <w:highlight w:val="none"/>
        </w:rPr>
        <w:t xml:space="preserve">（具体开工时间以采购单位通知为准）</w:t>
      </w:r>
      <w:bookmarkEnd w:id="4"/>
      <w:r>
        <w:rPr>
          <w:rFonts w:hint="eastAsia" w:ascii="宋体" w:hAnsi="宋体" w:cs="宋体"/>
          <w:color w:val="auto"/>
          <w:szCs w:val="21"/>
          <w:highlight w:val="none"/>
        </w:rPr>
        <w:t xml:space="preserve">。</w:t>
      </w:r>
      <w:bookmarkEnd w:id="5"/>
      <w:r>
        <w:rPr>
          <w:rFonts w:hint="eastAsia" w:ascii="宋体" w:hAnsi="宋体" w:cs="宋体"/>
          <w:color w:val="auto"/>
          <w:szCs w:val="21"/>
          <w:highlight w:val="none"/>
        </w:rPr>
        <w:t xml:space="preserve"> </w:t>
      </w:r>
      <w:bookmarkEnd w:id="2"/>
      <w:r/>
      <w:r/>
    </w:p>
    <w:p>
      <w:pPr>
        <w:numPr>
          <w:ilvl w:val="0"/>
          <w:numId w:val="4"/>
        </w:numPr>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本项目不接受联合体投标。</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二、申请人的资格要求</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 </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(5)参加政府采购活动前三年内，在经营活动中没有出现重大违法记录；</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w:t>
      </w:r>
      <w:bookmarkStart w:id="6" w:name="OLE_LINK10"/>
      <w:r>
        <w:rPr>
          <w:rFonts w:hint="eastAsia" w:ascii="宋体" w:hAnsi="宋体" w:cs="宋体"/>
          <w:color w:val="auto"/>
          <w:szCs w:val="21"/>
          <w:highlight w:val="none"/>
        </w:rPr>
        <w:t xml:space="preserve">本项目专门面向中小微企业采购，本项目为建筑业。供应商须提供中小企业声明函或残疾人福利性单位声明函或省级以上监狱管理局、戒毒管理局（含新疆生产建设兵团）出具的属于监狱企业的证明文件。</w:t>
      </w:r>
      <w:bookmarkEnd w:id="6"/>
      <w:r>
        <w:rPr>
          <w:rFonts w:hint="eastAsia" w:ascii="宋体" w:hAnsi="宋体" w:cs="宋体"/>
          <w:color w:val="auto"/>
          <w:szCs w:val="21"/>
          <w:highlight w:val="none"/>
        </w:rPr>
        <w:t xml:space="preserve"> </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w:t>
      </w:r>
      <w:bookmarkStart w:id="7" w:name="OLE_LINK16"/>
      <w:r/>
      <w:bookmarkStart w:id="8" w:name="OLE_LINK2"/>
      <w:r>
        <w:rPr>
          <w:rFonts w:hint="eastAsia" w:ascii="宋体" w:hAnsi="宋体" w:cs="宋体"/>
          <w:color w:val="auto"/>
          <w:szCs w:val="21"/>
          <w:highlight w:val="none"/>
        </w:rPr>
        <w:t xml:space="preserve">具有有效期内的建筑工程施工总承包三级（含）以上资质</w:t>
      </w:r>
      <w:bookmarkEnd w:id="7"/>
      <w:r>
        <w:rPr>
          <w:rFonts w:hint="eastAsia" w:ascii="宋体" w:hAnsi="宋体" w:cs="宋体"/>
          <w:color w:val="auto"/>
          <w:szCs w:val="21"/>
          <w:highlight w:val="none"/>
        </w:rPr>
        <w:t xml:space="preserve">。</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bookmarkStart w:id="9" w:name="OLE_LINK18"/>
      <w:r>
        <w:rPr>
          <w:rFonts w:hint="eastAsia" w:ascii="宋体" w:hAnsi="宋体" w:cs="宋体"/>
          <w:color w:val="auto"/>
          <w:szCs w:val="21"/>
          <w:highlight w:val="none"/>
        </w:rPr>
        <w:t xml:space="preserve">具有有效期内的安全生产许可证。</w:t>
      </w:r>
      <w:bookmarkEnd w:id="9"/>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(3)</w:t>
      </w:r>
      <w:bookmarkStart w:id="10" w:name="OLE_LINK19"/>
      <w:r>
        <w:rPr>
          <w:rFonts w:hint="eastAsia" w:ascii="宋体" w:hAnsi="宋体" w:cs="宋体"/>
          <w:color w:val="auto"/>
          <w:szCs w:val="21"/>
          <w:highlight w:val="none"/>
        </w:rPr>
        <w:t xml:space="preserve">拟选派项目经理具备</w:t>
      </w:r>
      <w:r>
        <w:rPr>
          <w:rFonts w:hint="eastAsia" w:ascii="宋体" w:hAnsi="宋体" w:cs="宋体"/>
          <w:color w:val="auto"/>
          <w:szCs w:val="21"/>
          <w:highlight w:val="none"/>
          <w:lang w:bidi="ar"/>
        </w:rPr>
        <w:t xml:space="preserve">建筑工程专业二级或以上建造师注册证书</w:t>
      </w:r>
      <w:r>
        <w:rPr>
          <w:rFonts w:hint="eastAsia" w:ascii="宋体" w:hAnsi="宋体" w:cs="宋体"/>
          <w:color w:val="auto"/>
          <w:szCs w:val="21"/>
          <w:highlight w:val="none"/>
        </w:rPr>
        <w:t xml:space="preserve">并具备项目经理安全生产考核合格证（B类）证书，</w:t>
      </w:r>
      <w:r>
        <w:rPr>
          <w:rFonts w:hint="eastAsia" w:ascii="宋体" w:hAnsi="宋体"/>
          <w:bCs/>
          <w:color w:val="auto"/>
          <w:szCs w:val="21"/>
          <w:highlight w:val="none"/>
        </w:rPr>
        <w:t xml:space="preserve">且项目负责人除满足资格条件外还必须满足以下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相关手续。</w:t>
      </w:r>
      <w:bookmarkEnd w:id="8"/>
      <w:r/>
      <w:bookmarkEnd w:id="10"/>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(4)</w:t>
      </w:r>
      <w:bookmarkStart w:id="11" w:name="OLE_LINK20"/>
      <w:r>
        <w:rPr>
          <w:rFonts w:hint="eastAsia" w:ascii="宋体" w:hAnsi="宋体" w:cs="宋体"/>
          <w:color w:val="auto"/>
          <w:szCs w:val="21"/>
          <w:highlight w:val="none"/>
        </w:rPr>
        <w:t xml:space="preserve">未被列入失信被执行人、重大税收违法案件当事人名单、政府采购严重失信行为记录名单。单位负责人为同一人或者存在直接控股、管理关系的不同供应商，不得参加同一合同项下的政府采购活动。</w:t>
      </w:r>
      <w:bookmarkEnd w:id="11"/>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三、获取采购文件</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1.获取时间：采购公告发布之日起五个工作日</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2.地点：江苏省政府采购一体化平台“苏采云”系统自行下载</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3.方式：登录江苏省政府采购一体化平台“苏采云”系统，确认参与项目后自行下载</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四、响应文件提交</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截止时间：2026年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地点：“苏采云”系统。响应文件网上递交，无需至现场参加采购活动。</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五、开启</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时间：2026年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专家评审地点：苏州工业园区苏州大道东136号星塘大厦3楼北苏州工业园区公共资源交易中心</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六、公告期限：自本公告发布之日起3个工作日。</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七、其他相关事宜：</w:t>
      </w:r>
      <w:r/>
    </w:p>
    <w:p>
      <w:pPr>
        <w:ind w:firstLine="420"/>
        <w:spacing w:line="400" w:lineRule="exact"/>
        <w:shd w:val="clear" w:color="auto"/>
        <w:widowControl/>
        <w:rPr>
          <w:rFonts w:ascii="宋体" w:hAnsi="宋体" w:cs="宋体"/>
          <w:color w:val="auto"/>
          <w:szCs w:val="21"/>
          <w:highlight w:val="none"/>
        </w:rPr>
      </w:pPr>
      <w:r/>
      <w:bookmarkStart w:id="12" w:name="OLE_LINK25"/>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本次采购的有关信息将在江苏政府采购网、苏州市政府采购网上发布，敬请留意；有关该采购项目的澄清、修改及成交等信息亦在以上网站发布，敬请留意。</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CA证书办理</w:t>
      </w:r>
      <w:r/>
    </w:p>
    <w:p>
      <w:pPr>
        <w:ind w:firstLine="420"/>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供应商通过江苏省政府采购一体化平台“苏采云”系统（以下简称“苏采云”系统，网址：h</w:t>
      </w:r>
      <w:r>
        <w:rPr>
          <w:rFonts w:hint="eastAsia" w:ascii="宋体" w:hAnsi="宋体" w:cs="宋体"/>
          <w:color w:val="auto"/>
          <w:szCs w:val="21"/>
          <w:highlight w:val="none"/>
        </w:rPr>
        <w:t xml:space="preserve">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w:t>
      </w:r>
      <w:r>
        <w:rPr>
          <w:rFonts w:hint="eastAsia" w:ascii="宋体" w:hAnsi="宋体" w:cs="宋体"/>
          <w:color w:val="auto"/>
          <w:szCs w:val="21"/>
          <w:highlight w:val="none"/>
          <w:lang w:val="en-US" w:eastAsia="zh-CN"/>
        </w:rPr>
        <w:t xml:space="preserve">5737699</w:t>
      </w:r>
      <w:r>
        <w:rPr>
          <w:rFonts w:hint="eastAsia" w:ascii="宋体" w:hAnsi="宋体" w:cs="宋体"/>
          <w:color w:val="auto"/>
          <w:szCs w:val="21"/>
          <w:highlight w:val="none"/>
        </w:rPr>
        <w:t xml:space="preserve">。</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本项目获取采购文件截止日期之后仍可以下载采购文件，但截止日期之后下载的采购文件，视为非有效方式且不作为供应商权益受到损害的证明材料和依据。</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如不同投标（响应）文件制作机器码一致，则投标（响应）无效。</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制作电子投标（响应）文件：</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本项目采用电子</w:t>
      </w:r>
      <w:r>
        <w:rPr>
          <w:rFonts w:hint="eastAsia" w:ascii="宋体" w:hAnsi="宋体" w:cs="宋体"/>
          <w:color w:val="auto"/>
          <w:szCs w:val="21"/>
          <w:highlight w:val="none"/>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技术支持：</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CA技术咨询服务电话：400-608-6099</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电子签章技术咨询服务电话：15380932027、15371015030 、13675197356、13675197221</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“苏采云”平台技术咨询电话：0512-69820854、0519-86722802、13914088964、18261002950</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本项目支持政府采购合同信用融资。</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苏州工业园区政府采购监督电话：0512-6</w:t>
      </w:r>
      <w:r>
        <w:rPr>
          <w:rFonts w:hint="eastAsia" w:ascii="宋体" w:hAnsi="宋体" w:cs="宋体"/>
          <w:color w:val="auto"/>
          <w:szCs w:val="21"/>
          <w:highlight w:val="none"/>
          <w:lang w:val="en-US" w:eastAsia="zh-CN"/>
        </w:rPr>
        <w:t xml:space="preserve">9996857</w:t>
      </w:r>
      <w:r>
        <w:rPr>
          <w:rFonts w:hint="eastAsia" w:ascii="宋体" w:hAnsi="宋体" w:cs="宋体"/>
          <w:szCs w:val="21"/>
          <w:highlight w:val="none"/>
        </w:rPr>
        <w:t xml:space="preserve">、0512-66681110</w:t>
      </w:r>
      <w:r>
        <w:rPr>
          <w:rFonts w:hint="eastAsia" w:ascii="宋体" w:hAnsi="宋体" w:cs="宋体"/>
          <w:color w:val="auto"/>
          <w:szCs w:val="21"/>
          <w:highlight w:val="none"/>
        </w:rPr>
        <w:t xml:space="preserve">。</w:t>
      </w:r>
      <w:bookmarkEnd w:id="12"/>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八、对本次采购提出询问，请按以下方式联系</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1.采购方信息</w:t>
      </w:r>
      <w:r/>
    </w:p>
    <w:p>
      <w:pPr>
        <w:ind w:firstLine="420"/>
        <w:spacing w:line="400" w:lineRule="exact"/>
        <w:shd w:val="clear" w:color="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名称：</w:t>
      </w:r>
      <w:r>
        <w:rPr>
          <w:rFonts w:hint="eastAsia" w:ascii="宋体" w:hAnsi="宋体" w:cs="宋体"/>
          <w:color w:val="auto"/>
          <w:szCs w:val="21"/>
          <w:highlight w:val="none"/>
          <w:lang w:eastAsia="zh-CN"/>
        </w:rPr>
        <w:t xml:space="preserve">苏州工业园区唯亭街道办事处</w:t>
      </w:r>
      <w:r/>
    </w:p>
    <w:p>
      <w:pPr>
        <w:ind w:firstLine="420"/>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地址：苏州工业园区唯亭街道展业路18号展业大厦A座</w:t>
      </w:r>
      <w:r/>
    </w:p>
    <w:p>
      <w:pPr>
        <w:ind w:firstLine="420"/>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rPr>
        <w:t xml:space="preserve">联系方式：0512-68639057</w:t>
      </w:r>
      <w:r/>
    </w:p>
    <w:p>
      <w:pPr>
        <w:ind w:firstLine="420"/>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联系人：范智剑</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名称：苏州市原鑫招投标咨询服务有限公司</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rPr>
        <w:t xml:space="preserve">苏州工业园区苏州大道西313号嘉实大厦东楼5楼</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联系方式：</w:t>
      </w:r>
      <w:bookmarkStart w:id="13" w:name="OLE_LINK9"/>
      <w:r>
        <w:rPr>
          <w:rFonts w:hint="eastAsia" w:ascii="宋体" w:hAnsi="宋体" w:cs="宋体"/>
          <w:color w:val="auto"/>
          <w:szCs w:val="21"/>
          <w:highlight w:val="none"/>
        </w:rPr>
        <w:t xml:space="preserve">0512-68364647、68361806*8002</w:t>
      </w:r>
      <w:bookmarkEnd w:id="13"/>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项目联系人：</w:t>
      </w:r>
      <w:bookmarkStart w:id="14" w:name="OLE_LINK8"/>
      <w:r>
        <w:rPr>
          <w:rFonts w:hint="eastAsia" w:ascii="宋体" w:hAnsi="宋体" w:cs="宋体"/>
          <w:color w:val="auto"/>
          <w:szCs w:val="21"/>
          <w:highlight w:val="none"/>
        </w:rPr>
        <w:t xml:space="preserve">金健、周详、祝晓忠、周悦婷</w:t>
      </w:r>
      <w:bookmarkEnd w:id="14"/>
      <w:r/>
      <w:r/>
    </w:p>
    <w:p>
      <w:pPr>
        <w:ind w:firstLine="420"/>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电话：0512-68364647、68361806*8002</w:t>
      </w:r>
      <w:r/>
    </w:p>
    <w:p>
      <w:pPr>
        <w:pStyle w:val="1086"/>
        <w:shd w:val="clear" w:color="auto"/>
        <w:rPr>
          <w:color w:val="auto"/>
          <w:highlight w:val="none"/>
        </w:rPr>
      </w:pPr>
      <w:r>
        <w:rPr>
          <w:color w:val="auto"/>
          <w:sz w:val="24"/>
          <w:highlight w:val="none"/>
        </w:rPr>
        <w:br w:type="page" w:clear="all"/>
      </w:r>
      <w:r>
        <w:rPr>
          <w:rFonts w:hint="eastAsia"/>
          <w:color w:val="auto"/>
          <w:highlight w:val="none"/>
        </w:rPr>
        <w:t xml:space="preserve">第二章 </w:t>
      </w:r>
      <w:r>
        <w:rPr>
          <w:color w:val="auto"/>
          <w:highlight w:val="none"/>
        </w:rPr>
        <w:t xml:space="preserve"> </w:t>
      </w:r>
      <w:r>
        <w:rPr>
          <w:rFonts w:hint="eastAsia"/>
          <w:color w:val="auto"/>
          <w:highlight w:val="none"/>
        </w:rPr>
        <w:t xml:space="preserve">采购文件</w:t>
      </w:r>
      <w:r/>
    </w:p>
    <w:p>
      <w:pPr>
        <w:ind w:firstLine="422"/>
        <w:jc w:val="left"/>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苏州市原鑫招投标咨询服务有限公司受</w:t>
      </w:r>
      <w:r>
        <w:rPr>
          <w:rFonts w:hint="eastAsia" w:ascii="宋体" w:hAnsi="宋体" w:cs="宋体"/>
          <w:color w:val="auto"/>
          <w:szCs w:val="21"/>
          <w:highlight w:val="none"/>
          <w:lang w:eastAsia="zh-CN"/>
        </w:rPr>
        <w:t xml:space="preserve">苏州工业园区唯亭街道办事处</w:t>
      </w:r>
      <w:r>
        <w:rPr>
          <w:rFonts w:hint="eastAsia" w:ascii="宋体" w:hAnsi="宋体" w:cs="宋体"/>
          <w:color w:val="auto"/>
          <w:szCs w:val="21"/>
          <w:highlight w:val="none"/>
        </w:rPr>
        <w:t xml:space="preserve">的委托，就其所需要采购的</w:t>
      </w:r>
      <w:r>
        <w:rPr>
          <w:rFonts w:hint="eastAsia" w:ascii="宋体" w:hAnsi="宋体" w:cs="宋体"/>
          <w:color w:val="auto"/>
          <w:szCs w:val="21"/>
          <w:highlight w:val="none"/>
          <w:lang w:eastAsia="zh-CN"/>
        </w:rPr>
        <w:t xml:space="preserve">畅苑新村四区负一层地库维修工程</w:t>
      </w:r>
      <w:r>
        <w:rPr>
          <w:rFonts w:hint="eastAsia" w:ascii="宋体" w:hAnsi="宋体" w:cs="宋体"/>
          <w:color w:val="auto"/>
          <w:szCs w:val="21"/>
          <w:highlight w:val="none"/>
        </w:rPr>
        <w:t xml:space="preserve">在国内组织竞争性磋商采购。欢迎符合采购文件资格条件的响应单位前来参加。</w:t>
      </w:r>
      <w:r/>
    </w:p>
    <w:p>
      <w:pPr>
        <w:numPr>
          <w:ilvl w:val="0"/>
          <w:numId w:val="5"/>
        </w:numPr>
        <w:spacing w:line="400" w:lineRule="exact"/>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采购编号：</w:t>
      </w:r>
      <w:r>
        <w:rPr>
          <w:rFonts w:hint="eastAsia" w:ascii="宋体" w:hAnsi="宋体" w:cs="宋体"/>
          <w:color w:val="auto"/>
          <w:szCs w:val="21"/>
          <w:highlight w:val="none"/>
          <w:lang w:eastAsia="zh-CN"/>
        </w:rPr>
        <w:t xml:space="preserve">JSZC-320591-SZYX-C2026-0024</w:t>
      </w:r>
      <w:r/>
    </w:p>
    <w:p>
      <w:pPr>
        <w:numPr>
          <w:ilvl w:val="0"/>
          <w:numId w:val="5"/>
        </w:numPr>
        <w:spacing w:line="400" w:lineRule="exact"/>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采购名称：</w:t>
      </w:r>
      <w:r>
        <w:rPr>
          <w:rFonts w:hint="eastAsia" w:ascii="宋体" w:hAnsi="宋体" w:cs="宋体"/>
          <w:color w:val="auto"/>
          <w:szCs w:val="21"/>
          <w:highlight w:val="none"/>
          <w:lang w:eastAsia="zh-CN"/>
        </w:rPr>
        <w:t xml:space="preserve">畅苑新村四区负一层地库维修工程</w:t>
      </w:r>
      <w:r/>
    </w:p>
    <w:p>
      <w:pPr>
        <w:numPr>
          <w:ilvl w:val="0"/>
          <w:numId w:val="5"/>
        </w:numPr>
        <w:spacing w:line="400" w:lineRule="exact"/>
        <w:shd w:val="clear" w:color="auto"/>
        <w:rPr>
          <w:rFonts w:ascii="宋体" w:hAnsi="宋体" w:cs="宋体"/>
          <w:b/>
          <w:bCs/>
          <w:color w:val="auto"/>
          <w:szCs w:val="22"/>
          <w:highlight w:val="none"/>
        </w:rPr>
      </w:pPr>
      <w:r>
        <w:rPr>
          <w:rFonts w:hint="eastAsia" w:ascii="宋体" w:hAnsi="宋体" w:cs="宋体"/>
          <w:b/>
          <w:bCs/>
          <w:color w:val="auto"/>
          <w:szCs w:val="22"/>
          <w:highlight w:val="none"/>
        </w:rPr>
        <w:t xml:space="preserve">采购需求：</w:t>
      </w:r>
      <w:r/>
    </w:p>
    <w:p>
      <w:pPr>
        <w:pStyle w:val="1078"/>
        <w:numPr>
          <w:ilvl w:val="0"/>
          <w:numId w:val="6"/>
        </w:numPr>
        <w:spacing w:line="400" w:lineRule="exact"/>
        <w:shd w:val="clear" w:color="auto"/>
        <w:tabs>
          <w:tab w:val="left" w:pos="0" w:leader="none"/>
        </w:tabs>
        <w:rPr>
          <w:rFonts w:hAnsi="宋体" w:eastAsia="宋体" w:cs="宋体"/>
          <w:color w:val="auto"/>
          <w:szCs w:val="21"/>
          <w:highlight w:val="none"/>
        </w:rPr>
      </w:pPr>
      <w:r>
        <w:rPr>
          <w:rFonts w:hint="eastAsia" w:hAnsi="宋体" w:eastAsia="宋体" w:cs="宋体"/>
          <w:color w:val="auto"/>
          <w:szCs w:val="21"/>
          <w:highlight w:val="none"/>
        </w:rPr>
        <w:t xml:space="preserve">项目概况</w:t>
      </w:r>
      <w:r/>
    </w:p>
    <w:p>
      <w:pPr>
        <w:pStyle w:val="1078"/>
        <w:ind w:firstLine="567"/>
        <w:keepLines w:val="0"/>
        <w:keepNext w:val="0"/>
        <w:pageBreakBefore w:val="0"/>
        <w:spacing w:line="400" w:lineRule="exact"/>
        <w:shd w:val="clear" w:color="auto"/>
        <w:widowControl/>
        <w:rPr>
          <w:rFonts w:hAnsi="宋体" w:eastAsia="宋体" w:cs="宋体"/>
          <w:color w:val="auto"/>
          <w:szCs w:val="21"/>
          <w:highlight w:val="none"/>
        </w:rPr>
        <w:outlineLvl w:val="9"/>
      </w:pPr>
      <w:r>
        <w:rPr>
          <w:rFonts w:hint="eastAsia" w:hAnsi="宋体" w:eastAsia="宋体" w:cs="宋体"/>
          <w:color w:val="auto"/>
          <w:szCs w:val="21"/>
          <w:highlight w:val="none"/>
          <w:lang w:val="en-US" w:eastAsia="zh-CN"/>
        </w:rPr>
        <w:t xml:space="preserve">本项目为</w:t>
      </w:r>
      <w:r>
        <w:rPr>
          <w:rFonts w:hint="eastAsia" w:hAnsi="宋体" w:eastAsia="宋体" w:cs="宋体"/>
          <w:color w:val="auto"/>
          <w:szCs w:val="21"/>
          <w:highlight w:val="none"/>
          <w:lang w:eastAsia="zh-CN"/>
        </w:rPr>
        <w:t xml:space="preserve">畅苑新村四区负一层地库维修工程</w:t>
      </w:r>
      <w:r>
        <w:rPr>
          <w:rFonts w:hint="eastAsia" w:hAnsi="宋体" w:eastAsia="宋体" w:cs="宋体"/>
          <w:color w:val="auto"/>
          <w:szCs w:val="21"/>
          <w:highlight w:val="none"/>
        </w:rPr>
        <w:t xml:space="preserve">。具体详见工程量清单。</w:t>
      </w:r>
      <w:r/>
    </w:p>
    <w:p>
      <w:pPr>
        <w:pStyle w:val="1078"/>
        <w:numPr>
          <w:ilvl w:val="0"/>
          <w:numId w:val="6"/>
        </w:numPr>
        <w:spacing w:line="400" w:lineRule="exact"/>
        <w:shd w:val="clear" w:color="auto"/>
        <w:tabs>
          <w:tab w:val="left" w:pos="0" w:leader="none"/>
        </w:tabs>
        <w:rPr>
          <w:rFonts w:hAnsi="宋体" w:eastAsia="宋体" w:cs="宋体"/>
          <w:color w:val="auto"/>
          <w:szCs w:val="21"/>
          <w:highlight w:val="none"/>
        </w:rPr>
      </w:pPr>
      <w:r>
        <w:rPr>
          <w:rFonts w:hint="eastAsia" w:hAnsi="宋体" w:eastAsia="宋体" w:cs="宋体"/>
          <w:color w:val="auto"/>
          <w:szCs w:val="21"/>
          <w:highlight w:val="none"/>
        </w:rPr>
        <w:t xml:space="preserve">项目内容</w:t>
      </w:r>
      <w:r/>
    </w:p>
    <w:tbl>
      <w:tblPr>
        <w:tblStyle w:val="828"/>
        <w:tblW w:w="9719"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7"/>
        <w:gridCol w:w="1758"/>
        <w:gridCol w:w="7014"/>
      </w:tblGrid>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说明与要求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工程名称</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畅苑新村四区负一层地库维修工程</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建设地点</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shd w:val="clear" w:color="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苏州工业园区唯亭街道</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施工工期</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shd w:val="clear" w:color="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90日历天</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承包方式</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shd w:val="clear" w:color="auto"/>
              <w:rPr>
                <w:rFonts w:ascii="宋体" w:hAnsi="宋体" w:cs="宋体"/>
                <w:color w:val="auto"/>
                <w:szCs w:val="21"/>
                <w:highlight w:val="none"/>
              </w:rPr>
            </w:pPr>
            <w:r>
              <w:rPr>
                <w:rFonts w:hint="eastAsia" w:ascii="宋体" w:hAnsi="宋体" w:cs="宋体"/>
                <w:color w:val="auto"/>
                <w:szCs w:val="21"/>
                <w:highlight w:val="none"/>
              </w:rPr>
              <w:t xml:space="preserve">包工包料</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质量要求</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shd w:val="clear" w:color="auto"/>
              <w:rPr>
                <w:rFonts w:ascii="宋体" w:hAnsi="宋体" w:cs="宋体"/>
                <w:color w:val="auto"/>
                <w:szCs w:val="21"/>
                <w:highlight w:val="none"/>
              </w:rPr>
            </w:pPr>
            <w:r>
              <w:rPr>
                <w:rFonts w:hint="eastAsia" w:ascii="宋体" w:hAnsi="宋体" w:cs="宋体"/>
                <w:color w:val="auto"/>
                <w:szCs w:val="21"/>
                <w:highlight w:val="none"/>
              </w:rPr>
              <w:t xml:space="preserve">合格</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资金来源</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shd w:val="clear" w:color="auto"/>
              <w:rPr>
                <w:rFonts w:ascii="宋体" w:hAnsi="宋体" w:cs="宋体"/>
                <w:color w:val="auto"/>
                <w:szCs w:val="21"/>
                <w:highlight w:val="none"/>
              </w:rPr>
            </w:pPr>
            <w:r>
              <w:rPr>
                <w:rFonts w:hint="eastAsia" w:ascii="宋体" w:hAnsi="宋体" w:cs="宋体"/>
                <w:color w:val="auto"/>
                <w:szCs w:val="21"/>
                <w:highlight w:val="none"/>
              </w:rPr>
              <w:t xml:space="preserve">财政资金</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报价方式</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shd w:val="clear" w:color="auto"/>
              <w:widowControl/>
              <w:tabs>
                <w:tab w:val="left" w:pos="1200" w:leader="none"/>
              </w:tabs>
              <w:rPr>
                <w:rFonts w:ascii="宋体" w:hAnsi="宋体" w:cs="宋体"/>
                <w:color w:val="auto"/>
                <w:szCs w:val="21"/>
                <w:highlight w:val="none"/>
              </w:rPr>
            </w:pPr>
            <w:r>
              <w:rPr>
                <w:rFonts w:hint="eastAsia" w:ascii="宋体" w:hAnsi="宋体" w:cs="宋体"/>
                <w:color w:val="auto"/>
                <w:szCs w:val="21"/>
                <w:highlight w:val="none"/>
              </w:rPr>
              <w:t xml:space="preserve">固定综合单价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勘察现场</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shd w:val="clear" w:color="auto"/>
              <w:rPr>
                <w:rFonts w:ascii="宋体" w:hAnsi="宋体" w:cs="宋体"/>
                <w:color w:val="auto"/>
                <w:szCs w:val="21"/>
                <w:highlight w:val="none"/>
              </w:rPr>
            </w:pPr>
            <w:r>
              <w:rPr>
                <w:rFonts w:hint="eastAsia" w:ascii="宋体" w:hAnsi="宋体" w:cs="宋体"/>
                <w:color w:val="auto"/>
                <w:szCs w:val="21"/>
                <w:highlight w:val="none"/>
              </w:rPr>
              <w:t xml:space="preserve">由供应商自行勘察（因未勘察现场而导致的报价失误或对工程量清单理解产生歧义的后果自负）</w:t>
            </w:r>
            <w:r/>
          </w:p>
        </w:tc>
      </w:tr>
    </w:tbl>
    <w:p>
      <w:pPr>
        <w:numPr>
          <w:ilvl w:val="0"/>
          <w:numId w:val="7"/>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施工组织设计要求：施工组织设计包括总体概述、分部分项工程施工方案应科学合理；劳动力配备合理，人员组织到位，工作任务明确；机械设备投入符合项目要求，有详尽的计划；项目实施进度计划、时间，关键节点设置清晰准确；安全文明施工措施科学、合理、操作性强，施工质量保证措施科学、合理，给出应对措施验收条件清晰可行。</w:t>
      </w:r>
      <w:r/>
    </w:p>
    <w:p>
      <w:pPr>
        <w:numPr>
          <w:ilvl w:val="0"/>
          <w:numId w:val="7"/>
        </w:numPr>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rPr>
        <w:t xml:space="preserve">施工应符合现行国家技术、施工及验收规范（规程），对施工工艺的特殊要求，按国家有关规定执行。</w:t>
      </w:r>
      <w:r>
        <w:rPr>
          <w:rFonts w:hint="eastAsia" w:ascii="宋体" w:hAnsi="宋体" w:cs="宋体"/>
          <w:color w:val="auto"/>
          <w:szCs w:val="21"/>
          <w:highlight w:val="none"/>
          <w:lang w:val="zh-CN"/>
        </w:rPr>
        <w:t xml:space="preserve">所有安装施工材料质量及施工质量必须严格按照国家规范及江苏省、苏州市</w:t>
      </w:r>
      <w:r>
        <w:rPr>
          <w:rFonts w:hint="eastAsia" w:ascii="宋体" w:hAnsi="宋体" w:cs="宋体"/>
          <w:color w:val="auto"/>
          <w:szCs w:val="21"/>
          <w:highlight w:val="none"/>
        </w:rPr>
        <w:t xml:space="preserve">及</w:t>
      </w:r>
      <w:r>
        <w:rPr>
          <w:rFonts w:hint="eastAsia" w:ascii="宋体" w:hAnsi="宋体" w:cs="宋体"/>
          <w:color w:val="auto"/>
          <w:szCs w:val="21"/>
          <w:highlight w:val="none"/>
          <w:lang w:val="zh-CN"/>
        </w:rPr>
        <w:t xml:space="preserve">相应地方规范、采购文件要求、材料厂家的技术规范的有关要求执行。</w:t>
      </w:r>
      <w:r/>
    </w:p>
    <w:p>
      <w:pPr>
        <w:numPr>
          <w:ilvl w:val="0"/>
          <w:numId w:val="7"/>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供应商应组织成立施工项目组。施工项目组由具有一定技术水平、服务能力的人员组成，具有履约能力。</w:t>
      </w:r>
      <w:r/>
    </w:p>
    <w:p>
      <w:pPr>
        <w:pStyle w:val="1078"/>
        <w:numPr>
          <w:ilvl w:val="0"/>
          <w:numId w:val="6"/>
        </w:numPr>
        <w:spacing w:line="400" w:lineRule="exact"/>
        <w:shd w:val="clear" w:color="auto"/>
        <w:tabs>
          <w:tab w:val="left" w:pos="0" w:leader="none"/>
        </w:tabs>
        <w:rPr>
          <w:rFonts w:hAnsi="宋体" w:cs="宋体"/>
          <w:color w:val="auto"/>
          <w:szCs w:val="21"/>
          <w:highlight w:val="none"/>
        </w:rPr>
      </w:pPr>
      <w:r>
        <w:rPr>
          <w:rFonts w:hint="eastAsia" w:hAnsi="宋体" w:eastAsia="宋体" w:cs="宋体"/>
          <w:color w:val="auto"/>
          <w:szCs w:val="21"/>
          <w:highlight w:val="none"/>
        </w:rPr>
        <w:t xml:space="preserve">综合</w:t>
      </w:r>
      <w:r>
        <w:rPr>
          <w:rFonts w:hint="eastAsia" w:hAnsi="宋体" w:cs="宋体"/>
          <w:color w:val="auto"/>
          <w:szCs w:val="21"/>
          <w:highlight w:val="none"/>
        </w:rPr>
        <w:t xml:space="preserve">说明</w:t>
      </w:r>
      <w:r/>
    </w:p>
    <w:p>
      <w:pPr>
        <w:numPr>
          <w:ilvl w:val="0"/>
          <w:numId w:val="8"/>
        </w:numPr>
        <w:spacing w:line="400" w:lineRule="exact"/>
        <w:shd w:val="clear" w:color="auto"/>
        <w:rPr>
          <w:rFonts w:ascii="宋体" w:hAnsi="宋体"/>
          <w:bCs/>
          <w:color w:val="auto"/>
          <w:szCs w:val="21"/>
          <w:highlight w:val="none"/>
          <w:lang w:val="zh-CN"/>
        </w:rPr>
      </w:pPr>
      <w:r>
        <w:rPr>
          <w:rFonts w:hint="eastAsia" w:ascii="宋体" w:hAnsi="宋体" w:cs="宋体"/>
          <w:color w:val="auto"/>
          <w:szCs w:val="21"/>
          <w:highlight w:val="none"/>
          <w:lang w:val="zh-CN"/>
        </w:rPr>
        <w:t xml:space="preserve">报价</w:t>
      </w:r>
      <w:r>
        <w:rPr>
          <w:rFonts w:hint="eastAsia" w:ascii="宋体" w:hAnsi="宋体"/>
          <w:color w:val="auto"/>
          <w:szCs w:val="21"/>
          <w:highlight w:val="none"/>
          <w:lang w:val="zh-CN"/>
        </w:rPr>
        <w:t xml:space="preserve">方式要求：</w:t>
      </w:r>
      <w:r>
        <w:rPr>
          <w:rFonts w:hint="eastAsia" w:ascii="宋体" w:hAnsi="宋体"/>
          <w:bCs/>
          <w:color w:val="auto"/>
          <w:szCs w:val="21"/>
          <w:highlight w:val="none"/>
          <w:lang w:val="zh-CN"/>
        </w:rPr>
        <w:t xml:space="preserve">本工程项目采用固定综合单价报价方式。</w:t>
      </w:r>
      <w:r/>
    </w:p>
    <w:p>
      <w:pPr>
        <w:ind w:firstLine="567"/>
        <w:spacing w:line="400" w:lineRule="exact"/>
        <w:shd w:val="clear" w:color="auto"/>
        <w:rPr>
          <w:rFonts w:ascii="宋体" w:hAnsi="宋体" w:cs="宋体"/>
          <w:color w:val="auto"/>
          <w:szCs w:val="21"/>
          <w:highlight w:val="none"/>
        </w:rPr>
      </w:pPr>
      <w:r>
        <w:rPr>
          <w:rFonts w:hint="eastAsia" w:ascii="宋体" w:hAnsi="宋体"/>
          <w:color w:val="auto"/>
          <w:szCs w:val="21"/>
          <w:highlight w:val="none"/>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cs="宋体"/>
          <w:color w:val="auto"/>
          <w:szCs w:val="21"/>
          <w:highlight w:val="none"/>
        </w:rPr>
        <w:t xml:space="preserve">基本规定：</w:t>
      </w:r>
      <w:r/>
    </w:p>
    <w:p>
      <w:pPr>
        <w:ind w:firstLine="567"/>
        <w:spacing w:line="400" w:lineRule="exact"/>
        <w:shd w:val="clear" w:color="auto"/>
        <w:rPr>
          <w:rFonts w:ascii="宋体" w:hAnsi="宋体"/>
          <w:color w:val="auto"/>
          <w:szCs w:val="21"/>
          <w:highlight w:val="none"/>
          <w:lang w:val="zh-CN"/>
        </w:rPr>
      </w:pPr>
      <w:r>
        <w:rPr>
          <w:rFonts w:hint="eastAsia" w:ascii="宋体" w:hAnsi="宋体"/>
          <w:color w:val="auto"/>
          <w:szCs w:val="21"/>
          <w:highlight w:val="none"/>
          <w:lang w:val="zh-CN"/>
        </w:rPr>
        <w:t xml:space="preserve">（1）参加磋商供应商报价时，必须按统一的工程量清单报价，成交后，本工程中工程量清单项目的综合单价按</w:t>
      </w:r>
      <w:r>
        <w:rPr>
          <w:rFonts w:hint="eastAsia" w:ascii="宋体" w:hAnsi="宋体"/>
          <w:color w:val="auto"/>
          <w:szCs w:val="21"/>
          <w:highlight w:val="none"/>
        </w:rPr>
        <w:t xml:space="preserve">控制价</w:t>
      </w:r>
      <w:r>
        <w:rPr>
          <w:rFonts w:hint="eastAsia" w:ascii="宋体" w:hAnsi="宋体"/>
          <w:color w:val="auto"/>
          <w:szCs w:val="21"/>
          <w:highlight w:val="none"/>
          <w:lang w:val="zh-CN"/>
        </w:rPr>
        <w:t xml:space="preserve">的单价下浮之后的综合单价执行，最终价格以审计为准。【成交下浮率＝（</w:t>
      </w:r>
      <w:r>
        <w:rPr>
          <w:rFonts w:hint="eastAsia" w:ascii="宋体" w:hAnsi="宋体"/>
          <w:color w:val="auto"/>
          <w:szCs w:val="21"/>
          <w:highlight w:val="none"/>
        </w:rPr>
        <w:t xml:space="preserve">控制价</w:t>
      </w:r>
      <w:r>
        <w:rPr>
          <w:rFonts w:hint="eastAsia" w:ascii="宋体" w:hAnsi="宋体"/>
          <w:color w:val="auto"/>
          <w:szCs w:val="21"/>
          <w:highlight w:val="none"/>
          <w:lang w:val="zh-CN"/>
        </w:rPr>
        <w:t xml:space="preserve">-成交价）/[</w:t>
      </w:r>
      <w:r>
        <w:rPr>
          <w:rFonts w:hint="eastAsia" w:ascii="宋体" w:hAnsi="宋体"/>
          <w:color w:val="auto"/>
          <w:szCs w:val="21"/>
          <w:highlight w:val="none"/>
        </w:rPr>
        <w:t xml:space="preserve">控制价</w:t>
      </w:r>
      <w:r>
        <w:rPr>
          <w:rFonts w:hint="eastAsia" w:ascii="宋体" w:hAnsi="宋体"/>
          <w:color w:val="auto"/>
          <w:szCs w:val="21"/>
          <w:highlight w:val="none"/>
          <w:lang w:val="zh-CN"/>
        </w:rPr>
        <w:t xml:space="preserve">-暂列金额*（1+规费费率）*（1+税费费率）-专业暂估价*（1+规费费率）*（1+税费费率）-材料暂估价包括甲供材料费*（1+安全文明施工措施费率）*（1+规费费率）*（1+税费费率）]*100%】，上述调整后形成本项目报价单。最终价格以审计为准。</w:t>
      </w:r>
      <w:r/>
    </w:p>
    <w:p>
      <w:pPr>
        <w:ind w:firstLine="567"/>
        <w:spacing w:line="400" w:lineRule="exact"/>
        <w:shd w:val="clear" w:color="auto"/>
        <w:rPr>
          <w:rFonts w:ascii="宋体" w:hAnsi="宋体"/>
          <w:color w:val="auto"/>
          <w:szCs w:val="21"/>
          <w:highlight w:val="none"/>
        </w:rPr>
      </w:pPr>
      <w:r>
        <w:rPr>
          <w:rFonts w:hint="eastAsia" w:ascii="宋体" w:hAnsi="宋体"/>
          <w:color w:val="auto"/>
          <w:szCs w:val="21"/>
          <w:highlight w:val="none"/>
          <w:lang w:val="zh-CN"/>
        </w:rPr>
        <w:t xml:space="preserve">（2）本工程在磋商文件中已明确的</w:t>
      </w:r>
      <w:r>
        <w:rPr>
          <w:rFonts w:hint="eastAsia" w:ascii="宋体" w:hAnsi="宋体"/>
          <w:color w:val="auto"/>
          <w:szCs w:val="21"/>
          <w:highlight w:val="none"/>
        </w:rPr>
        <w:t xml:space="preserve">各项施工措施费，均包含在合同总价中。</w:t>
      </w:r>
      <w:r/>
    </w:p>
    <w:p>
      <w:pPr>
        <w:ind w:firstLine="567"/>
        <w:spacing w:line="400" w:lineRule="exact"/>
        <w:shd w:val="clear" w:color="auto"/>
        <w:rPr>
          <w:rFonts w:ascii="宋体" w:hAnsi="宋体"/>
          <w:bCs/>
          <w:color w:val="auto"/>
          <w:szCs w:val="21"/>
          <w:highlight w:val="none"/>
        </w:rPr>
      </w:pPr>
      <w:r>
        <w:rPr>
          <w:rFonts w:hint="eastAsia" w:ascii="宋体" w:hAnsi="宋体"/>
          <w:bCs/>
          <w:color w:val="auto"/>
          <w:szCs w:val="21"/>
          <w:highlight w:val="none"/>
        </w:rPr>
        <w:t xml:space="preserve">（3）报价时，不可竞争费用均按规定计算，不得让利或随意调整计算标准，否则报价无效。不可竞争费为：安全文明措施费、规费、税金、暂估价、暂列金额。规费、税金费率详见工程量清单。江苏省安全文明施工措施费应放在措施项目清单中（仅计取基本费、扬尘污染防治增加费，奖励费、考评费均不计）。</w:t>
      </w:r>
      <w:r/>
    </w:p>
    <w:p>
      <w:pPr>
        <w:ind w:firstLine="567"/>
        <w:spacing w:line="400" w:lineRule="exact"/>
        <w:shd w:val="clear" w:color="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）计价格式中列明的所有需要填报的单价和合价，供应商均需填报，未填报的单价和合价，视为此项费用已包含在工程量清单的其他单价和合价中。</w:t>
      </w:r>
      <w:r/>
    </w:p>
    <w:p>
      <w:pPr>
        <w:ind w:firstLine="567"/>
        <w:spacing w:line="400" w:lineRule="exact"/>
        <w:shd w:val="clear" w:color="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）包装和运输：本项目服务所涉及的包装和运输均由成交供应商负责。</w:t>
      </w:r>
      <w:r/>
    </w:p>
    <w:p>
      <w:pPr>
        <w:ind w:firstLine="567"/>
        <w:spacing w:line="400" w:lineRule="exact"/>
        <w:shd w:val="clear" w:color="auto"/>
        <w:rPr>
          <w:rFonts w:ascii="宋体" w:hAnsi="宋体" w:cs="宋体"/>
          <w:color w:val="auto"/>
          <w:szCs w:val="21"/>
          <w:highlight w:val="none"/>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）保险：成交供应商的工作人员保险由成交供应商负责。</w:t>
      </w:r>
      <w:r/>
    </w:p>
    <w:p>
      <w:pPr>
        <w:numPr>
          <w:ilvl w:val="0"/>
          <w:numId w:val="8"/>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本项目预算金额包括采购代理服务费。</w:t>
      </w:r>
      <w:r>
        <w:rPr>
          <w:rFonts w:hint="eastAsia" w:ascii="宋体" w:hAnsi="宋体" w:cs="宋体"/>
          <w:color w:val="auto"/>
          <w:szCs w:val="21"/>
          <w:highlight w:val="none"/>
        </w:rPr>
        <w:t xml:space="preserve">本项目</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包括完成本项目的全部人工费、设备费、材料费、机械费、管理费、利润、工程风险、规费、税金，以及所需的施工准备、施工过程、保修期等所需的供货、运输、人工、运杂保险、装卸、备品、备件、损耗、安装、调试、人员培训、售后服务、专利技术、检测验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采购代理服务费</w:t>
      </w:r>
      <w:r>
        <w:rPr>
          <w:rFonts w:hint="eastAsia" w:ascii="宋体" w:hAnsi="宋体" w:cs="宋体"/>
          <w:color w:val="auto"/>
          <w:szCs w:val="21"/>
          <w:highlight w:val="none"/>
        </w:rPr>
        <w:t xml:space="preserve">等以及质保期间的一切费用。在合同实施期间，不增加任何费用。</w:t>
      </w:r>
      <w:r/>
    </w:p>
    <w:p>
      <w:pPr>
        <w:numPr>
          <w:ilvl w:val="0"/>
          <w:numId w:val="8"/>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中标人所有临时设施不需要再使用时，如采购人要求拆除，成交单位应立即无条件拆除。</w:t>
      </w:r>
      <w:r/>
    </w:p>
    <w:p>
      <w:pPr>
        <w:numPr>
          <w:ilvl w:val="0"/>
          <w:numId w:val="8"/>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供应商必须对所提供货物和服务等知识产权方面的一切产权关系负全部责任，由此而引起的法律纠纷以及费用供应商须全部承担。</w:t>
      </w:r>
      <w:r/>
    </w:p>
    <w:p>
      <w:pPr>
        <w:numPr>
          <w:ilvl w:val="0"/>
          <w:numId w:val="8"/>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与本项目相关的所有项目质量、安全问题均由成交供应商终身负责，如因上述原因造成的一切后果均由供应商自行承担，与他人无涉。</w:t>
      </w:r>
      <w:r/>
    </w:p>
    <w:p>
      <w:pPr>
        <w:pStyle w:val="1078"/>
        <w:numPr>
          <w:ilvl w:val="0"/>
          <w:numId w:val="6"/>
        </w:numPr>
        <w:spacing w:line="400" w:lineRule="exact"/>
        <w:shd w:val="clear" w:color="auto"/>
        <w:tabs>
          <w:tab w:val="left" w:pos="0" w:leader="none"/>
        </w:tabs>
        <w:rPr>
          <w:rFonts w:hAnsi="宋体" w:cs="宋体"/>
          <w:color w:val="auto"/>
          <w:szCs w:val="21"/>
          <w:highlight w:val="none"/>
        </w:rPr>
      </w:pPr>
      <w:r>
        <w:rPr>
          <w:rFonts w:hint="eastAsia" w:hAnsi="宋体" w:cs="宋体"/>
          <w:color w:val="auto"/>
          <w:szCs w:val="21"/>
          <w:highlight w:val="none"/>
        </w:rPr>
        <w:t xml:space="preserve">本工程采用的技术规范按现行国家有关规定执行。                      </w:t>
      </w:r>
      <w:r/>
    </w:p>
    <w:p>
      <w:pPr>
        <w:pStyle w:val="1078"/>
        <w:numPr>
          <w:ilvl w:val="0"/>
          <w:numId w:val="6"/>
        </w:numPr>
        <w:spacing w:line="400" w:lineRule="exact"/>
        <w:shd w:val="clear" w:color="auto"/>
        <w:tabs>
          <w:tab w:val="left" w:pos="0" w:leader="none"/>
        </w:tabs>
        <w:rPr>
          <w:rFonts w:hAnsi="宋体" w:cs="宋体"/>
          <w:color w:val="auto"/>
          <w:szCs w:val="21"/>
          <w:highlight w:val="none"/>
        </w:rPr>
      </w:pPr>
      <w:r>
        <w:rPr>
          <w:rFonts w:hint="eastAsia" w:hAnsi="宋体" w:cs="宋体"/>
          <w:color w:val="auto"/>
          <w:szCs w:val="21"/>
          <w:highlight w:val="none"/>
        </w:rPr>
        <w:t xml:space="preserve">对施工工艺的特殊要求按现行国家有关规定执行。</w:t>
      </w:r>
      <w:r/>
    </w:p>
    <w:p>
      <w:pPr>
        <w:pStyle w:val="1078"/>
        <w:numPr>
          <w:ilvl w:val="0"/>
          <w:numId w:val="6"/>
        </w:numPr>
        <w:spacing w:line="400" w:lineRule="exact"/>
        <w:shd w:val="clear" w:color="auto"/>
        <w:tabs>
          <w:tab w:val="left" w:pos="0" w:leader="none"/>
        </w:tabs>
        <w:rPr>
          <w:rFonts w:hAnsi="宋体" w:cs="宋体"/>
          <w:color w:val="auto"/>
          <w:szCs w:val="21"/>
          <w:highlight w:val="none"/>
        </w:rPr>
      </w:pPr>
      <w:r>
        <w:rPr>
          <w:rFonts w:hint="eastAsia" w:hAnsi="宋体" w:cs="宋体"/>
          <w:color w:val="auto"/>
          <w:szCs w:val="21"/>
          <w:highlight w:val="none"/>
        </w:rPr>
        <w:t xml:space="preserve">施工中具体要求技术要求</w:t>
      </w:r>
      <w:r/>
    </w:p>
    <w:p>
      <w:pPr>
        <w:numPr>
          <w:ilvl w:val="0"/>
          <w:numId w:val="9"/>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承包人应按标书、工程量清单及施工图纸（如有）的有关要求进行施工，施工应符合现行国家规范、标准的要求及江苏省、苏州工业园区的有关规定。</w:t>
      </w:r>
      <w:r/>
    </w:p>
    <w:p>
      <w:pPr>
        <w:numPr>
          <w:ilvl w:val="0"/>
          <w:numId w:val="9"/>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工程质量符合“合格”标准。</w:t>
      </w:r>
      <w:r/>
    </w:p>
    <w:p>
      <w:pPr>
        <w:pStyle w:val="1078"/>
        <w:numPr>
          <w:ilvl w:val="0"/>
          <w:numId w:val="6"/>
        </w:numPr>
        <w:spacing w:line="400" w:lineRule="exact"/>
        <w:shd w:val="clear" w:color="auto"/>
        <w:tabs>
          <w:tab w:val="left" w:pos="0" w:leader="none"/>
        </w:tabs>
        <w:rPr>
          <w:rFonts w:hAnsi="宋体" w:cs="宋体"/>
          <w:color w:val="auto"/>
          <w:szCs w:val="21"/>
          <w:highlight w:val="none"/>
        </w:rPr>
      </w:pPr>
      <w:r>
        <w:rPr>
          <w:rFonts w:hint="eastAsia" w:hAnsi="宋体" w:cs="宋体"/>
          <w:color w:val="auto"/>
          <w:szCs w:val="21"/>
          <w:highlight w:val="none"/>
        </w:rPr>
        <w:t xml:space="preserve">安全文明 </w:t>
      </w:r>
      <w:r/>
    </w:p>
    <w:p>
      <w:pPr>
        <w:numPr>
          <w:ilvl w:val="0"/>
          <w:numId w:val="10"/>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作为本工程总承包管理单位，承包人应全面负责本工程现场安全文明管理。</w:t>
      </w:r>
      <w:r/>
    </w:p>
    <w:p>
      <w:pPr>
        <w:numPr>
          <w:ilvl w:val="0"/>
          <w:numId w:val="10"/>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本工程所产生的垃圾和多余土方的需运出园区范围处理，必须满足建设、规划、城管、环保等部门要求，由此引起的费用自行考虑计入投标报价内，结算时不调整。</w:t>
      </w:r>
      <w:r/>
    </w:p>
    <w:p>
      <w:pPr>
        <w:numPr>
          <w:ilvl w:val="0"/>
          <w:numId w:val="10"/>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由于承包人安全文明施工问题造成发包人被他人索赔，发包人保留向承包人索赔的权利。涉及安全文明施工的所有费用响应单位应考虑在磋商总价中。</w:t>
      </w:r>
      <w:r/>
    </w:p>
    <w:p>
      <w:pPr>
        <w:pStyle w:val="1078"/>
        <w:numPr>
          <w:ilvl w:val="0"/>
          <w:numId w:val="6"/>
        </w:numPr>
        <w:spacing w:line="400" w:lineRule="exact"/>
        <w:shd w:val="clear" w:color="auto"/>
        <w:tabs>
          <w:tab w:val="left" w:pos="0" w:leader="none"/>
        </w:tabs>
        <w:rPr>
          <w:rFonts w:hAnsi="宋体" w:cs="宋体"/>
          <w:color w:val="auto"/>
          <w:szCs w:val="21"/>
          <w:highlight w:val="none"/>
        </w:rPr>
      </w:pPr>
      <w:r>
        <w:rPr>
          <w:rFonts w:hint="eastAsia" w:hAnsi="宋体" w:cs="宋体"/>
          <w:color w:val="auto"/>
          <w:szCs w:val="21"/>
          <w:highlight w:val="none"/>
        </w:rPr>
        <w:t xml:space="preserve">工期要求</w:t>
      </w:r>
      <w:r/>
    </w:p>
    <w:p>
      <w:pPr>
        <w:numPr>
          <w:ilvl w:val="0"/>
          <w:numId w:val="11"/>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本工程至竣工验收的工期为</w:t>
      </w:r>
      <w:r>
        <w:rPr>
          <w:rFonts w:hint="eastAsia" w:ascii="宋体" w:hAnsi="宋体" w:cs="宋体"/>
          <w:color w:val="auto"/>
          <w:szCs w:val="21"/>
          <w:highlight w:val="none"/>
          <w:lang w:eastAsia="zh-CN"/>
        </w:rPr>
        <w:t xml:space="preserve">90日历天</w:t>
      </w:r>
      <w:r>
        <w:rPr>
          <w:rFonts w:hint="eastAsia" w:ascii="宋体" w:hAnsi="宋体" w:cs="宋体"/>
          <w:color w:val="auto"/>
          <w:szCs w:val="21"/>
          <w:highlight w:val="none"/>
        </w:rPr>
        <w:t xml:space="preserve">(已包括所有节假日、雨雪天等)， 承包人在整个工期内需承担总的管理与配合的职责，如因其它承包单位原因造成总工期延误，承包人必须承担同样违约责任。</w:t>
      </w:r>
      <w:r/>
    </w:p>
    <w:p>
      <w:pPr>
        <w:numPr>
          <w:ilvl w:val="0"/>
          <w:numId w:val="11"/>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承包人必须考虑采取一切必要的措施来保证工程按期完成，发包人认为承包人在标价中已充分考虑了由此而引起的一切费用。承包人应考虑到气候 因素对工程施工的影响，气候因素应是承包人应考虑到的风险。发包人不接受承包人因气候因素而提出的任何索赔。承包人在施工过程中，在未得到发包人同意的情况下，不得以任何理由顺延工期。</w:t>
      </w:r>
      <w:r/>
    </w:p>
    <w:p>
      <w:pPr>
        <w:pStyle w:val="1078"/>
        <w:numPr>
          <w:ilvl w:val="0"/>
          <w:numId w:val="6"/>
        </w:numPr>
        <w:spacing w:line="400" w:lineRule="exact"/>
        <w:shd w:val="clear" w:color="auto"/>
        <w:tabs>
          <w:tab w:val="left" w:pos="0" w:leader="none"/>
        </w:tabs>
        <w:rPr>
          <w:rFonts w:hAnsi="宋体" w:cs="宋体"/>
          <w:color w:val="auto"/>
          <w:szCs w:val="21"/>
          <w:highlight w:val="none"/>
        </w:rPr>
      </w:pPr>
      <w:r>
        <w:rPr>
          <w:rFonts w:hint="eastAsia" w:hAnsi="宋体" w:cs="宋体"/>
          <w:color w:val="auto"/>
          <w:szCs w:val="21"/>
          <w:highlight w:val="none"/>
        </w:rPr>
        <w:t xml:space="preserve">工程通用要求</w:t>
      </w:r>
      <w:r/>
    </w:p>
    <w:p>
      <w:pPr>
        <w:numPr>
          <w:ilvl w:val="0"/>
          <w:numId w:val="12"/>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响应单位应充分踏勘现场，为完成工程内容所需的一切辅助工作。</w:t>
      </w:r>
      <w:r/>
    </w:p>
    <w:p>
      <w:pPr>
        <w:numPr>
          <w:ilvl w:val="0"/>
          <w:numId w:val="12"/>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本工程各项相关手续齐全后承包单位方可进场施工，承包单位需自行考虑办理相关手续周期，若办理前期手续延误开工时间，承包单位不得提出费用索赔。</w:t>
      </w:r>
      <w:r/>
    </w:p>
    <w:p>
      <w:pPr>
        <w:numPr>
          <w:ilvl w:val="0"/>
          <w:numId w:val="12"/>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现场文明施工须参照苏州工业园区规建委、质、安监现场形象标准执行，达到同等及以上标准，该部分所有的费用考虑在磋商报价中。</w:t>
      </w:r>
      <w:r/>
    </w:p>
    <w:p>
      <w:pPr>
        <w:numPr>
          <w:ilvl w:val="0"/>
          <w:numId w:val="12"/>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承包人还应负责发包人现场的垃圾清运及其它环境卫生工作，施工现场及道路保洁由专人负责，保证施工现场及场内外运输通道保洁。</w:t>
      </w:r>
      <w:r/>
    </w:p>
    <w:p>
      <w:pPr>
        <w:numPr>
          <w:ilvl w:val="0"/>
          <w:numId w:val="12"/>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涉及文明施工的所有费用应考虑磋商报价中。</w:t>
      </w:r>
      <w:r/>
    </w:p>
    <w:p>
      <w:pPr>
        <w:numPr>
          <w:ilvl w:val="0"/>
          <w:numId w:val="12"/>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本项目实施过程中可能发生变更，最终变更方式以苏州工业园区相关规定执行。</w:t>
      </w:r>
      <w:r/>
    </w:p>
    <w:p>
      <w:pPr>
        <w:pStyle w:val="1078"/>
        <w:numPr>
          <w:ilvl w:val="0"/>
          <w:numId w:val="6"/>
        </w:numPr>
        <w:spacing w:line="400" w:lineRule="exact"/>
        <w:shd w:val="clear" w:color="auto"/>
        <w:tabs>
          <w:tab w:val="left" w:pos="0" w:leader="none"/>
        </w:tabs>
        <w:rPr>
          <w:rFonts w:hAnsi="宋体" w:cs="宋体"/>
          <w:color w:val="auto"/>
          <w:szCs w:val="21"/>
          <w:highlight w:val="none"/>
        </w:rPr>
      </w:pPr>
      <w:r>
        <w:rPr>
          <w:rFonts w:hint="eastAsia" w:hAnsi="宋体" w:cs="宋体"/>
          <w:color w:val="auto"/>
          <w:szCs w:val="21"/>
          <w:highlight w:val="none"/>
        </w:rPr>
        <w:t xml:space="preserve">综合要求</w:t>
      </w:r>
      <w:r/>
    </w:p>
    <w:p>
      <w:pPr>
        <w:numPr>
          <w:ilvl w:val="0"/>
          <w:numId w:val="13"/>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采购文件提出的是最低限度的要求，并未对一切细节作出规定，也未充分引述全部有关标准和规范的条文，供应商所提供的相关货物或服务都应符合已颁布的现行的国家标准、行业标准和地方标准，并应达到或优于采购文件要求。若采购文件中涉及品牌或品牌导向，则仅作参考。</w:t>
      </w:r>
      <w:r/>
    </w:p>
    <w:p>
      <w:pPr>
        <w:numPr>
          <w:ilvl w:val="0"/>
          <w:numId w:val="13"/>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highlight w:val="none"/>
        </w:rPr>
        <w:t xml:space="preserve">财政部、发展改革委、生态环境部、市场监管总局关于调整优化节能产品、环境标志产品政府采购执行机制的通知：本次拟采购产品未涉及政府采购节能产品品目清单（强制采购）范围、政府采购节能产品（优先采购）、环境标志产品品目清单范围内。</w:t>
      </w:r>
      <w:r/>
    </w:p>
    <w:p>
      <w:pPr>
        <w:numPr>
          <w:ilvl w:val="0"/>
          <w:numId w:val="13"/>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响应文件须如实进行响应，量化指标必须列明具体数值。供应商在其响应文件中对于采购文件要求提供的货物或服务情况均须进行完整的阐述和说明。响应单位必须承诺响应采购文件中提出的全部服务要求，如果对其中某些条款不响应时，必须在文件中逐条列出。</w:t>
      </w:r>
      <w:r/>
    </w:p>
    <w:p>
      <w:pPr>
        <w:numPr>
          <w:ilvl w:val="0"/>
          <w:numId w:val="13"/>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供应商提供的响应文件内容须真实、准确、有效，如提供虚假材料或对采购文件所要求说明的情况故意隐瞒或虚报，视为不实质性响应采购要求，其响应文件将被拒绝。已成交的将取消成交资格，并按相关法律法规处理。</w:t>
      </w:r>
      <w:r/>
    </w:p>
    <w:p>
      <w:pPr>
        <w:numPr>
          <w:ilvl w:val="0"/>
          <w:numId w:val="13"/>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供应商须在响应报价中对所要采购的全部内容进行报价，只投其中部分内容者，其响应文件将被拒绝，采购人除支付本次采购项目的成交金额外不再承担其他任何费用。</w:t>
      </w:r>
      <w:r/>
    </w:p>
    <w:p>
      <w:pPr>
        <w:pStyle w:val="1050"/>
        <w:numPr>
          <w:ilvl w:val="0"/>
          <w:numId w:val="13"/>
        </w:numPr>
        <w:spacing w:line="400" w:lineRule="exact"/>
        <w:shd w:val="clear" w:color="auto"/>
        <w:tabs>
          <w:tab w:val="left" w:pos="709" w:leader="none"/>
        </w:tabs>
        <w:rPr>
          <w:rFonts w:hAnsi="宋体" w:eastAsia="宋体" w:cs="宋体"/>
          <w:color w:val="auto"/>
          <w:sz w:val="21"/>
          <w:szCs w:val="21"/>
          <w:highlight w:val="none"/>
        </w:rPr>
      </w:pPr>
      <w:r>
        <w:rPr>
          <w:rFonts w:hint="eastAsia" w:hAnsi="宋体" w:eastAsia="宋体" w:cs="宋体"/>
          <w:color w:val="auto"/>
          <w:sz w:val="21"/>
          <w:szCs w:val="21"/>
          <w:highlight w:val="none"/>
        </w:rPr>
        <w:t xml:space="preserve">供应商须在其响应文件中提供一份验收办法，但此标准不得对抗相关部门的验收和采购文件要求，未提供验收办法的响应文件将被拒绝。验收时采购人有权委托第三方进行各项检测，如不符合采购要求则不予通过验收。供应商对货物或服务缺陷不予更正，采购人有权另请其他单位更正，所发生的费用在供应商所提交的履约保证金中扣除，如不足以补偿更正金额，采购人有权对不足部分提出的补偿。</w:t>
      </w:r>
      <w:r/>
    </w:p>
    <w:p>
      <w:pPr>
        <w:numPr>
          <w:ilvl w:val="0"/>
          <w:numId w:val="13"/>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免费质保期要求：本项目免费质保期不低于2年。其他未尽事宜按其供应商所提供的相应承诺执行。</w:t>
      </w:r>
      <w:r/>
    </w:p>
    <w:p>
      <w:pPr>
        <w:numPr>
          <w:ilvl w:val="0"/>
          <w:numId w:val="13"/>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服务要求：接到采购人通知后2小时内响应，4小时内到达现场，24小时内解决问题。</w:t>
      </w:r>
      <w:r/>
    </w:p>
    <w:p>
      <w:pPr>
        <w:numPr>
          <w:ilvl w:val="0"/>
          <w:numId w:val="13"/>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供应商成功获取采购文件后可在江苏政府采购网自行下载相关工程量清单、图纸（如有），无法下载的可致电代理机构领取（不作领取登记）。</w:t>
      </w:r>
      <w:r/>
    </w:p>
    <w:p>
      <w:pPr>
        <w:numPr>
          <w:ilvl w:val="0"/>
          <w:numId w:val="5"/>
        </w:numPr>
        <w:spacing w:line="400" w:lineRule="exact"/>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磋商响应文件的组成及要求：</w:t>
      </w:r>
      <w:r/>
    </w:p>
    <w:p>
      <w:pPr>
        <w:spacing w:line="400" w:lineRule="exact"/>
        <w:shd w:val="clear" w:color="auto"/>
        <w:rPr>
          <w:rFonts w:ascii="宋体" w:hAnsi="宋体"/>
          <w:b/>
          <w:bCs/>
          <w:color w:val="auto"/>
          <w:highlight w:val="none"/>
        </w:rPr>
      </w:pPr>
      <w:r>
        <w:rPr>
          <w:rFonts w:hint="eastAsia" w:ascii="宋体" w:hAnsi="宋体"/>
          <w:b/>
          <w:bCs/>
          <w:color w:val="auto"/>
          <w:highlight w:val="none"/>
        </w:rPr>
        <w:t xml:space="preserve">（一）文件组成：</w:t>
      </w:r>
      <w:r/>
    </w:p>
    <w:p>
      <w:pPr>
        <w:numPr>
          <w:ilvl w:val="0"/>
          <w:numId w:val="14"/>
        </w:numPr>
        <w:spacing w:line="400" w:lineRule="exact"/>
        <w:shd w:val="clear" w:color="auto"/>
        <w:tabs>
          <w:tab w:val="left" w:pos="0" w:leader="none"/>
        </w:tabs>
        <w:rPr>
          <w:rFonts w:ascii="宋体" w:hAnsi="宋体"/>
          <w:b/>
          <w:bCs/>
          <w:color w:val="auto"/>
          <w:szCs w:val="21"/>
          <w:highlight w:val="none"/>
        </w:rPr>
      </w:pPr>
      <w:r>
        <w:rPr>
          <w:rFonts w:hint="eastAsia" w:ascii="宋体" w:hAnsi="宋体"/>
          <w:b/>
          <w:bCs/>
          <w:color w:val="auto"/>
          <w:szCs w:val="21"/>
          <w:highlight w:val="none"/>
        </w:rPr>
        <w:t xml:space="preserve">磋商报价一览表</w:t>
      </w:r>
      <w:r/>
    </w:p>
    <w:p>
      <w:pPr>
        <w:numPr>
          <w:ilvl w:val="0"/>
          <w:numId w:val="14"/>
        </w:numPr>
        <w:spacing w:line="400" w:lineRule="exact"/>
        <w:shd w:val="clear" w:color="auto"/>
        <w:tabs>
          <w:tab w:val="left" w:pos="0" w:leader="none"/>
        </w:tabs>
        <w:rPr>
          <w:rFonts w:ascii="宋体" w:hAnsi="宋体"/>
          <w:b/>
          <w:bCs/>
          <w:color w:val="auto"/>
          <w:szCs w:val="21"/>
          <w:highlight w:val="none"/>
        </w:rPr>
      </w:pPr>
      <w:r/>
      <w:bookmarkStart w:id="15" w:name="OLE_LINK11"/>
      <w:r>
        <w:rPr>
          <w:rFonts w:hint="eastAsia" w:ascii="宋体" w:hAnsi="宋体"/>
          <w:b/>
          <w:bCs/>
          <w:color w:val="auto"/>
          <w:szCs w:val="21"/>
          <w:highlight w:val="none"/>
        </w:rPr>
        <w:t xml:space="preserve">磋商分项报价明细表</w:t>
      </w:r>
      <w:bookmarkEnd w:id="15"/>
      <w:r/>
      <w:r/>
    </w:p>
    <w:p>
      <w:pPr>
        <w:numPr>
          <w:ilvl w:val="0"/>
          <w:numId w:val="14"/>
        </w:numPr>
        <w:spacing w:line="400" w:lineRule="exact"/>
        <w:shd w:val="clear" w:color="auto"/>
        <w:tabs>
          <w:tab w:val="left" w:pos="0" w:leader="none"/>
        </w:tabs>
        <w:rPr>
          <w:rFonts w:ascii="宋体" w:hAnsi="宋体"/>
          <w:b/>
          <w:bCs/>
          <w:color w:val="auto"/>
          <w:szCs w:val="21"/>
          <w:highlight w:val="none"/>
        </w:rPr>
      </w:pPr>
      <w:r/>
      <w:bookmarkStart w:id="16" w:name="OLE_LINK12"/>
      <w:r>
        <w:rPr>
          <w:rFonts w:hint="eastAsia" w:ascii="宋体" w:hAnsi="宋体"/>
          <w:b/>
          <w:bCs/>
          <w:color w:val="auto"/>
          <w:szCs w:val="21"/>
          <w:highlight w:val="none"/>
        </w:rPr>
        <w:t xml:space="preserve">其他针对本次磋商的详细说明</w:t>
      </w:r>
      <w:bookmarkEnd w:id="16"/>
      <w:r/>
      <w:r/>
    </w:p>
    <w:p>
      <w:pPr>
        <w:numPr>
          <w:ilvl w:val="1"/>
          <w:numId w:val="14"/>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无对应模块上传的响应文件内容可传至此，含“五、附件、格式”中部分表格、内容。</w:t>
      </w:r>
      <w:r/>
    </w:p>
    <w:p>
      <w:pPr>
        <w:numPr>
          <w:ilvl w:val="0"/>
          <w:numId w:val="14"/>
        </w:numPr>
        <w:spacing w:line="400" w:lineRule="exact"/>
        <w:shd w:val="clear" w:color="auto"/>
        <w:tabs>
          <w:tab w:val="left" w:pos="0" w:leader="none"/>
        </w:tabs>
        <w:rPr>
          <w:rFonts w:ascii="宋体" w:hAnsi="宋体"/>
          <w:b/>
          <w:bCs/>
          <w:color w:val="auto"/>
          <w:szCs w:val="21"/>
          <w:highlight w:val="none"/>
        </w:rPr>
      </w:pPr>
      <w:r>
        <w:rPr>
          <w:rFonts w:hint="eastAsia" w:ascii="宋体" w:hAnsi="宋体"/>
          <w:b/>
          <w:bCs/>
          <w:color w:val="auto"/>
          <w:szCs w:val="21"/>
          <w:highlight w:val="none"/>
        </w:rPr>
        <w:t xml:space="preserve">资格审查响应文件</w:t>
      </w:r>
      <w:r/>
    </w:p>
    <w:p>
      <w:pPr>
        <w:numPr>
          <w:ilvl w:val="1"/>
          <w:numId w:val="14"/>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磋商响应函；</w:t>
      </w:r>
      <w:r/>
    </w:p>
    <w:p>
      <w:pPr>
        <w:numPr>
          <w:ilvl w:val="1"/>
          <w:numId w:val="14"/>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关于资格文件的声明函；</w:t>
      </w:r>
      <w:r/>
    </w:p>
    <w:p>
      <w:pPr>
        <w:numPr>
          <w:ilvl w:val="1"/>
          <w:numId w:val="14"/>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法定代表人授权委托书（如有授权）；</w:t>
      </w:r>
      <w:r/>
    </w:p>
    <w:p>
      <w:pPr>
        <w:numPr>
          <w:ilvl w:val="1"/>
          <w:numId w:val="14"/>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供应商的法定代表人身份证复印件、供应商代理人身份证复印件（如有授权）；</w:t>
      </w:r>
      <w:r/>
    </w:p>
    <w:p>
      <w:pPr>
        <w:numPr>
          <w:ilvl w:val="1"/>
          <w:numId w:val="14"/>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供应商参加政府采购活动应当具备的条件（提供扫描件）：</w:t>
      </w:r>
      <w:r/>
    </w:p>
    <w:p>
      <w:pPr>
        <w:numPr>
          <w:ilvl w:val="0"/>
          <w:numId w:val="15"/>
        </w:numPr>
        <w:spacing w:line="400" w:lineRule="exact"/>
        <w:shd w:val="clear" w:color="auto"/>
        <w:tabs>
          <w:tab w:val="left" w:pos="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具有独立承担民事责任的能力（提供法人或者其他组织的营业执照等证明文件）；</w:t>
      </w:r>
      <w:r/>
    </w:p>
    <w:p>
      <w:pPr>
        <w:numPr>
          <w:ilvl w:val="0"/>
          <w:numId w:val="15"/>
        </w:numPr>
        <w:spacing w:line="400" w:lineRule="exact"/>
        <w:shd w:val="clear" w:color="auto"/>
        <w:tabs>
          <w:tab w:val="left" w:pos="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具有良好的商业信誉和健全的财务会计制度（提供参加本次政府采购前的财务报表或银行出具的资信证明）；</w:t>
      </w:r>
      <w:r/>
    </w:p>
    <w:p>
      <w:pPr>
        <w:numPr>
          <w:ilvl w:val="0"/>
          <w:numId w:val="15"/>
        </w:numPr>
        <w:spacing w:line="400" w:lineRule="exact"/>
        <w:shd w:val="clear" w:color="auto"/>
        <w:tabs>
          <w:tab w:val="left" w:pos="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具有履行合同所必须的设备和专业技术能力（企业法人性质的政府采购供应商应在经工商管理部门核准登记注册的经营范围内参与经营活动，提供营业执照或其他证明材料）；</w:t>
      </w:r>
      <w:r/>
    </w:p>
    <w:p>
      <w:pPr>
        <w:numPr>
          <w:ilvl w:val="0"/>
          <w:numId w:val="15"/>
        </w:numPr>
        <w:spacing w:line="400" w:lineRule="exact"/>
        <w:shd w:val="clear" w:color="auto"/>
        <w:tabs>
          <w:tab w:val="left" w:pos="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有依法缴纳税收和社会保障资金的良好记录（提供参加本次政府采购前一年内（至少一个月的）的依法缴纳税收和社会保障资金的相关材料）；</w:t>
      </w:r>
      <w:r/>
    </w:p>
    <w:p>
      <w:pPr>
        <w:numPr>
          <w:ilvl w:val="0"/>
          <w:numId w:val="15"/>
        </w:numPr>
        <w:spacing w:line="400" w:lineRule="exact"/>
        <w:shd w:val="clear" w:color="auto"/>
        <w:tabs>
          <w:tab w:val="left" w:pos="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参加政府采购活动前3年内在经营活动中没有重大违法记录（提供书面声明）；</w:t>
      </w:r>
      <w:r/>
    </w:p>
    <w:p>
      <w:pPr>
        <w:numPr>
          <w:ilvl w:val="0"/>
          <w:numId w:val="15"/>
        </w:numPr>
        <w:spacing w:line="400" w:lineRule="exact"/>
        <w:shd w:val="clear" w:color="auto"/>
        <w:tabs>
          <w:tab w:val="left" w:pos="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特定资格证明材料：</w:t>
      </w:r>
      <w:r/>
    </w:p>
    <w:p>
      <w:pPr>
        <w:numPr>
          <w:ilvl w:val="0"/>
          <w:numId w:val="16"/>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具有有效期内的建筑工程施工总承包三级（含）以上资质。</w:t>
      </w:r>
      <w:r/>
    </w:p>
    <w:p>
      <w:pPr>
        <w:numPr>
          <w:ilvl w:val="0"/>
          <w:numId w:val="16"/>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具有有效期内的安全生产许可证。</w:t>
      </w:r>
      <w:r/>
    </w:p>
    <w:p>
      <w:pPr>
        <w:numPr>
          <w:ilvl w:val="0"/>
          <w:numId w:val="16"/>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拟选派项目经理具备</w:t>
      </w:r>
      <w:r>
        <w:rPr>
          <w:rFonts w:hint="eastAsia" w:ascii="宋体" w:hAnsi="宋体" w:cs="宋体"/>
          <w:color w:val="auto"/>
          <w:szCs w:val="21"/>
          <w:highlight w:val="none"/>
          <w:lang w:bidi="ar"/>
        </w:rPr>
        <w:t xml:space="preserve">建筑工程专业二级或以上建造师注册证书</w:t>
      </w:r>
      <w:r>
        <w:rPr>
          <w:rFonts w:hint="eastAsia" w:ascii="宋体" w:hAnsi="宋体" w:cs="宋体"/>
          <w:color w:val="auto"/>
          <w:szCs w:val="21"/>
          <w:highlight w:val="none"/>
        </w:rPr>
        <w:t xml:space="preserve">并具备项目经理安全生产考核合格证（B类）证书，</w:t>
      </w:r>
      <w:r>
        <w:rPr>
          <w:rFonts w:hint="eastAsia" w:ascii="宋体" w:hAnsi="宋体"/>
          <w:bCs/>
          <w:color w:val="auto"/>
          <w:szCs w:val="21"/>
          <w:highlight w:val="none"/>
        </w:rPr>
        <w:t xml:space="preserve">且项目负责人除满足资格条件外还必须满足以下条件（提供声明函）：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相关手续。</w:t>
      </w:r>
      <w:r/>
    </w:p>
    <w:p>
      <w:pPr>
        <w:numPr>
          <w:ilvl w:val="0"/>
          <w:numId w:val="14"/>
        </w:numPr>
        <w:spacing w:line="400" w:lineRule="exact"/>
        <w:shd w:val="clear" w:color="auto"/>
        <w:tabs>
          <w:tab w:val="left" w:pos="0" w:leader="none"/>
        </w:tabs>
        <w:rPr>
          <w:rFonts w:ascii="宋体" w:hAnsi="宋体"/>
          <w:b/>
          <w:bCs/>
          <w:color w:val="auto"/>
          <w:szCs w:val="21"/>
          <w:highlight w:val="none"/>
        </w:rPr>
      </w:pPr>
      <w:r>
        <w:rPr>
          <w:rFonts w:hint="eastAsia" w:ascii="宋体" w:hAnsi="宋体"/>
          <w:b/>
          <w:bCs/>
          <w:color w:val="auto"/>
          <w:szCs w:val="21"/>
          <w:highlight w:val="none"/>
        </w:rPr>
        <w:t xml:space="preserve">符合性审查响应文件</w:t>
      </w:r>
      <w:r/>
    </w:p>
    <w:p>
      <w:pPr>
        <w:numPr>
          <w:ilvl w:val="1"/>
          <w:numId w:val="14"/>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技术要求、商务条款偏离表；</w:t>
      </w:r>
      <w:r/>
    </w:p>
    <w:p>
      <w:pPr>
        <w:numPr>
          <w:ilvl w:val="1"/>
          <w:numId w:val="14"/>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投标（响应）保证承诺书；</w:t>
      </w:r>
      <w:r/>
    </w:p>
    <w:p>
      <w:pPr>
        <w:numPr>
          <w:ilvl w:val="1"/>
          <w:numId w:val="14"/>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其他需供应商对本次响应的详细说明、承诺。</w:t>
      </w:r>
      <w:r/>
    </w:p>
    <w:p>
      <w:pPr>
        <w:numPr>
          <w:ilvl w:val="0"/>
          <w:numId w:val="14"/>
        </w:numPr>
        <w:spacing w:line="400" w:lineRule="exact"/>
        <w:shd w:val="clear" w:color="auto"/>
        <w:tabs>
          <w:tab w:val="left" w:pos="0" w:leader="none"/>
        </w:tabs>
        <w:rPr>
          <w:rFonts w:ascii="宋体" w:hAnsi="宋体"/>
          <w:b/>
          <w:bCs/>
          <w:color w:val="auto"/>
          <w:szCs w:val="21"/>
          <w:highlight w:val="none"/>
        </w:rPr>
      </w:pPr>
      <w:r>
        <w:rPr>
          <w:rFonts w:hint="eastAsia" w:ascii="宋体" w:hAnsi="宋体"/>
          <w:b/>
          <w:bCs/>
          <w:color w:val="auto"/>
          <w:szCs w:val="21"/>
          <w:highlight w:val="none"/>
        </w:rPr>
        <w:t xml:space="preserve">综合评审响应文件</w:t>
      </w:r>
      <w:r/>
    </w:p>
    <w:p>
      <w:pPr>
        <w:numPr>
          <w:ilvl w:val="1"/>
          <w:numId w:val="14"/>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项目具体实施方案；</w:t>
      </w:r>
      <w:r/>
    </w:p>
    <w:p>
      <w:pPr>
        <w:numPr>
          <w:ilvl w:val="1"/>
          <w:numId w:val="14"/>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采购文件评分标准中涉及的技术方案、证书、证明等；</w:t>
      </w:r>
      <w:r/>
    </w:p>
    <w:p>
      <w:pPr>
        <w:numPr>
          <w:ilvl w:val="1"/>
          <w:numId w:val="14"/>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与本次磋商有关的其他资料。</w:t>
      </w:r>
      <w:r/>
    </w:p>
    <w:p>
      <w:pPr>
        <w:numPr>
          <w:ilvl w:val="0"/>
          <w:numId w:val="14"/>
        </w:numPr>
        <w:spacing w:line="400" w:lineRule="exact"/>
        <w:shd w:val="clear" w:color="auto"/>
        <w:tabs>
          <w:tab w:val="left" w:pos="0" w:leader="none"/>
        </w:tabs>
        <w:rPr>
          <w:rFonts w:ascii="宋体" w:hAnsi="宋体"/>
          <w:b/>
          <w:bCs/>
          <w:color w:val="auto"/>
          <w:szCs w:val="21"/>
          <w:highlight w:val="none"/>
        </w:rPr>
      </w:pPr>
      <w:r>
        <w:rPr>
          <w:rFonts w:hint="eastAsia" w:ascii="宋体" w:hAnsi="宋体"/>
          <w:b/>
          <w:bCs/>
          <w:color w:val="auto"/>
          <w:szCs w:val="21"/>
          <w:highlight w:val="none"/>
        </w:rPr>
        <w:t xml:space="preserve">企业报价折扣证明</w:t>
      </w:r>
      <w:r/>
    </w:p>
    <w:p>
      <w:pPr>
        <w:numPr>
          <w:ilvl w:val="1"/>
          <w:numId w:val="14"/>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中型、小型或微型企业、残疾人企业、监狱企业的相关材料。</w:t>
      </w:r>
      <w:r/>
    </w:p>
    <w:p>
      <w:pPr>
        <w:spacing w:line="400" w:lineRule="exact"/>
        <w:shd w:val="clear" w:color="auto"/>
        <w:rPr>
          <w:rFonts w:ascii="宋体" w:hAnsi="宋体"/>
          <w:b/>
          <w:bCs/>
          <w:color w:val="auto"/>
          <w:highlight w:val="none"/>
        </w:rPr>
      </w:pPr>
      <w:r>
        <w:rPr>
          <w:rFonts w:hint="eastAsia" w:ascii="宋体" w:hAnsi="宋体"/>
          <w:b/>
          <w:bCs/>
          <w:color w:val="auto"/>
          <w:highlight w:val="none"/>
        </w:rPr>
        <w:t xml:space="preserve">（二）电子投标（响应）文件的编制与提交 </w:t>
      </w:r>
      <w:r/>
    </w:p>
    <w:p>
      <w:pPr>
        <w:numPr>
          <w:ilvl w:val="0"/>
          <w:numId w:val="17"/>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电子投标文件按上述文件组成统一顺序、统一格式编写，并在首页编制“投标文件目录”。</w:t>
      </w:r>
      <w:r/>
    </w:p>
    <w:p>
      <w:pPr>
        <w:numPr>
          <w:ilvl w:val="0"/>
          <w:numId w:val="17"/>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电子投标文件制作</w:t>
      </w:r>
      <w:r/>
    </w:p>
    <w:p>
      <w:pPr>
        <w:numPr>
          <w:ilvl w:val="0"/>
          <w:numId w:val="18"/>
        </w:numPr>
        <w:keepLines/>
        <w:spacing w:line="400" w:lineRule="exact"/>
        <w:shd w:val="clear" w:color="auto"/>
        <w:widowControl/>
        <w:rPr>
          <w:rFonts w:ascii="宋体" w:hAnsi="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highlight w:val="none"/>
        </w:rPr>
        <w:t xml:space="preserve">在苏采云系统中下载招标文件后，点击“客户端下载地址”，下载投标文件客户端，查看客户端使用说明。</w:t>
      </w:r>
      <w:r/>
    </w:p>
    <w:p>
      <w:pPr>
        <w:numPr>
          <w:ilvl w:val="0"/>
          <w:numId w:val="18"/>
        </w:numPr>
        <w:keepLines/>
        <w:spacing w:line="400" w:lineRule="exact"/>
        <w:shd w:val="clear" w:color="auto"/>
        <w:widowControl/>
        <w:rPr>
          <w:rFonts w:ascii="宋体" w:hAnsi="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highlight w:val="none"/>
        </w:rPr>
        <w:t xml:space="preserve">将下载的采购文件导入投标文件客户端，按照《操作手册》完成投标文件的编制和加盖电子签章。</w:t>
      </w:r>
      <w:r/>
    </w:p>
    <w:p>
      <w:pPr>
        <w:numPr>
          <w:ilvl w:val="0"/>
          <w:numId w:val="18"/>
        </w:numPr>
        <w:keepLines/>
        <w:spacing w:line="400" w:lineRule="exact"/>
        <w:shd w:val="clear" w:color="auto"/>
        <w:widowControl/>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highlight w:val="none"/>
        </w:rPr>
        <w:t xml:space="preserve">导出制作完成的</w:t>
      </w:r>
      <w:r>
        <w:rPr>
          <w:rFonts w:hint="eastAsia" w:ascii="宋体" w:hAnsi="宋体"/>
          <w:color w:val="auto"/>
          <w:szCs w:val="21"/>
          <w:highlight w:val="none"/>
        </w:rPr>
        <w:t xml:space="preserve">投标文件，上传至苏采云系统。</w:t>
      </w:r>
      <w:r/>
    </w:p>
    <w:p>
      <w:pPr>
        <w:ind w:left="567"/>
        <w:jc w:val="left"/>
        <w:spacing w:line="400" w:lineRule="exact"/>
        <w:shd w:val="clear" w:color="auto"/>
        <w:widowControl/>
        <w:rPr>
          <w:rFonts w:ascii="宋体" w:hAnsi="宋体"/>
          <w:color w:val="auto"/>
          <w:szCs w:val="21"/>
          <w:highlight w:val="none"/>
        </w:rPr>
      </w:pPr>
      <w:r>
        <w:rPr>
          <w:rFonts w:hint="eastAsia" w:ascii="宋体" w:hAnsi="宋体"/>
          <w:color w:val="auto"/>
          <w:szCs w:val="21"/>
          <w:highlight w:val="none"/>
        </w:rPr>
        <w:t xml:space="preserve">注：具体投标文件编制教程查看苏采云系统中的客户端使用说明和供应商《操作手册》。</w:t>
      </w:r>
      <w:r/>
    </w:p>
    <w:p>
      <w:pPr>
        <w:numPr>
          <w:ilvl w:val="0"/>
          <w:numId w:val="17"/>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电子投标文件中的资料应按采购文件的要求加盖响应单位的电子签章或公章。</w:t>
      </w:r>
      <w:r/>
    </w:p>
    <w:p>
      <w:pPr>
        <w:numPr>
          <w:ilvl w:val="0"/>
          <w:numId w:val="17"/>
        </w:numPr>
        <w:spacing w:line="400" w:lineRule="exact"/>
        <w:shd w:val="clear" w:color="auto"/>
        <w:tabs>
          <w:tab w:val="left" w:pos="0" w:leader="none"/>
        </w:tabs>
        <w:rPr>
          <w:rFonts w:ascii="宋体" w:hAnsi="宋体"/>
          <w:color w:val="auto"/>
          <w:szCs w:val="21"/>
          <w:highlight w:val="none"/>
        </w:rPr>
      </w:pPr>
      <w:r>
        <w:rPr>
          <w:rFonts w:hint="eastAsia" w:ascii="宋体" w:hAnsi="宋体"/>
          <w:color w:val="auto"/>
          <w:szCs w:val="21"/>
          <w:highlight w:val="none"/>
        </w:rPr>
        <w:t xml:space="preserve">未按照要求编制电子投标文件，未按照要求在电子投标文件上加盖电子签章的，均视为无效投标。</w:t>
      </w:r>
      <w:r/>
    </w:p>
    <w:p>
      <w:pPr>
        <w:numPr>
          <w:ilvl w:val="0"/>
          <w:numId w:val="5"/>
        </w:numPr>
        <w:spacing w:line="400" w:lineRule="exact"/>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磋商详细说明：</w:t>
      </w:r>
      <w:r/>
    </w:p>
    <w:p>
      <w:pPr>
        <w:numPr>
          <w:ilvl w:val="0"/>
          <w:numId w:val="19"/>
        </w:numPr>
        <w:spacing w:line="400" w:lineRule="exact"/>
        <w:shd w:val="clear" w:color="auto"/>
        <w:tabs>
          <w:tab w:val="left" w:pos="540" w:leader="none"/>
        </w:tabs>
        <w:rPr>
          <w:rFonts w:ascii="宋体" w:hAnsi="宋体"/>
          <w:color w:val="auto"/>
          <w:highlight w:val="none"/>
        </w:rPr>
      </w:pPr>
      <w:r>
        <w:rPr>
          <w:rFonts w:ascii="宋体" w:hAnsi="宋体"/>
          <w:color w:val="auto"/>
          <w:highlight w:val="none"/>
        </w:rPr>
        <w:t xml:space="preserve">本次</w:t>
      </w:r>
      <w:r>
        <w:rPr>
          <w:rFonts w:hint="eastAsia" w:ascii="宋体" w:hAnsi="宋体"/>
          <w:color w:val="auto"/>
          <w:highlight w:val="none"/>
        </w:rPr>
        <w:t xml:space="preserve">竞争性磋商</w:t>
      </w:r>
      <w:r>
        <w:rPr>
          <w:rFonts w:hint="eastAsia" w:ascii="宋体" w:hAnsi="宋体"/>
          <w:color w:val="auto"/>
          <w:highlight w:val="none"/>
          <w:lang w:val="en-US" w:eastAsia="zh-CN"/>
        </w:rPr>
        <w:t xml:space="preserve">不</w:t>
      </w:r>
      <w:r>
        <w:rPr>
          <w:rFonts w:hint="eastAsia" w:ascii="宋体" w:hAnsi="宋体"/>
          <w:color w:val="auto"/>
          <w:highlight w:val="none"/>
        </w:rPr>
        <w:t xml:space="preserve">分标段</w:t>
      </w:r>
      <w:r>
        <w:rPr>
          <w:rFonts w:ascii="宋体" w:hAnsi="宋体"/>
          <w:color w:val="auto"/>
          <w:highlight w:val="none"/>
        </w:rPr>
        <w:t xml:space="preserve">，各供应商须对全部内容进行响应，只报其中部分内容的，为无效报价，并不得出现选择性报价。</w:t>
      </w:r>
      <w:r/>
    </w:p>
    <w:p>
      <w:pPr>
        <w:numPr>
          <w:ilvl w:val="0"/>
          <w:numId w:val="19"/>
        </w:numPr>
        <w:spacing w:line="400" w:lineRule="exact"/>
        <w:shd w:val="clear" w:color="auto"/>
        <w:tabs>
          <w:tab w:val="left" w:pos="540" w:leader="none"/>
        </w:tabs>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highlight w:val="none"/>
        </w:rPr>
        <w:t xml:space="preserve">磋商保</w:t>
      </w:r>
      <w:r>
        <w:rPr>
          <w:rFonts w:hint="eastAsia" w:ascii="宋体" w:hAnsi="宋体" w:cs="宋体"/>
          <w:color w:val="auto"/>
          <w:highlight w:val="none"/>
        </w:rPr>
        <w:t xml:space="preserve">证金：</w:t>
      </w:r>
      <w:r>
        <w:rPr>
          <w:rFonts w:hint="eastAsia" w:ascii="宋体" w:hAnsi="宋体" w:cs="宋体"/>
          <w:b/>
          <w:bCs/>
          <w:color w:val="auto"/>
          <w:highlight w:val="none"/>
        </w:rPr>
        <w:t xml:space="preserve">本项目不收取磋商保证金。</w:t>
      </w:r>
      <w:r/>
    </w:p>
    <w:p>
      <w:pPr>
        <w:numPr>
          <w:ilvl w:val="0"/>
          <w:numId w:val="19"/>
        </w:numPr>
        <w:spacing w:line="400" w:lineRule="exact"/>
        <w:shd w:val="clear" w:color="auto"/>
        <w:tabs>
          <w:tab w:val="left" w:pos="540" w:leader="none"/>
        </w:tabs>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履约保证金：</w:t>
      </w:r>
      <w:r/>
    </w:p>
    <w:p>
      <w:pPr>
        <w:numPr>
          <w:ilvl w:val="0"/>
          <w:numId w:val="20"/>
        </w:numPr>
        <w:keepLines/>
        <w:spacing w:line="400" w:lineRule="exact"/>
        <w:shd w:val="clear" w:color="auto"/>
        <w:widowControl/>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本项目需提交履约保证金</w:t>
      </w: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金额为成交金额的5%</w:t>
      </w:r>
      <w:r>
        <w:rPr>
          <w:rFonts w:hint="eastAsia" w:ascii="宋体" w:hAnsi="宋体" w:cs="宋体"/>
          <w:b/>
          <w:color w:val="auto"/>
          <w:highlight w:val="none"/>
        </w:rPr>
        <w:t xml:space="preserve">。合同签订前</w:t>
      </w:r>
      <w:r>
        <w:rPr>
          <w:rFonts w:hint="eastAsia" w:ascii="宋体" w:hAnsi="宋体" w:cs="宋体"/>
          <w:b/>
          <w:color w:val="auto"/>
          <w:highlight w:val="none"/>
          <w:lang w:val="en-US" w:eastAsia="zh-CN"/>
        </w:rPr>
        <w:t xml:space="preserve">成交单位须按照采购人要求缴纳。</w:t>
      </w:r>
      <w:r>
        <w:rPr>
          <w:rFonts w:hint="eastAsia" w:ascii="宋体" w:hAnsi="宋体" w:cs="宋体"/>
          <w:b/>
          <w:color w:val="auto"/>
          <w:highlight w:val="none"/>
        </w:rPr>
        <w:t xml:space="preserve">履约保证金在工程竣工验收合格，取得竣工验收证书且送审后经承包人申请、发包人确认后返还。若承包人未能按规定提交履约保证金，发包人有权暂停支付工程款。</w:t>
      </w:r>
      <w:r/>
    </w:p>
    <w:p>
      <w:pPr>
        <w:numPr>
          <w:ilvl w:val="0"/>
          <w:numId w:val="20"/>
        </w:numPr>
        <w:keepLines/>
        <w:spacing w:line="400" w:lineRule="exact"/>
        <w:shd w:val="clear" w:color="auto"/>
        <w:widowControl/>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潜在响应单位如另有需要的，可参考下述相关政策内容：</w:t>
      </w:r>
      <w:r/>
    </w:p>
    <w:p>
      <w:pPr>
        <w:ind w:left="567"/>
        <w:keepLines/>
        <w:spacing w:line="400" w:lineRule="exact"/>
        <w:shd w:val="clear" w:color="auto"/>
        <w:widowControl/>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根据江苏省财政厅、国家金融监督管理总局江苏监管局、江苏省地方金融监督管理局《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w:t>
      </w:r>
      <w:r/>
    </w:p>
    <w:p>
      <w:pPr>
        <w:ind w:left="567"/>
        <w:keepLines/>
        <w:spacing w:line="400" w:lineRule="exact"/>
        <w:shd w:val="clear" w:color="auto"/>
        <w:widowControl/>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具体操作方式详</w:t>
      </w:r>
      <w:r>
        <w:rPr>
          <w:rFonts w:ascii="宋体" w:hAnsi="宋体" w:cs="宋体"/>
          <w:color w:val="auto"/>
          <w:highlight w:val="none"/>
        </w:rPr>
        <w:t xml:space="preserve">见：江苏政府采购网“资料下载”栏目（网址：</w:t>
      </w:r>
      <w:r>
        <w:rPr>
          <w:rFonts w:ascii="宋体" w:hAnsi="宋体" w:cs="宋体"/>
          <w:color w:val="auto"/>
          <w:highlight w:val="none"/>
          <w:u w:val="none"/>
        </w:rPr>
        <w:t xml:space="preserve">www.ccgp-jiangsu.gov.cn/jiangsu/zlxz）下载“政府采购电子履约保函（保险）操作手册”。</w:t>
      </w:r>
      <w:r/>
    </w:p>
    <w:p>
      <w:pPr>
        <w:numPr>
          <w:ilvl w:val="0"/>
          <w:numId w:val="19"/>
        </w:numPr>
        <w:spacing w:line="400" w:lineRule="exact"/>
        <w:shd w:val="clear" w:color="auto"/>
        <w:tabs>
          <w:tab w:val="left" w:pos="540" w:leader="none"/>
        </w:tabs>
        <w:rPr>
          <w:rFonts w:ascii="宋体" w:hAnsi="宋体"/>
          <w:color w:val="auto"/>
          <w:szCs w:val="21"/>
          <w:highlight w:val="none"/>
        </w:rPr>
      </w:pPr>
      <w:r>
        <w:rPr>
          <w:rFonts w:hint="eastAsia" w:ascii="宋体" w:hAnsi="宋体"/>
          <w:color w:val="auto"/>
          <w:szCs w:val="21"/>
          <w:highlight w:val="none"/>
        </w:rPr>
        <w:t xml:space="preserve">成交通知书：</w:t>
      </w:r>
      <w:r/>
    </w:p>
    <w:p>
      <w:pPr>
        <w:numPr>
          <w:ilvl w:val="0"/>
          <w:numId w:val="21"/>
        </w:numPr>
        <w:keepLines/>
        <w:spacing w:line="400" w:lineRule="exact"/>
        <w:shd w:val="clear" w:color="auto"/>
        <w:widowControl/>
        <w:rPr>
          <w:rFonts w:ascii="宋体" w:hAnsi="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highlight w:val="none"/>
        </w:rPr>
        <w:t xml:space="preserve">确定出成交单位后在投标有效期截止前，采购代理机构将以书面形式通知成交的投标人其响应被接受。</w:t>
      </w:r>
      <w:r/>
    </w:p>
    <w:p>
      <w:pPr>
        <w:numPr>
          <w:ilvl w:val="0"/>
          <w:numId w:val="21"/>
        </w:numPr>
        <w:keepLines/>
        <w:spacing w:line="400" w:lineRule="exact"/>
        <w:shd w:val="clear" w:color="auto"/>
        <w:widowControl/>
        <w:rPr>
          <w:rFonts w:ascii="宋体" w:hAnsi="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highlight w:val="none"/>
        </w:rPr>
        <w:t xml:space="preserve">成交通知书将成为合同的组成部分。</w:t>
      </w:r>
      <w:r/>
    </w:p>
    <w:p>
      <w:pPr>
        <w:numPr>
          <w:ilvl w:val="0"/>
          <w:numId w:val="21"/>
        </w:numPr>
        <w:keepLines/>
        <w:spacing w:line="400" w:lineRule="exact"/>
        <w:shd w:val="clear" w:color="auto"/>
        <w:widowControl/>
        <w:rPr>
          <w:rFonts w:ascii="宋体" w:hAnsi="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highlight w:val="none"/>
        </w:rPr>
        <w:t xml:space="preserve">采购人或采购代理机构对未成交单位不承担解释未成交原因的义务。</w:t>
      </w:r>
      <w:r/>
    </w:p>
    <w:p>
      <w:pPr>
        <w:numPr>
          <w:ilvl w:val="0"/>
          <w:numId w:val="21"/>
        </w:numPr>
        <w:keepLines/>
        <w:spacing w:line="400" w:lineRule="exact"/>
        <w:shd w:val="clear" w:color="auto"/>
        <w:widowControl/>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highlight w:val="none"/>
        </w:rPr>
        <w:t xml:space="preserve">请成交单位在成交结果公告届满之日起30日内,使用CA证书登录“苏采云”系统及时下载成交通知书。因系统存储空间有</w:t>
      </w:r>
      <w:r>
        <w:rPr>
          <w:rFonts w:hint="eastAsia" w:ascii="宋体" w:hAnsi="宋体"/>
          <w:color w:val="auto"/>
          <w:szCs w:val="21"/>
          <w:highlight w:val="none"/>
        </w:rPr>
        <w:t xml:space="preserve">限，自成交结果公告届满之日起30日后，“苏采云”系统不再保证提供下载中标通知书服务,因未及时下载而造成的不利后果由中标人自行承担。</w:t>
      </w:r>
      <w:r/>
    </w:p>
    <w:p>
      <w:pPr>
        <w:numPr>
          <w:ilvl w:val="0"/>
          <w:numId w:val="19"/>
        </w:numPr>
        <w:spacing w:line="400" w:lineRule="exact"/>
        <w:shd w:val="clear" w:color="auto"/>
        <w:tabs>
          <w:tab w:val="left" w:pos="540" w:leader="none"/>
        </w:tabs>
        <w:rPr>
          <w:rFonts w:ascii="宋体" w:hAnsi="宋体"/>
          <w:color w:val="auto"/>
          <w:szCs w:val="21"/>
          <w:highlight w:val="none"/>
        </w:rPr>
      </w:pPr>
      <w:r>
        <w:rPr>
          <w:rFonts w:hint="eastAsia" w:ascii="宋体" w:hAnsi="宋体"/>
          <w:color w:val="auto"/>
          <w:highlight w:val="none"/>
        </w:rPr>
        <w:t xml:space="preserve">采购代理服务费</w:t>
      </w:r>
      <w:r>
        <w:rPr>
          <w:rFonts w:ascii="宋体" w:hAnsi="宋体"/>
          <w:color w:val="auto"/>
          <w:szCs w:val="21"/>
          <w:highlight w:val="none"/>
        </w:rPr>
        <w:t xml:space="preserve">：</w:t>
      </w:r>
      <w:r>
        <w:rPr>
          <w:rFonts w:hint="eastAsia" w:ascii="宋体" w:hAnsi="宋体"/>
          <w:color w:val="auto"/>
          <w:szCs w:val="21"/>
          <w:highlight w:val="none"/>
        </w:rPr>
        <w:t xml:space="preserve">按苏财购告【</w:t>
      </w:r>
      <w:r>
        <w:rPr>
          <w:rFonts w:ascii="宋体" w:hAnsi="宋体"/>
          <w:color w:val="auto"/>
          <w:szCs w:val="21"/>
          <w:highlight w:val="none"/>
        </w:rPr>
        <w:t xml:space="preserve">2016】31号规定</w:t>
      </w:r>
      <w:r>
        <w:rPr>
          <w:rFonts w:hint="eastAsia" w:ascii="宋体" w:hAnsi="宋体"/>
          <w:color w:val="auto"/>
          <w:szCs w:val="21"/>
          <w:highlight w:val="none"/>
        </w:rPr>
        <w:t xml:space="preserve">的收费标准收取，由</w:t>
      </w:r>
      <w:r>
        <w:rPr>
          <w:rFonts w:hint="eastAsia" w:ascii="宋体" w:hAnsi="宋体"/>
          <w:color w:val="auto"/>
          <w:szCs w:val="21"/>
          <w:highlight w:val="none"/>
          <w:lang w:val="en-US" w:eastAsia="zh-CN"/>
        </w:rPr>
        <w:t xml:space="preserve">成交单位</w:t>
      </w:r>
      <w:r>
        <w:rPr>
          <w:rFonts w:hint="eastAsia" w:ascii="宋体" w:hAnsi="宋体"/>
          <w:color w:val="auto"/>
          <w:szCs w:val="21"/>
          <w:highlight w:val="none"/>
        </w:rPr>
        <w:t xml:space="preserve">向招标代理机构一次性付清。</w:t>
      </w:r>
      <w:r/>
    </w:p>
    <w:p>
      <w:pPr>
        <w:ind w:firstLine="567"/>
        <w:spacing w:line="400" w:lineRule="exact"/>
        <w:shd w:val="clear" w:color="auto"/>
        <w:widowControl/>
        <w:rPr>
          <w:rFonts w:ascii="宋体" w:hAnsi="宋体"/>
          <w:color w:val="auto"/>
          <w:szCs w:val="21"/>
          <w:highlight w:val="none"/>
        </w:rPr>
      </w:pPr>
      <w:r>
        <w:rPr>
          <w:rFonts w:hint="eastAsia" w:ascii="宋体" w:hAnsi="宋体"/>
          <w:color w:val="auto"/>
          <w:szCs w:val="21"/>
          <w:highlight w:val="none"/>
        </w:rPr>
        <w:t xml:space="preserve">收费标准：预算金额100万以下部分的费率为预算金额的1.5%；</w:t>
      </w:r>
      <w:r/>
    </w:p>
    <w:p>
      <w:pPr>
        <w:ind w:firstLine="567"/>
        <w:spacing w:line="400" w:lineRule="exact"/>
        <w:shd w:val="clear" w:color="auto"/>
        <w:widowControl/>
        <w:rPr>
          <w:rFonts w:ascii="宋体" w:hAnsi="宋体"/>
          <w:color w:val="auto"/>
          <w:szCs w:val="21"/>
          <w:highlight w:val="none"/>
        </w:rPr>
      </w:pPr>
      <w:r>
        <w:rPr>
          <w:rFonts w:hint="eastAsia" w:ascii="宋体" w:hAnsi="宋体"/>
          <w:color w:val="auto"/>
          <w:szCs w:val="21"/>
          <w:highlight w:val="none"/>
        </w:rPr>
        <w:t xml:space="preserve">          预算金额100-500万部分的费率为预算金额的1.1%。</w:t>
      </w:r>
      <w:r/>
    </w:p>
    <w:p>
      <w:pPr>
        <w:ind w:firstLine="567"/>
        <w:spacing w:line="400" w:lineRule="exact"/>
        <w:shd w:val="clear" w:color="auto"/>
        <w:widowControl/>
        <w:rPr>
          <w:rFonts w:ascii="宋体" w:hAnsi="宋体"/>
          <w:color w:val="auto"/>
          <w:szCs w:val="21"/>
          <w:highlight w:val="none"/>
        </w:rPr>
      </w:pPr>
      <w:r>
        <w:rPr>
          <w:rFonts w:ascii="宋体" w:hAnsi="宋体"/>
          <w:color w:val="auto"/>
          <w:szCs w:val="21"/>
          <w:highlight w:val="none"/>
        </w:rPr>
        <w:t xml:space="preserve">交纳账户：苏州市</w:t>
      </w:r>
      <w:r>
        <w:rPr>
          <w:rFonts w:hint="eastAsia" w:ascii="宋体" w:hAnsi="宋体"/>
          <w:color w:val="auto"/>
          <w:szCs w:val="21"/>
          <w:highlight w:val="none"/>
        </w:rPr>
        <w:t xml:space="preserve">原鑫</w:t>
      </w:r>
      <w:r>
        <w:rPr>
          <w:rFonts w:ascii="宋体" w:hAnsi="宋体"/>
          <w:color w:val="auto"/>
          <w:szCs w:val="21"/>
          <w:highlight w:val="none"/>
        </w:rPr>
        <w:t xml:space="preserve">招投标咨询服务有限公司</w:t>
      </w:r>
      <w:r/>
    </w:p>
    <w:p>
      <w:pPr>
        <w:ind w:firstLine="567"/>
        <w:spacing w:line="400" w:lineRule="exact"/>
        <w:shd w:val="clear" w:color="auto"/>
        <w:widowControl/>
        <w:rPr>
          <w:rFonts w:ascii="宋体" w:hAnsi="宋体"/>
          <w:color w:val="auto"/>
          <w:szCs w:val="21"/>
          <w:highlight w:val="none"/>
        </w:rPr>
      </w:pPr>
      <w:r>
        <w:rPr>
          <w:rFonts w:ascii="宋体" w:hAnsi="宋体"/>
          <w:color w:val="auto"/>
          <w:szCs w:val="21"/>
          <w:highlight w:val="none"/>
        </w:rPr>
        <w:t xml:space="preserve">账号：</w:t>
      </w:r>
      <w:r>
        <w:rPr>
          <w:rFonts w:hint="eastAsia" w:ascii="宋体" w:hAnsi="宋体"/>
          <w:color w:val="auto"/>
          <w:szCs w:val="21"/>
          <w:highlight w:val="none"/>
        </w:rPr>
        <w:t xml:space="preserve">543058193738           </w:t>
      </w:r>
      <w:r/>
    </w:p>
    <w:p>
      <w:pPr>
        <w:ind w:firstLine="567"/>
        <w:spacing w:line="400" w:lineRule="exact"/>
        <w:shd w:val="clear" w:color="auto"/>
        <w:widowControl/>
        <w:rPr>
          <w:rFonts w:ascii="宋体" w:hAnsi="宋体"/>
          <w:color w:val="auto"/>
          <w:szCs w:val="21"/>
          <w:highlight w:val="none"/>
        </w:rPr>
      </w:pPr>
      <w:r>
        <w:rPr>
          <w:rFonts w:ascii="宋体" w:hAnsi="宋体"/>
          <w:color w:val="auto"/>
          <w:szCs w:val="21"/>
          <w:highlight w:val="none"/>
        </w:rPr>
        <w:t xml:space="preserve">开户银行：</w:t>
      </w:r>
      <w:r>
        <w:rPr>
          <w:rFonts w:hint="eastAsia" w:ascii="宋体" w:hAnsi="宋体"/>
          <w:color w:val="auto"/>
          <w:szCs w:val="21"/>
          <w:highlight w:val="none"/>
        </w:rPr>
        <w:t xml:space="preserve">中行南园支行</w:t>
      </w:r>
      <w:r/>
    </w:p>
    <w:p>
      <w:pPr>
        <w:numPr>
          <w:ilvl w:val="0"/>
          <w:numId w:val="19"/>
        </w:numPr>
        <w:spacing w:line="400" w:lineRule="exact"/>
        <w:shd w:val="clear" w:color="auto"/>
        <w:tabs>
          <w:tab w:val="left" w:pos="540" w:leader="none"/>
        </w:tabs>
        <w:rPr>
          <w:rFonts w:hint="eastAsia" w:ascii="宋体" w:hAnsi="宋体"/>
          <w:color w:val="auto"/>
          <w:highlight w:val="none"/>
        </w:rPr>
      </w:pPr>
      <w:r>
        <w:rPr>
          <w:rFonts w:hint="eastAsia" w:ascii="宋体" w:hAnsi="宋体"/>
          <w:color w:val="auto"/>
          <w:highlight w:val="none"/>
        </w:rPr>
        <w:t xml:space="preserve">专家评审费：本项目专家评审费由采购人</w:t>
      </w:r>
      <w:r>
        <w:rPr>
          <w:rFonts w:hint="eastAsia" w:ascii="宋体" w:hAnsi="宋体"/>
          <w:color w:val="auto"/>
          <w:highlight w:val="none"/>
          <w:lang w:val="en-US" w:eastAsia="zh-CN"/>
        </w:rPr>
        <w:t xml:space="preserve">按照苏州市专家评审费支付标准</w:t>
      </w:r>
      <w:r>
        <w:rPr>
          <w:rFonts w:hint="eastAsia" w:ascii="宋体" w:hAnsi="宋体"/>
          <w:color w:val="auto"/>
          <w:highlight w:val="none"/>
        </w:rPr>
        <w:t xml:space="preserve">向评审专家直接支付。</w:t>
      </w:r>
      <w:r/>
    </w:p>
    <w:p>
      <w:pPr>
        <w:numPr>
          <w:ilvl w:val="0"/>
          <w:numId w:val="19"/>
        </w:numPr>
        <w:spacing w:line="400" w:lineRule="exact"/>
        <w:shd w:val="clear" w:color="auto"/>
        <w:tabs>
          <w:tab w:val="left" w:pos="540" w:leader="none"/>
        </w:tabs>
        <w:rPr>
          <w:rFonts w:ascii="宋体" w:hAnsi="宋体"/>
          <w:color w:val="auto"/>
          <w:szCs w:val="21"/>
          <w:highlight w:val="none"/>
        </w:rPr>
      </w:pPr>
      <w:r>
        <w:rPr>
          <w:rFonts w:hint="eastAsia" w:ascii="宋体" w:hAnsi="宋体"/>
          <w:color w:val="auto"/>
          <w:highlight w:val="none"/>
        </w:rPr>
        <w:t xml:space="preserve">磋商说明</w:t>
      </w:r>
      <w:r>
        <w:rPr>
          <w:rFonts w:hint="eastAsia" w:ascii="宋体" w:hAnsi="宋体"/>
          <w:color w:val="auto"/>
          <w:szCs w:val="21"/>
          <w:highlight w:val="none"/>
        </w:rPr>
        <w:t xml:space="preserve">：</w:t>
      </w:r>
      <w:r/>
    </w:p>
    <w:p>
      <w:pPr>
        <w:numPr>
          <w:ilvl w:val="0"/>
          <w:numId w:val="22"/>
        </w:numPr>
        <w:spacing w:line="400" w:lineRule="exact"/>
        <w:shd w:val="clear" w:color="auto"/>
        <w:tabs>
          <w:tab w:val="left" w:pos="993" w:leader="none"/>
          <w:tab w:val="left" w:pos="1080" w:leader="none"/>
        </w:tabs>
        <w:rPr>
          <w:rFonts w:ascii="宋体" w:hAnsi="宋体"/>
          <w:color w:val="auto"/>
          <w:highlight w:val="none"/>
        </w:rPr>
      </w:pPr>
      <w:r>
        <w:rPr>
          <w:rFonts w:hint="eastAsia" w:ascii="宋体" w:hAnsi="宋体"/>
          <w:color w:val="auto"/>
          <w:highlight w:val="none"/>
        </w:rPr>
        <w:t xml:space="preserve">不符合供应商资格要求的响应文件将被拒绝；</w:t>
      </w:r>
      <w:r/>
    </w:p>
    <w:p>
      <w:pPr>
        <w:numPr>
          <w:ilvl w:val="0"/>
          <w:numId w:val="22"/>
        </w:numPr>
        <w:spacing w:line="400" w:lineRule="exact"/>
        <w:shd w:val="clear" w:color="auto"/>
        <w:tabs>
          <w:tab w:val="left" w:pos="993" w:leader="none"/>
          <w:tab w:val="left" w:pos="1080" w:leader="none"/>
        </w:tabs>
        <w:rPr>
          <w:rFonts w:ascii="宋体" w:hAnsi="宋体"/>
          <w:color w:val="auto"/>
          <w:highlight w:val="none"/>
        </w:rPr>
      </w:pPr>
      <w:r>
        <w:rPr>
          <w:rFonts w:hint="eastAsia" w:ascii="宋体" w:hAnsi="宋体"/>
          <w:color w:val="auto"/>
          <w:highlight w:val="none"/>
        </w:rPr>
        <w:t xml:space="preserve">响应文件签署不符合要求的，响应文件将被拒绝；</w:t>
      </w:r>
      <w:r/>
    </w:p>
    <w:p>
      <w:pPr>
        <w:numPr>
          <w:ilvl w:val="0"/>
          <w:numId w:val="22"/>
        </w:numPr>
        <w:spacing w:line="400" w:lineRule="exact"/>
        <w:shd w:val="clear" w:color="auto"/>
        <w:tabs>
          <w:tab w:val="left" w:pos="993" w:leader="none"/>
          <w:tab w:val="left" w:pos="1080" w:leader="none"/>
        </w:tabs>
        <w:rPr>
          <w:rFonts w:ascii="宋体" w:hAnsi="宋体"/>
          <w:color w:val="auto"/>
          <w:highlight w:val="none"/>
        </w:rPr>
      </w:pPr>
      <w:r>
        <w:rPr>
          <w:rFonts w:hint="eastAsia" w:ascii="宋体" w:hAnsi="宋体" w:cs="宋体"/>
          <w:color w:val="auto"/>
          <w:highlight w:val="none"/>
        </w:rPr>
        <w:t xml:space="preserve">不同投标人存在投标(响应)文件制作机器码一致的，视为无效响应；</w:t>
      </w:r>
      <w:r>
        <w:rPr>
          <w:rFonts w:hint="eastAsia" w:ascii="宋体" w:hAnsi="宋体"/>
          <w:color w:val="auto"/>
          <w:highlight w:val="none"/>
        </w:rPr>
        <w:t xml:space="preserve"> </w:t>
      </w:r>
      <w:r/>
    </w:p>
    <w:p>
      <w:pPr>
        <w:numPr>
          <w:ilvl w:val="0"/>
          <w:numId w:val="22"/>
        </w:numPr>
        <w:spacing w:line="400" w:lineRule="exact"/>
        <w:shd w:val="clear" w:color="auto"/>
        <w:tabs>
          <w:tab w:val="left" w:pos="993" w:leader="none"/>
          <w:tab w:val="left" w:pos="1080" w:leader="none"/>
        </w:tabs>
        <w:rPr>
          <w:rFonts w:ascii="宋体" w:hAnsi="宋体"/>
          <w:color w:val="auto"/>
          <w:highlight w:val="none"/>
        </w:rPr>
      </w:pPr>
      <w:r>
        <w:rPr>
          <w:rFonts w:hint="eastAsia" w:ascii="宋体" w:hAnsi="宋体"/>
          <w:color w:val="auto"/>
          <w:highlight w:val="none"/>
        </w:rPr>
        <w:t xml:space="preserve">二次报价超过采购预算的，不能成交；</w:t>
      </w:r>
      <w:r/>
    </w:p>
    <w:p>
      <w:pPr>
        <w:numPr>
          <w:ilvl w:val="0"/>
          <w:numId w:val="22"/>
        </w:numPr>
        <w:spacing w:line="400" w:lineRule="exact"/>
        <w:shd w:val="clear" w:color="auto"/>
        <w:tabs>
          <w:tab w:val="left" w:pos="993" w:leader="none"/>
          <w:tab w:val="left" w:pos="1080" w:leader="none"/>
        </w:tabs>
        <w:rPr>
          <w:rFonts w:ascii="宋体" w:hAnsi="宋体"/>
          <w:bCs/>
          <w:color w:val="auto"/>
          <w:highlight w:val="none"/>
        </w:rPr>
      </w:pPr>
      <w:r>
        <w:rPr>
          <w:rFonts w:hint="eastAsia" w:ascii="宋体" w:hAnsi="宋体"/>
          <w:color w:val="auto"/>
          <w:highlight w:val="none"/>
        </w:rPr>
        <w:t xml:space="preserve">供应商的二次报价均超过采购预算的，采购失败。</w:t>
      </w:r>
      <w:r/>
    </w:p>
    <w:p>
      <w:pPr>
        <w:numPr>
          <w:ilvl w:val="0"/>
          <w:numId w:val="19"/>
        </w:numPr>
        <w:spacing w:line="400" w:lineRule="exact"/>
        <w:shd w:val="clear" w:color="auto"/>
        <w:tabs>
          <w:tab w:val="left" w:pos="540" w:leader="none"/>
        </w:tabs>
        <w:rPr>
          <w:rFonts w:ascii="宋体" w:hAnsi="宋体"/>
          <w:color w:val="auto"/>
          <w:szCs w:val="21"/>
          <w:highlight w:val="none"/>
        </w:rPr>
      </w:pPr>
      <w:r>
        <w:rPr>
          <w:rFonts w:ascii="宋体" w:hAnsi="宋体"/>
          <w:color w:val="auto"/>
          <w:szCs w:val="21"/>
          <w:highlight w:val="none"/>
        </w:rPr>
        <w:t xml:space="preserve">信用</w:t>
      </w:r>
      <w:r>
        <w:rPr>
          <w:rFonts w:ascii="宋体" w:hAnsi="宋体"/>
          <w:color w:val="auto"/>
          <w:highlight w:val="none"/>
        </w:rPr>
        <w:t xml:space="preserve">记录</w:t>
      </w:r>
      <w:r>
        <w:rPr>
          <w:rFonts w:ascii="宋体" w:hAnsi="宋体"/>
          <w:color w:val="auto"/>
          <w:szCs w:val="21"/>
          <w:highlight w:val="none"/>
        </w:rPr>
        <w:t xml:space="preserve">：</w:t>
      </w:r>
      <w:r/>
    </w:p>
    <w:p>
      <w:pPr>
        <w:numPr>
          <w:ilvl w:val="0"/>
          <w:numId w:val="23"/>
        </w:numPr>
        <w:spacing w:line="400" w:lineRule="exact"/>
        <w:shd w:val="clear" w:color="auto"/>
        <w:tabs>
          <w:tab w:val="left" w:pos="993" w:leader="none"/>
        </w:tabs>
        <w:rPr>
          <w:rFonts w:ascii="宋体" w:hAnsi="宋体"/>
          <w:color w:val="auto"/>
          <w:szCs w:val="21"/>
          <w:highlight w:val="none"/>
        </w:rPr>
      </w:pPr>
      <w:r>
        <w:rPr>
          <w:rFonts w:hint="eastAsia" w:ascii="宋体" w:hAnsi="宋体"/>
          <w:color w:val="auto"/>
          <w:szCs w:val="21"/>
          <w:highlight w:val="none"/>
        </w:rPr>
        <w:t xml:space="preserve">采购代理机构会在接收响应文件截止时间前，在信用中国等网站输入供应商全称或统一社会信用代码查询信用记录，并将查询结果递交评审小组。</w:t>
      </w:r>
      <w:r/>
    </w:p>
    <w:p>
      <w:pPr>
        <w:numPr>
          <w:ilvl w:val="0"/>
          <w:numId w:val="23"/>
        </w:numPr>
        <w:spacing w:line="400" w:lineRule="exact"/>
        <w:shd w:val="clear" w:color="auto"/>
        <w:tabs>
          <w:tab w:val="left" w:pos="993" w:leader="none"/>
        </w:tabs>
        <w:rPr>
          <w:rFonts w:ascii="宋体" w:hAnsi="宋体"/>
          <w:color w:val="auto"/>
          <w:szCs w:val="21"/>
          <w:highlight w:val="none"/>
        </w:rPr>
      </w:pPr>
      <w:r>
        <w:rPr>
          <w:rFonts w:hint="eastAsia" w:ascii="宋体" w:hAnsi="宋体"/>
          <w:color w:val="auto"/>
          <w:szCs w:val="21"/>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代理机构在对供应商进行资格性审查时，应根据查询结果对供应商的不良信用记录逐项甄别确认。按照《中华人民共和国政府采购法》第二十二条规定，下列信用记录属于应依法拒绝供应商参加采购的失信信息：</w:t>
      </w:r>
      <w:r/>
    </w:p>
    <w:p>
      <w:pPr>
        <w:numPr>
          <w:ilvl w:val="0"/>
          <w:numId w:val="24"/>
        </w:numPr>
        <w:ind w:left="567" w:firstLine="420"/>
        <w:spacing w:line="400" w:lineRule="exact"/>
        <w:shd w:val="clear" w:color="auto"/>
        <w:tabs>
          <w:tab w:val="left" w:pos="840" w:leader="none"/>
        </w:tabs>
        <w:rPr>
          <w:rFonts w:ascii="宋体" w:hAnsi="宋体"/>
          <w:color w:val="auto"/>
          <w:szCs w:val="21"/>
          <w:highlight w:val="none"/>
        </w:rPr>
      </w:pPr>
      <w:r>
        <w:rPr>
          <w:rFonts w:hint="eastAsia" w:ascii="宋体" w:hAnsi="宋体"/>
          <w:color w:val="auto"/>
          <w:szCs w:val="21"/>
          <w:highlight w:val="none"/>
        </w:rPr>
        <w:t xml:space="preserve">政府采购严重违法记录，即供应商被全国各级财政部门列入“政府采购严重违法失信行为记录名单”，且在处罚有效期内的。</w:t>
      </w:r>
      <w:r/>
    </w:p>
    <w:p>
      <w:pPr>
        <w:numPr>
          <w:ilvl w:val="0"/>
          <w:numId w:val="24"/>
        </w:numPr>
        <w:ind w:left="567" w:firstLine="420"/>
        <w:spacing w:line="400" w:lineRule="exact"/>
        <w:shd w:val="clear" w:color="auto"/>
        <w:tabs>
          <w:tab w:val="left" w:pos="840" w:leader="none"/>
        </w:tabs>
        <w:rPr>
          <w:rFonts w:ascii="宋体" w:hAnsi="宋体"/>
          <w:color w:val="auto"/>
          <w:szCs w:val="21"/>
          <w:highlight w:val="none"/>
        </w:rPr>
      </w:pPr>
      <w:r>
        <w:rPr>
          <w:rFonts w:hint="eastAsia" w:ascii="宋体" w:hAnsi="宋体"/>
          <w:color w:val="auto"/>
          <w:szCs w:val="21"/>
          <w:highlight w:val="none"/>
        </w:rPr>
        <w:t xml:space="preserve">财政部门与法院、工商、税务等部门联合惩戒的失信信息，包括：</w:t>
      </w:r>
      <w:r/>
    </w:p>
    <w:p>
      <w:pPr>
        <w:numPr>
          <w:ilvl w:val="0"/>
          <w:numId w:val="25"/>
        </w:numPr>
        <w:ind w:left="567" w:firstLine="420"/>
        <w:spacing w:line="400" w:lineRule="exact"/>
        <w:shd w:val="clear" w:color="auto"/>
        <w:tabs>
          <w:tab w:val="left" w:pos="840" w:leader="none"/>
        </w:tabs>
        <w:rPr>
          <w:rFonts w:ascii="宋体" w:hAnsi="宋体"/>
          <w:color w:val="auto"/>
          <w:szCs w:val="21"/>
          <w:highlight w:val="none"/>
        </w:rPr>
      </w:pPr>
      <w:r>
        <w:rPr>
          <w:rFonts w:hint="eastAsia" w:ascii="宋体" w:hAnsi="宋体"/>
          <w:color w:val="auto"/>
          <w:szCs w:val="21"/>
          <w:highlight w:val="none"/>
        </w:rPr>
        <w:t xml:space="preserve">被列入失信被执行人名单；</w:t>
      </w:r>
      <w:r/>
    </w:p>
    <w:p>
      <w:pPr>
        <w:numPr>
          <w:ilvl w:val="0"/>
          <w:numId w:val="25"/>
        </w:numPr>
        <w:ind w:left="567" w:firstLine="420"/>
        <w:spacing w:line="400" w:lineRule="exact"/>
        <w:shd w:val="clear" w:color="auto"/>
        <w:tabs>
          <w:tab w:val="left" w:pos="840" w:leader="none"/>
        </w:tabs>
        <w:rPr>
          <w:rFonts w:ascii="宋体" w:hAnsi="宋体"/>
          <w:color w:val="auto"/>
          <w:szCs w:val="21"/>
          <w:highlight w:val="none"/>
        </w:rPr>
      </w:pPr>
      <w:r>
        <w:rPr>
          <w:rFonts w:hint="eastAsia" w:ascii="宋体" w:hAnsi="宋体"/>
          <w:color w:val="auto"/>
          <w:szCs w:val="21"/>
          <w:highlight w:val="none"/>
        </w:rPr>
        <w:t xml:space="preserve">被列入重大税收违法案件当事人名单；</w:t>
      </w:r>
      <w:r/>
    </w:p>
    <w:p>
      <w:pPr>
        <w:numPr>
          <w:ilvl w:val="0"/>
          <w:numId w:val="25"/>
        </w:numPr>
        <w:ind w:left="567" w:firstLine="420"/>
        <w:spacing w:line="400" w:lineRule="exact"/>
        <w:shd w:val="clear" w:color="auto"/>
        <w:tabs>
          <w:tab w:val="left" w:pos="840" w:leader="none"/>
        </w:tabs>
        <w:rPr>
          <w:rFonts w:ascii="宋体" w:hAnsi="宋体"/>
          <w:color w:val="auto"/>
          <w:szCs w:val="21"/>
          <w:highlight w:val="none"/>
        </w:rPr>
      </w:pPr>
      <w:r>
        <w:rPr>
          <w:rFonts w:hint="eastAsia" w:ascii="宋体" w:hAnsi="宋体"/>
          <w:color w:val="auto"/>
          <w:szCs w:val="21"/>
          <w:highlight w:val="none"/>
        </w:rPr>
        <w:t xml:space="preserve">企业经营异常名录中被责令停产停业、暂扣或者吊销许可证或者执照，或者对经营活动中的违法行为处以较大数额罚款的信用记录。处罚生效日至递交（响应）文件日未满三年的。</w:t>
      </w:r>
      <w:r/>
    </w:p>
    <w:p>
      <w:pPr>
        <w:numPr>
          <w:ilvl w:val="0"/>
          <w:numId w:val="23"/>
        </w:numPr>
        <w:spacing w:line="400" w:lineRule="exact"/>
        <w:shd w:val="clear" w:color="auto"/>
        <w:tabs>
          <w:tab w:val="left" w:pos="993" w:leader="none"/>
        </w:tabs>
        <w:rPr>
          <w:rFonts w:ascii="宋体" w:hAnsi="宋体"/>
          <w:color w:val="auto"/>
          <w:szCs w:val="21"/>
          <w:highlight w:val="none"/>
        </w:rPr>
      </w:pPr>
      <w:r>
        <w:rPr>
          <w:rFonts w:hint="eastAsia" w:ascii="宋体" w:hAnsi="宋体"/>
          <w:color w:val="auto"/>
          <w:szCs w:val="21"/>
          <w:highlight w:val="none"/>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19"/>
        </w:numPr>
        <w:spacing w:line="400" w:lineRule="exact"/>
        <w:shd w:val="clear" w:color="auto"/>
        <w:tabs>
          <w:tab w:val="left" w:pos="540" w:leader="none"/>
        </w:tabs>
        <w:rPr>
          <w:rFonts w:ascii="宋体" w:hAnsi="宋体"/>
          <w:color w:val="auto"/>
          <w:szCs w:val="21"/>
          <w:highlight w:val="none"/>
        </w:rPr>
      </w:pPr>
      <w:r>
        <w:rPr>
          <w:rFonts w:hint="eastAsia" w:ascii="宋体" w:hAnsi="宋体"/>
          <w:color w:val="auto"/>
          <w:highlight w:val="none"/>
        </w:rPr>
        <w:t xml:space="preserve">针对</w:t>
      </w:r>
      <w:r>
        <w:rPr>
          <w:rFonts w:hint="eastAsia" w:ascii="宋体" w:hAnsi="宋体"/>
          <w:color w:val="auto"/>
          <w:szCs w:val="21"/>
          <w:highlight w:val="none"/>
        </w:rPr>
        <w:t xml:space="preserve">中小企业、监狱企业、残疾人企业的评审：</w:t>
      </w:r>
      <w:r/>
    </w:p>
    <w:p>
      <w:pPr>
        <w:ind w:left="540"/>
        <w:spacing w:line="400" w:lineRule="exact"/>
        <w:shd w:val="clear" w:color="auto"/>
        <w:tabs>
          <w:tab w:val="left" w:pos="540" w:leader="none"/>
        </w:tabs>
        <w:rPr>
          <w:rFonts w:ascii="宋体" w:hAnsi="宋体"/>
          <w:color w:val="auto"/>
          <w:highlight w:val="none"/>
        </w:rPr>
      </w:pPr>
      <w:r>
        <w:rPr>
          <w:rFonts w:hint="eastAsia" w:ascii="宋体" w:hAnsi="宋体"/>
          <w:color w:val="auto"/>
          <w:szCs w:val="21"/>
          <w:highlight w:val="none"/>
        </w:rPr>
        <w:t xml:space="preserve">根据</w:t>
      </w:r>
      <w:r>
        <w:rPr>
          <w:rFonts w:hint="eastAsia" w:ascii="宋体" w:hAnsi="宋体"/>
          <w:color w:val="auto"/>
          <w:highlight w:val="none"/>
        </w:rPr>
        <w:t xml:space="preserve">《政府采购促进中小企业发展管理办法》（财库〔2020〕46号）、《关于促进残疾人就业政</w:t>
      </w:r>
      <w:r>
        <w:rPr>
          <w:rFonts w:hint="eastAsia" w:ascii="宋体" w:hAnsi="宋体"/>
          <w:color w:val="auto"/>
          <w:highlight w:val="none"/>
        </w:rPr>
        <w:t xml:space="preserve">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w:t>
      </w:r>
      <w:r/>
    </w:p>
    <w:p>
      <w:pPr>
        <w:ind w:left="540"/>
        <w:spacing w:line="400" w:lineRule="exact"/>
        <w:shd w:val="clear" w:color="auto"/>
        <w:tabs>
          <w:tab w:val="left" w:pos="540" w:leader="none"/>
        </w:tabs>
        <w:rPr>
          <w:rFonts w:ascii="宋体" w:hAnsi="宋体"/>
          <w:color w:val="auto"/>
          <w:highlight w:val="none"/>
        </w:rPr>
      </w:pPr>
      <w:r>
        <w:rPr>
          <w:rFonts w:hint="eastAsia" w:ascii="宋体" w:hAnsi="宋体"/>
          <w:color w:val="auto"/>
          <w:highlight w:val="none"/>
        </w:rPr>
        <w:t xml:space="preserve">注：</w:t>
      </w:r>
      <w:r/>
    </w:p>
    <w:p>
      <w:pPr>
        <w:ind w:left="540"/>
        <w:spacing w:line="400" w:lineRule="exact"/>
        <w:shd w:val="clear" w:color="auto"/>
        <w:tabs>
          <w:tab w:val="left" w:pos="540" w:leader="none"/>
        </w:tabs>
        <w:rPr>
          <w:rFonts w:ascii="宋体" w:hAnsi="宋体"/>
          <w:color w:val="auto"/>
          <w:highlight w:val="none"/>
        </w:rPr>
      </w:pPr>
      <w:r>
        <w:rPr>
          <w:rFonts w:hint="eastAsia" w:ascii="宋体" w:hAnsi="宋体"/>
          <w:color w:val="auto"/>
          <w:highlight w:val="none"/>
        </w:rPr>
        <w:t xml:space="preserve">①填报“中小企业声明函”需严格按“工信部联企业〔2011〕300号通知中的《中小企业划型标准规定》进行。</w:t>
      </w:r>
      <w:r/>
    </w:p>
    <w:p>
      <w:pPr>
        <w:ind w:left="540"/>
        <w:spacing w:line="400" w:lineRule="exact"/>
        <w:shd w:val="clear" w:color="auto"/>
        <w:tabs>
          <w:tab w:val="left" w:pos="540" w:leader="none"/>
        </w:tabs>
        <w:rPr>
          <w:rFonts w:ascii="宋体" w:hAnsi="宋体"/>
          <w:color w:val="auto"/>
          <w:szCs w:val="21"/>
          <w:highlight w:val="none"/>
        </w:rPr>
      </w:pPr>
      <w:r>
        <w:rPr>
          <w:rFonts w:hint="eastAsia" w:ascii="宋体" w:hAnsi="宋体"/>
          <w:color w:val="auto"/>
          <w:highlight w:val="none"/>
        </w:rPr>
        <w:t xml:space="preserve">②若供应商提供的声明函或认定证明为虚假材料，按“政府采购法”相关规定处理并报请政府监管部门给予行政处罚。</w:t>
      </w:r>
      <w:r/>
    </w:p>
    <w:p>
      <w:pPr>
        <w:numPr>
          <w:ilvl w:val="0"/>
          <w:numId w:val="19"/>
        </w:numPr>
        <w:spacing w:line="400" w:lineRule="exact"/>
        <w:shd w:val="clear" w:color="auto"/>
        <w:tabs>
          <w:tab w:val="left" w:pos="540" w:leader="none"/>
        </w:tabs>
        <w:rPr>
          <w:rFonts w:ascii="宋体" w:hAnsi="宋体"/>
          <w:color w:val="auto"/>
          <w:szCs w:val="21"/>
          <w:highlight w:val="none"/>
        </w:rPr>
      </w:pPr>
      <w:r>
        <w:rPr>
          <w:rFonts w:hint="eastAsia" w:ascii="宋体" w:hAnsi="宋体"/>
          <w:color w:val="auto"/>
          <w:highlight w:val="none"/>
        </w:rPr>
        <w:t xml:space="preserve">质疑</w:t>
      </w:r>
      <w:r>
        <w:rPr>
          <w:rFonts w:hint="eastAsia" w:ascii="宋体" w:hAnsi="宋体"/>
          <w:color w:val="auto"/>
          <w:szCs w:val="21"/>
          <w:highlight w:val="none"/>
        </w:rPr>
        <w:t xml:space="preserve">事项</w:t>
      </w:r>
      <w:r/>
    </w:p>
    <w:p>
      <w:pPr>
        <w:numPr>
          <w:ilvl w:val="0"/>
          <w:numId w:val="26"/>
        </w:numPr>
        <w:spacing w:line="400" w:lineRule="exact"/>
        <w:shd w:val="clear" w:color="auto"/>
        <w:tabs>
          <w:tab w:val="left" w:pos="993" w:leader="none"/>
        </w:tabs>
        <w:rPr>
          <w:rFonts w:ascii="宋体" w:hAnsi="宋体"/>
          <w:bCs/>
          <w:color w:val="auto"/>
          <w:szCs w:val="21"/>
          <w:highlight w:val="none"/>
        </w:rPr>
      </w:pPr>
      <w:r>
        <w:rPr>
          <w:rFonts w:hint="eastAsia" w:ascii="宋体" w:hAnsi="宋体"/>
          <w:bCs/>
          <w:color w:val="auto"/>
          <w:szCs w:val="21"/>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ind w:left="1020"/>
        <w:spacing w:line="400" w:lineRule="exact"/>
        <w:shd w:val="clear" w:color="auto"/>
        <w:tabs>
          <w:tab w:val="left" w:pos="567" w:leader="none"/>
        </w:tabs>
        <w:rPr>
          <w:rFonts w:ascii="宋体" w:hAnsi="宋体"/>
          <w:bCs/>
          <w:color w:val="auto"/>
          <w:szCs w:val="21"/>
          <w:highlight w:val="none"/>
        </w:rPr>
      </w:pPr>
      <w:r>
        <w:rPr>
          <w:rFonts w:hint="eastAsia" w:ascii="宋体" w:hAnsi="宋体"/>
          <w:bCs/>
          <w:color w:val="auto"/>
          <w:szCs w:val="21"/>
          <w:highlight w:val="none"/>
        </w:rPr>
        <w:t xml:space="preserve">①对可以质疑的采购文件提出质疑的，为收到采购文件之日或者采购文件公告期限届满之日；</w:t>
      </w:r>
      <w:r/>
    </w:p>
    <w:p>
      <w:pPr>
        <w:ind w:left="1020"/>
        <w:spacing w:line="400" w:lineRule="exact"/>
        <w:shd w:val="clear" w:color="auto"/>
        <w:tabs>
          <w:tab w:val="left" w:pos="567" w:leader="none"/>
        </w:tabs>
        <w:rPr>
          <w:rFonts w:ascii="宋体" w:hAnsi="宋体"/>
          <w:bCs/>
          <w:color w:val="auto"/>
          <w:szCs w:val="21"/>
          <w:highlight w:val="none"/>
        </w:rPr>
      </w:pPr>
      <w:r>
        <w:rPr>
          <w:rFonts w:hint="eastAsia" w:ascii="宋体" w:hAnsi="宋体"/>
          <w:bCs/>
          <w:color w:val="auto"/>
          <w:szCs w:val="21"/>
          <w:highlight w:val="none"/>
        </w:rPr>
        <w:t xml:space="preserve">②对采购过程提出质疑的，为各采购程序环节结束之日；</w:t>
      </w:r>
      <w:r/>
    </w:p>
    <w:p>
      <w:pPr>
        <w:ind w:left="1020"/>
        <w:spacing w:line="400" w:lineRule="exact"/>
        <w:shd w:val="clear" w:color="auto"/>
        <w:tabs>
          <w:tab w:val="left" w:pos="567" w:leader="none"/>
        </w:tabs>
        <w:rPr>
          <w:rFonts w:ascii="宋体" w:hAnsi="宋体"/>
          <w:bCs/>
          <w:color w:val="auto"/>
          <w:szCs w:val="21"/>
          <w:highlight w:val="none"/>
        </w:rPr>
      </w:pPr>
      <w:r>
        <w:rPr>
          <w:rFonts w:hint="eastAsia" w:ascii="宋体" w:hAnsi="宋体"/>
          <w:bCs/>
          <w:color w:val="auto"/>
          <w:szCs w:val="21"/>
          <w:highlight w:val="none"/>
        </w:rPr>
        <w:t xml:space="preserve">③对中标或者成交结果提出质疑的，为中标或者成交结果公告期限届满之日。 </w:t>
      </w:r>
      <w:r/>
    </w:p>
    <w:p>
      <w:pPr>
        <w:numPr>
          <w:ilvl w:val="0"/>
          <w:numId w:val="26"/>
        </w:numPr>
        <w:spacing w:line="400" w:lineRule="exact"/>
        <w:shd w:val="clear" w:color="auto"/>
        <w:tabs>
          <w:tab w:val="left" w:pos="993" w:leader="none"/>
        </w:tabs>
        <w:rPr>
          <w:rFonts w:ascii="宋体" w:hAnsi="宋体"/>
          <w:color w:val="auto"/>
          <w:szCs w:val="21"/>
          <w:highlight w:val="none"/>
        </w:rPr>
      </w:pPr>
      <w:r>
        <w:rPr>
          <w:rFonts w:hint="eastAsia" w:ascii="宋体" w:hAnsi="宋体"/>
          <w:bCs/>
          <w:color w:val="auto"/>
          <w:szCs w:val="21"/>
          <w:highlight w:val="none"/>
        </w:rPr>
        <w:t xml:space="preserve">提出质疑的供应商应当是参与所质疑项目采购活动的供应商，未依照采购公告要求获取采购文件的供应</w:t>
      </w:r>
      <w:r>
        <w:rPr>
          <w:rFonts w:hint="eastAsia" w:ascii="宋体" w:hAnsi="宋体"/>
          <w:color w:val="auto"/>
          <w:szCs w:val="21"/>
          <w:highlight w:val="none"/>
        </w:rPr>
        <w:t xml:space="preserve">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26"/>
        </w:numPr>
        <w:spacing w:line="400" w:lineRule="exact"/>
        <w:shd w:val="clear" w:color="auto"/>
        <w:tabs>
          <w:tab w:val="left" w:pos="993" w:leader="none"/>
        </w:tabs>
        <w:rPr>
          <w:rFonts w:ascii="宋体" w:hAnsi="宋体"/>
          <w:bCs/>
          <w:color w:val="auto"/>
          <w:szCs w:val="21"/>
          <w:highlight w:val="none"/>
        </w:rPr>
      </w:pPr>
      <w:r>
        <w:rPr>
          <w:rFonts w:hint="eastAsia" w:ascii="宋体" w:hAnsi="宋体"/>
          <w:color w:val="auto"/>
          <w:szCs w:val="21"/>
          <w:highlight w:val="none"/>
        </w:rPr>
        <w:t xml:space="preserve">供</w:t>
      </w:r>
      <w:r>
        <w:rPr>
          <w:rFonts w:hint="eastAsia" w:ascii="宋体" w:hAnsi="宋体"/>
          <w:bCs/>
          <w:color w:val="auto"/>
          <w:szCs w:val="21"/>
          <w:highlight w:val="none"/>
        </w:rPr>
        <w:t xml:space="preserve">应商应当在法定质疑期内一次性提出针对同一采购程序环节的质疑。供应商如在法定期限内对同一采购程序环节提出多次质疑的，代理将只对供应商第一次质疑作出答复。</w:t>
      </w:r>
      <w:r>
        <w:rPr>
          <w:rFonts w:ascii="宋体" w:hAnsi="宋体"/>
          <w:bCs/>
          <w:color w:val="auto"/>
          <w:szCs w:val="21"/>
          <w:highlight w:val="none"/>
        </w:rPr>
        <w:t xml:space="preserve">迟于相关规定时间提交的</w:t>
      </w:r>
      <w:r>
        <w:rPr>
          <w:rFonts w:hint="eastAsia" w:ascii="宋体" w:hAnsi="宋体"/>
          <w:bCs/>
          <w:color w:val="auto"/>
          <w:szCs w:val="21"/>
          <w:highlight w:val="none"/>
        </w:rPr>
        <w:t xml:space="preserve">质疑</w:t>
      </w:r>
      <w:r>
        <w:rPr>
          <w:rFonts w:ascii="宋体" w:hAnsi="宋体"/>
          <w:bCs/>
          <w:color w:val="auto"/>
          <w:szCs w:val="21"/>
          <w:highlight w:val="none"/>
        </w:rPr>
        <w:t xml:space="preserve">，</w:t>
      </w:r>
      <w:r>
        <w:rPr>
          <w:rFonts w:hint="eastAsia" w:ascii="宋体" w:hAnsi="宋体"/>
          <w:bCs/>
          <w:color w:val="auto"/>
          <w:szCs w:val="21"/>
          <w:highlight w:val="none"/>
        </w:rPr>
        <w:t xml:space="preserve">采购方或</w:t>
      </w:r>
      <w:r>
        <w:rPr>
          <w:rFonts w:ascii="宋体" w:hAnsi="宋体"/>
          <w:bCs/>
          <w:color w:val="auto"/>
          <w:szCs w:val="21"/>
          <w:highlight w:val="none"/>
        </w:rPr>
        <w:t xml:space="preserve">采购代理机构</w:t>
      </w:r>
      <w:r>
        <w:rPr>
          <w:rFonts w:hint="eastAsia" w:ascii="宋体" w:hAnsi="宋体"/>
          <w:bCs/>
          <w:color w:val="auto"/>
          <w:szCs w:val="21"/>
          <w:highlight w:val="none"/>
        </w:rPr>
        <w:t xml:space="preserve">将按照相关法律法规的规定</w:t>
      </w:r>
      <w:r>
        <w:rPr>
          <w:rFonts w:ascii="宋体" w:hAnsi="宋体"/>
          <w:bCs/>
          <w:color w:val="auto"/>
          <w:szCs w:val="21"/>
          <w:highlight w:val="none"/>
        </w:rPr>
        <w:t xml:space="preserve">拒绝回答</w:t>
      </w:r>
      <w:r>
        <w:rPr>
          <w:rFonts w:hint="eastAsia" w:ascii="宋体" w:hAnsi="宋体"/>
          <w:bCs/>
          <w:color w:val="auto"/>
          <w:szCs w:val="21"/>
          <w:highlight w:val="none"/>
        </w:rPr>
        <w:t xml:space="preserve">。</w:t>
      </w:r>
      <w:r/>
    </w:p>
    <w:p>
      <w:pPr>
        <w:ind w:left="1020"/>
        <w:spacing w:line="400" w:lineRule="exact"/>
        <w:shd w:val="clear" w:color="auto"/>
        <w:tabs>
          <w:tab w:val="left" w:pos="567" w:leader="none"/>
        </w:tabs>
        <w:rPr>
          <w:rFonts w:ascii="宋体" w:hAnsi="宋体"/>
          <w:bCs/>
          <w:color w:val="auto"/>
          <w:szCs w:val="21"/>
          <w:highlight w:val="none"/>
        </w:rPr>
      </w:pPr>
      <w:r>
        <w:rPr>
          <w:rFonts w:hint="eastAsia" w:ascii="宋体" w:hAnsi="宋体"/>
          <w:bCs/>
          <w:color w:val="auto"/>
          <w:szCs w:val="21"/>
          <w:highlight w:val="none"/>
        </w:rPr>
        <w:t xml:space="preserve">质疑联系部门：业务部-金健</w:t>
      </w:r>
      <w:r/>
    </w:p>
    <w:p>
      <w:pPr>
        <w:ind w:left="1020"/>
        <w:spacing w:line="400" w:lineRule="exact"/>
        <w:shd w:val="clear" w:color="auto"/>
        <w:tabs>
          <w:tab w:val="left" w:pos="567" w:leader="none"/>
        </w:tabs>
        <w:rPr>
          <w:rFonts w:ascii="宋体" w:hAnsi="宋体"/>
          <w:bCs/>
          <w:color w:val="auto"/>
          <w:szCs w:val="21"/>
          <w:highlight w:val="none"/>
        </w:rPr>
      </w:pPr>
      <w:r>
        <w:rPr>
          <w:rFonts w:hint="eastAsia" w:ascii="宋体" w:hAnsi="宋体"/>
          <w:bCs/>
          <w:color w:val="auto"/>
          <w:szCs w:val="21"/>
          <w:highlight w:val="none"/>
        </w:rPr>
        <w:t xml:space="preserve">联系电话：0512-68364647/68361806</w:t>
      </w:r>
      <w:r/>
    </w:p>
    <w:p>
      <w:pPr>
        <w:ind w:left="1020"/>
        <w:spacing w:line="400" w:lineRule="exact"/>
        <w:shd w:val="clear" w:color="auto"/>
        <w:tabs>
          <w:tab w:val="left" w:pos="567" w:leader="none"/>
        </w:tabs>
        <w:rPr>
          <w:rFonts w:ascii="宋体" w:hAnsi="宋体"/>
          <w:bCs/>
          <w:color w:val="auto"/>
          <w:szCs w:val="21"/>
          <w:highlight w:val="none"/>
        </w:rPr>
      </w:pPr>
      <w:r>
        <w:rPr>
          <w:rFonts w:hint="eastAsia" w:ascii="宋体" w:hAnsi="宋体"/>
          <w:bCs/>
          <w:color w:val="auto"/>
          <w:szCs w:val="21"/>
          <w:highlight w:val="none"/>
        </w:rPr>
        <w:t xml:space="preserve">通讯地址：</w:t>
      </w:r>
      <w:r>
        <w:rPr>
          <w:rFonts w:hint="eastAsia" w:ascii="宋体" w:hAnsi="宋体" w:cs="宋体"/>
          <w:color w:val="auto"/>
          <w:szCs w:val="21"/>
          <w:highlight w:val="none"/>
        </w:rPr>
        <w:t xml:space="preserve">苏州工业园区苏州大道西313号嘉实大厦东楼5楼</w:t>
      </w:r>
      <w:r/>
    </w:p>
    <w:p>
      <w:pPr>
        <w:numPr>
          <w:ilvl w:val="0"/>
          <w:numId w:val="26"/>
        </w:numPr>
        <w:spacing w:line="400" w:lineRule="exact"/>
        <w:shd w:val="clear" w:color="auto"/>
        <w:tabs>
          <w:tab w:val="left" w:pos="993" w:leader="none"/>
        </w:tabs>
        <w:rPr>
          <w:rFonts w:ascii="宋体" w:hAnsi="宋体"/>
          <w:bCs/>
          <w:color w:val="auto"/>
          <w:szCs w:val="21"/>
          <w:highlight w:val="none"/>
        </w:rPr>
      </w:pPr>
      <w:r>
        <w:rPr>
          <w:rFonts w:hint="eastAsia" w:ascii="宋体" w:hAnsi="宋体"/>
          <w:bCs/>
          <w:color w:val="auto"/>
          <w:szCs w:val="21"/>
          <w:highlight w:val="none"/>
        </w:rPr>
        <w:t xml:space="preserve">供应商</w:t>
      </w:r>
      <w:r>
        <w:rPr>
          <w:rFonts w:hint="eastAsia" w:ascii="宋体" w:hAnsi="宋体"/>
          <w:color w:val="auto"/>
          <w:szCs w:val="21"/>
          <w:highlight w:val="none"/>
        </w:rPr>
        <w:t xml:space="preserve">可以</w:t>
      </w:r>
      <w:r>
        <w:rPr>
          <w:rFonts w:hint="eastAsia" w:ascii="宋体" w:hAnsi="宋体"/>
          <w:bCs/>
          <w:color w:val="auto"/>
          <w:szCs w:val="21"/>
          <w:highlight w:val="none"/>
        </w:rPr>
        <w:t xml:space="preserve">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26"/>
        </w:numPr>
        <w:spacing w:line="400" w:lineRule="exact"/>
        <w:shd w:val="clear" w:color="auto"/>
        <w:tabs>
          <w:tab w:val="left" w:pos="993" w:leader="none"/>
        </w:tabs>
        <w:rPr>
          <w:rFonts w:ascii="宋体" w:hAnsi="宋体"/>
          <w:bCs/>
          <w:color w:val="auto"/>
          <w:szCs w:val="21"/>
          <w:highlight w:val="none"/>
        </w:rPr>
      </w:pPr>
      <w:r>
        <w:rPr>
          <w:rFonts w:hint="eastAsia" w:ascii="宋体" w:hAnsi="宋体"/>
          <w:bCs/>
          <w:color w:val="auto"/>
          <w:szCs w:val="21"/>
          <w:highlight w:val="none"/>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26"/>
        </w:numPr>
        <w:spacing w:line="400" w:lineRule="exact"/>
        <w:shd w:val="clear" w:color="auto"/>
        <w:tabs>
          <w:tab w:val="left" w:pos="993" w:leader="none"/>
        </w:tabs>
        <w:rPr>
          <w:rFonts w:ascii="宋体" w:hAnsi="宋体"/>
          <w:bCs/>
          <w:color w:val="auto"/>
          <w:szCs w:val="21"/>
          <w:highlight w:val="none"/>
        </w:rPr>
      </w:pPr>
      <w:r>
        <w:rPr>
          <w:rFonts w:hint="eastAsia" w:ascii="宋体" w:hAnsi="宋体"/>
          <w:bCs/>
          <w:color w:val="auto"/>
          <w:szCs w:val="21"/>
          <w:highlight w:val="none"/>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19"/>
        </w:numPr>
        <w:spacing w:line="400" w:lineRule="exact"/>
        <w:shd w:val="clear" w:color="auto"/>
        <w:tabs>
          <w:tab w:val="left" w:pos="540" w:leader="none"/>
        </w:tabs>
        <w:rPr>
          <w:rFonts w:ascii="宋体" w:hAnsi="宋体"/>
          <w:color w:val="auto"/>
          <w:szCs w:val="21"/>
          <w:highlight w:val="none"/>
        </w:rPr>
      </w:pPr>
      <w:r>
        <w:rPr>
          <w:rFonts w:hint="eastAsia" w:ascii="宋体" w:hAnsi="宋体"/>
          <w:color w:val="auto"/>
          <w:highlight w:val="none"/>
        </w:rPr>
        <w:t xml:space="preserve">项目的终止</w:t>
      </w:r>
      <w:r/>
    </w:p>
    <w:p>
      <w:pPr>
        <w:ind w:left="567"/>
        <w:spacing w:line="400" w:lineRule="exact"/>
        <w:shd w:val="clear" w:color="auto"/>
        <w:tabs>
          <w:tab w:val="left" w:pos="567" w:leader="none"/>
        </w:tabs>
        <w:rPr>
          <w:rFonts w:ascii="宋体" w:hAnsi="宋体"/>
          <w:color w:val="auto"/>
          <w:szCs w:val="21"/>
          <w:highlight w:val="none"/>
        </w:rPr>
      </w:pPr>
      <w:r>
        <w:rPr>
          <w:rFonts w:ascii="宋体" w:hAnsi="宋体"/>
          <w:color w:val="auto"/>
          <w:szCs w:val="21"/>
          <w:highlight w:val="none"/>
        </w:rPr>
        <w:t xml:space="preserve">出现下列情形之一的，</w:t>
      </w:r>
      <w:r>
        <w:rPr>
          <w:rFonts w:hint="eastAsia" w:ascii="宋体" w:hAnsi="宋体"/>
          <w:color w:val="auto"/>
          <w:szCs w:val="21"/>
          <w:highlight w:val="none"/>
        </w:rPr>
        <w:t xml:space="preserve">将</w:t>
      </w:r>
      <w:r>
        <w:rPr>
          <w:rFonts w:ascii="宋体" w:hAnsi="宋体"/>
          <w:color w:val="auto"/>
          <w:szCs w:val="21"/>
          <w:highlight w:val="none"/>
        </w:rPr>
        <w:t xml:space="preserve">终止采购活动：</w:t>
      </w:r>
      <w:r/>
    </w:p>
    <w:p>
      <w:pPr>
        <w:numPr>
          <w:ilvl w:val="0"/>
          <w:numId w:val="27"/>
        </w:numPr>
        <w:spacing w:line="400" w:lineRule="exact"/>
        <w:shd w:val="clear" w:color="auto"/>
        <w:tabs>
          <w:tab w:val="left" w:pos="993" w:leader="none"/>
        </w:tabs>
        <w:rPr>
          <w:rFonts w:ascii="宋体" w:hAnsi="宋体"/>
          <w:bCs/>
          <w:color w:val="auto"/>
          <w:szCs w:val="21"/>
          <w:highlight w:val="none"/>
        </w:rPr>
      </w:pPr>
      <w:r>
        <w:rPr>
          <w:rFonts w:hint="eastAsia" w:ascii="宋体" w:hAnsi="宋体"/>
          <w:bCs/>
          <w:color w:val="auto"/>
          <w:szCs w:val="21"/>
          <w:highlight w:val="none"/>
        </w:rPr>
        <w:t xml:space="preserve">因情况变化，不再符合规定的竞争性磋商采购方式适用情形的；</w:t>
      </w:r>
      <w:r/>
    </w:p>
    <w:p>
      <w:pPr>
        <w:numPr>
          <w:ilvl w:val="0"/>
          <w:numId w:val="27"/>
        </w:numPr>
        <w:spacing w:line="400" w:lineRule="exact"/>
        <w:shd w:val="clear" w:color="auto"/>
        <w:tabs>
          <w:tab w:val="left" w:pos="993" w:leader="none"/>
        </w:tabs>
        <w:rPr>
          <w:rFonts w:ascii="宋体" w:hAnsi="宋体"/>
          <w:bCs/>
          <w:color w:val="auto"/>
          <w:szCs w:val="21"/>
          <w:highlight w:val="none"/>
        </w:rPr>
      </w:pPr>
      <w:r>
        <w:rPr>
          <w:rFonts w:hint="eastAsia" w:ascii="宋体" w:hAnsi="宋体"/>
          <w:bCs/>
          <w:color w:val="auto"/>
          <w:szCs w:val="21"/>
          <w:highlight w:val="none"/>
        </w:rPr>
        <w:t xml:space="preserve">出现影响采购公正的违法、违规行为的；</w:t>
      </w:r>
      <w:r/>
    </w:p>
    <w:p>
      <w:pPr>
        <w:numPr>
          <w:ilvl w:val="0"/>
          <w:numId w:val="27"/>
        </w:numPr>
        <w:spacing w:line="400" w:lineRule="exact"/>
        <w:shd w:val="clear" w:color="auto"/>
        <w:tabs>
          <w:tab w:val="left" w:pos="993" w:leader="none"/>
        </w:tabs>
        <w:rPr>
          <w:rFonts w:ascii="宋体" w:hAnsi="宋体"/>
          <w:bCs/>
          <w:color w:val="auto"/>
          <w:szCs w:val="21"/>
          <w:highlight w:val="none"/>
        </w:rPr>
      </w:pPr>
      <w:r>
        <w:rPr>
          <w:rFonts w:hint="eastAsia" w:ascii="宋体" w:hAnsi="宋体"/>
          <w:bCs/>
          <w:color w:val="auto"/>
          <w:szCs w:val="21"/>
          <w:highlight w:val="none"/>
        </w:rPr>
        <w:t xml:space="preserve">在采购</w:t>
      </w:r>
      <w:r>
        <w:rPr>
          <w:rFonts w:ascii="宋体" w:hAnsi="宋体"/>
          <w:color w:val="auto"/>
          <w:szCs w:val="21"/>
          <w:highlight w:val="none"/>
        </w:rPr>
        <w:t xml:space="preserve">过程中符合竞争要求的供应商或者报价未超过采购预算的供应商不足</w:t>
      </w:r>
      <w:r>
        <w:rPr>
          <w:rFonts w:hint="eastAsia" w:ascii="宋体" w:hAnsi="宋体"/>
          <w:color w:val="auto"/>
          <w:szCs w:val="21"/>
          <w:highlight w:val="none"/>
        </w:rPr>
        <w:t xml:space="preserve">三</w:t>
      </w:r>
      <w:r>
        <w:rPr>
          <w:rFonts w:ascii="宋体" w:hAnsi="宋体"/>
          <w:color w:val="auto"/>
          <w:szCs w:val="21"/>
          <w:highlight w:val="none"/>
        </w:rPr>
        <w:t xml:space="preserve">家的。</w:t>
      </w:r>
      <w:r/>
    </w:p>
    <w:p>
      <w:pPr>
        <w:numPr>
          <w:ilvl w:val="0"/>
          <w:numId w:val="5"/>
        </w:numPr>
        <w:spacing w:line="400" w:lineRule="exact"/>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磋商程序：</w:t>
      </w:r>
      <w:r/>
    </w:p>
    <w:p>
      <w:pPr>
        <w:numPr>
          <w:ilvl w:val="0"/>
          <w:numId w:val="28"/>
        </w:numPr>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采购代理机构按本采购文件规定的时间、地点主持磋商采购活动。</w:t>
      </w:r>
      <w:r/>
    </w:p>
    <w:p>
      <w:pPr>
        <w:numPr>
          <w:ilvl w:val="0"/>
          <w:numId w:val="28"/>
        </w:numPr>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供应商通过“苏采云”系统在线参与磋商活动。供应商应当按照《苏采云系统供应商操作手册》规定在“苏采云”系统规定的时间内对响应文件进行解密。</w:t>
      </w:r>
      <w:r/>
    </w:p>
    <w:p>
      <w:pPr>
        <w:numPr>
          <w:ilvl w:val="0"/>
          <w:numId w:val="28"/>
        </w:numPr>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在磋商响应文件网上递交截止时间止成功解密的磋商供应商少于三家，则本次采购失败。</w:t>
      </w:r>
      <w:r/>
    </w:p>
    <w:p>
      <w:pPr>
        <w:numPr>
          <w:ilvl w:val="0"/>
          <w:numId w:val="28"/>
        </w:numPr>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由磋商小组审查供应商解密的响应文件。</w:t>
      </w:r>
      <w:r/>
    </w:p>
    <w:p>
      <w:pPr>
        <w:numPr>
          <w:ilvl w:val="0"/>
          <w:numId w:val="28"/>
        </w:numPr>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28"/>
        </w:numPr>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磋商小组要求供应商澄清、说明或者更正响应文件应当以书面形式做出。供应商的澄清、说明或者更正应当由其单位加盖电子公章。</w:t>
      </w:r>
      <w:r/>
    </w:p>
    <w:p>
      <w:pPr>
        <w:ind w:left="567"/>
        <w:spacing w:line="400" w:lineRule="exact"/>
        <w:shd w:val="clear" w:color="auto"/>
        <w:tabs>
          <w:tab w:val="left" w:pos="567" w:leader="none"/>
        </w:tabs>
        <w:rPr>
          <w:rFonts w:ascii="宋体" w:hAnsi="宋体"/>
          <w:color w:val="auto"/>
          <w:szCs w:val="21"/>
          <w:highlight w:val="none"/>
        </w:rPr>
      </w:pPr>
      <w:r>
        <w:rPr>
          <w:rFonts w:hint="eastAsia" w:ascii="宋体" w:hAnsi="宋体"/>
          <w:color w:val="auto"/>
          <w:szCs w:val="21"/>
          <w:highlight w:val="none"/>
        </w:rPr>
        <w:t xml:space="preserve">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numPr>
          <w:ilvl w:val="0"/>
          <w:numId w:val="28"/>
        </w:numPr>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28"/>
        </w:numPr>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28"/>
        </w:numPr>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磋商结束后，磋商小组将在“苏采云”系统向所有实质性响应的供应商发布“最后报价要求函”及最后报价格式表（如有），要求所有实质性响应的供应商在规定时间内提交最后报价（除因磋商文件修改导致成本增加，供应商二次报价不得超过第一次报价，否则为无效响应报价）。</w:t>
      </w:r>
      <w:r/>
    </w:p>
    <w:p>
      <w:pPr>
        <w:numPr>
          <w:ilvl w:val="0"/>
          <w:numId w:val="28"/>
        </w:numPr>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567"/>
        <w:spacing w:line="400" w:lineRule="exact"/>
        <w:shd w:val="clear" w:color="auto"/>
        <w:tabs>
          <w:tab w:val="left" w:pos="567" w:leader="none"/>
        </w:tabs>
        <w:rPr>
          <w:rFonts w:ascii="宋体" w:hAnsi="宋体"/>
          <w:color w:val="auto"/>
          <w:szCs w:val="21"/>
          <w:highlight w:val="none"/>
        </w:rPr>
      </w:pPr>
      <w:r>
        <w:rPr>
          <w:rFonts w:hint="eastAsia" w:ascii="宋体" w:hAnsi="宋体"/>
          <w:color w:val="auto"/>
          <w:szCs w:val="21"/>
          <w:highlight w:val="none"/>
        </w:rPr>
        <w:t xml:space="preserve">10.1已提交响应文件的供应商，在提交最后报价之前，可以根据磋商情况退出磋商，并在“苏采云”系统中提交“退出磋商函”并加盖CA电子公章。</w:t>
      </w:r>
      <w:r/>
    </w:p>
    <w:p>
      <w:pPr>
        <w:ind w:left="567"/>
        <w:spacing w:line="400" w:lineRule="exact"/>
        <w:shd w:val="clear" w:color="auto"/>
        <w:tabs>
          <w:tab w:val="left" w:pos="567" w:leader="none"/>
        </w:tabs>
        <w:rPr>
          <w:rFonts w:ascii="宋体" w:hAnsi="宋体"/>
          <w:color w:val="auto"/>
          <w:szCs w:val="21"/>
          <w:highlight w:val="none"/>
        </w:rPr>
      </w:pPr>
      <w:r>
        <w:rPr>
          <w:rFonts w:hint="eastAsia" w:ascii="宋体" w:hAnsi="宋体"/>
          <w:color w:val="auto"/>
          <w:szCs w:val="21"/>
          <w:highlight w:val="none"/>
        </w:rPr>
        <w:t xml:space="preserve">10.2进入项目评审流程后，建议各供应商法定代表人或授权委托人始终保持通讯顺畅，及时登录苏采云系统查阅、答复相关信息。 </w:t>
      </w:r>
      <w:r/>
    </w:p>
    <w:p>
      <w:pPr>
        <w:numPr>
          <w:ilvl w:val="0"/>
          <w:numId w:val="28"/>
        </w:numPr>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经磋商确定最终采购需求和提交最后报价的供应商后，由磋商小组采用综合评分法对提交最后报价的供应商的响应文件和最后报价进行综合评分。 </w:t>
      </w:r>
      <w:r/>
    </w:p>
    <w:p>
      <w:pPr>
        <w:numPr>
          <w:ilvl w:val="0"/>
          <w:numId w:val="28"/>
        </w:numPr>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磋商小组根据磋商成交原则确定成交供应商，并将结果通知所有参加磋商的供应商。</w:t>
      </w:r>
      <w:r/>
    </w:p>
    <w:p>
      <w:pPr>
        <w:numPr>
          <w:ilvl w:val="0"/>
          <w:numId w:val="28"/>
        </w:numPr>
        <w:spacing w:line="400" w:lineRule="exact"/>
        <w:shd w:val="clear" w:color="auto"/>
        <w:rPr>
          <w:rFonts w:ascii="宋体" w:hAnsi="宋体" w:cs="宋体"/>
          <w:color w:val="auto"/>
          <w:szCs w:val="21"/>
          <w:highlight w:val="none"/>
        </w:rPr>
      </w:pPr>
      <w:r>
        <w:rPr>
          <w:rFonts w:hint="eastAsia" w:ascii="宋体" w:hAnsi="宋体"/>
          <w:color w:val="auto"/>
          <w:szCs w:val="21"/>
          <w:highlight w:val="none"/>
        </w:rPr>
        <w:t xml:space="preserve">如磋商过程中出现本采购文件未尽事宜，由磋商小组根据政府采购有关法律、法规讨论决定。</w:t>
      </w:r>
      <w:r/>
    </w:p>
    <w:p>
      <w:pPr>
        <w:pStyle w:val="1086"/>
        <w:spacing w:before="0" w:after="0" w:line="400" w:lineRule="exact"/>
        <w:shd w:val="clear" w:color="auto"/>
        <w:rPr>
          <w:color w:val="auto"/>
          <w:highlight w:val="none"/>
        </w:rPr>
      </w:pPr>
      <w:r>
        <w:rPr>
          <w:color w:val="auto"/>
          <w:szCs w:val="21"/>
          <w:highlight w:val="none"/>
        </w:rPr>
        <w:br w:type="page" w:clear="all"/>
      </w:r>
      <w:r>
        <w:rPr>
          <w:rFonts w:hint="eastAsia"/>
          <w:color w:val="auto"/>
          <w:highlight w:val="none"/>
        </w:rPr>
        <w:t xml:space="preserve">第三章 </w:t>
      </w:r>
      <w:r>
        <w:rPr>
          <w:color w:val="auto"/>
          <w:highlight w:val="none"/>
        </w:rPr>
        <w:t xml:space="preserve"> </w:t>
      </w:r>
      <w:r>
        <w:rPr>
          <w:rFonts w:hint="eastAsia"/>
          <w:color w:val="auto"/>
          <w:highlight w:val="none"/>
        </w:rPr>
        <w:t xml:space="preserve">成交原则及评分标准</w:t>
      </w:r>
      <w:r/>
    </w:p>
    <w:p>
      <w:pPr>
        <w:ind w:left="-525"/>
        <w:jc w:val="center"/>
        <w:spacing w:line="400" w:lineRule="exact"/>
        <w:shd w:val="clear" w:color="auto"/>
        <w:tabs>
          <w:tab w:val="left" w:pos="525" w:leader="none"/>
        </w:tabs>
        <w:rPr>
          <w:rFonts w:ascii="宋体" w:hAnsi="宋体"/>
          <w:b/>
          <w:color w:val="auto"/>
          <w:highlight w:val="none"/>
        </w:rPr>
      </w:pPr>
      <w:r>
        <w:rPr>
          <w:rFonts w:hint="eastAsia" w:ascii="宋体" w:hAnsi="宋体"/>
          <w:b/>
          <w:color w:val="auto"/>
          <w:highlight w:val="none"/>
        </w:rPr>
        <w:t xml:space="preserve">成交原则</w:t>
      </w:r>
      <w:r/>
    </w:p>
    <w:p>
      <w:pPr>
        <w:numPr>
          <w:ilvl w:val="0"/>
          <w:numId w:val="29"/>
        </w:numPr>
        <w:ind w:left="525" w:hanging="525"/>
        <w:spacing w:line="400" w:lineRule="exact"/>
        <w:shd w:val="clear" w:color="auto"/>
        <w:tabs>
          <w:tab w:val="left" w:pos="525" w:leader="none"/>
        </w:tabs>
        <w:rPr>
          <w:rFonts w:ascii="宋体" w:hAnsi="宋体"/>
          <w:color w:val="auto"/>
          <w:szCs w:val="21"/>
          <w:highlight w:val="none"/>
        </w:rPr>
      </w:pPr>
      <w:r>
        <w:rPr>
          <w:rFonts w:ascii="宋体" w:hAnsi="宋体"/>
          <w:color w:val="auto"/>
          <w:szCs w:val="21"/>
          <w:highlight w:val="none"/>
        </w:rPr>
        <w:t xml:space="preserve">本次</w:t>
      </w:r>
      <w:r>
        <w:rPr>
          <w:rFonts w:hint="eastAsia" w:ascii="宋体" w:hAnsi="宋体"/>
          <w:color w:val="auto"/>
          <w:szCs w:val="21"/>
          <w:highlight w:val="none"/>
        </w:rPr>
        <w:t xml:space="preserve">采购采用综合评分法，即在</w:t>
      </w:r>
      <w:r>
        <w:rPr>
          <w:rFonts w:ascii="宋体" w:hAnsi="宋体"/>
          <w:color w:val="auto"/>
          <w:szCs w:val="21"/>
          <w:highlight w:val="none"/>
        </w:rPr>
        <w:t xml:space="preserve">响应文件满足磋商文件全部实质性要求</w:t>
      </w:r>
      <w:r>
        <w:rPr>
          <w:rFonts w:hint="eastAsia" w:ascii="宋体" w:hAnsi="宋体"/>
          <w:color w:val="auto"/>
          <w:szCs w:val="21"/>
          <w:highlight w:val="none"/>
        </w:rPr>
        <w:t xml:space="preserve">，</w:t>
      </w:r>
      <w:r>
        <w:rPr>
          <w:rFonts w:ascii="宋体" w:hAnsi="宋体"/>
          <w:color w:val="auto"/>
          <w:szCs w:val="21"/>
          <w:highlight w:val="none"/>
        </w:rPr>
        <w:t xml:space="preserve">且按评审因素的量化指标</w:t>
      </w:r>
      <w:r>
        <w:rPr>
          <w:rFonts w:hint="eastAsia" w:ascii="宋体" w:hAnsi="宋体"/>
          <w:color w:val="auto"/>
          <w:szCs w:val="21"/>
          <w:highlight w:val="none"/>
        </w:rPr>
        <w:t xml:space="preserve">进行</w:t>
      </w:r>
      <w:r>
        <w:rPr>
          <w:rFonts w:ascii="宋体" w:hAnsi="宋体"/>
          <w:color w:val="auto"/>
          <w:szCs w:val="21"/>
          <w:highlight w:val="none"/>
        </w:rPr>
        <w:t xml:space="preserve">评审</w:t>
      </w:r>
      <w:r>
        <w:rPr>
          <w:rFonts w:hint="eastAsia" w:ascii="宋体" w:hAnsi="宋体"/>
          <w:color w:val="auto"/>
          <w:szCs w:val="21"/>
          <w:highlight w:val="none"/>
        </w:rPr>
        <w:t xml:space="preserve">综合，</w:t>
      </w:r>
      <w:r>
        <w:rPr>
          <w:rFonts w:hint="eastAsia"/>
          <w:color w:val="auto"/>
          <w:highlight w:val="none"/>
        </w:rPr>
        <w:t xml:space="preserve">综合得分最高的响应供应商成为成交供应商。</w:t>
      </w:r>
      <w:r/>
    </w:p>
    <w:p>
      <w:pPr>
        <w:numPr>
          <w:ilvl w:val="0"/>
          <w:numId w:val="29"/>
        </w:numPr>
        <w:ind w:left="525" w:hanging="525"/>
        <w:spacing w:line="400" w:lineRule="exact"/>
        <w:shd w:val="clear" w:color="auto"/>
        <w:tabs>
          <w:tab w:val="left" w:pos="525" w:leader="none"/>
          <w:tab w:val="left" w:pos="2870" w:leader="none"/>
        </w:tabs>
        <w:rPr>
          <w:rFonts w:ascii="宋体" w:hAnsi="宋体" w:cs="宋体"/>
          <w:color w:val="auto"/>
          <w:highlight w:val="none"/>
        </w:rPr>
      </w:pPr>
      <w:r>
        <w:rPr>
          <w:rFonts w:hint="eastAsia" w:ascii="宋体" w:hAnsi="宋体"/>
          <w:color w:val="auto"/>
          <w:szCs w:val="21"/>
          <w:highlight w:val="none"/>
        </w:rPr>
        <w:t xml:space="preserve">如出现评标总得分最高的磋商响应单位有两个以上的，以实际</w:t>
      </w:r>
      <w:r>
        <w:rPr>
          <w:rFonts w:ascii="宋体" w:hAnsi="宋体"/>
          <w:color w:val="auto"/>
          <w:szCs w:val="21"/>
          <w:highlight w:val="none"/>
        </w:rPr>
        <w:t xml:space="preserve">投标报价较低者优先作为</w:t>
      </w:r>
      <w:r>
        <w:rPr>
          <w:rFonts w:hint="eastAsia" w:ascii="宋体" w:hAnsi="宋体"/>
          <w:color w:val="auto"/>
          <w:szCs w:val="21"/>
          <w:highlight w:val="none"/>
        </w:rPr>
        <w:t xml:space="preserve">成交</w:t>
      </w:r>
      <w:r>
        <w:rPr>
          <w:rFonts w:ascii="宋体" w:hAnsi="宋体"/>
          <w:color w:val="auto"/>
          <w:szCs w:val="21"/>
          <w:highlight w:val="none"/>
        </w:rPr>
        <w:t xml:space="preserve">候选人</w:t>
      </w:r>
      <w:r>
        <w:rPr>
          <w:rFonts w:hint="eastAsia" w:ascii="宋体" w:hAnsi="宋体"/>
          <w:color w:val="auto"/>
          <w:szCs w:val="21"/>
          <w:highlight w:val="none"/>
        </w:rPr>
        <w:t xml:space="preserve">；</w:t>
      </w:r>
      <w:r>
        <w:rPr>
          <w:rFonts w:ascii="宋体" w:hAnsi="宋体"/>
          <w:color w:val="auto"/>
          <w:szCs w:val="21"/>
          <w:highlight w:val="none"/>
        </w:rPr>
        <w:t xml:space="preserve">如果</w:t>
      </w:r>
      <w:r>
        <w:rPr>
          <w:rFonts w:hint="eastAsia" w:ascii="宋体" w:hAnsi="宋体"/>
          <w:color w:val="auto"/>
          <w:szCs w:val="21"/>
          <w:highlight w:val="none"/>
        </w:rPr>
        <w:t xml:space="preserve">投标报</w:t>
      </w:r>
      <w:r>
        <w:rPr>
          <w:rFonts w:hint="eastAsia" w:ascii="宋体" w:hAnsi="宋体" w:cs="宋体"/>
          <w:color w:val="auto"/>
          <w:szCs w:val="21"/>
          <w:highlight w:val="none"/>
        </w:rPr>
        <w:t xml:space="preserve">价也相同的，则由代理机构组织以抽签方式确定成交候选人</w:t>
      </w:r>
      <w:r>
        <w:rPr>
          <w:rFonts w:hint="eastAsia" w:ascii="宋体" w:hAnsi="宋体" w:cs="宋体"/>
          <w:color w:val="auto"/>
          <w:highlight w:val="none"/>
        </w:rPr>
        <w:t xml:space="preserve">。</w:t>
      </w:r>
      <w:r/>
    </w:p>
    <w:p>
      <w:pPr>
        <w:numPr>
          <w:ilvl w:val="0"/>
          <w:numId w:val="29"/>
        </w:numPr>
        <w:ind w:left="525" w:hanging="525"/>
        <w:spacing w:line="400" w:lineRule="exact"/>
        <w:shd w:val="clear" w:color="auto"/>
        <w:tabs>
          <w:tab w:val="left" w:pos="525" w:leader="none"/>
          <w:tab w:val="left" w:pos="2870" w:leader="none"/>
        </w:tabs>
        <w:rPr>
          <w:rFonts w:hint="eastAsia" w:ascii="宋体" w:hAnsi="宋体" w:cs="宋体"/>
          <w:color w:val="auto"/>
          <w:szCs w:val="21"/>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ilvl w:val="0"/>
          <w:numId w:val="30"/>
        </w:numPr>
        <w:ind w:left="567" w:hanging="567"/>
        <w:keepLines w:val="0"/>
        <w:keepNext w:val="0"/>
        <w:pageBreakBefore w:val="0"/>
        <w:spacing w:line="400" w:lineRule="exact"/>
        <w:shd w:val="clear" w:color="auto"/>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全部通过符合性审查供应商投标（响应）报价平均值50%的，即投标（响应）报价＜全部通过符合性审查供应商投标（响应）报价平均值</w:t>
      </w:r>
      <w:r>
        <w:rPr>
          <w:rFonts w:hint="eastAsia" w:ascii="宋体" w:hAnsi="宋体" w:cs="宋体"/>
          <w:color w:val="auto"/>
          <w:szCs w:val="21"/>
          <w:highlight w:val="none"/>
          <w:shd w:val="clear" w:color="auto" w:fill="auto"/>
        </w:rPr>
        <w:t xml:space="preserve">×50%</w:t>
      </w:r>
      <w:r>
        <w:rPr>
          <w:rFonts w:hint="eastAsia" w:ascii="宋体" w:hAnsi="宋体" w:cs="宋体"/>
          <w:color w:val="auto"/>
          <w:szCs w:val="21"/>
          <w:highlight w:val="none"/>
          <w:shd w:val="clear" w:color="auto" w:fill="auto"/>
          <w:lang w:eastAsia="zh-CN"/>
        </w:rPr>
        <w:t xml:space="preserve">；</w:t>
      </w:r>
      <w:r/>
    </w:p>
    <w:p>
      <w:pPr>
        <w:numPr>
          <w:ilvl w:val="0"/>
          <w:numId w:val="30"/>
        </w:numPr>
        <w:ind w:left="567" w:hanging="567"/>
        <w:keepLines w:val="0"/>
        <w:keepNext w:val="0"/>
        <w:pageBreakBefore w:val="0"/>
        <w:spacing w:line="400" w:lineRule="exact"/>
        <w:shd w:val="clear" w:color="auto"/>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通过符合性审查的次低报价供应商投标（响应）报价50%的，即投标（响应）报价＜通过符合性审查的次低报价供应商投标（响应）报价</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lang w:val="en-US" w:eastAsia="zh-CN"/>
        </w:rPr>
        <w:t xml:space="preserve">50%；</w:t>
      </w:r>
      <w:r/>
    </w:p>
    <w:p>
      <w:pPr>
        <w:numPr>
          <w:ilvl w:val="0"/>
          <w:numId w:val="30"/>
        </w:numPr>
        <w:ind w:left="567" w:hanging="567"/>
        <w:keepLines w:val="0"/>
        <w:keepNext w:val="0"/>
        <w:pageBreakBefore w:val="0"/>
        <w:spacing w:line="400" w:lineRule="exact"/>
        <w:shd w:val="clear" w:color="auto"/>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投标（响应）报价低于采购项目最高限价45%的，即投标（响应）报价</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采购项目最高限价×45%；</w:t>
      </w:r>
      <w:r/>
    </w:p>
    <w:p>
      <w:pPr>
        <w:numPr>
          <w:ilvl w:val="0"/>
          <w:numId w:val="30"/>
        </w:numPr>
        <w:ind w:left="567" w:hanging="567"/>
        <w:keepLines w:val="0"/>
        <w:keepNext w:val="0"/>
        <w:pageBreakBefore w:val="0"/>
        <w:spacing w:line="400" w:lineRule="exact"/>
        <w:shd w:val="clear" w:color="auto"/>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评审委员会</w:t>
      </w:r>
      <w:r>
        <w:rPr>
          <w:rFonts w:hint="eastAsia" w:ascii="宋体" w:hAnsi="宋体" w:cs="宋体"/>
          <w:color w:val="auto"/>
          <w:szCs w:val="21"/>
          <w:highlight w:val="none"/>
          <w:shd w:val="clear" w:color="auto" w:fill="auto"/>
          <w:lang w:val="en-US" w:eastAsia="zh-CN"/>
        </w:rPr>
        <w:t xml:space="preserve">基于专业判断，认为</w:t>
      </w:r>
      <w:r>
        <w:rPr>
          <w:rFonts w:hint="eastAsia" w:ascii="宋体" w:hAnsi="宋体" w:cs="宋体"/>
          <w:color w:val="auto"/>
          <w:szCs w:val="21"/>
          <w:highlight w:val="none"/>
          <w:shd w:val="clear" w:color="auto" w:fill="auto"/>
        </w:rPr>
        <w:t xml:space="preserve">供应商报价过低</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rPr>
        <w:t xml:space="preserve">有可能影响产品质量或者不能诚信履约的其他情形。</w:t>
      </w:r>
      <w:r/>
    </w:p>
    <w:p>
      <w:pPr>
        <w:numPr>
          <w:ilvl w:val="0"/>
          <w:numId w:val="29"/>
        </w:numPr>
        <w:ind w:left="525" w:hanging="525"/>
        <w:spacing w:line="400" w:lineRule="exact"/>
        <w:shd w:val="clear" w:color="auto"/>
        <w:tabs>
          <w:tab w:val="left" w:pos="525" w:leader="none"/>
          <w:tab w:val="left" w:pos="287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评审委员会启动异常低价投标(响应)审查后，属于前述第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项至第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4</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项情形的，应当要求相关</w:t>
      </w:r>
      <w:r>
        <w:rPr>
          <w:rFonts w:hint="eastAsia" w:ascii="宋体" w:hAnsi="宋体" w:eastAsia="宋体" w:cs="Times New Roman"/>
          <w:color w:val="auto"/>
          <w:szCs w:val="21"/>
          <w:highlight w:val="none"/>
          <w:shd w:val="clear" w:color="auto" w:fill="auto"/>
        </w:rPr>
        <w:t xml:space="preserve">供应商</w:t>
      </w:r>
      <w:r>
        <w:rPr>
          <w:rFonts w:hint="eastAsia" w:ascii="宋体" w:hAnsi="宋体" w:cs="宋体"/>
          <w:color w:val="auto"/>
          <w:szCs w:val="21"/>
          <w:highlight w:val="none"/>
          <w:shd w:val="clear" w:color="auto" w:fill="auto"/>
        </w:rPr>
        <w:t xml:space="preserve">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3</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项情形，供应商已随投标(响应)文件一并提交相关书面说明及必要的证明材料的，在评审现场可不再重复提交。</w:t>
      </w:r>
      <w:r/>
    </w:p>
    <w:p>
      <w:pPr>
        <w:numPr>
          <w:ilvl w:val="0"/>
          <w:numId w:val="29"/>
        </w:numPr>
        <w:ind w:left="525" w:hanging="525"/>
        <w:spacing w:line="400" w:lineRule="exact"/>
        <w:shd w:val="clear" w:color="auto"/>
        <w:tabs>
          <w:tab w:val="left" w:pos="525" w:leader="none"/>
          <w:tab w:val="left" w:pos="2870" w:leader="none"/>
        </w:tabs>
        <w:rPr>
          <w:rFonts w:ascii="宋体" w:hAnsi="宋体"/>
          <w:color w:val="auto"/>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委员会依据专业经验，参考同类项目中标(成交)价格、类似产品市场价格水平、行业人工费用标准、</w:t>
      </w:r>
      <w:r>
        <w:rPr>
          <w:rFonts w:hint="eastAsia" w:ascii="宋体" w:hAnsi="宋体" w:eastAsia="宋体" w:cs="Times New Roman"/>
          <w:color w:val="auto"/>
          <w:szCs w:val="21"/>
          <w:highlight w:val="none"/>
          <w:shd w:val="clear" w:color="auto" w:fill="auto"/>
        </w:rPr>
        <w:t xml:space="preserve">国家</w:t>
      </w:r>
      <w:r>
        <w:rPr>
          <w:rFonts w:hint="eastAsia" w:ascii="宋体" w:hAnsi="宋体" w:cs="宋体"/>
          <w:color w:val="auto"/>
          <w:szCs w:val="21"/>
          <w:highlight w:val="none"/>
          <w:shd w:val="clear" w:color="auto" w:fill="auto"/>
        </w:rPr>
        <w:t xml:space="preserve">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525"/>
        <w:jc w:val="center"/>
        <w:spacing w:line="400" w:lineRule="exact"/>
        <w:shd w:val="clear" w:color="auto"/>
        <w:tabs>
          <w:tab w:val="left" w:pos="525"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评分标准</w:t>
      </w:r>
      <w:r/>
    </w:p>
    <w:p>
      <w:pPr>
        <w:numPr>
          <w:ilvl w:val="0"/>
          <w:numId w:val="31"/>
        </w:numPr>
        <w:ind w:left="567" w:hanging="567"/>
        <w:spacing w:line="400" w:lineRule="exact"/>
        <w:shd w:val="clear" w:color="auto"/>
        <w:tabs>
          <w:tab w:val="left" w:pos="567" w:leader="none"/>
        </w:tabs>
        <w:rPr>
          <w:rFonts w:ascii="宋体" w:hAnsi="宋体" w:cs="宋体"/>
          <w:b/>
          <w:color w:val="auto"/>
          <w:szCs w:val="21"/>
          <w:highlight w:val="none"/>
        </w:rPr>
      </w:pPr>
      <w:r>
        <w:rPr>
          <w:rFonts w:hint="eastAsia" w:ascii="宋体" w:hAnsi="宋体" w:cs="宋体"/>
          <w:b/>
          <w:color w:val="auto"/>
          <w:szCs w:val="21"/>
          <w:highlight w:val="none"/>
        </w:rPr>
        <w:t xml:space="preserve">价格分（30分）</w:t>
      </w:r>
      <w:r/>
    </w:p>
    <w:p>
      <w:pPr>
        <w:numPr>
          <w:ilvl w:val="0"/>
          <w:numId w:val="32"/>
        </w:numPr>
        <w:spacing w:line="400" w:lineRule="exact"/>
        <w:shd w:val="clear" w:color="auto"/>
        <w:rPr>
          <w:rFonts w:ascii="宋体" w:hAnsi="宋体" w:cs="宋体"/>
          <w:color w:val="auto"/>
          <w:szCs w:val="21"/>
          <w:highlight w:val="none"/>
        </w:rPr>
      </w:pPr>
      <w:r/>
      <w:bookmarkStart w:id="17" w:name="OLE_LINK21"/>
      <w:r/>
      <w:bookmarkStart w:id="18" w:name="OLE_LINK7"/>
      <w:r>
        <w:rPr>
          <w:rFonts w:hint="eastAsia" w:ascii="宋体" w:hAnsi="宋体" w:cs="宋体"/>
          <w:color w:val="auto"/>
          <w:szCs w:val="21"/>
          <w:highlight w:val="none"/>
        </w:rPr>
        <w:t xml:space="preserve">磋商报价不超过采购预算价格或最高限价的，为有效磋商报价。超出此范围的磋商报价为无效报价。无效报价的响应文件不进行评审，也不得标。</w:t>
      </w:r>
      <w:r/>
    </w:p>
    <w:p>
      <w:pPr>
        <w:numPr>
          <w:ilvl w:val="0"/>
          <w:numId w:val="32"/>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价格得分计算方法：根据各响应单位通过符合性审查的有效磋商报价中的最低价作为评审基准价，其价格分为满分。</w:t>
      </w:r>
      <w:r/>
    </w:p>
    <w:p>
      <w:pPr>
        <w:numPr>
          <w:ilvl w:val="0"/>
          <w:numId w:val="32"/>
        </w:num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其他响应单位的价格分统一按照下列公式计算：</w:t>
      </w:r>
      <w:r/>
    </w:p>
    <w:p>
      <w:pPr>
        <w:ind w:left="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磋商报价得分=(评审基准价／磋商报价)×价格权值（30%）×100，小数点后保留两位。</w:t>
      </w:r>
      <w:bookmarkEnd w:id="17"/>
      <w:r/>
      <w:r/>
    </w:p>
    <w:p>
      <w:pPr>
        <w:numPr>
          <w:ilvl w:val="0"/>
          <w:numId w:val="31"/>
        </w:numPr>
        <w:ind w:left="567" w:hanging="567"/>
        <w:spacing w:line="400" w:lineRule="exact"/>
        <w:shd w:val="clear" w:color="auto"/>
        <w:tabs>
          <w:tab w:val="left" w:pos="567" w:leader="none"/>
        </w:tabs>
        <w:rPr>
          <w:rFonts w:hint="eastAsia" w:ascii="宋体" w:hAnsi="宋体"/>
          <w:b/>
          <w:color w:val="auto"/>
          <w:szCs w:val="21"/>
          <w:highlight w:val="none"/>
        </w:rPr>
      </w:pPr>
      <w:r>
        <w:rPr>
          <w:rFonts w:hint="eastAsia" w:ascii="宋体" w:hAnsi="宋体"/>
          <w:b/>
          <w:color w:val="auto"/>
          <w:szCs w:val="21"/>
          <w:highlight w:val="none"/>
        </w:rPr>
        <w:t xml:space="preserve">技术实施方案（</w:t>
      </w:r>
      <w:r>
        <w:rPr>
          <w:rFonts w:hint="eastAsia" w:ascii="宋体" w:hAnsi="宋体"/>
          <w:b/>
          <w:color w:val="auto"/>
          <w:szCs w:val="21"/>
          <w:highlight w:val="none"/>
          <w:lang w:val="en-US" w:eastAsia="zh-CN"/>
        </w:rPr>
        <w:t xml:space="preserve">30</w:t>
      </w:r>
      <w:r>
        <w:rPr>
          <w:rFonts w:hint="eastAsia" w:ascii="宋体" w:hAnsi="宋体"/>
          <w:b/>
          <w:color w:val="auto"/>
          <w:szCs w:val="21"/>
          <w:highlight w:val="none"/>
        </w:rPr>
        <w:t xml:space="preserve">分）</w:t>
      </w:r>
      <w:r/>
    </w:p>
    <w:p>
      <w:pPr>
        <w:numPr>
          <w:ilvl w:val="0"/>
          <w:numId w:val="33"/>
        </w:numPr>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总体概述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left="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针对本项目的工程现状概述、总体安排、施工部署和施工段划分的阐述，内容详细、全面、规范、完善、合理，具有针对性得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分，内容较全面、较规范、较合理得3分，概述、内容基本规范、基本合理得1分，未提供不得分。 </w:t>
      </w:r>
      <w:r/>
    </w:p>
    <w:p>
      <w:pPr>
        <w:numPr>
          <w:ilvl w:val="0"/>
          <w:numId w:val="33"/>
        </w:numPr>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施工进度计划及保障措施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left="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针对本项目的施工进度计划和完成保障措施科学、合理、可操作性强得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分，计划及措施较合理可行得3分，计划及措施基本合理、基本可行得1分，未提供不得分。</w:t>
      </w:r>
      <w:r/>
    </w:p>
    <w:p>
      <w:pPr>
        <w:numPr>
          <w:ilvl w:val="0"/>
          <w:numId w:val="33"/>
        </w:numPr>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分部、分项工程的施工方案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left="567"/>
        <w:spacing w:line="400" w:lineRule="exact"/>
        <w:shd w:val="clear" w:color="auto"/>
        <w:tabs>
          <w:tab w:val="left" w:pos="567" w:leader="none"/>
        </w:tabs>
        <w:rPr>
          <w:rFonts w:hint="eastAsia" w:ascii="宋体" w:hAnsi="宋体" w:cs="宋体"/>
          <w:color w:val="auto"/>
          <w:szCs w:val="21"/>
          <w:highlight w:val="none"/>
        </w:rPr>
      </w:pPr>
      <w:r/>
      <w:bookmarkStart w:id="19" w:name="OLE_LINK5"/>
      <w:r>
        <w:rPr>
          <w:rFonts w:hint="eastAsia" w:ascii="宋体" w:hAnsi="宋体" w:cs="宋体"/>
          <w:color w:val="auto"/>
          <w:szCs w:val="21"/>
          <w:highlight w:val="none"/>
        </w:rPr>
        <w:t xml:space="preserve">该工程分部分项工程的施工方案、具体施工技术措施科学、合理、规范、操作性强得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分，方案措施较合理、较规范、较可行得3分，方案措施基本合理、基本可行得1分，未提供不得分。</w:t>
      </w:r>
      <w:bookmarkEnd w:id="19"/>
      <w:r/>
      <w:r/>
    </w:p>
    <w:p>
      <w:pPr>
        <w:numPr>
          <w:ilvl w:val="0"/>
          <w:numId w:val="33"/>
        </w:numPr>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安全文明施工措施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left="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针对本项目的安全文明施工、现场扬尘污染防治措施和环境保护措施规范、合理、有效得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分，措施较合理、较可行得3分，措施基本合理、基本可行得1分，未提供不得分。</w:t>
      </w:r>
      <w:r/>
    </w:p>
    <w:p>
      <w:pPr>
        <w:numPr>
          <w:ilvl w:val="0"/>
          <w:numId w:val="33"/>
        </w:numPr>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施工机械设备投入、管理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left="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针对本项目的施工所需主要机械设备的使用管理措施科学、合理、规范得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分，措施较科学、较合理得3分，措施基本合理得1分，未提供不得分。</w:t>
      </w:r>
      <w:r/>
    </w:p>
    <w:p>
      <w:pPr>
        <w:numPr>
          <w:ilvl w:val="0"/>
          <w:numId w:val="33"/>
        </w:numPr>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安全事故应急预案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left="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施工区域内可能存在的危险应急响应预案</w:t>
      </w:r>
      <w:r>
        <w:rPr>
          <w:rFonts w:hint="eastAsia" w:ascii="宋体" w:hAnsi="宋体" w:cs="宋体"/>
          <w:color w:val="auto"/>
          <w:szCs w:val="21"/>
          <w:highlight w:val="none"/>
        </w:rPr>
        <w:t xml:space="preserve">措施科学、合理、操作性强、规范、高效的的得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分；措施内容较全面、较可行的得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分；措施基本合理、基本可行的得1分；未提供不得分。</w:t>
      </w:r>
      <w:r/>
    </w:p>
    <w:p>
      <w:pPr>
        <w:numPr>
          <w:ilvl w:val="0"/>
          <w:numId w:val="31"/>
        </w:numPr>
        <w:ind w:left="567" w:hanging="567"/>
        <w:spacing w:line="400" w:lineRule="exact"/>
        <w:shd w:val="clear" w:color="auto"/>
        <w:tabs>
          <w:tab w:val="left" w:pos="567" w:leader="none"/>
        </w:tabs>
        <w:rPr>
          <w:rFonts w:hint="eastAsia" w:ascii="宋体" w:hAnsi="宋体" w:cs="宋体"/>
          <w:b/>
          <w:color w:val="auto"/>
          <w:szCs w:val="21"/>
          <w:highlight w:val="none"/>
        </w:rPr>
      </w:pPr>
      <w:r>
        <w:rPr>
          <w:rFonts w:hint="eastAsia" w:ascii="宋体" w:hAnsi="宋体"/>
          <w:b/>
          <w:color w:val="auto"/>
          <w:szCs w:val="21"/>
          <w:highlight w:val="none"/>
        </w:rPr>
        <w:t xml:space="preserve">响应单位</w:t>
      </w:r>
      <w:r>
        <w:rPr>
          <w:rFonts w:hint="eastAsia" w:ascii="宋体" w:hAnsi="宋体" w:cs="宋体"/>
          <w:b/>
          <w:color w:val="auto"/>
          <w:szCs w:val="21"/>
          <w:highlight w:val="none"/>
        </w:rPr>
        <w:t xml:space="preserve">综合能力（</w:t>
      </w:r>
      <w:r>
        <w:rPr>
          <w:rFonts w:ascii="宋体" w:hAnsi="宋体" w:cs="宋体"/>
          <w:b/>
          <w:color w:val="auto"/>
          <w:szCs w:val="21"/>
          <w:highlight w:val="none"/>
        </w:rPr>
        <w:t xml:space="preserve">40</w:t>
      </w:r>
      <w:r>
        <w:rPr>
          <w:rFonts w:hint="eastAsia" w:ascii="宋体" w:hAnsi="宋体" w:cs="宋体"/>
          <w:b/>
          <w:color w:val="auto"/>
          <w:szCs w:val="21"/>
          <w:highlight w:val="none"/>
        </w:rPr>
        <w:t xml:space="preserve">分）</w:t>
      </w:r>
      <w:r/>
    </w:p>
    <w:p>
      <w:pPr>
        <w:numPr>
          <w:ilvl w:val="0"/>
          <w:numId w:val="34"/>
        </w:numPr>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针对本项目的人员配备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1</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numPr>
          <w:ilvl w:val="0"/>
          <w:numId w:val="35"/>
        </w:numPr>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项目组成员配备(除项目经理外）：质检员、资料员、材料员、施工员、安全员，每提供一个专业（以岗位证书为准）得2分，不重复得分，配备齐全得10分。提供相关证书及响应单位为其缴纳最近</w:t>
      </w:r>
      <w:r>
        <w:rPr>
          <w:rFonts w:hint="eastAsia" w:ascii="宋体" w:hAnsi="宋体" w:cs="宋体"/>
          <w:color w:val="auto"/>
          <w:szCs w:val="21"/>
          <w:highlight w:val="none"/>
          <w:lang w:val="en-US" w:eastAsia="zh-CN"/>
        </w:rPr>
        <w:t xml:space="preserve">三个月</w:t>
      </w:r>
      <w:r>
        <w:rPr>
          <w:rFonts w:hint="eastAsia" w:ascii="宋体" w:hAnsi="宋体" w:cs="宋体"/>
          <w:color w:val="auto"/>
          <w:szCs w:val="21"/>
          <w:highlight w:val="none"/>
        </w:rPr>
        <w:t xml:space="preserve">的社保证明材料，未提供不得分。</w:t>
      </w:r>
      <w:r/>
    </w:p>
    <w:p>
      <w:pPr>
        <w:numPr>
          <w:ilvl w:val="0"/>
          <w:numId w:val="35"/>
        </w:numPr>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以上项目组配置人员中具有建设工程类相关专业中级工程师及以上职称的，每有一个得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分，最高</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分。提供人员相应证书及响应单位为其缴纳最近</w:t>
      </w:r>
      <w:r>
        <w:rPr>
          <w:rFonts w:hint="eastAsia" w:ascii="宋体" w:hAnsi="宋体" w:cs="宋体"/>
          <w:color w:val="auto"/>
          <w:szCs w:val="21"/>
          <w:highlight w:val="none"/>
          <w:lang w:val="en-US" w:eastAsia="zh-CN"/>
        </w:rPr>
        <w:t xml:space="preserve">三个月</w:t>
      </w:r>
      <w:r>
        <w:rPr>
          <w:rFonts w:hint="eastAsia" w:ascii="宋体" w:hAnsi="宋体" w:cs="宋体"/>
          <w:color w:val="auto"/>
          <w:szCs w:val="21"/>
          <w:highlight w:val="none"/>
        </w:rPr>
        <w:t xml:space="preserve">的社保证明材料，未提供不得分。</w:t>
      </w:r>
      <w:r/>
    </w:p>
    <w:p>
      <w:pPr>
        <w:numPr>
          <w:ilvl w:val="0"/>
          <w:numId w:val="34"/>
        </w:numPr>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管理体系认证</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9分</w:t>
      </w:r>
      <w:r/>
    </w:p>
    <w:p>
      <w:pPr>
        <w:ind w:left="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具有有效的质量管理体系认证、环境管理体系认证和职业健康安全管理体系认证证书，每项3分，最高9分。提供认证证书复印件及国家认监委网站查询证书有效的截图证明</w:t>
      </w:r>
      <w:r>
        <w:rPr>
          <w:rFonts w:hint="eastAsia" w:ascii="宋体" w:hAnsi="宋体" w:cs="宋体"/>
          <w:color w:val="auto"/>
          <w:szCs w:val="21"/>
          <w:highlight w:val="none"/>
        </w:rPr>
        <w:t xml:space="preserve">，否则不得分。   </w:t>
      </w:r>
      <w:r/>
    </w:p>
    <w:p>
      <w:pPr>
        <w:numPr>
          <w:ilvl w:val="0"/>
          <w:numId w:val="34"/>
        </w:numPr>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获得的相关荣誉或奖项                                                                  6分</w:t>
      </w:r>
      <w:r/>
    </w:p>
    <w:p>
      <w:pPr>
        <w:ind w:left="567"/>
        <w:spacing w:line="400" w:lineRule="exact"/>
        <w:shd w:val="clear" w:color="auto"/>
        <w:tabs>
          <w:tab w:val="left" w:pos="567" w:leader="none"/>
        </w:tabs>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 xml:space="preserve">具有政府部门颁发的相关荣誉或奖项的每个得3分，最高6分，提供</w:t>
      </w:r>
      <w:r>
        <w:rPr>
          <w:rFonts w:hint="eastAsia" w:ascii="宋体" w:hAnsi="宋体" w:cs="宋体"/>
          <w:color w:val="auto"/>
          <w:szCs w:val="21"/>
          <w:highlight w:val="none"/>
          <w:lang w:eastAsia="zh-CN"/>
        </w:rPr>
        <w:t xml:space="preserve">政府部门颁发的相关荣誉或奖项的书面文件复印件，否则不得分。</w:t>
      </w:r>
      <w:r/>
    </w:p>
    <w:p>
      <w:pPr>
        <w:numPr>
          <w:ilvl w:val="0"/>
          <w:numId w:val="34"/>
        </w:numPr>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类似项目业绩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ind w:left="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月1日以来（以竣工验收报告的验收日期为准）完成的类似项目业绩，每份得3分，最高</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分。提供合同、竣工验收报告复印件，否则不得分。   </w:t>
      </w:r>
      <w:bookmarkEnd w:id="18"/>
      <w:r/>
      <w:r/>
    </w:p>
    <w:p>
      <w:pPr>
        <w:ind w:firstLine="422"/>
        <w:spacing w:line="360" w:lineRule="auto"/>
        <w:shd w:val="clear" w:color="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shd w:val="clear" w:color="auto"/>
        <w:rPr>
          <w:rFonts w:ascii="宋体" w:hAnsi="宋体" w:cs="宋体"/>
          <w:color w:val="auto"/>
          <w:szCs w:val="21"/>
          <w:highlight w:val="none"/>
        </w:rPr>
      </w:pPr>
      <w:r>
        <w:rPr>
          <w:rFonts w:hint="eastAsia" w:ascii="宋体" w:hAnsi="宋体" w:cs="宋体"/>
          <w:b/>
          <w:color w:val="auto"/>
          <w:szCs w:val="21"/>
          <w:highlight w:val="none"/>
        </w:rPr>
        <w:t xml:space="preserve">注：</w:t>
      </w:r>
      <w:r>
        <w:rPr>
          <w:rFonts w:hint="eastAsia" w:ascii="宋体" w:hAnsi="宋体" w:cs="宋体"/>
          <w:color w:val="auto"/>
          <w:szCs w:val="21"/>
          <w:highlight w:val="none"/>
        </w:rPr>
        <w:t xml:space="preserve">评分标准中的每一条评分项，响应单位均应提供相关资料并作出相应说明供评委评判，不提供相关资料的视为不具备该项得分的条件。</w:t>
      </w:r>
      <w:r/>
    </w:p>
    <w:p>
      <w:pPr>
        <w:jc w:val="left"/>
        <w:shd w:val="clear" w:color="auto"/>
        <w:widowControl/>
        <w:rPr>
          <w:rFonts w:ascii="宋体" w:hAnsi="宋体" w:cs="宋体"/>
          <w:b/>
          <w:bCs/>
          <w:color w:val="auto"/>
          <w:szCs w:val="21"/>
          <w:highlight w:val="none"/>
        </w:rPr>
      </w:pPr>
      <w:r>
        <w:rPr>
          <w:rFonts w:ascii="宋体" w:hAnsi="宋体" w:cs="宋体"/>
          <w:b/>
          <w:bCs/>
          <w:color w:val="auto"/>
          <w:szCs w:val="21"/>
          <w:highlight w:val="none"/>
        </w:rPr>
        <w:br w:type="page" w:clear="all"/>
      </w:r>
      <w:r/>
    </w:p>
    <w:p>
      <w:pPr>
        <w:pStyle w:val="1086"/>
        <w:numPr>
          <w:ilvl w:val="0"/>
          <w:numId w:val="36"/>
        </w:numPr>
        <w:shd w:val="clear" w:color="auto"/>
        <w:rPr>
          <w:color w:val="auto"/>
          <w:highlight w:val="none"/>
        </w:rPr>
      </w:pPr>
      <w:r>
        <w:rPr>
          <w:rFonts w:hint="eastAsia"/>
          <w:color w:val="auto"/>
          <w:highlight w:val="none"/>
        </w:rPr>
        <w:t xml:space="preserve">合同主要条款</w:t>
      </w:r>
      <w:r/>
    </w:p>
    <w:p>
      <w:pPr>
        <w:pStyle w:val="818"/>
        <w:ind w:firstLine="316"/>
        <w:jc w:val="center"/>
        <w:pageBreakBefore w:val="0"/>
        <w:spacing w:before="0" w:after="0"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第一部分 合同协议书</w:t>
      </w:r>
      <w:r/>
    </w:p>
    <w:p>
      <w:pPr>
        <w:ind w:firstLine="482"/>
        <w:pageBreakBefore w:val="0"/>
        <w:spacing w:line="360" w:lineRule="auto"/>
        <w:shd w:val="clear" w:color="auto"/>
        <w:widowControl w:val="off"/>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lang w:eastAsia="zh-CN"/>
        </w:rPr>
        <w:t xml:space="preserve">苏州工业园区唯亭街道办事处</w:t>
      </w:r>
      <w:r>
        <w:rPr>
          <w:rFonts w:hint="eastAsia" w:ascii="宋体" w:hAnsi="宋体" w:eastAsia="宋体" w:cs="宋体"/>
          <w:b/>
          <w:color w:val="auto"/>
          <w:sz w:val="21"/>
          <w:szCs w:val="21"/>
          <w:highlight w:val="none"/>
          <w:u w:val="single"/>
        </w:rPr>
        <w:t xml:space="preserve">   </w:t>
      </w:r>
      <w:r/>
    </w:p>
    <w:p>
      <w:pPr>
        <w:ind w:firstLine="482"/>
        <w:pageBreakBefore w:val="0"/>
        <w:spacing w:line="360" w:lineRule="auto"/>
        <w:shd w:val="clear" w:color="auto"/>
        <w:widowControl w:val="off"/>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lang w:eastAsia="zh-CN"/>
        </w:rPr>
        <w:t xml:space="preserve">畅苑新村四区负一层地库维修工程</w:t>
      </w:r>
      <w:r>
        <w:rPr>
          <w:rFonts w:hint="eastAsia" w:ascii="宋体" w:hAnsi="宋体" w:eastAsia="宋体" w:cs="宋体"/>
          <w:color w:val="auto"/>
          <w:sz w:val="21"/>
          <w:szCs w:val="21"/>
          <w:highlight w:val="none"/>
        </w:rPr>
        <w:t xml:space="preserve">工程施工及有关事项协商一致，共同达成如下协议：</w:t>
      </w:r>
      <w:r/>
    </w:p>
    <w:p>
      <w:pPr>
        <w:pStyle w:val="821"/>
        <w:ind w:firstLine="482"/>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20" w:name="_Toc351203481"/>
      <w:r>
        <w:rPr>
          <w:rFonts w:hint="eastAsia" w:ascii="宋体" w:hAnsi="宋体" w:eastAsia="宋体" w:cs="宋体"/>
          <w:b w:val="0"/>
          <w:color w:val="auto"/>
          <w:sz w:val="21"/>
          <w:szCs w:val="21"/>
          <w:highlight w:val="none"/>
        </w:rPr>
        <w:t xml:space="preserve">一、工程概况</w:t>
      </w:r>
      <w:bookmarkEnd w:id="20"/>
      <w:r/>
      <w:r/>
    </w:p>
    <w:p>
      <w:pPr>
        <w:ind w:firstLine="411"/>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eastAsia="zh-CN"/>
        </w:rPr>
        <w:t xml:space="preserve">畅苑新村四区负一层地库维修工程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11"/>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color w:val="auto"/>
          <w:sz w:val="21"/>
          <w:szCs w:val="21"/>
          <w:highlight w:val="none"/>
          <w:u w:val="single"/>
        </w:rPr>
        <w:t xml:space="preserve">:      唯亭街道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11"/>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color w:val="auto"/>
          <w:sz w:val="21"/>
          <w:szCs w:val="21"/>
          <w:highlight w:val="none"/>
          <w:u w:val="single"/>
        </w:rPr>
        <w:t xml:space="preserve">                            </w:t>
      </w:r>
      <w:r/>
    </w:p>
    <w:p>
      <w:pPr>
        <w:ind w:firstLine="411"/>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财政预算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11"/>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畅苑新村四区负一层地库维修工程</w:t>
      </w:r>
      <w:r>
        <w:rPr>
          <w:rFonts w:hint="eastAsia" w:ascii="宋体" w:hAnsi="宋体" w:eastAsia="宋体" w:cs="宋体"/>
          <w:color w:val="auto"/>
          <w:sz w:val="21"/>
          <w:szCs w:val="21"/>
          <w:highlight w:val="none"/>
          <w:u w:val="single"/>
        </w:rPr>
        <w:t xml:space="preserve">    </w:t>
      </w:r>
      <w:r/>
    </w:p>
    <w:p>
      <w:pPr>
        <w:ind w:firstLine="411"/>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6.工程承包范围：</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bookmarkStart w:id="21" w:name="_Toc351203482"/>
      <w:r>
        <w:rPr>
          <w:rFonts w:hint="eastAsia" w:ascii="宋体" w:hAnsi="宋体" w:eastAsia="宋体" w:cs="宋体"/>
          <w:color w:val="auto"/>
          <w:sz w:val="21"/>
          <w:szCs w:val="21"/>
          <w:highlight w:val="none"/>
          <w:u w:val="single"/>
          <w:lang w:eastAsia="zh-CN"/>
        </w:rPr>
        <w:t xml:space="preserve">畅苑新村四区负一层地库维修工程</w:t>
      </w:r>
      <w:r>
        <w:rPr>
          <w:rFonts w:hint="eastAsia" w:ascii="宋体" w:hAnsi="宋体" w:eastAsia="宋体" w:cs="宋体"/>
          <w:color w:val="auto"/>
          <w:sz w:val="21"/>
          <w:szCs w:val="21"/>
          <w:highlight w:val="none"/>
          <w:u w:val="single"/>
        </w:rPr>
        <w:t xml:space="preserve">。</w:t>
      </w:r>
      <w:r/>
    </w:p>
    <w:p>
      <w:pPr>
        <w:pStyle w:val="821"/>
        <w:ind w:firstLine="480"/>
        <w:pageBreakBefore w:val="0"/>
        <w:spacing w:before="0" w:after="0" w:line="360" w:lineRule="auto"/>
        <w:shd w:val="clear" w:color="auto"/>
        <w:widowControl w:val="off"/>
        <w:tabs>
          <w:tab w:val="left" w:pos="5655" w:leader="none"/>
        </w:tabs>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二、合同工期</w:t>
      </w:r>
      <w:bookmarkEnd w:id="21"/>
      <w:r>
        <w:rPr>
          <w:rFonts w:hint="eastAsia" w:ascii="宋体" w:hAnsi="宋体" w:eastAsia="宋体" w:cs="宋体"/>
          <w:b w:val="0"/>
          <w:color w:val="auto"/>
          <w:sz w:val="21"/>
          <w:szCs w:val="21"/>
          <w:highlight w:val="none"/>
        </w:rPr>
        <w:tab/>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9</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bookmarkStart w:id="22" w:name="OLE_LINK81"/>
      <w:r/>
      <w:bookmarkStart w:id="23" w:name="OLE_LINK82"/>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12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bookmarkEnd w:id="22"/>
      <w:r/>
      <w:bookmarkEnd w:id="23"/>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90</w:t>
      </w:r>
      <w:r>
        <w:rPr>
          <w:rFonts w:hint="eastAsia" w:ascii="宋体" w:hAnsi="宋体" w:eastAsia="宋体" w:cs="宋体"/>
          <w:color w:val="auto"/>
          <w:sz w:val="21"/>
          <w:szCs w:val="21"/>
          <w:highlight w:val="none"/>
          <w:u w:val="single"/>
        </w:rPr>
        <w:t xml:space="preserve">天。</w:t>
      </w:r>
      <w:r>
        <w:rPr>
          <w:rFonts w:hint="eastAsia" w:ascii="宋体" w:hAnsi="宋体" w:eastAsia="宋体" w:cs="宋体"/>
          <w:color w:val="auto"/>
          <w:sz w:val="21"/>
          <w:szCs w:val="21"/>
          <w:highlight w:val="none"/>
        </w:rPr>
        <w:t xml:space="preserve">工期总日历天数与根据前述计划开竣工日期计算的工期天数不一致的，以工期总日历天数为准。</w:t>
      </w:r>
      <w:r/>
    </w:p>
    <w:p>
      <w:pPr>
        <w:pStyle w:val="821"/>
        <w:ind w:firstLine="482"/>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24" w:name="_Toc351203483"/>
      <w:r>
        <w:rPr>
          <w:rFonts w:hint="eastAsia" w:ascii="宋体" w:hAnsi="宋体" w:eastAsia="宋体" w:cs="宋体"/>
          <w:b w:val="0"/>
          <w:color w:val="auto"/>
          <w:sz w:val="21"/>
          <w:szCs w:val="21"/>
          <w:highlight w:val="none"/>
        </w:rPr>
        <w:t xml:space="preserve">三、质量标准</w:t>
      </w:r>
      <w:bookmarkEnd w:id="24"/>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 xml:space="preserve">合格 。</w:t>
      </w:r>
      <w:r/>
    </w:p>
    <w:p>
      <w:pPr>
        <w:pStyle w:val="821"/>
        <w:ind w:firstLine="482"/>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25" w:name="_Toc351203484"/>
      <w:r>
        <w:rPr>
          <w:rFonts w:hint="eastAsia" w:ascii="宋体" w:hAnsi="宋体" w:eastAsia="宋体" w:cs="宋体"/>
          <w:b w:val="0"/>
          <w:color w:val="auto"/>
          <w:sz w:val="21"/>
          <w:szCs w:val="21"/>
          <w:highlight w:val="none"/>
        </w:rPr>
        <w:t xml:space="preserve">四、签约合同价与合同价格形式</w:t>
      </w:r>
      <w:bookmarkEnd w:id="25"/>
      <w:r>
        <w:rPr>
          <w:rFonts w:hint="eastAsia" w:ascii="宋体" w:hAnsi="宋体" w:eastAsia="宋体" w:cs="宋体"/>
          <w:b w:val="0"/>
          <w:color w:val="auto"/>
          <w:sz w:val="21"/>
          <w:szCs w:val="21"/>
          <w:highlight w:val="none"/>
        </w:rPr>
        <w:tab/>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2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p>
    <w:p>
      <w:pPr>
        <w:ind w:firstLine="94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ind w:firstLine="94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ind w:firstLine="94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p>
    <w:p>
      <w:pPr>
        <w:ind w:firstLine="94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固定综合单价合同                   </w:t>
      </w:r>
      <w:r>
        <w:rPr>
          <w:rFonts w:hint="eastAsia" w:ascii="宋体" w:hAnsi="宋体" w:eastAsia="宋体" w:cs="宋体"/>
          <w:color w:val="auto"/>
          <w:sz w:val="21"/>
          <w:szCs w:val="21"/>
          <w:highlight w:val="none"/>
        </w:rPr>
        <w:t xml:space="preserve">。</w:t>
      </w:r>
      <w:r/>
    </w:p>
    <w:p>
      <w:pPr>
        <w:pStyle w:val="821"/>
        <w:ind w:firstLine="482"/>
        <w:pageBreakBefore w:val="0"/>
        <w:spacing w:before="0" w:after="0" w:line="360" w:lineRule="auto"/>
        <w:shd w:val="clear" w:color="auto"/>
        <w:widowControl w:val="off"/>
        <w:rPr>
          <w:rFonts w:hint="eastAsia" w:ascii="宋体" w:hAnsi="宋体" w:eastAsia="宋体" w:cs="宋体"/>
          <w:b w:val="0"/>
          <w:color w:val="auto"/>
          <w:sz w:val="21"/>
          <w:szCs w:val="21"/>
          <w:highlight w:val="none"/>
        </w:rPr>
      </w:pPr>
      <w:r>
        <w:rPr>
          <w:rFonts w:hint="eastAsia" w:ascii="宋体" w:hAnsi="宋体" w:eastAsia="宋体" w:cs="宋体"/>
          <w:bCs w:val="0"/>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26" w:name="_Toc351203485"/>
      <w:r>
        <w:rPr>
          <w:rFonts w:hint="eastAsia" w:ascii="宋体" w:hAnsi="宋体" w:eastAsia="宋体" w:cs="宋体"/>
          <w:b w:val="0"/>
          <w:color w:val="auto"/>
          <w:sz w:val="21"/>
          <w:szCs w:val="21"/>
          <w:highlight w:val="none"/>
        </w:rPr>
        <w:t xml:space="preserve">五、</w:t>
      </w:r>
      <w:bookmarkEnd w:id="26"/>
      <w:r>
        <w:rPr>
          <w:rFonts w:hint="eastAsia" w:ascii="宋体" w:hAnsi="宋体" w:eastAsia="宋体" w:cs="宋体"/>
          <w:b w:val="0"/>
          <w:color w:val="auto"/>
          <w:sz w:val="21"/>
          <w:szCs w:val="21"/>
          <w:highlight w:val="none"/>
        </w:rPr>
        <w:t xml:space="preserve">项目经理</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821"/>
        <w:ind w:firstLine="482"/>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27" w:name="_Toc351203486"/>
      <w:r>
        <w:rPr>
          <w:rFonts w:hint="eastAsia" w:ascii="宋体" w:hAnsi="宋体" w:eastAsia="宋体" w:cs="宋体"/>
          <w:b w:val="0"/>
          <w:color w:val="auto"/>
          <w:sz w:val="21"/>
          <w:szCs w:val="21"/>
          <w:highlight w:val="none"/>
        </w:rPr>
        <w:t xml:space="preserve">六、合同文件构成</w:t>
      </w:r>
      <w:bookmarkEnd w:id="27"/>
      <w:r/>
      <w:r/>
    </w:p>
    <w:p>
      <w:pPr>
        <w:ind w:firstLine="48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（5）技术标准和要求；</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（6）图纸；</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（7）已标价工程量清单或预算书；</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（8）其他合同文件。</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28" w:name="_Toc351203487"/>
      <w:r>
        <w:rPr>
          <w:rFonts w:hint="eastAsia" w:ascii="宋体" w:hAnsi="宋体" w:eastAsia="宋体" w:cs="宋体"/>
          <w:b w:val="0"/>
          <w:color w:val="auto"/>
          <w:sz w:val="21"/>
          <w:szCs w:val="21"/>
          <w:highlight w:val="none"/>
        </w:rPr>
        <w:t xml:space="preserve">七、承诺</w:t>
      </w:r>
      <w:bookmarkEnd w:id="28"/>
      <w:r/>
      <w:r/>
    </w:p>
    <w:p>
      <w:pPr>
        <w:ind w:firstLine="48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8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ind w:firstLine="482"/>
        <w:pageBreakBefore w:val="0"/>
        <w:spacing w:line="360" w:lineRule="auto"/>
        <w:shd w:val="clear" w:color="auto"/>
        <w:widowControl w:val="off"/>
        <w:rPr>
          <w:rFonts w:hint="eastAsia" w:ascii="宋体" w:hAnsi="宋体" w:eastAsia="宋体" w:cs="宋体"/>
          <w:bCs/>
          <w:color w:val="auto"/>
          <w:sz w:val="21"/>
          <w:szCs w:val="21"/>
          <w:highlight w:val="none"/>
        </w:rPr>
      </w:pPr>
      <w:r/>
      <w:bookmarkStart w:id="29" w:name="_Toc351203488"/>
      <w:r>
        <w:rPr>
          <w:rFonts w:hint="eastAsia" w:ascii="宋体" w:hAnsi="宋体" w:eastAsia="宋体" w:cs="宋体"/>
          <w:b/>
          <w:color w:val="auto"/>
          <w:sz w:val="21"/>
          <w:szCs w:val="21"/>
          <w:highlight w:val="none"/>
        </w:rPr>
        <w:t xml:space="preserve">    八、词语含义</w:t>
      </w:r>
      <w:bookmarkEnd w:id="29"/>
      <w:r/>
      <w:r/>
    </w:p>
    <w:p>
      <w:pPr>
        <w:ind w:firstLine="48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821"/>
        <w:ind w:firstLine="482"/>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30" w:name="_Toc351203489"/>
      <w:r>
        <w:rPr>
          <w:rFonts w:hint="eastAsia" w:ascii="宋体" w:hAnsi="宋体" w:eastAsia="宋体" w:cs="宋体"/>
          <w:b w:val="0"/>
          <w:color w:val="auto"/>
          <w:sz w:val="21"/>
          <w:szCs w:val="21"/>
          <w:highlight w:val="none"/>
        </w:rPr>
        <w:t xml:space="preserve">九、签订时间</w:t>
      </w:r>
      <w:bookmarkEnd w:id="30"/>
      <w:r/>
      <w:r/>
    </w:p>
    <w:p>
      <w:pPr>
        <w:ind w:firstLine="48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821"/>
        <w:ind w:firstLine="482"/>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31" w:name="_Toc351203490"/>
      <w:r>
        <w:rPr>
          <w:rFonts w:hint="eastAsia" w:ascii="宋体" w:hAnsi="宋体" w:eastAsia="宋体" w:cs="宋体"/>
          <w:b w:val="0"/>
          <w:color w:val="auto"/>
          <w:sz w:val="21"/>
          <w:szCs w:val="21"/>
          <w:highlight w:val="none"/>
        </w:rPr>
        <w:t xml:space="preserve">十、签订地点</w:t>
      </w:r>
      <w:bookmarkEnd w:id="31"/>
      <w:r/>
      <w:r/>
    </w:p>
    <w:p>
      <w:pPr>
        <w:ind w:firstLine="48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u w:val="single"/>
        </w:rPr>
        <w:t xml:space="preserve">        苏州工业园区                 </w:t>
      </w:r>
      <w:r>
        <w:rPr>
          <w:rFonts w:hint="eastAsia" w:ascii="宋体" w:hAnsi="宋体" w:eastAsia="宋体" w:cs="宋体"/>
          <w:bCs/>
          <w:color w:val="auto"/>
          <w:sz w:val="21"/>
          <w:szCs w:val="21"/>
          <w:highlight w:val="none"/>
        </w:rPr>
        <w:t xml:space="preserve">签订。</w:t>
      </w:r>
      <w:r/>
    </w:p>
    <w:p>
      <w:pPr>
        <w:pStyle w:val="821"/>
        <w:ind w:firstLine="482"/>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32" w:name="_Toc351203491"/>
      <w:r>
        <w:rPr>
          <w:rFonts w:hint="eastAsia" w:ascii="宋体" w:hAnsi="宋体" w:eastAsia="宋体" w:cs="宋体"/>
          <w:b w:val="0"/>
          <w:color w:val="auto"/>
          <w:sz w:val="21"/>
          <w:szCs w:val="21"/>
          <w:highlight w:val="none"/>
        </w:rPr>
        <w:t xml:space="preserve">十一、补充协议</w:t>
      </w:r>
      <w:bookmarkEnd w:id="32"/>
      <w:r/>
      <w:r/>
    </w:p>
    <w:p>
      <w:pPr>
        <w:ind w:firstLine="48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821"/>
        <w:ind w:firstLine="482"/>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33" w:name="_Toc351203492"/>
      <w:r>
        <w:rPr>
          <w:rFonts w:hint="eastAsia" w:ascii="宋体" w:hAnsi="宋体" w:eastAsia="宋体" w:cs="宋体"/>
          <w:b w:val="0"/>
          <w:color w:val="auto"/>
          <w:sz w:val="21"/>
          <w:szCs w:val="21"/>
          <w:highlight w:val="none"/>
        </w:rPr>
        <w:t xml:space="preserve">十二、合同生效</w:t>
      </w:r>
      <w:bookmarkEnd w:id="33"/>
      <w:r/>
      <w:r/>
    </w:p>
    <w:p>
      <w:pPr>
        <w:ind w:firstLine="48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合同双方签字并盖章，且承包人提交履约担保后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生效。</w:t>
      </w:r>
      <w:r/>
    </w:p>
    <w:p>
      <w:pPr>
        <w:pStyle w:val="821"/>
        <w:ind w:firstLine="482"/>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34" w:name="_Toc351203493"/>
      <w:r>
        <w:rPr>
          <w:rFonts w:hint="eastAsia" w:ascii="宋体" w:hAnsi="宋体" w:eastAsia="宋体" w:cs="宋体"/>
          <w:b w:val="0"/>
          <w:color w:val="auto"/>
          <w:sz w:val="21"/>
          <w:szCs w:val="21"/>
          <w:highlight w:val="none"/>
        </w:rPr>
        <w:t xml:space="preserve">十三、合同份数</w:t>
      </w:r>
      <w:bookmarkEnd w:id="34"/>
      <w:r/>
      <w:r/>
    </w:p>
    <w:p>
      <w:pPr>
        <w:ind w:firstLine="48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承包人：  (公章)</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（签字）</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ind w:firstLine="480"/>
        <w:pageBreakBefore w:val="0"/>
        <w:spacing w:line="360" w:lineRule="auto"/>
        <w:shd w:val="clear" w:color="auto"/>
        <w:widowControl w:val="off"/>
        <w:tabs>
          <w:tab w:val="left" w:pos="441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委托代理人：</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电子信箱：</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r/>
    </w:p>
    <w:p>
      <w:pPr>
        <w:pStyle w:val="820"/>
        <w:ind w:firstLine="482"/>
        <w:jc w:val="center"/>
        <w:pageBreakBefore w:val="0"/>
        <w:spacing w:before="0"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35" w:name="_Toc351203494"/>
      <w:r>
        <w:rPr>
          <w:rFonts w:hint="eastAsia" w:ascii="宋体" w:hAnsi="宋体" w:eastAsia="宋体" w:cs="宋体"/>
          <w:b/>
          <w:bCs/>
          <w:color w:val="auto"/>
          <w:sz w:val="21"/>
          <w:szCs w:val="21"/>
          <w:highlight w:val="none"/>
        </w:rPr>
        <w:t xml:space="preserve">第二部分 通用合同条款</w:t>
      </w:r>
      <w:bookmarkEnd w:id="35"/>
      <w:r/>
      <w:r/>
    </w:p>
    <w:p>
      <w:pPr>
        <w:pStyle w:val="820"/>
        <w:ind w:firstLine="482"/>
        <w:pageBreakBefore w:val="0"/>
        <w:spacing w:before="0"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参照建设部、国家工商行政管理局《建设工程施工合同》（示范文本）GF-201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-0201</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0"/>
        <w:ind w:firstLine="482"/>
        <w:jc w:val="center"/>
        <w:pageBreakBefore w:val="0"/>
        <w:spacing w:before="0" w:after="0"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第三部分 专用合同条款</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36" w:name="_Toc351203633"/>
      <w:r>
        <w:rPr>
          <w:rFonts w:hint="eastAsia" w:ascii="宋体" w:hAnsi="宋体" w:eastAsia="宋体" w:cs="宋体"/>
          <w:b w:val="0"/>
          <w:bCs w:val="0"/>
          <w:color w:val="auto"/>
          <w:sz w:val="21"/>
          <w:szCs w:val="21"/>
          <w:highlight w:val="none"/>
        </w:rPr>
        <w:t xml:space="preserve">1</w:t>
      </w:r>
      <w:bookmarkStart w:id="37" w:name="_Toc297048342"/>
      <w:r/>
      <w:bookmarkStart w:id="38" w:name="_Toc292559866"/>
      <w:r/>
      <w:bookmarkStart w:id="39" w:name="_Toc297120456"/>
      <w:r/>
      <w:bookmarkStart w:id="40" w:name="_Toc296890984"/>
      <w:r/>
      <w:bookmarkStart w:id="41" w:name="_Toc296891196"/>
      <w:r/>
      <w:bookmarkStart w:id="42" w:name="_Toc296944495"/>
      <w:r/>
      <w:bookmarkStart w:id="43" w:name="_Toc296503156"/>
      <w:r/>
      <w:bookmarkStart w:id="44" w:name="_Toc296347155"/>
      <w:r/>
      <w:bookmarkStart w:id="45" w:name="_Toc292559361"/>
      <w:r/>
      <w:bookmarkStart w:id="46" w:name="_Toc296346657"/>
      <w:r>
        <w:rPr>
          <w:rFonts w:hint="eastAsia" w:ascii="宋体" w:hAnsi="宋体" w:eastAsia="宋体" w:cs="宋体"/>
          <w:b w:val="0"/>
          <w:bCs w:val="0"/>
          <w:color w:val="auto"/>
          <w:sz w:val="21"/>
          <w:szCs w:val="21"/>
          <w:highlight w:val="none"/>
        </w:rPr>
        <w:t xml:space="preserve">. 一般约定</w:t>
      </w:r>
      <w:bookmarkEnd w:id="36"/>
      <w:r/>
      <w:bookmarkEnd w:id="37"/>
      <w:r/>
      <w:bookmarkEnd w:id="38"/>
      <w:r/>
      <w:bookmarkEnd w:id="39"/>
      <w:r/>
      <w:bookmarkEnd w:id="40"/>
      <w:r/>
      <w:bookmarkEnd w:id="41"/>
      <w:r/>
      <w:bookmarkEnd w:id="42"/>
      <w:r/>
      <w:bookmarkEnd w:id="43"/>
      <w:r/>
      <w:bookmarkEnd w:id="44"/>
      <w:r/>
      <w:bookmarkEnd w:id="45"/>
      <w:r/>
      <w:bookmarkEnd w:id="46"/>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词语定义</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 其他合同文件包括：</w:t>
      </w:r>
      <w:r>
        <w:rPr>
          <w:rFonts w:hint="eastAsia" w:ascii="宋体" w:hAnsi="宋体" w:eastAsia="宋体" w:cs="宋体"/>
          <w:color w:val="auto"/>
          <w:sz w:val="21"/>
          <w:szCs w:val="21"/>
          <w:highlight w:val="none"/>
          <w:u w:val="single"/>
        </w:rPr>
        <w:t xml:space="preserve">招标文件，包括资格审查条件、投标人须知、评标办法、合同条款及格式、招标工程量清单、投标文件格式、招标答疑、补遗及补充通知，投标文件的澄清、说明等内容</w:t>
      </w:r>
      <w:r>
        <w:rPr>
          <w:rFonts w:hint="eastAsia" w:ascii="宋体" w:hAnsi="宋体" w:eastAsia="宋体" w:cs="宋体"/>
          <w:color w:val="auto"/>
          <w:sz w:val="21"/>
          <w:szCs w:val="21"/>
          <w:highlight w:val="none"/>
          <w:u w:val="singl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1.1.2.1监理人：</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 </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 </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1.1.2.2 设计人：</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 作为施工现场组成部分的其他场所包括：</w:t>
      </w:r>
      <w:r>
        <w:rPr>
          <w:rFonts w:hint="eastAsia" w:ascii="宋体" w:hAnsi="宋体" w:eastAsia="宋体" w:cs="宋体"/>
          <w:color w:val="auto"/>
          <w:sz w:val="21"/>
          <w:szCs w:val="21"/>
          <w:highlight w:val="none"/>
          <w:u w:val="single"/>
        </w:rPr>
        <w:t xml:space="preserve"> 无</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1.1.3.2 永久占地包括：</w:t>
      </w:r>
      <w:r>
        <w:rPr>
          <w:rFonts w:hint="eastAsia" w:ascii="宋体" w:hAnsi="宋体" w:eastAsia="宋体" w:cs="宋体"/>
          <w:color w:val="auto"/>
          <w:sz w:val="21"/>
          <w:szCs w:val="21"/>
          <w:highlight w:val="none"/>
          <w:u w:val="single"/>
        </w:rPr>
        <w:t xml:space="preserve">为实施工程需永久占用的土地，永久占地范围与工程规划红线范围一致。永久占地手续由发包人负责办理。</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1.1.3.3 临时占地包括：</w:t>
      </w:r>
      <w:r>
        <w:rPr>
          <w:rFonts w:hint="eastAsia" w:ascii="宋体" w:hAnsi="宋体" w:eastAsia="宋体" w:cs="宋体"/>
          <w:color w:val="auto"/>
          <w:sz w:val="21"/>
          <w:szCs w:val="21"/>
          <w:highlight w:val="none"/>
          <w:u w:val="single"/>
        </w:rPr>
        <w:t xml:space="preserve">临设用地、仓储用地、装配加工用地、临时道路用地等为实施工程需要临时占用的土地。发包人委托承包人办理临时用地手续，相关费用已含在投标报价中</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1.2法律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适用于合同的其他规范性文件：</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标准和规范</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1.3.1适用于工程的标准规范包括：</w:t>
      </w:r>
      <w:r>
        <w:rPr>
          <w:rFonts w:hint="eastAsia" w:ascii="宋体" w:hAnsi="宋体" w:eastAsia="宋体" w:cs="宋体"/>
          <w:color w:val="auto"/>
          <w:sz w:val="21"/>
          <w:szCs w:val="21"/>
          <w:highlight w:val="none"/>
          <w:u w:val="single"/>
        </w:rPr>
        <w:t xml:space="preserve">国家有关施工及验收规范、省市和工业园区有关规定</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详见招标设计图纸</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发包人提供国外标准、规范的名称：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1.3.3发包人对工程的技术标准和功能要求的特殊要求：</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合同文件的优先顺序</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（1）合同协议书；</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（2）中标通知书；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（3）招标答疑、补遗及补充通知等；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（4）投标文件的澄清、说明；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（5）技术标准和要求；</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（6）专用合同条款及其附件；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（7）通用合同条款；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（8）投标函及其附录；</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（9）标准、规范及有关技术文件；</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（10）图纸；</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（11）已标价工程量清单或预算书；</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（12）其他合同文件。</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上述各文件是相互解释、相互说明的，但在出现含糊不清或彼此矛盾时，上述文件的排列次序将作为对合同解释的优先次序。同一排序中的文件以日期较后为准，如是技术方面的，则以标准高者为准。</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图纸和承包人文件</w:t>
      </w:r>
      <w:r>
        <w:rPr>
          <w:rFonts w:hint="eastAsia" w:ascii="宋体" w:hAnsi="宋体" w:eastAsia="宋体" w:cs="宋体"/>
          <w:color w:val="auto"/>
          <w:sz w:val="21"/>
          <w:szCs w:val="21"/>
          <w:highlight w:val="none"/>
        </w:rPr>
        <w:tab/>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图纸的提供</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合同通用条款第7.3.2项【开工通知】载明的开工日期前14天向承包人提供图纸。由于发包人原因未能按约定提供图纸，给承包人造成工期延误的，发包人应顺延延误的工期，承包人同意不就此提出费用赔偿</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发包人向承包人提供图纸的数量：发包人</w:t>
      </w:r>
      <w:r>
        <w:rPr>
          <w:rFonts w:hint="eastAsia" w:ascii="宋体" w:hAnsi="宋体" w:eastAsia="宋体" w:cs="宋体"/>
          <w:color w:val="auto"/>
          <w:sz w:val="21"/>
          <w:szCs w:val="21"/>
          <w:highlight w:val="none"/>
          <w:u w:val="single"/>
        </w:rPr>
        <w:t xml:space="preserve">提供图纸四套（其中二套用于编制竣工图），如承包人需要增加图纸，发包人可代为复制，费用由承包人承担</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详见招标文件《招标图纸目录》</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承包人文件</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材料设备采购计划、工程总进度计划、工程进度款用款计划、施工组织设计、重要的分部分项工程（专业）施工方案、安全文明施工方案及应急预案和国家、江苏省、苏州市及园区工程建设主管部门和相关管理部门、发包人、监理人要求承包人应提供的文件</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实际开工日期前14天提供。如工程实施（包含办理施工许可证）需要提前提供，承包人应满足发包人和监理人要求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一式三份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纸质文件三份并提供电子文件一份</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监理人及发包人在收到文件后7天内审查完毕</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现场图纸准备</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同通用合同条款</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联络</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1.6.1发包人和承包人应当在</w:t>
      </w:r>
      <w:r>
        <w:rPr>
          <w:rFonts w:hint="eastAsia" w:ascii="宋体" w:hAnsi="宋体" w:eastAsia="宋体" w:cs="宋体"/>
          <w:color w:val="auto"/>
          <w:sz w:val="21"/>
          <w:szCs w:val="21"/>
          <w:highlight w:val="none"/>
          <w:u w:val="single"/>
        </w:rPr>
        <w:t xml:space="preserve">7</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发包人接收文件的地点：</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交通运输</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7" w:name="_Toc300934943"/>
      <w:r/>
      <w:bookmarkStart w:id="48" w:name="_Toc312677986"/>
      <w:r/>
      <w:bookmarkStart w:id="49" w:name="_Toc303539100"/>
      <w:r/>
      <w:bookmarkStart w:id="50" w:name="_Toc304295521"/>
      <w:r/>
      <w:bookmarkStart w:id="51" w:name="_Toc318581155"/>
      <w:r>
        <w:rPr>
          <w:rFonts w:hint="eastAsia" w:ascii="宋体" w:hAnsi="宋体" w:eastAsia="宋体" w:cs="宋体"/>
          <w:color w:val="auto"/>
          <w:sz w:val="21"/>
          <w:szCs w:val="21"/>
          <w:highlight w:val="none"/>
        </w:rPr>
        <w:t xml:space="preserve">.7.1 出入现场的权利</w:t>
      </w:r>
      <w:r/>
    </w:p>
    <w:p>
      <w:pPr>
        <w:ind w:left="596"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承包人必须到苏州工业园区国土部门办理工程临时设施用地及施工临时用地手续，并缴纳临时用地恢复原状保证金、土地租赁费、宗地测量等相关费用，协助发包人与园区国土部门签订临时使用土地协议。上述费用已含在投标报价中，费用包干，结算不调整。</w:t>
      </w:r>
      <w:bookmarkEnd w:id="47"/>
      <w:r/>
      <w:bookmarkEnd w:id="48"/>
      <w:r/>
      <w:bookmarkEnd w:id="49"/>
      <w:r/>
      <w:bookmarkEnd w:id="50"/>
      <w:r/>
      <w:bookmarkEnd w:id="51"/>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52" w:name="_Toc303539101"/>
      <w:r/>
      <w:bookmarkStart w:id="53" w:name="_Toc318581156"/>
      <w:r/>
      <w:bookmarkStart w:id="54" w:name="_Toc304295522"/>
      <w:r/>
      <w:bookmarkStart w:id="55" w:name="_Toc300934944"/>
      <w:r/>
      <w:bookmarkStart w:id="56" w:name="_Toc312677987"/>
      <w:r>
        <w:rPr>
          <w:rFonts w:hint="eastAsia" w:ascii="宋体" w:hAnsi="宋体" w:eastAsia="宋体" w:cs="宋体"/>
          <w:color w:val="auto"/>
          <w:sz w:val="21"/>
          <w:szCs w:val="21"/>
          <w:highlight w:val="none"/>
        </w:rPr>
        <w:t xml:space="preserve">.7.2 场内交通</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以工程永久用地和临时用地范围为边界</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不提供，所有场内道路和交通设施由承包人负责修建、维修、养护和管理，相关费用已含在投标报价中</w:t>
      </w:r>
      <w:r>
        <w:rPr>
          <w:rFonts w:hint="eastAsia" w:ascii="宋体" w:hAnsi="宋体" w:eastAsia="宋体" w:cs="宋体"/>
          <w:color w:val="auto"/>
          <w:sz w:val="21"/>
          <w:szCs w:val="21"/>
          <w:highlight w:val="none"/>
        </w:rPr>
        <w:t xml:space="preserve">。</w:t>
      </w:r>
      <w:bookmarkEnd w:id="52"/>
      <w:r/>
      <w:bookmarkEnd w:id="53"/>
      <w:r/>
      <w:bookmarkEnd w:id="54"/>
      <w:r/>
      <w:bookmarkEnd w:id="55"/>
      <w:r/>
      <w:bookmarkEnd w:id="56"/>
      <w:r>
        <w:rPr>
          <w:rFonts w:hint="eastAsia" w:ascii="宋体" w:hAnsi="宋体" w:eastAsia="宋体" w:cs="宋体"/>
          <w:color w:val="auto"/>
          <w:sz w:val="21"/>
          <w:szCs w:val="21"/>
          <w:highlight w:val="none"/>
        </w:rPr>
        <w:t xml:space="preserve">  </w:t>
      </w:r>
      <w:bookmarkStart w:id="57" w:name="_Toc318581157"/>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 超大件和超重件的运输</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 </w:t>
      </w:r>
      <w:r>
        <w:rPr>
          <w:rFonts w:hint="eastAsia" w:ascii="宋体" w:hAnsi="宋体" w:eastAsia="宋体" w:cs="宋体"/>
          <w:color w:val="auto"/>
          <w:sz w:val="21"/>
          <w:szCs w:val="21"/>
          <w:highlight w:val="none"/>
        </w:rPr>
        <w:t xml:space="preserve">承担。</w:t>
      </w:r>
      <w:bookmarkEnd w:id="57"/>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知识产权</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同通用合同条款</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关于发包人提供的上述文件的使用限制的要求：</w:t>
      </w:r>
      <w:r>
        <w:rPr>
          <w:rFonts w:hint="eastAsia" w:ascii="宋体" w:hAnsi="宋体" w:eastAsia="宋体" w:cs="宋体"/>
          <w:color w:val="auto"/>
          <w:sz w:val="21"/>
          <w:szCs w:val="21"/>
          <w:highlight w:val="none"/>
          <w:u w:val="single"/>
        </w:rPr>
        <w:t xml:space="preserve"> 同通用合同条款</w:t>
      </w:r>
      <w:r>
        <w:rPr>
          <w:rFonts w:hint="eastAsia" w:ascii="宋体" w:hAnsi="宋体" w:eastAsia="宋体" w:cs="宋体"/>
          <w:color w:val="auto"/>
          <w:sz w:val="21"/>
          <w:szCs w:val="21"/>
          <w:highlight w:val="none"/>
        </w:rPr>
        <w:t xml:space="preserve">。</w:t>
      </w:r>
      <w:r/>
    </w:p>
    <w:p>
      <w:pPr>
        <w:ind w:firstLine="424"/>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w:t>
      </w:r>
      <w:r>
        <w:rPr>
          <w:rFonts w:hint="eastAsia" w:ascii="宋体" w:hAnsi="宋体" w:eastAsia="宋体" w:cs="宋体"/>
          <w:color w:val="auto"/>
          <w:spacing w:val="-8"/>
          <w:sz w:val="21"/>
          <w:szCs w:val="21"/>
          <w:highlight w:val="none"/>
        </w:rPr>
        <w:t xml:space="preserve">关于承包人为实施工程所编制文件的著作权的归属：</w:t>
      </w:r>
      <w:r>
        <w:rPr>
          <w:rFonts w:hint="eastAsia" w:ascii="宋体" w:hAnsi="宋体" w:eastAsia="宋体" w:cs="宋体"/>
          <w:color w:val="auto"/>
          <w:spacing w:val="-8"/>
          <w:sz w:val="21"/>
          <w:szCs w:val="21"/>
          <w:highlight w:val="none"/>
          <w:u w:val="single"/>
        </w:rPr>
        <w:t xml:space="preserve">同通用</w:t>
      </w:r>
      <w:r>
        <w:rPr>
          <w:rFonts w:hint="eastAsia" w:ascii="宋体" w:hAnsi="宋体" w:eastAsia="宋体" w:cs="宋体"/>
          <w:color w:val="auto"/>
          <w:sz w:val="21"/>
          <w:szCs w:val="21"/>
          <w:highlight w:val="none"/>
          <w:u w:val="single"/>
        </w:rPr>
        <w:t xml:space="preserve">合同</w:t>
      </w:r>
      <w:r>
        <w:rPr>
          <w:rFonts w:hint="eastAsia" w:ascii="宋体" w:hAnsi="宋体" w:eastAsia="宋体" w:cs="宋体"/>
          <w:color w:val="auto"/>
          <w:spacing w:val="-8"/>
          <w:sz w:val="21"/>
          <w:szCs w:val="21"/>
          <w:highlight w:val="none"/>
          <w:u w:val="single"/>
        </w:rPr>
        <w:t xml:space="preserve">条款</w:t>
      </w:r>
      <w:r>
        <w:rPr>
          <w:rFonts w:hint="eastAsia" w:ascii="宋体" w:hAnsi="宋体" w:eastAsia="宋体" w:cs="宋体"/>
          <w:color w:val="auto"/>
          <w:spacing w:val="-8"/>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同通用合同条款</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同通用合同条款</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1.9工程量清单错误的修正</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见专用合同条款10.4条规定。</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58" w:name="_Toc351203634"/>
      <w:r>
        <w:rPr>
          <w:rFonts w:hint="eastAsia" w:ascii="宋体" w:hAnsi="宋体" w:eastAsia="宋体" w:cs="宋体"/>
          <w:b w:val="0"/>
          <w:bCs w:val="0"/>
          <w:color w:val="auto"/>
          <w:sz w:val="21"/>
          <w:szCs w:val="21"/>
          <w:highlight w:val="none"/>
        </w:rPr>
        <w:t xml:space="preserve">2</w:t>
      </w:r>
      <w:bookmarkStart w:id="59" w:name="_Toc296944496"/>
      <w:r/>
      <w:bookmarkStart w:id="60" w:name="_Toc292559867"/>
      <w:r/>
      <w:bookmarkStart w:id="61" w:name="_Toc297048343"/>
      <w:r/>
      <w:bookmarkStart w:id="62" w:name="_Toc292559362"/>
      <w:r/>
      <w:bookmarkStart w:id="63" w:name="_Toc296347156"/>
      <w:r/>
      <w:bookmarkStart w:id="64" w:name="_Toc296503157"/>
      <w:r/>
      <w:bookmarkStart w:id="65" w:name="_Toc296891197"/>
      <w:r/>
      <w:bookmarkStart w:id="66" w:name="_Toc296346658"/>
      <w:r/>
      <w:bookmarkStart w:id="67" w:name="_Toc296890985"/>
      <w:r/>
      <w:bookmarkStart w:id="68" w:name="_Toc297120457"/>
      <w:r>
        <w:rPr>
          <w:rFonts w:hint="eastAsia" w:ascii="宋体" w:hAnsi="宋体" w:eastAsia="宋体" w:cs="宋体"/>
          <w:b w:val="0"/>
          <w:bCs w:val="0"/>
          <w:color w:val="auto"/>
          <w:sz w:val="21"/>
          <w:szCs w:val="21"/>
          <w:highlight w:val="none"/>
        </w:rPr>
        <w:t xml:space="preserve">. 发包人</w:t>
      </w:r>
      <w:bookmarkEnd w:id="58"/>
      <w:r/>
      <w:bookmarkEnd w:id="59"/>
      <w:r/>
      <w:bookmarkEnd w:id="60"/>
      <w:r/>
      <w:bookmarkEnd w:id="61"/>
      <w:r/>
      <w:bookmarkEnd w:id="62"/>
      <w:r/>
      <w:bookmarkEnd w:id="63"/>
      <w:r/>
      <w:bookmarkEnd w:id="64"/>
      <w:r/>
      <w:bookmarkEnd w:id="65"/>
      <w:r/>
      <w:bookmarkEnd w:id="66"/>
      <w:r/>
      <w:bookmarkEnd w:id="67"/>
      <w:r/>
      <w:bookmarkEnd w:id="68"/>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发包人代表</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作出处理；办理工程验收及移交手续；协调施工现场及外部有关事宜。需要发包人书面批准才能行使的职权同专用合同条款4.1关于监理人的监理权限的约定</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施工现场、施工条件和基础资料的提供</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提供施工现场</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同通用合同条款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提供施工条件</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不负责提供施工所需要的条件，包括但不限于施工用水、电力、通信线路等施工所必需的条件、正常施工所必须的进入施工现场的交通条件、施工现场周围地下管线和临近建筑物、构筑物、古树名木的保护工作等施工所需要的条件等均由承包人自行解决，费用含在投标报价中</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资金来源证明及支付担保</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发包人不提供资金来源证明</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不提供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2.4发包人义务</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69" w:name="_Toc351203635"/>
      <w:r>
        <w:rPr>
          <w:rFonts w:hint="eastAsia" w:ascii="宋体" w:hAnsi="宋体" w:eastAsia="宋体" w:cs="宋体"/>
          <w:b w:val="0"/>
          <w:bCs w:val="0"/>
          <w:color w:val="auto"/>
          <w:sz w:val="21"/>
          <w:szCs w:val="21"/>
          <w:highlight w:val="none"/>
        </w:rPr>
        <w:t xml:space="preserve">（1）发包人应每月及时确认进度产值，并向工资专户存入不低于当期工程款最低比例（非市政类项目：基础阶段5%，主体阶段20%；市政类项目：15%）的资金；</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（2）发包人应督促承包人设置考勤设备，承包人项目部管理人员和劳务人员未经考勤不得出入施工现场，考勤记录应实时完整上传至实名制监管系统；</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（3）发包人应督促承包人在监管银行开立农民工工资专户，每月通过工资专户直接将工资划入农民工个人工资账户。</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bookmarkStart w:id="70" w:name="_Toc292559868"/>
      <w:r/>
      <w:bookmarkStart w:id="71" w:name="_Toc296890986"/>
      <w:r/>
      <w:bookmarkStart w:id="72" w:name="_Toc296503158"/>
      <w:r/>
      <w:bookmarkStart w:id="73" w:name="_Toc297120458"/>
      <w:r/>
      <w:bookmarkStart w:id="74" w:name="_Toc292559363"/>
      <w:r/>
      <w:bookmarkStart w:id="75" w:name="_Toc296891198"/>
      <w:r/>
      <w:bookmarkStart w:id="76" w:name="_Toc297048344"/>
      <w:r/>
      <w:bookmarkStart w:id="77" w:name="_Toc296347157"/>
      <w:r/>
      <w:bookmarkStart w:id="78" w:name="_Toc296346659"/>
      <w:r/>
      <w:bookmarkStart w:id="79" w:name="_Toc296944497"/>
      <w:r>
        <w:rPr>
          <w:rFonts w:hint="eastAsia" w:ascii="宋体" w:hAnsi="宋体" w:eastAsia="宋体" w:cs="宋体"/>
          <w:b w:val="0"/>
          <w:bCs w:val="0"/>
          <w:color w:val="auto"/>
          <w:sz w:val="21"/>
          <w:szCs w:val="21"/>
          <w:highlight w:val="none"/>
        </w:rPr>
        <w:t xml:space="preserve">. 承包人</w:t>
      </w:r>
      <w:bookmarkEnd w:id="69"/>
      <w:r/>
      <w:bookmarkEnd w:id="70"/>
      <w:r/>
      <w:bookmarkEnd w:id="71"/>
      <w:r/>
      <w:bookmarkEnd w:id="72"/>
      <w:r/>
      <w:bookmarkEnd w:id="73"/>
      <w:r/>
      <w:bookmarkEnd w:id="74"/>
      <w:r/>
      <w:bookmarkEnd w:id="75"/>
      <w:r/>
      <w:bookmarkEnd w:id="76"/>
      <w:r/>
      <w:bookmarkEnd w:id="77"/>
      <w:r/>
      <w:bookmarkEnd w:id="78"/>
      <w:r/>
      <w:bookmarkEnd w:id="79"/>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承包人的一般义务义务</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（1）承包人提交的竣工资料的内容：</w:t>
      </w:r>
      <w:r>
        <w:rPr>
          <w:rFonts w:hint="eastAsia" w:ascii="宋体" w:hAnsi="宋体" w:eastAsia="宋体" w:cs="宋体"/>
          <w:color w:val="auto"/>
          <w:sz w:val="21"/>
          <w:szCs w:val="21"/>
          <w:highlight w:val="none"/>
          <w:u w:val="single"/>
        </w:rPr>
        <w:t xml:space="preserve">满足《苏州工业园区城建档案管理规定》要求</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 2套书面资料2套电子资料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竣工验收合格后二个月内报送</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满足《苏州工业园区城建档案管理规定》要求</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（2）承包人应履行的其他义务：</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①承担施工交通疏解、安全保卫工作及非夜间施工照明的责任和要求：</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承包人必须提供和维修非夜间施工使用的照明、围栏设施，并负责安全保卫和合同段内交通维护保通工作，确保过路行人、车辆的安全，施工现场及毗邻区域发生的安全事故导致的人身伤害和财产损失的赔偿责任等法律责任由承包人承担。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包人应按照交警、城管部门的要求，组织人员做好施工区域内及交叉路口交通疏导、保安管制工作。同时施工期间应采取措施，保证邻近道路交通通行。安保须聘请专业单位的保安实施，人员数量必须满足交警部门的要求，费用包含在投标报价中。</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承包人进场后应向交警、城管等部门申报交通管制方案，并取得同意。施工期间必须采用全封闭围挡将施工区域与各交叉路口及相邻地块隔离，采用混凝土护栏隔离机动车道与非机动车道，并在工程区域及周边设置限速牌、减速驳、交通标志标线、振荡带、水马隔离墩等必需的交通设施；承包人还需负责上述交通设施、施工围挡的日常维护和管理工作，直至工程完工，符合道路交通开放要求。</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d、施工期间涉及工程范围内企业车辆进出协调等事宜由承包人负责。</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e、承包人必须加强施工区域内交通组织管理，施工区域内发生交通安全事故由承包人负责处理并承担相应法律责任（如有），发包人将向承包人收取违约金10万元/次。</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f、本工程施工期间，夜间必须为社会车辆及行人提供充足的照明。</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以上a、b、c、d、e、f六项可能产生的费用，在措施项目清单中列项，包干使用。</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需承包人办理的有关施工场地交通、环卫和施工噪音管理等手续：根据苏州市及园区有关规定办理有关手续，费用由承包人包含到投标报价中。在园区举行重大活动时，需积极作好道路保洁、交通畅通、施工噪音等方面的临时突击工作，费用含入投标报价中。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邻近居民小区施工，承包人应充分考虑施工降效的影响，费用含入投标报价中；承包人必须采取措施降低噪声、扬尘等对居民的影响，所有夜间施工须取得环保主管部门行政审批后实施，并主动协调因施工造成的民事问题，费用含入投标报价中。</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③本工程施工范围存在多种管线并多处交叉，设计时已考虑相关管线的影响，但承包人仍应考虑必要的保护措施费。</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④施工场地清洁卫生的要求：</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承包人现场施工必须全部按苏州工业园区相关环保及文明施工的规定，全面做好施工场地的清洁卫生工作，费用由承包人包含到投标报价中；禁止向河道和绿地倾倒或排放建筑、生活垃圾以及污水，并承担由此而造成的一切赔偿和清理责任。</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b、承包人应当遵守国家及苏州工业园区有关环境保护的法律法规，采取措施控制施工现场的各种粉尘、废气、废水、固体废物以及噪声、振动对环境的污染和危害。</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c、工程交工前应清理现场达到监理工程师和发包人要求，并承担因违反有关规定造成的损失和罚款。</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⑤双方约定承包人应做的其他工作：</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在施工过程中，应配合可能进入施工现场发包人的其他承包人，并服从发包人的协调。</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承包人在施工过程中应委托苏州工业园区指定的测绘单位对管线管位标高进行测绘，测绘结果作为竣工资料的一部分，测绘费用含在报价中。</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规划验收:承包人须在竣工之后一个月内提供发包人办理规划验收时所需的相关资料，由承包人负责所有本工程涉及到的与各相关单位、政府部门的协调工作，相关费用含在报价中。</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⑥向监理人及发包人提供年、季、月度工程进度计划及相应进度统计报表、工程进度款用款计划。</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⑦承包人应设置考勤设备，承包人项目部管理人员和劳务人员未经考勤不得出入施工现场，考勤记录应实时完整上传至实名制监管系统；</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⑧承包人应在监管银行开立农民工工资专户，每月通过工资专户直接将工资划入农民工个人工资账户。</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    名: </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身份证号： </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建造师执业资格等级： </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建造师注册证书号： </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建造师执业印章号： </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安全生产考核合格证书号： </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 </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电子信箱： </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通信地址： </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承包人对项目经理的授权范围如下：代表承包人负责履行合同。</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每月出勤不少于22天，每次离开现场的天数不得大于3天，每月累计离开现场的时间不得大于6天</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同通用合同条款</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发包人向承包人收取违约金5000元/天</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3.2.2 承包人擅自更换项目经理的违约责任：承包人如需更换项目经理的，应至少提前7天以书面形式通知发包人，并征得发包人同意，后任继续行使合同文件约定的前任的职权，履行前任的义务。经发包人书面批准承包人更换项目经理的，每更换一次，承包人需通过其企业账户以银行转账方式向发包人支付违约金。违约处罚金额要求如下：合同金额5000万元及以下项目违约处罚金额不低于20万元；合同金额5000万元-10000万元(含10000万元)的项目违约处罚金额不低于30万元；10000万元以上项目违约处罚金额不低于50万元。</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承包人无正当理由拒绝更换项目经理的违约责任：</w:t>
      </w:r>
      <w:r>
        <w:rPr>
          <w:rFonts w:hint="eastAsia" w:ascii="宋体" w:hAnsi="宋体" w:eastAsia="宋体" w:cs="宋体"/>
          <w:color w:val="auto"/>
          <w:sz w:val="21"/>
          <w:szCs w:val="21"/>
          <w:highlight w:val="none"/>
          <w:u w:val="single"/>
        </w:rPr>
        <w:t xml:space="preserve">发包人将向承包人收取违约金3万元，由此增加的费用和（或）延误的工期及其它责任由承包人承担。</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在开工日期14天前提供。</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 承包人无正当理由拒绝撤换主要施工管理人员的违约责任：</w:t>
      </w:r>
      <w:r>
        <w:rPr>
          <w:rFonts w:hint="eastAsia" w:ascii="宋体" w:hAnsi="宋体" w:eastAsia="宋体" w:cs="宋体"/>
          <w:color w:val="auto"/>
          <w:sz w:val="21"/>
          <w:szCs w:val="21"/>
          <w:highlight w:val="none"/>
          <w:u w:val="single"/>
        </w:rPr>
        <w:t xml:space="preserve">发包人将向承包人收取违约金1万元，由此增加的费用和（或）延误的工期及其它责任由承包人承担。</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3.3.3 承包人主要施工管理人员离开施工现场的批准要求：   </w:t>
      </w:r>
      <w:r>
        <w:rPr>
          <w:rFonts w:hint="eastAsia" w:ascii="宋体" w:hAnsi="宋体" w:eastAsia="宋体" w:cs="宋体"/>
          <w:color w:val="auto"/>
          <w:sz w:val="21"/>
          <w:szCs w:val="21"/>
          <w:highlight w:val="none"/>
          <w:u w:val="single"/>
        </w:rPr>
        <w:t xml:space="preserve">同通用合同条款</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3.3.4承包人擅自更换主要施工管理人员的违约责任：</w:t>
      </w:r>
      <w:r>
        <w:rPr>
          <w:rFonts w:hint="eastAsia" w:ascii="宋体" w:hAnsi="宋体" w:eastAsia="宋体" w:cs="宋体"/>
          <w:color w:val="auto"/>
          <w:sz w:val="21"/>
          <w:szCs w:val="21"/>
          <w:highlight w:val="none"/>
          <w:u w:val="single"/>
        </w:rPr>
        <w:t xml:space="preserve">发包人将向承包人收取违约金1~3万元，由此增加的费用和（或）延误的工期及其它责任由承包人承担。</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发包人将向承包人收取违约金2000元/人·天。</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80" w:name="_Toc312677988"/>
      <w:r/>
      <w:bookmarkStart w:id="81" w:name="_Toc296891199"/>
      <w:r/>
      <w:bookmarkStart w:id="82" w:name="_Toc304295523"/>
      <w:r/>
      <w:bookmarkStart w:id="83" w:name="_Toc297216151"/>
      <w:r/>
      <w:bookmarkStart w:id="84" w:name="_Toc297123492"/>
      <w:r/>
      <w:bookmarkStart w:id="85" w:name="_Toc296347158"/>
      <w:r/>
      <w:bookmarkStart w:id="86" w:name="_Toc297048345"/>
      <w:r/>
      <w:bookmarkStart w:id="87" w:name="_Toc296503159"/>
      <w:r/>
      <w:bookmarkStart w:id="88" w:name="_Toc292559869"/>
      <w:r/>
      <w:bookmarkStart w:id="89" w:name="_Toc292559364"/>
      <w:r/>
      <w:bookmarkStart w:id="90" w:name="_Toc303539102"/>
      <w:r/>
      <w:bookmarkStart w:id="91" w:name="_Toc296890987"/>
      <w:r/>
      <w:bookmarkStart w:id="92" w:name="_Toc297120459"/>
      <w:r/>
      <w:bookmarkStart w:id="93" w:name="_Toc296944498"/>
      <w:r/>
      <w:bookmarkStart w:id="94" w:name="_Toc296346660"/>
      <w:r/>
      <w:bookmarkStart w:id="95" w:name="_Toc300934945"/>
      <w:r>
        <w:rPr>
          <w:rFonts w:hint="eastAsia" w:ascii="宋体" w:hAnsi="宋体" w:eastAsia="宋体" w:cs="宋体"/>
          <w:color w:val="auto"/>
          <w:sz w:val="21"/>
          <w:szCs w:val="21"/>
          <w:highlight w:val="none"/>
        </w:rPr>
        <w:t xml:space="preserve">.4 分包</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96" w:name="_Toc297216152"/>
      <w:r/>
      <w:bookmarkStart w:id="97" w:name="_Toc297048346"/>
      <w:r/>
      <w:bookmarkStart w:id="98" w:name="_Toc296891200"/>
      <w:r/>
      <w:bookmarkStart w:id="99" w:name="_Toc296944499"/>
      <w:r/>
      <w:bookmarkStart w:id="100" w:name="_Toc300934946"/>
      <w:r/>
      <w:bookmarkStart w:id="101" w:name="_Toc297120460"/>
      <w:r/>
      <w:bookmarkStart w:id="102" w:name="_Toc296347159"/>
      <w:r/>
      <w:bookmarkStart w:id="103" w:name="_Toc296890988"/>
      <w:r/>
      <w:bookmarkStart w:id="104" w:name="_Toc292559870"/>
      <w:r/>
      <w:bookmarkStart w:id="105" w:name="_Toc292559365"/>
      <w:r/>
      <w:bookmarkStart w:id="106" w:name="_Toc303539103"/>
      <w:r/>
      <w:bookmarkStart w:id="107" w:name="_Toc296503160"/>
      <w:r/>
      <w:bookmarkStart w:id="108" w:name="_Toc297123493"/>
      <w:r/>
      <w:bookmarkStart w:id="109" w:name="_Toc304295524"/>
      <w:r/>
      <w:bookmarkStart w:id="110" w:name="_Toc296346661"/>
      <w:r/>
      <w:bookmarkStart w:id="111" w:name="_Toc312677989"/>
      <w:r/>
      <w:bookmarkStart w:id="112" w:name="_Toc318581158"/>
      <w:r>
        <w:rPr>
          <w:rFonts w:hint="eastAsia" w:ascii="宋体" w:hAnsi="宋体" w:eastAsia="宋体" w:cs="宋体"/>
          <w:color w:val="auto"/>
          <w:sz w:val="21"/>
          <w:szCs w:val="21"/>
          <w:highlight w:val="none"/>
        </w:rPr>
        <w:t xml:space="preserve">.4.1 分包的一般约定</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同通用合同条款</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Start w:id="113" w:name="_Toc304295525"/>
      <w:r/>
      <w:bookmarkStart w:id="114" w:name="_Toc300934947"/>
      <w:r/>
      <w:bookmarkStart w:id="115" w:name="_Toc297120461"/>
      <w:r/>
      <w:bookmarkStart w:id="116" w:name="_Toc296347160"/>
      <w:r/>
      <w:bookmarkStart w:id="117" w:name="_Toc297123494"/>
      <w:r/>
      <w:bookmarkStart w:id="118" w:name="_Toc296944500"/>
      <w:r/>
      <w:bookmarkStart w:id="119" w:name="_Toc296503161"/>
      <w:r/>
      <w:bookmarkStart w:id="120" w:name="_Toc296346662"/>
      <w:r/>
      <w:bookmarkStart w:id="121" w:name="_Toc303539104"/>
      <w:r/>
      <w:bookmarkStart w:id="122" w:name="_Toc296891201"/>
      <w:r/>
      <w:bookmarkStart w:id="123" w:name="_Toc296890989"/>
      <w:r/>
      <w:bookmarkStart w:id="124" w:name="_Toc297048347"/>
      <w:r/>
      <w:bookmarkStart w:id="125" w:name="_Toc297216153"/>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bookmarkStart w:id="126" w:name="_Toc318581159"/>
      <w:r/>
      <w:bookmarkStart w:id="127" w:name="_Toc312677990"/>
      <w:r>
        <w:rPr>
          <w:rFonts w:hint="eastAsia" w:ascii="宋体" w:hAnsi="宋体" w:eastAsia="宋体" w:cs="宋体"/>
          <w:color w:val="auto"/>
          <w:sz w:val="21"/>
          <w:szCs w:val="21"/>
          <w:highlight w:val="none"/>
        </w:rPr>
        <w:t xml:space="preserve">    3.4.2分包的确定</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rPr>
        <w:t xml:space="preserve">不允许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 分包合同价款</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同通用合同条款</w:t>
      </w:r>
      <w:r>
        <w:rPr>
          <w:rFonts w:hint="eastAsia" w:ascii="宋体" w:hAnsi="宋体" w:eastAsia="宋体" w:cs="宋体"/>
          <w:color w:val="auto"/>
          <w:sz w:val="21"/>
          <w:szCs w:val="21"/>
          <w:highlight w:val="none"/>
        </w:rPr>
        <w:t xml:space="preserve">。</w:t>
      </w:r>
      <w:bookmarkEnd w:id="126"/>
      <w:r/>
      <w:bookmarkEnd w:id="127"/>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工程照管与成品、半成品保护</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 同通用合同条款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履约担保</w:t>
      </w:r>
      <w:r/>
    </w:p>
    <w:p>
      <w:pPr>
        <w:pStyle w:val="1089"/>
        <w:ind w:firstLine="420"/>
        <w:pageBreakBefore w:val="0"/>
        <w:spacing w:line="360" w:lineRule="auto"/>
        <w:shd w:val="clear" w:color="auto"/>
        <w:widowControl w:val="off"/>
        <w:rPr>
          <w:rFonts w:hint="eastAsia" w:ascii="宋体" w:hAnsi="宋体" w:eastAsia="宋体" w:cs="宋体"/>
          <w:color w:val="auto"/>
          <w:sz w:val="21"/>
          <w:szCs w:val="21"/>
          <w:highlight w:val="none"/>
        </w:rPr>
      </w:pPr>
      <w:r/>
      <w:bookmarkStart w:id="128" w:name="_Toc351203636"/>
      <w:r>
        <w:rPr>
          <w:rFonts w:hint="eastAsia" w:ascii="宋体" w:hAnsi="宋体" w:eastAsia="宋体" w:cs="宋体"/>
          <w:color w:val="auto"/>
          <w:sz w:val="21"/>
          <w:szCs w:val="21"/>
          <w:highlight w:val="none"/>
        </w:rPr>
        <w:t xml:space="preserve">承包人是否提供履约担：</w:t>
      </w:r>
      <w:r>
        <w:rPr>
          <w:rFonts w:hint="eastAsia" w:ascii="宋体" w:hAnsi="宋体" w:eastAsia="宋体" w:cs="宋体"/>
          <w:color w:val="auto"/>
          <w:sz w:val="21"/>
          <w:szCs w:val="21"/>
          <w:highlight w:val="none"/>
          <w:u w:val="single"/>
        </w:rPr>
        <w:t xml:space="preserve">是 </w:t>
      </w:r>
      <w:r>
        <w:rPr>
          <w:rFonts w:hint="eastAsia" w:ascii="宋体" w:hAnsi="宋体" w:eastAsia="宋体" w:cs="宋体"/>
          <w:color w:val="auto"/>
          <w:sz w:val="21"/>
          <w:szCs w:val="21"/>
          <w:highlight w:val="none"/>
        </w:rPr>
        <w:t xml:space="preserve">。</w:t>
      </w:r>
      <w:r/>
    </w:p>
    <w:p>
      <w:pPr>
        <w:pStyle w:val="1089"/>
        <w:ind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承包人提供履约担保的形式、金额及期限的：</w:t>
      </w:r>
      <w:r>
        <w:rPr>
          <w:rFonts w:hint="eastAsia" w:ascii="宋体" w:hAnsi="宋体" w:eastAsia="宋体" w:cs="宋体"/>
          <w:color w:val="auto"/>
          <w:sz w:val="21"/>
          <w:szCs w:val="21"/>
          <w:highlight w:val="none"/>
          <w:u w:val="single"/>
        </w:rPr>
        <w:t xml:space="preserve">合同签订前，承包人应提供签约合同价5%的履约保证金。履约保证金在工程竣工验收合格，取得竣工验收证书且送审后经承包人申请、发包人确认后返还。若承包人未能按规定提交履约保证金，发包人有权暂停支付工程款。</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bookmarkStart w:id="129" w:name="_Toc296891202"/>
      <w:r/>
      <w:bookmarkStart w:id="130" w:name="_Toc297048348"/>
      <w:r/>
      <w:bookmarkStart w:id="131" w:name="_Toc296346663"/>
      <w:r/>
      <w:bookmarkStart w:id="132" w:name="_Toc296347161"/>
      <w:r/>
      <w:bookmarkStart w:id="133" w:name="_Toc297120462"/>
      <w:r/>
      <w:bookmarkStart w:id="134" w:name="_Toc296890990"/>
      <w:r/>
      <w:bookmarkStart w:id="135" w:name="_Toc292559871"/>
      <w:r/>
      <w:bookmarkStart w:id="136" w:name="_Toc292559366"/>
      <w:r/>
      <w:bookmarkStart w:id="137" w:name="_Toc296503162"/>
      <w:r/>
      <w:bookmarkStart w:id="138" w:name="_Toc296944501"/>
      <w:r/>
      <w:bookmarkStart w:id="139" w:name="_Toc267251413"/>
      <w:r>
        <w:rPr>
          <w:rFonts w:hint="eastAsia" w:ascii="宋体" w:hAnsi="宋体" w:eastAsia="宋体" w:cs="宋体"/>
          <w:b w:val="0"/>
          <w:bCs w:val="0"/>
          <w:color w:val="auto"/>
          <w:sz w:val="21"/>
          <w:szCs w:val="21"/>
          <w:highlight w:val="none"/>
        </w:rPr>
        <w:t xml:space="preserve">. 监</w:t>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eastAsia="宋体" w:cs="宋体"/>
          <w:b w:val="0"/>
          <w:bCs w:val="0"/>
          <w:color w:val="auto"/>
          <w:sz w:val="21"/>
          <w:szCs w:val="21"/>
          <w:highlight w:val="none"/>
        </w:rPr>
        <w:t xml:space="preserve">理人</w:t>
      </w:r>
      <w:bookmarkEnd w:id="128"/>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详见《建设工程监理委托合同》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 监理人行使下列权利前应该得到发包人书面批准，否则监理人行使的该权利对发包人不发生效力：</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（1）发出可能引起工程范围的扩大或缩小、工程质量标准的提高或降低、合同价款增加、合同工期延长的工程变更指令或其它指令；</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（2）批准或同意承包人提出的追加或变更工程价款、补偿损失的申请；</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（3）批准或同意承包人提出的顺延工期的申请；</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（4）发出要求承包人暂停施工的指令；</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（5）批准或同意承包人分包其承包的主体结构以外的部分工程；</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（6）确认承包人提出的工程竣工验收及甩项验收报告；</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（7）确认工程竣工结算价款；</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（8）作出单方面终止合同的决定。</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监理人在发出上述指令、批准或确认时应附上发包人的书面批准。承包人在收到监理人的上述指令、批准或确认时应核对有无发包人的书面批准。一旦监理人未经发包人确认作出上述行动，承包人应该立即将该情况通知发包人，要求发包人予以追认，发包人未予追认的，监理人的该行动对发包人无约束力   </w:t>
      </w:r>
      <w:r>
        <w:rPr>
          <w:rFonts w:hint="eastAsia" w:ascii="宋体" w:hAnsi="宋体" w:eastAsia="宋体" w:cs="宋体"/>
          <w:color w:val="auto"/>
          <w:sz w:val="21"/>
          <w:szCs w:val="21"/>
          <w:highlight w:val="non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监理人在施工现场的办公场所及生活场所由监理人自行解决</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详见监理合同</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商定或确定</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bookmarkStart w:id="140" w:name="_Toc267251418"/>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无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无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141" w:name="_Toc351203637"/>
      <w:r>
        <w:rPr>
          <w:rFonts w:hint="eastAsia" w:ascii="宋体" w:hAnsi="宋体" w:eastAsia="宋体" w:cs="宋体"/>
          <w:b w:val="0"/>
          <w:bCs w:val="0"/>
          <w:color w:val="auto"/>
          <w:sz w:val="21"/>
          <w:szCs w:val="21"/>
          <w:highlight w:val="none"/>
        </w:rPr>
        <w:t xml:space="preserve">5</w:t>
      </w:r>
      <w:bookmarkEnd w:id="140"/>
      <w:r/>
      <w:bookmarkStart w:id="142" w:name="_Toc296503163"/>
      <w:r/>
      <w:bookmarkStart w:id="143" w:name="_Toc296944502"/>
      <w:r/>
      <w:bookmarkStart w:id="144" w:name="_Toc296347162"/>
      <w:r/>
      <w:bookmarkStart w:id="145" w:name="_Toc297048349"/>
      <w:r/>
      <w:bookmarkStart w:id="146" w:name="_Toc292559872"/>
      <w:r/>
      <w:bookmarkStart w:id="147" w:name="_Toc292559367"/>
      <w:r/>
      <w:bookmarkStart w:id="148" w:name="_Toc296346664"/>
      <w:r/>
      <w:bookmarkStart w:id="149" w:name="_Toc297120463"/>
      <w:r/>
      <w:bookmarkStart w:id="150" w:name="_Toc296891203"/>
      <w:r/>
      <w:bookmarkStart w:id="151" w:name="_Toc296890991"/>
      <w:r>
        <w:rPr>
          <w:rFonts w:hint="eastAsia" w:ascii="宋体" w:hAnsi="宋体" w:eastAsia="宋体" w:cs="宋体"/>
          <w:b w:val="0"/>
          <w:bCs w:val="0"/>
          <w:color w:val="auto"/>
          <w:sz w:val="21"/>
          <w:szCs w:val="21"/>
          <w:highlight w:val="none"/>
        </w:rPr>
        <w:t xml:space="preserve">. 工程质量</w:t>
      </w:r>
      <w:bookmarkEnd w:id="141"/>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质量要求</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bookmarkStart w:id="152" w:name="_Toc297216155"/>
      <w:r/>
      <w:bookmarkStart w:id="153" w:name="_Toc303539106"/>
      <w:r/>
      <w:bookmarkStart w:id="154" w:name="_Toc312677997"/>
      <w:r/>
      <w:bookmarkStart w:id="155" w:name="_Toc318581164"/>
      <w:r/>
      <w:bookmarkStart w:id="156" w:name="_Toc297123496"/>
      <w:r/>
      <w:bookmarkStart w:id="157" w:name="_Toc304295527"/>
      <w:r/>
      <w:bookmarkStart w:id="158" w:name="_Toc300934949"/>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隐蔽工程检查</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5.2.1 承包人提前通知监理人隐蔽工程检查的期限的约定：</w:t>
      </w:r>
      <w:r>
        <w:rPr>
          <w:rFonts w:hint="eastAsia" w:ascii="宋体" w:hAnsi="宋体" w:eastAsia="宋体" w:cs="宋体"/>
          <w:color w:val="auto"/>
          <w:sz w:val="21"/>
          <w:szCs w:val="21"/>
          <w:highlight w:val="none"/>
          <w:u w:val="single"/>
        </w:rPr>
        <w:t xml:space="preserve">同通用合同条款。</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159" w:name="_Toc351203638"/>
      <w:r>
        <w:rPr>
          <w:rFonts w:hint="eastAsia" w:ascii="宋体" w:hAnsi="宋体" w:eastAsia="宋体" w:cs="宋体"/>
          <w:b w:val="0"/>
          <w:bCs w:val="0"/>
          <w:color w:val="auto"/>
          <w:sz w:val="21"/>
          <w:szCs w:val="21"/>
          <w:highlight w:val="none"/>
        </w:rPr>
        <w:t xml:space="preserve">6. 安全文明施工与环境保护</w:t>
      </w:r>
      <w:bookmarkEnd w:id="159"/>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详见《技术标准和要求》附件《安全施工与文明现场协议书》</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 关于治安保卫的特别约定：</w:t>
      </w:r>
      <w:r>
        <w:rPr>
          <w:rFonts w:hint="eastAsia" w:ascii="宋体" w:hAnsi="宋体" w:eastAsia="宋体" w:cs="宋体"/>
          <w:color w:val="auto"/>
          <w:sz w:val="21"/>
          <w:szCs w:val="21"/>
          <w:highlight w:val="none"/>
          <w:u w:val="single"/>
        </w:rPr>
        <w:t xml:space="preserve">现场治安管理机构或联防组织由承包人组建，统一管理施工场地及生活区在内的区域治安保卫事项，履行合同工程的治安保卫职责等，详见《技术标准和要求》</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同通用合同条款</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6.1.3 文明施工</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承包人必须根据《苏州工业园区建设工程现场管理实施细则》和《苏州工业园区建设工程施工渣土运输管理暂行规定》要求安全文明施工</w:t>
      </w:r>
      <w:r>
        <w:rPr>
          <w:rFonts w:hint="eastAsia" w:ascii="宋体" w:hAnsi="宋体" w:eastAsia="宋体" w:cs="宋体"/>
          <w:color w:val="auto"/>
          <w:sz w:val="21"/>
          <w:szCs w:val="21"/>
          <w:highlight w:val="none"/>
        </w:rPr>
        <w:t xml:space="preserve">。</w:t>
      </w:r>
      <w:bookmarkEnd w:id="152"/>
      <w:r/>
      <w:bookmarkEnd w:id="153"/>
      <w:r/>
      <w:bookmarkEnd w:id="154"/>
      <w:r/>
      <w:bookmarkEnd w:id="155"/>
      <w:r/>
      <w:bookmarkEnd w:id="156"/>
      <w:r/>
      <w:bookmarkEnd w:id="157"/>
      <w:r/>
      <w:bookmarkEnd w:id="158"/>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160" w:name="_Toc351203639"/>
      <w:r>
        <w:rPr>
          <w:rFonts w:hint="eastAsia" w:ascii="宋体" w:hAnsi="宋体" w:eastAsia="宋体" w:cs="宋体"/>
          <w:b w:val="0"/>
          <w:bCs w:val="0"/>
          <w:color w:val="auto"/>
          <w:sz w:val="21"/>
          <w:szCs w:val="21"/>
          <w:highlight w:val="none"/>
        </w:rPr>
        <w:t xml:space="preserve">7. 工期和进度</w:t>
      </w:r>
      <w:bookmarkEnd w:id="160"/>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rPr>
        <w:t xml:space="preserve">危险性较大的分部分项工程安全管理办法</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实际开工日期14天前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同通用合同条款。 发包人和监理人对承包人提交的施工组织设计（包括修改后的施工组织设计）的确认，不能减轻或免除承包人根据法律规定和合同约定应承担的任何责任或义务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61" w:name="_Toc300934966"/>
      <w:r/>
      <w:bookmarkStart w:id="162" w:name="_Toc297216173"/>
      <w:r/>
      <w:bookmarkStart w:id="163" w:name="_Toc304295541"/>
      <w:r/>
      <w:bookmarkStart w:id="164" w:name="_Toc312678005"/>
      <w:r/>
      <w:bookmarkStart w:id="165" w:name="_Toc297123514"/>
      <w:r/>
      <w:bookmarkStart w:id="166" w:name="_Toc303539123"/>
      <w:r/>
      <w:bookmarkStart w:id="167" w:name="_Toc312677479"/>
      <w:r>
        <w:rPr>
          <w:rFonts w:hint="eastAsia" w:ascii="宋体" w:hAnsi="宋体" w:eastAsia="宋体" w:cs="宋体"/>
          <w:color w:val="auto"/>
          <w:sz w:val="21"/>
          <w:szCs w:val="21"/>
          <w:highlight w:val="none"/>
        </w:rPr>
        <w:t xml:space="preserve">.2 施工进度计划</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7.2.1 施工进度计划的修订</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同通用合同条款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 同通用合同条款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270 </w:t>
      </w:r>
      <w:r>
        <w:rPr>
          <w:rFonts w:hint="eastAsia" w:ascii="宋体" w:hAnsi="宋体" w:eastAsia="宋体" w:cs="宋体"/>
          <w:color w:val="auto"/>
          <w:sz w:val="21"/>
          <w:szCs w:val="21"/>
          <w:highlight w:val="none"/>
        </w:rPr>
        <w:t xml:space="preserve">天内发出开工通知的，承包人有权提出价格调整要求，或者解除合同。</w:t>
      </w:r>
      <w:bookmarkEnd w:id="161"/>
      <w:r/>
      <w:bookmarkEnd w:id="162"/>
      <w:r/>
      <w:bookmarkEnd w:id="163"/>
      <w:r/>
      <w:bookmarkEnd w:id="164"/>
      <w:r/>
      <w:bookmarkEnd w:id="165"/>
      <w:r/>
      <w:bookmarkEnd w:id="166"/>
      <w:r/>
      <w:bookmarkEnd w:id="167"/>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w:t>
      </w:r>
      <w:r>
        <w:rPr>
          <w:rFonts w:hint="eastAsia" w:ascii="宋体" w:hAnsi="宋体" w:eastAsia="宋体" w:cs="宋体"/>
          <w:color w:val="auto"/>
          <w:sz w:val="21"/>
          <w:szCs w:val="21"/>
          <w:highlight w:val="none"/>
          <w:u w:val="single"/>
        </w:rPr>
        <w:t xml:space="preserve">承包人应在开工日期前14天直接向苏州工业园区测绘地理信息有限公司（咨询电话0512-67611188）购买，费用含投标报价中。</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68" w:name="_Toc297216175"/>
      <w:r/>
      <w:bookmarkStart w:id="169" w:name="_Toc303539125"/>
      <w:r/>
      <w:bookmarkStart w:id="170" w:name="_Toc297123516"/>
      <w:r/>
      <w:bookmarkStart w:id="171" w:name="_Toc304295546"/>
      <w:r/>
      <w:bookmarkStart w:id="172" w:name="_Toc312677484"/>
      <w:r/>
      <w:bookmarkStart w:id="173" w:name="_Toc312678010"/>
      <w:r/>
      <w:bookmarkStart w:id="174" w:name="_Toc300934968"/>
      <w:r>
        <w:rPr>
          <w:rFonts w:hint="eastAsia" w:ascii="宋体" w:hAnsi="宋体" w:eastAsia="宋体" w:cs="宋体"/>
          <w:color w:val="auto"/>
          <w:sz w:val="21"/>
          <w:szCs w:val="21"/>
          <w:highlight w:val="none"/>
        </w:rPr>
        <w:t xml:space="preserve">.5 工期延误</w:t>
      </w:r>
      <w:bookmarkEnd w:id="168"/>
      <w:r/>
      <w:bookmarkEnd w:id="169"/>
      <w:r/>
      <w:bookmarkEnd w:id="170"/>
      <w:r/>
      <w:bookmarkEnd w:id="171"/>
      <w:r/>
      <w:bookmarkEnd w:id="172"/>
      <w:r/>
      <w:bookmarkEnd w:id="173"/>
      <w:r/>
      <w:bookmarkEnd w:id="174"/>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因发包人原因导致工期延误的其他情形：</w:t>
      </w:r>
      <w:r>
        <w:rPr>
          <w:rFonts w:hint="eastAsia" w:ascii="宋体" w:hAnsi="宋体" w:eastAsia="宋体" w:cs="宋体"/>
          <w:color w:val="auto"/>
          <w:sz w:val="21"/>
          <w:szCs w:val="21"/>
          <w:highlight w:val="none"/>
          <w:u w:val="single"/>
        </w:rPr>
        <w:t xml:space="preserve">无。因发包人原因导致的工期延误，由发包人书面签证确认应予顺延的工期，承包人不就此提出费用索赔</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75" w:name="_Toc312677486"/>
      <w:r/>
      <w:bookmarkStart w:id="176" w:name="_Toc318581169"/>
      <w:r/>
      <w:bookmarkStart w:id="177" w:name="_Toc312678012"/>
      <w:r/>
      <w:bookmarkStart w:id="178" w:name="_Toc304295548"/>
      <w:r/>
      <w:bookmarkStart w:id="179" w:name="_Toc300934970"/>
      <w:r/>
      <w:bookmarkStart w:id="180" w:name="_Toc297216177"/>
      <w:r/>
      <w:bookmarkStart w:id="181" w:name="_Toc303539127"/>
      <w:r/>
      <w:bookmarkStart w:id="182" w:name="_Toc297123518"/>
      <w:r>
        <w:rPr>
          <w:rFonts w:hint="eastAsia" w:ascii="宋体" w:hAnsi="宋体" w:eastAsia="宋体" w:cs="宋体"/>
          <w:color w:val="auto"/>
          <w:sz w:val="21"/>
          <w:szCs w:val="21"/>
          <w:highlight w:val="none"/>
        </w:rPr>
        <w:t xml:space="preserve">.5.2 因承包人原因导致工期延误</w:t>
      </w:r>
      <w:bookmarkEnd w:id="175"/>
      <w:r/>
      <w:bookmarkEnd w:id="176"/>
      <w:r/>
      <w:bookmarkEnd w:id="177"/>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因</w:t>
      </w:r>
      <w:bookmarkStart w:id="183" w:name="_Toc312677487"/>
      <w:r/>
      <w:bookmarkStart w:id="184" w:name="_Toc312678013"/>
      <w:r/>
      <w:bookmarkStart w:id="185" w:name="_Toc318581170"/>
      <w:r>
        <w:rPr>
          <w:rFonts w:hint="eastAsia" w:ascii="宋体" w:hAnsi="宋体" w:eastAsia="宋体" w:cs="宋体"/>
          <w:color w:val="auto"/>
          <w:sz w:val="21"/>
          <w:szCs w:val="21"/>
          <w:highlight w:val="none"/>
        </w:rPr>
        <w:t xml:space="preserve">承包人原因造成工期延误，逾期竣工违约金的计算方法为：</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工期每拖延一天，承包人向发包人支付合同金额的万分之五</w:t>
      </w:r>
      <w:r>
        <w:rPr>
          <w:rFonts w:hint="eastAsia" w:ascii="宋体" w:hAnsi="宋体" w:eastAsia="宋体" w:cs="宋体"/>
          <w:color w:val="auto"/>
          <w:sz w:val="21"/>
          <w:szCs w:val="21"/>
          <w:highlight w:val="none"/>
        </w:rPr>
        <w:t xml:space="preserve">。</w:t>
      </w:r>
      <w:bookmarkEnd w:id="178"/>
      <w:r/>
      <w:bookmarkEnd w:id="179"/>
      <w:r/>
      <w:bookmarkEnd w:id="180"/>
      <w:r/>
      <w:bookmarkEnd w:id="181"/>
      <w:r/>
      <w:bookmarkEnd w:id="182"/>
      <w:r/>
      <w:bookmarkEnd w:id="183"/>
      <w:r/>
      <w:bookmarkEnd w:id="184"/>
      <w:r/>
      <w:bookmarkEnd w:id="185"/>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bookmarkStart w:id="186" w:name="_Toc318581171"/>
      <w:r/>
      <w:bookmarkStart w:id="187" w:name="_Toc312678014"/>
      <w:r>
        <w:rPr>
          <w:rFonts w:hint="eastAsia" w:ascii="宋体" w:hAnsi="宋体" w:eastAsia="宋体" w:cs="宋体"/>
          <w:color w:val="auto"/>
          <w:sz w:val="21"/>
          <w:szCs w:val="21"/>
          <w:highlight w:val="none"/>
        </w:rPr>
        <w:t xml:space="preserve">因承包人原因造成工期延误，逾期竣工违约金的上限：</w:t>
      </w:r>
      <w:r>
        <w:rPr>
          <w:rFonts w:hint="eastAsia" w:ascii="宋体" w:hAnsi="宋体" w:eastAsia="宋体" w:cs="宋体"/>
          <w:color w:val="auto"/>
          <w:sz w:val="21"/>
          <w:szCs w:val="21"/>
          <w:highlight w:val="none"/>
          <w:u w:val="single"/>
        </w:rPr>
        <w:t xml:space="preserve">无上限 </w:t>
      </w:r>
      <w:r>
        <w:rPr>
          <w:rFonts w:hint="eastAsia" w:ascii="宋体" w:hAnsi="宋体" w:eastAsia="宋体" w:cs="宋体"/>
          <w:color w:val="auto"/>
          <w:sz w:val="21"/>
          <w:szCs w:val="21"/>
          <w:highlight w:val="none"/>
        </w:rPr>
        <w:t xml:space="preserve">。</w:t>
      </w:r>
      <w:bookmarkEnd w:id="186"/>
      <w:r/>
      <w:bookmarkEnd w:id="187"/>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88" w:name="_Toc300934971"/>
      <w:r/>
      <w:bookmarkStart w:id="189" w:name="_Toc297216178"/>
      <w:r/>
      <w:bookmarkStart w:id="190" w:name="_Toc303539128"/>
      <w:r/>
      <w:bookmarkStart w:id="191" w:name="_Toc312678015"/>
      <w:r/>
      <w:bookmarkStart w:id="192" w:name="_Toc297123519"/>
      <w:r/>
      <w:bookmarkStart w:id="193" w:name="_Toc304295549"/>
      <w:r>
        <w:rPr>
          <w:rFonts w:hint="eastAsia" w:ascii="宋体" w:hAnsi="宋体" w:eastAsia="宋体" w:cs="宋体"/>
          <w:color w:val="auto"/>
          <w:sz w:val="21"/>
          <w:szCs w:val="21"/>
          <w:highlight w:val="none"/>
        </w:rPr>
        <w:t xml:space="preserve">.6 不</w:t>
      </w:r>
      <w:bookmarkEnd w:id="188"/>
      <w:r/>
      <w:bookmarkEnd w:id="189"/>
      <w:r/>
      <w:bookmarkEnd w:id="190"/>
      <w:r/>
      <w:bookmarkEnd w:id="191"/>
      <w:r/>
      <w:bookmarkEnd w:id="192"/>
      <w:r/>
      <w:bookmarkEnd w:id="193"/>
      <w:r>
        <w:rPr>
          <w:rFonts w:hint="eastAsia" w:ascii="宋体" w:hAnsi="宋体" w:eastAsia="宋体" w:cs="宋体"/>
          <w:color w:val="auto"/>
          <w:sz w:val="21"/>
          <w:szCs w:val="21"/>
          <w:highlight w:val="none"/>
        </w:rPr>
        <w:t xml:space="preserve">利物质条件</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bookmarkStart w:id="194" w:name="_Toc300934972"/>
      <w:r/>
      <w:bookmarkStart w:id="195" w:name="_Toc303539129"/>
      <w:r/>
      <w:bookmarkStart w:id="196" w:name="_Toc312678016"/>
      <w:r/>
      <w:bookmarkStart w:id="197" w:name="_Toc297123520"/>
      <w:r/>
      <w:bookmarkStart w:id="198" w:name="_Toc318581172"/>
      <w:r/>
      <w:bookmarkStart w:id="199" w:name="_Toc297216179"/>
      <w:r/>
      <w:bookmarkStart w:id="200" w:name="_Toc304295550"/>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bookmarkEnd w:id="194"/>
      <w:r/>
      <w:bookmarkEnd w:id="195"/>
      <w:r/>
      <w:bookmarkEnd w:id="196"/>
      <w:r/>
      <w:bookmarkEnd w:id="197"/>
      <w:r/>
      <w:bookmarkEnd w:id="198"/>
      <w:r/>
      <w:bookmarkEnd w:id="199"/>
      <w:r/>
      <w:bookmarkEnd w:id="200"/>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01" w:name="_Toc312678017"/>
      <w:r/>
      <w:bookmarkStart w:id="202" w:name="_Toc303539130"/>
      <w:r/>
      <w:bookmarkStart w:id="203" w:name="_Toc300934973"/>
      <w:r/>
      <w:bookmarkStart w:id="204" w:name="_Toc297216180"/>
      <w:r/>
      <w:bookmarkStart w:id="205" w:name="_Toc297123521"/>
      <w:r/>
      <w:bookmarkStart w:id="206" w:name="_Toc304295551"/>
      <w:r>
        <w:rPr>
          <w:rFonts w:hint="eastAsia" w:ascii="宋体" w:hAnsi="宋体" w:eastAsia="宋体" w:cs="宋体"/>
          <w:color w:val="auto"/>
          <w:sz w:val="21"/>
          <w:szCs w:val="21"/>
          <w:highlight w:val="none"/>
        </w:rPr>
        <w:t xml:space="preserve">.7异常恶劣的气候条件</w:t>
      </w:r>
      <w:bookmarkEnd w:id="201"/>
      <w:r/>
      <w:bookmarkEnd w:id="202"/>
      <w:r/>
      <w:bookmarkEnd w:id="203"/>
      <w:r/>
      <w:bookmarkEnd w:id="204"/>
      <w:r/>
      <w:bookmarkEnd w:id="205"/>
      <w:r/>
      <w:bookmarkEnd w:id="206"/>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无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无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 提前竣工的奖励</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7.8.1提前竣工的奖励：</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207" w:name="_Toc351203640"/>
      <w:r>
        <w:rPr>
          <w:rFonts w:hint="eastAsia" w:ascii="宋体" w:hAnsi="宋体" w:eastAsia="宋体" w:cs="宋体"/>
          <w:b w:val="0"/>
          <w:bCs w:val="0"/>
          <w:color w:val="auto"/>
          <w:sz w:val="21"/>
          <w:szCs w:val="21"/>
          <w:highlight w:val="none"/>
        </w:rPr>
        <w:t xml:space="preserve">8. 材料与设备</w:t>
      </w:r>
      <w:bookmarkEnd w:id="207"/>
      <w:r/>
      <w:bookmarkEnd w:id="142"/>
      <w:r/>
      <w:bookmarkEnd w:id="143"/>
      <w:r/>
      <w:bookmarkEnd w:id="144"/>
      <w:r/>
      <w:bookmarkEnd w:id="145"/>
      <w:r/>
      <w:bookmarkEnd w:id="146"/>
      <w:r/>
      <w:bookmarkEnd w:id="147"/>
      <w:r/>
      <w:bookmarkEnd w:id="148"/>
      <w:r/>
      <w:bookmarkEnd w:id="149"/>
      <w:r/>
      <w:bookmarkEnd w:id="150"/>
      <w:r/>
      <w:bookmarkEnd w:id="151"/>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08" w:name="_Toc297048353"/>
      <w:r/>
      <w:bookmarkStart w:id="209" w:name="_Toc297123527"/>
      <w:r/>
      <w:bookmarkStart w:id="210" w:name="_Toc303539136"/>
      <w:r/>
      <w:bookmarkStart w:id="211" w:name="_Toc304295556"/>
      <w:r/>
      <w:bookmarkStart w:id="212" w:name="_Toc292559877"/>
      <w:r/>
      <w:bookmarkStart w:id="213" w:name="_Toc297120467"/>
      <w:r/>
      <w:bookmarkStart w:id="214" w:name="_Toc296890995"/>
      <w:r/>
      <w:bookmarkStart w:id="215" w:name="_Toc312677493"/>
      <w:r/>
      <w:bookmarkStart w:id="216" w:name="_Toc312678019"/>
      <w:r/>
      <w:bookmarkStart w:id="217" w:name="_Toc296503167"/>
      <w:r/>
      <w:bookmarkStart w:id="218" w:name="_Toc280868654"/>
      <w:r/>
      <w:bookmarkStart w:id="219" w:name="_Toc296346668"/>
      <w:r/>
      <w:bookmarkStart w:id="220" w:name="_Toc296891207"/>
      <w:r/>
      <w:bookmarkStart w:id="221" w:name="_Toc297216186"/>
      <w:r/>
      <w:bookmarkStart w:id="222" w:name="_Toc292559372"/>
      <w:r/>
      <w:bookmarkStart w:id="223" w:name="_Toc296944506"/>
      <w:r/>
      <w:bookmarkStart w:id="224" w:name="_Toc296347166"/>
      <w:r/>
      <w:bookmarkStart w:id="225" w:name="_Toc300934979"/>
      <w:r/>
      <w:bookmarkStart w:id="226" w:name="_Toc267251424"/>
      <w:r/>
      <w:bookmarkStart w:id="227" w:name="_Toc280868655"/>
      <w:r/>
      <w:bookmarkStart w:id="228" w:name="_Toc280868656"/>
      <w:r>
        <w:rPr>
          <w:rFonts w:hint="eastAsia" w:ascii="宋体" w:hAnsi="宋体" w:eastAsia="宋体" w:cs="宋体"/>
          <w:color w:val="auto"/>
          <w:sz w:val="21"/>
          <w:szCs w:val="21"/>
          <w:highlight w:val="none"/>
        </w:rPr>
        <w:t xml:space="preserve">.1材料与工程设备的保管与使用</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29" w:name="_Toc292559373"/>
      <w:r/>
      <w:bookmarkStart w:id="230" w:name="_Toc292559878"/>
      <w:r/>
      <w:bookmarkStart w:id="231" w:name="_Toc296503168"/>
      <w:r/>
      <w:bookmarkStart w:id="232" w:name="_Toc296890996"/>
      <w:r/>
      <w:bookmarkStart w:id="233" w:name="_Toc312677494"/>
      <w:r/>
      <w:bookmarkStart w:id="234" w:name="_Toc296346669"/>
      <w:r/>
      <w:bookmarkStart w:id="235" w:name="_Toc318581173"/>
      <w:r/>
      <w:bookmarkStart w:id="236" w:name="_Toc304295557"/>
      <w:r/>
      <w:bookmarkStart w:id="237" w:name="_Toc297120468"/>
      <w:r/>
      <w:bookmarkStart w:id="238" w:name="_Toc303539137"/>
      <w:r/>
      <w:bookmarkStart w:id="239" w:name="_Toc297216187"/>
      <w:r/>
      <w:bookmarkStart w:id="240" w:name="_Toc297123528"/>
      <w:r/>
      <w:bookmarkStart w:id="241" w:name="_Toc296891208"/>
      <w:r/>
      <w:bookmarkStart w:id="242" w:name="_Toc296944507"/>
      <w:r/>
      <w:bookmarkStart w:id="243" w:name="_Toc312678020"/>
      <w:r/>
      <w:bookmarkStart w:id="244" w:name="_Toc297048354"/>
      <w:r/>
      <w:bookmarkStart w:id="245" w:name="_Toc296347167"/>
      <w:r/>
      <w:bookmarkStart w:id="246" w:name="_Toc300934980"/>
      <w:r>
        <w:rPr>
          <w:rFonts w:hint="eastAsia" w:ascii="宋体" w:hAnsi="宋体" w:eastAsia="宋体" w:cs="宋体"/>
          <w:color w:val="auto"/>
          <w:sz w:val="21"/>
          <w:szCs w:val="21"/>
          <w:highlight w:val="none"/>
        </w:rPr>
        <w:t xml:space="preserve">.1.1发包人供应的材料设备的保管费用的承担：</w:t>
      </w:r>
      <w:r>
        <w:rPr>
          <w:rFonts w:hint="eastAsia" w:ascii="宋体" w:hAnsi="宋体" w:eastAsia="宋体" w:cs="宋体"/>
          <w:color w:val="auto"/>
          <w:sz w:val="21"/>
          <w:szCs w:val="21"/>
          <w:highlight w:val="none"/>
          <w:u w:val="single"/>
        </w:rPr>
        <w:t xml:space="preserve">由承包人承担，费用含在投标报价中  </w:t>
      </w:r>
      <w:r>
        <w:rPr>
          <w:rFonts w:hint="eastAsia" w:ascii="宋体" w:hAnsi="宋体" w:eastAsia="宋体" w:cs="宋体"/>
          <w:color w:val="auto"/>
          <w:sz w:val="21"/>
          <w:szCs w:val="21"/>
          <w:highlight w:val="none"/>
        </w:rPr>
        <w:t xml:space="preserve">。</w:t>
      </w:r>
      <w:bookmarkEnd w:id="229"/>
      <w:r/>
      <w:bookmarkEnd w:id="230"/>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样品</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样品的报送与封存</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材料需经发包人确认封样后方可使用</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施工设备和临时设施</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8.3.1 承包人提供的施工设备和临时设施</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承包人必须到苏州工业园区国土部门办理工程临时设施用地及施工临时用地手续，并协助发包人与苏州工业园区国土部门签订临时使用土地协议。承包人必须缴纳临时用地恢复原状保证金、土地租赁费、宗地测量等相关费用，上述费用含在投标报价中。</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247" w:name="_Toc351203641"/>
      <w:r>
        <w:rPr>
          <w:rFonts w:hint="eastAsia" w:ascii="宋体" w:hAnsi="宋体" w:eastAsia="宋体" w:cs="宋体"/>
          <w:b w:val="0"/>
          <w:bCs w:val="0"/>
          <w:color w:val="auto"/>
          <w:sz w:val="21"/>
          <w:szCs w:val="21"/>
          <w:highlight w:val="none"/>
        </w:rPr>
        <w:t xml:space="preserve">9</w:t>
      </w:r>
      <w:bookmarkEnd w:id="226"/>
      <w:r/>
      <w:bookmarkEnd w:id="227"/>
      <w:r/>
      <w:bookmarkEnd w:id="228"/>
      <w:r/>
      <w:bookmarkStart w:id="248" w:name="_Toc300934982"/>
      <w:r/>
      <w:bookmarkStart w:id="249" w:name="_Toc304295559"/>
      <w:r/>
      <w:bookmarkStart w:id="250" w:name="_Toc312677495"/>
      <w:r/>
      <w:bookmarkStart w:id="251" w:name="_Toc297123533"/>
      <w:r/>
      <w:bookmarkStart w:id="252" w:name="_Toc312678021"/>
      <w:r/>
      <w:bookmarkStart w:id="253" w:name="_Toc303539139"/>
      <w:r/>
      <w:bookmarkStart w:id="254" w:name="_Toc297216192"/>
      <w:r/>
      <w:bookmarkStart w:id="255" w:name="_Toc296346674"/>
      <w:r/>
      <w:bookmarkStart w:id="256" w:name="_Toc297120473"/>
      <w:r/>
      <w:bookmarkStart w:id="257" w:name="_Toc296503173"/>
      <w:r/>
      <w:bookmarkStart w:id="258" w:name="_Toc296944512"/>
      <w:r/>
      <w:bookmarkStart w:id="259" w:name="_Toc267251427"/>
      <w:r/>
      <w:bookmarkStart w:id="260" w:name="_Toc267251428"/>
      <w:r/>
      <w:bookmarkStart w:id="261" w:name="_Toc296891001"/>
      <w:r/>
      <w:bookmarkStart w:id="262" w:name="_Toc296347172"/>
      <w:r/>
      <w:bookmarkStart w:id="263" w:name="_Toc292559883"/>
      <w:r/>
      <w:bookmarkStart w:id="264" w:name="_Toc297048359"/>
      <w:r/>
      <w:bookmarkStart w:id="265" w:name="_Toc296891213"/>
      <w:r/>
      <w:bookmarkStart w:id="266" w:name="_Toc292559378"/>
      <w:r>
        <w:rPr>
          <w:rFonts w:hint="eastAsia" w:ascii="宋体" w:hAnsi="宋体" w:eastAsia="宋体" w:cs="宋体"/>
          <w:b w:val="0"/>
          <w:bCs w:val="0"/>
          <w:color w:val="auto"/>
          <w:sz w:val="21"/>
          <w:szCs w:val="21"/>
          <w:highlight w:val="none"/>
        </w:rPr>
        <w:t xml:space="preserve">. 试验与检验</w:t>
      </w:r>
      <w:bookmarkEnd w:id="247"/>
      <w:r/>
      <w:bookmarkEnd w:id="248"/>
      <w:r/>
      <w:bookmarkEnd w:id="249"/>
      <w:r/>
      <w:bookmarkEnd w:id="250"/>
      <w:r/>
      <w:bookmarkEnd w:id="251"/>
      <w:r/>
      <w:bookmarkEnd w:id="252"/>
      <w:r/>
      <w:bookmarkEnd w:id="253"/>
      <w:r/>
      <w:bookmarkEnd w:id="254"/>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267" w:name="_Toc312678022"/>
      <w:r/>
      <w:bookmarkStart w:id="268" w:name="_Toc300934983"/>
      <w:r/>
      <w:bookmarkStart w:id="269" w:name="_Toc312677496"/>
      <w:r/>
      <w:bookmarkStart w:id="270" w:name="_Toc297216193"/>
      <w:r/>
      <w:bookmarkStart w:id="271" w:name="_Toc303539140"/>
      <w:r/>
      <w:bookmarkStart w:id="272" w:name="_Toc304295560"/>
      <w:r/>
      <w:bookmarkStart w:id="273" w:name="_Toc297123534"/>
      <w:r>
        <w:rPr>
          <w:rFonts w:hint="eastAsia" w:ascii="宋体" w:hAnsi="宋体" w:eastAsia="宋体" w:cs="宋体"/>
          <w:color w:val="auto"/>
          <w:sz w:val="21"/>
          <w:szCs w:val="21"/>
          <w:highlight w:val="none"/>
        </w:rPr>
        <w:t xml:space="preserve">.1试验设备与试验人员</w:t>
      </w:r>
      <w:bookmarkEnd w:id="267"/>
      <w:r/>
      <w:bookmarkEnd w:id="268"/>
      <w:r/>
      <w:bookmarkEnd w:id="269"/>
      <w:r/>
      <w:bookmarkEnd w:id="270"/>
      <w:r/>
      <w:bookmarkEnd w:id="271"/>
      <w:r/>
      <w:bookmarkEnd w:id="272"/>
      <w:r/>
      <w:bookmarkEnd w:id="273"/>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274" w:name="_Toc303539141"/>
      <w:r/>
      <w:bookmarkStart w:id="275" w:name="_Toc312677497"/>
      <w:r/>
      <w:bookmarkStart w:id="276" w:name="_Toc297216194"/>
      <w:r/>
      <w:bookmarkStart w:id="277" w:name="_Toc300934984"/>
      <w:r/>
      <w:bookmarkStart w:id="278" w:name="_Toc304295561"/>
      <w:r/>
      <w:bookmarkStart w:id="279" w:name="_Toc312678023"/>
      <w:r/>
      <w:bookmarkStart w:id="280" w:name="_Toc297123535"/>
      <w:r/>
      <w:bookmarkStart w:id="281" w:name="_Toc318581174"/>
      <w:r>
        <w:rPr>
          <w:rFonts w:hint="eastAsia" w:ascii="宋体" w:hAnsi="宋体" w:eastAsia="宋体" w:cs="宋体"/>
          <w:color w:val="auto"/>
          <w:sz w:val="21"/>
          <w:szCs w:val="21"/>
          <w:highlight w:val="none"/>
        </w:rPr>
        <w:t xml:space="preserve">.1.1 试验设备</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bookmarkEnd w:id="274"/>
      <w:r/>
      <w:bookmarkEnd w:id="275"/>
      <w:r/>
      <w:bookmarkEnd w:id="276"/>
      <w:r/>
      <w:bookmarkEnd w:id="277"/>
      <w:r/>
      <w:bookmarkEnd w:id="278"/>
      <w:r/>
      <w:bookmarkEnd w:id="279"/>
      <w:r/>
      <w:bookmarkEnd w:id="280"/>
      <w:r/>
      <w:bookmarkStart w:id="282" w:name="_Toc297216195"/>
      <w:r/>
      <w:bookmarkStart w:id="283" w:name="_Toc297123536"/>
      <w:r/>
      <w:bookmarkStart w:id="284" w:name="_Toc304295562"/>
      <w:r/>
      <w:bookmarkStart w:id="285" w:name="_Toc312678024"/>
      <w:r/>
      <w:bookmarkStart w:id="286" w:name="_Toc303539142"/>
      <w:r/>
      <w:bookmarkStart w:id="287" w:name="_Toc300934985"/>
      <w:r/>
      <w:bookmarkStart w:id="288" w:name="_Toc312677498"/>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现场工艺试验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bookmarkEnd w:id="281"/>
      <w:r/>
      <w:bookmarkEnd w:id="282"/>
      <w:r/>
      <w:bookmarkEnd w:id="283"/>
      <w:r/>
      <w:bookmarkEnd w:id="284"/>
      <w:r/>
      <w:bookmarkEnd w:id="285"/>
      <w:r/>
      <w:bookmarkEnd w:id="286"/>
      <w:r/>
      <w:bookmarkEnd w:id="287"/>
      <w:r/>
      <w:bookmarkEnd w:id="288"/>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289" w:name="_Toc351203642"/>
      <w:r>
        <w:rPr>
          <w:rFonts w:hint="eastAsia" w:ascii="宋体" w:hAnsi="宋体" w:eastAsia="宋体" w:cs="宋体"/>
          <w:b w:val="0"/>
          <w:bCs w:val="0"/>
          <w:color w:val="auto"/>
          <w:sz w:val="21"/>
          <w:szCs w:val="21"/>
          <w:highlight w:val="none"/>
        </w:rPr>
        <w:t xml:space="preserve">1</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Start w:id="290" w:name="_Toc300934989"/>
      <w:r/>
      <w:bookmarkStart w:id="291" w:name="_Toc296891233"/>
      <w:r/>
      <w:bookmarkStart w:id="292" w:name="_Toc297216199"/>
      <w:r/>
      <w:bookmarkStart w:id="293" w:name="_Toc296347192"/>
      <w:r/>
      <w:bookmarkStart w:id="294" w:name="_Toc296944532"/>
      <w:r/>
      <w:bookmarkStart w:id="295" w:name="_Toc297120493"/>
      <w:r/>
      <w:bookmarkStart w:id="296" w:name="_Toc297048379"/>
      <w:r/>
      <w:bookmarkStart w:id="297" w:name="_Toc296891021"/>
      <w:r/>
      <w:bookmarkStart w:id="298" w:name="_Toc292559903"/>
      <w:r/>
      <w:bookmarkStart w:id="299" w:name="_Toc292559398"/>
      <w:r/>
      <w:bookmarkStart w:id="300" w:name="_Toc296503193"/>
      <w:r/>
      <w:bookmarkStart w:id="301" w:name="_Toc296346694"/>
      <w:r/>
      <w:bookmarkStart w:id="302" w:name="_Toc304295566"/>
      <w:r/>
      <w:bookmarkStart w:id="303" w:name="_Toc303539146"/>
      <w:r/>
      <w:bookmarkStart w:id="304" w:name="_Toc297123540"/>
      <w:r/>
      <w:bookmarkStart w:id="305" w:name="_Toc312678025"/>
      <w:r/>
      <w:bookmarkStart w:id="306" w:name="_Toc312677499"/>
      <w:r/>
      <w:bookmarkStart w:id="307" w:name="_Toc267251441"/>
      <w:r/>
      <w:bookmarkStart w:id="308" w:name="_Toc267251437"/>
      <w:r/>
      <w:bookmarkStart w:id="309" w:name="_Toc267251439"/>
      <w:r/>
      <w:bookmarkStart w:id="310" w:name="_Toc267251433"/>
      <w:r/>
      <w:bookmarkStart w:id="311" w:name="_Toc267251440"/>
      <w:r/>
      <w:bookmarkStart w:id="312" w:name="_Toc267251435"/>
      <w:r/>
      <w:bookmarkStart w:id="313" w:name="_Toc267251442"/>
      <w:r>
        <w:rPr>
          <w:rFonts w:hint="eastAsia" w:ascii="宋体" w:hAnsi="宋体" w:eastAsia="宋体" w:cs="宋体"/>
          <w:b w:val="0"/>
          <w:bCs w:val="0"/>
          <w:color w:val="auto"/>
          <w:sz w:val="21"/>
          <w:szCs w:val="21"/>
          <w:highlight w:val="none"/>
        </w:rPr>
        <w:t xml:space="preserve">0. 变更</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314" w:name="_Toc292559399"/>
      <w:r/>
      <w:bookmarkStart w:id="315" w:name="_Toc297123541"/>
      <w:r/>
      <w:bookmarkStart w:id="316" w:name="_Toc300934990"/>
      <w:r/>
      <w:bookmarkStart w:id="317" w:name="_Toc304295567"/>
      <w:r/>
      <w:bookmarkStart w:id="318" w:name="_Toc312678026"/>
      <w:r/>
      <w:bookmarkStart w:id="319" w:name="_Toc292559904"/>
      <w:r/>
      <w:bookmarkStart w:id="320" w:name="_Toc312677500"/>
      <w:r/>
      <w:bookmarkStart w:id="321" w:name="_Toc296891022"/>
      <w:r/>
      <w:bookmarkStart w:id="322" w:name="_Toc296347193"/>
      <w:r/>
      <w:bookmarkStart w:id="323" w:name="_Toc303539147"/>
      <w:r/>
      <w:bookmarkStart w:id="324" w:name="_Toc296503194"/>
      <w:r/>
      <w:bookmarkStart w:id="325" w:name="_Toc297120494"/>
      <w:r/>
      <w:bookmarkStart w:id="326" w:name="_Toc297216200"/>
      <w:r/>
      <w:bookmarkStart w:id="327" w:name="_Toc296944533"/>
      <w:r/>
      <w:bookmarkStart w:id="328" w:name="_Toc296891234"/>
      <w:r/>
      <w:bookmarkStart w:id="329" w:name="_Toc296346695"/>
      <w:r/>
      <w:bookmarkStart w:id="330" w:name="_Toc297048380"/>
      <w:r>
        <w:rPr>
          <w:rFonts w:hint="eastAsia" w:ascii="宋体" w:hAnsi="宋体" w:eastAsia="宋体" w:cs="宋体"/>
          <w:color w:val="auto"/>
          <w:sz w:val="21"/>
          <w:szCs w:val="21"/>
          <w:highlight w:val="none"/>
        </w:rPr>
        <w:t xml:space="preserve">0.1变更的范围</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除通用合同条款确定的变更范围外，通用条款1.13工程量清单错误的修正按工程变更处理</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10.2 变更程序</w:t>
      </w:r>
      <w:r/>
    </w:p>
    <w:p>
      <w:pPr>
        <w:ind w:firstLine="422"/>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工程变更实行“先报批后实施”的原则：工程变更实施前应完成工程变更方案报批手续，工程变更实施完成后，应及时办理工程变更（费用）报批手续。工程变更管理按苏州工业园区唯亭街道办事处文件--苏园唯办（2019）30号文件要求执行。</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变更估价</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10.3.1 变更估价原则</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关于变更估价的约定: </w:t>
      </w:r>
      <w:r/>
    </w:p>
    <w:p>
      <w:pPr>
        <w:pStyle w:val="1089"/>
        <w:ind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关于变更估价的约定: </w:t>
      </w:r>
      <w:r/>
    </w:p>
    <w:p>
      <w:pPr>
        <w:ind w:left="525" w:hanging="10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A、如因设计变更以及施工条件变更造成清单工程量误差在±15％内时,按中</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综合单价结算；工程量数量变更超过±15％时，综合单价在工程竣工结算时可适当调整。调整办法如下：①工程量数量变更在±15％（含±15％）以内的部分，按中标的综合单价结算，不予调整；②工程量数量变更在±15％以外的部分，其综合单价则根据编制标底的造价咨询中介机构在编制标底时该子目综合单价分析表所反映的综合单价编制原则并结合施工期间的各政策性调价因素（含材料价格）重新计算该子目的综合单价，并按该工程总价中标下浮率【（标底价-中标总价）/标底价】下浮后确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B、如因设计变更以及施工条件变更引起新的工程量清单项目，则根据编制标底的造价咨询中介机构编制标底时确定综合单价的水平结合施工期间的各政策性调价因素（含材料价格）重新计算该子目的综合单价，并按该工程总价中标下浮率【（标底价-中标总价）/标底价】下浮后确定；如在原招标时已有该工程子目，后经设计变更后剔除的部分，在结算时将按原中标价扣除该子目的工程造价，如该子目投标单位未报价的，则采用该子目标底价并按该工程总价中标下浮率【（标底价-中标总价）/标底价】下浮后作为该子目投标价扣除。</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C、因非承包人原因引起的工程变更，造成施工方案变更，引起措施项目发生变化时，措施项目费应按下列原则调整（包干措施费项目除外）：</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措施项目变更原则同分部分项工程变更原则（合同另有规定的除外）；总价措施项目中以费率报价的，费率不变；总价项目中以费用报价的，按投标时口径折算成费率调整；原措施费中没有的措施项目，由承包人提出适当的措施费变更要求，经发包人确认后调整。</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D、规费、税金等按国家有关法律法规相应费率按实调整。</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工程量清单错误修正合同价格调整参照本条款要求执行。</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Start w:id="331" w:name="_Toc296944536"/>
      <w:r/>
      <w:bookmarkStart w:id="332" w:name="_Toc297048383"/>
      <w:r/>
      <w:bookmarkStart w:id="333" w:name="_Toc296891025"/>
      <w:r/>
      <w:bookmarkStart w:id="334" w:name="_Toc296347196"/>
      <w:r/>
      <w:bookmarkStart w:id="335" w:name="_Toc296346698"/>
      <w:r/>
      <w:bookmarkStart w:id="336" w:name="_Toc296503197"/>
      <w:r/>
      <w:bookmarkStart w:id="337" w:name="_Toc297216203"/>
      <w:r/>
      <w:bookmarkStart w:id="338" w:name="_Toc296891237"/>
      <w:r/>
      <w:bookmarkStart w:id="339" w:name="_Toc292559402"/>
      <w:r/>
      <w:bookmarkStart w:id="340" w:name="_Toc292559907"/>
      <w:r/>
      <w:bookmarkStart w:id="341" w:name="_Toc303539150"/>
      <w:r/>
      <w:bookmarkStart w:id="342" w:name="_Toc297120497"/>
      <w:r/>
      <w:bookmarkStart w:id="343" w:name="_Toc297123544"/>
      <w:r/>
      <w:bookmarkStart w:id="344" w:name="_Toc300934993"/>
      <w:r/>
      <w:bookmarkStart w:id="345" w:name="_Toc312677503"/>
      <w:r/>
      <w:bookmarkStart w:id="346" w:name="_Toc304295570"/>
      <w:r/>
      <w:bookmarkStart w:id="347" w:name="_Toc312678029"/>
      <w:r>
        <w:rPr>
          <w:rFonts w:hint="eastAsia" w:ascii="宋体" w:hAnsi="宋体" w:eastAsia="宋体" w:cs="宋体"/>
          <w:color w:val="auto"/>
          <w:sz w:val="21"/>
          <w:szCs w:val="21"/>
          <w:highlight w:val="none"/>
        </w:rPr>
        <w:t xml:space="preserve">0.4承</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Start w:id="348" w:name="_Toc296346704"/>
      <w:r/>
      <w:bookmarkStart w:id="349" w:name="_Toc300934994"/>
      <w:r/>
      <w:bookmarkStart w:id="350" w:name="_Toc296944542"/>
      <w:r/>
      <w:bookmarkStart w:id="351" w:name="_Toc297216204"/>
      <w:r/>
      <w:bookmarkStart w:id="352" w:name="_Toc296503203"/>
      <w:r/>
      <w:bookmarkStart w:id="353" w:name="_Toc297120503"/>
      <w:r/>
      <w:bookmarkStart w:id="354" w:name="_Toc292559913"/>
      <w:r/>
      <w:bookmarkStart w:id="355" w:name="_Toc296347202"/>
      <w:r/>
      <w:bookmarkStart w:id="356" w:name="_Toc303539151"/>
      <w:r/>
      <w:bookmarkStart w:id="357" w:name="_Toc297123545"/>
      <w:r/>
      <w:bookmarkStart w:id="358" w:name="_Toc296891243"/>
      <w:r/>
      <w:bookmarkStart w:id="359" w:name="_Toc292559408"/>
      <w:r/>
      <w:bookmarkStart w:id="360" w:name="_Toc296891031"/>
      <w:r/>
      <w:bookmarkStart w:id="361" w:name="_Toc297048389"/>
      <w:r>
        <w:rPr>
          <w:rFonts w:hint="eastAsia" w:ascii="宋体" w:hAnsi="宋体" w:eastAsia="宋体" w:cs="宋体"/>
          <w:color w:val="auto"/>
          <w:sz w:val="21"/>
          <w:szCs w:val="21"/>
          <w:highlight w:val="none"/>
        </w:rPr>
        <w:t xml:space="preserve">包人的合理化建议</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  同通用合同条款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  同通用合同条款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362" w:name="_Toc296944543"/>
      <w:r/>
      <w:bookmarkStart w:id="363" w:name="_Toc318581175"/>
      <w:r/>
      <w:bookmarkStart w:id="364" w:name="_Toc303539152"/>
      <w:r/>
      <w:bookmarkStart w:id="365" w:name="_Toc304295571"/>
      <w:r/>
      <w:bookmarkStart w:id="366" w:name="_Toc297048390"/>
      <w:r/>
      <w:bookmarkStart w:id="367" w:name="_Toc296346705"/>
      <w:r/>
      <w:bookmarkStart w:id="368" w:name="_Toc312677504"/>
      <w:r/>
      <w:bookmarkStart w:id="369" w:name="_Toc297123546"/>
      <w:r/>
      <w:bookmarkStart w:id="370" w:name="_Toc312678030"/>
      <w:r/>
      <w:bookmarkStart w:id="371" w:name="_Toc292559914"/>
      <w:r/>
      <w:bookmarkStart w:id="372" w:name="_Toc296891244"/>
      <w:r/>
      <w:bookmarkStart w:id="373" w:name="_Toc296347203"/>
      <w:r/>
      <w:bookmarkStart w:id="374" w:name="_Toc296891032"/>
      <w:r/>
      <w:bookmarkStart w:id="375" w:name="_Toc292559409"/>
      <w:r/>
      <w:bookmarkStart w:id="376" w:name="_Toc297120504"/>
      <w:r/>
      <w:bookmarkStart w:id="377" w:name="_Toc297216205"/>
      <w:r/>
      <w:bookmarkStart w:id="378" w:name="_Toc300934995"/>
      <w:r/>
      <w:bookmarkStart w:id="379" w:name="_Toc296503204"/>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380" w:name="_Toc296503199"/>
      <w:r/>
      <w:bookmarkStart w:id="381" w:name="_Toc296891027"/>
      <w:r/>
      <w:bookmarkStart w:id="382" w:name="_Toc297123548"/>
      <w:r/>
      <w:bookmarkStart w:id="383" w:name="_Toc296346700"/>
      <w:r/>
      <w:bookmarkStart w:id="384" w:name="_Toc297120499"/>
      <w:r/>
      <w:bookmarkStart w:id="385" w:name="_Toc297216207"/>
      <w:r/>
      <w:bookmarkStart w:id="386" w:name="_Toc303539154"/>
      <w:r/>
      <w:bookmarkStart w:id="387" w:name="_Toc312677507"/>
      <w:r/>
      <w:bookmarkStart w:id="388" w:name="_Toc296944538"/>
      <w:r/>
      <w:bookmarkStart w:id="389" w:name="_Toc304295574"/>
      <w:r/>
      <w:bookmarkStart w:id="390" w:name="_Toc292559404"/>
      <w:r/>
      <w:bookmarkStart w:id="391" w:name="_Toc292559909"/>
      <w:r/>
      <w:bookmarkStart w:id="392" w:name="_Toc300934997"/>
      <w:r/>
      <w:bookmarkStart w:id="393" w:name="_Toc296347198"/>
      <w:r/>
      <w:bookmarkStart w:id="394" w:name="_Toc312678033"/>
      <w:r/>
      <w:bookmarkStart w:id="395" w:name="_Toc296891239"/>
      <w:r/>
      <w:bookmarkStart w:id="396" w:name="_Toc297048385"/>
      <w:r>
        <w:rPr>
          <w:rFonts w:hint="eastAsia" w:ascii="宋体" w:hAnsi="宋体" w:eastAsia="宋体" w:cs="宋体"/>
          <w:color w:val="auto"/>
          <w:sz w:val="21"/>
          <w:szCs w:val="21"/>
          <w:highlight w:val="none"/>
        </w:rPr>
        <w:t xml:space="preserve">0.5 暂估价</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397" w:name="_Toc312678034"/>
      <w:r/>
      <w:bookmarkStart w:id="398" w:name="_Toc312677508"/>
      <w:r/>
      <w:bookmarkStart w:id="399" w:name="_Toc318581176"/>
      <w:r>
        <w:rPr>
          <w:rFonts w:hint="eastAsia" w:ascii="宋体" w:hAnsi="宋体" w:eastAsia="宋体" w:cs="宋体"/>
          <w:color w:val="auto"/>
          <w:sz w:val="21"/>
          <w:szCs w:val="21"/>
          <w:highlight w:val="none"/>
        </w:rPr>
        <w:t xml:space="preserve">估价材料和工程设备的明细详见附件11：《暂估价一览表》。</w:t>
      </w:r>
      <w:bookmarkEnd w:id="397"/>
      <w:r/>
      <w:bookmarkEnd w:id="398"/>
      <w:r/>
      <w:bookmarkEnd w:id="399"/>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00" w:name="_Toc312678035"/>
      <w:r/>
      <w:bookmarkStart w:id="401" w:name="_Toc312677509"/>
      <w:r/>
      <w:bookmarkStart w:id="402" w:name="_Toc318581177"/>
      <w:r>
        <w:rPr>
          <w:rFonts w:hint="eastAsia" w:ascii="宋体" w:hAnsi="宋体" w:eastAsia="宋体" w:cs="宋体"/>
          <w:color w:val="auto"/>
          <w:sz w:val="21"/>
          <w:szCs w:val="21"/>
          <w:highlight w:val="none"/>
        </w:rPr>
        <w:t xml:space="preserve">0.5.1 依法必须招标的暂估价项目</w:t>
      </w:r>
      <w:bookmarkEnd w:id="400"/>
      <w:r/>
      <w:bookmarkEnd w:id="401"/>
      <w:r/>
      <w:bookmarkEnd w:id="402"/>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种方式确定。</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10.5.2 不属于依法必须招标的暂估价项目</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种方式确定。</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第3种方式：承包人直接实施的暂估价项目</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承包人直接实施的暂估价项目的约定：按照工程变更管理要求完成审批程序后由承包人直接实施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 暂列金额</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合同当事人关于暂列金额使用的约定：无。</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403" w:name="_Toc351203643"/>
      <w:r>
        <w:rPr>
          <w:rFonts w:hint="eastAsia" w:ascii="宋体" w:hAnsi="宋体" w:eastAsia="宋体" w:cs="宋体"/>
          <w:b w:val="0"/>
          <w:bCs w:val="0"/>
          <w:color w:val="auto"/>
          <w:sz w:val="21"/>
          <w:szCs w:val="21"/>
          <w:highlight w:val="none"/>
        </w:rPr>
        <w:t xml:space="preserve">11. 价格调整</w:t>
      </w:r>
      <w:bookmarkEnd w:id="403"/>
      <w:r/>
      <w:bookmarkEnd w:id="307"/>
      <w:r/>
      <w:bookmarkEnd w:id="308"/>
      <w:r/>
      <w:bookmarkEnd w:id="309"/>
      <w:r/>
      <w:bookmarkEnd w:id="310"/>
      <w:r/>
      <w:bookmarkEnd w:id="311"/>
      <w:r/>
      <w:bookmarkEnd w:id="312"/>
      <w:r/>
      <w:r/>
    </w:p>
    <w:p>
      <w:pPr>
        <w:pStyle w:val="1090"/>
        <w:ind w:left="335" w:firstLine="480"/>
        <w:pageBreakBefore w:val="0"/>
        <w:spacing w:line="360" w:lineRule="auto"/>
        <w:shd w:val="clear" w:color="auto"/>
        <w:widowControl w:val="off"/>
        <w:rPr>
          <w:rFonts w:hint="eastAsia" w:ascii="宋体" w:hAnsi="宋体" w:eastAsia="宋体" w:cs="宋体"/>
          <w:color w:val="auto"/>
          <w:sz w:val="21"/>
          <w:szCs w:val="21"/>
          <w:highlight w:val="none"/>
        </w:rPr>
      </w:pPr>
      <w:r/>
      <w:bookmarkStart w:id="404" w:name="_Toc292559410"/>
      <w:r/>
      <w:bookmarkStart w:id="405" w:name="_Toc297048391"/>
      <w:r/>
      <w:bookmarkStart w:id="406" w:name="_Toc292559915"/>
      <w:r/>
      <w:bookmarkStart w:id="407" w:name="_Toc296891245"/>
      <w:r/>
      <w:bookmarkStart w:id="408" w:name="_Toc296944544"/>
      <w:r/>
      <w:bookmarkStart w:id="409" w:name="_Toc297120505"/>
      <w:r/>
      <w:bookmarkStart w:id="410" w:name="_Toc296346706"/>
      <w:r/>
      <w:bookmarkStart w:id="411" w:name="_Toc296347204"/>
      <w:r/>
      <w:bookmarkStart w:id="412" w:name="_Toc296503205"/>
      <w:r/>
      <w:bookmarkStart w:id="413" w:name="_Toc296891033"/>
      <w:r/>
      <w:bookmarkStart w:id="414" w:name="_Toc351203644"/>
      <w:r/>
      <w:bookmarkStart w:id="415" w:name="_Toc312678040"/>
      <w:r/>
      <w:bookmarkStart w:id="416" w:name="_Toc297123552"/>
      <w:r/>
      <w:bookmarkStart w:id="417" w:name="_Toc297216211"/>
      <w:r/>
      <w:bookmarkStart w:id="418" w:name="_Toc303539159"/>
      <w:r/>
      <w:bookmarkStart w:id="419" w:name="_Toc304295579"/>
      <w:r/>
      <w:bookmarkStart w:id="420" w:name="_Toc300935002"/>
      <w:r>
        <w:rPr>
          <w:rFonts w:hint="eastAsia" w:ascii="宋体" w:hAnsi="宋体" w:eastAsia="宋体" w:cs="宋体"/>
          <w:color w:val="auto"/>
          <w:sz w:val="21"/>
          <w:szCs w:val="21"/>
          <w:highlight w:val="none"/>
        </w:rPr>
        <w:t xml:space="preserve">(1)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监理工程师和发包人认可。</w:t>
      </w:r>
      <w:r/>
    </w:p>
    <w:p>
      <w:pPr>
        <w:pStyle w:val="1090"/>
        <w:ind w:left="335"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(2)各项施工措施费，如（但不限于）赶工措施费、技术措施费、特殊条件下施工增加费等费用均包含在总报价中，竣工结算时不作调整。</w:t>
      </w:r>
      <w:r/>
    </w:p>
    <w:p>
      <w:pPr>
        <w:pStyle w:val="1090"/>
        <w:ind w:left="335"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(3)材料差价调整。在合同实施期间，除本条中特别约定的材料在结算时可按相应规定竣工结算时由</w:t>
      </w:r>
      <w:r>
        <w:rPr>
          <w:rFonts w:hint="eastAsia" w:ascii="宋体" w:hAnsi="宋体" w:eastAsia="宋体" w:cs="宋体"/>
          <w:color w:val="auto"/>
          <w:sz w:val="21"/>
          <w:szCs w:val="21"/>
          <w:highlight w:val="none"/>
        </w:rPr>
        <w:t xml:space="preserve">审计</w:t>
      </w:r>
      <w:r>
        <w:rPr>
          <w:rFonts w:hint="eastAsia" w:ascii="宋体" w:hAnsi="宋体" w:eastAsia="宋体" w:cs="宋体"/>
          <w:color w:val="auto"/>
          <w:sz w:val="21"/>
          <w:szCs w:val="21"/>
          <w:highlight w:val="none"/>
          <w:lang w:eastAsia="zh-CN"/>
        </w:rPr>
        <w:t xml:space="preserve">部门</w:t>
      </w:r>
      <w:r>
        <w:rPr>
          <w:rFonts w:hint="eastAsia" w:ascii="宋体" w:hAnsi="宋体" w:eastAsia="宋体" w:cs="宋体"/>
          <w:color w:val="auto"/>
          <w:sz w:val="21"/>
          <w:szCs w:val="21"/>
          <w:highlight w:val="none"/>
        </w:rPr>
        <w:t xml:space="preserve">对合同价款一次性调整外，其它承包人供应的材料价格不因任何市场价格变动或国家政策、法律的调整而变动投标价格。</w:t>
      </w:r>
      <w:r/>
    </w:p>
    <w:p>
      <w:pPr>
        <w:pStyle w:val="1090"/>
        <w:ind w:left="335"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特别约定可调价范围的材料：结构用的钢筋（不含预埋铁件，钢模，脚手钢管等）、商品混凝土、水泥、电线、电缆、沥青、钢材、铜、铝。前述主要材料结算时的调整原则确定如下：</w:t>
      </w:r>
      <w:r/>
    </w:p>
    <w:p>
      <w:pPr>
        <w:pStyle w:val="1090"/>
        <w:ind w:left="335"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施工期间，工程所在地造价管理部门发布的上述主要材料平均指导价上涨或下降幅度在招标控制价所采用的当月指导价的5%以内（含5%）时，其差价由承包人承担或受益，当上述主要材料上涨或下跌超出5%时，其超出部分的差价由发包人承担或受益。（其中钢筋、商品混凝土按工程主体施工期间的平均指导价调整材料价差）</w:t>
      </w:r>
      <w:r/>
    </w:p>
    <w:p>
      <w:pPr>
        <w:pStyle w:val="1090"/>
        <w:ind w:left="335"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调整时按工程施工所跨月份以算术平均方式计算。其中工程所跨月份按苏州市造价处相关文件执行。若得到发包人批准延长期，期内材料差价结算按本条款调整，否则不计材料调增。调整幅度为该月指导价超过</w:t>
      </w:r>
      <w:r>
        <w:rPr>
          <w:rFonts w:hint="eastAsia" w:ascii="宋体" w:hAnsi="宋体" w:eastAsia="宋体" w:cs="宋体"/>
          <w:color w:val="auto"/>
          <w:sz w:val="21"/>
          <w:szCs w:val="21"/>
          <w:highlight w:val="none"/>
          <w:lang w:eastAsia="zh-CN"/>
        </w:rPr>
        <w:t xml:space="preserve">标底月</w:t>
      </w:r>
      <w:r>
        <w:rPr>
          <w:rFonts w:hint="eastAsia" w:ascii="宋体" w:hAnsi="宋体" w:eastAsia="宋体" w:cs="宋体"/>
          <w:color w:val="auto"/>
          <w:sz w:val="21"/>
          <w:szCs w:val="21"/>
          <w:highlight w:val="none"/>
        </w:rPr>
        <w:t xml:space="preserve">材料指导价的5%或低于5%的部分（含5%），不考虑承包人实际购买价格或指导价滞后等因素。</w:t>
      </w:r>
      <w:r/>
    </w:p>
    <w:p>
      <w:pPr>
        <w:pStyle w:val="1090"/>
        <w:ind w:left="335"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A=招标控制价所采用的当月指导价格；</w:t>
      </w:r>
      <w:r/>
    </w:p>
    <w:p>
      <w:pPr>
        <w:pStyle w:val="1090"/>
        <w:ind w:left="335"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B（算术平均值）=工程所跨月份的材料指导价格之和÷工程所跨月份数</w:t>
      </w:r>
      <w:r/>
    </w:p>
    <w:p>
      <w:pPr>
        <w:pStyle w:val="1090"/>
        <w:ind w:left="335"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材料上涨价差调整=审定工程量相应的材料数量×﹙B- A×1.05﹚  或  </w:t>
      </w:r>
      <w:r/>
    </w:p>
    <w:p>
      <w:pPr>
        <w:pStyle w:val="1090"/>
        <w:ind w:left="335"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材料下跌价差调整=审定工程量相应的材料数量×﹙A×0.95- B﹚  </w:t>
      </w:r>
      <w:r/>
    </w:p>
    <w:p>
      <w:pPr>
        <w:pStyle w:val="1090"/>
        <w:ind w:left="335"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（4）人工费按照苏州市造价处相关文件执行。</w:t>
      </w:r>
      <w:r/>
    </w:p>
    <w:p>
      <w:pPr>
        <w:pStyle w:val="1090"/>
        <w:ind w:left="335"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（5）最终材料差价的调整以审计机关的审定价为结算依据。</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 </w:t>
      </w:r>
      <w:bookmarkEnd w:id="404"/>
      <w:r/>
      <w:bookmarkEnd w:id="405"/>
      <w:r/>
      <w:bookmarkEnd w:id="406"/>
      <w:r/>
      <w:bookmarkEnd w:id="407"/>
      <w:r/>
      <w:bookmarkEnd w:id="408"/>
      <w:r/>
      <w:bookmarkEnd w:id="409"/>
      <w:r/>
      <w:bookmarkEnd w:id="410"/>
      <w:r/>
      <w:bookmarkEnd w:id="411"/>
      <w:r/>
      <w:bookmarkEnd w:id="412"/>
      <w:r/>
      <w:bookmarkEnd w:id="413"/>
      <w:r>
        <w:rPr>
          <w:rFonts w:hint="eastAsia" w:ascii="宋体" w:hAnsi="宋体" w:eastAsia="宋体" w:cs="宋体"/>
          <w:b w:val="0"/>
          <w:bCs w:val="0"/>
          <w:color w:val="auto"/>
          <w:sz w:val="21"/>
          <w:szCs w:val="21"/>
          <w:highlight w:val="none"/>
        </w:rPr>
        <w:t xml:space="preserve">合同价格、计量与支付</w:t>
      </w:r>
      <w:bookmarkEnd w:id="414"/>
      <w:r/>
      <w:bookmarkEnd w:id="415"/>
      <w:r/>
      <w:bookmarkEnd w:id="416"/>
      <w:r/>
      <w:bookmarkEnd w:id="417"/>
      <w:r/>
      <w:bookmarkEnd w:id="418"/>
      <w:r/>
      <w:bookmarkEnd w:id="419"/>
      <w:r/>
      <w:bookmarkEnd w:id="420"/>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bookmarkStart w:id="421" w:name="_Toc296891034"/>
      <w:r/>
      <w:bookmarkStart w:id="422" w:name="_Toc296503206"/>
      <w:r/>
      <w:bookmarkStart w:id="423" w:name="_Toc297048392"/>
      <w:r/>
      <w:bookmarkStart w:id="424" w:name="_Toc296891246"/>
      <w:r/>
      <w:bookmarkStart w:id="425" w:name="_Toc297120506"/>
      <w:r/>
      <w:bookmarkStart w:id="426" w:name="_Toc296944545"/>
      <w:r/>
      <w:bookmarkStart w:id="427" w:name="_Toc296346707"/>
      <w:r/>
      <w:bookmarkStart w:id="428" w:name="_Toc296347205"/>
      <w:r/>
      <w:bookmarkStart w:id="429" w:name="_Toc303539160"/>
      <w:r/>
      <w:bookmarkStart w:id="430" w:name="_Toc304295580"/>
      <w:r/>
      <w:bookmarkStart w:id="431" w:name="_Toc297216212"/>
      <w:r/>
      <w:bookmarkStart w:id="432" w:name="_Toc300935003"/>
      <w:r/>
      <w:bookmarkStart w:id="433" w:name="_Toc312678041"/>
      <w:r/>
      <w:bookmarkStart w:id="434" w:name="_Toc297123553"/>
      <w:r>
        <w:rPr>
          <w:rFonts w:hint="eastAsia" w:ascii="宋体" w:hAnsi="宋体" w:eastAsia="宋体" w:cs="宋体"/>
          <w:color w:val="auto"/>
          <w:sz w:val="21"/>
          <w:szCs w:val="21"/>
          <w:highlight w:val="none"/>
        </w:rPr>
        <w:t xml:space="preserve">12.1 合</w:t>
      </w:r>
      <w:bookmarkEnd w:id="421"/>
      <w:r/>
      <w:bookmarkEnd w:id="422"/>
      <w:r/>
      <w:bookmarkEnd w:id="423"/>
      <w:r/>
      <w:bookmarkEnd w:id="424"/>
      <w:r/>
      <w:bookmarkEnd w:id="425"/>
      <w:r/>
      <w:bookmarkEnd w:id="426"/>
      <w:r/>
      <w:bookmarkEnd w:id="427"/>
      <w:r/>
      <w:bookmarkEnd w:id="428"/>
      <w:r>
        <w:rPr>
          <w:rFonts w:hint="eastAsia" w:ascii="宋体" w:hAnsi="宋体" w:eastAsia="宋体" w:cs="宋体"/>
          <w:color w:val="auto"/>
          <w:sz w:val="21"/>
          <w:szCs w:val="21"/>
          <w:highlight w:val="none"/>
        </w:rPr>
        <w:t xml:space="preserve">同价格形式</w:t>
      </w:r>
      <w:bookmarkEnd w:id="429"/>
      <w:r/>
      <w:bookmarkEnd w:id="430"/>
      <w:r/>
      <w:bookmarkEnd w:id="431"/>
      <w:r/>
      <w:bookmarkEnd w:id="432"/>
      <w:r/>
      <w:bookmarkEnd w:id="433"/>
      <w:r/>
      <w:bookmarkEnd w:id="434"/>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发包人承担的风险：施工过程中主要材料的价格波动风险（详见第11中的规定）；国家法律法规或政策的变化出台导致工程税金、规费发生变化（该变化由省级建设行业行政主管部门或其授权的工程造价管理机构发布）；施工过程中由于工程变更或施工范围变化引起的工程数量的增减；工程量清单缺项、漏项和数量差异的风险。</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承担的风险：施工过程中材料的价格波动风险（第11中规定的除外）；国家法律法规或政策的变化出台导致人工（第11中规定的除外）、机械使用费或其他取费变化；工程竣工移交给发包人前发生的各种自然灾害、停水、停电等；除以上约定发包人承担风险以外的其他风险。</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   按照合同相关约定执行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3、其他价格方式</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bookmarkStart w:id="435" w:name="_Toc312678042"/>
      <w:r/>
      <w:bookmarkStart w:id="436" w:name="_Toc303539161"/>
      <w:r/>
      <w:bookmarkStart w:id="437" w:name="_Toc304295581"/>
      <w:r/>
      <w:bookmarkStart w:id="438" w:name="_Toc297123554"/>
      <w:r/>
      <w:bookmarkStart w:id="439" w:name="_Toc297216213"/>
      <w:r/>
      <w:bookmarkStart w:id="440" w:name="_Toc300935004"/>
      <w:r/>
      <w:bookmarkStart w:id="441" w:name="_Toc296346708"/>
      <w:r/>
      <w:bookmarkStart w:id="442" w:name="_Toc297048393"/>
      <w:r/>
      <w:bookmarkStart w:id="443" w:name="_Toc296347206"/>
      <w:r/>
      <w:bookmarkStart w:id="444" w:name="_Toc292559412"/>
      <w:r/>
      <w:bookmarkStart w:id="445" w:name="_Toc296944546"/>
      <w:r/>
      <w:bookmarkStart w:id="446" w:name="_Toc296891247"/>
      <w:r/>
      <w:bookmarkStart w:id="447" w:name="_Toc297120507"/>
      <w:r/>
      <w:bookmarkStart w:id="448" w:name="_Toc292559917"/>
      <w:r/>
      <w:bookmarkStart w:id="449" w:name="_Toc296891035"/>
      <w:r/>
      <w:bookmarkStart w:id="450" w:name="_Toc296503207"/>
      <w:r>
        <w:rPr>
          <w:rFonts w:hint="eastAsia" w:ascii="宋体" w:hAnsi="宋体" w:eastAsia="宋体" w:cs="宋体"/>
          <w:color w:val="auto"/>
          <w:sz w:val="21"/>
          <w:szCs w:val="21"/>
          <w:highlight w:val="none"/>
        </w:rPr>
        <w:t xml:space="preserve">12.2 预付款</w:t>
      </w:r>
      <w:bookmarkEnd w:id="435"/>
      <w:r/>
      <w:bookmarkEnd w:id="436"/>
      <w:r/>
      <w:bookmarkEnd w:id="437"/>
      <w:r/>
      <w:bookmarkEnd w:id="438"/>
      <w:r/>
      <w:bookmarkEnd w:id="439"/>
      <w:r/>
      <w:bookmarkEnd w:id="440"/>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rPr>
        <w:t xml:space="preserve">        无预付款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rPr>
        <w:t xml:space="preserve">             无预付款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          无预付款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无预付款担保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        无预付款担保                 </w:t>
      </w:r>
      <w:r>
        <w:rPr>
          <w:rFonts w:hint="eastAsia" w:ascii="宋体" w:hAnsi="宋体" w:eastAsia="宋体" w:cs="宋体"/>
          <w:color w:val="auto"/>
          <w:sz w:val="21"/>
          <w:szCs w:val="21"/>
          <w:highlight w:val="none"/>
        </w:rPr>
        <w:t xml:space="preserve">。</w:t>
      </w:r>
      <w:bookmarkEnd w:id="441"/>
      <w:r/>
      <w:bookmarkEnd w:id="442"/>
      <w:r/>
      <w:bookmarkEnd w:id="443"/>
      <w:r/>
      <w:bookmarkEnd w:id="444"/>
      <w:r/>
      <w:bookmarkEnd w:id="445"/>
      <w:r/>
      <w:bookmarkEnd w:id="446"/>
      <w:r/>
      <w:bookmarkEnd w:id="447"/>
      <w:r/>
      <w:bookmarkEnd w:id="448"/>
      <w:r/>
      <w:bookmarkEnd w:id="449"/>
      <w:r/>
      <w:bookmarkEnd w:id="450"/>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         同通用合同条款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同通用合同条款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（1）承包人应于每月10 日向监理人报送上月10日至当月9日已完成的工程量报告，并附具进度付款申请单、已完成工程量报表和有关资料。</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监理人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（3）发包人在收到监理人提交的工程量报告后5天内完成对监理人提交的工程量报表的审核，以确定当月实际完成的工程量。</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82"/>
        <w:pageBreakBefore w:val="0"/>
        <w:spacing w:line="360" w:lineRule="auto"/>
        <w:shd w:val="clear" w:color="auto"/>
        <w:widowControl w:val="off"/>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 xml:space="preserve">合同内项目：发包人只对已计量的合格工程进行支付工程款，在工程合格完成后，发包人收到经监理工程师和现场发包人现场代表审核过的工程款支付申请表后,在45日内办理支付已完合格工程额的</w:t>
      </w:r>
      <w:r>
        <w:rPr>
          <w:rFonts w:hint="eastAsia" w:ascii="宋体" w:hAnsi="宋体" w:eastAsia="宋体" w:cs="宋体"/>
          <w:b/>
          <w:bCs/>
          <w:color w:val="auto"/>
          <w:sz w:val="21"/>
          <w:szCs w:val="21"/>
          <w:highlight w:val="none"/>
          <w:u w:val="single"/>
          <w:lang w:val="en-US" w:eastAsia="zh-CN"/>
        </w:rPr>
        <w:t xml:space="preserve">6</w:t>
      </w:r>
      <w:r>
        <w:rPr>
          <w:rFonts w:hint="eastAsia" w:ascii="宋体" w:hAnsi="宋体" w:eastAsia="宋体" w:cs="宋体"/>
          <w:b/>
          <w:bCs/>
          <w:color w:val="auto"/>
          <w:sz w:val="21"/>
          <w:szCs w:val="21"/>
          <w:highlight w:val="none"/>
          <w:u w:val="single"/>
        </w:rPr>
        <w:t xml:space="preserve">5%，工程竣工验收合格</w:t>
      </w:r>
      <w:r>
        <w:rPr>
          <w:rFonts w:hint="eastAsia" w:ascii="宋体" w:hAnsi="宋体" w:cs="宋体"/>
          <w:b/>
          <w:bCs/>
          <w:color w:val="auto"/>
          <w:sz w:val="21"/>
          <w:szCs w:val="21"/>
          <w:highlight w:val="none"/>
          <w:u w:val="single"/>
          <w:lang w:val="en-US" w:eastAsia="zh-CN"/>
        </w:rPr>
        <w:t xml:space="preserve">并送审</w:t>
      </w:r>
      <w:r>
        <w:rPr>
          <w:rFonts w:hint="eastAsia" w:ascii="宋体" w:hAnsi="宋体" w:eastAsia="宋体" w:cs="宋体"/>
          <w:b/>
          <w:bCs/>
          <w:color w:val="auto"/>
          <w:sz w:val="21"/>
          <w:szCs w:val="21"/>
          <w:highlight w:val="none"/>
          <w:u w:val="single"/>
        </w:rPr>
        <w:t xml:space="preserve">后付至合同金额的80％，审计结束后付至审定结算价的97%，余款于出具审计报告并缺陷责任期满付清。保修期从发包人颁发竣工验收合格鉴定书之日起开始计算，时间两年。保修期届满，经监理、发包人验收合格，签发缺陷责任期解除证书后，支付剩余保修金。保修金不计利息。</w:t>
      </w:r>
      <w:r/>
    </w:p>
    <w:p>
      <w:pPr>
        <w:ind w:firstLine="417"/>
        <w:pageBreakBefore w:val="0"/>
        <w:spacing w:line="360" w:lineRule="auto"/>
        <w:shd w:val="clear" w:color="auto"/>
        <w:widowControl w:val="off"/>
        <w:tabs>
          <w:tab w:val="left" w:pos="1474" w:leader="none"/>
        </w:tabs>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 xml:space="preserve">合同外项目（变更工程项目）：合同外项目预算必须经发包人初审，承包商根据发包人批准预算金额上报合同外项目工程进度报表，监理工程师收到承包商工程进度报表45日内支付合格工程完工额的50%。合同外项目决算审计后参照合同内费用的支付比例办理结算。</w:t>
      </w:r>
      <w:r/>
    </w:p>
    <w:p>
      <w:pPr>
        <w:ind w:firstLine="417"/>
        <w:pageBreakBefore w:val="0"/>
        <w:spacing w:line="360" w:lineRule="auto"/>
        <w:shd w:val="clear" w:color="auto"/>
        <w:widowControl w:val="off"/>
        <w:tabs>
          <w:tab w:val="left" w:pos="1474" w:leader="none"/>
        </w:tabs>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 xml:space="preserve">合同内项目与合同外项目的进度报表必须分开上报。</w:t>
      </w:r>
      <w:r/>
    </w:p>
    <w:p>
      <w:pPr>
        <w:ind w:firstLine="417"/>
        <w:pageBreakBefore w:val="0"/>
        <w:spacing w:line="360" w:lineRule="auto"/>
        <w:shd w:val="clear" w:color="auto"/>
        <w:widowControl w:val="off"/>
        <w:tabs>
          <w:tab w:val="left" w:pos="1474" w:leader="none"/>
        </w:tabs>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 xml:space="preserve">工程付款时承包人应向发包人提供增值税专用发票。</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bookmarkStart w:id="451" w:name="_Toc292559921"/>
      <w:r/>
      <w:bookmarkStart w:id="452" w:name="_Toc297216215"/>
      <w:r/>
      <w:bookmarkStart w:id="453" w:name="_Toc300935006"/>
      <w:r/>
      <w:bookmarkStart w:id="454" w:name="_Toc297120511"/>
      <w:r/>
      <w:bookmarkStart w:id="455" w:name="_Toc296944550"/>
      <w:r/>
      <w:bookmarkStart w:id="456" w:name="_Toc297123556"/>
      <w:r/>
      <w:bookmarkStart w:id="457" w:name="_Toc292559416"/>
      <w:r/>
      <w:bookmarkStart w:id="458" w:name="_Toc296346712"/>
      <w:r/>
      <w:bookmarkStart w:id="459" w:name="_Toc296891039"/>
      <w:r/>
      <w:bookmarkStart w:id="460" w:name="_Toc296891251"/>
      <w:r/>
      <w:bookmarkStart w:id="461" w:name="_Toc297048397"/>
      <w:r/>
      <w:bookmarkStart w:id="462" w:name="_Toc303539163"/>
      <w:r/>
      <w:bookmarkStart w:id="463" w:name="_Toc296347210"/>
      <w:r/>
      <w:bookmarkStart w:id="464" w:name="_Toc296503211"/>
      <w:r>
        <w:rPr>
          <w:rFonts w:hint="eastAsia" w:ascii="宋体" w:hAnsi="宋体" w:eastAsia="宋体" w:cs="宋体"/>
          <w:color w:val="auto"/>
          <w:sz w:val="21"/>
          <w:szCs w:val="21"/>
          <w:highlight w:val="none"/>
        </w:rPr>
        <w:t xml:space="preserve">12.4.1 付款周期</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关于付款周期的约定：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同通用合同条款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同通用合同条款</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rFonts w:hint="eastAsia" w:ascii="宋体" w:hAnsi="宋体" w:eastAsia="宋体" w:cs="宋体"/>
          <w:color w:val="auto"/>
          <w:sz w:val="21"/>
          <w:szCs w:val="21"/>
          <w:highlight w:val="none"/>
        </w:rPr>
        <w:t xml:space="preserve">2.4.3 进度付款申请单的提交</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按照专用条款第12.3.3项〔单价合同的计量〕约定的时间按月向监理人提交，并附上已完成工程量报表和有关资料。单价合同中的总价项目按月进行支付分解，并汇总列入当期进度付款申请单</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监理人应在收到承包人进度付款申请单以及相关资料后5天内完成审查并报送发包人</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发包人在收到监理人进度付款申请单后10天内完成审批并签发进度款支付证书</w:t>
      </w:r>
      <w:r>
        <w:rPr>
          <w:rFonts w:hint="eastAsia" w:ascii="宋体" w:hAnsi="宋体" w:eastAsia="宋体" w:cs="宋体"/>
          <w:color w:val="auto"/>
          <w:sz w:val="21"/>
          <w:szCs w:val="21"/>
          <w:highlight w:val="none"/>
          <w:u w:val="singl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进度款支付证书签发后</w:t>
      </w:r>
      <w:r>
        <w:rPr>
          <w:rFonts w:hint="eastAsia" w:ascii="宋体" w:hAnsi="宋体" w:eastAsia="宋体" w:cs="宋体"/>
          <w:color w:val="auto"/>
          <w:sz w:val="21"/>
          <w:szCs w:val="21"/>
          <w:highlight w:val="none"/>
          <w:u w:val="single"/>
        </w:rPr>
        <w:t xml:space="preserve">30</w:t>
      </w:r>
      <w:r>
        <w:rPr>
          <w:rFonts w:hint="eastAsia" w:ascii="宋体" w:hAnsi="宋体" w:eastAsia="宋体" w:cs="宋体"/>
          <w:color w:val="auto"/>
          <w:sz w:val="21"/>
          <w:szCs w:val="21"/>
          <w:highlight w:val="none"/>
          <w:u w:val="single"/>
        </w:rPr>
        <w:t xml:space="preserve">天内完成支付</w:t>
      </w:r>
      <w:r>
        <w:rPr>
          <w:rFonts w:hint="eastAsia" w:ascii="宋体" w:hAnsi="宋体" w:eastAsia="宋体" w:cs="宋体"/>
          <w:color w:val="auto"/>
          <w:sz w:val="21"/>
          <w:szCs w:val="21"/>
          <w:highlight w:val="none"/>
        </w:rPr>
        <w:t xml:space="preserve">。</w:t>
      </w:r>
      <w:r/>
    </w:p>
    <w:p>
      <w:pPr>
        <w:ind w:firstLine="52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52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同通用合同条款  </w:t>
      </w:r>
      <w:r>
        <w:rPr>
          <w:rFonts w:hint="eastAsia" w:ascii="宋体" w:hAnsi="宋体" w:eastAsia="宋体" w:cs="宋体"/>
          <w:color w:val="auto"/>
          <w:sz w:val="21"/>
          <w:szCs w:val="21"/>
          <w:highlight w:val="none"/>
        </w:rPr>
        <w:t xml:space="preserve">。</w:t>
      </w:r>
      <w:bookmarkEnd w:id="313"/>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465" w:name="_Toc351203645"/>
      <w:r/>
      <w:bookmarkStart w:id="466" w:name="_Toc292559929"/>
      <w:r/>
      <w:bookmarkStart w:id="467" w:name="_Toc297048405"/>
      <w:r/>
      <w:bookmarkStart w:id="468" w:name="_Toc297123564"/>
      <w:r/>
      <w:bookmarkStart w:id="469" w:name="_Toc297120519"/>
      <w:r/>
      <w:bookmarkStart w:id="470" w:name="_Toc292559424"/>
      <w:r/>
      <w:bookmarkStart w:id="471" w:name="_Toc296347218"/>
      <w:r/>
      <w:bookmarkStart w:id="472" w:name="_Toc312678053"/>
      <w:r/>
      <w:bookmarkStart w:id="473" w:name="_Toc297216223"/>
      <w:r/>
      <w:bookmarkStart w:id="474" w:name="_Toc296891259"/>
      <w:r/>
      <w:bookmarkStart w:id="475" w:name="_Toc296346720"/>
      <w:r/>
      <w:bookmarkStart w:id="476" w:name="_Toc296891047"/>
      <w:r/>
      <w:bookmarkStart w:id="477" w:name="_Toc304295593"/>
      <w:r/>
      <w:bookmarkStart w:id="478" w:name="_Toc303539172"/>
      <w:r/>
      <w:bookmarkStart w:id="479" w:name="_Toc296503219"/>
      <w:r/>
      <w:bookmarkStart w:id="480" w:name="_Toc300935015"/>
      <w:r/>
      <w:bookmarkStart w:id="481" w:name="_Toc296944558"/>
      <w:r>
        <w:rPr>
          <w:rFonts w:hint="eastAsia" w:ascii="宋体" w:hAnsi="宋体" w:eastAsia="宋体" w:cs="宋体"/>
          <w:b w:val="0"/>
          <w:bCs w:val="0"/>
          <w:color w:val="auto"/>
          <w:sz w:val="21"/>
          <w:szCs w:val="21"/>
          <w:highlight w:val="none"/>
        </w:rPr>
        <w:t xml:space="preserve">13. 验收和工程试车</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13.1.1监理人不能按时进行验收时，应提前</w:t>
      </w:r>
      <w:r>
        <w:rPr>
          <w:rFonts w:hint="eastAsia" w:ascii="宋体" w:hAnsi="宋体" w:eastAsia="宋体" w:cs="宋体"/>
          <w:color w:val="auto"/>
          <w:sz w:val="21"/>
          <w:szCs w:val="21"/>
          <w:highlight w:val="none"/>
          <w:u w:val="single"/>
        </w:rPr>
        <w:t xml:space="preserve"> 24</w:t>
      </w:r>
      <w:r>
        <w:rPr>
          <w:rFonts w:hint="eastAsia" w:ascii="宋体" w:hAnsi="宋体" w:eastAsia="宋体" w:cs="宋体"/>
          <w:color w:val="auto"/>
          <w:sz w:val="21"/>
          <w:szCs w:val="21"/>
          <w:highlight w:val="none"/>
        </w:rPr>
        <w:t xml:space="preserve">小时提交书面延期要求。</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48</w:t>
      </w:r>
      <w:r>
        <w:rPr>
          <w:rFonts w:hint="eastAsia" w:ascii="宋体" w:hAnsi="宋体" w:eastAsia="宋体" w:cs="宋体"/>
          <w:color w:val="auto"/>
          <w:sz w:val="21"/>
          <w:szCs w:val="21"/>
          <w:highlight w:val="none"/>
        </w:rPr>
        <w:t xml:space="preserve">小时。</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bookmarkStart w:id="482" w:name="_Toc303539173"/>
      <w:r/>
      <w:bookmarkStart w:id="483" w:name="_Toc297216224"/>
      <w:r/>
      <w:bookmarkStart w:id="484" w:name="_Toc312678056"/>
      <w:r/>
      <w:bookmarkStart w:id="485" w:name="_Toc300935016"/>
      <w:r/>
      <w:bookmarkStart w:id="486" w:name="_Toc292559933"/>
      <w:r/>
      <w:bookmarkStart w:id="487" w:name="_Toc292559428"/>
      <w:r/>
      <w:bookmarkStart w:id="488" w:name="_Toc296891051"/>
      <w:r/>
      <w:bookmarkStart w:id="489" w:name="_Toc304295596"/>
      <w:r/>
      <w:bookmarkStart w:id="490" w:name="_Toc296891263"/>
      <w:r/>
      <w:bookmarkStart w:id="491" w:name="_Toc296346724"/>
      <w:r/>
      <w:bookmarkStart w:id="492" w:name="_Toc297048409"/>
      <w:r/>
      <w:bookmarkStart w:id="493" w:name="_Toc296347222"/>
      <w:r/>
      <w:bookmarkStart w:id="494" w:name="_Toc297120523"/>
      <w:r/>
      <w:bookmarkStart w:id="495" w:name="_Toc297123565"/>
      <w:r/>
      <w:bookmarkStart w:id="496" w:name="_Toc296503223"/>
      <w:r/>
      <w:bookmarkStart w:id="497" w:name="_Toc296944562"/>
      <w:r/>
      <w:bookmarkStart w:id="498" w:name="_Toc267251471"/>
      <w:r/>
      <w:bookmarkStart w:id="499" w:name="_Toc267251472"/>
      <w:r/>
      <w:bookmarkStart w:id="500" w:name="_Toc267251475"/>
      <w:r/>
      <w:bookmarkStart w:id="501" w:name="_Toc267251474"/>
      <w:r/>
      <w:bookmarkStart w:id="502" w:name="_Toc267251476"/>
      <w:r/>
      <w:bookmarkStart w:id="503" w:name="_Toc267251470"/>
      <w:r/>
      <w:bookmarkStart w:id="504" w:name="_Toc267251473"/>
      <w:r>
        <w:rPr>
          <w:rFonts w:hint="eastAsia" w:ascii="宋体" w:hAnsi="宋体" w:eastAsia="宋体" w:cs="宋体"/>
          <w:color w:val="auto"/>
          <w:sz w:val="21"/>
          <w:szCs w:val="21"/>
          <w:highlight w:val="none"/>
        </w:rPr>
        <w:t xml:space="preserve">13.2竣工验收</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bookmarkStart w:id="505" w:name="OLE_LINK17"/>
      <w:r>
        <w:rPr>
          <w:rFonts w:hint="eastAsia" w:ascii="宋体" w:hAnsi="宋体" w:eastAsia="宋体" w:cs="宋体"/>
          <w:color w:val="auto"/>
          <w:sz w:val="21"/>
          <w:szCs w:val="21"/>
          <w:highlight w:val="none"/>
        </w:rPr>
        <w:t xml:space="preserve">13.2.1竣工验收程序</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bookmarkEnd w:id="505"/>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(1)工程竣工验收前，各有关单位应当完成以下工作：</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完工后，承包人应当组织有关人员对工程质量进行自检，确认工程质量符合有关法律、法规、设计文件、技术标准及合同的要求，并提出工程竣工报告。工程竣工报告应当经项目经理和承包人有关负责人审核签字，并加盖执业人员印章和单位公章。</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监理人在收到施工单位提交的工程竣工报告后，总监理工程师应当按照规范要求组织工程质量竣工预验收。预验收合格后，总监理工程师应当及时在施工单位提交的工程竣工报告上签署意见，并提出工程质量评估报告。工程质量评估报告应当经总监理工程师和工程监理单位技术负责人审核签字，并加盖执业人员印章和单位公章。</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勘察、设计单位应当对勘察、设计文件及施工过程中的设计变更文件进行检查，并提出质量检查报告。质量检查报告应当经勘察、设计项目负责人和勘察、设计单位有关负责人审核签字，并加盖执业人员印章和单位公章。</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发包人在收到勘察、设计、施工、监理单位各自提交的验收合格报告后，按照要求组织工程质量竣工验收，并形成工程质量竣工验收记录。</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对于符合竣工验收条件的工程，发包人组织联合验收小组进行工程竣工验收。联合验收小组由园区规划建设局、发包人、接收单位、监理、勘察、设计单位共同组成；公用事业管线工程竣工验收按照《园区公用设施管网（自来水、污水）验收程序暂行规定》执行。对于重大工程和技术复杂工程，发包人将邀请有关专家参加联合验收组。</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发包人在工程竣工验收7个工作日前将验收的时间、地点、验收联合验收小组名单及验收方案书面通知负责监督该工程的工程质量监督机构。</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（3）发包人组织工程竣工验收按以下程序进行：</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①建设、勘察、设计、施工、监理等单位分别汇报工程合同履约情况和工程建设各环节执行法律、法规及工程建设强制性标准的情况;</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②验收组审阅建设、勘察、设计、施工、监理单位的工程档案资料;</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③验收组实地查验工程质量;</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④验收组对工程勘察、设计、施工、设备安装质量和各管理环节等方面作出全面评价，并达成工程竣工验收是否合格的一致意见。</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（4）工程竣工验收合格后，联合验收小组人员共同签署意见并加盖各单位公章的工程竣工验收记录作为工程竣工验收合格的证明文件。工程竣工验收记录中最迟签署意见的日期为工程竣工时间。</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（5）发包人在工程验收合格后，会同园区相关接收单位签发工程接收证书，颁发工程接收证书的时间以接收单位确定的时间为准。</w:t>
      </w:r>
      <w:r/>
    </w:p>
    <w:p>
      <w:pPr>
        <w:ind w:firstLine="52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在工程接收单位接收前，工程范围内的保洁工作由承包人负责，费用计入投标报价，保洁工作必须达到园区城管部门规定的标准。</w:t>
      </w:r>
      <w:r/>
    </w:p>
    <w:p>
      <w:pPr>
        <w:ind w:firstLine="52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发包人不因此承担违约责任。</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bookmarkStart w:id="506" w:name="BM_go14"/>
      <w:r/>
      <w:bookmarkEnd w:id="506"/>
      <w:r/>
      <w:bookmarkStart w:id="507" w:name="_Toc280868706"/>
      <w:r/>
      <w:bookmarkStart w:id="508" w:name="_Toc280868707"/>
      <w:r/>
      <w:bookmarkStart w:id="509" w:name="_Toc280868708"/>
      <w:r/>
      <w:bookmarkStart w:id="510" w:name="_Toc280868709"/>
      <w:r>
        <w:rPr>
          <w:rFonts w:hint="eastAsia" w:ascii="宋体" w:hAnsi="宋体" w:eastAsia="宋体" w:cs="宋体"/>
          <w:color w:val="auto"/>
          <w:sz w:val="21"/>
          <w:szCs w:val="21"/>
          <w:highlight w:val="none"/>
        </w:rPr>
        <w:t xml:space="preserve">13.2.2移交、接收全部与部分工程</w:t>
      </w:r>
      <w:bookmarkEnd w:id="507"/>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承包人向发包人、接收单位移交工程的期限：</w:t>
      </w:r>
      <w:r>
        <w:rPr>
          <w:rFonts w:hint="eastAsia" w:ascii="宋体" w:hAnsi="宋体" w:eastAsia="宋体" w:cs="宋体"/>
          <w:color w:val="auto"/>
          <w:sz w:val="21"/>
          <w:szCs w:val="21"/>
          <w:highlight w:val="none"/>
          <w:u w:val="single"/>
        </w:rPr>
        <w:t xml:space="preserve">移交工程的时间以接收单位安排的时间为准。</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发包人不承担违约金</w:t>
      </w:r>
      <w:r>
        <w:rPr>
          <w:rFonts w:hint="eastAsia" w:ascii="宋体" w:hAnsi="宋体" w:eastAsia="宋体" w:cs="宋体"/>
          <w:color w:val="auto"/>
          <w:sz w:val="21"/>
          <w:szCs w:val="21"/>
          <w:highlight w:val="none"/>
        </w:rPr>
        <w:t xml:space="preserve">。</w:t>
      </w:r>
      <w:bookmarkEnd w:id="508"/>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每逾期移交工程1日，承包人应向发包人支付签约合同价的万分之五的违约金。</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509"/>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承担；</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承担。</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13.3.2 投料试车</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竣工退场</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13.4.1 竣工退场</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颁发工程接收证书并办理工程移交手续后28天内 </w:t>
      </w:r>
      <w:r>
        <w:rPr>
          <w:rFonts w:hint="eastAsia" w:ascii="宋体" w:hAnsi="宋体" w:eastAsia="宋体" w:cs="宋体"/>
          <w:color w:val="auto"/>
          <w:sz w:val="21"/>
          <w:szCs w:val="21"/>
          <w:highlight w:val="none"/>
        </w:rPr>
        <w:t xml:space="preserve">。</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511" w:name="_Toc351203646"/>
      <w:r>
        <w:rPr>
          <w:rFonts w:hint="eastAsia" w:ascii="宋体" w:hAnsi="宋体" w:eastAsia="宋体" w:cs="宋体"/>
          <w:b w:val="0"/>
          <w:bCs w:val="0"/>
          <w:color w:val="auto"/>
          <w:sz w:val="21"/>
          <w:szCs w:val="21"/>
          <w:highlight w:val="none"/>
        </w:rPr>
        <w:t xml:space="preserve">14. 竣工结算</w:t>
      </w:r>
      <w:bookmarkEnd w:id="511"/>
      <w:r/>
      <w:bookmarkEnd w:id="498"/>
      <w:r/>
      <w:bookmarkEnd w:id="499"/>
      <w:r/>
      <w:bookmarkEnd w:id="500"/>
      <w:r/>
      <w:bookmarkEnd w:id="501"/>
      <w:r/>
      <w:bookmarkEnd w:id="502"/>
      <w:r/>
      <w:bookmarkEnd w:id="503"/>
      <w:r/>
      <w:bookmarkEnd w:id="504"/>
      <w:r/>
      <w:bookmarkEnd w:id="510"/>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rPr>
      </w:pPr>
      <w:r/>
      <w:bookmarkStart w:id="512" w:name="_Toc351203647"/>
      <w:r/>
      <w:bookmarkStart w:id="513" w:name="_Toc267251483"/>
      <w:r/>
      <w:bookmarkStart w:id="514" w:name="_Toc267251482"/>
      <w:r/>
      <w:bookmarkStart w:id="515" w:name="_Toc267251484"/>
      <w:r/>
      <w:bookmarkStart w:id="516" w:name="_Toc267251485"/>
      <w:r/>
      <w:bookmarkStart w:id="517" w:name="_Toc267251490"/>
      <w:r/>
      <w:bookmarkStart w:id="518" w:name="_Toc267251486"/>
      <w:r/>
      <w:bookmarkStart w:id="519" w:name="_Toc267251488"/>
      <w:r/>
      <w:bookmarkStart w:id="520" w:name="_Toc267251489"/>
      <w:r/>
      <w:bookmarkStart w:id="521" w:name="_Toc267251492"/>
      <w:r/>
      <w:bookmarkStart w:id="522" w:name="_Toc267251502"/>
      <w:r/>
      <w:bookmarkStart w:id="523" w:name="_Toc267251493"/>
      <w:r/>
      <w:bookmarkStart w:id="524" w:name="_Toc267251495"/>
      <w:r/>
      <w:bookmarkStart w:id="525" w:name="_Toc267251501"/>
      <w:r/>
      <w:bookmarkStart w:id="526" w:name="_Toc267251497"/>
      <w:r/>
      <w:bookmarkStart w:id="527" w:name="_Toc267251496"/>
      <w:r/>
      <w:bookmarkStart w:id="528" w:name="_Toc267251498"/>
      <w:r/>
      <w:bookmarkStart w:id="529" w:name="_Toc267251494"/>
      <w:r/>
      <w:bookmarkStart w:id="530" w:name="_Toc267251491"/>
      <w:r/>
      <w:bookmarkStart w:id="531" w:name="_Toc267251499"/>
      <w:r/>
      <w:bookmarkStart w:id="532" w:name="_Toc267251503"/>
      <w:r/>
      <w:bookmarkStart w:id="533" w:name="_Toc267251504"/>
      <w:r/>
      <w:bookmarkStart w:id="534" w:name="_Toc267251506"/>
      <w:r/>
      <w:bookmarkStart w:id="535" w:name="_Toc267251507"/>
      <w:r/>
      <w:bookmarkStart w:id="536" w:name="_Toc267251508"/>
      <w:r/>
      <w:bookmarkStart w:id="537" w:name="_Toc267251515"/>
      <w:r/>
      <w:bookmarkStart w:id="538" w:name="_Toc267251510"/>
      <w:r/>
      <w:bookmarkStart w:id="539" w:name="_Toc267251511"/>
      <w:r/>
      <w:bookmarkStart w:id="540" w:name="_Toc267251513"/>
      <w:r/>
      <w:bookmarkStart w:id="541" w:name="_Toc267251509"/>
      <w:r/>
      <w:bookmarkStart w:id="542" w:name="_Toc267251514"/>
      <w:r>
        <w:rPr>
          <w:rFonts w:hint="eastAsia" w:ascii="宋体" w:hAnsi="宋体" w:eastAsia="宋体" w:cs="宋体"/>
          <w:color w:val="auto"/>
          <w:sz w:val="21"/>
          <w:szCs w:val="21"/>
          <w:highlight w:val="none"/>
        </w:rPr>
        <w:t xml:space="preserve">14.1 竣工结算申请</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承包人提交竣工结算申请单的期限：同通用合同条款。</w:t>
      </w:r>
      <w:r/>
    </w:p>
    <w:p>
      <w:pPr>
        <w:ind w:firstLine="420"/>
        <w:pageBreakBefore w:val="0"/>
        <w:spacing w:line="360" w:lineRule="auto"/>
        <w:shd w:val="clear" w:color="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因承包人提供竣工结算资料不完整或无正当理由拒不配合结算审计，造成审计时间拖后，其责任由承包人自负。</w:t>
      </w:r>
      <w:r/>
    </w:p>
    <w:p>
      <w:pPr>
        <w:ind w:firstLine="420"/>
        <w:pageBreakBefore w:val="0"/>
        <w:spacing w:line="360" w:lineRule="auto"/>
        <w:shd w:val="clear" w:color="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为规范工程决算的严肃性，送审决算审计核减率超过7%时超过部分的审计费用，由中标方负担。本工程竣工结算审计按园区财政投资建设项目相关规定为准。如工程结算、决算核减金额超过总价的7%，则其结算、决算审计费用的浮动部分中，超过7%部分按核减造价5%计算确定的审计费，费用由施工单位承担，建设单位在工程款中代扣。 </w:t>
      </w:r>
      <w:r/>
    </w:p>
    <w:p>
      <w:pPr>
        <w:ind w:firstLine="420"/>
        <w:pageBreakBefore w:val="0"/>
        <w:spacing w:line="360" w:lineRule="auto"/>
        <w:shd w:val="clear" w:color="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一旦审计单位出具竣工结算审计报告，则视为：工程涉及到的所有费用（包括但不限于本工程可能存在其他工程价款、工程变更价款、合同价款调整、工程索赔款等）已经包括在上述审计金额之中,一旦根据结算审计报告付清了工程结算尾款，则除工程保证金（保证金）按照双方已经签署的建设工程保修合同执行外，承包人承诺不再主张任何价款。</w:t>
      </w:r>
      <w:r/>
    </w:p>
    <w:p>
      <w:pPr>
        <w:ind w:firstLine="42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14.2 竣工结算审核</w:t>
      </w:r>
      <w:r/>
    </w:p>
    <w:p>
      <w:pPr>
        <w:ind w:firstLine="420"/>
        <w:pageBreakBefore w:val="0"/>
        <w:spacing w:line="360" w:lineRule="auto"/>
        <w:shd w:val="clear" w:color="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发包人审批竣工付款申请单的期限：</w:t>
      </w:r>
      <w:r>
        <w:rPr>
          <w:rFonts w:hint="eastAsia" w:ascii="宋体" w:hAnsi="宋体" w:eastAsia="宋体" w:cs="宋体"/>
          <w:i w:val="0"/>
          <w:iCs w:val="0"/>
          <w:color w:val="auto"/>
          <w:sz w:val="21"/>
          <w:szCs w:val="21"/>
          <w:highlight w:val="none"/>
          <w:u w:val="single"/>
        </w:rPr>
        <w:t xml:space="preserve">承包人按苏州工业园区唯亭街道要求提供竣工结算审计资料，竣工结算申请单审批期限按苏州工业园区唯亭街道送审计划确定，承包人和发包人均应无条件配合。</w:t>
      </w:r>
      <w:r/>
    </w:p>
    <w:p>
      <w:pPr>
        <w:ind w:firstLine="420"/>
        <w:pageBreakBefore w:val="0"/>
        <w:spacing w:line="360" w:lineRule="auto"/>
        <w:shd w:val="clear" w:color="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发包人完成竣工付款的期限：</w:t>
      </w:r>
      <w:r>
        <w:rPr>
          <w:rFonts w:hint="eastAsia" w:ascii="宋体" w:hAnsi="宋体" w:eastAsia="宋体" w:cs="宋体"/>
          <w:i w:val="0"/>
          <w:iCs w:val="0"/>
          <w:color w:val="auto"/>
          <w:sz w:val="21"/>
          <w:szCs w:val="21"/>
          <w:highlight w:val="none"/>
          <w:u w:val="single"/>
        </w:rPr>
        <w:t xml:space="preserve">发包人在签发竣工付款证书后得30天内，完成对承包人的竣工付款。</w:t>
      </w:r>
      <w:r/>
    </w:p>
    <w:p>
      <w:pPr>
        <w:ind w:firstLine="420"/>
        <w:pageBreakBefore w:val="0"/>
        <w:spacing w:line="360" w:lineRule="auto"/>
        <w:shd w:val="clear" w:color="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关于竣工付款证书异议部分复核的方式和程序：对于有异议部分应在收到</w:t>
      </w:r>
      <w:r>
        <w:rPr>
          <w:rFonts w:hint="eastAsia" w:ascii="宋体" w:hAnsi="宋体" w:eastAsia="宋体" w:cs="宋体"/>
          <w:i w:val="0"/>
          <w:iCs w:val="0"/>
          <w:color w:val="auto"/>
          <w:sz w:val="21"/>
          <w:szCs w:val="21"/>
          <w:highlight w:val="none"/>
          <w:u w:val="single"/>
        </w:rPr>
        <w:t xml:space="preserve">发包人签认的竣工付款证书后7天内提出书面异议，并提请行政复议，对行政复议决定不服的，可以依法向人民法院提起行政诉讼。承包人逾期未提出异议的，视为认可发包人的审批结果。</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最终结清</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14.3.1 最终结清申请单</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一式二份         </w:t>
      </w:r>
      <w:r>
        <w:rPr>
          <w:rFonts w:hint="eastAsia" w:ascii="宋体" w:hAnsi="宋体" w:eastAsia="宋体" w:cs="宋体"/>
          <w:color w:val="auto"/>
          <w:sz w:val="21"/>
          <w:szCs w:val="21"/>
          <w:highlight w:val="none"/>
        </w:rPr>
        <w:t xml:space="preserve">。</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同通用合同条款         </w:t>
      </w:r>
      <w:r>
        <w:rPr>
          <w:rFonts w:hint="eastAsia" w:ascii="宋体" w:hAnsi="宋体" w:eastAsia="宋体" w:cs="宋体"/>
          <w:color w:val="auto"/>
          <w:sz w:val="21"/>
          <w:szCs w:val="21"/>
          <w:highlight w:val="none"/>
        </w:rPr>
        <w:t xml:space="preserve">。 </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14.3.2 最终结清证书和支付</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发包人在收到承包人提交的最终结清申请单后14天内完成审批并向承包人颁发最终结清证书 </w:t>
      </w:r>
      <w:r>
        <w:rPr>
          <w:rFonts w:hint="eastAsia" w:ascii="宋体" w:hAnsi="宋体" w:eastAsia="宋体" w:cs="宋体"/>
          <w:color w:val="auto"/>
          <w:sz w:val="21"/>
          <w:szCs w:val="21"/>
          <w:highlight w:val="none"/>
        </w:rPr>
        <w:t xml:space="preserve">。</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在颁发最终结清证书后30天内完成支付    </w:t>
      </w:r>
      <w:r>
        <w:rPr>
          <w:rFonts w:hint="eastAsia" w:ascii="宋体" w:hAnsi="宋体" w:eastAsia="宋体" w:cs="宋体"/>
          <w:color w:val="auto"/>
          <w:sz w:val="21"/>
          <w:szCs w:val="21"/>
          <w:highlight w:val="none"/>
        </w:rPr>
        <w:t xml:space="preserve">。</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 缺陷责任期与保修</w:t>
      </w:r>
      <w:bookmarkEnd w:id="512"/>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15.1缺陷责任期</w:t>
      </w:r>
      <w:bookmarkEnd w:id="513"/>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工程竣工验收合格之日</w:t>
      </w:r>
      <w:r>
        <w:rPr>
          <w:rFonts w:hint="eastAsia" w:ascii="宋体" w:hAnsi="宋体" w:eastAsia="宋体" w:cs="宋体"/>
          <w:color w:val="auto"/>
          <w:sz w:val="21"/>
          <w:szCs w:val="21"/>
          <w:highlight w:val="none"/>
          <w:u w:val="single"/>
        </w:rPr>
        <w:t xml:space="preserve">起2年</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质量保证金</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bookmarkStart w:id="543" w:name="OLE_LINK28"/>
      <w:r/>
      <w:bookmarkStart w:id="544" w:name="OLE_LINK27"/>
      <w:r/>
      <w:bookmarkStart w:id="545" w:name="OLE_LINK29"/>
      <w:r>
        <w:rPr>
          <w:rFonts w:hint="eastAsia" w:ascii="宋体" w:hAnsi="宋体" w:eastAsia="宋体" w:cs="宋体"/>
          <w:color w:val="auto"/>
          <w:sz w:val="21"/>
          <w:szCs w:val="21"/>
          <w:highlight w:val="none"/>
          <w:u w:val="single"/>
        </w:rPr>
        <w:t xml:space="preserve">工程结算审定金额的3%</w:t>
      </w:r>
      <w:bookmarkEnd w:id="543"/>
      <w:r/>
      <w:bookmarkEnd w:id="544"/>
      <w:r/>
      <w:bookmarkEnd w:id="545"/>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 承包人提供质量保证金的方式</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种方式：</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%的工程款；</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工程</w:t>
      </w:r>
      <w:bookmarkStart w:id="546" w:name="OLE_LINK30"/>
      <w:r/>
      <w:bookmarkStart w:id="547" w:name="OLE_LINK31"/>
      <w:r>
        <w:rPr>
          <w:rFonts w:hint="eastAsia" w:ascii="宋体" w:hAnsi="宋体" w:eastAsia="宋体" w:cs="宋体"/>
          <w:color w:val="auto"/>
          <w:sz w:val="21"/>
          <w:szCs w:val="21"/>
          <w:highlight w:val="none"/>
          <w:u w:val="single"/>
        </w:rPr>
        <w:t xml:space="preserve">结算审定金额的3%</w:t>
      </w:r>
      <w:bookmarkEnd w:id="546"/>
      <w:r/>
      <w:bookmarkEnd w:id="547"/>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15.2.2 质量保证金的扣留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3</w:t>
      </w:r>
      <w:r>
        <w:rPr>
          <w:rFonts w:hint="eastAsia" w:ascii="宋体" w:hAnsi="宋体" w:eastAsia="宋体" w:cs="宋体"/>
          <w:color w:val="auto"/>
          <w:sz w:val="21"/>
          <w:szCs w:val="21"/>
          <w:highlight w:val="none"/>
        </w:rPr>
        <w:t xml:space="preserve">种方式：</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（2）工程竣工结算时一次性扣留质量保证金；</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工程审计结束后扣留结算审定金额的3%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w:t>
      </w:r>
      <w:bookmarkStart w:id="548" w:name="OLE_LINK36"/>
      <w:r/>
      <w:bookmarkStart w:id="549" w:name="OLE_LINK35"/>
      <w:r>
        <w:rPr>
          <w:rFonts w:hint="eastAsia" w:ascii="宋体" w:hAnsi="宋体" w:eastAsia="宋体" w:cs="宋体"/>
          <w:color w:val="auto"/>
          <w:sz w:val="21"/>
          <w:szCs w:val="21"/>
          <w:highlight w:val="none"/>
          <w:u w:val="single"/>
        </w:rPr>
        <w:t xml:space="preserve">按照《工程质量保修书》约定执行</w:t>
      </w:r>
      <w:bookmarkEnd w:id="548"/>
      <w:r/>
      <w:bookmarkEnd w:id="549"/>
      <w:r>
        <w:rPr>
          <w:rFonts w:hint="eastAsia" w:ascii="宋体" w:hAnsi="宋体" w:eastAsia="宋体" w:cs="宋体"/>
          <w:color w:val="auto"/>
          <w:sz w:val="21"/>
          <w:szCs w:val="21"/>
          <w:highlight w:val="none"/>
          <w:u w:val="single"/>
        </w:rPr>
        <w:t xml:space="preserve">。  </w:t>
      </w:r>
      <w:bookmarkEnd w:id="514"/>
      <w:r/>
      <w:bookmarkEnd w:id="515"/>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15.3保修</w:t>
      </w:r>
      <w:bookmarkEnd w:id="516"/>
      <w:r/>
      <w:r/>
    </w:p>
    <w:p>
      <w:pPr>
        <w:ind w:firstLine="409"/>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 保修责任</w:t>
      </w:r>
      <w:r/>
    </w:p>
    <w:p>
      <w:pPr>
        <w:ind w:firstLine="409"/>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详见</w:t>
      </w:r>
      <w:bookmarkStart w:id="550" w:name="OLE_LINK33"/>
      <w:r/>
      <w:bookmarkStart w:id="551" w:name="OLE_LINK32"/>
      <w:r>
        <w:rPr>
          <w:rFonts w:hint="eastAsia" w:ascii="宋体" w:hAnsi="宋体" w:eastAsia="宋体" w:cs="宋体"/>
          <w:color w:val="auto"/>
          <w:sz w:val="21"/>
          <w:szCs w:val="21"/>
          <w:highlight w:val="none"/>
          <w:u w:val="single"/>
        </w:rPr>
        <w:t xml:space="preserve">《工程质量保修书</w:t>
      </w:r>
      <w:bookmarkEnd w:id="550"/>
      <w:r/>
      <w:bookmarkEnd w:id="551"/>
      <w:r>
        <w:rPr>
          <w:rFonts w:hint="eastAsia" w:ascii="宋体" w:hAnsi="宋体" w:eastAsia="宋体" w:cs="宋体"/>
          <w:color w:val="auto"/>
          <w:sz w:val="21"/>
          <w:szCs w:val="21"/>
          <w:highlight w:val="none"/>
          <w:u w:val="single"/>
        </w:rPr>
        <w:t xml:space="preserve">》。</w:t>
      </w:r>
      <w:r/>
    </w:p>
    <w:p>
      <w:pPr>
        <w:ind w:firstLine="409"/>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修复通知</w:t>
      </w:r>
      <w:r/>
    </w:p>
    <w:p>
      <w:pPr>
        <w:ind w:firstLine="409"/>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按照《工程质量保修书》约定执行  。</w:t>
      </w:r>
      <w:bookmarkEnd w:id="517"/>
      <w:r/>
      <w:bookmarkEnd w:id="518"/>
      <w:r/>
      <w:bookmarkEnd w:id="519"/>
      <w:r/>
      <w:bookmarkEnd w:id="520"/>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552" w:name="_Toc351203648"/>
      <w:r/>
      <w:bookmarkStart w:id="553" w:name="_Toc280868717"/>
      <w:r/>
      <w:bookmarkStart w:id="554" w:name="_Toc280868718"/>
      <w:r>
        <w:rPr>
          <w:rFonts w:hint="eastAsia" w:ascii="宋体" w:hAnsi="宋体" w:eastAsia="宋体" w:cs="宋体"/>
          <w:b w:val="0"/>
          <w:bCs w:val="0"/>
          <w:color w:val="auto"/>
          <w:sz w:val="21"/>
          <w:szCs w:val="21"/>
          <w:highlight w:val="none"/>
        </w:rPr>
        <w:t xml:space="preserve">16. 违约</w:t>
      </w:r>
      <w:bookmarkEnd w:id="552"/>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发包人违约</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left="1200" w:hanging="105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顺延延误工期，</w:t>
      </w:r>
      <w:bookmarkStart w:id="555" w:name="OLE_LINK26"/>
      <w:r>
        <w:rPr>
          <w:rFonts w:hint="eastAsia" w:ascii="宋体" w:hAnsi="宋体" w:eastAsia="宋体" w:cs="宋体"/>
          <w:color w:val="auto"/>
          <w:sz w:val="21"/>
          <w:szCs w:val="21"/>
          <w:highlight w:val="none"/>
          <w:u w:val="single"/>
        </w:rPr>
        <w:t xml:space="preserve">承包人同意不因此提出任何损失或费用索赔</w:t>
      </w:r>
      <w:bookmarkEnd w:id="555"/>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发包人不承担逾期付款违约责任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承包人同意不因此提出任何损失或费用索赔</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顺延延误工期，承包人同意不因此提出任何损失或费用索赔</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顺延延误工期，承包人同意不因此提出任何损失或费用索赔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顺延延误工期，承包人同意不因此提出任何损失或费用索赔</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发包人不承担其它违约责任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w:t>
      </w:r>
      <w:r>
        <w:rPr>
          <w:rFonts w:hint="eastAsia" w:ascii="宋体" w:hAnsi="宋体" w:eastAsia="宋体" w:cs="宋体"/>
          <w:color w:val="auto"/>
          <w:sz w:val="21"/>
          <w:szCs w:val="21"/>
          <w:highlight w:val="none"/>
        </w:rPr>
        <w:t xml:space="preserve">施工满</w:t>
      </w:r>
      <w:r>
        <w:rPr>
          <w:rFonts w:hint="eastAsia" w:ascii="宋体" w:hAnsi="宋体" w:eastAsia="宋体" w:cs="宋体"/>
          <w:color w:val="auto"/>
          <w:sz w:val="21"/>
          <w:szCs w:val="21"/>
          <w:highlight w:val="none"/>
          <w:u w:val="single"/>
        </w:rPr>
        <w:t xml:space="preserve"> 270</w:t>
      </w:r>
      <w:r>
        <w:rPr>
          <w:rFonts w:hint="eastAsia" w:ascii="宋体" w:hAnsi="宋体" w:eastAsia="宋体" w:cs="宋体"/>
          <w:color w:val="auto"/>
          <w:sz w:val="21"/>
          <w:szCs w:val="21"/>
          <w:highlight w:val="none"/>
        </w:rPr>
        <w:t xml:space="preserve">天后发</w:t>
      </w:r>
      <w:r>
        <w:rPr>
          <w:rFonts w:hint="eastAsia" w:ascii="宋体" w:hAnsi="宋体" w:eastAsia="宋体" w:cs="宋体"/>
          <w:color w:val="auto"/>
          <w:sz w:val="21"/>
          <w:szCs w:val="21"/>
          <w:highlight w:val="none"/>
        </w:rPr>
        <w:t xml:space="preserve">包人仍不纠正其违约行为并致使合同目的不能实现的，承包人有权解除合同。</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承包人违约</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承包人违约的其他情形：详见合同其它相关约定。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（1）转包或违法分包按《建筑工程施工转包违法分包等违法行为认定查处管理办法（试行）》进行处理。</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（2）承包人采购和使用不合格的材料和工程设备的必须自费更换合格的材料和工程设备。</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（3）承包人工程质量必须达到合同约定工程质量标准，达不到合同约定质量标准的，必须自费返工至约定质量标准；经多次返工</w:t>
      </w:r>
      <w:r>
        <w:rPr>
          <w:rFonts w:hint="eastAsia" w:ascii="宋体" w:hAnsi="宋体" w:eastAsia="宋体" w:cs="宋体"/>
          <w:color w:val="auto"/>
          <w:sz w:val="21"/>
          <w:szCs w:val="21"/>
          <w:highlight w:val="none"/>
          <w:u w:val="single"/>
        </w:rPr>
        <w:t xml:space="preserve">工程质量仍达不到约定质量标准的，经发包人同意后请有关部门鉴证为可使用工程的采取降级使用，但必须承担质量违约金，质量违约金为不合格部分工程总额的20%；对多次返工达不到约定质量标准且不能降级使用的工程，发包人有权聘请第三方进场施工该部分工程，使其质量达到约定质量等级，第三方修建费用由发包人从承包人的工程款项中扣除，工程款不够扣除的，作为承包人对发包人的债务，由承包人支付给发包人。工程质量不合格返工使工程逾期完成或第三方重新修建使工程逾期，承包人必须承担逾期完工的违约金，逾期完工违约金和工程质量违约金同时适用。</w:t>
      </w:r>
      <w:r/>
    </w:p>
    <w:p>
      <w:pPr>
        <w:ind w:firstLine="480"/>
        <w:pageBreakBefore w:val="0"/>
        <w:spacing w:line="360" w:lineRule="auto"/>
        <w:shd w:val="clear" w:color="auto"/>
        <w:widowControl w:val="off"/>
        <w:tabs>
          <w:tab w:val="left" w:pos="142"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（4）承包人未经批准，私自将已按照合同约定进入施工现场的材料或设备撤离施工现场的，承包人除承担因其违约行为而增加的费用和延误的工期外，发包人将向承包人收取违约金5万元/次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（5）工期每拖延一天，承包人向发包人支付签约合同价的万分之五。</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（6）按附件《工程质量保修书》要求执行。</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（7）按合同通用条款16.2.4条处理。</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（8）承包人违约的其他情况。</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①中标后承包人管理人员未按投标承诺到位或更换管理人员将视为违约行为，发包人将向承包人收取违约金，具体为：项目经理</w:t>
      </w:r>
      <w:r>
        <w:rPr>
          <w:rFonts w:hint="eastAsia" w:ascii="宋体" w:hAnsi="宋体" w:eastAsia="宋体" w:cs="宋体"/>
          <w:color w:val="auto"/>
          <w:sz w:val="21"/>
          <w:szCs w:val="21"/>
          <w:highlight w:val="none"/>
          <w:u w:val="single"/>
          <w:lang w:val="en-US" w:eastAsia="zh-CN"/>
        </w:rPr>
        <w:t xml:space="preserve">20万元</w:t>
      </w:r>
      <w:r>
        <w:rPr>
          <w:rFonts w:hint="eastAsia" w:ascii="宋体" w:hAnsi="宋体" w:eastAsia="宋体" w:cs="宋体"/>
          <w:color w:val="auto"/>
          <w:sz w:val="21"/>
          <w:szCs w:val="21"/>
          <w:highlight w:val="none"/>
          <w:u w:val="single"/>
        </w:rPr>
        <w:t xml:space="preserve">，其他人员1万元。</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②中标后承包人管理人员现场管理工作不到位，或无法起到应有的作用，视为不称职，发包人将要求承包人更换相应的管理人员，并向承包人收取违约金，具体为：项目经理3万元，其他人员1万元/次。</w:t>
      </w:r>
      <w:r>
        <w:rPr>
          <w:rFonts w:hint="eastAsia" w:ascii="宋体" w:hAnsi="宋体" w:eastAsia="宋体" w:cs="宋体"/>
          <w:color w:val="auto"/>
          <w:sz w:val="21"/>
          <w:szCs w:val="21"/>
          <w:highlight w:val="none"/>
        </w:rPr>
        <w:t xml:space="preserve">因非施工单位原因，提出更换项目经理等主要管理人员时，取得发包人书面同意后，无需支付违约金。</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③承包人项目经理暂时离岗须向发包人代表书面请假，未经许可无故离开工作岗位的，发包人向承包人收取违约金5000元/人•天。</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④承包人总工暂时离岗须向发包人代表书面请假，未经许可无故离开工作岗位的，发包人向承包人收取违约金2000元/人•天。</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⑤承包人其他管理人员暂时离岗须向发包人代表书面请假，未经许可无故离开工作岗位的，发包人向承包人收取违约金1000元/人•天。</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⑥承包人项目经理、总工必须为本单位职工，并提供社保证明报备监理工程师，若发现为非本单位职工，发包人向承包人收取违约金5000元/人，并要求更换。</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⑦承包人必须配足现场技术管理人员，施工现场质量验收、报验等工作必须由项目部技术管理人员负责，资料填报签名必须全部为项目部技术管理人员，若发现违反本条规定，发包人向承包人收取违约金1000元/次。</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⑧承包人大宗材料采购必须全部由项目部负责，并将所有大宗材料采购的合同提交至监理工程师备案，发包人将不定期对承包人大宗材料采购渠道、费用支付等情况进行检查，若发现违反本条规定，发包人向承包人收取违约金10万元/次。</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⑨承包人项目部必须加强对一线工人的安全、施工技能培训，并做好所有培训的资料整理、归档工作，发包人将不定期对承包人执行培训情况的考核、抽查，若检查发现未进行培训或培训敷衍了事，无法满足工程要求，发包人将向承包人收取违约金2万元/次。</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⑩施工现场特殊工种操作人员必须按要求全部执证上岗，项目部应加强对现场特殊工种的管理，发包人将不定期对现场进行检查，若发现违反本条规定，发包人将向承包人收取违约金1000元/人•次。</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⑪工程变更及工程量清单未按合同要求及时报批的，发包人将向承包人收取违约金3000元/月，直至承包人按合同要求办理报批手续。</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⑫发包人将定期或不定期对承包人施工期间的农民工工资发放进行调查，每调查发现一次拖欠农民工工资情况，承包人应向发包人支付5-10万元/次的违约金，具体金额由发包人确定。凡承包人承接的工程项目发生因拖欠农民工工资引发集体上访或冲击、围堵工程现场、发包人及项目法人办公场所或政府部门等群体性事件的，承包人承担全部责任，启动清欠应急预案，在前述群体性事件发生之日起3日内无条件支付所有拖欠农民工的工资，否则，承包人将无</w:t>
      </w:r>
      <w:r>
        <w:rPr>
          <w:rFonts w:hint="eastAsia" w:ascii="宋体" w:hAnsi="宋体" w:eastAsia="宋体" w:cs="宋体"/>
          <w:color w:val="auto"/>
          <w:sz w:val="21"/>
          <w:szCs w:val="21"/>
          <w:highlight w:val="none"/>
          <w:u w:val="single"/>
        </w:rPr>
        <w:t xml:space="preserve">条件同意发包人动用履约担保或工程款或自有资金先行垫付拖欠的农民工工资，并向发包人依约承担违约责任和接受建设行政主管部门的相应处罚。若发包人动用履约担保或超过依约应付比例的工程款或自有资金垫付拖欠的农民工工资的，承包人应在发包人垫付拖欠的农民工工资之日起3日内补齐该垫付费用，否则，该垫付费用视为已向承包人支付的工程款，且发包人有权从应支付给承包人的工程款中直接扣除该垫付费用及垫付之日至扣除之日按同期银行贷款利率计算的利息。若应付的工程款不足以扣除前述发包人垫付费用及利息的，发包人有权继续向承包人追索不足部分。</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出现专用合同条款第16.2.1项〔承包人违约的情形〕第（7）目约定的违约情况时，或监理人、发包人发出整改通知后，承包人在整改通知指定的期限内仍不纠正违约行为的，发包人有权解除合同。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因承包人原因解除的，承包人应向发包人支付合同总价10％的违约金，且应赔偿发包人因此受到的包括但不限于发包人聘请其他施工单位完成剩余工程增加的成本、发包人选聘后续施工单位期间的工期拖延损失等经济损失超过违约金的部分。发包人有权直接从应付承包人的任何款项中扣除前述违约金、赔偿金等费用。合同解除后，发包人可随时进入现场完成剩余工程，或雇用第三方完成剩余工程。</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合同解除并不因此而解除合同规定的承包人的任何义务和责任或影响合同授予发包人和监理人的任何权力。</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解除后，承包人应在发包人书面通知的期限内完成施工现场自有机械设备和人员等的清理和撤离，并承担相应费用。承包人未在发包人书面通知的期限完成前述清理和撤离的，每逾期一日，承包人应向发包人支付人民币 10万元的违约金，并视为放弃现场遗留材料、工程设备、施工设备和临时工程等的所有权，发包人有权自行处理。合同解除后，未经监理人和发包人许可，承包人不应将现场的任何材料、设备、施工设备、临时设施运出现场，若发包人或第三方需要时，可使用承包人的一切设备、临时设施和材料等。</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合同解除后，发包人和监理人应尽快查清并书面签证确认以下情况：</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（a）承包人实际完成工作的质量以及对应的合同价款；</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（b）承包人已提供的材料、工程设备、施工设备和临时工程等的价值。</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合同解除后，承包人应该配合工程师和发包人共同书面签证确认上述情况。承包人在发包人书面通知的期限内不参加上述情况确认的，应无条件接受监理人和发包人共同书面签证确认的上述情况。</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由发包人根据实际情况确定是否承担费用，以及如发包人承担费用时的具体费用金额。</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556" w:name="_Toc351203649"/>
      <w:r>
        <w:rPr>
          <w:rFonts w:hint="eastAsia" w:ascii="宋体" w:hAnsi="宋体" w:eastAsia="宋体" w:cs="宋体"/>
          <w:b w:val="0"/>
          <w:bCs w:val="0"/>
          <w:color w:val="auto"/>
          <w:sz w:val="21"/>
          <w:szCs w:val="21"/>
          <w:highlight w:val="none"/>
        </w:rPr>
        <w:t xml:space="preserve">17. 不可抗力</w:t>
      </w:r>
      <w:bookmarkEnd w:id="556"/>
      <w:r>
        <w:rPr>
          <w:rFonts w:hint="eastAsia" w:ascii="宋体" w:hAnsi="宋体" w:eastAsia="宋体" w:cs="宋体"/>
          <w:b w:val="0"/>
          <w:bCs w:val="0"/>
          <w:color w:val="auto"/>
          <w:sz w:val="21"/>
          <w:szCs w:val="21"/>
          <w:highlight w:val="none"/>
        </w:rPr>
        <w:t xml:space="preserve"> </w:t>
      </w:r>
      <w:bookmarkEnd w:id="553"/>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 </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因不可抗力解除合同</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30</w:t>
      </w:r>
      <w:r>
        <w:rPr>
          <w:rFonts w:hint="eastAsia" w:ascii="宋体" w:hAnsi="宋体" w:eastAsia="宋体" w:cs="宋体"/>
          <w:color w:val="auto"/>
          <w:sz w:val="21"/>
          <w:szCs w:val="21"/>
          <w:highlight w:val="none"/>
        </w:rPr>
        <w:t xml:space="preserve">天内完成款项的支付。</w:t>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557" w:name="_Toc351203650"/>
      <w:r>
        <w:rPr>
          <w:rFonts w:hint="eastAsia" w:ascii="宋体" w:hAnsi="宋体" w:eastAsia="宋体" w:cs="宋体"/>
          <w:b w:val="0"/>
          <w:bCs w:val="0"/>
          <w:color w:val="auto"/>
          <w:sz w:val="21"/>
          <w:szCs w:val="21"/>
          <w:highlight w:val="none"/>
        </w:rPr>
        <w:t xml:space="preserve">18. 保险</w:t>
      </w:r>
      <w:bookmarkEnd w:id="557"/>
      <w:r/>
      <w:bookmarkEnd w:id="554"/>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发包人委托承包人办理建筑工程一切险和第三者责任险，费用已计入投标报价中，包干使用，结算不调整  </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其他保险</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农民工</w:t>
      </w:r>
      <w:r>
        <w:rPr>
          <w:rFonts w:hint="eastAsia" w:ascii="宋体" w:hAnsi="宋体" w:eastAsia="宋体" w:cs="宋体"/>
          <w:color w:val="auto"/>
          <w:sz w:val="21"/>
          <w:szCs w:val="21"/>
          <w:highlight w:val="none"/>
          <w:u w:val="single"/>
        </w:rPr>
        <w:t xml:space="preserve">工伤保险按照苏州工业园区关于贯彻执行《市政府关于印发苏州市建筑企业农民工参加工伤保险暂行办法的通知》（苏园劳保〔2008〕14号）执行，在清单中列入社会保障费中，计入合同总价。第一次支付进度款前，请中标人提供本项目的《建筑企业农民工工伤保险参保登记表》复印件（原件备查），否则不支付工程进度款。因承包人未及时办理农民工工伤保险，当发生其保险范围的事项时，导致工程及其他损失均由承包人承担。在竣工结算时，若承包人不能提供《建筑企业农民工工伤保险参保登记表》等有效证明，则在工程结算审计时扣除农民工工伤保险相应费用。</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承包人必须遵守苏州市和苏州工业园区关于解决农民工工资问题的有关文件，及时到园区一站式服务中心交纳农民工工资担保金，并向发包人提供有效的交纳凭证（不及时提供有效的交纳凭证将不予以计量），保证按月支付农民工工资</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同通用合同条款</w:t>
      </w:r>
      <w:r>
        <w:rPr>
          <w:rFonts w:hint="eastAsia" w:ascii="宋体" w:hAnsi="宋体" w:eastAsia="宋体" w:cs="宋体"/>
          <w:color w:val="auto"/>
          <w:sz w:val="21"/>
          <w:szCs w:val="21"/>
          <w:highlight w:val="none"/>
        </w:rPr>
        <w:t xml:space="preserve">。</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通知义务</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同通用合同条款  </w:t>
      </w:r>
      <w:r>
        <w:rPr>
          <w:rFonts w:hint="eastAsia" w:ascii="宋体" w:hAnsi="宋体" w:eastAsia="宋体" w:cs="宋体"/>
          <w:color w:val="auto"/>
          <w:sz w:val="21"/>
          <w:szCs w:val="21"/>
          <w:highlight w:val="none"/>
        </w:rPr>
        <w:t xml:space="preserve">。</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pStyle w:val="821"/>
        <w:ind w:firstLine="480"/>
        <w:pageBreakBefore w:val="0"/>
        <w:spacing w:before="0" w:after="0" w:line="360" w:lineRule="auto"/>
        <w:shd w:val="clear" w:color="auto"/>
        <w:widowControl w:val="off"/>
        <w:rPr>
          <w:rFonts w:hint="eastAsia" w:ascii="宋体" w:hAnsi="宋体" w:eastAsia="宋体" w:cs="宋体"/>
          <w:b w:val="0"/>
          <w:bCs w:val="0"/>
          <w:color w:val="auto"/>
          <w:sz w:val="21"/>
          <w:szCs w:val="21"/>
          <w:highlight w:val="none"/>
        </w:rPr>
      </w:pPr>
      <w:r/>
      <w:bookmarkStart w:id="558" w:name="_Toc351203651"/>
      <w:r>
        <w:rPr>
          <w:rFonts w:hint="eastAsia" w:ascii="宋体" w:hAnsi="宋体" w:eastAsia="宋体" w:cs="宋体"/>
          <w:b w:val="0"/>
          <w:bCs w:val="0"/>
          <w:color w:val="auto"/>
          <w:sz w:val="21"/>
          <w:szCs w:val="21"/>
          <w:highlight w:val="none"/>
        </w:rPr>
        <w:t xml:space="preserve">19. 争议解决</w:t>
      </w:r>
      <w:bookmarkEnd w:id="558"/>
      <w:r/>
      <w:bookmarkEnd w:id="533"/>
      <w:r/>
      <w:bookmarkEnd w:id="534"/>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 争</w:t>
      </w:r>
      <w:bookmarkEnd w:id="535"/>
      <w:r>
        <w:rPr>
          <w:rFonts w:hint="eastAsia" w:ascii="宋体" w:hAnsi="宋体" w:eastAsia="宋体" w:cs="宋体"/>
          <w:color w:val="auto"/>
          <w:sz w:val="21"/>
          <w:szCs w:val="21"/>
          <w:highlight w:val="none"/>
        </w:rPr>
        <w:t xml:space="preserve">议评审</w:t>
      </w:r>
      <w:r/>
    </w:p>
    <w:p>
      <w:pPr>
        <w:ind w:left="149" w:firstLine="31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否</w:t>
      </w:r>
      <w:r>
        <w:rPr>
          <w:rFonts w:hint="eastAsia" w:ascii="宋体" w:hAnsi="宋体" w:eastAsia="宋体" w:cs="宋体"/>
          <w:color w:val="auto"/>
          <w:sz w:val="21"/>
          <w:szCs w:val="21"/>
          <w:highlight w:val="none"/>
        </w:rPr>
        <w:t xml:space="preserve">。</w:t>
      </w:r>
      <w:r/>
    </w:p>
    <w:p>
      <w:pPr>
        <w:ind w:left="149" w:firstLine="31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19.1.1 争议评审小组的确定</w:t>
      </w:r>
      <w:r/>
    </w:p>
    <w:p>
      <w:pPr>
        <w:ind w:left="149" w:firstLine="31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left="149" w:firstLine="31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left="149" w:firstLine="31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left="149" w:firstLine="31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 。</w:t>
      </w:r>
      <w:r/>
    </w:p>
    <w:p>
      <w:pPr>
        <w:ind w:left="149" w:firstLine="31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19.1.2 争议评审小组的决定</w:t>
      </w:r>
      <w:r/>
    </w:p>
    <w:p>
      <w:pPr>
        <w:ind w:left="149" w:firstLine="31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19.2仲裁或诉讼</w:t>
      </w:r>
      <w:bookmarkEnd w:id="536"/>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种方式解决：</w:t>
      </w:r>
      <w:r/>
    </w:p>
    <w:p>
      <w:pPr>
        <w:ind w:firstLine="31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ind w:firstLine="315"/>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工程所在地</w:t>
      </w:r>
      <w:r>
        <w:rPr>
          <w:rFonts w:hint="eastAsia" w:ascii="宋体" w:hAnsi="宋体" w:eastAsia="宋体" w:cs="宋体"/>
          <w:color w:val="auto"/>
          <w:sz w:val="21"/>
          <w:szCs w:val="21"/>
          <w:highlight w:val="none"/>
        </w:rPr>
        <w:t xml:space="preserve">人民法院起诉。</w:t>
      </w:r>
      <w:bookmarkEnd w:id="537"/>
      <w:r/>
      <w:bookmarkEnd w:id="538"/>
      <w:r/>
      <w:bookmarkEnd w:id="539"/>
      <w:r/>
      <w:bookmarkEnd w:id="540"/>
      <w:r/>
      <w:bookmarkEnd w:id="541"/>
      <w:r/>
      <w:bookmarkEnd w:id="542"/>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20．补充条款</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总工期中包括与发包人的其他承包人交叉施工中可能产生的工期损失；当承包人与进入现场的发包人的其他承包人发生冲突时，应无条件服从监理工程师和发包人协调；承包人应在报价中考虑与发包人的其他承包人交叉施工的因素，由于第三方因素对工程造成的工期延误及相关损失而引起的索赔费用将不予考虑。</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②承包人必须根据《苏州工业园区建设工程现场管理实施细则》和《关于加强“土方运输路面清洁保证金”管理的通知》进行安全文明施工并交纳有关费用。</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③防洪、防台风：合同总价中已包括有关规定的防洪、防台风措施所需要的一切费用。发包人将不接受由于采取防洪、防台风措施所向发包人提出的费用索赔。</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本工程严禁随意弃置多余土方，凡被发现乱倒渣土现象，发现一次承包人应向发包人支付违约金10万元，并移交园区城管部门及公安机关处理。在园区城管部门接收前，因承包人管理不善，其它单位弃置于本工程范围内的土方和建筑垃圾，由承包人负责清理。</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⑤第一次申请付款所需资料</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在第一次申请付款时，必须在付款申请材料后附上：1、按照苏州工业园区有关规定，承包人在一站式服务中心办理的民工工资担保手续（复印件）。2、按照相关规定在园区行政中心办理的农民工工伤保险金证明等。</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⑥施工过程中，交警等部门所要求的相关手续由承包人自行办理，需要交纳的相应费用由投标人自行考虑并计入投标报价中。发包人仅负责配合协调工作。  </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⑦承包人应对照国家标准《建设工程施工现场消防安全技术规范》（GB50720-2011），严格按照标准做好各项消防安全工作，逐级落实消防安全责任制。</w:t>
      </w:r>
      <w:r/>
    </w:p>
    <w:p>
      <w:pPr>
        <w:pStyle w:val="834"/>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⑧竣工验收:</w:t>
      </w:r>
      <w:r/>
    </w:p>
    <w:p>
      <w:pPr>
        <w:pStyle w:val="834"/>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工程的验收须经承包商自检、监理预验收，合格后报联合验收小组进行初验。联合验收小组由发包人、使用单位（如有）、监理、设计及监督部门（如有）等单位共同组成。</w:t>
      </w:r>
      <w:r/>
    </w:p>
    <w:p>
      <w:pPr>
        <w:ind w:firstLine="48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⑨结算送审：</w:t>
      </w:r>
      <w:r/>
    </w:p>
    <w:p>
      <w:pPr>
        <w:pStyle w:val="834"/>
        <w:ind w:firstLine="48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工程竣工验收合格后60日内，承包人须提交完整的结算送审资料，经总监理工程师审定后，上报建设单位办理工程审计。在办理完工程结算送审手续后，承包人方可提请退还履约保证金。</w:t>
      </w:r>
      <w:r/>
    </w:p>
    <w:p>
      <w:pPr>
        <w:ind w:firstLine="0"/>
        <w:spacing w:line="5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ind w:firstLine="0"/>
        <w:jc w:val="center"/>
        <w:spacing w:line="540" w:lineRule="exact"/>
        <w:shd w:val="clear" w:color="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第四部分     工程建设项目廉政合同</w:t>
      </w:r>
      <w:r/>
    </w:p>
    <w:p>
      <w:pPr>
        <w:ind w:firstLine="0"/>
        <w:jc w:val="left"/>
        <w:spacing w:before="312"/>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工程项目名称：</w:t>
      </w:r>
      <w:r/>
    </w:p>
    <w:p>
      <w:pPr>
        <w:ind w:firstLine="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工程项目地址： 唯亭街道</w:t>
      </w:r>
      <w:r/>
    </w:p>
    <w:p>
      <w:pPr>
        <w:ind w:firstLine="0"/>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建设单位（甲方）：</w:t>
      </w:r>
      <w:r>
        <w:rPr>
          <w:rFonts w:hint="eastAsia" w:ascii="宋体" w:hAnsi="宋体" w:eastAsia="宋体" w:cs="宋体"/>
          <w:color w:val="auto"/>
          <w:sz w:val="21"/>
          <w:szCs w:val="21"/>
          <w:highlight w:val="none"/>
          <w:lang w:eastAsia="zh-CN"/>
        </w:rPr>
        <w:t xml:space="preserve">苏州工业园区唯亭街道办事处</w:t>
      </w:r>
      <w:r/>
    </w:p>
    <w:p>
      <w:pPr>
        <w:ind w:firstLine="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中标单位（乙方）：</w:t>
      </w:r>
      <w:r/>
    </w:p>
    <w:p>
      <w:pPr>
        <w:ind w:firstLine="482"/>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加强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2"/>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第一条   甲乙双方的责任</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（一）甲乙双方应共同遵守国家和江苏省、苏州市以及行业主管部门关于加强工程建设项目管理以及党风廉政建设的各项规定。</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（二）甲乙双方应严格执行工程建设项目承发包合同文件，自觉按合同办事。</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（三）除非法律认定的商业秘密和合同文件另有规定之外，甲乙双方的业务活动应坚持公开、公正、透明的原则，严禁损害国家和集体利益、违反工程建设项目管理制度的不正当交易。</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（四）甲乙双方如发现对方在业务活动中有违规、违纪、违法的行为，应及时提醒对方，情节严重的，应向其上级主管部门或园区纪检监察部门举报。</w:t>
      </w:r>
      <w:r/>
    </w:p>
    <w:p>
      <w:pPr>
        <w:ind w:firstLine="482"/>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82"/>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第二条    甲方的责任</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甲方的领导和从事该工程建设项目的工作人员，在工程建设的事前、事中、事后应遵守以下规定：</w:t>
      </w:r>
      <w:r/>
    </w:p>
    <w:p>
      <w:pPr>
        <w:ind w:firstLine="480"/>
        <w:shd w:val="clear" w:color="auto"/>
        <w:tabs>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（一）不准向乙方和相关单位索要或接受回扣、礼金、有价证券、贵重物品和好处费等。</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（二）不准在乙方和相关单位报销任何应由甲方或个人支付的费用。</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（三）不准要求、暗示或接受乙方和相关单位为个人装修住房、婚丧嫁娶、配偶子女的工作安排以及出国（境）、旅游等提供方便。</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（四）不准参与有可能影响公正执行公务的乙方和相关单位的宴请、娱乐等活动。</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不准向乙方介绍或为配偶、子女、亲属参与甲方工程建设项目施工合同的有关设备、材料、工程分包、劳务等经济活动。不得以任何理由向乙方和相关单位推荐分包单位并要求乙方购买工程建设项目施工合同规定以外的材料、设备等。</w:t>
      </w:r>
      <w:r/>
    </w:p>
    <w:p>
      <w:pPr>
        <w:ind w:firstLine="482"/>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第三条   乙方的责任</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乙方应与甲方保持正常的业务交往，按照有关法律法规和程序开展业务工作，严格执行工程建设的有关方针、政策，并遵守以下规定：</w:t>
      </w:r>
      <w:r/>
    </w:p>
    <w:p>
      <w:pPr>
        <w:ind w:firstLine="480"/>
        <w:shd w:val="clear" w:color="auto"/>
        <w:tabs>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（一）不准以任何理由向甲方及其工作人员贿赂或赠送礼金、有价证券、贵重物品及回扣、好处费等。</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（二）不准以任何理由向甲方和相关单位报销任何应由甲方或个人支付的费用。</w:t>
      </w:r>
      <w:r/>
    </w:p>
    <w:p>
      <w:pPr>
        <w:ind w:firstLine="21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（三）不准接受或暗示为甲方、相关单位或个人装修住房、婚丧嫁娶、配偶子女的工作安排以及出国（境）、旅游等提供方便。</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（四）不准以任何理由为甲方、相关单位或个人组织有可能影响公正执行公务的宴请、娱乐等活动。</w:t>
      </w:r>
      <w:r/>
    </w:p>
    <w:p>
      <w:pPr>
        <w:ind w:firstLine="405"/>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第四条   违约责任</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（一）甲方或甲方工作人员有违反本合同第一、二条规定的，按照管理权限，由园区纪检监察部门依据有关法律法规给予党纪、政纪处分；涉嫌犯罪的，移交司法机关追究刑事责任。</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（二）乙方或乙方工作人员违反本合同第一、三条规定的，按照管理权限，园区纪检监察部门依据有关法律法规给予党纪、政纪处分；涉嫌犯罪的，移交司法机关追究刑事责任。</w:t>
      </w:r>
      <w:r/>
    </w:p>
    <w:p>
      <w:pPr>
        <w:ind w:firstLine="482"/>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第五条 </w:t>
      </w:r>
      <w:r>
        <w:rPr>
          <w:rFonts w:hint="eastAsia" w:ascii="宋体" w:hAnsi="宋体" w:eastAsia="宋体" w:cs="宋体"/>
          <w:color w:val="auto"/>
          <w:sz w:val="21"/>
          <w:szCs w:val="21"/>
          <w:highlight w:val="none"/>
        </w:rPr>
        <w:t xml:space="preserve">本合同书作为工程建设项目施工合同的附件，与工程建设项目施工合同具有同等法律效力。经双方签署后立即生效。</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甲方单位：（盖章）               乙方单位：（盖章）</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 </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地址：</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电话：</w:t>
      </w:r>
      <w:r/>
    </w:p>
    <w:p>
      <w:pPr>
        <w:ind w:firstLine="63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年    月    日</w:t>
      </w:r>
      <w:r/>
    </w:p>
    <w:p>
      <w:pPr>
        <w:pStyle w:val="1089"/>
        <w:shd w:val="clear" w:color="auto"/>
        <w:rPr>
          <w:rFonts w:hint="eastAsia" w:ascii="宋体" w:hAnsi="宋体" w:eastAsia="宋体" w:cs="宋体"/>
          <w:b/>
          <w:bCs/>
          <w:smallCaps/>
          <w:color w:val="auto"/>
          <w:sz w:val="21"/>
          <w:szCs w:val="21"/>
          <w:highlight w:val="none"/>
        </w:rPr>
      </w:pPr>
      <w:r>
        <w:rPr>
          <w:rFonts w:hint="eastAsia" w:ascii="宋体" w:hAnsi="宋体" w:eastAsia="宋体" w:cs="宋体"/>
          <w:b/>
          <w:bCs/>
          <w:smallCaps/>
          <w:color w:val="auto"/>
          <w:sz w:val="21"/>
          <w:szCs w:val="21"/>
          <w:highlight w:val="none"/>
        </w:rPr>
      </w:r>
      <w:r/>
    </w:p>
    <w:p>
      <w:pPr>
        <w:pStyle w:val="1089"/>
        <w:shd w:val="clear" w:color="auto"/>
        <w:rPr>
          <w:rFonts w:hint="eastAsia" w:ascii="宋体" w:hAnsi="宋体" w:eastAsia="宋体" w:cs="宋体"/>
          <w:b/>
          <w:bCs/>
          <w:smallCaps/>
          <w:color w:val="auto"/>
          <w:sz w:val="21"/>
          <w:szCs w:val="21"/>
          <w:highlight w:val="none"/>
        </w:rPr>
      </w:pPr>
      <w:r>
        <w:rPr>
          <w:rFonts w:hint="eastAsia" w:ascii="宋体" w:hAnsi="宋体" w:eastAsia="宋体" w:cs="宋体"/>
          <w:b/>
          <w:bCs/>
          <w:smallCaps/>
          <w:color w:val="auto"/>
          <w:sz w:val="21"/>
          <w:szCs w:val="21"/>
          <w:highlight w:val="none"/>
        </w:rPr>
      </w:r>
      <w:r/>
    </w:p>
    <w:p>
      <w:pPr>
        <w:pStyle w:val="1089"/>
        <w:shd w:val="clear" w:color="auto"/>
        <w:rPr>
          <w:rFonts w:hint="eastAsia" w:ascii="宋体" w:hAnsi="宋体" w:eastAsia="宋体" w:cs="宋体"/>
          <w:b/>
          <w:color w:val="auto"/>
          <w:sz w:val="21"/>
          <w:szCs w:val="21"/>
          <w:highlight w:val="none"/>
        </w:rPr>
      </w:pPr>
      <w:r>
        <w:rPr>
          <w:rFonts w:hint="eastAsia" w:ascii="宋体" w:hAnsi="宋体" w:eastAsia="宋体" w:cs="宋体"/>
          <w:b/>
          <w:bCs/>
          <w:smallCaps/>
          <w:color w:val="auto"/>
          <w:sz w:val="21"/>
          <w:szCs w:val="21"/>
          <w:highlight w:val="none"/>
        </w:rPr>
        <w:t xml:space="preserve">附件一：  </w:t>
      </w:r>
      <w:r>
        <w:rPr>
          <w:rFonts w:hint="eastAsia" w:ascii="宋体" w:hAnsi="宋体" w:eastAsia="宋体" w:cs="宋体"/>
          <w:b/>
          <w:color w:val="auto"/>
          <w:sz w:val="21"/>
          <w:szCs w:val="21"/>
          <w:highlight w:val="none"/>
        </w:rPr>
        <w:t xml:space="preserve">工程质量保修书</w:t>
      </w:r>
      <w:r/>
    </w:p>
    <w:p>
      <w:pPr>
        <w:pStyle w:val="1089"/>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苏州工业园区唯亭街道办事处</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(工程全称)签订工程质量保修书。</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一、工程质量保修范围和内容</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二、质量保修期</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个采暖期、供冷期；</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7、其他项目保修期限约定如下：</w:t>
      </w:r>
      <w:r>
        <w:rPr>
          <w:rFonts w:hint="eastAsia" w:ascii="宋体" w:hAnsi="宋体" w:eastAsia="宋体" w:cs="宋体"/>
          <w:color w:val="auto"/>
          <w:sz w:val="21"/>
          <w:szCs w:val="21"/>
          <w:highlight w:val="none"/>
          <w:u w:val="single"/>
        </w:rPr>
        <w:t xml:space="preserve">  2年  </w:t>
      </w:r>
      <w:r>
        <w:rPr>
          <w:rFonts w:hint="eastAsia" w:ascii="宋体" w:hAnsi="宋体" w:eastAsia="宋体" w:cs="宋体"/>
          <w:color w:val="auto"/>
          <w:sz w:val="21"/>
          <w:szCs w:val="21"/>
          <w:highlight w:val="none"/>
        </w:rPr>
        <w:t xml:space="preserve">。</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质量保修期自工程竣工验收合格之日起计算。</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个月，缺陷责任期自工程实际竣工之日起计算。单位工程先于全部工程进行验收，单位工程缺陷责任期自单位工程验收合格之日起算。</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缺陷责任期终止后，发包人应退还剩余的质量保证金。</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四、质量保修责任</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1、在质量保修期内，承包人必须固定现场维修负责人及安排必要的现场维修人员，本项目维保负责人为：             ，联系电话：            。</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属于保修范围和内容的项目，承包人应在接到发包人或发包人客服服务中心(物业服务处)修理通知之日后24小时内派人至现场勘察修理。一般维修承包人需在3个工作日内完成；较大的维修承包人需在3天内制定具体的维修方案及承诺具体的完成时间，并按双方确定的方案在规定的时间内按时按质完成维修工作。</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生须紧急抢修事故(例如：电梯骤停、上水跑水、暖气漏水漏气、燃气漏气等)，承包人接到事故通知后，应立即派人至现场采取紧急处理措施并实施维修工作。如应承包怠于行使上述义务给发包人或工程实际使用人造成损失的，则由承包人承担赔偿责任。</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承包人不在上述约定期限内派人至现场勘察修理或未在约定的期限内完成维修工作，发包人可委托第三方进行维修工作，所产生的实际费用及给发包人造成的损失从承包人的工程尾款或质量保修金内扣除，不足部分构成承包人对发包人之债务。</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5、在国家规定的工程合理使用期限内，承包人确保地基基础工程和主体结构及其他施工工程的质量安全。因承包人原因致使工程在合理使用期限内造成人身和财产损害的，承包人应承担损害赔偿责任。</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质保期内，同一问题经承包人二次维修仍未能彻底解决的，则发包人可另行委托第三方进行维修，所产生的实际费用及给发包人造成的损失从承包人的工程尾款或质量保修金内扣除，不足部分构成承包人对发包人之债务。</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承包人实施维修工作而对工程实际使用人产生影响和造成损失的(包括但不限于装修损失、误工费等)，由承包人负责赔偿。如承包人不支付上述费用的，则发包人有权从承包人工程尾款或质保金中扣除上述费用。</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8、无论质保期内或质保期后，承包均应确保维修所需零备件的供应。如因零备件供应问题导致维修无法进行，则承包应承担由此造成的相应责任和损失赔偿。</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对于涉及到结构安全的问题，包括但不限于主体结构裂缝等范围内的问题，立即向当地建设行政主管部门和有关部门报告，采取安全防范措施，并由原设计人或者具有相应资质等级的设计人提出保修方案，经原设计确认签字，由承包人实施保修。</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10、质量保修完成后，由发包人组织验收。</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五、保修费用</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约定的工程质量保证金为工程结算价款的3％，由发包人在承包工程款中扣留。因承包人不履行保修义务而被发包人从质量保证金中扣除相应费用的，则承包人应在扣除后将不足部分在10个工作日内补足，逾期不补足的应按日千分之一承担逾期违约金。质量保证金无利息。</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的保修期所有的支出均由承包人承担。因承包人不履行本合同约定修复责任而由承包人以外的第三方修复缺陷的，发包人可在支付第三方相应保修费用后，直接从质量保证金或工程结算尾款内扣除相应维修费用，及相当于维修费用20%的违约金，如已无质量保证金及尾款或质量保证金及尾款不足的部分可向承包人追偿。</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质量保证金的返还：竣工结算审计结束且竣工验收合格两年，经发包人及发包人聘请的物业公司认可无未解决的缺陷和其它问题，则于之后的28天内支付质量保证金。质量保证金返还时仅计本金，不计利息。</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六、双方约定的其他工程质量保修事项：</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发包人或发包人客服中心可以口头、电话、传真、书面函件等方式通知承包人进行维修工作。口头、电话通知本项目维保负责人或传真、书面函件按合同联系地址寄发至承包人公司即视为承包人已接到维修通知。</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承包人：  (公章)</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(签字或盖章)</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1091"/>
        <w:jc w:val="center"/>
        <w:spacing w:after="156"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92"/>
        <w:shd w:val="clear" w:color="auto"/>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br w:type="page" w:clear="all"/>
      </w:r>
      <w:r>
        <w:rPr>
          <w:rFonts w:hint="eastAsia" w:ascii="宋体" w:hAnsi="宋体" w:eastAsia="宋体" w:cs="宋体"/>
          <w:color w:val="auto"/>
          <w:sz w:val="21"/>
          <w:szCs w:val="21"/>
          <w:highlight w:val="none"/>
        </w:rPr>
        <w:t xml:space="preserve">附件二：  安全生产协议书</w:t>
      </w:r>
      <w:r/>
    </w:p>
    <w:p>
      <w:pPr>
        <w:pStyle w:val="1091"/>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发包人(甲方)：</w:t>
      </w:r>
      <w:r>
        <w:rPr>
          <w:rFonts w:hint="eastAsia" w:ascii="宋体" w:hAnsi="宋体" w:eastAsia="宋体" w:cs="宋体"/>
          <w:color w:val="auto"/>
          <w:sz w:val="21"/>
          <w:szCs w:val="21"/>
          <w:highlight w:val="none"/>
          <w:u w:val="single"/>
          <w:lang w:eastAsia="zh-CN"/>
        </w:rPr>
        <w:t xml:space="preserve">苏州工业园区唯亭街道办事处</w:t>
      </w:r>
      <w:r>
        <w:rPr>
          <w:rFonts w:hint="eastAsia" w:ascii="宋体" w:hAnsi="宋体" w:eastAsia="宋体" w:cs="宋体"/>
          <w:color w:val="auto"/>
          <w:sz w:val="21"/>
          <w:szCs w:val="21"/>
          <w:highlight w:val="none"/>
          <w:u w:val="single"/>
        </w:rPr>
        <w:t xml:space="preserve"> </w:t>
      </w:r>
      <w:r/>
    </w:p>
    <w:p>
      <w:pPr>
        <w:pStyle w:val="1091"/>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承包人(乙方)：</w:t>
      </w:r>
      <w:r>
        <w:rPr>
          <w:rFonts w:hint="eastAsia" w:ascii="宋体" w:hAnsi="宋体" w:eastAsia="宋体" w:cs="宋体"/>
          <w:color w:val="auto"/>
          <w:sz w:val="21"/>
          <w:szCs w:val="21"/>
          <w:highlight w:val="none"/>
          <w:u w:val="single"/>
        </w:rPr>
        <w:t xml:space="preserve">                                </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依照《中华人民共和国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》、《中华人民共和国建筑法》、《中华人民共和国安全生产法》及其他有关法律、法规。为了保证双方生产安全，明确各自的安全管理职责和应当采取安全措施，就本工程的安全生产施工事项达成以下协议：</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第一条 工程概况</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rPr>
        <w:t xml:space="preserve">                            </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工程地点：</w:t>
      </w:r>
      <w:r>
        <w:rPr>
          <w:rFonts w:hint="eastAsia" w:ascii="宋体" w:hAnsi="宋体" w:eastAsia="宋体" w:cs="宋体"/>
          <w:color w:val="auto"/>
          <w:sz w:val="21"/>
          <w:szCs w:val="21"/>
          <w:highlight w:val="none"/>
          <w:u w:val="single"/>
        </w:rPr>
        <w:t xml:space="preserve">                            </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工程承包范围: 见招标文件</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乙方资质及安全生产条件：见投标文件</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乙方应对承揽本工程所提供的资质、安全生产资格证书、安全生产条件等有关资料真实性负责。</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第二条 现场负责人及安全生产管理人员：</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乙方指定本工程项目经理为现场负责人；并落实专职安全生产管理人员。</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第三条 甲方的责任和权利</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1.甲方有权要求乙方制定施工安全措施，在开始施工前报甲方备查。 </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3.甲方委托指派本工程监理人及总监理工程师负责与乙方联系安全生产方面的工作。</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4.乙方在施工中发生的人身、财产事故，甲方有权利负责督促乙方按照国家相关的事故处理的法律法规规定进行调查、处理、统计上报等。</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5.甲方不得要求乙方违反安全管理规定进行施工，由此而导致的事故由甲方承担责任。</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第四条 乙方的责任和权利</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1.乙方负责人是安全生产的第一责任人，对本工程的安全生产负全责。</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3.乙方单位的主要负责人对与本工程相关联的安全生产工作负有下列职责：</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建立、健全安全生产责任制；</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建立健全安全生产保证体系及安全组织机构，设立专职安全生产管理人员，建立健全现场安全责任制和消防安全责任制度。</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组织制定安全生产规章  制度和操作规程；</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组织制定并实施安全生产教育和培训计划；</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保证安全生产投入的有效实施；</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督促、检查安全生产工作，及时消除生产安全事故隐患；</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组织制定并实施生产安全事故应急救援预案；</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及时、如实报告生产安全事故。</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7.乙方单位的安全管理机构以及安全生产管理人员履行下列(包括但不限于)职责：</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组织或者参与拟订本项目安全生产规章制度、操作规程和生产安全事故应急救援预案；</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组织或者参与本项目安全生产教育和培训，如实记录安全生产教育和培训情况；</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督促落实本项目重大危险源的安全管理措施；</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组织或者参与本项目应急救援演练；</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检查本项目的安全生产状况，及时排查生产安全事故隐患，提出改进安全生产管理的建议；</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制止和纠正违章指挥、强令冒险作业、违反操作规程的行为；</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督促落实本项目安全生产整改措施。</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10.乙方应当在有较大危险因素的生产经营场所和有关设施、设备上，设置明显的安全警示标志。</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11.乙方必须依法参加工伤保险，为从业人员缴纳保险费，为从事危险作业的人员办理意外伤害保险，支付保险费。</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14.乙方应该平时进行安全检查，对安全隐患及时整改。对甲方单位以及监理签发的安全检查整改要求应及时组织整改并按时回复。</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15.乙方有权对甲方的安全管理提出合理化建议。</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18.乙方在施工中必须加强安全管理，由于管理不到位造成负面影响，乙方将承担全部责任，并承担由此给甲方造成的名誉及经济损失。</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第五条 施工安全违约金 </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1.甲方安全检查时，发现乙方有违反安全协议或者安全管理法律法规等规定的行为，甲方有权按照合约中违约责任条款对乙方进行处罚。</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2.若施工过程中发生安全事故，乙方除承担相应的经济赔偿责任及其它法律责任外，并因此给甲方增加额外工作的，甲方有权按照合约中违约责任条款对乙方处罚。</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第六条 其他</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1.本合同签订后，未经双方共同协商同意，任何一方不得私自改动或终止。</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2.本合同与工程合同具有同等效力，有效期自工程开工至全部工程竣工后经交工验收合格，以及质量保修期满由发包人发给保修终止证书后失效。</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3.合同履行过程中发生争议时，双方应协商解决，如果协商不成，双方可以向工程所在地有管辖权的人民法院提起诉讼。</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4.本合同自双方签字盖章后生效。</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5.本合同一式陆份，甲、乙双方各执叁份。</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承包人：  (公章)</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(签字或盖章)</w:t>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8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1"/>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89"/>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80"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6"/>
        <w:ind w:firstLine="560"/>
        <w:spacing w:line="360" w:lineRule="auto"/>
        <w:shd w:val="clear" w:color="auto"/>
        <w:rPr>
          <w:color w:val="auto"/>
          <w:highlight w:val="none"/>
        </w:rPr>
      </w:pPr>
      <w:r>
        <w:rPr>
          <w:color w:val="auto"/>
          <w:highlight w:val="none"/>
        </w:rPr>
      </w:r>
      <w:r/>
    </w:p>
    <w:p>
      <w:pPr>
        <w:shd w:val="clear" w:color="auto"/>
        <w:rPr>
          <w:rFonts w:hint="eastAsia"/>
          <w:color w:val="auto"/>
          <w:highlight w:val="none"/>
        </w:rPr>
      </w:pPr>
      <w:r>
        <w:rPr>
          <w:rFonts w:hint="eastAsia"/>
          <w:color w:val="auto"/>
          <w:highlight w:val="none"/>
        </w:rPr>
        <w:br w:type="page" w:clear="all"/>
      </w:r>
      <w:r/>
    </w:p>
    <w:p>
      <w:pPr>
        <w:pStyle w:val="1086"/>
        <w:shd w:val="clear" w:color="auto"/>
        <w:rPr>
          <w:color w:val="auto"/>
          <w:highlight w:val="none"/>
        </w:rPr>
      </w:pPr>
      <w:r>
        <w:rPr>
          <w:rFonts w:hint="eastAsia"/>
          <w:color w:val="auto"/>
          <w:highlight w:val="none"/>
        </w:rPr>
        <w:t xml:space="preserve">第五章 </w:t>
      </w:r>
      <w:r>
        <w:rPr>
          <w:color w:val="auto"/>
          <w:highlight w:val="none"/>
        </w:rPr>
        <w:t xml:space="preserve"> </w:t>
      </w:r>
      <w:r>
        <w:rPr>
          <w:rFonts w:hint="eastAsia"/>
          <w:color w:val="auto"/>
          <w:highlight w:val="none"/>
        </w:rPr>
        <w:t xml:space="preserve">附件、格式</w:t>
      </w:r>
      <w:r/>
    </w:p>
    <w:p>
      <w:pPr>
        <w:shd w:val="clear" w:color="auto"/>
        <w:rPr>
          <w:rFonts w:ascii="宋体" w:hAnsi="宋体"/>
          <w:b/>
          <w:color w:val="auto"/>
          <w:highlight w:val="none"/>
        </w:rPr>
      </w:pPr>
      <w:r>
        <w:rPr>
          <w:rFonts w:hint="eastAsia" w:ascii="宋体" w:hAnsi="宋体"/>
          <w:b/>
          <w:color w:val="auto"/>
          <w:highlight w:val="none"/>
        </w:rPr>
        <w:t xml:space="preserve">附件</w:t>
      </w:r>
      <w:r>
        <w:rPr>
          <w:rFonts w:ascii="宋体" w:hAnsi="宋体"/>
          <w:b/>
          <w:color w:val="auto"/>
          <w:highlight w:val="none"/>
        </w:rPr>
        <w:t xml:space="preserve">1</w:t>
      </w:r>
      <w:r>
        <w:rPr>
          <w:rFonts w:hint="eastAsia" w:ascii="宋体" w:hAnsi="宋体"/>
          <w:b/>
          <w:color w:val="auto"/>
          <w:highlight w:val="none"/>
        </w:rPr>
        <w:t xml:space="preserve">、（响应单位）授权委托书</w:t>
      </w:r>
      <w:r/>
    </w:p>
    <w:p>
      <w:pPr>
        <w:pStyle w:val="1035"/>
        <w:ind w:firstLine="0"/>
        <w:jc w:val="both"/>
        <w:spacing w:line="360" w:lineRule="auto"/>
        <w:shd w:val="clear" w:color="auto"/>
        <w:rPr>
          <w:rFonts w:ascii="宋体" w:hAnsi="宋体" w:eastAsia="宋体"/>
          <w:color w:val="auto"/>
          <w:highlight w:val="none"/>
        </w:rPr>
      </w:pPr>
      <w:r>
        <w:rPr>
          <w:rFonts w:ascii="宋体" w:hAnsi="宋体" w:eastAsia="宋体"/>
          <w:color w:val="auto"/>
          <w:highlight w:val="none"/>
        </w:rPr>
      </w:r>
      <w:r/>
    </w:p>
    <w:p>
      <w:pPr>
        <w:pStyle w:val="1035"/>
        <w:jc w:val="cente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授权委托书</w:t>
      </w:r>
      <w:r/>
    </w:p>
    <w:p>
      <w:pPr>
        <w:pStyle w:val="1035"/>
        <w:jc w:val="both"/>
        <w:spacing w:line="360" w:lineRule="auto"/>
        <w:shd w:val="clear" w:color="auto"/>
        <w:rPr>
          <w:rFonts w:ascii="宋体" w:hAnsi="宋体" w:eastAsia="宋体"/>
          <w:color w:val="auto"/>
          <w:sz w:val="28"/>
          <w:highlight w:val="none"/>
        </w:rPr>
      </w:pPr>
      <w:r>
        <w:rPr>
          <w:rFonts w:ascii="宋体" w:hAnsi="宋体" w:eastAsia="宋体"/>
          <w:color w:val="auto"/>
          <w:sz w:val="28"/>
          <w:highlight w:val="none"/>
        </w:rPr>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本授权委托书声明：</w:t>
      </w:r>
      <w:r>
        <w:rPr>
          <w:rFonts w:ascii="宋体" w:hAnsi="宋体"/>
          <w:color w:val="auto"/>
          <w:szCs w:val="21"/>
          <w:highlight w:val="none"/>
        </w:rPr>
        <w:t xml:space="preserve">  </w:t>
      </w:r>
      <w:r>
        <w:rPr>
          <w:rFonts w:hint="eastAsia" w:ascii="宋体" w:hAnsi="宋体"/>
          <w:color w:val="auto"/>
          <w:szCs w:val="21"/>
          <w:highlight w:val="none"/>
        </w:rPr>
        <w:t xml:space="preserve">我</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（响应单位名称）</w:t>
      </w:r>
      <w:r>
        <w:rPr>
          <w:rFonts w:hint="eastAsia" w:ascii="宋体" w:hAnsi="宋体"/>
          <w:color w:val="auto"/>
          <w:szCs w:val="21"/>
          <w:highlight w:val="none"/>
        </w:rPr>
        <w:t xml:space="preserve">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（姓名）为我公司授权代表（即代理人），以本公司的名义参加</w:t>
      </w:r>
      <w:r>
        <w:rPr>
          <w:rFonts w:hint="eastAsia" w:ascii="宋体" w:hAnsi="宋体"/>
          <w:color w:val="auto"/>
          <w:szCs w:val="21"/>
          <w:highlight w:val="none"/>
          <w:u w:val="single"/>
        </w:rPr>
        <w:t xml:space="preserve">苏州市原鑫招投标咨询服务有限公司</w:t>
      </w:r>
      <w:r>
        <w:rPr>
          <w:rFonts w:hint="eastAsia" w:ascii="宋体" w:hAnsi="宋体"/>
          <w:color w:val="auto"/>
          <w:szCs w:val="21"/>
          <w:highlight w:val="none"/>
        </w:rPr>
        <w:t xml:space="preserve">组织实施的编号为</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JSZC-320591-SZYX-C2026-0024</w:t>
      </w:r>
      <w:r>
        <w:rPr>
          <w:rFonts w:ascii="宋体" w:hAnsi="宋体"/>
          <w:color w:val="auto"/>
          <w:szCs w:val="21"/>
          <w:highlight w:val="none"/>
          <w:u w:val="single"/>
        </w:rPr>
        <w:t xml:space="preserve">   </w:t>
      </w:r>
      <w:r>
        <w:rPr>
          <w:rFonts w:hint="eastAsia" w:ascii="宋体" w:hAnsi="宋体"/>
          <w:color w:val="auto"/>
          <w:szCs w:val="21"/>
          <w:highlight w:val="none"/>
        </w:rPr>
        <w:t xml:space="preserve">号的磋商活动。授权代表在磋商活动过程中所签署的一切文件和处理与这有关的一切事务，我均予以承认。</w:t>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授权代表无转委托权。特此委托。</w:t>
      </w:r>
      <w:r/>
    </w:p>
    <w:p>
      <w:pPr>
        <w:ind w:firstLine="480"/>
        <w:spacing w:line="360" w:lineRule="auto"/>
        <w:shd w:val="clear" w:color="auto"/>
        <w:rPr>
          <w:rFonts w:ascii="宋体" w:hAnsi="宋体"/>
          <w:color w:val="auto"/>
          <w:szCs w:val="21"/>
          <w:highlight w:val="none"/>
        </w:rPr>
      </w:pPr>
      <w:r>
        <w:rPr>
          <w:rFonts w:ascii="宋体" w:hAnsi="宋体"/>
          <w:color w:val="auto"/>
          <w:szCs w:val="21"/>
          <w:highlight w:val="none"/>
        </w:rPr>
        <w:t xml:space="preserve">    </w:t>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响应单位：（公章）</w:t>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代理人：（签字或盖章）</w:t>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1035"/>
        <w:ind w:firstLine="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35"/>
        <w:ind w:firstLine="0"/>
        <w:shd w:val="clear" w:color="auto"/>
        <w:rPr>
          <w:rFonts w:ascii="宋体" w:hAnsi="宋体" w:eastAsia="宋体"/>
          <w:color w:val="auto"/>
          <w:highlight w:val="none"/>
        </w:rPr>
      </w:pPr>
      <w:r>
        <w:rPr>
          <w:rFonts w:ascii="宋体" w:hAnsi="宋体" w:eastAsia="宋体"/>
          <w:color w:val="auto"/>
          <w:highlight w:val="none"/>
        </w:rPr>
      </w:r>
      <w:r/>
    </w:p>
    <w:p>
      <w:pPr>
        <w:pStyle w:val="1053"/>
        <w:spacing w:line="380" w:lineRule="exact"/>
        <w:shd w:val="clear" w:color="auto"/>
        <w:rPr>
          <w:rFonts w:hAnsi="宋体" w:eastAsia="宋体"/>
          <w:b/>
          <w:color w:val="auto"/>
          <w:sz w:val="21"/>
          <w:szCs w:val="21"/>
          <w:highlight w:val="none"/>
        </w:rPr>
      </w:pPr>
      <w:r>
        <w:rPr>
          <w:rFonts w:hAnsi="宋体" w:eastAsia="宋体"/>
          <w:color w:val="auto"/>
          <w:highlight w:val="none"/>
        </w:rPr>
        <w:br w:type="page" w:clear="all"/>
      </w:r>
      <w:r>
        <w:rPr>
          <w:rFonts w:hint="eastAsia" w:hAnsi="宋体" w:eastAsia="宋体"/>
          <w:b/>
          <w:color w:val="auto"/>
          <w:sz w:val="21"/>
          <w:szCs w:val="21"/>
          <w:highlight w:val="none"/>
        </w:rPr>
        <w:t xml:space="preserve">附件2、磋商响应函</w:t>
      </w:r>
      <w:r/>
    </w:p>
    <w:p>
      <w:pPr>
        <w:pStyle w:val="1053"/>
        <w:jc w:val="center"/>
        <w:spacing w:line="380" w:lineRule="exact"/>
        <w:shd w:val="clear" w:color="auto"/>
        <w:rPr>
          <w:rFonts w:hAnsi="宋体" w:eastAsia="宋体"/>
          <w:b/>
          <w:color w:val="auto"/>
          <w:sz w:val="21"/>
          <w:szCs w:val="21"/>
          <w:highlight w:val="none"/>
        </w:rPr>
      </w:pPr>
      <w:r>
        <w:rPr>
          <w:rFonts w:hint="eastAsia" w:hAnsi="宋体" w:eastAsia="宋体"/>
          <w:b/>
          <w:color w:val="auto"/>
          <w:sz w:val="21"/>
          <w:szCs w:val="21"/>
          <w:highlight w:val="none"/>
        </w:rPr>
        <w:t xml:space="preserve">磋商响应函</w:t>
      </w:r>
      <w:r/>
    </w:p>
    <w:p>
      <w:pPr>
        <w:pStyle w:val="1053"/>
        <w:jc w:val="center"/>
        <w:spacing w:line="380" w:lineRule="exact"/>
        <w:shd w:val="clear" w:color="auto"/>
        <w:rPr>
          <w:rFonts w:hAnsi="宋体" w:eastAsia="宋体"/>
          <w:color w:val="auto"/>
          <w:sz w:val="24"/>
          <w:highlight w:val="none"/>
        </w:rPr>
      </w:pPr>
      <w:r>
        <w:rPr>
          <w:rFonts w:hAnsi="宋体" w:eastAsia="宋体"/>
          <w:color w:val="auto"/>
          <w:sz w:val="24"/>
          <w:highlight w:val="none"/>
        </w:rPr>
      </w:r>
      <w:r/>
    </w:p>
    <w:p>
      <w:pPr>
        <w:pStyle w:val="1053"/>
        <w:spacing w:line="380" w:lineRule="exact"/>
        <w:shd w:val="clear" w:color="auto"/>
        <w:rPr>
          <w:rFonts w:hAnsi="宋体" w:eastAsia="宋体"/>
          <w:color w:val="auto"/>
          <w:sz w:val="21"/>
          <w:szCs w:val="21"/>
          <w:highlight w:val="none"/>
        </w:rPr>
      </w:pP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color w:val="auto"/>
          <w:sz w:val="21"/>
          <w:szCs w:val="21"/>
          <w:highlight w:val="none"/>
          <w:u w:val="single"/>
        </w:rPr>
        <w:t xml:space="preserve">  苏州市原鑫招投标咨询服务有限公司   </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 </w:t>
      </w:r>
      <w:r/>
    </w:p>
    <w:p>
      <w:pPr>
        <w:pStyle w:val="1053"/>
        <w:spacing w:line="380" w:lineRule="exact"/>
        <w:shd w:val="clear" w:color="auto"/>
        <w:rPr>
          <w:rFonts w:hAnsi="宋体" w:eastAsia="宋体"/>
          <w:color w:val="auto"/>
          <w:sz w:val="21"/>
          <w:szCs w:val="21"/>
          <w:highlight w:val="none"/>
        </w:rPr>
      </w:pPr>
      <w:r>
        <w:rPr>
          <w:rFonts w:hAnsi="宋体" w:eastAsia="宋体"/>
          <w:color w:val="auto"/>
          <w:sz w:val="21"/>
          <w:szCs w:val="21"/>
          <w:highlight w:val="none"/>
        </w:rPr>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u w:val="single"/>
          <w:lang w:eastAsia="zh-CN"/>
        </w:rPr>
        <w:t xml:space="preserve">JSZC-320591-SZYX-C2026-0024</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rPr>
        <w:t xml:space="preserve">号磋商文件，经仔细阅读和研究，我们决定参加磋商活动。</w:t>
      </w:r>
      <w:r/>
    </w:p>
    <w:p>
      <w:pPr>
        <w:pStyle w:val="838"/>
        <w:ind w:firstLine="420"/>
        <w:spacing w:line="360" w:lineRule="auto"/>
        <w:shd w:val="clear" w:color="auto"/>
        <w:rPr>
          <w:rFonts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、我们愿意按照磋商文件的一切要求，完成该项目的全部内容。</w:t>
      </w:r>
      <w:r/>
    </w:p>
    <w:p>
      <w:pPr>
        <w:pStyle w:val="838"/>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、如果我们的磋商响应文件被接受，我们将严格履行磋商文件中规定的每一项要求，按期、按质、按量履行合同的义务。</w:t>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3、我们同意按磋商文件中的规定，本响应文件的有效期限自提交响应文件截止时间之日起</w:t>
      </w:r>
      <w:r>
        <w:rPr>
          <w:rFonts w:hint="eastAsia" w:hAnsi="宋体" w:eastAsia="宋体"/>
          <w:color w:val="auto"/>
          <w:sz w:val="21"/>
          <w:szCs w:val="21"/>
          <w:highlight w:val="none"/>
          <w:u w:val="single"/>
        </w:rPr>
        <w:t xml:space="preserve">60</w:t>
      </w:r>
      <w:r>
        <w:rPr>
          <w:rFonts w:hint="eastAsia" w:hAnsi="宋体" w:eastAsia="宋体"/>
          <w:color w:val="auto"/>
          <w:sz w:val="21"/>
          <w:szCs w:val="21"/>
          <w:highlight w:val="none"/>
        </w:rPr>
        <w:t xml:space="preserve">天。</w:t>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4、我们愿意提供磋商响应单位在磋商文件中要求的相关资料。</w:t>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5、我们愿意遵守磋商文件中所列的收费标准。</w:t>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6、我们承诺该响应文件在磋商开始后的全过程中保持有效，不作任何更改和变动。</w:t>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7、我们承诺我公司符合磋商文件中“合格响应单位的基本、特定条件”的要求，若与真实情况不符，本公司愿意承担由此而产生的一切后果。</w:t>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 所有有关磋商文件的函电，请按下列地址联系：</w:t>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地址：                             邮政编码：</w:t>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响应单位：（公章）</w:t>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pStyle w:val="1053"/>
        <w:spacing w:line="380" w:lineRule="exact"/>
        <w:shd w:val="clear" w:color="auto"/>
        <w:rPr>
          <w:rFonts w:hAnsi="宋体" w:eastAsia="宋体"/>
          <w:b/>
          <w:color w:val="auto"/>
          <w:sz w:val="21"/>
          <w:szCs w:val="21"/>
          <w:highlight w:val="none"/>
        </w:rPr>
      </w:pPr>
      <w:r>
        <w:rPr>
          <w:rFonts w:hAnsi="宋体" w:eastAsia="宋体"/>
          <w:b/>
          <w:color w:val="auto"/>
          <w:sz w:val="24"/>
          <w:szCs w:val="24"/>
          <w:highlight w:val="none"/>
        </w:rPr>
        <w:br w:type="page" w:clear="all"/>
      </w:r>
      <w:r>
        <w:rPr>
          <w:rFonts w:hint="eastAsia" w:hAnsi="宋体" w:eastAsia="宋体"/>
          <w:b/>
          <w:color w:val="auto"/>
          <w:sz w:val="21"/>
          <w:szCs w:val="21"/>
          <w:highlight w:val="none"/>
        </w:rPr>
        <w:t xml:space="preserve">附件</w:t>
      </w:r>
      <w:r>
        <w:rPr>
          <w:rFonts w:hAnsi="宋体" w:eastAsia="宋体"/>
          <w:b/>
          <w:color w:val="auto"/>
          <w:sz w:val="21"/>
          <w:szCs w:val="21"/>
          <w:highlight w:val="none"/>
        </w:rPr>
        <w:t xml:space="preserve">3</w:t>
      </w:r>
      <w:r>
        <w:rPr>
          <w:rFonts w:hint="eastAsia" w:hAnsi="宋体" w:eastAsia="宋体"/>
          <w:b/>
          <w:color w:val="auto"/>
          <w:sz w:val="21"/>
          <w:szCs w:val="21"/>
          <w:highlight w:val="none"/>
        </w:rPr>
        <w:t xml:space="preserve">、报价表</w:t>
      </w:r>
      <w:r/>
    </w:p>
    <w:p>
      <w:pPr>
        <w:spacing w:line="380" w:lineRule="exact"/>
        <w:shd w:val="clear" w:color="auto"/>
        <w:rPr>
          <w:rFonts w:ascii="宋体" w:hAnsi="宋体"/>
          <w:b/>
          <w:color w:val="auto"/>
          <w:sz w:val="24"/>
          <w:szCs w:val="20"/>
          <w:highlight w:val="none"/>
        </w:rPr>
      </w:pPr>
      <w:r>
        <w:rPr>
          <w:rFonts w:ascii="宋体" w:hAnsi="宋体"/>
          <w:b/>
          <w:color w:val="auto"/>
          <w:sz w:val="24"/>
          <w:szCs w:val="20"/>
          <w:highlight w:val="none"/>
        </w:rPr>
      </w:r>
      <w:r/>
    </w:p>
    <w:p>
      <w:pPr>
        <w:jc w:val="center"/>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磋商报价一览表</w:t>
      </w:r>
      <w:r/>
    </w:p>
    <w:tbl>
      <w:tblPr>
        <w:tblStyle w:val="828"/>
        <w:tblW w:w="1016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875"/>
        <w:gridCol w:w="7290"/>
      </w:tblGrid>
      <w:tr>
        <w:trPr>
          <w:jc w:val="center"/>
          <w:trHeight w:val="907"/>
        </w:trPr>
        <w:tc>
          <w:tcPr>
            <w:tcBorders>
              <w:top w:val="single" w:color="auto" w:sz="4" w:space="0"/>
              <w:left w:val="single" w:color="auto" w:sz="4" w:space="0"/>
              <w:bottom w:val="single" w:color="auto" w:sz="4" w:space="0"/>
              <w:right w:val="single" w:color="auto" w:sz="4" w:space="0"/>
            </w:tcBorders>
            <w:tcW w:w="2875" w:type="dxa"/>
            <w:vAlign w:val="center"/>
            <w:textDirection w:val="lrTb"/>
            <w:noWrap w:val="false"/>
          </w:tcPr>
          <w:p>
            <w:pPr>
              <w:jc w:val="center"/>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none" w:color="000000" w:sz="4" w:space="0"/>
              <w:bottom w:val="single" w:color="auto" w:sz="4" w:space="0"/>
              <w:right w:val="single" w:color="auto" w:sz="4" w:space="0"/>
            </w:tcBorders>
            <w:tcW w:w="7290" w:type="dxa"/>
            <w:vAlign w:val="center"/>
            <w:textDirection w:val="lrTb"/>
            <w:noWrap w:val="false"/>
          </w:tcPr>
          <w:p>
            <w:pPr>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907"/>
        </w:trPr>
        <w:tc>
          <w:tcPr>
            <w:tcBorders>
              <w:top w:val="single" w:color="auto" w:sz="4" w:space="0"/>
              <w:left w:val="single" w:color="auto" w:sz="4" w:space="0"/>
              <w:bottom w:val="single" w:color="auto" w:sz="4" w:space="0"/>
              <w:right w:val="single" w:color="auto" w:sz="4" w:space="0"/>
            </w:tcBorders>
            <w:tcW w:w="2875" w:type="dxa"/>
            <w:vAlign w:val="center"/>
            <w:textDirection w:val="lrTb"/>
            <w:noWrap w:val="false"/>
          </w:tcPr>
          <w:p>
            <w:pPr>
              <w:jc w:val="center"/>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项目编号</w:t>
            </w:r>
            <w:r/>
          </w:p>
        </w:tc>
        <w:tc>
          <w:tcPr>
            <w:tcBorders>
              <w:top w:val="single" w:color="auto" w:sz="4" w:space="0"/>
              <w:left w:val="none" w:color="000000" w:sz="4" w:space="0"/>
              <w:bottom w:val="single" w:color="auto" w:sz="4" w:space="0"/>
              <w:right w:val="single" w:color="auto" w:sz="4" w:space="0"/>
            </w:tcBorders>
            <w:tcW w:w="7290" w:type="dxa"/>
            <w:vAlign w:val="center"/>
            <w:textDirection w:val="lrTb"/>
            <w:noWrap w:val="false"/>
          </w:tcPr>
          <w:p>
            <w:pPr>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907"/>
        </w:trPr>
        <w:tc>
          <w:tcPr>
            <w:tcBorders>
              <w:top w:val="single" w:color="auto" w:sz="4" w:space="0"/>
              <w:left w:val="single" w:color="auto" w:sz="4" w:space="0"/>
              <w:bottom w:val="single" w:color="auto" w:sz="4" w:space="0"/>
              <w:right w:val="single" w:color="auto" w:sz="4" w:space="0"/>
            </w:tcBorders>
            <w:tcW w:w="2875" w:type="dxa"/>
            <w:vAlign w:val="center"/>
            <w:textDirection w:val="lrTb"/>
            <w:noWrap w:val="false"/>
          </w:tcPr>
          <w:p>
            <w:pPr>
              <w:jc w:val="center"/>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磋商总报价</w:t>
            </w:r>
            <w:r/>
          </w:p>
        </w:tc>
        <w:tc>
          <w:tcPr>
            <w:tcBorders>
              <w:top w:val="single" w:color="auto" w:sz="4" w:space="0"/>
              <w:left w:val="none" w:color="000000" w:sz="4" w:space="0"/>
              <w:bottom w:val="single" w:color="auto" w:sz="4" w:space="0"/>
              <w:right w:val="single" w:color="auto" w:sz="4" w:space="0"/>
            </w:tcBorders>
            <w:tcW w:w="7290" w:type="dxa"/>
            <w:vAlign w:val="center"/>
            <w:textDirection w:val="lrTb"/>
            <w:noWrap w:val="false"/>
          </w:tcPr>
          <w:p>
            <w:pPr>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圆整；（小写：¥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.00）</w:t>
            </w:r>
            <w:r/>
          </w:p>
        </w:tc>
      </w:tr>
    </w:tbl>
    <w:p>
      <w:pPr>
        <w:ind w:firstLine="525"/>
        <w:spacing w:line="360" w:lineRule="exact"/>
        <w:shd w:val="clear" w:color="auto"/>
        <w:rPr>
          <w:rFonts w:ascii="宋体" w:hAnsi="宋体" w:cs="宋体"/>
          <w:color w:val="auto"/>
          <w:szCs w:val="21"/>
          <w:highlight w:val="none"/>
        </w:rPr>
      </w:pPr>
      <w:r>
        <w:rPr>
          <w:rFonts w:ascii="宋体" w:hAnsi="宋体" w:cs="宋体"/>
          <w:color w:val="auto"/>
          <w:szCs w:val="21"/>
          <w:highlight w:val="none"/>
        </w:rPr>
      </w:r>
      <w:r/>
    </w:p>
    <w:p>
      <w:pPr>
        <w:pStyle w:val="838"/>
        <w:ind w:firstLine="420"/>
        <w:spacing w:line="360" w:lineRule="auto"/>
        <w:shd w:val="clear" w:color="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响应单位：（公章）</w:t>
      </w:r>
      <w:r/>
    </w:p>
    <w:p>
      <w:pPr>
        <w:pStyle w:val="838"/>
        <w:ind w:firstLine="420"/>
        <w:spacing w:line="360" w:lineRule="auto"/>
        <w:shd w:val="clear" w:color="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法定代表人或代理人：（签字或盖章）</w:t>
      </w:r>
      <w:r/>
    </w:p>
    <w:p>
      <w:pPr>
        <w:pStyle w:val="838"/>
        <w:ind w:firstLine="420"/>
        <w:spacing w:line="360" w:lineRule="auto"/>
        <w:shd w:val="clear" w:color="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838"/>
        <w:ind w:firstLine="420"/>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p>
      <w:pPr>
        <w:pStyle w:val="838"/>
        <w:ind w:firstLine="420"/>
        <w:spacing w:line="360" w:lineRule="auto"/>
        <w:shd w:val="clear" w:color="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jc w:val="center"/>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磋商分项报价明细表</w:t>
      </w:r>
      <w:r/>
    </w:p>
    <w:p>
      <w:pPr>
        <w:pStyle w:val="843"/>
        <w:shd w:val="clear" w:color="auto"/>
        <w:rPr>
          <w:color w:val="auto"/>
          <w:highlight w:val="none"/>
        </w:rPr>
      </w:pPr>
      <w:r>
        <w:rPr>
          <w:color w:val="auto"/>
          <w:highlight w:val="none"/>
        </w:rPr>
      </w:r>
      <w:r/>
    </w:p>
    <w:p>
      <w:pPr>
        <w:pStyle w:val="1053"/>
        <w:jc w:val="center"/>
        <w:spacing w:line="360" w:lineRule="auto"/>
        <w:shd w:val="clear" w:color="auto"/>
        <w:rPr>
          <w:rFonts w:hAnsi="宋体" w:eastAsia="宋体" w:cs="宋体"/>
          <w:color w:val="auto"/>
          <w:sz w:val="21"/>
          <w:szCs w:val="21"/>
          <w:highlight w:val="none"/>
        </w:rPr>
      </w:pP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项目工程量清单报价明细表</w:t>
      </w:r>
      <w:r/>
    </w:p>
    <w:tbl>
      <w:tblPr>
        <w:tblStyle w:val="828"/>
        <w:tblW w:w="88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181"/>
        <w:gridCol w:w="1831"/>
        <w:gridCol w:w="1215"/>
        <w:gridCol w:w="968"/>
        <w:gridCol w:w="835"/>
        <w:gridCol w:w="1086"/>
        <w:gridCol w:w="1033"/>
      </w:tblGrid>
      <w:tr>
        <w:trPr>
          <w:cantSplit/>
          <w:jc w:val="center"/>
          <w:trHeight w:val="567"/>
        </w:trPr>
        <w:tc>
          <w:tcPr>
            <w:tcW w:w="722"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181"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项目名称</w:t>
            </w:r>
            <w:r/>
          </w:p>
        </w:tc>
        <w:tc>
          <w:tcPr>
            <w:tcW w:w="1831"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项目特征描述</w:t>
            </w:r>
            <w:r/>
          </w:p>
        </w:tc>
        <w:tc>
          <w:tcPr>
            <w:tcW w:w="1215"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计量单位</w:t>
            </w:r>
            <w:r/>
          </w:p>
        </w:tc>
        <w:tc>
          <w:tcPr>
            <w:tcW w:w="968"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工程量</w:t>
            </w:r>
            <w:r/>
          </w:p>
        </w:tc>
        <w:tc>
          <w:tcPr>
            <w:tcW w:w="835"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单价</w:t>
            </w:r>
            <w:r/>
          </w:p>
        </w:tc>
        <w:tc>
          <w:tcPr>
            <w:tcW w:w="1086"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总价</w:t>
            </w:r>
            <w:r/>
          </w:p>
        </w:tc>
        <w:tc>
          <w:tcPr>
            <w:tcW w:w="1033"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567"/>
        </w:trPr>
        <w:tc>
          <w:tcPr>
            <w:tcW w:w="722"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181"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831"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215"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968"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835"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86"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33"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67"/>
        </w:trPr>
        <w:tc>
          <w:tcPr>
            <w:tcW w:w="722"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181"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831"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215"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968"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835"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86"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33"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67"/>
        </w:trPr>
        <w:tc>
          <w:tcPr>
            <w:tcW w:w="722"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181"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1831"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215"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968"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835"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86" w:type="dxa"/>
            <w:vAlign w:val="center"/>
            <w:textDirection w:val="lrTb"/>
            <w:noWrap w:val="false"/>
          </w:tcPr>
          <w:p>
            <w:pPr>
              <w:jc w:val="cente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33"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67"/>
        </w:trPr>
        <w:tc>
          <w:tcPr>
            <w:gridSpan w:val="3"/>
            <w:tcW w:w="3734" w:type="dxa"/>
            <w:vAlign w:val="center"/>
            <w:textDirection w:val="lrTb"/>
            <w:noWrap w:val="false"/>
          </w:tcPr>
          <w:p>
            <w:pPr>
              <w:pStyle w:val="1053"/>
              <w:jc w:val="center"/>
              <w:spacing w:line="360" w:lineRule="auto"/>
              <w:shd w:val="clear" w:color="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合计金额</w:t>
            </w:r>
            <w:r/>
          </w:p>
        </w:tc>
        <w:tc>
          <w:tcPr>
            <w:gridSpan w:val="5"/>
            <w:tcW w:w="5137" w:type="dxa"/>
            <w:vAlign w:val="center"/>
            <w:textDirection w:val="lrTb"/>
            <w:noWrap w:val="false"/>
          </w:tcPr>
          <w:p>
            <w:pPr>
              <w:pStyle w:val="1053"/>
              <w:spacing w:line="360" w:lineRule="auto"/>
              <w:shd w:val="clear" w:color="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人民币（大写）</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元整；￥</w:t>
            </w:r>
            <w:r>
              <w:rPr>
                <w:rFonts w:hint="eastAsia" w:hAnsi="宋体" w:eastAsia="宋体" w:cs="宋体"/>
                <w:color w:val="auto"/>
                <w:sz w:val="21"/>
                <w:szCs w:val="21"/>
                <w:highlight w:val="none"/>
                <w:u w:val="single"/>
              </w:rPr>
              <w:t xml:space="preserve">          </w:t>
            </w:r>
            <w:r/>
          </w:p>
        </w:tc>
      </w:tr>
    </w:tbl>
    <w:p>
      <w:pPr>
        <w:pStyle w:val="830"/>
        <w:ind w:right="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供应商：（单位盖章）</w:t>
      </w:r>
      <w:r/>
    </w:p>
    <w:p>
      <w:pPr>
        <w:pStyle w:val="830"/>
        <w:ind w:right="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pStyle w:val="830"/>
        <w:ind w:right="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38"/>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r>
      <w:r/>
    </w:p>
    <w:p>
      <w:pPr>
        <w:pStyle w:val="1053"/>
        <w:spacing w:line="360" w:lineRule="auto"/>
        <w:shd w:val="clear" w:color="auto"/>
        <w:rPr>
          <w:rFonts w:hAnsi="宋体" w:eastAsia="宋体"/>
          <w:b/>
          <w:bCs/>
          <w:color w:val="auto"/>
          <w:szCs w:val="21"/>
          <w:highlight w:val="none"/>
        </w:rPr>
      </w:pPr>
      <w:r>
        <w:rPr>
          <w:rFonts w:hint="eastAsia" w:hAnsi="宋体" w:eastAsia="宋体"/>
          <w:b/>
          <w:color w:val="auto"/>
          <w:sz w:val="21"/>
          <w:szCs w:val="21"/>
          <w:highlight w:val="none"/>
        </w:rPr>
        <w:br w:type="page" w:clear="all"/>
      </w:r>
      <w:r>
        <w:rPr>
          <w:rFonts w:hint="eastAsia" w:hAnsi="宋体" w:eastAsia="宋体"/>
          <w:b/>
          <w:color w:val="auto"/>
          <w:sz w:val="21"/>
          <w:szCs w:val="21"/>
          <w:highlight w:val="none"/>
        </w:rPr>
        <w:t xml:space="preserve">附件4、偏离表</w:t>
      </w:r>
      <w:r/>
    </w:p>
    <w:p>
      <w:pPr>
        <w:jc w:val="center"/>
        <w:spacing w:line="360" w:lineRule="auto"/>
        <w:shd w:val="clear" w:color="auto"/>
        <w:rPr>
          <w:rFonts w:ascii="宋体" w:hAnsi="宋体"/>
          <w:b/>
          <w:color w:val="auto"/>
          <w:spacing w:val="20"/>
          <w:sz w:val="24"/>
          <w:highlight w:val="none"/>
        </w:rPr>
      </w:pPr>
      <w:r>
        <w:rPr>
          <w:rFonts w:ascii="宋体" w:hAnsi="宋体"/>
          <w:b/>
          <w:color w:val="auto"/>
          <w:spacing w:val="20"/>
          <w:sz w:val="24"/>
          <w:highlight w:val="none"/>
        </w:rPr>
      </w:r>
      <w:r/>
    </w:p>
    <w:p>
      <w:pPr>
        <w:jc w:val="cente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技术要求偏离表</w:t>
      </w:r>
      <w:r/>
    </w:p>
    <w:p>
      <w:pPr>
        <w:jc w:val="center"/>
        <w:spacing w:line="360" w:lineRule="auto"/>
        <w:shd w:val="clear" w:color="auto"/>
        <w:rPr>
          <w:rFonts w:ascii="宋体" w:hAnsi="宋体"/>
          <w:b/>
          <w:color w:val="auto"/>
          <w:szCs w:val="21"/>
          <w:highlight w:val="none"/>
        </w:rPr>
      </w:pPr>
      <w:r>
        <w:rPr>
          <w:rFonts w:ascii="宋体" w:hAnsi="宋体"/>
          <w:b/>
          <w:color w:val="auto"/>
          <w:szCs w:val="21"/>
          <w:highlight w:val="none"/>
        </w:rPr>
      </w:r>
      <w:r/>
    </w:p>
    <w:p>
      <w:pPr>
        <w:ind w:firstLine="630"/>
        <w:spacing w:line="380" w:lineRule="exact"/>
        <w:shd w:val="clear" w:color="auto"/>
        <w:rPr>
          <w:rFonts w:ascii="宋体" w:hAnsi="宋体"/>
          <w:b/>
          <w:color w:val="auto"/>
          <w:spacing w:val="20"/>
          <w:szCs w:val="21"/>
          <w:highlight w:val="none"/>
        </w:rPr>
      </w:pPr>
      <w:r>
        <w:rPr>
          <w:rFonts w:hint="eastAsia" w:ascii="宋体" w:hAnsi="宋体"/>
          <w:color w:val="auto"/>
          <w:szCs w:val="21"/>
          <w:highlight w:val="none"/>
          <w:lang w:val="zh-CN"/>
        </w:rPr>
        <w:t xml:space="preserve">采购编号：JSZC-320591-SZYX-C2026-0024  </w:t>
      </w:r>
      <w:r/>
    </w:p>
    <w:tbl>
      <w:tblPr>
        <w:tblStyle w:val="828"/>
        <w:tblW w:w="87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序号</w:t>
            </w:r>
            <w:r/>
          </w:p>
        </w:tc>
        <w:tc>
          <w:tcPr>
            <w:tcW w:w="1683" w:type="dxa"/>
            <w:vAlign w:val="center"/>
            <w:textDirection w:val="lrTb"/>
            <w:noWrap w:val="false"/>
          </w:tcPr>
          <w:p>
            <w:pPr>
              <w:pStyle w:val="1035"/>
              <w:ind w:left="54" w:firstLine="0"/>
              <w:jc w:val="cente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051" w:type="dxa"/>
            <w:vAlign w:val="center"/>
            <w:textDirection w:val="lrTb"/>
            <w:noWrap w:val="false"/>
          </w:tcPr>
          <w:p>
            <w:pPr>
              <w:pStyle w:val="1035"/>
              <w:ind w:firstLine="0"/>
              <w:jc w:val="cente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w:t>
            </w:r>
            <w:r>
              <w:rPr>
                <w:rFonts w:ascii="宋体" w:hAnsi="宋体" w:eastAsia="宋体"/>
                <w:color w:val="auto"/>
                <w:sz w:val="21"/>
                <w:szCs w:val="21"/>
                <w:highlight w:val="none"/>
              </w:rPr>
              <w:t xml:space="preserve">要求</w:t>
            </w:r>
            <w:r/>
          </w:p>
        </w:tc>
        <w:tc>
          <w:tcPr>
            <w:tcW w:w="2052" w:type="dxa"/>
            <w:vAlign w:val="center"/>
            <w:textDirection w:val="lrTb"/>
            <w:noWrap w:val="false"/>
          </w:tcPr>
          <w:p>
            <w:pPr>
              <w:pStyle w:val="1035"/>
              <w:ind w:firstLine="0"/>
              <w:jc w:val="cente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响应情况</w:t>
            </w:r>
            <w:r/>
          </w:p>
        </w:tc>
        <w:tc>
          <w:tcPr>
            <w:tcW w:w="2052" w:type="dxa"/>
            <w:vAlign w:val="center"/>
            <w:textDirection w:val="lrTb"/>
            <w:noWrap w:val="false"/>
          </w:tcPr>
          <w:p>
            <w:pPr>
              <w:pStyle w:val="1035"/>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58"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1</w:t>
            </w:r>
            <w:r/>
          </w:p>
        </w:tc>
        <w:tc>
          <w:tcPr>
            <w:tcW w:w="1683"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2</w:t>
            </w:r>
            <w:r/>
          </w:p>
        </w:tc>
        <w:tc>
          <w:tcPr>
            <w:tcW w:w="1683"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3</w:t>
            </w:r>
            <w:r/>
          </w:p>
        </w:tc>
        <w:tc>
          <w:tcPr>
            <w:tcW w:w="1683"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4</w:t>
            </w:r>
            <w:r/>
          </w:p>
        </w:tc>
        <w:tc>
          <w:tcPr>
            <w:tcW w:w="1683"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w:t>
            </w:r>
            <w:r/>
          </w:p>
        </w:tc>
        <w:tc>
          <w:tcPr>
            <w:tcW w:w="1683"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firstLine="630"/>
        <w:jc w:val="left"/>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响应单位：（公章）</w:t>
      </w:r>
      <w:r/>
    </w:p>
    <w:p>
      <w:pPr>
        <w:ind w:firstLine="630"/>
        <w:jc w:val="left"/>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rPr>
          <w:rFonts w:hint="eastAsia" w:ascii="宋体" w:hAnsi="宋体"/>
          <w:bCs/>
          <w:color w:val="auto"/>
          <w:szCs w:val="21"/>
          <w:highlight w:val="none"/>
        </w:rPr>
        <w:t xml:space="preserve">：</w:t>
      </w:r>
      <w:r/>
    </w:p>
    <w:p>
      <w:pPr>
        <w:ind w:firstLine="630"/>
        <w:spacing w:line="400" w:lineRule="exact"/>
        <w:shd w:val="clear" w:color="auto"/>
        <w:rPr>
          <w:rFonts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 xml:space="preserve">年 </w:t>
      </w:r>
      <w:r>
        <w:rPr>
          <w:rFonts w:ascii="宋体" w:hAnsi="宋体"/>
          <w:bCs/>
          <w:color w:val="auto"/>
          <w:szCs w:val="21"/>
          <w:highlight w:val="none"/>
        </w:rPr>
        <w:t xml:space="preserve">   </w:t>
      </w:r>
      <w:r>
        <w:rPr>
          <w:rFonts w:hint="eastAsia" w:ascii="宋体" w:hAnsi="宋体"/>
          <w:bCs/>
          <w:color w:val="auto"/>
          <w:szCs w:val="21"/>
          <w:highlight w:val="none"/>
        </w:rPr>
        <w:t xml:space="preserve">月 </w:t>
      </w:r>
      <w:r>
        <w:rPr>
          <w:rFonts w:ascii="宋体" w:hAnsi="宋体"/>
          <w:bCs/>
          <w:color w:val="auto"/>
          <w:szCs w:val="21"/>
          <w:highlight w:val="none"/>
        </w:rPr>
        <w:t xml:space="preserve">   </w:t>
      </w:r>
      <w:r>
        <w:rPr>
          <w:rFonts w:hint="eastAsia" w:ascii="宋体" w:hAnsi="宋体"/>
          <w:bCs/>
          <w:color w:val="auto"/>
          <w:szCs w:val="21"/>
          <w:highlight w:val="none"/>
        </w:rPr>
        <w:t xml:space="preserve">日</w:t>
      </w:r>
      <w:r/>
    </w:p>
    <w:p>
      <w:pPr>
        <w:ind w:firstLine="632"/>
        <w:spacing w:line="400" w:lineRule="exact"/>
        <w:shd w:val="clear" w:color="auto"/>
        <w:rPr>
          <w:rFonts w:ascii="宋体" w:hAnsi="宋体"/>
          <w:b/>
          <w:color w:val="auto"/>
          <w:szCs w:val="21"/>
          <w:highlight w:val="none"/>
        </w:rPr>
      </w:pPr>
      <w:r>
        <w:rPr>
          <w:rFonts w:ascii="宋体" w:hAnsi="宋体"/>
          <w:b/>
          <w:color w:val="auto"/>
          <w:szCs w:val="21"/>
          <w:highlight w:val="none"/>
        </w:rPr>
      </w:r>
      <w:r/>
    </w:p>
    <w:p>
      <w:pPr>
        <w:jc w:val="cente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商务要求偏离表</w:t>
      </w:r>
      <w:r/>
    </w:p>
    <w:p>
      <w:pPr>
        <w:jc w:val="center"/>
        <w:spacing w:line="360" w:lineRule="auto"/>
        <w:shd w:val="clear" w:color="auto"/>
        <w:rPr>
          <w:rFonts w:ascii="宋体" w:hAnsi="宋体"/>
          <w:b/>
          <w:color w:val="auto"/>
          <w:szCs w:val="21"/>
          <w:highlight w:val="none"/>
        </w:rPr>
      </w:pPr>
      <w:r>
        <w:rPr>
          <w:rFonts w:ascii="宋体" w:hAnsi="宋体"/>
          <w:b/>
          <w:color w:val="auto"/>
          <w:szCs w:val="21"/>
          <w:highlight w:val="none"/>
        </w:rPr>
      </w:r>
      <w:r/>
    </w:p>
    <w:p>
      <w:pPr>
        <w:ind w:firstLine="630"/>
        <w:spacing w:line="380" w:lineRule="exact"/>
        <w:shd w:val="clear" w:color="auto"/>
        <w:rPr>
          <w:rFonts w:ascii="宋体" w:hAnsi="宋体"/>
          <w:b/>
          <w:color w:val="auto"/>
          <w:spacing w:val="20"/>
          <w:szCs w:val="21"/>
          <w:highlight w:val="none"/>
        </w:rPr>
      </w:pPr>
      <w:r>
        <w:rPr>
          <w:rFonts w:hint="eastAsia" w:ascii="宋体" w:hAnsi="宋体"/>
          <w:color w:val="auto"/>
          <w:szCs w:val="21"/>
          <w:highlight w:val="none"/>
          <w:lang w:val="zh-CN"/>
        </w:rPr>
        <w:t xml:space="preserve">采购编号：JSZC-320591-SZYX-C2026-0024  </w:t>
      </w:r>
      <w:r/>
    </w:p>
    <w:tbl>
      <w:tblPr>
        <w:tblStyle w:val="828"/>
        <w:tblW w:w="87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序号</w:t>
            </w:r>
            <w:r/>
          </w:p>
        </w:tc>
        <w:tc>
          <w:tcPr>
            <w:tcW w:w="1683" w:type="dxa"/>
            <w:vAlign w:val="center"/>
            <w:textDirection w:val="lrTb"/>
            <w:noWrap w:val="false"/>
          </w:tcPr>
          <w:p>
            <w:pPr>
              <w:pStyle w:val="1035"/>
              <w:ind w:left="54" w:firstLine="0"/>
              <w:jc w:val="cente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051" w:type="dxa"/>
            <w:vAlign w:val="center"/>
            <w:textDirection w:val="lrTb"/>
            <w:noWrap w:val="false"/>
          </w:tcPr>
          <w:p>
            <w:pPr>
              <w:pStyle w:val="1035"/>
              <w:ind w:firstLine="0"/>
              <w:jc w:val="cente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w:t>
            </w:r>
            <w:r>
              <w:rPr>
                <w:rFonts w:ascii="宋体" w:hAnsi="宋体" w:eastAsia="宋体"/>
                <w:color w:val="auto"/>
                <w:sz w:val="21"/>
                <w:szCs w:val="21"/>
                <w:highlight w:val="none"/>
              </w:rPr>
              <w:t xml:space="preserve">要求</w:t>
            </w:r>
            <w:r/>
          </w:p>
        </w:tc>
        <w:tc>
          <w:tcPr>
            <w:tcW w:w="2052" w:type="dxa"/>
            <w:vAlign w:val="center"/>
            <w:textDirection w:val="lrTb"/>
            <w:noWrap w:val="false"/>
          </w:tcPr>
          <w:p>
            <w:pPr>
              <w:pStyle w:val="1035"/>
              <w:ind w:firstLine="0"/>
              <w:jc w:val="cente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响应情况</w:t>
            </w:r>
            <w:r/>
          </w:p>
        </w:tc>
        <w:tc>
          <w:tcPr>
            <w:tcW w:w="2052" w:type="dxa"/>
            <w:vAlign w:val="center"/>
            <w:textDirection w:val="lrTb"/>
            <w:noWrap w:val="false"/>
          </w:tcPr>
          <w:p>
            <w:pPr>
              <w:pStyle w:val="1035"/>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58"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1</w:t>
            </w:r>
            <w:r/>
          </w:p>
        </w:tc>
        <w:tc>
          <w:tcPr>
            <w:tcW w:w="1683"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2</w:t>
            </w:r>
            <w:r/>
          </w:p>
        </w:tc>
        <w:tc>
          <w:tcPr>
            <w:tcW w:w="1683"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3</w:t>
            </w:r>
            <w:r/>
          </w:p>
        </w:tc>
        <w:tc>
          <w:tcPr>
            <w:tcW w:w="1683"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4</w:t>
            </w:r>
            <w:r/>
          </w:p>
        </w:tc>
        <w:tc>
          <w:tcPr>
            <w:tcW w:w="1683"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w:t>
            </w:r>
            <w:r/>
          </w:p>
        </w:tc>
        <w:tc>
          <w:tcPr>
            <w:tcW w:w="1683"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1035"/>
              <w:ind w:firstLine="699"/>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firstLine="630"/>
        <w:jc w:val="left"/>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响应单位：（公章）</w:t>
      </w:r>
      <w:r/>
    </w:p>
    <w:p>
      <w:pPr>
        <w:ind w:firstLine="630"/>
        <w:jc w:val="left"/>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rPr>
          <w:rFonts w:hint="eastAsia" w:ascii="宋体" w:hAnsi="宋体"/>
          <w:bCs/>
          <w:color w:val="auto"/>
          <w:szCs w:val="21"/>
          <w:highlight w:val="none"/>
        </w:rPr>
        <w:t xml:space="preserve">：</w:t>
      </w:r>
      <w:r/>
    </w:p>
    <w:p>
      <w:pPr>
        <w:ind w:firstLine="630"/>
        <w:spacing w:line="400" w:lineRule="exact"/>
        <w:shd w:val="clear" w:color="auto"/>
        <w:rPr>
          <w:rFonts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 xml:space="preserve">年 </w:t>
      </w:r>
      <w:r>
        <w:rPr>
          <w:rFonts w:ascii="宋体" w:hAnsi="宋体"/>
          <w:bCs/>
          <w:color w:val="auto"/>
          <w:szCs w:val="21"/>
          <w:highlight w:val="none"/>
        </w:rPr>
        <w:t xml:space="preserve">   </w:t>
      </w:r>
      <w:r>
        <w:rPr>
          <w:rFonts w:hint="eastAsia" w:ascii="宋体" w:hAnsi="宋体"/>
          <w:bCs/>
          <w:color w:val="auto"/>
          <w:szCs w:val="21"/>
          <w:highlight w:val="none"/>
        </w:rPr>
        <w:t xml:space="preserve">月 </w:t>
      </w:r>
      <w:r>
        <w:rPr>
          <w:rFonts w:ascii="宋体" w:hAnsi="宋体"/>
          <w:bCs/>
          <w:color w:val="auto"/>
          <w:szCs w:val="21"/>
          <w:highlight w:val="none"/>
        </w:rPr>
        <w:t xml:space="preserve">   </w:t>
      </w:r>
      <w:r>
        <w:rPr>
          <w:rFonts w:hint="eastAsia" w:ascii="宋体" w:hAnsi="宋体"/>
          <w:bCs/>
          <w:color w:val="auto"/>
          <w:szCs w:val="21"/>
          <w:highlight w:val="none"/>
        </w:rPr>
        <w:t xml:space="preserve">日</w:t>
      </w:r>
      <w:r/>
    </w:p>
    <w:p>
      <w:pPr>
        <w:jc w:val="center"/>
        <w:spacing w:line="360" w:lineRule="auto"/>
        <w:shd w:val="clear" w:color="auto"/>
        <w:rPr>
          <w:rFonts w:ascii="宋体" w:hAnsi="宋体"/>
          <w:b/>
          <w:color w:val="auto"/>
          <w:spacing w:val="20"/>
          <w:szCs w:val="21"/>
          <w:highlight w:val="none"/>
        </w:rPr>
      </w:pPr>
      <w:r>
        <w:rPr>
          <w:rFonts w:ascii="宋体" w:hAnsi="宋体"/>
          <w:b/>
          <w:color w:val="auto"/>
          <w:spacing w:val="20"/>
          <w:szCs w:val="21"/>
          <w:highlight w:val="none"/>
        </w:rPr>
      </w:r>
      <w:r/>
    </w:p>
    <w:p>
      <w:pPr>
        <w:pStyle w:val="1053"/>
        <w:spacing w:line="360" w:lineRule="auto"/>
        <w:shd w:val="clear" w:color="auto"/>
        <w:rPr>
          <w:rFonts w:hAnsi="宋体" w:eastAsia="宋体"/>
          <w:b/>
          <w:color w:val="auto"/>
          <w:sz w:val="21"/>
          <w:szCs w:val="21"/>
          <w:highlight w:val="none"/>
        </w:rPr>
      </w:pPr>
      <w:r>
        <w:rPr>
          <w:rFonts w:hAnsi="宋体" w:eastAsia="宋体"/>
          <w:b/>
          <w:color w:val="auto"/>
          <w:highlight w:val="none"/>
        </w:rPr>
        <w:br w:type="page" w:clear="all"/>
      </w:r>
      <w:r>
        <w:rPr>
          <w:rFonts w:hint="eastAsia" w:hAnsi="宋体" w:eastAsia="宋体"/>
          <w:b/>
          <w:color w:val="auto"/>
          <w:sz w:val="21"/>
          <w:szCs w:val="21"/>
          <w:highlight w:val="none"/>
        </w:rPr>
        <w:t xml:space="preserve">附件5、针对本项目的人员配备</w:t>
      </w:r>
      <w:r/>
    </w:p>
    <w:p>
      <w:pPr>
        <w:ind w:firstLine="420"/>
        <w:jc w:val="center"/>
        <w:spacing w:line="360" w:lineRule="auto"/>
        <w:shd w:val="clear" w:color="auto"/>
        <w:rPr>
          <w:rFonts w:ascii="宋体" w:hAnsi="宋体" w:cs="宋体"/>
          <w:b/>
          <w:color w:val="auto"/>
          <w:szCs w:val="21"/>
          <w:highlight w:val="none"/>
        </w:rPr>
      </w:pPr>
      <w:r>
        <w:rPr>
          <w:rFonts w:hint="eastAsia" w:ascii="宋体" w:hAnsi="宋体"/>
          <w:color w:val="auto"/>
          <w:szCs w:val="21"/>
          <w:highlight w:val="none"/>
        </w:rPr>
        <w:tab/>
      </w:r>
      <w:r>
        <w:rPr>
          <w:rFonts w:hint="eastAsia" w:ascii="宋体" w:hAnsi="宋体" w:cs="宋体"/>
          <w:b/>
          <w:color w:val="auto"/>
          <w:szCs w:val="21"/>
          <w:highlight w:val="none"/>
        </w:rPr>
        <w:t xml:space="preserve">1.项目管理班子配备情况表</w:t>
      </w:r>
      <w:r/>
    </w:p>
    <w:tbl>
      <w:tblPr>
        <w:tblStyle w:val="828"/>
        <w:tblW w:w="9403"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816"/>
        <w:gridCol w:w="852"/>
        <w:gridCol w:w="852"/>
        <w:gridCol w:w="1025"/>
        <w:gridCol w:w="840"/>
        <w:gridCol w:w="616"/>
        <w:gridCol w:w="742"/>
        <w:gridCol w:w="1455"/>
        <w:gridCol w:w="1120"/>
        <w:gridCol w:w="1085"/>
      </w:tblGrid>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restart"/>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职务</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职称</w:t>
            </w:r>
            <w:r/>
          </w:p>
        </w:tc>
        <w:tc>
          <w:tcPr>
            <w:gridSpan w:val="5"/>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上岗资格证明</w:t>
            </w:r>
            <w:r/>
          </w:p>
        </w:tc>
        <w:tc>
          <w:tcPr>
            <w:gridSpan w:val="2"/>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continue"/>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证书名称</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级别</w:t>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证号</w:t>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专业</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原服务单位</w:t>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项目数</w:t>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r>
      <w:tr>
        <w:trPr>
          <w:jc w:val="center"/>
          <w:trHeight w:val="656"/>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gridSpan w:val="10"/>
            <w:tcBorders>
              <w:top w:val="single" w:color="auto" w:sz="6" w:space="0"/>
              <w:left w:val="single" w:color="auto" w:sz="6" w:space="0"/>
              <w:bottom w:val="single" w:color="auto" w:sz="6" w:space="0"/>
              <w:right w:val="single" w:color="auto" w:sz="6" w:space="0"/>
            </w:tcBorders>
            <w:tcW w:w="9403" w:type="dxa"/>
            <w:vAlign w:val="center"/>
            <w:textDirection w:val="lrTb"/>
            <w:noWrap w:val="false"/>
          </w:tcPr>
          <w:p>
            <w:pPr>
              <w:ind w:firstLine="560"/>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本项目一旦我单位中标，将实行项目经理负责制，并配备上述项目管理班子。上述填报内容真实，若不真实，愿按有关规定接受处理。项目管理班子机构设置、职责分工等情况另附资料说明。</w:t>
            </w:r>
            <w:r/>
          </w:p>
        </w:tc>
      </w:tr>
    </w:tbl>
    <w:p>
      <w:pPr>
        <w:pStyle w:val="830"/>
        <w:ind w:firstLine="0"/>
        <w:jc w:val="both"/>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0"/>
        <w:ind w:firstLine="0"/>
        <w:jc w:val="center"/>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30"/>
        <w:ind w:firstLine="0"/>
        <w:jc w:val="center"/>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30"/>
        <w:ind w:firstLine="0"/>
        <w:jc w:val="center"/>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 拟为本项目配备的项目经理简历表</w:t>
      </w:r>
      <w:r/>
    </w:p>
    <w:p>
      <w:pPr>
        <w:pStyle w:val="830"/>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bl>
      <w:tblPr>
        <w:tblStyle w:val="828"/>
        <w:tblW w:w="8317"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497"/>
        <w:gridCol w:w="1273"/>
        <w:gridCol w:w="1076"/>
        <w:gridCol w:w="883"/>
        <w:gridCol w:w="887"/>
        <w:gridCol w:w="1349"/>
        <w:gridCol w:w="1352"/>
      </w:tblGrid>
      <w:tr>
        <w:trPr>
          <w:jc w:val="center"/>
          <w:trHeight w:val="825"/>
        </w:trPr>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姓  名</w:t>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76"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性  别</w:t>
            </w:r>
            <w:r/>
          </w:p>
        </w:tc>
        <w:tc>
          <w:tcPr>
            <w:gridSpan w:val="2"/>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年  龄</w:t>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747"/>
        </w:trPr>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职  务</w:t>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76"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职  称</w:t>
            </w:r>
            <w:r/>
          </w:p>
        </w:tc>
        <w:tc>
          <w:tcPr>
            <w:gridSpan w:val="2"/>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学  历</w:t>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参加工作</w:t>
            </w:r>
            <w:r/>
          </w:p>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时间</w:t>
            </w:r>
            <w:r/>
          </w:p>
        </w:tc>
        <w:tc>
          <w:tcPr>
            <w:gridSpan w:val="2"/>
            <w:tcBorders>
              <w:top w:val="single" w:color="auto" w:sz="6" w:space="0"/>
              <w:left w:val="single" w:color="auto" w:sz="6" w:space="0"/>
              <w:bottom w:val="single" w:color="auto" w:sz="6" w:space="0"/>
              <w:right w:val="single" w:color="auto" w:sz="6" w:space="0"/>
            </w:tcBorders>
            <w:tcW w:w="2349"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从事项目经理年限</w:t>
            </w:r>
            <w:r/>
          </w:p>
        </w:tc>
        <w:tc>
          <w:tcPr>
            <w:gridSpan w:val="2"/>
            <w:tcBorders>
              <w:top w:val="single" w:color="auto" w:sz="6" w:space="0"/>
              <w:left w:val="single" w:color="auto" w:sz="6" w:space="0"/>
              <w:bottom w:val="single" w:color="auto" w:sz="6" w:space="0"/>
              <w:right w:val="single" w:color="auto" w:sz="6" w:space="0"/>
            </w:tcBorders>
            <w:tcW w:w="2701"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825"/>
        </w:trPr>
        <w:tc>
          <w:tcPr>
            <w:gridSpan w:val="2"/>
            <w:tcBorders>
              <w:top w:val="single" w:color="auto" w:sz="6" w:space="0"/>
              <w:left w:val="single" w:color="auto" w:sz="6" w:space="0"/>
              <w:bottom w:val="single" w:color="auto" w:sz="6" w:space="0"/>
              <w:right w:val="single" w:color="auto" w:sz="6" w:space="0"/>
            </w:tcBorders>
            <w:tcW w:w="2770"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执业资格证书编号</w:t>
            </w:r>
            <w:r/>
          </w:p>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（注明：项目经理或建造师或注册造价工程师或注册监理工程师等）</w:t>
            </w:r>
            <w:r/>
          </w:p>
        </w:tc>
        <w:tc>
          <w:tcPr>
            <w:gridSpan w:val="5"/>
            <w:tcBorders>
              <w:top w:val="single" w:color="auto" w:sz="6" w:space="0"/>
              <w:left w:val="single" w:color="auto" w:sz="6" w:space="0"/>
              <w:bottom w:val="single" w:color="auto" w:sz="6" w:space="0"/>
              <w:right w:val="single" w:color="auto" w:sz="6" w:space="0"/>
            </w:tcBorders>
            <w:tcW w:w="5547"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825"/>
        </w:trPr>
        <w:tc>
          <w:tcPr>
            <w:gridSpan w:val="7"/>
            <w:tcBorders>
              <w:top w:val="single" w:color="auto" w:sz="6" w:space="0"/>
              <w:left w:val="single" w:color="auto" w:sz="6" w:space="0"/>
              <w:bottom w:val="single" w:color="auto" w:sz="6" w:space="0"/>
              <w:right w:val="single" w:color="auto" w:sz="6" w:space="0"/>
            </w:tcBorders>
            <w:tcW w:w="8317"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在建和已建工程项目</w:t>
            </w:r>
            <w:r/>
          </w:p>
        </w:tc>
      </w:tr>
      <w:tr>
        <w:trPr>
          <w:jc w:val="center"/>
          <w:trHeight w:val="825"/>
        </w:trPr>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建设规模</w:t>
            </w:r>
            <w:r/>
          </w:p>
        </w:tc>
        <w:tc>
          <w:tcPr>
            <w:tcBorders>
              <w:top w:val="single" w:color="auto" w:sz="6" w:space="0"/>
              <w:left w:val="single" w:color="auto" w:sz="6" w:space="0"/>
              <w:bottom w:val="single" w:color="auto" w:sz="6" w:space="0"/>
              <w:right w:val="single" w:color="auto" w:sz="6" w:space="0"/>
            </w:tcBorders>
            <w:tcW w:w="1076"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开竣工日期</w:t>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结构</w:t>
            </w:r>
            <w:r/>
          </w:p>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类型</w:t>
            </w:r>
            <w:r/>
          </w:p>
        </w:tc>
        <w:tc>
          <w:tcPr>
            <w:tcBorders>
              <w:top w:val="single" w:color="auto" w:sz="6" w:space="0"/>
              <w:left w:val="single" w:color="auto" w:sz="6" w:space="0"/>
              <w:bottom w:val="single" w:color="auto" w:sz="6" w:space="0"/>
              <w:right w:val="single" w:color="auto" w:sz="6" w:space="0"/>
            </w:tcBorders>
            <w:tcW w:w="887"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层数及高度</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中标价</w:t>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其它情况</w:t>
            </w:r>
            <w:r/>
          </w:p>
        </w:tc>
      </w:tr>
      <w:tr>
        <w:trPr>
          <w:jc w:val="center"/>
          <w:trHeight w:val="825"/>
        </w:trPr>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76"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87"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76"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87"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r>
    </w:tbl>
    <w:p>
      <w:pPr>
        <w:spacing w:before="4" w:line="360" w:lineRule="auto"/>
        <w:shd w:val="clear" w:color="auto"/>
        <w:widowControl/>
        <w:rPr>
          <w:rFonts w:ascii="宋体" w:hAnsi="宋体" w:cs="宋体"/>
          <w:b/>
          <w:color w:val="auto"/>
          <w:szCs w:val="21"/>
          <w:highlight w:val="none"/>
        </w:rPr>
      </w:pPr>
      <w:r>
        <w:rPr>
          <w:rFonts w:ascii="宋体" w:hAnsi="宋体" w:cs="宋体"/>
          <w:b/>
          <w:color w:val="auto"/>
          <w:szCs w:val="21"/>
          <w:highlight w:val="none"/>
        </w:rPr>
      </w:r>
      <w:r/>
    </w:p>
    <w:p>
      <w:pPr>
        <w:jc w:val="center"/>
        <w:spacing w:before="4" w:line="360" w:lineRule="auto"/>
        <w:shd w:val="clear" w:color="auto"/>
        <w:widowControl/>
        <w:rPr>
          <w:rFonts w:ascii="宋体" w:hAnsi="宋体" w:cs="宋体"/>
          <w:bCs/>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3.其他相关人员配备情况表</w:t>
      </w:r>
      <w:r/>
    </w:p>
    <w:tbl>
      <w:tblPr>
        <w:tblStyle w:val="828"/>
        <w:tblW w:w="832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85"/>
        <w:gridCol w:w="852"/>
        <w:gridCol w:w="1466"/>
        <w:gridCol w:w="1134"/>
        <w:gridCol w:w="1134"/>
        <w:gridCol w:w="1417"/>
        <w:gridCol w:w="1237"/>
      </w:tblGrid>
      <w:tr>
        <w:trPr>
          <w:cantSplit/>
          <w:jc w:val="center"/>
          <w:trHeight w:val="620"/>
        </w:trPr>
        <w:tc>
          <w:tcPr>
            <w:tcBorders>
              <w:top w:val="single" w:color="auto" w:sz="6" w:space="0"/>
              <w:left w:val="single" w:color="auto" w:sz="6" w:space="0"/>
              <w:bottom w:val="single" w:color="auto" w:sz="6" w:space="0"/>
              <w:right w:val="single" w:color="auto" w:sz="6" w:space="0"/>
            </w:tcBorders>
            <w:tcW w:w="1085" w:type="dxa"/>
            <w:vAlign w:val="center"/>
            <w:vMerge w:val="restart"/>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职务</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1466" w:type="dxa"/>
            <w:vAlign w:val="center"/>
            <w:vMerge w:val="restart"/>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职称</w:t>
            </w:r>
            <w:r/>
          </w:p>
        </w:tc>
        <w:tc>
          <w:tcPr>
            <w:gridSpan w:val="2"/>
            <w:tcBorders>
              <w:top w:val="single" w:color="auto" w:sz="6" w:space="0"/>
              <w:left w:val="single" w:color="auto" w:sz="6" w:space="0"/>
              <w:bottom w:val="single" w:color="auto" w:sz="6" w:space="0"/>
              <w:right w:val="single" w:color="auto" w:sz="4" w:space="0"/>
            </w:tcBorders>
            <w:tcW w:w="2268"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专业或工种</w:t>
            </w:r>
            <w:r/>
          </w:p>
        </w:tc>
        <w:tc>
          <w:tcPr>
            <w:gridSpan w:val="2"/>
            <w:tcBorders>
              <w:top w:val="single" w:color="auto" w:sz="6" w:space="0"/>
              <w:left w:val="single" w:color="auto" w:sz="4" w:space="0"/>
              <w:bottom w:val="single" w:color="auto" w:sz="6" w:space="0"/>
              <w:right w:val="single" w:color="auto" w:sz="6" w:space="0"/>
            </w:tcBorders>
            <w:tcW w:w="2654"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1085" w:type="dxa"/>
            <w:vAlign w:val="center"/>
            <w:vMerge w:val="continue"/>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66" w:type="dxa"/>
            <w:vAlign w:val="center"/>
            <w:vMerge w:val="continue"/>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专业或工种</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级别</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完成情况</w:t>
            </w:r>
            <w:r/>
          </w:p>
        </w:tc>
      </w:tr>
      <w:tr>
        <w:trPr>
          <w:jc w:val="center"/>
          <w:trHeight w:val="656"/>
        </w:trPr>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66"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66"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66"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r>
    </w:tbl>
    <w:p>
      <w:pPr>
        <w:jc w:val="center"/>
        <w:spacing w:line="360" w:lineRule="auto"/>
        <w:shd w:val="clear" w:color="auto"/>
        <w:tabs>
          <w:tab w:val="left" w:pos="4680" w:leader="none"/>
        </w:tabs>
        <w:rPr>
          <w:rFonts w:ascii="宋体" w:hAnsi="宋体" w:cs="宋体"/>
          <w:b/>
          <w:color w:val="auto"/>
          <w:szCs w:val="21"/>
          <w:highlight w:val="none"/>
        </w:rPr>
      </w:pPr>
      <w:r>
        <w:rPr>
          <w:rFonts w:ascii="宋体" w:hAnsi="宋体" w:cs="宋体"/>
          <w:b/>
          <w:color w:val="auto"/>
          <w:szCs w:val="21"/>
          <w:highlight w:val="none"/>
        </w:rPr>
      </w:r>
      <w:r/>
    </w:p>
    <w:p>
      <w:pPr>
        <w:ind w:left="85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注：响应单位可参照上述格式自行设计表格。</w:t>
      </w:r>
      <w:r/>
    </w:p>
    <w:p>
      <w:pPr>
        <w:ind w:left="850"/>
        <w:spacing w:line="360" w:lineRule="auto"/>
        <w:shd w:val="clear" w:color="auto"/>
        <w:rPr>
          <w:rFonts w:ascii="宋体" w:hAnsi="宋体"/>
          <w:color w:val="auto"/>
          <w:szCs w:val="21"/>
          <w:highlight w:val="none"/>
        </w:rPr>
      </w:pPr>
      <w:r>
        <w:rPr>
          <w:rFonts w:ascii="宋体" w:hAnsi="宋体"/>
          <w:color w:val="auto"/>
          <w:szCs w:val="21"/>
          <w:highlight w:val="none"/>
        </w:rPr>
      </w:r>
      <w:r/>
    </w:p>
    <w:p>
      <w:pPr>
        <w:ind w:left="850"/>
        <w:spacing w:line="360" w:lineRule="auto"/>
        <w:shd w:val="clear" w:color="auto"/>
        <w:rPr>
          <w:rFonts w:ascii="宋体" w:hAnsi="宋体"/>
          <w:color w:val="auto"/>
          <w:szCs w:val="21"/>
          <w:highlight w:val="none"/>
        </w:rPr>
      </w:pPr>
      <w:r>
        <w:rPr>
          <w:rFonts w:ascii="宋体" w:hAnsi="宋体"/>
          <w:color w:val="auto"/>
          <w:szCs w:val="21"/>
          <w:highlight w:val="none"/>
        </w:rPr>
      </w:r>
      <w:r/>
    </w:p>
    <w:p>
      <w:pPr>
        <w:ind w:left="85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响应单位：（单位盖章）</w:t>
      </w:r>
      <w:r/>
    </w:p>
    <w:p>
      <w:pPr>
        <w:ind w:left="85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法定代表人或委托代理人：（签字或盖章）</w:t>
      </w:r>
      <w:r/>
    </w:p>
    <w:p>
      <w:pPr>
        <w:ind w:left="85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838"/>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r>
      <w:r/>
    </w:p>
    <w:p>
      <w:pPr>
        <w:pStyle w:val="838"/>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r>
      <w:r/>
    </w:p>
    <w:p>
      <w:pPr>
        <w:pStyle w:val="1074"/>
        <w:spacing w:line="360" w:lineRule="auto"/>
        <w:shd w:val="clear" w:color="auto"/>
        <w:rPr>
          <w:rFonts w:hAnsi="宋体" w:cs="宋体"/>
          <w:color w:val="auto"/>
          <w:sz w:val="24"/>
          <w:szCs w:val="21"/>
          <w:highlight w:val="none"/>
        </w:rPr>
      </w:pPr>
      <w:r>
        <w:rPr>
          <w:rFonts w:hAnsi="宋体"/>
          <w:color w:val="auto"/>
          <w:szCs w:val="21"/>
          <w:highlight w:val="none"/>
        </w:rPr>
        <w:br w:type="page" w:clear="all"/>
      </w:r>
      <w:r>
        <w:rPr>
          <w:rFonts w:hint="eastAsia" w:hAnsi="宋体"/>
          <w:b/>
          <w:color w:val="auto"/>
          <w:szCs w:val="21"/>
          <w:highlight w:val="none"/>
        </w:rPr>
        <w:t xml:space="preserve">附件6、类似项目业绩一览表</w:t>
      </w:r>
      <w:r/>
    </w:p>
    <w:p>
      <w:pPr>
        <w:pStyle w:val="1035"/>
        <w:ind w:firstLine="0"/>
        <w:jc w:val="center"/>
        <w:shd w:val="clear" w:color="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类似项目业绩一览表</w:t>
      </w:r>
      <w:r/>
    </w:p>
    <w:p>
      <w:pPr>
        <w:pStyle w:val="1035"/>
        <w:ind w:firstLine="0"/>
        <w:shd w:val="clear" w:color="auto"/>
        <w:rPr>
          <w:rFonts w:eastAsia="宋体"/>
          <w:color w:val="auto"/>
          <w:highlight w:val="none"/>
        </w:rPr>
      </w:pPr>
      <w:r>
        <w:rPr>
          <w:rFonts w:eastAsia="宋体"/>
          <w:color w:val="auto"/>
          <w:highlight w:val="none"/>
        </w:rPr>
      </w:r>
      <w:r/>
    </w:p>
    <w:tbl>
      <w:tblPr>
        <w:tblStyle w:val="828"/>
        <w:tblW w:w="10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2985"/>
      </w:tblGrid>
      <w:tr>
        <w:trPr>
          <w:trHeight w:val="454"/>
        </w:trPr>
        <w:tc>
          <w:tcPr>
            <w:tcW w:w="688" w:type="dxa"/>
            <w:vAlign w:val="center"/>
            <w:textDirection w:val="lrTb"/>
            <w:noWrap w:val="false"/>
          </w:tcPr>
          <w:p>
            <w:pPr>
              <w:jc w:val="center"/>
              <w:shd w:val="clear" w:color="auto"/>
              <w:rPr>
                <w:color w:val="auto"/>
                <w:szCs w:val="21"/>
                <w:highlight w:val="none"/>
              </w:rPr>
            </w:pPr>
            <w:r>
              <w:rPr>
                <w:rFonts w:hint="eastAsia"/>
                <w:color w:val="auto"/>
                <w:szCs w:val="21"/>
                <w:highlight w:val="none"/>
              </w:rPr>
              <w:t xml:space="preserve">序号</w:t>
            </w:r>
            <w:r/>
          </w:p>
        </w:tc>
        <w:tc>
          <w:tcPr>
            <w:tcW w:w="1530" w:type="dxa"/>
            <w:vAlign w:val="center"/>
            <w:textDirection w:val="lrTb"/>
            <w:noWrap w:val="false"/>
          </w:tcPr>
          <w:p>
            <w:pPr>
              <w:jc w:val="center"/>
              <w:shd w:val="clear" w:color="auto"/>
              <w:rPr>
                <w:color w:val="auto"/>
                <w:szCs w:val="21"/>
                <w:highlight w:val="none"/>
              </w:rPr>
            </w:pPr>
            <w:r>
              <w:rPr>
                <w:rFonts w:hint="eastAsia"/>
                <w:color w:val="auto"/>
                <w:szCs w:val="21"/>
                <w:highlight w:val="none"/>
              </w:rPr>
              <w:t xml:space="preserve">项目名称</w:t>
            </w:r>
            <w:r/>
          </w:p>
        </w:tc>
        <w:tc>
          <w:tcPr>
            <w:tcW w:w="1462" w:type="dxa"/>
            <w:vAlign w:val="center"/>
            <w:textDirection w:val="lrTb"/>
            <w:noWrap w:val="false"/>
          </w:tcPr>
          <w:p>
            <w:pPr>
              <w:jc w:val="center"/>
              <w:shd w:val="clear" w:color="auto"/>
              <w:tabs>
                <w:tab w:val="left" w:pos="6252" w:leader="none"/>
              </w:tabs>
              <w:rPr>
                <w:color w:val="auto"/>
                <w:szCs w:val="21"/>
                <w:highlight w:val="none"/>
              </w:rPr>
            </w:pPr>
            <w:r>
              <w:rPr>
                <w:rFonts w:hint="eastAsia"/>
                <w:color w:val="auto"/>
                <w:szCs w:val="21"/>
                <w:highlight w:val="none"/>
              </w:rPr>
              <w:t xml:space="preserve">项目时间</w:t>
            </w:r>
            <w:r/>
          </w:p>
        </w:tc>
        <w:tc>
          <w:tcPr>
            <w:tcW w:w="1485" w:type="dxa"/>
            <w:vAlign w:val="center"/>
            <w:textDirection w:val="lrTb"/>
            <w:noWrap w:val="false"/>
          </w:tcPr>
          <w:p>
            <w:pPr>
              <w:jc w:val="center"/>
              <w:shd w:val="clear" w:color="auto"/>
              <w:tabs>
                <w:tab w:val="left" w:pos="6252" w:leader="none"/>
              </w:tabs>
              <w:rPr>
                <w:color w:val="auto"/>
                <w:szCs w:val="21"/>
                <w:highlight w:val="none"/>
              </w:rPr>
            </w:pPr>
            <w:r>
              <w:rPr>
                <w:rFonts w:hint="eastAsia"/>
                <w:color w:val="auto"/>
                <w:szCs w:val="21"/>
                <w:highlight w:val="none"/>
              </w:rPr>
              <w:t xml:space="preserve">合同金额</w:t>
            </w:r>
            <w:r/>
          </w:p>
          <w:p>
            <w:pPr>
              <w:jc w:val="center"/>
              <w:shd w:val="clear" w:color="auto"/>
              <w:tabs>
                <w:tab w:val="left" w:pos="6252" w:leader="none"/>
              </w:tabs>
              <w:rPr>
                <w:color w:val="auto"/>
                <w:szCs w:val="21"/>
                <w:highlight w:val="none"/>
              </w:rPr>
            </w:pPr>
            <w:r>
              <w:rPr>
                <w:rFonts w:hint="eastAsia"/>
                <w:color w:val="auto"/>
                <w:szCs w:val="21"/>
                <w:highlight w:val="none"/>
              </w:rPr>
              <w:t xml:space="preserve">（人民币）</w:t>
            </w:r>
            <w:r/>
          </w:p>
        </w:tc>
        <w:tc>
          <w:tcPr>
            <w:tcW w:w="2164" w:type="dxa"/>
            <w:vAlign w:val="center"/>
            <w:textDirection w:val="lrTb"/>
            <w:noWrap w:val="false"/>
          </w:tcPr>
          <w:p>
            <w:pPr>
              <w:jc w:val="center"/>
              <w:shd w:val="clear" w:color="auto"/>
              <w:tabs>
                <w:tab w:val="left" w:pos="6252" w:leader="none"/>
              </w:tabs>
              <w:rPr>
                <w:color w:val="auto"/>
                <w:szCs w:val="21"/>
                <w:highlight w:val="none"/>
              </w:rPr>
            </w:pPr>
            <w:r>
              <w:rPr>
                <w:rFonts w:hint="eastAsia"/>
                <w:color w:val="auto"/>
                <w:szCs w:val="21"/>
                <w:highlight w:val="none"/>
              </w:rPr>
              <w:t xml:space="preserve">业主单位</w:t>
            </w:r>
            <w:r/>
          </w:p>
        </w:tc>
        <w:tc>
          <w:tcPr>
            <w:tcW w:w="2985" w:type="dxa"/>
            <w:vAlign w:val="center"/>
            <w:textDirection w:val="lrTb"/>
            <w:noWrap w:val="false"/>
          </w:tcPr>
          <w:p>
            <w:pPr>
              <w:jc w:val="center"/>
              <w:shd w:val="clear" w:color="auto"/>
              <w:rPr>
                <w:color w:val="auto"/>
                <w:szCs w:val="21"/>
                <w:highlight w:val="none"/>
              </w:rPr>
            </w:pPr>
            <w:r>
              <w:rPr>
                <w:rFonts w:hint="eastAsia"/>
                <w:color w:val="auto"/>
                <w:szCs w:val="21"/>
                <w:highlight w:val="none"/>
              </w:rPr>
              <w:t xml:space="preserve">备注</w:t>
            </w:r>
            <w:r/>
          </w:p>
          <w:p>
            <w:pPr>
              <w:jc w:val="center"/>
              <w:shd w:val="clear" w:color="auto"/>
              <w:rPr>
                <w:color w:val="auto"/>
                <w:szCs w:val="21"/>
                <w:highlight w:val="none"/>
              </w:rPr>
            </w:pPr>
            <w:r>
              <w:rPr>
                <w:rFonts w:hint="eastAsia"/>
                <w:color w:val="auto"/>
                <w:szCs w:val="21"/>
                <w:highlight w:val="none"/>
              </w:rPr>
              <w:t xml:space="preserve">（竣工验收情况）</w:t>
            </w:r>
            <w:r/>
          </w:p>
        </w:tc>
      </w:tr>
      <w:tr>
        <w:trPr>
          <w:trHeight w:val="454"/>
        </w:trPr>
        <w:tc>
          <w:tcPr>
            <w:tcW w:w="688" w:type="dxa"/>
            <w:vAlign w:val="center"/>
            <w:textDirection w:val="lrTb"/>
            <w:noWrap w:val="false"/>
          </w:tcPr>
          <w:p>
            <w:pPr>
              <w:jc w:val="center"/>
              <w:shd w:val="clear" w:color="auto"/>
              <w:rPr>
                <w:color w:val="auto"/>
                <w:szCs w:val="21"/>
                <w:highlight w:val="none"/>
              </w:rPr>
            </w:pPr>
            <w:r>
              <w:rPr>
                <w:rFonts w:hint="eastAsia"/>
                <w:color w:val="auto"/>
                <w:szCs w:val="21"/>
                <w:highlight w:val="none"/>
              </w:rPr>
              <w:t xml:space="preserve">1</w:t>
            </w:r>
            <w:r/>
          </w:p>
        </w:tc>
        <w:tc>
          <w:tcPr>
            <w:tcW w:w="153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462"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485"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2164"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2985" w:type="dxa"/>
            <w:vAlign w:val="center"/>
            <w:textDirection w:val="lrTb"/>
            <w:noWrap w:val="false"/>
          </w:tcPr>
          <w:p>
            <w:pPr>
              <w:jc w:val="center"/>
              <w:shd w:val="clear" w:color="auto"/>
              <w:rPr>
                <w:color w:val="auto"/>
                <w:szCs w:val="21"/>
                <w:highlight w:val="none"/>
              </w:rPr>
            </w:pPr>
            <w:r>
              <w:rPr>
                <w:color w:val="auto"/>
                <w:szCs w:val="21"/>
                <w:highlight w:val="none"/>
              </w:rPr>
            </w:r>
            <w:r/>
          </w:p>
        </w:tc>
      </w:tr>
      <w:tr>
        <w:trPr>
          <w:trHeight w:val="454"/>
        </w:trPr>
        <w:tc>
          <w:tcPr>
            <w:tcW w:w="688" w:type="dxa"/>
            <w:vAlign w:val="center"/>
            <w:textDirection w:val="lrTb"/>
            <w:noWrap w:val="false"/>
          </w:tcPr>
          <w:p>
            <w:pPr>
              <w:jc w:val="center"/>
              <w:shd w:val="clear" w:color="auto"/>
              <w:rPr>
                <w:color w:val="auto"/>
                <w:szCs w:val="21"/>
                <w:highlight w:val="none"/>
              </w:rPr>
            </w:pPr>
            <w:r>
              <w:rPr>
                <w:rFonts w:hint="eastAsia"/>
                <w:color w:val="auto"/>
                <w:szCs w:val="21"/>
                <w:highlight w:val="none"/>
              </w:rPr>
              <w:t xml:space="preserve">2</w:t>
            </w:r>
            <w:r/>
          </w:p>
        </w:tc>
        <w:tc>
          <w:tcPr>
            <w:tcW w:w="153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462"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485"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2164"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2985" w:type="dxa"/>
            <w:vAlign w:val="center"/>
            <w:textDirection w:val="lrTb"/>
            <w:noWrap w:val="false"/>
          </w:tcPr>
          <w:p>
            <w:pPr>
              <w:jc w:val="center"/>
              <w:shd w:val="clear" w:color="auto"/>
              <w:rPr>
                <w:color w:val="auto"/>
                <w:szCs w:val="21"/>
                <w:highlight w:val="none"/>
              </w:rPr>
            </w:pPr>
            <w:r>
              <w:rPr>
                <w:color w:val="auto"/>
                <w:szCs w:val="21"/>
                <w:highlight w:val="none"/>
              </w:rPr>
            </w:r>
            <w:r/>
          </w:p>
        </w:tc>
      </w:tr>
      <w:tr>
        <w:trPr>
          <w:trHeight w:val="454"/>
        </w:trPr>
        <w:tc>
          <w:tcPr>
            <w:tcW w:w="688" w:type="dxa"/>
            <w:vAlign w:val="center"/>
            <w:textDirection w:val="lrTb"/>
            <w:noWrap w:val="false"/>
          </w:tcPr>
          <w:p>
            <w:pPr>
              <w:jc w:val="center"/>
              <w:shd w:val="clear" w:color="auto"/>
              <w:rPr>
                <w:color w:val="auto"/>
                <w:szCs w:val="21"/>
                <w:highlight w:val="none"/>
              </w:rPr>
            </w:pPr>
            <w:r>
              <w:rPr>
                <w:rFonts w:hint="eastAsia"/>
                <w:color w:val="auto"/>
                <w:szCs w:val="21"/>
                <w:highlight w:val="none"/>
              </w:rPr>
              <w:t xml:space="preserve">3</w:t>
            </w:r>
            <w:r/>
          </w:p>
        </w:tc>
        <w:tc>
          <w:tcPr>
            <w:tcW w:w="153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462"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485"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2164"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2985" w:type="dxa"/>
            <w:vAlign w:val="center"/>
            <w:textDirection w:val="lrTb"/>
            <w:noWrap w:val="false"/>
          </w:tcPr>
          <w:p>
            <w:pPr>
              <w:jc w:val="center"/>
              <w:shd w:val="clear" w:color="auto"/>
              <w:rPr>
                <w:color w:val="auto"/>
                <w:szCs w:val="21"/>
                <w:highlight w:val="none"/>
              </w:rPr>
            </w:pPr>
            <w:r>
              <w:rPr>
                <w:color w:val="auto"/>
                <w:szCs w:val="21"/>
                <w:highlight w:val="none"/>
              </w:rPr>
            </w:r>
            <w:r/>
          </w:p>
        </w:tc>
      </w:tr>
      <w:tr>
        <w:trPr>
          <w:trHeight w:val="454"/>
        </w:trPr>
        <w:tc>
          <w:tcPr>
            <w:tcW w:w="688" w:type="dxa"/>
            <w:vAlign w:val="center"/>
            <w:textDirection w:val="lrTb"/>
            <w:noWrap w:val="false"/>
          </w:tcPr>
          <w:p>
            <w:pPr>
              <w:jc w:val="center"/>
              <w:shd w:val="clear" w:color="auto"/>
              <w:rPr>
                <w:color w:val="auto"/>
                <w:szCs w:val="21"/>
                <w:highlight w:val="none"/>
              </w:rPr>
            </w:pPr>
            <w:r>
              <w:rPr>
                <w:rFonts w:hint="eastAsia"/>
                <w:color w:val="auto"/>
                <w:szCs w:val="21"/>
                <w:highlight w:val="none"/>
              </w:rPr>
              <w:t xml:space="preserve">……</w:t>
            </w:r>
            <w:r/>
          </w:p>
        </w:tc>
        <w:tc>
          <w:tcPr>
            <w:tcW w:w="153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462"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485"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2164"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2985" w:type="dxa"/>
            <w:vAlign w:val="center"/>
            <w:textDirection w:val="lrTb"/>
            <w:noWrap w:val="false"/>
          </w:tcPr>
          <w:p>
            <w:pPr>
              <w:jc w:val="center"/>
              <w:shd w:val="clear" w:color="auto"/>
              <w:rPr>
                <w:color w:val="auto"/>
                <w:szCs w:val="21"/>
                <w:highlight w:val="none"/>
              </w:rPr>
            </w:pPr>
            <w:r>
              <w:rPr>
                <w:color w:val="auto"/>
                <w:szCs w:val="21"/>
                <w:highlight w:val="none"/>
              </w:rPr>
            </w:r>
            <w:r/>
          </w:p>
        </w:tc>
      </w:tr>
    </w:tbl>
    <w:p>
      <w:pPr>
        <w:pStyle w:val="838"/>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响应单位：（公章）</w:t>
      </w:r>
      <w:r/>
    </w:p>
    <w:p>
      <w:pPr>
        <w:pStyle w:val="838"/>
        <w:ind w:firstLine="420"/>
        <w:spacing w:line="360" w:lineRule="auto"/>
        <w:shd w:val="clear" w:color="auto"/>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838"/>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年 </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 </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pStyle w:val="838"/>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r>
      <w:r/>
    </w:p>
    <w:p>
      <w:pPr>
        <w:pStyle w:val="1035"/>
        <w:ind w:firstLine="0"/>
        <w:jc w:val="center"/>
        <w:spacing w:line="400" w:lineRule="exact"/>
        <w:shd w:val="clear" w:color="auto"/>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1035"/>
        <w:ind w:firstLine="0"/>
        <w:spacing w:line="400" w:lineRule="exact"/>
        <w:shd w:val="clear" w:color="auto"/>
        <w:rPr>
          <w:rFonts w:ascii="宋体" w:hAnsi="宋体" w:eastAsia="宋体"/>
          <w:b/>
          <w:color w:val="auto"/>
          <w:sz w:val="21"/>
          <w:szCs w:val="21"/>
          <w:highlight w:val="none"/>
        </w:rPr>
      </w:pPr>
      <w:r>
        <w:rPr>
          <w:rFonts w:ascii="宋体" w:hAnsi="宋体" w:eastAsia="宋体"/>
          <w:b/>
          <w:color w:val="auto"/>
          <w:sz w:val="21"/>
          <w:szCs w:val="21"/>
          <w:highlight w:val="none"/>
        </w:rPr>
        <w:br w:type="page" w:clear="all"/>
      </w:r>
      <w:r>
        <w:rPr>
          <w:rFonts w:hint="eastAsia" w:ascii="宋体" w:hAnsi="宋体" w:eastAsia="宋体"/>
          <w:b/>
          <w:color w:val="auto"/>
          <w:sz w:val="21"/>
          <w:szCs w:val="21"/>
          <w:highlight w:val="none"/>
        </w:rPr>
        <w:t xml:space="preserve">附件7、资格证明文件</w:t>
      </w:r>
      <w:r/>
    </w:p>
    <w:p>
      <w:pPr>
        <w:pStyle w:val="1035"/>
        <w:ind w:firstLine="0"/>
        <w:jc w:val="both"/>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(1) 资格文件的声明函</w:t>
      </w:r>
      <w:r/>
    </w:p>
    <w:p>
      <w:pPr>
        <w:pStyle w:val="1035"/>
        <w:ind w:firstLine="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35"/>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资格文件的声明函</w:t>
      </w:r>
      <w:r/>
    </w:p>
    <w:p>
      <w:pPr>
        <w:pStyle w:val="1035"/>
        <w:ind w:firstLine="0"/>
        <w:spacing w:line="40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1035"/>
        <w:ind w:firstLine="660"/>
        <w:spacing w:line="400" w:lineRule="exac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1035"/>
        <w:spacing w:line="40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35"/>
        <w:spacing w:line="400" w:lineRule="exac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法定代表人（签字或盖章）：</w:t>
      </w:r>
      <w:r/>
    </w:p>
    <w:p>
      <w:pPr>
        <w:pStyle w:val="1035"/>
        <w:ind w:left="1700" w:firstLine="425"/>
        <w:spacing w:line="40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响应单位（公章）：</w:t>
      </w:r>
      <w:r/>
    </w:p>
    <w:p>
      <w:pPr>
        <w:pStyle w:val="1035"/>
        <w:spacing w:line="400" w:lineRule="exac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日期：         年</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月</w:t>
      </w:r>
      <w:r>
        <w:rPr>
          <w:rFonts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日</w:t>
      </w:r>
      <w:r/>
    </w:p>
    <w:p>
      <w:pPr>
        <w:pStyle w:val="1035"/>
        <w:ind w:firstLine="0"/>
        <w:jc w:val="both"/>
        <w:shd w:val="clear" w:color="auto"/>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1035"/>
        <w:ind w:firstLine="0"/>
        <w:jc w:val="both"/>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rPr>
          <w:rFonts w:hint="eastAsia" w:ascii="宋体" w:hAnsi="宋体" w:eastAsia="宋体"/>
          <w:b/>
          <w:color w:val="auto"/>
          <w:sz w:val="21"/>
          <w:szCs w:val="21"/>
          <w:highlight w:val="none"/>
        </w:rPr>
        <w:t xml:space="preserve">(2)响应单位情况表</w:t>
      </w:r>
      <w:r/>
    </w:p>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响应单位情况表</w:t>
      </w:r>
      <w:r/>
    </w:p>
    <w:p>
      <w:pPr>
        <w:pStyle w:val="1035"/>
        <w:jc w:val="both"/>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35"/>
        <w:jc w:val="both"/>
        <w:shd w:val="clear" w:color="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单位名称（盖章）</w:t>
      </w:r>
      <w:r/>
    </w:p>
    <w:tbl>
      <w:tblPr>
        <w:tblStyle w:val="828"/>
        <w:tblW w:w="90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446"/>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2268"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tcW w:w="2694"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410"/>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注册地址</w:t>
            </w:r>
            <w:r/>
          </w:p>
        </w:tc>
        <w:tc>
          <w:tcPr>
            <w:tcW w:w="2268"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注册资金</w:t>
            </w:r>
            <w:r/>
          </w:p>
        </w:tc>
        <w:tc>
          <w:tcPr>
            <w:tcW w:w="2694" w:type="dxa"/>
            <w:textDirection w:val="lrTb"/>
            <w:noWrap w:val="false"/>
          </w:tcPr>
          <w:p>
            <w:pPr>
              <w:pStyle w:val="1035"/>
              <w:ind w:firstLine="216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402"/>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3"/>
            <w:tcW w:w="6521"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422"/>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企业资质等级</w:t>
            </w:r>
            <w:r/>
          </w:p>
        </w:tc>
        <w:tc>
          <w:tcPr>
            <w:tcW w:w="2268" w:type="dxa"/>
            <w:vAlign w:val="bottom"/>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员工总人数</w:t>
            </w:r>
            <w:r/>
          </w:p>
        </w:tc>
        <w:tc>
          <w:tcPr>
            <w:tcW w:w="2694" w:type="dxa"/>
            <w:vAlign w:val="bottom"/>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570"/>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8" w:type="dxa"/>
            <w:vAlign w:val="bottom"/>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559"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营业收入</w:t>
            </w:r>
            <w:r/>
          </w:p>
        </w:tc>
        <w:tc>
          <w:tcPr>
            <w:tcW w:w="2694" w:type="dxa"/>
            <w:vAlign w:val="bottom"/>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r>
      <w:tr>
        <w:trPr>
          <w:cantSplit/>
          <w:jc w:val="center"/>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2268" w:type="dxa"/>
            <w:vAlign w:val="bottom"/>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c>
          <w:tcPr>
            <w:tcW w:w="1559"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2694" w:type="dxa"/>
            <w:vAlign w:val="bottom"/>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平方米</w:t>
            </w:r>
            <w:r/>
          </w:p>
        </w:tc>
      </w:tr>
      <w:tr>
        <w:trPr>
          <w:cantSplit/>
          <w:jc w:val="center"/>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3"/>
            <w:tcW w:w="6521"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488"/>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3"/>
            <w:tcW w:w="6521"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1"/>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商业信誉和健全的财务会计制度介绍</w:t>
            </w:r>
            <w:r/>
          </w:p>
        </w:tc>
        <w:tc>
          <w:tcPr>
            <w:gridSpan w:val="3"/>
            <w:tcW w:w="6521"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1"/>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履行合同所必需的设备和专业技术能力情况</w:t>
            </w:r>
            <w:r/>
          </w:p>
        </w:tc>
        <w:tc>
          <w:tcPr>
            <w:gridSpan w:val="3"/>
            <w:tcW w:w="6521"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748"/>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依法缴纳税收和社会保障资金情况</w:t>
            </w:r>
            <w:r/>
          </w:p>
        </w:tc>
        <w:tc>
          <w:tcPr>
            <w:gridSpan w:val="3"/>
            <w:tcW w:w="6521"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1164"/>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参加政府采购活动前三年内，在经营活动中</w:t>
            </w:r>
            <w:r>
              <w:rPr>
                <w:rFonts w:hint="eastAsia" w:ascii="宋体" w:hAnsi="宋体" w:eastAsia="宋体"/>
                <w:color w:val="auto"/>
                <w:sz w:val="21"/>
                <w:szCs w:val="21"/>
                <w:highlight w:val="none"/>
              </w:rPr>
              <w:t xml:space="preserve">有无</w:t>
            </w:r>
            <w:r>
              <w:rPr>
                <w:rFonts w:ascii="宋体" w:hAnsi="宋体" w:eastAsia="宋体"/>
                <w:color w:val="auto"/>
                <w:sz w:val="21"/>
                <w:szCs w:val="21"/>
                <w:highlight w:val="none"/>
              </w:rPr>
              <w:t xml:space="preserve">重大违法记录</w:t>
            </w:r>
            <w:r/>
          </w:p>
        </w:tc>
        <w:tc>
          <w:tcPr>
            <w:gridSpan w:val="3"/>
            <w:tcW w:w="6521"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560"/>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3"/>
            <w:tcW w:w="6521"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560"/>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开票资料</w:t>
            </w:r>
            <w:r/>
          </w:p>
        </w:tc>
        <w:tc>
          <w:tcPr>
            <w:gridSpan w:val="3"/>
            <w:tcW w:w="6521"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560"/>
        </w:trPr>
        <w:tc>
          <w:tcPr>
            <w:tcW w:w="2552" w:type="dxa"/>
            <w:vAlign w:val="center"/>
            <w:textDirection w:val="lrTb"/>
            <w:noWrap w:val="false"/>
          </w:tcPr>
          <w:p>
            <w:pPr>
              <w:pStyle w:val="1035"/>
              <w:ind w:firstLine="0"/>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数字人民币账户</w:t>
            </w:r>
            <w:r/>
          </w:p>
        </w:tc>
        <w:tc>
          <w:tcPr>
            <w:gridSpan w:val="3"/>
            <w:tcW w:w="6521" w:type="dxa"/>
            <w:textDirection w:val="lrTb"/>
            <w:noWrap w:val="false"/>
          </w:tcPr>
          <w:p>
            <w:pPr>
              <w:pStyle w:val="1035"/>
              <w:ind w:firstLine="0"/>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jc w:val="center"/>
        <w:spacing w:before="100" w:beforeAutospacing="1" w:after="100" w:afterAutospacing="1" w:line="360" w:lineRule="auto"/>
        <w:shd w:val="clear" w:color="auto"/>
        <w:rPr>
          <w:rFonts w:ascii="宋体" w:hAnsi="宋体"/>
          <w:color w:val="auto"/>
          <w:highlight w:val="none"/>
        </w:rPr>
      </w:pPr>
      <w:r>
        <w:rPr>
          <w:rFonts w:ascii="宋体" w:hAnsi="宋体"/>
          <w:color w:val="auto"/>
          <w:highlight w:val="none"/>
        </w:rPr>
      </w:r>
      <w:r/>
    </w:p>
    <w:p>
      <w:pPr>
        <w:shd w:val="clear" w:color="auto"/>
        <w:rPr>
          <w:rFonts w:ascii="宋体" w:hAnsi="宋体"/>
          <w:b/>
          <w:color w:val="auto"/>
          <w:szCs w:val="21"/>
          <w:highlight w:val="none"/>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（3）中小企业声明函</w:t>
      </w:r>
      <w:r/>
    </w:p>
    <w:p>
      <w:pPr>
        <w:jc w:val="center"/>
        <w:spacing w:line="588" w:lineRule="exact"/>
        <w:shd w:val="clear" w:color="auto"/>
        <w:rPr>
          <w:rFonts w:ascii="宋体" w:hAnsi="宋体"/>
          <w:b/>
          <w:color w:val="auto"/>
          <w:spacing w:val="6"/>
          <w:highlight w:val="none"/>
        </w:rPr>
      </w:pPr>
      <w:r>
        <w:rPr>
          <w:rFonts w:ascii="宋体" w:hAnsi="宋体"/>
          <w:b/>
          <w:color w:val="auto"/>
          <w:spacing w:val="6"/>
          <w:highlight w:val="none"/>
        </w:rPr>
      </w:r>
      <w:r/>
    </w:p>
    <w:p>
      <w:pPr>
        <w:jc w:val="center"/>
        <w:spacing w:line="480" w:lineRule="auto"/>
        <w:shd w:val="clear" w:color="auto"/>
        <w:rPr>
          <w:rFonts w:ascii="宋体" w:hAnsi="宋体" w:cs="宋体"/>
          <w:color w:val="auto"/>
          <w:szCs w:val="21"/>
          <w:highlight w:val="none"/>
          <w:lang w:val="zh-CN"/>
        </w:rPr>
      </w:pPr>
      <w:r/>
      <w:bookmarkStart w:id="559" w:name="OLE_LINK14"/>
      <w:r/>
      <w:bookmarkStart w:id="560" w:name="OLE_LINK13"/>
      <w:r>
        <w:rPr>
          <w:rFonts w:hint="eastAsia" w:ascii="宋体" w:hAnsi="宋体" w:cs="宋体"/>
          <w:color w:val="auto"/>
          <w:szCs w:val="21"/>
          <w:highlight w:val="none"/>
          <w:lang w:val="zh-CN"/>
        </w:rPr>
        <w:t xml:space="preserve">中小企业声明函</w:t>
      </w:r>
      <w:r/>
    </w:p>
    <w:p>
      <w:pPr>
        <w:spacing w:line="48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______________________：</w:t>
      </w:r>
      <w:r/>
    </w:p>
    <w:p>
      <w:pPr>
        <w:ind w:firstLine="1575"/>
        <w:spacing w:line="48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48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本公司郑重声明，根据《政府采购促进中小企业发展管理办法》（财库﹝2020﹞46号）的规定，本公司参加</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（项目名称）</w:t>
      </w:r>
      <w:r>
        <w:rPr>
          <w:rFonts w:hint="eastAsia" w:ascii="宋体" w:hAnsi="宋体" w:cs="宋体"/>
          <w:color w:val="auto"/>
          <w:szCs w:val="21"/>
          <w:highlight w:val="none"/>
          <w:lang w:val="zh-CN"/>
        </w:rPr>
        <w:t xml:space="preserve">采购活动，</w:t>
      </w:r>
      <w:r>
        <w:rPr>
          <w:rFonts w:hint="eastAsia" w:ascii="宋体" w:hAnsi="宋体" w:cs="宋体"/>
          <w:bCs/>
          <w:color w:val="auto"/>
          <w:highlight w:val="none"/>
        </w:rPr>
        <w:t xml:space="preserve">工程的施工单位全部为符合政策要求的中小企业</w:t>
      </w:r>
      <w:r>
        <w:rPr>
          <w:rFonts w:hint="eastAsia" w:ascii="宋体" w:hAnsi="宋体" w:cs="宋体"/>
          <w:color w:val="auto"/>
          <w:szCs w:val="21"/>
          <w:highlight w:val="none"/>
          <w:lang w:val="zh-CN"/>
        </w:rPr>
        <w:t xml:space="preserve">。企业的具体情况如下： </w:t>
      </w:r>
      <w:r/>
    </w:p>
    <w:p>
      <w:pPr>
        <w:ind w:firstLine="420"/>
        <w:spacing w:line="48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建筑业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；承接企业为</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，从业人员</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人，营业收入为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万元，资产总额为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万元，属于</w:t>
      </w:r>
      <w:r>
        <w:rPr>
          <w:rFonts w:hint="eastAsia" w:ascii="宋体" w:hAnsi="宋体" w:cs="宋体"/>
          <w:color w:val="auto"/>
          <w:szCs w:val="21"/>
          <w:highlight w:val="none"/>
          <w:u w:val="single"/>
          <w:lang w:val="zh-CN"/>
        </w:rPr>
        <w:t xml:space="preserve">（中型企业、小型企业、微型企业，三者选其一</w:t>
      </w:r>
      <w:r>
        <w:rPr>
          <w:rFonts w:hint="eastAsia" w:ascii="宋体" w:hAnsi="宋体" w:cs="宋体"/>
          <w:color w:val="auto"/>
          <w:szCs w:val="21"/>
          <w:highlight w:val="none"/>
          <w:u w:val="single"/>
        </w:rPr>
        <w:t xml:space="preserve">填写</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lang w:val="zh-CN"/>
        </w:rPr>
        <w:t xml:space="preserve">； </w:t>
      </w:r>
      <w:r/>
    </w:p>
    <w:p>
      <w:pPr>
        <w:ind w:firstLine="420"/>
        <w:spacing w:line="48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20"/>
        <w:spacing w:line="48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                                                          企业名称（盖章）： </w:t>
      </w:r>
      <w:r/>
    </w:p>
    <w:p>
      <w:pPr>
        <w:ind w:firstLine="420"/>
        <w:spacing w:line="480" w:lineRule="auto"/>
        <w:shd w:val="clear" w:color="auto"/>
        <w:rPr>
          <w:rFonts w:ascii="宋体" w:hAnsi="宋体"/>
          <w:color w:val="auto"/>
          <w:szCs w:val="21"/>
          <w:highlight w:val="none"/>
        </w:rPr>
      </w:pPr>
      <w:r>
        <w:rPr>
          <w:rFonts w:hint="eastAsia" w:ascii="宋体" w:hAnsi="宋体" w:cs="宋体"/>
          <w:color w:val="auto"/>
          <w:szCs w:val="21"/>
          <w:highlight w:val="none"/>
          <w:lang w:val="zh-CN"/>
        </w:rPr>
        <w:t xml:space="preserve">                                                            日 期：</w:t>
      </w:r>
      <w:r/>
    </w:p>
    <w:p>
      <w:pPr>
        <w:shd w:val="clear" w:color="auto"/>
        <w:rPr>
          <w:rFonts w:ascii="宋体" w:hAnsi="宋体"/>
          <w:b/>
          <w:color w:val="auto"/>
          <w:szCs w:val="22"/>
          <w:highlight w:val="none"/>
        </w:rPr>
      </w:pPr>
      <w:r>
        <w:rPr>
          <w:rFonts w:hint="eastAsia" w:ascii="宋体" w:hAnsi="宋体"/>
          <w:b/>
          <w:color w:val="auto"/>
          <w:szCs w:val="22"/>
          <w:highlight w:val="none"/>
        </w:rPr>
        <w:br w:type="page" w:clear="all"/>
      </w:r>
      <w:r/>
    </w:p>
    <w:p>
      <w:pPr>
        <w:ind w:firstLine="422"/>
        <w:shd w:val="clear" w:color="auto"/>
        <w:rPr>
          <w:rFonts w:ascii="宋体" w:hAnsi="宋体"/>
          <w:b/>
          <w:color w:val="auto"/>
          <w:szCs w:val="22"/>
          <w:highlight w:val="none"/>
        </w:rPr>
      </w:pPr>
      <w:r>
        <w:rPr>
          <w:rFonts w:hint="eastAsia" w:ascii="宋体" w:hAnsi="宋体"/>
          <w:b/>
          <w:color w:val="auto"/>
          <w:szCs w:val="22"/>
          <w:highlight w:val="none"/>
        </w:rPr>
        <w:t xml:space="preserve">附：中小企业划型标准规定（工信部联企业〔2011〕300号）</w:t>
      </w:r>
      <w:r/>
    </w:p>
    <w:p>
      <w:pPr>
        <w:ind w:firstLine="422"/>
        <w:shd w:val="clear" w:color="auto"/>
        <w:rPr>
          <w:rFonts w:ascii="宋体" w:hAnsi="宋体"/>
          <w:b/>
          <w:color w:val="auto"/>
          <w:szCs w:val="22"/>
          <w:highlight w:val="none"/>
        </w:rPr>
      </w:pPr>
      <w:r>
        <w:rPr>
          <w:rFonts w:ascii="宋体" w:hAnsi="宋体"/>
          <w:b/>
          <w:color w:val="auto"/>
          <w:szCs w:val="22"/>
          <w:highlight w:val="none"/>
        </w:rPr>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（一）农、林、牧、渔业。</w:t>
      </w:r>
      <w:r>
        <w:rPr>
          <w:rFonts w:hint="eastAsia" w:ascii="宋体" w:hAnsi="宋体"/>
          <w:color w:val="auto"/>
          <w:szCs w:val="22"/>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（二）工业。</w:t>
      </w:r>
      <w:r>
        <w:rPr>
          <w:rFonts w:hint="eastAsia" w:ascii="宋体" w:hAnsi="宋体"/>
          <w:color w:val="auto"/>
          <w:szCs w:val="22"/>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（三）建筑业。</w:t>
      </w:r>
      <w:r>
        <w:rPr>
          <w:rFonts w:hint="eastAsia" w:ascii="宋体" w:hAnsi="宋体"/>
          <w:color w:val="auto"/>
          <w:szCs w:val="22"/>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（四）批发业。</w:t>
      </w:r>
      <w:r>
        <w:rPr>
          <w:rFonts w:hint="eastAsia" w:ascii="宋体" w:hAnsi="宋体"/>
          <w:color w:val="auto"/>
          <w:szCs w:val="22"/>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（五）零售业。</w:t>
      </w:r>
      <w:r>
        <w:rPr>
          <w:rFonts w:hint="eastAsia" w:ascii="宋体" w:hAnsi="宋体"/>
          <w:color w:val="auto"/>
          <w:szCs w:val="22"/>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（六）交通运输业。</w:t>
      </w:r>
      <w:r>
        <w:rPr>
          <w:rFonts w:hint="eastAsia" w:ascii="宋体" w:hAnsi="宋体"/>
          <w:color w:val="auto"/>
          <w:szCs w:val="22"/>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（七）仓储业。</w:t>
      </w:r>
      <w:r>
        <w:rPr>
          <w:rFonts w:hint="eastAsia" w:ascii="宋体" w:hAnsi="宋体"/>
          <w:color w:val="auto"/>
          <w:szCs w:val="22"/>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（八）邮政业。</w:t>
      </w:r>
      <w:r>
        <w:rPr>
          <w:rFonts w:hint="eastAsia" w:ascii="宋体" w:hAnsi="宋体"/>
          <w:color w:val="auto"/>
          <w:szCs w:val="22"/>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（九）住宿业。</w:t>
      </w:r>
      <w:r>
        <w:rPr>
          <w:rFonts w:hint="eastAsia" w:ascii="宋体" w:hAnsi="宋体"/>
          <w:color w:val="auto"/>
          <w:szCs w:val="22"/>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（十）餐饮业。</w:t>
      </w:r>
      <w:r>
        <w:rPr>
          <w:rFonts w:hint="eastAsia" w:ascii="宋体" w:hAnsi="宋体"/>
          <w:color w:val="auto"/>
          <w:szCs w:val="22"/>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（十一）信息传输业。</w:t>
      </w:r>
      <w:r>
        <w:rPr>
          <w:rFonts w:hint="eastAsia" w:ascii="宋体" w:hAnsi="宋体"/>
          <w:color w:val="auto"/>
          <w:szCs w:val="22"/>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（十二）软件和信息技术服务业。</w:t>
      </w:r>
      <w:r>
        <w:rPr>
          <w:rFonts w:hint="eastAsia" w:ascii="宋体" w:hAnsi="宋体"/>
          <w:color w:val="auto"/>
          <w:szCs w:val="22"/>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（十三）房地产开发经营。</w:t>
      </w:r>
      <w:r>
        <w:rPr>
          <w:rFonts w:hint="eastAsia" w:ascii="宋体" w:hAnsi="宋体"/>
          <w:color w:val="auto"/>
          <w:szCs w:val="22"/>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（十四）物业管理。</w:t>
      </w:r>
      <w:r>
        <w:rPr>
          <w:rFonts w:hint="eastAsia" w:ascii="宋体" w:hAnsi="宋体"/>
          <w:color w:val="auto"/>
          <w:szCs w:val="22"/>
          <w:highlight w:val="none"/>
        </w:rPr>
        <w:t xml:space="preserve">从业人员1000人以下或营业收入5000万元以下的为中小微型企业。其中，从业人员</w:t>
      </w:r>
      <w:r/>
    </w:p>
    <w:p>
      <w:pPr>
        <w:ind w:firstLine="420"/>
        <w:shd w:val="clear" w:color="auto"/>
        <w:rPr>
          <w:rFonts w:ascii="宋体" w:hAnsi="宋体"/>
          <w:color w:val="auto"/>
          <w:szCs w:val="22"/>
          <w:highlight w:val="none"/>
        </w:rPr>
      </w:pPr>
      <w:r>
        <w:rPr>
          <w:rFonts w:hint="eastAsia" w:ascii="宋体" w:hAnsi="宋体"/>
          <w:color w:val="auto"/>
          <w:szCs w:val="22"/>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（十五）租赁和商务服务业。</w:t>
      </w:r>
      <w:r>
        <w:rPr>
          <w:rFonts w:hint="eastAsia" w:ascii="宋体" w:hAnsi="宋体"/>
          <w:color w:val="auto"/>
          <w:szCs w:val="22"/>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hd w:val="clear" w:color="auto"/>
        <w:rPr>
          <w:rFonts w:ascii="宋体" w:hAnsi="宋体"/>
          <w:color w:val="auto"/>
          <w:szCs w:val="22"/>
          <w:highlight w:val="none"/>
        </w:rPr>
      </w:pPr>
      <w:r>
        <w:rPr>
          <w:rFonts w:hint="eastAsia" w:ascii="宋体" w:hAnsi="宋体"/>
          <w:b/>
          <w:color w:val="auto"/>
          <w:szCs w:val="22"/>
          <w:highlight w:val="none"/>
        </w:rPr>
        <w:t xml:space="preserve">（十六）其他未列明行业。</w:t>
      </w:r>
      <w:r>
        <w:rPr>
          <w:rFonts w:hint="eastAsia" w:ascii="宋体" w:hAnsi="宋体"/>
          <w:color w:val="auto"/>
          <w:szCs w:val="22"/>
          <w:highlight w:val="none"/>
        </w:rPr>
        <w:t xml:space="preserve">从业人员300人以下的为中小微型企业。其中，从业人员100人及以上的为中型企业；从业人员10人及以上的为小型企业；从业人员10人以下的为微型企业。</w:t>
      </w:r>
      <w:r/>
    </w:p>
    <w:p>
      <w:pPr>
        <w:shd w:val="clear" w:color="auto"/>
        <w:rPr>
          <w:rFonts w:hAnsi="宋体"/>
          <w:b/>
          <w:color w:val="auto"/>
          <w:szCs w:val="21"/>
          <w:highlight w:val="none"/>
        </w:rPr>
      </w:pPr>
      <w:r>
        <w:rPr>
          <w:rFonts w:hAnsi="宋体"/>
          <w:b/>
          <w:color w:val="auto"/>
          <w:szCs w:val="21"/>
          <w:highlight w:val="none"/>
        </w:rPr>
        <w:br w:type="page" w:clear="all"/>
      </w:r>
      <w:r>
        <w:rPr>
          <w:rFonts w:hint="eastAsia" w:hAnsi="宋体"/>
          <w:b/>
          <w:color w:val="auto"/>
          <w:szCs w:val="21"/>
          <w:highlight w:val="none"/>
        </w:rPr>
        <w:t xml:space="preserve">（4）残疾人福利性单位声明函</w:t>
      </w:r>
      <w:r/>
    </w:p>
    <w:p>
      <w:pPr>
        <w:jc w:val="center"/>
        <w:spacing w:line="480" w:lineRule="exact"/>
        <w:shd w:val="clear" w:color="auto"/>
        <w:rPr>
          <w:rFonts w:ascii="宋体" w:hAnsi="宋体"/>
          <w:color w:val="auto"/>
          <w:spacing w:val="6"/>
          <w:sz w:val="44"/>
          <w:szCs w:val="32"/>
          <w:highlight w:val="none"/>
        </w:rPr>
      </w:pPr>
      <w:r>
        <w:rPr>
          <w:rFonts w:hint="eastAsia" w:ascii="宋体" w:hAnsi="宋体"/>
          <w:color w:val="auto"/>
          <w:szCs w:val="21"/>
          <w:highlight w:val="none"/>
          <w:lang w:val="zh-CN"/>
        </w:rPr>
        <w:t xml:space="preserve">残疾人福利性单位声明函</w:t>
      </w:r>
      <w:bookmarkEnd w:id="559"/>
      <w:r/>
      <w:bookmarkEnd w:id="560"/>
      <w:r/>
      <w:r/>
    </w:p>
    <w:p>
      <w:pPr>
        <w:spacing w:line="580" w:lineRule="exact"/>
        <w:shd w:val="clear" w:color="auto"/>
        <w:rPr>
          <w:rFonts w:ascii="宋体" w:hAnsi="宋体"/>
          <w:b/>
          <w:color w:val="auto"/>
          <w:spacing w:val="6"/>
          <w:szCs w:val="32"/>
          <w:highlight w:val="none"/>
        </w:rPr>
      </w:pPr>
      <w:r>
        <w:rPr>
          <w:rFonts w:ascii="宋体" w:hAnsi="宋体"/>
          <w:b/>
          <w:color w:val="auto"/>
          <w:spacing w:val="6"/>
          <w:szCs w:val="32"/>
          <w:highlight w:val="none"/>
        </w:rPr>
      </w:r>
      <w:r/>
    </w:p>
    <w:p>
      <w:pPr>
        <w:ind w:firstLine="444"/>
        <w:spacing w:line="580" w:lineRule="exact"/>
        <w:shd w:val="clear" w:color="auto"/>
        <w:rPr>
          <w:rFonts w:ascii="宋体" w:hAnsi="宋体"/>
          <w:color w:val="auto"/>
          <w:spacing w:val="6"/>
          <w:szCs w:val="21"/>
          <w:highlight w:val="none"/>
        </w:rPr>
      </w:pPr>
      <w:r>
        <w:rPr>
          <w:rFonts w:hint="eastAsia" w:ascii="宋体" w:hAnsi="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rPr>
        <w:t xml:space="preserve">〔2017〕141</w:t>
      </w:r>
      <w:r>
        <w:rPr>
          <w:rFonts w:hint="eastAsia" w:ascii="宋体" w:hAnsi="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shd w:val="clear" w:color="auto"/>
        <w:rPr>
          <w:rFonts w:ascii="宋体" w:hAnsi="宋体"/>
          <w:color w:val="auto"/>
          <w:spacing w:val="6"/>
          <w:szCs w:val="21"/>
          <w:highlight w:val="none"/>
        </w:rPr>
      </w:pPr>
      <w:r>
        <w:rPr>
          <w:rFonts w:hint="eastAsia" w:ascii="宋体" w:hAnsi="宋体"/>
          <w:color w:val="auto"/>
          <w:spacing w:val="6"/>
          <w:szCs w:val="21"/>
          <w:highlight w:val="none"/>
        </w:rPr>
        <w:t xml:space="preserve">本单位对上述声明的真实性负责。如有虚假，将依法承担相应责任。</w:t>
      </w:r>
      <w:r/>
    </w:p>
    <w:p>
      <w:pPr>
        <w:ind w:firstLine="444"/>
        <w:spacing w:line="580" w:lineRule="exact"/>
        <w:shd w:val="clear" w:color="auto"/>
        <w:rPr>
          <w:rFonts w:ascii="宋体" w:hAnsi="宋体"/>
          <w:color w:val="auto"/>
          <w:spacing w:val="6"/>
          <w:szCs w:val="21"/>
          <w:highlight w:val="none"/>
        </w:rPr>
      </w:pPr>
      <w:r>
        <w:rPr>
          <w:rFonts w:ascii="宋体" w:hAnsi="宋体"/>
          <w:color w:val="auto"/>
          <w:spacing w:val="6"/>
          <w:szCs w:val="21"/>
          <w:highlight w:val="none"/>
        </w:rPr>
      </w:r>
      <w:r/>
    </w:p>
    <w:p>
      <w:pPr>
        <w:ind w:firstLine="444"/>
        <w:spacing w:line="580" w:lineRule="exact"/>
        <w:shd w:val="clear" w:color="auto"/>
        <w:rPr>
          <w:rFonts w:ascii="宋体" w:hAnsi="宋体"/>
          <w:color w:val="auto"/>
          <w:spacing w:val="6"/>
          <w:szCs w:val="21"/>
          <w:highlight w:val="none"/>
        </w:rPr>
      </w:pPr>
      <w:r>
        <w:rPr>
          <w:rFonts w:ascii="宋体" w:hAnsi="宋体"/>
          <w:color w:val="auto"/>
          <w:spacing w:val="6"/>
          <w:szCs w:val="21"/>
          <w:highlight w:val="none"/>
        </w:rPr>
      </w:r>
      <w:r/>
    </w:p>
    <w:p>
      <w:pPr>
        <w:ind w:right="1560" w:firstLine="444"/>
        <w:jc w:val="center"/>
        <w:spacing w:line="580" w:lineRule="exact"/>
        <w:shd w:val="clear" w:color="auto"/>
        <w:tabs>
          <w:tab w:val="left" w:pos="4860" w:leader="none"/>
        </w:tabs>
        <w:rPr>
          <w:rFonts w:ascii="宋体" w:hAnsi="宋体"/>
          <w:color w:val="auto"/>
          <w:spacing w:val="6"/>
          <w:szCs w:val="21"/>
          <w:highlight w:val="none"/>
        </w:rPr>
      </w:pPr>
      <w:r>
        <w:rPr>
          <w:rFonts w:hint="eastAsia" w:ascii="宋体" w:hAnsi="宋体"/>
          <w:color w:val="auto"/>
          <w:spacing w:val="6"/>
          <w:szCs w:val="21"/>
          <w:highlight w:val="none"/>
        </w:rPr>
        <w:t xml:space="preserve">                    单位名称（盖章）：</w:t>
      </w:r>
      <w:r/>
    </w:p>
    <w:p>
      <w:pPr>
        <w:spacing w:line="360" w:lineRule="auto"/>
        <w:shd w:val="clear" w:color="auto"/>
        <w:rPr>
          <w:rFonts w:ascii="宋体" w:hAnsi="宋体"/>
          <w:color w:val="auto"/>
          <w:spacing w:val="6"/>
          <w:szCs w:val="21"/>
          <w:highlight w:val="none"/>
        </w:rPr>
      </w:pPr>
      <w:r>
        <w:rPr>
          <w:rFonts w:hint="eastAsia" w:ascii="宋体" w:hAnsi="宋体"/>
          <w:color w:val="auto"/>
          <w:spacing w:val="6"/>
          <w:szCs w:val="21"/>
          <w:highlight w:val="none"/>
        </w:rPr>
        <w:t xml:space="preserve">                                      </w:t>
      </w:r>
      <w:r>
        <w:rPr>
          <w:rFonts w:ascii="宋体" w:hAnsi="宋体"/>
          <w:color w:val="auto"/>
          <w:spacing w:val="6"/>
          <w:szCs w:val="21"/>
          <w:highlight w:val="none"/>
        </w:rPr>
        <w:t xml:space="preserve"> </w:t>
      </w:r>
      <w:r>
        <w:rPr>
          <w:rFonts w:hint="eastAsia" w:ascii="宋体" w:hAnsi="宋体"/>
          <w:color w:val="auto"/>
          <w:spacing w:val="6"/>
          <w:szCs w:val="21"/>
          <w:highlight w:val="none"/>
        </w:rPr>
        <w:t xml:space="preserve"> </w:t>
      </w:r>
      <w:r>
        <w:rPr>
          <w:rFonts w:ascii="宋体" w:hAnsi="宋体"/>
          <w:color w:val="auto"/>
          <w:spacing w:val="6"/>
          <w:szCs w:val="21"/>
          <w:highlight w:val="none"/>
        </w:rPr>
        <w:t xml:space="preserve">日期：</w:t>
      </w:r>
      <w:r>
        <w:rPr>
          <w:rFonts w:hint="eastAsia" w:ascii="宋体" w:hAnsi="宋体"/>
          <w:color w:val="auto"/>
          <w:spacing w:val="6"/>
          <w:szCs w:val="21"/>
          <w:highlight w:val="none"/>
        </w:rPr>
        <w:t xml:space="preserve"> </w:t>
      </w:r>
      <w:r>
        <w:rPr>
          <w:rFonts w:ascii="宋体" w:hAnsi="宋体"/>
          <w:color w:val="auto"/>
          <w:spacing w:val="6"/>
          <w:szCs w:val="21"/>
          <w:highlight w:val="none"/>
        </w:rPr>
        <w:t xml:space="preserve">            </w:t>
      </w:r>
      <w:r>
        <w:rPr>
          <w:rFonts w:hint="eastAsia" w:ascii="宋体" w:hAnsi="宋体"/>
          <w:color w:val="auto"/>
          <w:spacing w:val="6"/>
          <w:szCs w:val="21"/>
          <w:highlight w:val="none"/>
        </w:rPr>
        <w:t xml:space="preserve">年 </w:t>
      </w:r>
      <w:r>
        <w:rPr>
          <w:rFonts w:ascii="宋体" w:hAnsi="宋体"/>
          <w:color w:val="auto"/>
          <w:spacing w:val="6"/>
          <w:szCs w:val="21"/>
          <w:highlight w:val="none"/>
        </w:rPr>
        <w:t xml:space="preserve">   </w:t>
      </w:r>
      <w:r>
        <w:rPr>
          <w:rFonts w:hint="eastAsia" w:ascii="宋体" w:hAnsi="宋体"/>
          <w:color w:val="auto"/>
          <w:spacing w:val="6"/>
          <w:szCs w:val="21"/>
          <w:highlight w:val="none"/>
        </w:rPr>
        <w:t xml:space="preserve">月 </w:t>
      </w:r>
      <w:r>
        <w:rPr>
          <w:rFonts w:ascii="宋体" w:hAnsi="宋体"/>
          <w:color w:val="auto"/>
          <w:spacing w:val="6"/>
          <w:szCs w:val="21"/>
          <w:highlight w:val="none"/>
        </w:rPr>
        <w:t xml:space="preserve">   </w:t>
      </w:r>
      <w:r>
        <w:rPr>
          <w:rFonts w:hint="eastAsia" w:ascii="宋体" w:hAnsi="宋体"/>
          <w:color w:val="auto"/>
          <w:spacing w:val="6"/>
          <w:szCs w:val="21"/>
          <w:highlight w:val="none"/>
        </w:rPr>
        <w:t xml:space="preserve">日</w:t>
      </w:r>
      <w:r/>
    </w:p>
    <w:p>
      <w:pPr>
        <w:pStyle w:val="1035"/>
        <w:ind w:firstLine="0"/>
        <w:spacing w:line="360" w:lineRule="auto"/>
        <w:shd w:val="clear" w:color="auto"/>
        <w:rPr>
          <w:rFonts w:ascii="宋体" w:hAnsi="宋体" w:eastAsia="宋体"/>
          <w:b/>
          <w:color w:val="auto"/>
          <w:sz w:val="21"/>
          <w:szCs w:val="21"/>
          <w:highlight w:val="none"/>
        </w:rPr>
      </w:pPr>
      <w:r>
        <w:rPr>
          <w:rFonts w:ascii="宋体" w:hAnsi="宋体"/>
          <w:color w:val="auto"/>
          <w:spacing w:val="6"/>
          <w:szCs w:val="21"/>
          <w:highlight w:val="none"/>
        </w:rPr>
        <w:br w:type="page" w:clear="all"/>
      </w:r>
      <w:r>
        <w:rPr>
          <w:rFonts w:hint="eastAsia" w:ascii="宋体" w:hAnsi="宋体" w:eastAsia="宋体"/>
          <w:b/>
          <w:color w:val="auto"/>
          <w:sz w:val="21"/>
          <w:szCs w:val="21"/>
          <w:highlight w:val="none"/>
        </w:rPr>
        <w:t xml:space="preserve">（5）投标人与其他单位存在控股、管理关系情况表</w:t>
      </w:r>
      <w:r/>
    </w:p>
    <w:p>
      <w:pPr>
        <w:jc w:val="center"/>
        <w:spacing w:line="360" w:lineRule="auto"/>
        <w:shd w:val="clear" w:color="auto"/>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p>
    <w:p>
      <w:pPr>
        <w:jc w:val="center"/>
        <w:spacing w:line="360" w:lineRule="auto"/>
        <w:shd w:val="clear" w:color="auto"/>
        <w:widowControl/>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投标人与其他单位存在控股、管理关系情况表</w:t>
      </w:r>
      <w:r/>
    </w:p>
    <w:tbl>
      <w:tblPr>
        <w:tblStyle w:val="828"/>
        <w:tblW w:w="111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704"/>
        <w:gridCol w:w="1506"/>
        <w:gridCol w:w="1580"/>
        <w:gridCol w:w="1440"/>
        <w:gridCol w:w="1711"/>
        <w:gridCol w:w="1268"/>
      </w:tblGrid>
      <w:tr>
        <w:trPr>
          <w:jc w:val="center"/>
          <w:trHeight w:val="766"/>
        </w:trPr>
        <w:tc>
          <w:tcPr>
            <w:gridSpan w:val="4"/>
            <w:tcW w:w="6767" w:type="dxa"/>
            <w:vAlign w:val="center"/>
            <w:textDirection w:val="lrTb"/>
            <w:noWrap w:val="false"/>
          </w:tcPr>
          <w:p>
            <w:pPr>
              <w:jc w:val="center"/>
              <w:shd w:val="clear" w:color="auto"/>
              <w:widowControl/>
              <w:rPr>
                <w:rFonts w:ascii="宋体" w:hAnsi="宋体"/>
                <w:b/>
                <w:color w:val="auto"/>
                <w:szCs w:val="21"/>
                <w:highlight w:val="none"/>
              </w:rPr>
            </w:pPr>
            <w:r>
              <w:rPr>
                <w:rFonts w:hint="eastAsia" w:ascii="宋体" w:hAnsi="宋体"/>
                <w:b/>
                <w:color w:val="auto"/>
                <w:szCs w:val="21"/>
                <w:highlight w:val="none"/>
              </w:rPr>
              <w:t xml:space="preserve">与投标人存在直接股权关系</w:t>
            </w:r>
            <w:r/>
          </w:p>
        </w:tc>
        <w:tc>
          <w:tcPr>
            <w:gridSpan w:val="3"/>
            <w:tcW w:w="4419" w:type="dxa"/>
            <w:vAlign w:val="center"/>
            <w:textDirection w:val="lrTb"/>
            <w:noWrap w:val="false"/>
          </w:tcPr>
          <w:p>
            <w:pPr>
              <w:jc w:val="center"/>
              <w:shd w:val="clear" w:color="auto"/>
              <w:widowControl/>
              <w:rPr>
                <w:rFonts w:ascii="宋体" w:hAnsi="宋体"/>
                <w:b/>
                <w:color w:val="auto"/>
                <w:szCs w:val="21"/>
                <w:highlight w:val="none"/>
              </w:rPr>
            </w:pPr>
            <w:r>
              <w:rPr>
                <w:rFonts w:hint="eastAsia" w:ascii="宋体" w:hAnsi="宋体"/>
                <w:b/>
                <w:color w:val="auto"/>
                <w:szCs w:val="21"/>
                <w:highlight w:val="none"/>
              </w:rPr>
              <w:t xml:space="preserve">与投标人存在直接管理关系</w:t>
            </w:r>
            <w:r/>
          </w:p>
        </w:tc>
      </w:tr>
      <w:tr>
        <w:trPr>
          <w:jc w:val="center"/>
          <w:trHeight w:val="768"/>
        </w:trPr>
        <w:tc>
          <w:tcPr>
            <w:tcW w:w="1977" w:type="dxa"/>
            <w:vAlign w:val="center"/>
            <w:textDirection w:val="lrTb"/>
            <w:noWrap w:val="false"/>
          </w:tcPr>
          <w:p>
            <w:pPr>
              <w:jc w:val="center"/>
              <w:shd w:val="clear" w:color="auto"/>
              <w:widowControl/>
              <w:rPr>
                <w:rFonts w:ascii="宋体" w:hAnsi="宋体"/>
                <w:b/>
                <w:color w:val="auto"/>
                <w:szCs w:val="21"/>
                <w:highlight w:val="none"/>
              </w:rPr>
            </w:pPr>
            <w:r>
              <w:rPr>
                <w:rFonts w:hint="eastAsia" w:ascii="宋体" w:hAnsi="宋体"/>
                <w:b/>
                <w:color w:val="auto"/>
                <w:szCs w:val="21"/>
                <w:highlight w:val="none"/>
              </w:rPr>
              <w:t xml:space="preserve">单位名称</w:t>
            </w:r>
            <w:r/>
          </w:p>
        </w:tc>
        <w:tc>
          <w:tcPr>
            <w:tcW w:w="1704" w:type="dxa"/>
            <w:vAlign w:val="center"/>
            <w:textDirection w:val="lrTb"/>
            <w:noWrap w:val="false"/>
          </w:tcPr>
          <w:p>
            <w:pPr>
              <w:jc w:val="center"/>
              <w:shd w:val="clear" w:color="auto"/>
              <w:widowControl/>
              <w:rPr>
                <w:rFonts w:ascii="宋体" w:hAnsi="宋体"/>
                <w:b/>
                <w:color w:val="auto"/>
                <w:szCs w:val="21"/>
                <w:highlight w:val="none"/>
              </w:rPr>
            </w:pPr>
            <w:r>
              <w:rPr>
                <w:rFonts w:hint="eastAsia" w:ascii="宋体" w:hAnsi="宋体"/>
                <w:b/>
                <w:color w:val="auto"/>
                <w:szCs w:val="21"/>
                <w:highlight w:val="none"/>
              </w:rPr>
              <w:t xml:space="preserve">是否为大型企业</w:t>
            </w:r>
            <w:r/>
          </w:p>
          <w:p>
            <w:pPr>
              <w:jc w:val="center"/>
              <w:shd w:val="clear" w:color="auto"/>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506" w:type="dxa"/>
            <w:textDirection w:val="lrTb"/>
            <w:noWrap w:val="false"/>
          </w:tcPr>
          <w:p>
            <w:pPr>
              <w:jc w:val="center"/>
              <w:shd w:val="clear" w:color="auto"/>
              <w:widowControl/>
              <w:rPr>
                <w:rFonts w:ascii="宋体" w:hAnsi="宋体"/>
                <w:b/>
                <w:color w:val="auto"/>
                <w:szCs w:val="21"/>
                <w:highlight w:val="none"/>
              </w:rPr>
            </w:pPr>
            <w:r>
              <w:rPr>
                <w:rFonts w:hint="eastAsia" w:ascii="宋体" w:hAnsi="宋体"/>
                <w:b/>
                <w:color w:val="auto"/>
                <w:szCs w:val="21"/>
                <w:highlight w:val="none"/>
              </w:rPr>
              <w:t xml:space="preserve">是否直接控股</w:t>
            </w:r>
            <w:r/>
          </w:p>
          <w:p>
            <w:pPr>
              <w:jc w:val="center"/>
              <w:shd w:val="clear" w:color="auto"/>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580" w:type="dxa"/>
            <w:vAlign w:val="center"/>
            <w:textDirection w:val="lrTb"/>
            <w:noWrap w:val="false"/>
          </w:tcPr>
          <w:p>
            <w:pPr>
              <w:jc w:val="center"/>
              <w:shd w:val="clear" w:color="auto"/>
              <w:widowControl/>
              <w:rPr>
                <w:rFonts w:ascii="宋体" w:hAnsi="宋体"/>
                <w:b/>
                <w:color w:val="auto"/>
                <w:szCs w:val="21"/>
                <w:highlight w:val="none"/>
              </w:rPr>
            </w:pPr>
            <w:r>
              <w:rPr>
                <w:rFonts w:hint="eastAsia" w:ascii="宋体" w:hAnsi="宋体"/>
                <w:b/>
                <w:color w:val="auto"/>
                <w:szCs w:val="21"/>
                <w:highlight w:val="none"/>
              </w:rPr>
              <w:t xml:space="preserve">直接控股关系情况说明（持股比例等）</w:t>
            </w:r>
            <w:r/>
          </w:p>
        </w:tc>
        <w:tc>
          <w:tcPr>
            <w:tcW w:w="1440" w:type="dxa"/>
            <w:vAlign w:val="center"/>
            <w:textDirection w:val="lrTb"/>
            <w:noWrap w:val="false"/>
          </w:tcPr>
          <w:p>
            <w:pPr>
              <w:jc w:val="center"/>
              <w:shd w:val="clear" w:color="auto"/>
              <w:widowControl/>
              <w:rPr>
                <w:rFonts w:ascii="宋体" w:hAnsi="宋体"/>
                <w:b/>
                <w:color w:val="auto"/>
                <w:szCs w:val="21"/>
                <w:highlight w:val="none"/>
              </w:rPr>
            </w:pPr>
            <w:r>
              <w:rPr>
                <w:rFonts w:hint="eastAsia" w:ascii="宋体" w:hAnsi="宋体"/>
                <w:b/>
                <w:color w:val="auto"/>
                <w:szCs w:val="21"/>
                <w:highlight w:val="none"/>
              </w:rPr>
              <w:t xml:space="preserve">单位名称</w:t>
            </w:r>
            <w:r/>
          </w:p>
        </w:tc>
        <w:tc>
          <w:tcPr>
            <w:tcW w:w="1711" w:type="dxa"/>
            <w:vAlign w:val="center"/>
            <w:textDirection w:val="lrTb"/>
            <w:noWrap w:val="false"/>
          </w:tcPr>
          <w:p>
            <w:pPr>
              <w:jc w:val="center"/>
              <w:shd w:val="clear" w:color="auto"/>
              <w:widowControl/>
              <w:rPr>
                <w:rFonts w:ascii="宋体" w:hAnsi="宋体"/>
                <w:b/>
                <w:color w:val="auto"/>
                <w:szCs w:val="21"/>
                <w:highlight w:val="none"/>
              </w:rPr>
            </w:pPr>
            <w:r>
              <w:rPr>
                <w:rFonts w:hint="eastAsia" w:ascii="宋体" w:hAnsi="宋体"/>
                <w:b/>
                <w:color w:val="auto"/>
                <w:szCs w:val="21"/>
                <w:highlight w:val="none"/>
              </w:rPr>
              <w:t xml:space="preserve">是否为大型企业</w:t>
            </w:r>
            <w:r/>
          </w:p>
          <w:p>
            <w:pPr>
              <w:jc w:val="center"/>
              <w:shd w:val="clear" w:color="auto"/>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268" w:type="dxa"/>
            <w:vAlign w:val="center"/>
            <w:textDirection w:val="lrTb"/>
            <w:noWrap w:val="false"/>
          </w:tcPr>
          <w:p>
            <w:pPr>
              <w:jc w:val="center"/>
              <w:shd w:val="clear" w:color="auto"/>
              <w:widowControl/>
              <w:rPr>
                <w:rFonts w:ascii="宋体" w:hAnsi="宋体"/>
                <w:b/>
                <w:color w:val="auto"/>
                <w:szCs w:val="21"/>
                <w:highlight w:val="none"/>
              </w:rPr>
            </w:pPr>
            <w:r>
              <w:rPr>
                <w:rFonts w:hint="eastAsia" w:ascii="宋体" w:hAnsi="宋体"/>
                <w:b/>
                <w:color w:val="auto"/>
                <w:szCs w:val="21"/>
                <w:highlight w:val="none"/>
              </w:rPr>
              <w:t xml:space="preserve">直接管理关系情况说明</w:t>
            </w:r>
            <w:r/>
          </w:p>
        </w:tc>
      </w:tr>
      <w:tr>
        <w:trPr>
          <w:jc w:val="center"/>
          <w:trHeight w:val="850"/>
        </w:trPr>
        <w:tc>
          <w:tcPr>
            <w:tcW w:w="1977"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shd w:val="clear" w:color="auto"/>
              <w:widowControl/>
              <w:rPr>
                <w:rFonts w:ascii="宋体" w:hAnsi="宋体"/>
                <w:b/>
                <w:color w:val="auto"/>
                <w:szCs w:val="21"/>
                <w:highlight w:val="none"/>
              </w:rPr>
            </w:pPr>
            <w:r>
              <w:rPr>
                <w:rFonts w:ascii="宋体" w:hAnsi="宋体"/>
                <w:b/>
                <w:color w:val="auto"/>
                <w:szCs w:val="21"/>
                <w:highlight w:val="none"/>
              </w:rPr>
            </w:r>
            <w:r/>
          </w:p>
        </w:tc>
      </w:tr>
    </w:tbl>
    <w:p>
      <w:pPr>
        <w:ind w:firstLine="567"/>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注：1、本表仅须填写与投标人存在直接股权、管理关系的企业情况。投标人应按上表要求据实填写，如填写“无”或不填写，均视为投标人声明不存在有关情形。</w:t>
      </w:r>
      <w:r/>
    </w:p>
    <w:p>
      <w:pPr>
        <w:ind w:firstLine="567"/>
        <w:spacing w:after="120"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2、其中“直接控股”是指投标人与大型企业之间存在直接投资并控股（非普通持股）的关系。</w:t>
      </w:r>
      <w:r/>
    </w:p>
    <w:p>
      <w:pPr>
        <w:ind w:firstLine="567"/>
        <w:spacing w:after="120" w:line="360" w:lineRule="auto"/>
        <w:shd w:val="clear" w:color="auto"/>
        <w:rPr>
          <w:rFonts w:ascii="宋体" w:hAnsi="宋体"/>
          <w:b/>
          <w:color w:val="auto"/>
          <w:szCs w:val="21"/>
          <w:highlight w:val="none"/>
        </w:rPr>
      </w:pPr>
      <w:r>
        <w:rPr>
          <w:rFonts w:ascii="宋体" w:hAnsi="宋体"/>
          <w:b/>
          <w:color w:val="auto"/>
          <w:szCs w:val="21"/>
          <w:highlight w:val="none"/>
        </w:rPr>
      </w:r>
      <w:r/>
    </w:p>
    <w:p>
      <w:pPr>
        <w:ind w:firstLine="480"/>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投标人（盖章）： </w:t>
      </w:r>
      <w:r/>
    </w:p>
    <w:p>
      <w:pPr>
        <w:ind w:firstLine="480"/>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80"/>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ind w:firstLine="611"/>
        <w:spacing w:after="120" w:line="360" w:lineRule="auto"/>
        <w:shd w:val="clear" w:color="auto"/>
        <w:rPr>
          <w:color w:val="auto"/>
          <w:szCs w:val="21"/>
          <w:highlight w:val="none"/>
        </w:rPr>
      </w:pPr>
      <w:r>
        <w:rPr>
          <w:color w:val="auto"/>
          <w:szCs w:val="21"/>
          <w:highlight w:val="none"/>
        </w:rPr>
      </w:r>
      <w:r/>
    </w:p>
    <w:p>
      <w:pPr>
        <w:numPr>
          <w:ilvl w:val="0"/>
          <w:numId w:val="37"/>
        </w:numPr>
        <w:ind w:firstLine="480"/>
        <w:spacing w:line="360" w:lineRule="auto"/>
        <w:shd w:val="clear" w:color="auto"/>
        <w:rPr>
          <w:rFonts w:ascii="宋体" w:hAnsi="宋体" w:cs="宋体"/>
          <w:color w:val="auto"/>
          <w:szCs w:val="21"/>
          <w:highlight w:val="none"/>
        </w:rPr>
      </w:pPr>
      <w:r>
        <w:rPr>
          <w:rFonts w:ascii="宋体" w:hAnsi="宋体"/>
          <w:b/>
          <w:color w:val="auto"/>
          <w:highlight w:val="none"/>
        </w:rPr>
        <w:br w:type="page" w:clear="all"/>
      </w:r>
      <w:r/>
    </w:p>
    <w:p>
      <w:pPr>
        <w:spacing w:line="480" w:lineRule="exact"/>
        <w:shd w:val="clear" w:color="auto"/>
        <w:rPr>
          <w:b/>
          <w:bCs/>
          <w:color w:val="auto"/>
          <w:szCs w:val="21"/>
          <w:highlight w:val="none"/>
        </w:rPr>
      </w:pPr>
      <w:r/>
      <w:bookmarkStart w:id="561" w:name="_Hlk159579137"/>
      <w:r>
        <w:rPr>
          <w:rFonts w:hint="eastAsia"/>
          <w:b/>
          <w:bCs/>
          <w:color w:val="auto"/>
          <w:szCs w:val="21"/>
          <w:highlight w:val="none"/>
        </w:rPr>
        <w:t xml:space="preserve">附件8、</w:t>
      </w:r>
      <w:bookmarkEnd w:id="561"/>
      <w:r>
        <w:rPr>
          <w:rFonts w:hint="eastAsia"/>
          <w:b/>
          <w:bCs/>
          <w:color w:val="auto"/>
          <w:szCs w:val="21"/>
          <w:highlight w:val="none"/>
        </w:rPr>
        <w:t xml:space="preserve">投标（响应）保证承诺书</w:t>
      </w:r>
      <w:r/>
    </w:p>
    <w:p>
      <w:pPr>
        <w:jc w:val="center"/>
        <w:spacing w:line="400" w:lineRule="exact"/>
        <w:shd w:val="clear" w:color="auto"/>
        <w:rPr>
          <w:b/>
          <w:color w:val="auto"/>
          <w:szCs w:val="21"/>
          <w:highlight w:val="none"/>
        </w:rPr>
      </w:pPr>
      <w:r>
        <w:rPr>
          <w:rFonts w:hint="eastAsia"/>
          <w:b/>
          <w:color w:val="auto"/>
          <w:szCs w:val="21"/>
          <w:highlight w:val="none"/>
        </w:rPr>
        <w:t xml:space="preserve">投标（响应）保证承诺书</w:t>
      </w:r>
      <w:r/>
    </w:p>
    <w:p>
      <w:pPr>
        <w:jc w:val="left"/>
        <w:spacing w:line="360" w:lineRule="auto"/>
        <w:shd w:val="clear" w:color="auto"/>
        <w:widowControl/>
        <w:rPr>
          <w:rFonts w:cs="宋体"/>
          <w:color w:val="auto"/>
          <w:szCs w:val="21"/>
          <w:highlight w:val="none"/>
        </w:rPr>
      </w:pPr>
      <w:r>
        <w:rPr>
          <w:rFonts w:cs="宋体"/>
          <w:color w:val="auto"/>
          <w:szCs w:val="21"/>
          <w:highlight w:val="none"/>
        </w:rPr>
      </w:r>
      <w:r/>
    </w:p>
    <w:p>
      <w:pPr>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致：</w:t>
      </w:r>
      <w:r>
        <w:rPr>
          <w:rFonts w:hint="eastAsia" w:cs="宋体"/>
          <w:color w:val="auto"/>
          <w:szCs w:val="21"/>
          <w:highlight w:val="none"/>
          <w:u w:val="single"/>
        </w:rPr>
        <w:t xml:space="preserve">         （采购代理机构名称）</w:t>
      </w:r>
      <w:r/>
    </w:p>
    <w:p>
      <w:pPr>
        <w:ind w:firstLine="420"/>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我（单位/本人，以下统称我单位）自愿参加</w:t>
      </w:r>
      <w:r>
        <w:rPr>
          <w:rFonts w:hint="eastAsia" w:cs="宋体"/>
          <w:color w:val="auto"/>
          <w:szCs w:val="21"/>
          <w:highlight w:val="none"/>
          <w:u w:val="single"/>
        </w:rPr>
        <w:t xml:space="preserve">              （项目名称和采购编号）</w:t>
      </w:r>
      <w:r>
        <w:rPr>
          <w:rFonts w:hint="eastAsia" w:cs="宋体"/>
          <w:color w:val="auto"/>
          <w:szCs w:val="21"/>
          <w:highlight w:val="none"/>
        </w:rPr>
        <w:t xml:space="preserve">的投标（响应）,并做出如下承诺：</w:t>
      </w:r>
      <w:r/>
    </w:p>
    <w:p>
      <w:pPr>
        <w:numPr>
          <w:ilvl w:val="0"/>
          <w:numId w:val="38"/>
        </w:numPr>
        <w:ind w:left="431" w:hanging="431"/>
        <w:jc w:val="left"/>
        <w:spacing w:line="520" w:lineRule="exact"/>
        <w:shd w:val="clear" w:color="auto"/>
        <w:widowControl/>
        <w:tabs>
          <w:tab w:val="left" w:pos="426" w:leader="none"/>
        </w:tabs>
        <w:rPr>
          <w:rFonts w:cs="宋体"/>
          <w:color w:val="auto"/>
          <w:szCs w:val="21"/>
          <w:highlight w:val="none"/>
        </w:rPr>
      </w:pPr>
      <w:r>
        <w:rPr>
          <w:rFonts w:hint="eastAsia" w:cs="宋体"/>
          <w:color w:val="auto"/>
          <w:szCs w:val="21"/>
          <w:highlight w:val="none"/>
        </w:rPr>
        <w:t xml:space="preserve">除不可抗力外，我单位如果发生以下行为，将在行为发生的10个工作日内，向贵方</w:t>
      </w:r>
      <w:r>
        <w:rPr>
          <w:rFonts w:hint="eastAsia" w:cs="宋体"/>
          <w:color w:val="auto"/>
          <w:szCs w:val="21"/>
          <w:highlight w:val="none"/>
          <w:u w:val="single"/>
        </w:rPr>
        <w:t xml:space="preserve">（或采购方）</w:t>
      </w:r>
      <w:r>
        <w:rPr>
          <w:rFonts w:hint="eastAsia" w:cs="宋体"/>
          <w:color w:val="auto"/>
          <w:szCs w:val="21"/>
          <w:highlight w:val="none"/>
        </w:rPr>
        <w:t xml:space="preserve">支付本采购文件公布的预算金额（或最高限价）的2%作为违约赔偿金（数量不确定的单价采购须约定具体金额）。</w:t>
      </w:r>
      <w:r/>
    </w:p>
    <w:p>
      <w:pPr>
        <w:numPr>
          <w:ilvl w:val="0"/>
          <w:numId w:val="39"/>
        </w:numPr>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自投标（响应）截止时间至本项目发布中标（成交）公告为止，撤销投标（响应）；</w:t>
      </w:r>
      <w:r/>
    </w:p>
    <w:p>
      <w:pPr>
        <w:numPr>
          <w:ilvl w:val="0"/>
          <w:numId w:val="39"/>
        </w:numPr>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中标（成交）后不依法与采购方签订合同；</w:t>
      </w:r>
      <w:r/>
    </w:p>
    <w:p>
      <w:pPr>
        <w:numPr>
          <w:ilvl w:val="0"/>
          <w:numId w:val="39"/>
        </w:numPr>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中标（成交）后不按本采购文件规定向采购方提交履约保证金；</w:t>
      </w:r>
      <w:r/>
    </w:p>
    <w:p>
      <w:pPr>
        <w:numPr>
          <w:ilvl w:val="0"/>
          <w:numId w:val="39"/>
        </w:numPr>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中标（成交）后不按本采购文件规定向贵方缴纳采购代理费。</w:t>
      </w:r>
      <w:r/>
    </w:p>
    <w:p>
      <w:pPr>
        <w:numPr>
          <w:ilvl w:val="0"/>
          <w:numId w:val="38"/>
        </w:numPr>
        <w:ind w:left="431" w:hanging="431"/>
        <w:jc w:val="left"/>
        <w:spacing w:line="520" w:lineRule="exact"/>
        <w:shd w:val="clear" w:color="auto"/>
        <w:widowControl/>
        <w:tabs>
          <w:tab w:val="left" w:pos="426" w:leader="none"/>
        </w:tabs>
        <w:rPr>
          <w:rFonts w:cs="宋体"/>
          <w:color w:val="auto"/>
          <w:szCs w:val="21"/>
          <w:highlight w:val="none"/>
        </w:rPr>
      </w:pPr>
      <w:r>
        <w:rPr>
          <w:rFonts w:hint="eastAsia" w:cs="宋体"/>
          <w:color w:val="auto"/>
          <w:szCs w:val="21"/>
          <w:highlight w:val="none"/>
        </w:rPr>
        <w:t xml:space="preserve">我单位知晓上述行为的法律后果，承认本承诺书作为贵方（或采购方）要求我单位履行违约赔偿义务的依据作用。</w:t>
      </w:r>
      <w:r/>
    </w:p>
    <w:p>
      <w:pPr>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 </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投标（响应）人：（盖公章）</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地址：</w:t>
      </w:r>
      <w:r>
        <w:rPr>
          <w:rFonts w:hint="eastAsia" w:cs="宋体"/>
          <w:color w:val="auto"/>
          <w:szCs w:val="21"/>
          <w:highlight w:val="none"/>
          <w:u w:val="single"/>
        </w:rPr>
        <w:t xml:space="preserve">                                   </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电话：</w:t>
      </w:r>
      <w:r>
        <w:rPr>
          <w:rFonts w:hint="eastAsia" w:cs="宋体"/>
          <w:color w:val="auto"/>
          <w:szCs w:val="21"/>
          <w:highlight w:val="none"/>
          <w:u w:val="single"/>
        </w:rPr>
        <w:t xml:space="preserve">                          </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传真：</w:t>
      </w:r>
      <w:r>
        <w:rPr>
          <w:rFonts w:hint="eastAsia" w:cs="宋体"/>
          <w:color w:val="auto"/>
          <w:szCs w:val="21"/>
          <w:highlight w:val="none"/>
          <w:u w:val="single"/>
        </w:rPr>
        <w:t xml:space="preserve">                          </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电子邮件：</w:t>
      </w:r>
      <w:r>
        <w:rPr>
          <w:rFonts w:hint="eastAsia" w:cs="宋体"/>
          <w:color w:val="auto"/>
          <w:szCs w:val="21"/>
          <w:highlight w:val="none"/>
          <w:u w:val="single"/>
        </w:rPr>
        <w:t xml:space="preserve">                                     </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邮编：</w:t>
      </w:r>
      <w:r>
        <w:rPr>
          <w:rFonts w:hint="eastAsia" w:cs="宋体"/>
          <w:color w:val="auto"/>
          <w:szCs w:val="21"/>
          <w:highlight w:val="none"/>
          <w:u w:val="single"/>
        </w:rPr>
        <w:t xml:space="preserve">                                      </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法定代表人或委托代理人(签字或签章)：</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日期：</w:t>
      </w:r>
      <w:r/>
    </w:p>
    <w:p>
      <w:pPr>
        <w:shd w:val="clear" w:color="auto"/>
        <w:rPr>
          <w:color w:val="auto"/>
          <w:highlight w:val="none"/>
        </w:rPr>
      </w:pPr>
      <w:r>
        <w:rPr>
          <w:color w:val="auto"/>
          <w:highlight w:val="none"/>
        </w:rPr>
      </w:r>
      <w:r/>
    </w:p>
    <w:p>
      <w:pPr>
        <w:spacing w:before="100" w:beforeAutospacing="1" w:after="100" w:afterAutospacing="1" w:line="360" w:lineRule="auto"/>
        <w:shd w:val="clear" w:color="auto"/>
        <w:rPr>
          <w:rFonts w:ascii="宋体" w:hAnsi="宋体"/>
          <w:color w:val="auto"/>
          <w:highlight w:val="none"/>
        </w:rPr>
      </w:pPr>
      <w:r>
        <w:rPr>
          <w:rFonts w:ascii="宋体" w:hAnsi="宋体"/>
          <w:color w:val="auto"/>
          <w:highlight w:val="none"/>
        </w:rPr>
      </w:r>
      <w:bookmarkEnd w:id="562"/>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907" w:right="907" w:bottom="709" w:left="907" w:header="624" w:footer="510"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Tahoma">
    <w:panose1 w:val="020B0604030504040204"/>
  </w:font>
  <w:font w:name="Calibri">
    <w:panose1 w:val="020F0502020204030204"/>
  </w:font>
  <w:font w:name="Courier New">
    <w:panose1 w:val="02070309020205020404"/>
  </w:font>
  <w:font w:name="Verdana">
    <w:panose1 w:val="020B06040305040402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31</w:t>
    </w:r>
    <w:r>
      <w:fldChar w:fldCharType="end"/>
    </w:r>
    <w:r/>
  </w:p>
  <w:p>
    <w:pPr>
      <w:pStyle w:val="10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13"/>
      </w:rPr>
      <w:framePr w:wrap="around" w:vAnchor="text" w:hAnchor="margin" w:xAlign="center" w:y="1"/>
    </w:pPr>
    <w:r>
      <w:fldChar w:fldCharType="begin"/>
    </w:r>
    <w:r>
      <w:rPr>
        <w:rStyle w:val="1013"/>
      </w:rPr>
      <w:instrText xml:space="preserve">PAGE  </w:instrText>
    </w:r>
    <w:r>
      <w:fldChar w:fldCharType="end"/>
    </w:r>
    <w:r/>
  </w:p>
  <w:p>
    <w:pPr>
      <w:pStyle w:val="10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both"/>
      <w:rPr>
        <w:rFonts w:hint="eastAsia" w:ascii="宋体" w:hAnsi="宋体" w:eastAsia="宋体"/>
        <w:lang w:val="en-US" w:eastAsia="zh-CN"/>
      </w:rPr>
    </w:pPr>
    <w:r>
      <w:rPr>
        <w:rFonts w:hint="eastAsia"/>
      </w:rPr>
      <w:t xml:space="preserve">苏州市原鑫招投标咨询服务有限公司      </w:t>
    </w:r>
    <w:r>
      <w:t xml:space="preserve">    </w:t>
    </w:r>
    <w:r>
      <w:rPr>
        <w:rFonts w:hint="eastAsia"/>
      </w:rPr>
      <w:t xml:space="preserve">                            </w:t>
    </w:r>
    <w:r>
      <w:rPr>
        <w:rFonts w:hint="eastAsia" w:ascii="宋体" w:hAnsi="宋体"/>
      </w:rPr>
      <w:t xml:space="preserve">             </w:t>
    </w:r>
    <w:r>
      <w:rPr>
        <w:rFonts w:hint="eastAsia" w:ascii="宋体" w:hAnsi="宋体"/>
        <w:lang w:eastAsia="zh-CN"/>
      </w:rPr>
      <w:t xml:space="preserve">JSZC-320591-SZYX-C2026-0024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eastAsia" w:ascii="Courier New" w:hAnsi="Courier New" w:eastAsia="Courier New" w:cs="Courier New"/>
      </w:rPr>
    </w:lvl>
    <w:lvl w:ilvl="2">
      <w:start w:val="1"/>
      <w:numFmt w:val="bullet"/>
      <w:isLgl w:val="false"/>
      <w:suff w:val="tab"/>
      <w:lvlText w:val="§"/>
      <w:lvlJc w:val="left"/>
      <w:pPr>
        <w:ind w:left="2160" w:hanging="360"/>
      </w:pPr>
      <w:rPr>
        <w:rFonts w:hint="eastAsia" w:ascii="Wingdings" w:hAnsi="Wingdings" w:eastAsia="Wingdings" w:cs="Wingdings"/>
      </w:rPr>
    </w:lvl>
    <w:lvl w:ilvl="3">
      <w:start w:val="1"/>
      <w:numFmt w:val="bullet"/>
      <w:isLgl w:val="false"/>
      <w:suff w:val="tab"/>
      <w:lvlText w:val="·"/>
      <w:lvlJc w:val="left"/>
      <w:pPr>
        <w:ind w:left="2880" w:hanging="360"/>
      </w:pPr>
      <w:rPr>
        <w:rFonts w:hint="eastAsia" w:ascii="Symbol" w:hAnsi="Symbol" w:eastAsia="Symbol" w:cs="Symbol"/>
      </w:rPr>
    </w:lvl>
    <w:lvl w:ilvl="4">
      <w:start w:val="1"/>
      <w:numFmt w:val="bullet"/>
      <w:isLgl w:val="false"/>
      <w:suff w:val="tab"/>
      <w:lvlText w:val="o"/>
      <w:lvlJc w:val="left"/>
      <w:pPr>
        <w:ind w:left="3600" w:hanging="360"/>
      </w:pPr>
      <w:rPr>
        <w:rFonts w:hint="eastAsia" w:ascii="Courier New" w:hAnsi="Courier New" w:eastAsia="Courier New" w:cs="Courier New"/>
      </w:rPr>
    </w:lvl>
    <w:lvl w:ilvl="5">
      <w:start w:val="1"/>
      <w:numFmt w:val="bullet"/>
      <w:isLgl w:val="false"/>
      <w:suff w:val="tab"/>
      <w:lvlText w:val="§"/>
      <w:lvlJc w:val="left"/>
      <w:pPr>
        <w:ind w:left="4320" w:hanging="360"/>
      </w:pPr>
      <w:rPr>
        <w:rFonts w:hint="eastAsia" w:ascii="Wingdings" w:hAnsi="Wingdings" w:eastAsia="Wingdings" w:cs="Wingdings"/>
      </w:rPr>
    </w:lvl>
    <w:lvl w:ilvl="6">
      <w:start w:val="1"/>
      <w:numFmt w:val="bullet"/>
      <w:isLgl w:val="false"/>
      <w:suff w:val="tab"/>
      <w:lvlText w:val="·"/>
      <w:lvlJc w:val="left"/>
      <w:pPr>
        <w:ind w:left="5040" w:hanging="360"/>
      </w:pPr>
      <w:rPr>
        <w:rFonts w:hint="eastAsia" w:ascii="Symbol" w:hAnsi="Symbol" w:eastAsia="Symbol" w:cs="Symbol"/>
      </w:rPr>
    </w:lvl>
    <w:lvl w:ilvl="7">
      <w:start w:val="1"/>
      <w:numFmt w:val="bullet"/>
      <w:isLgl w:val="false"/>
      <w:suff w:val="tab"/>
      <w:lvlText w:val="o"/>
      <w:lvlJc w:val="left"/>
      <w:pPr>
        <w:ind w:left="5760" w:hanging="360"/>
      </w:pPr>
      <w:rPr>
        <w:rFonts w:hint="eastAsia" w:ascii="Courier New" w:hAnsi="Courier New" w:eastAsia="Courier New" w:cs="Courier New"/>
      </w:rPr>
    </w:lvl>
    <w:lvl w:ilvl="8">
      <w:start w:val="1"/>
      <w:numFmt w:val="bullet"/>
      <w:isLgl w:val="false"/>
      <w:suff w:val="tab"/>
      <w:lvlText w:val="§"/>
      <w:lvlJc w:val="left"/>
      <w:pPr>
        <w:ind w:left="6480" w:hanging="360"/>
      </w:pPr>
      <w:rPr>
        <w:rFonts w:hint="eastAsia" w:ascii="Wingdings" w:hAnsi="Wingdings" w:eastAsia="Wingdings" w:cs="Wingdings"/>
      </w:rPr>
    </w:lvl>
  </w:abstractNum>
  <w:abstractNum w:abstractNumId="2">
    <w:multiLevelType w:val="hybridMultilevel"/>
    <w:lvl w:ilvl="0">
      <w:start w:val="1"/>
      <w:numFmt w:val="decimal"/>
      <w:isLgl w:val="false"/>
      <w:suff w:val="tab"/>
      <w:lvlText w:val="(%1)"/>
      <w:lvlJc w:val="left"/>
      <w:pPr>
        <w:ind w:left="1020" w:hanging="453"/>
        <w:tabs>
          <w:tab w:val="left" w:pos="1020" w:leader="none"/>
        </w:tabs>
      </w:p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020" w:hanging="453"/>
        <w:tabs>
          <w:tab w:val="left" w:pos="1020" w:leader="none"/>
        </w:tabs>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tab"/>
      <w:lvlText w:val="(%1)"/>
      <w:lvlJc w:val="left"/>
      <w:pPr>
        <w:ind w:left="1020" w:hanging="453"/>
        <w:tabs>
          <w:tab w:val="left" w:pos="1020" w:leader="none"/>
        </w:tabs>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chineseCounting"/>
      <w:isLgl w:val="false"/>
      <w:suff w:val="tab"/>
      <w:lvlText w:val="(%1)"/>
      <w:lvlJc w:val="left"/>
      <w:pPr>
        <w:ind w:left="567" w:hanging="567"/>
        <w:tabs>
          <w:tab w:val="left" w:pos="567"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020" w:hanging="453"/>
        <w:tabs>
          <w:tab w:val="left" w:pos="10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chineseCountingThousand"/>
      <w:pStyle w:val="1063"/>
      <w:isLgl w:val="false"/>
      <w:suff w:val="tab"/>
      <w:lvlText w:val="%1、"/>
      <w:lvlJc w:val="left"/>
      <w:pPr>
        <w:ind w:left="420" w:hanging="420"/>
        <w:tabs>
          <w:tab w:val="left" w:pos="420" w:leader="none"/>
        </w:tabs>
      </w:pPr>
      <w:rPr>
        <w:b/>
      </w:r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567" w:hanging="567"/>
        <w:tabs>
          <w:tab w:val="left" w:pos="567" w:leader="none"/>
        </w:tabs>
      </w:pPr>
      <w:rPr>
        <w:b w:val="0"/>
      </w:r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0">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1">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284" w:firstLine="0"/>
        <w:tabs>
          <w:tab w:val="left" w:pos="1004" w:leader="none"/>
        </w:tabs>
      </w:pPr>
      <w:rPr>
        <w:rFonts w:hint="eastAsia"/>
      </w:rPr>
    </w:lvl>
    <w:lvl w:ilvl="2">
      <w:start w:val="1"/>
      <w:numFmt w:val="decimal"/>
      <w:isLgl w:val="false"/>
      <w:suff w:val="tab"/>
      <w:lvlText w:val="%1.%2.%3."/>
      <w:lvlJc w:val="left"/>
      <w:pPr>
        <w:ind w:left="1277" w:hanging="709"/>
        <w:tabs>
          <w:tab w:val="left" w:pos="1648" w:leader="none"/>
        </w:tabs>
      </w:pPr>
      <w:rPr>
        <w:rFonts w:hint="eastAsia"/>
      </w:rPr>
    </w:lvl>
    <w:lvl w:ilvl="3">
      <w:start w:val="1"/>
      <w:numFmt w:val="decimal"/>
      <w:isLgl w:val="false"/>
      <w:suff w:val="tab"/>
      <w:lvlText w:val="%4)"/>
      <w:lvlJc w:val="left"/>
      <w:pPr>
        <w:ind w:left="360" w:firstLine="0"/>
        <w:tabs>
          <w:tab w:val="left" w:pos="360"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4">
      <w:start w:val="1"/>
      <w:numFmt w:val="upperLetter"/>
      <w:pStyle w:val="1010"/>
      <w:isLgl w:val="false"/>
      <w:suff w:val="tab"/>
      <w:lvlText w:val="%5)"/>
      <w:lvlJc w:val="left"/>
      <w:pPr>
        <w:ind w:left="992" w:hanging="425"/>
        <w:tabs>
          <w:tab w:val="left" w:pos="992" w:leader="none"/>
        </w:tabs>
      </w:pPr>
      <w:rPr>
        <w:rFonts w:hint="eastAsia"/>
      </w:rPr>
    </w:lvl>
    <w:lvl w:ilvl="5">
      <w:start w:val="1"/>
      <w:numFmt w:val="lowerLetter"/>
      <w:isLgl w:val="false"/>
      <w:suff w:val="tab"/>
      <w:lvlText w:val="%6."/>
      <w:lvlJc w:val="left"/>
      <w:pPr>
        <w:ind w:left="1134" w:hanging="510"/>
        <w:tabs>
          <w:tab w:val="left" w:pos="1134" w:leader="none"/>
        </w:tabs>
      </w:pPr>
      <w:rPr>
        <w:rFonts w:hint="eastAsia"/>
      </w:rPr>
    </w:lvl>
    <w:lvl w:ilvl="6">
      <w:start w:val="1"/>
      <w:numFmt w:val="lowerRoman"/>
      <w:isLgl w:val="false"/>
      <w:suff w:val="tab"/>
      <w:lvlText w:val="%7."/>
      <w:lvlJc w:val="left"/>
      <w:pPr>
        <w:ind w:left="907" w:hanging="113"/>
        <w:tabs>
          <w:tab w:val="left" w:pos="1276" w:leader="none"/>
        </w:tabs>
      </w:pPr>
      <w:rPr>
        <w:rFonts w:hint="eastAsia"/>
      </w:rPr>
    </w:lvl>
    <w:lvl w:ilvl="7">
      <w:start w:val="1"/>
      <w:numFmt w:val="decimal"/>
      <w:isLgl w:val="false"/>
      <w:suff w:val="tab"/>
      <w:lvlText w:val="%8&gt;"/>
      <w:lvlJc w:val="left"/>
      <w:pPr>
        <w:ind w:left="1418" w:hanging="454"/>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2">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560" w:hanging="72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1020" w:hanging="453"/>
        <w:tabs>
          <w:tab w:val="left" w:pos="1020" w:leader="none"/>
        </w:tabs>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987" w:hanging="420"/>
      </w:p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2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840" w:hanging="480"/>
      </w:p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2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567" w:hanging="567"/>
        <w:tabs>
          <w:tab w:val="left" w:pos="567" w:leader="none"/>
        </w:tabs>
      </w:pPr>
      <w:rPr>
        <w:rFonts w:hint="eastAsia"/>
      </w:rPr>
    </w:lvl>
    <w:lvl w:ilvl="1">
      <w:start w:val="1"/>
      <w:numFmt w:val="decimal"/>
      <w:isLgl w:val="false"/>
      <w:suff w:val="tab"/>
      <w:lvlText w:val="%1.%2."/>
      <w:lvlJc w:val="left"/>
      <w:pPr>
        <w:ind w:left="284" w:firstLine="0"/>
        <w:tabs>
          <w:tab w:val="left" w:pos="1004" w:leader="none"/>
        </w:tabs>
      </w:pPr>
      <w:rPr>
        <w:rFonts w:hint="eastAsia"/>
      </w:rPr>
    </w:lvl>
    <w:lvl w:ilvl="2">
      <w:start w:val="1"/>
      <w:numFmt w:val="decimal"/>
      <w:isLgl w:val="false"/>
      <w:suff w:val="tab"/>
      <w:lvlText w:val="%1.%2.%3."/>
      <w:lvlJc w:val="left"/>
      <w:pPr>
        <w:ind w:left="1277" w:hanging="709"/>
        <w:tabs>
          <w:tab w:val="left" w:pos="1648" w:leader="none"/>
        </w:tabs>
      </w:pPr>
      <w:rPr>
        <w:rFonts w:hint="eastAsia"/>
      </w:rPr>
    </w:lvl>
    <w:lvl w:ilvl="3">
      <w:start w:val="1"/>
      <w:numFmt w:val="decimal"/>
      <w:isLgl w:val="false"/>
      <w:suff w:val="tab"/>
      <w:lvlText w:val="%4)"/>
      <w:lvlJc w:val="left"/>
      <w:pPr>
        <w:ind w:left="360" w:firstLine="0"/>
        <w:tabs>
          <w:tab w:val="left" w:pos="360"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4">
      <w:start w:val="1"/>
      <w:numFmt w:val="upperLetter"/>
      <w:isLgl w:val="false"/>
      <w:suff w:val="tab"/>
      <w:lvlText w:val="%5)"/>
      <w:lvlJc w:val="left"/>
      <w:pPr>
        <w:ind w:left="992" w:hanging="425"/>
        <w:tabs>
          <w:tab w:val="left" w:pos="992" w:leader="none"/>
        </w:tabs>
      </w:pPr>
      <w:rPr>
        <w:rFonts w:hint="eastAsia"/>
      </w:rPr>
    </w:lvl>
    <w:lvl w:ilvl="5">
      <w:start w:val="1"/>
      <w:numFmt w:val="lowerLetter"/>
      <w:isLgl w:val="false"/>
      <w:suff w:val="tab"/>
      <w:lvlText w:val="%6."/>
      <w:lvlJc w:val="left"/>
      <w:pPr>
        <w:ind w:left="1134" w:hanging="510"/>
        <w:tabs>
          <w:tab w:val="left" w:pos="1134" w:leader="none"/>
        </w:tabs>
      </w:pPr>
      <w:rPr>
        <w:rFonts w:hint="eastAsia"/>
      </w:rPr>
    </w:lvl>
    <w:lvl w:ilvl="6">
      <w:start w:val="1"/>
      <w:numFmt w:val="lowerRoman"/>
      <w:isLgl w:val="false"/>
      <w:suff w:val="tab"/>
      <w:lvlText w:val="%7."/>
      <w:lvlJc w:val="left"/>
      <w:pPr>
        <w:ind w:left="907" w:hanging="113"/>
        <w:tabs>
          <w:tab w:val="left" w:pos="1276" w:leader="none"/>
        </w:tabs>
      </w:pPr>
      <w:rPr>
        <w:rFonts w:hint="eastAsia"/>
      </w:rPr>
    </w:lvl>
    <w:lvl w:ilvl="7">
      <w:start w:val="1"/>
      <w:numFmt w:val="decimal"/>
      <w:isLgl w:val="false"/>
      <w:suff w:val="tab"/>
      <w:lvlText w:val="%8&gt;"/>
      <w:lvlJc w:val="left"/>
      <w:pPr>
        <w:ind w:left="1418" w:hanging="454"/>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1">
    <w:multiLevelType w:val="hybridMultilevel"/>
    <w:lvl w:ilvl="0">
      <w:start w:val="1"/>
      <w:numFmt w:val="bullet"/>
      <w:pStyle w:val="1072"/>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3">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560" w:hanging="72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chineseCountingThousand"/>
      <w:isLgl w:val="false"/>
      <w:suff w:val="tab"/>
      <w:lvlText w:val="(%1)"/>
      <w:lvlJc w:val="left"/>
      <w:pPr>
        <w:ind w:left="420" w:hanging="420"/>
      </w:pPr>
      <w:rPr>
        <w:rFonts w:hint="eastAsia"/>
        <w:b/>
      </w:rPr>
    </w:lvl>
    <w:lvl w:ilvl="1">
      <w:start w:val="1"/>
      <w:numFmt w:val="decimal"/>
      <w:isLgl w:val="false"/>
      <w:suff w:val="tab"/>
      <w:lvlText w:val="（%2）"/>
      <w:lvlJc w:val="left"/>
      <w:pPr>
        <w:ind w:left="1140" w:hanging="720"/>
      </w:pPr>
      <w:rPr>
        <w:rFonts w:hint="default"/>
        <w:u w:val="none"/>
      </w:rPr>
    </w:lvl>
    <w:lvl w:ilvl="2">
      <w:start w:val="1"/>
      <w:numFmt w:val="decimal"/>
      <w:isLgl w:val="false"/>
      <w:suff w:val="tab"/>
      <w:lvlText w:val="%3、"/>
      <w:lvlJc w:val="left"/>
      <w:pPr>
        <w:ind w:left="1200" w:hanging="36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6"/>
  </w:num>
  <w:num w:numId="3">
    <w:abstractNumId w:val="31"/>
  </w:num>
  <w:num w:numId="4">
    <w:abstractNumId w:val="12"/>
  </w:num>
  <w:num w:numId="5">
    <w:abstractNumId w:val="1"/>
  </w:num>
  <w:num w:numId="6">
    <w:abstractNumId w:val="7"/>
  </w:num>
  <w:num w:numId="7">
    <w:abstractNumId w:val="34"/>
  </w:num>
  <w:num w:numId="8">
    <w:abstractNumId w:val="29"/>
  </w:num>
  <w:num w:numId="9">
    <w:abstractNumId w:val="4"/>
  </w:num>
  <w:num w:numId="10">
    <w:abstractNumId w:val="27"/>
  </w:num>
  <w:num w:numId="11">
    <w:abstractNumId w:val="25"/>
  </w:num>
  <w:num w:numId="12">
    <w:abstractNumId w:val="11"/>
  </w:num>
  <w:num w:numId="13">
    <w:abstractNumId w:val="14"/>
  </w:num>
  <w:num w:numId="14">
    <w:abstractNumId w:val="33"/>
  </w:num>
  <w:num w:numId="15">
    <w:abstractNumId w:val="10"/>
  </w:num>
  <w:num w:numId="16">
    <w:abstractNumId w:val="9"/>
  </w:num>
  <w:num w:numId="17">
    <w:abstractNumId w:val="20"/>
  </w:num>
  <w:num w:numId="18">
    <w:abstractNumId w:val="17"/>
  </w:num>
  <w:num w:numId="19">
    <w:abstractNumId w:val="19"/>
  </w:num>
  <w:num w:numId="20">
    <w:abstractNumId w:val="35"/>
  </w:num>
  <w:num w:numId="21">
    <w:abstractNumId w:val="13"/>
  </w:num>
  <w:num w:numId="22">
    <w:abstractNumId w:val="2"/>
  </w:num>
  <w:num w:numId="23">
    <w:abstractNumId w:val="6"/>
  </w:num>
  <w:num w:numId="24">
    <w:abstractNumId w:val="15"/>
  </w:num>
  <w:num w:numId="25">
    <w:abstractNumId w:val="28"/>
  </w:num>
  <w:num w:numId="26">
    <w:abstractNumId w:val="5"/>
  </w:num>
  <w:num w:numId="27">
    <w:abstractNumId w:val="24"/>
  </w:num>
  <w:num w:numId="28">
    <w:abstractNumId w:val="30"/>
  </w:num>
  <w:num w:numId="29">
    <w:abstractNumId w:val="26"/>
  </w:num>
  <w:num w:numId="30">
    <w:abstractNumId w:val="38"/>
  </w:num>
  <w:num w:numId="31">
    <w:abstractNumId w:val="37"/>
  </w:num>
  <w:num w:numId="32">
    <w:abstractNumId w:val="0"/>
  </w:num>
  <w:num w:numId="33">
    <w:abstractNumId w:val="36"/>
  </w:num>
  <w:num w:numId="34">
    <w:abstractNumId w:val="23"/>
  </w:num>
  <w:num w:numId="35">
    <w:abstractNumId w:val="3"/>
  </w:num>
  <w:num w:numId="36">
    <w:abstractNumId w:val="18"/>
  </w:num>
  <w:num w:numId="37">
    <w:abstractNumId w:val="32"/>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0">
    <w:name w:val="Heading 1 Char"/>
    <w:basedOn w:val="827"/>
    <w:link w:val="818"/>
    <w:uiPriority w:val="9"/>
    <w:rPr>
      <w:rFonts w:ascii="Arial" w:hAnsi="Arial" w:eastAsia="Arial" w:cs="Arial"/>
      <w:sz w:val="40"/>
      <w:szCs w:val="40"/>
    </w:rPr>
  </w:style>
  <w:style w:type="character" w:styleId="781">
    <w:name w:val="Heading 2 Char"/>
    <w:basedOn w:val="827"/>
    <w:link w:val="819"/>
    <w:uiPriority w:val="9"/>
    <w:rPr>
      <w:rFonts w:ascii="Arial" w:hAnsi="Arial" w:eastAsia="Arial" w:cs="Arial"/>
      <w:sz w:val="34"/>
    </w:rPr>
  </w:style>
  <w:style w:type="character" w:styleId="782">
    <w:name w:val="Heading 3 Char"/>
    <w:basedOn w:val="827"/>
    <w:link w:val="820"/>
    <w:uiPriority w:val="9"/>
    <w:rPr>
      <w:rFonts w:ascii="Arial" w:hAnsi="Arial" w:eastAsia="Arial" w:cs="Arial"/>
      <w:sz w:val="30"/>
      <w:szCs w:val="30"/>
    </w:rPr>
  </w:style>
  <w:style w:type="character" w:styleId="783">
    <w:name w:val="Heading 4 Char"/>
    <w:basedOn w:val="827"/>
    <w:link w:val="821"/>
    <w:uiPriority w:val="9"/>
    <w:rPr>
      <w:rFonts w:ascii="Arial" w:hAnsi="Arial" w:eastAsia="Arial" w:cs="Arial"/>
      <w:b/>
      <w:bCs/>
      <w:sz w:val="26"/>
      <w:szCs w:val="26"/>
    </w:rPr>
  </w:style>
  <w:style w:type="character" w:styleId="784">
    <w:name w:val="Heading 5 Char"/>
    <w:basedOn w:val="827"/>
    <w:link w:val="822"/>
    <w:uiPriority w:val="9"/>
    <w:rPr>
      <w:rFonts w:ascii="Arial" w:hAnsi="Arial" w:eastAsia="Arial" w:cs="Arial"/>
      <w:b/>
      <w:bCs/>
      <w:sz w:val="24"/>
      <w:szCs w:val="24"/>
    </w:rPr>
  </w:style>
  <w:style w:type="character" w:styleId="785">
    <w:name w:val="Heading 6 Char"/>
    <w:basedOn w:val="827"/>
    <w:link w:val="823"/>
    <w:uiPriority w:val="9"/>
    <w:rPr>
      <w:rFonts w:ascii="Arial" w:hAnsi="Arial" w:eastAsia="Arial" w:cs="Arial"/>
      <w:b/>
      <w:bCs/>
      <w:sz w:val="22"/>
      <w:szCs w:val="22"/>
    </w:rPr>
  </w:style>
  <w:style w:type="character" w:styleId="786">
    <w:name w:val="Heading 7 Char"/>
    <w:basedOn w:val="827"/>
    <w:link w:val="824"/>
    <w:uiPriority w:val="9"/>
    <w:rPr>
      <w:rFonts w:ascii="Arial" w:hAnsi="Arial" w:eastAsia="Arial" w:cs="Arial"/>
      <w:b/>
      <w:bCs/>
      <w:i/>
      <w:iCs/>
      <w:sz w:val="22"/>
      <w:szCs w:val="22"/>
    </w:rPr>
  </w:style>
  <w:style w:type="character" w:styleId="787">
    <w:name w:val="Heading 8 Char"/>
    <w:basedOn w:val="827"/>
    <w:link w:val="825"/>
    <w:uiPriority w:val="9"/>
    <w:rPr>
      <w:rFonts w:ascii="Arial" w:hAnsi="Arial" w:eastAsia="Arial" w:cs="Arial"/>
      <w:i/>
      <w:iCs/>
      <w:sz w:val="22"/>
      <w:szCs w:val="22"/>
    </w:rPr>
  </w:style>
  <w:style w:type="character" w:styleId="788">
    <w:name w:val="Heading 9 Char"/>
    <w:basedOn w:val="827"/>
    <w:link w:val="826"/>
    <w:uiPriority w:val="9"/>
    <w:rPr>
      <w:rFonts w:ascii="Arial" w:hAnsi="Arial" w:eastAsia="Arial" w:cs="Arial"/>
      <w:i/>
      <w:iCs/>
      <w:sz w:val="21"/>
      <w:szCs w:val="21"/>
    </w:rPr>
  </w:style>
  <w:style w:type="character" w:styleId="789">
    <w:name w:val="Title Char"/>
    <w:basedOn w:val="827"/>
    <w:link w:val="854"/>
    <w:uiPriority w:val="10"/>
    <w:rPr>
      <w:sz w:val="48"/>
      <w:szCs w:val="48"/>
    </w:rPr>
  </w:style>
  <w:style w:type="character" w:styleId="790">
    <w:name w:val="Subtitle Char"/>
    <w:basedOn w:val="827"/>
    <w:link w:val="847"/>
    <w:uiPriority w:val="11"/>
    <w:rPr>
      <w:sz w:val="24"/>
      <w:szCs w:val="24"/>
    </w:rPr>
  </w:style>
  <w:style w:type="character" w:styleId="791">
    <w:name w:val="Quote Char"/>
    <w:link w:val="871"/>
    <w:uiPriority w:val="29"/>
    <w:rPr>
      <w:i/>
    </w:rPr>
  </w:style>
  <w:style w:type="character" w:styleId="792">
    <w:name w:val="Intense Quote Char"/>
    <w:link w:val="873"/>
    <w:uiPriority w:val="30"/>
    <w:rPr>
      <w:i/>
    </w:rPr>
  </w:style>
  <w:style w:type="character" w:styleId="793">
    <w:name w:val="Header Char"/>
    <w:basedOn w:val="827"/>
    <w:link w:val="844"/>
    <w:uiPriority w:val="99"/>
  </w:style>
  <w:style w:type="character" w:styleId="794">
    <w:name w:val="Caption Char"/>
    <w:basedOn w:val="832"/>
    <w:link w:val="841"/>
    <w:uiPriority w:val="99"/>
  </w:style>
  <w:style w:type="table" w:styleId="795">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4">
    <w:name w:val="Footnote Text Char"/>
    <w:link w:val="848"/>
    <w:uiPriority w:val="99"/>
    <w:rPr>
      <w:sz w:val="18"/>
    </w:rPr>
  </w:style>
  <w:style w:type="character" w:styleId="815">
    <w:name w:val="Endnote Text Char"/>
    <w:link w:val="840"/>
    <w:uiPriority w:val="99"/>
    <w:rPr>
      <w:sz w:val="20"/>
    </w:rPr>
  </w:style>
  <w:style w:type="paragraph" w:styleId="816">
    <w:name w:val="TOC Heading"/>
    <w:uiPriority w:val="39"/>
    <w:unhideWhenUsed/>
  </w:style>
  <w:style w:type="paragraph" w:styleId="817" w:default="1">
    <w:name w:val="Normal"/>
    <w:next w:val="829"/>
    <w:uiPriority w:val="0"/>
    <w:qFormat/>
    <w:pPr>
      <w:jc w:val="both"/>
      <w:widowControl w:val="off"/>
    </w:pPr>
    <w:rPr>
      <w:rFonts w:ascii="Times New Roman" w:hAnsi="Times New Roman" w:eastAsia="宋体" w:cs="Times New Roman"/>
      <w:sz w:val="21"/>
      <w:szCs w:val="24"/>
      <w:lang w:val="en-US" w:eastAsia="zh-CN" w:bidi="ar-SA"/>
    </w:rPr>
  </w:style>
  <w:style w:type="paragraph" w:styleId="818">
    <w:name w:val="Heading 1"/>
    <w:basedOn w:val="819"/>
    <w:next w:val="817"/>
    <w:link w:val="859"/>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30"/>
    <w:link w:val="860"/>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17"/>
    <w:link w:val="861"/>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862"/>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863"/>
    <w:uiPriority w:val="9"/>
    <w:unhideWhenUsed/>
    <w:qFormat/>
    <w:pPr>
      <w:keepLines/>
      <w:keepNext/>
      <w:spacing w:before="320" w:after="200"/>
      <w:outlineLvl w:val="4"/>
    </w:pPr>
    <w:rPr>
      <w:rFonts w:ascii="Arial" w:hAnsi="Arial" w:eastAsia="Arial" w:cs="Arial"/>
      <w:b/>
      <w:bCs/>
      <w:sz w:val="24"/>
    </w:rPr>
  </w:style>
  <w:style w:type="paragraph" w:styleId="823">
    <w:name w:val="Heading 6"/>
    <w:basedOn w:val="817"/>
    <w:next w:val="817"/>
    <w:link w:val="864"/>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866"/>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867"/>
    <w:uiPriority w:val="9"/>
    <w:unhideWhenUsed/>
    <w:qFormat/>
    <w:pPr>
      <w:keepLines/>
      <w:keepNext/>
      <w:spacing w:before="320" w:after="200"/>
      <w:outlineLvl w:val="8"/>
    </w:pPr>
    <w:rPr>
      <w:rFonts w:ascii="Arial" w:hAnsi="Arial" w:eastAsia="Arial" w:cs="Arial"/>
      <w:i/>
      <w:iCs/>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Layout w:type="fixed"/>
      <w:tblCellMar>
        <w:left w:w="108" w:type="dxa"/>
        <w:top w:w="0" w:type="dxa"/>
        <w:right w:w="108" w:type="dxa"/>
        <w:bottom w:w="0" w:type="dxa"/>
      </w:tblCellMar>
    </w:tblPr>
  </w:style>
  <w:style w:type="paragraph" w:styleId="829">
    <w:name w:val="Body Text Indent"/>
    <w:basedOn w:val="817"/>
    <w:next w:val="817"/>
    <w:uiPriority w:val="0"/>
    <w:qFormat/>
    <w:pPr>
      <w:ind w:firstLine="560"/>
      <w:jc w:val="left"/>
      <w:spacing w:line="300" w:lineRule="auto"/>
    </w:pPr>
    <w:rPr>
      <w:sz w:val="28"/>
    </w:rPr>
  </w:style>
  <w:style w:type="paragraph" w:styleId="830">
    <w:name w:val="Normal Indent"/>
    <w:basedOn w:val="817"/>
    <w:next w:val="817"/>
    <w:uiPriority w:val="0"/>
    <w:qFormat/>
    <w:pPr>
      <w:ind w:firstLine="420"/>
      <w:jc w:val="left"/>
    </w:pPr>
    <w:rPr>
      <w:rFonts w:eastAsia="楷体_GB2312"/>
      <w:sz w:val="24"/>
      <w:szCs w:val="20"/>
    </w:rPr>
  </w:style>
  <w:style w:type="paragraph" w:styleId="831">
    <w:name w:val="toc 7"/>
    <w:basedOn w:val="817"/>
    <w:next w:val="817"/>
    <w:uiPriority w:val="39"/>
    <w:unhideWhenUsed/>
    <w:qFormat/>
    <w:pPr>
      <w:ind w:left="1701"/>
      <w:spacing w:after="57"/>
    </w:pPr>
  </w:style>
  <w:style w:type="paragraph" w:styleId="832">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3">
    <w:name w:val="annotation text"/>
    <w:basedOn w:val="817"/>
    <w:uiPriority w:val="99"/>
    <w:semiHidden/>
    <w:unhideWhenUsed/>
    <w:qFormat/>
    <w:pPr>
      <w:jc w:val="left"/>
    </w:pPr>
  </w:style>
  <w:style w:type="paragraph" w:styleId="834">
    <w:name w:val="Body Text"/>
    <w:basedOn w:val="817"/>
    <w:next w:val="817"/>
    <w:uiPriority w:val="0"/>
    <w:qFormat/>
    <w:rPr>
      <w:sz w:val="24"/>
    </w:rPr>
  </w:style>
  <w:style w:type="paragraph" w:styleId="835">
    <w:name w:val="Block Text"/>
    <w:basedOn w:val="817"/>
    <w:uiPriority w:val="0"/>
    <w:qFormat/>
    <w:pPr>
      <w:ind w:left="630" w:right="-609" w:firstLine="420"/>
      <w:spacing w:line="360" w:lineRule="auto"/>
    </w:pPr>
    <w:rPr>
      <w:rFonts w:hint="eastAsia" w:ascii="仿宋_GB2312" w:eastAsia="仿宋_GB2312"/>
      <w:szCs w:val="20"/>
    </w:rPr>
  </w:style>
  <w:style w:type="paragraph" w:styleId="836">
    <w:name w:val="toc 5"/>
    <w:basedOn w:val="817"/>
    <w:next w:val="817"/>
    <w:uiPriority w:val="39"/>
    <w:unhideWhenUsed/>
    <w:qFormat/>
    <w:pPr>
      <w:ind w:left="1134"/>
      <w:spacing w:after="57"/>
    </w:pPr>
  </w:style>
  <w:style w:type="paragraph" w:styleId="837">
    <w:name w:val="toc 3"/>
    <w:basedOn w:val="817"/>
    <w:next w:val="817"/>
    <w:uiPriority w:val="0"/>
    <w:semiHidden/>
    <w:qFormat/>
    <w:pPr>
      <w:ind w:left="840"/>
    </w:pPr>
    <w:rPr>
      <w:szCs w:val="20"/>
    </w:rPr>
  </w:style>
  <w:style w:type="paragraph" w:styleId="838">
    <w:name w:val="Plain Text"/>
    <w:basedOn w:val="817"/>
    <w:uiPriority w:val="0"/>
    <w:qFormat/>
    <w:rPr>
      <w:rFonts w:ascii="宋体" w:hAnsi="Courier New" w:eastAsia="楷体_GB2312"/>
      <w:sz w:val="28"/>
      <w:szCs w:val="20"/>
    </w:rPr>
  </w:style>
  <w:style w:type="paragraph" w:styleId="839">
    <w:name w:val="toc 8"/>
    <w:basedOn w:val="817"/>
    <w:next w:val="817"/>
    <w:uiPriority w:val="39"/>
    <w:unhideWhenUsed/>
    <w:qFormat/>
    <w:pPr>
      <w:ind w:left="1984"/>
      <w:spacing w:after="57"/>
    </w:pPr>
  </w:style>
  <w:style w:type="paragraph" w:styleId="840">
    <w:name w:val="endnote text"/>
    <w:basedOn w:val="817"/>
    <w:link w:val="1004"/>
    <w:uiPriority w:val="99"/>
    <w:semiHidden/>
    <w:unhideWhenUsed/>
    <w:qFormat/>
    <w:rPr>
      <w:sz w:val="20"/>
    </w:rPr>
  </w:style>
  <w:style w:type="paragraph" w:styleId="841">
    <w:name w:val="Footer"/>
    <w:basedOn w:val="817"/>
    <w:link w:val="877"/>
    <w:uiPriority w:val="99"/>
    <w:unhideWhenUsed/>
    <w:qFormat/>
    <w:pPr>
      <w:tabs>
        <w:tab w:val="center" w:pos="7143" w:leader="none"/>
        <w:tab w:val="right" w:pos="14287" w:leader="none"/>
      </w:tabs>
    </w:pPr>
  </w:style>
  <w:style w:type="paragraph" w:styleId="842">
    <w:name w:val="envelope return"/>
    <w:basedOn w:val="817"/>
    <w:uiPriority w:val="0"/>
    <w:qFormat/>
    <w:rPr>
      <w:rFonts w:ascii="Arial" w:hAnsi="Arial" w:cs="Arial"/>
    </w:rPr>
  </w:style>
  <w:style w:type="paragraph" w:styleId="843">
    <w:name w:val="Body Text First Indent 2"/>
    <w:basedOn w:val="829"/>
    <w:next w:val="830"/>
    <w:uiPriority w:val="99"/>
    <w:unhideWhenUsed/>
    <w:qFormat/>
    <w:pPr>
      <w:ind w:left="420" w:firstLine="420"/>
      <w:jc w:val="both"/>
      <w:spacing w:after="120"/>
    </w:pPr>
    <w:rPr>
      <w:sz w:val="21"/>
    </w:rPr>
  </w:style>
  <w:style w:type="paragraph" w:styleId="844">
    <w:name w:val="Header"/>
    <w:basedOn w:val="817"/>
    <w:link w:val="875"/>
    <w:uiPriority w:val="99"/>
    <w:unhideWhenUsed/>
    <w:qFormat/>
    <w:pPr>
      <w:tabs>
        <w:tab w:val="center" w:pos="7143" w:leader="none"/>
        <w:tab w:val="right" w:pos="14287" w:leader="none"/>
      </w:tabs>
    </w:pPr>
  </w:style>
  <w:style w:type="paragraph" w:styleId="845">
    <w:name w:val="toc 1"/>
    <w:basedOn w:val="817"/>
    <w:next w:val="817"/>
    <w:uiPriority w:val="39"/>
    <w:unhideWhenUsed/>
    <w:qFormat/>
    <w:pPr>
      <w:spacing w:after="57"/>
    </w:pPr>
  </w:style>
  <w:style w:type="paragraph" w:styleId="846">
    <w:name w:val="toc 4"/>
    <w:basedOn w:val="817"/>
    <w:next w:val="817"/>
    <w:uiPriority w:val="39"/>
    <w:unhideWhenUsed/>
    <w:qFormat/>
    <w:pPr>
      <w:ind w:left="850"/>
      <w:spacing w:after="57"/>
    </w:pPr>
  </w:style>
  <w:style w:type="paragraph" w:styleId="847">
    <w:name w:val="Subtitle"/>
    <w:basedOn w:val="817"/>
    <w:next w:val="817"/>
    <w:link w:val="870"/>
    <w:uiPriority w:val="11"/>
    <w:qFormat/>
    <w:pPr>
      <w:spacing w:before="200" w:after="200"/>
    </w:pPr>
    <w:rPr>
      <w:sz w:val="24"/>
    </w:rPr>
  </w:style>
  <w:style w:type="paragraph" w:styleId="848">
    <w:name w:val="footnote text"/>
    <w:basedOn w:val="817"/>
    <w:link w:val="1003"/>
    <w:uiPriority w:val="99"/>
    <w:semiHidden/>
    <w:unhideWhenUsed/>
    <w:qFormat/>
    <w:pPr>
      <w:spacing w:after="40"/>
    </w:pPr>
    <w:rPr>
      <w:sz w:val="18"/>
    </w:rPr>
  </w:style>
  <w:style w:type="paragraph" w:styleId="849">
    <w:name w:val="toc 6"/>
    <w:basedOn w:val="817"/>
    <w:next w:val="817"/>
    <w:uiPriority w:val="39"/>
    <w:unhideWhenUsed/>
    <w:qFormat/>
    <w:pPr>
      <w:ind w:left="1417"/>
      <w:spacing w:after="57"/>
    </w:pPr>
  </w:style>
  <w:style w:type="paragraph" w:styleId="850">
    <w:name w:val="table of figures"/>
    <w:basedOn w:val="817"/>
    <w:next w:val="817"/>
    <w:uiPriority w:val="99"/>
    <w:unhideWhenUsed/>
    <w:qFormat/>
  </w:style>
  <w:style w:type="paragraph" w:styleId="851">
    <w:name w:val="toc 2"/>
    <w:basedOn w:val="817"/>
    <w:next w:val="817"/>
    <w:uiPriority w:val="0"/>
    <w:semiHidden/>
    <w:qFormat/>
    <w:pPr>
      <w:ind w:left="420"/>
      <w:spacing w:line="400" w:lineRule="exact"/>
      <w:tabs>
        <w:tab w:val="right" w:pos="9628" w:leader="dot"/>
      </w:tabs>
    </w:pPr>
    <w:rPr>
      <w:b/>
      <w:sz w:val="24"/>
      <w:szCs w:val="20"/>
    </w:rPr>
  </w:style>
  <w:style w:type="paragraph" w:styleId="852">
    <w:name w:val="toc 9"/>
    <w:basedOn w:val="817"/>
    <w:next w:val="817"/>
    <w:uiPriority w:val="39"/>
    <w:unhideWhenUsed/>
    <w:qFormat/>
    <w:pPr>
      <w:ind w:left="2268"/>
      <w:spacing w:after="57"/>
    </w:pPr>
  </w:style>
  <w:style w:type="paragraph" w:styleId="853">
    <w:name w:val="Normal (Web)"/>
    <w:basedOn w:val="817"/>
    <w:uiPriority w:val="99"/>
    <w:semiHidden/>
    <w:unhideWhenUsed/>
    <w:qFormat/>
    <w:pPr>
      <w:jc w:val="left"/>
      <w:spacing w:beforeAutospacing="1" w:afterAutospacing="1"/>
    </w:pPr>
    <w:rPr>
      <w:sz w:val="24"/>
    </w:rPr>
  </w:style>
  <w:style w:type="paragraph" w:styleId="854">
    <w:name w:val="Title"/>
    <w:basedOn w:val="817"/>
    <w:next w:val="817"/>
    <w:link w:val="869"/>
    <w:uiPriority w:val="10"/>
    <w:qFormat/>
    <w:pPr>
      <w:contextualSpacing/>
      <w:spacing w:before="300" w:after="200"/>
    </w:pPr>
    <w:rPr>
      <w:sz w:val="48"/>
      <w:szCs w:val="48"/>
    </w:rPr>
  </w:style>
  <w:style w:type="character" w:styleId="855">
    <w:name w:val="endnote reference"/>
    <w:uiPriority w:val="99"/>
    <w:semiHidden/>
    <w:unhideWhenUsed/>
    <w:qFormat/>
    <w:rPr>
      <w:vertAlign w:val="superscript"/>
    </w:rPr>
  </w:style>
  <w:style w:type="character" w:styleId="856">
    <w:name w:val="Hyperlink"/>
    <w:uiPriority w:val="99"/>
    <w:unhideWhenUsed/>
    <w:qFormat/>
    <w:rPr>
      <w:color w:val="0000ff" w:themeColor="hyperlink"/>
      <w:u w:val="single"/>
      <w14:textFill>
        <w14:solidFill>
          <w14:schemeClr w14:val="hlink"/>
        </w14:solidFill>
      </w14:textFill>
    </w:rPr>
  </w:style>
  <w:style w:type="character" w:styleId="857">
    <w:name w:val="footnote reference"/>
    <w:uiPriority w:val="99"/>
    <w:unhideWhenUsed/>
    <w:qFormat/>
    <w:rPr>
      <w:vertAlign w:val="superscript"/>
    </w:rPr>
  </w:style>
  <w:style w:type="table" w:styleId="8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59" w:customStyle="1">
    <w:name w:val="标题 1 字符"/>
    <w:link w:val="818"/>
    <w:uiPriority w:val="9"/>
    <w:qFormat/>
    <w:rPr>
      <w:rFonts w:ascii="Arial" w:hAnsi="Arial" w:eastAsia="Arial" w:cs="Arial"/>
      <w:sz w:val="40"/>
      <w:szCs w:val="40"/>
    </w:rPr>
  </w:style>
  <w:style w:type="character" w:styleId="860" w:customStyle="1">
    <w:name w:val="标题 2 字符"/>
    <w:link w:val="819"/>
    <w:uiPriority w:val="9"/>
    <w:qFormat/>
    <w:rPr>
      <w:rFonts w:ascii="Arial" w:hAnsi="Arial" w:eastAsia="Arial" w:cs="Arial"/>
      <w:sz w:val="34"/>
    </w:rPr>
  </w:style>
  <w:style w:type="character" w:styleId="861" w:customStyle="1">
    <w:name w:val="标题 3 字符"/>
    <w:link w:val="820"/>
    <w:uiPriority w:val="9"/>
    <w:qFormat/>
    <w:rPr>
      <w:rFonts w:ascii="Arial" w:hAnsi="Arial" w:eastAsia="Arial" w:cs="Arial"/>
      <w:sz w:val="30"/>
      <w:szCs w:val="30"/>
    </w:rPr>
  </w:style>
  <w:style w:type="character" w:styleId="862" w:customStyle="1">
    <w:name w:val="标题 4 字符"/>
    <w:link w:val="821"/>
    <w:uiPriority w:val="9"/>
    <w:qFormat/>
    <w:rPr>
      <w:rFonts w:ascii="Arial" w:hAnsi="Arial" w:eastAsia="Arial" w:cs="Arial"/>
      <w:b/>
      <w:bCs/>
      <w:sz w:val="26"/>
      <w:szCs w:val="26"/>
    </w:rPr>
  </w:style>
  <w:style w:type="character" w:styleId="863" w:customStyle="1">
    <w:name w:val="标题 5 字符"/>
    <w:link w:val="822"/>
    <w:uiPriority w:val="9"/>
    <w:qFormat/>
    <w:rPr>
      <w:rFonts w:ascii="Arial" w:hAnsi="Arial" w:eastAsia="Arial" w:cs="Arial"/>
      <w:b/>
      <w:bCs/>
      <w:sz w:val="24"/>
      <w:szCs w:val="24"/>
    </w:rPr>
  </w:style>
  <w:style w:type="character" w:styleId="864" w:customStyle="1">
    <w:name w:val="标题 6 字符"/>
    <w:link w:val="823"/>
    <w:uiPriority w:val="9"/>
    <w:qFormat/>
    <w:rPr>
      <w:rFonts w:ascii="Arial" w:hAnsi="Arial" w:eastAsia="Arial" w:cs="Arial"/>
      <w:b/>
      <w:bCs/>
      <w:sz w:val="22"/>
      <w:szCs w:val="22"/>
    </w:rPr>
  </w:style>
  <w:style w:type="character" w:styleId="865" w:customStyle="1">
    <w:name w:val="标题 7 字符"/>
    <w:link w:val="824"/>
    <w:uiPriority w:val="9"/>
    <w:qFormat/>
    <w:rPr>
      <w:rFonts w:ascii="Arial" w:hAnsi="Arial" w:eastAsia="Arial" w:cs="Arial"/>
      <w:b/>
      <w:bCs/>
      <w:i/>
      <w:iCs/>
      <w:sz w:val="22"/>
      <w:szCs w:val="22"/>
    </w:rPr>
  </w:style>
  <w:style w:type="character" w:styleId="866" w:customStyle="1">
    <w:name w:val="标题 8 字符"/>
    <w:link w:val="825"/>
    <w:uiPriority w:val="9"/>
    <w:qFormat/>
    <w:rPr>
      <w:rFonts w:ascii="Arial" w:hAnsi="Arial" w:eastAsia="Arial" w:cs="Arial"/>
      <w:i/>
      <w:iCs/>
      <w:sz w:val="22"/>
      <w:szCs w:val="22"/>
    </w:rPr>
  </w:style>
  <w:style w:type="character" w:styleId="867" w:customStyle="1">
    <w:name w:val="标题 9 字符"/>
    <w:link w:val="826"/>
    <w:uiPriority w:val="9"/>
    <w:qFormat/>
    <w:rPr>
      <w:rFonts w:ascii="Arial" w:hAnsi="Arial" w:eastAsia="Arial" w:cs="Arial"/>
      <w:i/>
      <w:iCs/>
      <w:sz w:val="21"/>
      <w:szCs w:val="21"/>
    </w:rPr>
  </w:style>
  <w:style w:type="paragraph" w:styleId="868">
    <w:name w:val="No Spacing"/>
    <w:uiPriority w:val="1"/>
    <w:qFormat/>
    <w:rPr>
      <w:rFonts w:ascii="Times New Roman" w:hAnsi="Times New Roman" w:eastAsia="宋体" w:cs="Times New Roman"/>
      <w:lang w:val="en-US" w:eastAsia="zh-CN" w:bidi="ar-SA"/>
    </w:rPr>
  </w:style>
  <w:style w:type="character" w:styleId="869" w:customStyle="1">
    <w:name w:val="标题 字符1"/>
    <w:link w:val="854"/>
    <w:uiPriority w:val="10"/>
    <w:qFormat/>
    <w:rPr>
      <w:sz w:val="48"/>
      <w:szCs w:val="48"/>
    </w:rPr>
  </w:style>
  <w:style w:type="character" w:styleId="870" w:customStyle="1">
    <w:name w:val="副标题 字符"/>
    <w:link w:val="847"/>
    <w:uiPriority w:val="11"/>
    <w:qFormat/>
    <w:rPr>
      <w:sz w:val="24"/>
      <w:szCs w:val="24"/>
    </w:rPr>
  </w:style>
  <w:style w:type="paragraph" w:styleId="871">
    <w:name w:val="Quote"/>
    <w:basedOn w:val="817"/>
    <w:next w:val="817"/>
    <w:link w:val="872"/>
    <w:uiPriority w:val="29"/>
    <w:qFormat/>
    <w:pPr>
      <w:ind w:left="720" w:right="720"/>
    </w:pPr>
    <w:rPr>
      <w:i/>
    </w:rPr>
  </w:style>
  <w:style w:type="character" w:styleId="872" w:customStyle="1">
    <w:name w:val="引用 字符"/>
    <w:link w:val="871"/>
    <w:uiPriority w:val="29"/>
    <w:qFormat/>
    <w:rPr>
      <w:i/>
    </w:rPr>
  </w:style>
  <w:style w:type="paragraph" w:styleId="873">
    <w:name w:val="Intense Quote"/>
    <w:basedOn w:val="817"/>
    <w:next w:val="817"/>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字符"/>
    <w:link w:val="873"/>
    <w:uiPriority w:val="30"/>
    <w:qFormat/>
    <w:rPr>
      <w:i/>
    </w:rPr>
  </w:style>
  <w:style w:type="character" w:styleId="875" w:customStyle="1">
    <w:name w:val="页眉 字符"/>
    <w:link w:val="844"/>
    <w:uiPriority w:val="99"/>
    <w:qFormat/>
  </w:style>
  <w:style w:type="character" w:styleId="876" w:customStyle="1">
    <w:name w:val="Footer Char"/>
    <w:uiPriority w:val="99"/>
    <w:qFormat/>
  </w:style>
  <w:style w:type="character" w:styleId="877" w:customStyle="1">
    <w:name w:val="页脚 字符"/>
    <w:link w:val="841"/>
    <w:uiPriority w:val="99"/>
    <w:qFormat/>
  </w:style>
  <w:style w:type="table" w:styleId="87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7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脚注文本 字符"/>
    <w:link w:val="848"/>
    <w:uiPriority w:val="99"/>
    <w:qFormat/>
    <w:rPr>
      <w:sz w:val="18"/>
    </w:rPr>
  </w:style>
  <w:style w:type="character" w:styleId="1004" w:customStyle="1">
    <w:name w:val="尾注文本 字符"/>
    <w:link w:val="840"/>
    <w:uiPriority w:val="99"/>
    <w:qFormat/>
    <w:rPr>
      <w:sz w:val="20"/>
    </w:rPr>
  </w:style>
  <w:style w:type="paragraph" w:styleId="1005" w:customStyle="1">
    <w:name w:val="TOC 标题1"/>
    <w:uiPriority w:val="39"/>
    <w:unhideWhenUsed/>
    <w:qFormat/>
    <w:rPr>
      <w:rFonts w:ascii="Times New Roman" w:hAnsi="Times New Roman" w:eastAsia="宋体" w:cs="Times New Roman"/>
      <w:lang w:val="en-US" w:eastAsia="zh-CN" w:bidi="ar-SA"/>
    </w:rPr>
  </w:style>
  <w:style w:type="paragraph" w:styleId="1006" w:customStyle="1">
    <w:name w:val="标题 11"/>
    <w:basedOn w:val="817"/>
    <w:next w:val="817"/>
    <w:uiPriority w:val="0"/>
    <w:qFormat/>
    <w:pPr>
      <w:keepLines/>
      <w:keepNext/>
      <w:spacing w:before="340" w:after="330" w:line="576" w:lineRule="auto"/>
      <w:outlineLvl w:val="0"/>
    </w:pPr>
    <w:rPr>
      <w:b/>
      <w:bCs/>
      <w:sz w:val="44"/>
      <w:szCs w:val="44"/>
    </w:rPr>
  </w:style>
  <w:style w:type="paragraph" w:styleId="1007" w:customStyle="1">
    <w:name w:val="标题 21"/>
    <w:basedOn w:val="817"/>
    <w:next w:val="817"/>
    <w:uiPriority w:val="0"/>
    <w:qFormat/>
    <w:pPr>
      <w:keepLines/>
      <w:keepNext/>
      <w:spacing w:before="260" w:after="260" w:line="415" w:lineRule="auto"/>
      <w:outlineLvl w:val="1"/>
    </w:pPr>
    <w:rPr>
      <w:rFonts w:ascii="Arial" w:hAnsi="Arial" w:eastAsia="黑体"/>
      <w:b/>
      <w:bCs/>
      <w:sz w:val="32"/>
      <w:szCs w:val="32"/>
    </w:rPr>
  </w:style>
  <w:style w:type="paragraph" w:styleId="1008" w:customStyle="1">
    <w:name w:val="标题 31"/>
    <w:basedOn w:val="817"/>
    <w:next w:val="817"/>
    <w:uiPriority w:val="0"/>
    <w:qFormat/>
    <w:pPr>
      <w:keepLines/>
      <w:keepNext/>
      <w:spacing w:before="260" w:after="260" w:line="415" w:lineRule="auto"/>
      <w:outlineLvl w:val="2"/>
    </w:pPr>
    <w:rPr>
      <w:b/>
      <w:bCs/>
      <w:sz w:val="32"/>
      <w:szCs w:val="32"/>
    </w:rPr>
  </w:style>
  <w:style w:type="paragraph" w:styleId="1009" w:customStyle="1">
    <w:name w:val="标题 41"/>
    <w:basedOn w:val="817"/>
    <w:next w:val="817"/>
    <w:uiPriority w:val="0"/>
    <w:qFormat/>
    <w:pPr>
      <w:keepLines/>
      <w:keepNext/>
      <w:spacing w:before="280" w:after="290" w:line="376" w:lineRule="auto"/>
      <w:outlineLvl w:val="3"/>
    </w:pPr>
    <w:rPr>
      <w:rFonts w:ascii="Arial" w:hAnsi="Arial" w:eastAsia="黑体"/>
      <w:b/>
      <w:bCs/>
      <w:sz w:val="28"/>
      <w:szCs w:val="28"/>
    </w:rPr>
  </w:style>
  <w:style w:type="paragraph" w:styleId="1010" w:customStyle="1">
    <w:name w:val="标题 51"/>
    <w:basedOn w:val="817"/>
    <w:next w:val="817"/>
    <w:uiPriority w:val="0"/>
    <w:qFormat/>
    <w:pPr>
      <w:numPr>
        <w:ilvl w:val="4"/>
        <w:numId w:val="1"/>
      </w:numPr>
      <w:keepLines/>
      <w:keepNext/>
      <w:outlineLvl w:val="4"/>
    </w:pPr>
    <w:rPr>
      <w:bCs/>
      <w:szCs w:val="28"/>
    </w:rPr>
  </w:style>
  <w:style w:type="character" w:styleId="1011" w:customStyle="1">
    <w:name w:val="默认段落字体1"/>
    <w:uiPriority w:val="0"/>
    <w:semiHidden/>
    <w:qFormat/>
  </w:style>
  <w:style w:type="table" w:styleId="1012" w:customStyle="1">
    <w:name w:val="普通表格1"/>
    <w:uiPriority w:val="0"/>
    <w:semiHidden/>
    <w:qFormat/>
    <w:tblPr>
      <w:tblLayout w:type="fixed"/>
      <w:tblCellMar>
        <w:left w:w="0" w:type="dxa"/>
        <w:top w:w="0" w:type="dxa"/>
        <w:right w:w="0" w:type="dxa"/>
        <w:bottom w:w="0" w:type="dxa"/>
      </w:tblCellMar>
    </w:tblPr>
  </w:style>
  <w:style w:type="character" w:styleId="1013" w:customStyle="1">
    <w:name w:val="页码1"/>
    <w:basedOn w:val="1011"/>
    <w:uiPriority w:val="0"/>
    <w:qFormat/>
  </w:style>
  <w:style w:type="character" w:styleId="1014" w:customStyle="1">
    <w:name w:val="强调1"/>
    <w:uiPriority w:val="0"/>
    <w:qFormat/>
    <w:rPr>
      <w:i/>
    </w:rPr>
  </w:style>
  <w:style w:type="character" w:styleId="1015" w:customStyle="1">
    <w:name w:val="批注引用1"/>
    <w:uiPriority w:val="0"/>
    <w:semiHidden/>
    <w:qFormat/>
    <w:rPr>
      <w:sz w:val="21"/>
      <w:szCs w:val="21"/>
    </w:rPr>
  </w:style>
  <w:style w:type="character" w:styleId="1016" w:customStyle="1">
    <w:name w:val="要点1"/>
    <w:uiPriority w:val="0"/>
    <w:qFormat/>
    <w:rPr>
      <w:b/>
      <w:bCs/>
    </w:rPr>
  </w:style>
  <w:style w:type="character" w:styleId="1017" w:customStyle="1">
    <w:name w:val="访问过的超链接1"/>
    <w:uiPriority w:val="99"/>
    <w:qFormat/>
    <w:rPr>
      <w:color w:val="800080"/>
      <w:u w:val="single"/>
    </w:rPr>
  </w:style>
  <w:style w:type="character" w:styleId="1018" w:customStyle="1">
    <w:name w:val="超链接1"/>
    <w:uiPriority w:val="99"/>
    <w:qFormat/>
    <w:rPr>
      <w:color w:val="0000ff"/>
      <w:u w:val="single"/>
    </w:rPr>
  </w:style>
  <w:style w:type="character" w:styleId="1019" w:customStyle="1">
    <w:name w:val="Char Char2"/>
    <w:uiPriority w:val="0"/>
    <w:qFormat/>
    <w:rPr>
      <w:rFonts w:ascii="宋体" w:hAnsi="宋体" w:eastAsia="宋体"/>
      <w:sz w:val="21"/>
      <w:szCs w:val="24"/>
      <w:lang w:val="en-US" w:eastAsia="zh-CN" w:bidi="ar-SA"/>
    </w:rPr>
  </w:style>
  <w:style w:type="character" w:styleId="1020" w:customStyle="1">
    <w:name w:val="Char Char7"/>
    <w:uiPriority w:val="0"/>
    <w:qFormat/>
    <w:rPr>
      <w:b/>
      <w:bCs/>
      <w:sz w:val="32"/>
      <w:szCs w:val="32"/>
    </w:rPr>
  </w:style>
  <w:style w:type="character" w:styleId="1021" w:customStyle="1">
    <w:name w:val="列出段落 Char"/>
    <w:uiPriority w:val="34"/>
    <w:qFormat/>
    <w:rPr>
      <w:rFonts w:ascii="Calibri" w:hAnsi="Calibri" w:eastAsia="宋体"/>
      <w:sz w:val="22"/>
      <w:lang w:bidi="ar-SA"/>
    </w:rPr>
  </w:style>
  <w:style w:type="character" w:styleId="1022" w:customStyle="1">
    <w:name w:val="a-size-large1"/>
    <w:uiPriority w:val="0"/>
    <w:qFormat/>
    <w:rPr>
      <w:rFonts w:ascii="Arial" w:hAnsi="Arial" w:cs="Arial"/>
    </w:rPr>
  </w:style>
  <w:style w:type="character" w:styleId="1023" w:customStyle="1">
    <w:name w:val="Char Char5"/>
    <w:uiPriority w:val="0"/>
    <w:qFormat/>
    <w:rPr>
      <w:rFonts w:eastAsia="楷体_GB2312"/>
      <w:sz w:val="24"/>
    </w:rPr>
  </w:style>
  <w:style w:type="character" w:styleId="1024" w:customStyle="1">
    <w:name w:val="03 正文 Char"/>
    <w:link w:val="1025"/>
    <w:uiPriority w:val="0"/>
    <w:qFormat/>
    <w:rPr>
      <w:sz w:val="21"/>
      <w:szCs w:val="22"/>
    </w:rPr>
  </w:style>
  <w:style w:type="paragraph" w:styleId="1025" w:customStyle="1">
    <w:name w:val="03 正文"/>
    <w:basedOn w:val="817"/>
    <w:link w:val="1024"/>
    <w:uiPriority w:val="0"/>
    <w:qFormat/>
    <w:pPr>
      <w:ind w:firstLine="420"/>
      <w:spacing w:line="500" w:lineRule="atLeast"/>
      <w:widowControl/>
    </w:pPr>
    <w:rPr>
      <w:szCs w:val="22"/>
    </w:rPr>
  </w:style>
  <w:style w:type="character" w:styleId="1026" w:customStyle="1">
    <w:name w:val="para1"/>
    <w:uiPriority w:val="0"/>
    <w:qFormat/>
    <w:rPr>
      <w:rFonts w:ascii="Arial" w:hAnsi="Arial" w:cs="Arial"/>
      <w:sz w:val="18"/>
      <w:szCs w:val="18"/>
    </w:rPr>
  </w:style>
  <w:style w:type="character" w:styleId="1027" w:customStyle="1">
    <w:name w:val="Char Char6"/>
    <w:uiPriority w:val="0"/>
    <w:qFormat/>
    <w:rPr>
      <w:rFonts w:ascii="Arial" w:hAnsi="Arial" w:eastAsia="黑体"/>
      <w:b/>
      <w:bCs/>
      <w:sz w:val="28"/>
      <w:szCs w:val="28"/>
      <w:lang w:val="en-US" w:eastAsia="zh-CN" w:bidi="ar-SA"/>
    </w:rPr>
  </w:style>
  <w:style w:type="character" w:styleId="1028" w:customStyle="1">
    <w:name w:val="Char Char"/>
    <w:uiPriority w:val="0"/>
    <w:qFormat/>
    <w:rPr>
      <w:sz w:val="18"/>
      <w:szCs w:val="18"/>
    </w:rPr>
  </w:style>
  <w:style w:type="character" w:styleId="1029" w:customStyle="1">
    <w:name w:val="title_emph1"/>
    <w:uiPriority w:val="0"/>
    <w:qFormat/>
    <w:rPr>
      <w:rFonts w:ascii="Arial" w:hAnsi="Arial" w:cs="Arial"/>
      <w:b/>
      <w:bCs/>
      <w:sz w:val="20"/>
      <w:szCs w:val="20"/>
    </w:rPr>
  </w:style>
  <w:style w:type="character" w:styleId="1030" w:customStyle="1">
    <w:name w:val="Char Char3"/>
    <w:uiPriority w:val="0"/>
    <w:qFormat/>
    <w:rPr>
      <w:sz w:val="21"/>
      <w:szCs w:val="24"/>
    </w:rPr>
  </w:style>
  <w:style w:type="character" w:styleId="1031" w:customStyle="1">
    <w:name w:val="正 文 1 Char"/>
    <w:uiPriority w:val="0"/>
    <w:qFormat/>
    <w:rPr>
      <w:rFonts w:ascii="宋体" w:hAnsi="Courier New" w:eastAsia="楷体_GB2312"/>
      <w:sz w:val="28"/>
      <w:lang w:val="en-US" w:eastAsia="zh-CN" w:bidi="ar-SA"/>
    </w:rPr>
  </w:style>
  <w:style w:type="character" w:styleId="1032" w:customStyle="1">
    <w:name w:val="Char Char4"/>
    <w:uiPriority w:val="0"/>
    <w:qFormat/>
    <w:rPr>
      <w:b/>
      <w:bCs/>
      <w:sz w:val="21"/>
      <w:szCs w:val="24"/>
    </w:rPr>
  </w:style>
  <w:style w:type="character" w:styleId="1033" w:customStyle="1">
    <w:name w:val="Plain Text Char Char"/>
    <w:uiPriority w:val="0"/>
    <w:qFormat/>
    <w:rPr>
      <w:rFonts w:ascii="宋体" w:hAnsi="Courier New" w:eastAsia="楷体_GB2312"/>
      <w:sz w:val="28"/>
    </w:rPr>
  </w:style>
  <w:style w:type="character" w:styleId="1034" w:customStyle="1">
    <w:name w:val="正文缩进 字符"/>
    <w:link w:val="1035"/>
    <w:uiPriority w:val="0"/>
    <w:qFormat/>
    <w:rPr>
      <w:rFonts w:eastAsia="楷体_GB2312"/>
      <w:sz w:val="24"/>
    </w:rPr>
  </w:style>
  <w:style w:type="paragraph" w:styleId="1035" w:customStyle="1">
    <w:name w:val="正文缩进1"/>
    <w:basedOn w:val="817"/>
    <w:next w:val="817"/>
    <w:link w:val="1034"/>
    <w:uiPriority w:val="0"/>
    <w:qFormat/>
    <w:pPr>
      <w:ind w:firstLine="420"/>
      <w:jc w:val="left"/>
    </w:pPr>
    <w:rPr>
      <w:rFonts w:eastAsia="楷体_GB2312"/>
      <w:sz w:val="24"/>
      <w:szCs w:val="20"/>
    </w:rPr>
  </w:style>
  <w:style w:type="paragraph" w:styleId="1036" w:customStyle="1">
    <w:name w:val="列出段落1"/>
    <w:basedOn w:val="817"/>
    <w:uiPriority w:val="0"/>
    <w:qFormat/>
    <w:pPr>
      <w:ind w:firstLine="200"/>
      <w:spacing w:line="360" w:lineRule="auto"/>
    </w:pPr>
    <w:rPr>
      <w:rFonts w:ascii="Calibri" w:hAnsi="Calibri"/>
      <w:sz w:val="22"/>
      <w:szCs w:val="20"/>
    </w:rPr>
  </w:style>
  <w:style w:type="paragraph" w:styleId="1037" w:customStyle="1">
    <w:name w:val="Char Char Char"/>
    <w:basedOn w:val="817"/>
    <w:uiPriority w:val="0"/>
    <w:qFormat/>
    <w:rPr>
      <w:rFonts w:ascii="Tahoma" w:hAnsi="Tahoma"/>
      <w:sz w:val="24"/>
      <w:szCs w:val="20"/>
    </w:rPr>
  </w:style>
  <w:style w:type="paragraph" w:styleId="1038" w:customStyle="1">
    <w:name w:val="索引标题1"/>
    <w:basedOn w:val="817"/>
    <w:next w:val="1039"/>
    <w:uiPriority w:val="0"/>
    <w:semiHidden/>
    <w:qFormat/>
    <w:rPr>
      <w:rFonts w:eastAsia="楷体_GB2312"/>
      <w:sz w:val="26"/>
      <w:szCs w:val="20"/>
    </w:rPr>
  </w:style>
  <w:style w:type="paragraph" w:styleId="1039" w:customStyle="1">
    <w:name w:val="索引 11"/>
    <w:basedOn w:val="817"/>
    <w:next w:val="817"/>
    <w:uiPriority w:val="0"/>
    <w:semiHidden/>
    <w:qFormat/>
  </w:style>
  <w:style w:type="paragraph" w:styleId="1040" w:customStyle="1">
    <w:name w:val="普通(网站)1"/>
    <w:basedOn w:val="817"/>
    <w:uiPriority w:val="99"/>
    <w:qFormat/>
    <w:pPr>
      <w:jc w:val="left"/>
      <w:spacing w:before="100" w:beforeAutospacing="1" w:after="100" w:afterAutospacing="1"/>
      <w:widowControl/>
    </w:pPr>
    <w:rPr>
      <w:rFonts w:ascii="Arial Unicode MS" w:hAnsi="Arial Unicode MS" w:eastAsia="Times New Roman"/>
      <w:sz w:val="24"/>
    </w:rPr>
  </w:style>
  <w:style w:type="paragraph" w:styleId="1041" w:customStyle="1">
    <w:name w:val="规范正文"/>
    <w:basedOn w:val="817"/>
    <w:uiPriority w:val="0"/>
    <w:qFormat/>
    <w:pPr>
      <w:ind w:left="480"/>
      <w:spacing w:line="360" w:lineRule="auto"/>
    </w:pPr>
    <w:rPr>
      <w:sz w:val="24"/>
      <w:szCs w:val="20"/>
    </w:rPr>
  </w:style>
  <w:style w:type="paragraph" w:styleId="1042" w:customStyle="1">
    <w:name w:val="列表段落1"/>
    <w:basedOn w:val="817"/>
    <w:uiPriority w:val="34"/>
    <w:qFormat/>
    <w:pPr>
      <w:ind w:firstLine="420"/>
    </w:pPr>
    <w:rPr>
      <w:rFonts w:ascii="Calibri" w:hAnsi="Calibri"/>
      <w:szCs w:val="20"/>
    </w:rPr>
  </w:style>
  <w:style w:type="paragraph" w:styleId="1043" w:customStyle="1">
    <w:name w:val="批注文字1"/>
    <w:basedOn w:val="817"/>
    <w:uiPriority w:val="0"/>
    <w:semiHidden/>
    <w:qFormat/>
    <w:pPr>
      <w:jc w:val="left"/>
    </w:pPr>
  </w:style>
  <w:style w:type="paragraph" w:styleId="1044" w:customStyle="1">
    <w:name w:val="纯文本4"/>
    <w:basedOn w:val="817"/>
    <w:uiPriority w:val="0"/>
    <w:qFormat/>
    <w:rPr>
      <w:rFonts w:hint="eastAsia" w:ascii="宋体" w:hAnsi="Courier New" w:eastAsia="楷体_GB2312"/>
      <w:sz w:val="28"/>
    </w:rPr>
  </w:style>
  <w:style w:type="paragraph" w:styleId="104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6" w:customStyle="1">
    <w:name w:val="正文文本缩进 31"/>
    <w:basedOn w:val="817"/>
    <w:uiPriority w:val="0"/>
    <w:qFormat/>
    <w:pPr>
      <w:ind w:firstLine="480"/>
      <w:spacing w:line="360" w:lineRule="auto"/>
      <w:widowControl/>
    </w:pPr>
    <w:rPr>
      <w:sz w:val="24"/>
    </w:rPr>
  </w:style>
  <w:style w:type="paragraph" w:styleId="1047" w:customStyle="1">
    <w:name w:val="页脚1"/>
    <w:basedOn w:val="817"/>
    <w:uiPriority w:val="0"/>
    <w:qFormat/>
    <w:pPr>
      <w:jc w:val="left"/>
      <w:tabs>
        <w:tab w:val="center" w:pos="4153" w:leader="none"/>
        <w:tab w:val="right" w:pos="8306" w:leader="none"/>
      </w:tabs>
    </w:pPr>
    <w:rPr>
      <w:sz w:val="18"/>
      <w:szCs w:val="18"/>
    </w:rPr>
  </w:style>
  <w:style w:type="paragraph" w:styleId="1048" w:customStyle="1">
    <w:name w:val="批注主题1"/>
    <w:basedOn w:val="1043"/>
    <w:next w:val="1043"/>
    <w:uiPriority w:val="0"/>
    <w:qFormat/>
    <w:rPr>
      <w:b/>
      <w:bCs/>
    </w:rPr>
  </w:style>
  <w:style w:type="paragraph" w:styleId="1049" w:customStyle="1">
    <w:name w:val="Char Char4 Char"/>
    <w:basedOn w:val="817"/>
    <w:uiPriority w:val="0"/>
    <w:qFormat/>
    <w:rPr>
      <w:rFonts w:ascii="Tahoma" w:hAnsi="Tahoma"/>
      <w:sz w:val="24"/>
      <w:szCs w:val="20"/>
    </w:rPr>
  </w:style>
  <w:style w:type="paragraph" w:styleId="1050" w:customStyle="1">
    <w:name w:val="纯文本1"/>
    <w:basedOn w:val="817"/>
    <w:uiPriority w:val="0"/>
    <w:qFormat/>
    <w:pPr>
      <w:jc w:val="left"/>
      <w:widowControl/>
    </w:pPr>
    <w:rPr>
      <w:rFonts w:ascii="宋体" w:hAnsi="Courier New" w:eastAsia="楷体_GB2312"/>
      <w:sz w:val="26"/>
      <w:szCs w:val="20"/>
    </w:rPr>
  </w:style>
  <w:style w:type="paragraph" w:styleId="1051" w:customStyle="1">
    <w:name w:val="Normal_15"/>
    <w:uiPriority w:val="0"/>
    <w:qFormat/>
    <w:pPr>
      <w:jc w:val="both"/>
      <w:spacing w:before="120" w:after="240"/>
    </w:pPr>
    <w:rPr>
      <w:rFonts w:ascii="Times New Roman" w:hAnsi="Times New Roman" w:eastAsia="宋体" w:cs="Times New Roman"/>
      <w:sz w:val="22"/>
      <w:szCs w:val="22"/>
      <w:lang w:val="en-US" w:eastAsia="en-US" w:bidi="ar-SA"/>
    </w:rPr>
  </w:style>
  <w:style w:type="paragraph" w:styleId="1052" w:customStyle="1">
    <w:name w:val="批注框文本1"/>
    <w:basedOn w:val="817"/>
    <w:uiPriority w:val="0"/>
    <w:qFormat/>
    <w:rPr>
      <w:sz w:val="18"/>
      <w:szCs w:val="18"/>
    </w:rPr>
  </w:style>
  <w:style w:type="paragraph" w:styleId="1053" w:customStyle="1">
    <w:name w:val="纯文本2"/>
    <w:basedOn w:val="817"/>
    <w:uiPriority w:val="0"/>
    <w:qFormat/>
    <w:rPr>
      <w:rFonts w:ascii="宋体" w:hAnsi="Courier New" w:eastAsia="楷体_GB2312"/>
      <w:sz w:val="28"/>
      <w:szCs w:val="20"/>
    </w:rPr>
  </w:style>
  <w:style w:type="paragraph" w:styleId="1054" w:customStyle="1">
    <w:name w:val="HTML 预设格式1"/>
    <w:basedOn w:val="8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55" w:customStyle="1">
    <w:name w:val="默认段落字体 Para Char Char Char Char Char Char Char"/>
    <w:basedOn w:val="817"/>
    <w:uiPriority w:val="0"/>
    <w:qFormat/>
    <w:pPr>
      <w:spacing w:line="360" w:lineRule="auto"/>
    </w:pPr>
    <w:rPr>
      <w:rFonts w:ascii="Tahoma" w:hAnsi="Tahoma"/>
      <w:sz w:val="24"/>
      <w:szCs w:val="20"/>
    </w:rPr>
  </w:style>
  <w:style w:type="paragraph" w:styleId="1056" w:customStyle="1">
    <w:name w:val="正文文本1"/>
    <w:basedOn w:val="817"/>
    <w:next w:val="1035"/>
    <w:uiPriority w:val="0"/>
    <w:qFormat/>
    <w:pPr>
      <w:tabs>
        <w:tab w:val="left" w:pos="5250" w:leader="none"/>
      </w:tabs>
    </w:pPr>
    <w:rPr>
      <w:sz w:val="28"/>
    </w:rPr>
  </w:style>
  <w:style w:type="paragraph" w:styleId="1057" w:customStyle="1">
    <w:name w:val="日期1"/>
    <w:basedOn w:val="817"/>
    <w:next w:val="817"/>
    <w:uiPriority w:val="0"/>
    <w:qFormat/>
    <w:rPr>
      <w:szCs w:val="20"/>
    </w:rPr>
  </w:style>
  <w:style w:type="paragraph" w:styleId="1058" w:customStyle="1">
    <w:name w:val="表格（小）"/>
    <w:basedOn w:val="817"/>
    <w:uiPriority w:val="0"/>
    <w:qFormat/>
    <w:rPr>
      <w:szCs w:val="21"/>
    </w:rPr>
  </w:style>
  <w:style w:type="paragraph" w:styleId="1059" w:customStyle="1">
    <w:name w:val="QB正文"/>
    <w:basedOn w:val="817"/>
    <w:uiPriority w:val="0"/>
    <w:qFormat/>
    <w:pPr>
      <w:ind w:firstLine="200"/>
      <w:widowControl/>
    </w:pPr>
    <w:rPr>
      <w:rFonts w:ascii="宋体" w:hAnsi="宋体"/>
      <w:szCs w:val="20"/>
    </w:rPr>
  </w:style>
  <w:style w:type="paragraph" w:styleId="1060" w:customStyle="1">
    <w:name w:val="正文文本缩进 21"/>
    <w:basedOn w:val="817"/>
    <w:uiPriority w:val="0"/>
    <w:qFormat/>
    <w:pPr>
      <w:ind w:left="840"/>
      <w:spacing w:line="360" w:lineRule="auto"/>
      <w:tabs>
        <w:tab w:val="left" w:pos="630" w:leader="none"/>
      </w:tabs>
    </w:pPr>
    <w:rPr>
      <w:rFonts w:ascii="宋体" w:hAnsi="宋体"/>
    </w:rPr>
  </w:style>
  <w:style w:type="paragraph" w:styleId="1061" w:customStyle="1">
    <w:name w:val="正文文本缩进1"/>
    <w:basedOn w:val="817"/>
    <w:next w:val="817"/>
    <w:uiPriority w:val="0"/>
    <w:qFormat/>
    <w:pPr>
      <w:ind w:firstLine="560"/>
      <w:jc w:val="left"/>
      <w:spacing w:line="300" w:lineRule="auto"/>
    </w:pPr>
    <w:rPr>
      <w:sz w:val="28"/>
    </w:rPr>
  </w:style>
  <w:style w:type="paragraph" w:styleId="1062" w:customStyle="1">
    <w:name w:val="文档结构图1"/>
    <w:basedOn w:val="817"/>
    <w:uiPriority w:val="0"/>
    <w:semiHidden/>
    <w:qFormat/>
    <w:pPr>
      <w:shd w:val="clear" w:color="auto" w:fill="000080"/>
    </w:pPr>
  </w:style>
  <w:style w:type="paragraph" w:styleId="1063" w:customStyle="1">
    <w:name w:val="Char"/>
    <w:basedOn w:val="817"/>
    <w:uiPriority w:val="0"/>
    <w:qFormat/>
    <w:pPr>
      <w:numPr>
        <w:ilvl w:val="0"/>
        <w:numId w:val="2"/>
      </w:numPr>
      <w:ind w:left="960"/>
      <w:tabs>
        <w:tab w:val="left" w:pos="960" w:leader="none"/>
      </w:tabs>
    </w:pPr>
    <w:rPr>
      <w:sz w:val="24"/>
    </w:rPr>
  </w:style>
  <w:style w:type="paragraph" w:styleId="1064" w:customStyle="1">
    <w:name w:val="页眉1"/>
    <w:basedOn w:val="817"/>
    <w:uiPriority w:val="0"/>
    <w:qFormat/>
    <w:pPr>
      <w:jc w:val="center"/>
      <w:tabs>
        <w:tab w:val="center" w:pos="4153" w:leader="none"/>
        <w:tab w:val="right" w:pos="8306" w:leader="none"/>
      </w:tabs>
      <w:pBdr>
        <w:bottom w:val="single" w:color="000000" w:sz="6" w:space="1"/>
      </w:pBdr>
    </w:pPr>
    <w:rPr>
      <w:sz w:val="18"/>
      <w:szCs w:val="18"/>
    </w:rPr>
  </w:style>
  <w:style w:type="paragraph" w:styleId="1065" w:customStyle="1">
    <w:name w:val="文本块1"/>
    <w:basedOn w:val="817"/>
    <w:uiPriority w:val="0"/>
    <w:qFormat/>
    <w:pPr>
      <w:ind w:left="630" w:right="-609" w:firstLine="420"/>
      <w:spacing w:line="360" w:lineRule="auto"/>
    </w:pPr>
    <w:rPr>
      <w:rFonts w:hint="eastAsia" w:ascii="仿宋_GB2312" w:eastAsia="仿宋_GB2312"/>
      <w:szCs w:val="20"/>
    </w:rPr>
  </w:style>
  <w:style w:type="paragraph" w:styleId="1066" w:customStyle="1">
    <w:name w:val="首行缩进"/>
    <w:basedOn w:val="817"/>
    <w:uiPriority w:val="0"/>
    <w:qFormat/>
    <w:pPr>
      <w:ind w:firstLine="480"/>
    </w:pPr>
    <w:rPr>
      <w:rFonts w:eastAsia="楷体_GB2312"/>
      <w:sz w:val="28"/>
      <w:szCs w:val="20"/>
      <w:lang w:val="zh-CN"/>
    </w:rPr>
  </w:style>
  <w:style w:type="paragraph" w:styleId="1067" w:customStyle="1">
    <w:name w:val="_Style 18"/>
    <w:basedOn w:val="817"/>
    <w:uiPriority w:val="0"/>
    <w:qFormat/>
    <w:rPr>
      <w:rFonts w:ascii="Tahoma" w:hAnsi="Tahoma"/>
      <w:sz w:val="24"/>
      <w:szCs w:val="20"/>
    </w:rPr>
  </w:style>
  <w:style w:type="paragraph" w:styleId="1068" w:customStyle="1">
    <w:name w:val="Char Char1"/>
    <w:basedOn w:val="817"/>
    <w:uiPriority w:val="0"/>
    <w:qFormat/>
    <w:pPr>
      <w:jc w:val="left"/>
      <w:spacing w:after="160" w:line="240" w:lineRule="exact"/>
      <w:widowControl/>
    </w:pPr>
    <w:rPr>
      <w:rFonts w:ascii="Verdana" w:hAnsi="Verdana"/>
      <w:sz w:val="20"/>
      <w:szCs w:val="20"/>
      <w:lang w:eastAsia="en-US"/>
    </w:rPr>
  </w:style>
  <w:style w:type="paragraph" w:styleId="1069" w:customStyle="1">
    <w:name w:val="表格标题"/>
    <w:basedOn w:val="817"/>
    <w:uiPriority w:val="0"/>
    <w:qFormat/>
    <w:pPr>
      <w:jc w:val="center"/>
    </w:pPr>
    <w:rPr>
      <w:rFonts w:ascii="宋体" w:hAnsi="宋体" w:cs="宋体"/>
      <w:b/>
      <w:bCs/>
      <w:szCs w:val="20"/>
    </w:rPr>
  </w:style>
  <w:style w:type="paragraph" w:styleId="1070" w:customStyle="1">
    <w:name w:val="表格正文"/>
    <w:basedOn w:val="817"/>
    <w:uiPriority w:val="0"/>
    <w:qFormat/>
    <w:pPr>
      <w:jc w:val="left"/>
    </w:pPr>
    <w:rPr>
      <w:rFonts w:ascii="宋体" w:hAnsi="宋体" w:cs="宋体"/>
      <w:color w:val="000000"/>
      <w:sz w:val="22"/>
      <w:szCs w:val="20"/>
    </w:rPr>
  </w:style>
  <w:style w:type="paragraph" w:styleId="1071" w:customStyle="1">
    <w:name w:val="p0"/>
    <w:basedOn w:val="817"/>
    <w:uiPriority w:val="0"/>
    <w:qFormat/>
    <w:pPr>
      <w:widowControl/>
    </w:pPr>
    <w:rPr>
      <w:sz w:val="26"/>
      <w:szCs w:val="26"/>
    </w:rPr>
  </w:style>
  <w:style w:type="paragraph" w:styleId="1072" w:customStyle="1">
    <w:name w:val="列表内容"/>
    <w:basedOn w:val="817"/>
    <w:next w:val="817"/>
    <w:uiPriority w:val="0"/>
    <w:qFormat/>
    <w:pPr>
      <w:numPr>
        <w:ilvl w:val="0"/>
        <w:numId w:val="3"/>
      </w:numPr>
      <w:jc w:val="left"/>
      <w:widowControl/>
    </w:pPr>
    <w:rPr>
      <w:sz w:val="18"/>
    </w:rPr>
  </w:style>
  <w:style w:type="paragraph" w:styleId="1073" w:customStyle="1">
    <w:name w:val="Char1"/>
    <w:basedOn w:val="817"/>
    <w:uiPriority w:val="0"/>
    <w:qFormat/>
    <w:rPr>
      <w:rFonts w:ascii="Tahoma" w:hAnsi="Tahoma"/>
      <w:sz w:val="24"/>
      <w:szCs w:val="20"/>
    </w:rPr>
  </w:style>
  <w:style w:type="paragraph" w:styleId="1074" w:customStyle="1">
    <w:name w:val="Plain Text1"/>
    <w:basedOn w:val="817"/>
    <w:uiPriority w:val="0"/>
    <w:qFormat/>
    <w:rPr>
      <w:rFonts w:ascii="宋体" w:hAnsi="Courier New"/>
    </w:rPr>
  </w:style>
  <w:style w:type="paragraph" w:styleId="1075" w:customStyle="1">
    <w:name w:val="表格1"/>
    <w:basedOn w:val="817"/>
    <w:next w:val="817"/>
    <w:uiPriority w:val="0"/>
    <w:qFormat/>
    <w:pPr>
      <w:jc w:val="center"/>
      <w:spacing w:line="288" w:lineRule="auto"/>
    </w:pPr>
    <w:rPr>
      <w:rFonts w:ascii="宋体"/>
      <w:sz w:val="18"/>
      <w:szCs w:val="20"/>
    </w:rPr>
  </w:style>
  <w:style w:type="paragraph" w:styleId="1076" w:customStyle="1">
    <w:name w:val="Char Char4 Char Char"/>
    <w:basedOn w:val="817"/>
    <w:uiPriority w:val="0"/>
    <w:qFormat/>
    <w:rPr>
      <w:rFonts w:ascii="Tahoma" w:hAnsi="Tahoma"/>
      <w:sz w:val="24"/>
      <w:szCs w:val="20"/>
    </w:rPr>
  </w:style>
  <w:style w:type="paragraph" w:styleId="1077" w:customStyle="1">
    <w:name w:val="正文（首行缩进2字符）"/>
    <w:basedOn w:val="817"/>
    <w:uiPriority w:val="0"/>
    <w:qFormat/>
    <w:pPr>
      <w:ind w:firstLine="480"/>
      <w:spacing w:line="360" w:lineRule="auto"/>
    </w:pPr>
    <w:rPr>
      <w:sz w:val="24"/>
      <w:szCs w:val="20"/>
    </w:rPr>
  </w:style>
  <w:style w:type="paragraph" w:styleId="1078" w:customStyle="1">
    <w:name w:val="段"/>
    <w:next w:val="817"/>
    <w:uiPriority w:val="0"/>
    <w:qFormat/>
    <w:pPr>
      <w:ind w:firstLine="200"/>
      <w:jc w:val="both"/>
    </w:pPr>
    <w:rPr>
      <w:rFonts w:ascii="宋体" w:hAnsi="Times New Roman" w:eastAsia="Times New Roman" w:cs="Times New Roman"/>
      <w:sz w:val="21"/>
      <w:szCs w:val="22"/>
      <w:lang w:val="en-US" w:eastAsia="zh-CN" w:bidi="ar-SA"/>
    </w:rPr>
  </w:style>
  <w:style w:type="paragraph" w:styleId="1079" w:customStyle="1">
    <w:name w:val="表格正文 居中"/>
    <w:basedOn w:val="817"/>
    <w:uiPriority w:val="0"/>
    <w:qFormat/>
    <w:pPr>
      <w:jc w:val="center"/>
    </w:pPr>
    <w:rPr>
      <w:rFonts w:ascii="宋体" w:hAnsi="宋体" w:cs="宋体"/>
      <w:szCs w:val="20"/>
    </w:rPr>
  </w:style>
  <w:style w:type="paragraph" w:styleId="1080" w:customStyle="1">
    <w:name w:val="Normal_10"/>
    <w:uiPriority w:val="0"/>
    <w:qFormat/>
    <w:pPr>
      <w:jc w:val="both"/>
      <w:spacing w:before="120" w:after="240"/>
    </w:pPr>
    <w:rPr>
      <w:rFonts w:ascii="Times New Roman" w:hAnsi="Times New Roman" w:eastAsia="宋体" w:cs="Times New Roman"/>
      <w:sz w:val="22"/>
      <w:szCs w:val="22"/>
      <w:lang w:val="en-US" w:eastAsia="en-US" w:bidi="ar-SA"/>
    </w:rPr>
  </w:style>
  <w:style w:type="paragraph" w:styleId="1081" w:customStyle="1">
    <w:name w:val="Char Char Char Char Char Char Char Char Char1 Char"/>
    <w:basedOn w:val="1062"/>
    <w:uiPriority w:val="0"/>
    <w:qFormat/>
    <w:pPr>
      <w:spacing w:line="360" w:lineRule="auto"/>
    </w:pPr>
  </w:style>
  <w:style w:type="paragraph" w:styleId="1082" w:customStyle="1">
    <w:name w:val="Char Char Char Char Char Char Char Char"/>
    <w:basedOn w:val="817"/>
    <w:uiPriority w:val="0"/>
    <w:qFormat/>
  </w:style>
  <w:style w:type="paragraph" w:styleId="1083">
    <w:name w:val="List Paragraph"/>
    <w:basedOn w:val="817"/>
    <w:uiPriority w:val="0"/>
    <w:qFormat/>
    <w:pPr>
      <w:ind w:firstLine="420"/>
    </w:pPr>
    <w:rPr>
      <w:rFonts w:ascii="Calibri" w:hAnsi="Calibri"/>
      <w:szCs w:val="20"/>
    </w:rPr>
  </w:style>
  <w:style w:type="table" w:styleId="1084" w:customStyle="1">
    <w:name w:val="网格型1"/>
    <w:basedOn w:val="1012"/>
    <w:uiPriority w:val="59"/>
    <w:qFormat/>
    <w:pPr>
      <w:jc w:val="both"/>
      <w:widowControl w:val="off"/>
    </w:pPr>
    <w:tblPr>
      <w:tblLayout w:type="fixed"/>
      <w:tblCellMar>
        <w:left w:w="0" w:type="dxa"/>
        <w:top w:w="0" w:type="dxa"/>
        <w:right w:w="0" w:type="dxa"/>
        <w:bottom w:w="0" w:type="dxa"/>
      </w:tblCellMar>
    </w:tblPr>
  </w:style>
  <w:style w:type="character" w:styleId="1085" w:customStyle="1">
    <w:name w:val="未处理的提及1"/>
    <w:uiPriority w:val="99"/>
    <w:semiHidden/>
    <w:unhideWhenUsed/>
    <w:qFormat/>
    <w:rPr>
      <w:color w:val="605e5c"/>
      <w:shd w:val="clear" w:color="auto" w:fill="e1dfdd"/>
    </w:rPr>
  </w:style>
  <w:style w:type="paragraph" w:styleId="1086" w:customStyle="1">
    <w:name w:val="标题1"/>
    <w:basedOn w:val="817"/>
    <w:next w:val="817"/>
    <w:link w:val="1087"/>
    <w:uiPriority w:val="0"/>
    <w:qFormat/>
    <w:pPr>
      <w:jc w:val="center"/>
      <w:spacing w:before="240" w:after="60"/>
      <w:outlineLvl w:val="0"/>
    </w:pPr>
    <w:rPr>
      <w:rFonts w:ascii="等线 Light" w:hAnsi="等线 Light"/>
      <w:b/>
      <w:bCs/>
      <w:sz w:val="32"/>
      <w:szCs w:val="32"/>
    </w:rPr>
  </w:style>
  <w:style w:type="character" w:styleId="1087" w:customStyle="1">
    <w:name w:val="标题 字符"/>
    <w:link w:val="1086"/>
    <w:uiPriority w:val="0"/>
    <w:qFormat/>
    <w:rPr>
      <w:rFonts w:ascii="等线 Light" w:hAnsi="等线 Light" w:cs="Times New Roman"/>
      <w:b/>
      <w:bCs/>
      <w:sz w:val="32"/>
      <w:szCs w:val="32"/>
    </w:rPr>
  </w:style>
  <w:style w:type="paragraph" w:styleId="1088" w:customStyle="1">
    <w:name w:val="纯文本11"/>
    <w:basedOn w:val="817"/>
    <w:next w:val="817"/>
    <w:uiPriority w:val="0"/>
    <w:qFormat/>
    <w:rPr>
      <w:rFonts w:ascii="宋体" w:hAnsi="Courier New" w:eastAsia="楷体_GB2312"/>
      <w:sz w:val="28"/>
      <w:szCs w:val="20"/>
    </w:rPr>
  </w:style>
  <w:style w:type="paragraph" w:styleId="1089" w:customStyle="1">
    <w:name w:val="正文_1"/>
    <w:uiPriority w:val="0"/>
    <w:qFormat/>
    <w:pPr>
      <w:jc w:val="both"/>
      <w:widowControl w:val="off"/>
    </w:pPr>
    <w:rPr>
      <w:rFonts w:ascii="Calibri" w:hAnsi="Calibri" w:eastAsia="宋体" w:cs="Calibri"/>
      <w:sz w:val="21"/>
      <w:szCs w:val="21"/>
      <w:lang w:val="en-US" w:eastAsia="zh-CN" w:bidi="ar-SA"/>
    </w:rPr>
  </w:style>
  <w:style w:type="paragraph" w:styleId="109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9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标题 2_1"/>
    <w:basedOn w:val="1089"/>
    <w:next w:val="1089"/>
    <w:uiPriority w:val="99"/>
    <w:unhideWhenUsed/>
    <w:qFormat/>
    <w:pPr>
      <w:keepLines/>
      <w:keepNext/>
      <w:spacing w:before="260" w:after="260" w:line="410" w:lineRule="auto"/>
      <w:outlineLvl w:val="1"/>
    </w:pPr>
    <w:rPr>
      <w:rFonts w:ascii="Arial" w:hAnsi="Arial" w:eastAsia="黑体" w:cs="Times New Roman"/>
      <w:b/>
      <w:sz w:val="32"/>
      <w:szCs w:val="20"/>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金健</cp:lastModifiedBy>
  <cp:revision>26</cp:revision>
  <dcterms:created xsi:type="dcterms:W3CDTF">2025-05-27T01:51:00Z</dcterms:created>
  <dcterms:modified xsi:type="dcterms:W3CDTF">2026-08-21T07:43:25Z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eyJoZGlkIjoiM2M5ZDUzZDVjNWRhOTc4YWFlOGZjZDNiNzRiNTQzOWMiLCJ1c2VySWQiOiIxMjkzNDk0OTY3In0=</vt:lpwstr>
  </property>
  <property fmtid="{D5CDD505-2E9C-101B-9397-08002B2CF9AE}" pid="4" name="ICV">
    <vt:lpwstr>CE6A5F49A11D4DBD82D7FBC935CBF999_12</vt:lpwstr>
  </property>
</Properties>
</file>