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val="0"/>
          <w:bCs w:val="0"/>
          <w:color w:val="000000" w:themeColor="text1"/>
          <w:sz w:val="84"/>
          <w:szCs w:val="24"/>
          <w:highlight w:val="none"/>
          <w14:textFill>
            <w14:solidFill>
              <w14:schemeClr w14:val="tx1"/>
            </w14:solidFill>
          </w14:textFill>
        </w:rPr>
      </w:pPr>
      <w:r>
        <w:rPr>
          <w:rFonts w:hint="eastAsia" w:ascii="宋体" w:hAnsi="宋体" w:eastAsia="宋体" w:cs="宋体"/>
          <w:b w:val="0"/>
          <w:bCs w:val="0"/>
          <w:color w:val="000000" w:themeColor="text1"/>
          <w:sz w:val="84"/>
          <w:szCs w:val="24"/>
          <w:highlight w:val="none"/>
          <w14:textFill>
            <w14:solidFill>
              <w14:schemeClr w14:val="tx1"/>
            </w14:solidFill>
          </w14:textFill>
        </w:rPr>
        <w:t xml:space="preserve">竞争性磋商文件</w:t>
      </w:r>
      <w:r/>
    </w:p>
    <w:p>
      <w:pPr>
        <w:jc w:val="center"/>
        <w:spacing w:before="120" w:after="120" w:line="360" w:lineRule="auto"/>
        <w:rPr>
          <w:rFonts w:hint="eastAsia" w:ascii="宋体" w:hAnsi="宋体" w:eastAsia="宋体" w:cs="宋体"/>
          <w:b/>
          <w:bCs/>
          <w:color w:val="000000" w:themeColor="text1"/>
          <w:sz w:val="32"/>
          <w:szCs w:val="28"/>
          <w:highlight w:val="none"/>
          <w14:textFill>
            <w14:solidFill>
              <w14:schemeClr w14:val="tx1"/>
            </w14:solidFill>
          </w14:textFill>
        </w:rPr>
      </w:pPr>
      <w:r>
        <w:rPr>
          <w:rFonts w:hint="eastAsia" w:ascii="宋体" w:hAnsi="宋体" w:eastAsia="宋体" w:cs="宋体"/>
          <w:b/>
          <w:bCs/>
          <w:color w:val="000000" w:themeColor="text1"/>
          <w:sz w:val="32"/>
          <w:szCs w:val="28"/>
          <w:highlight w:val="none"/>
          <w14:textFill>
            <w14:solidFill>
              <w14:schemeClr w14:val="tx1"/>
            </w14:solidFill>
          </w14:textFill>
        </w:rPr>
        <w:t xml:space="preserve">项目名称：</w:t>
      </w:r>
      <w:r>
        <w:rPr>
          <w:rFonts w:hint="eastAsia" w:ascii="宋体" w:hAnsi="宋体" w:cs="宋体"/>
          <w:b/>
          <w:bCs/>
          <w:color w:val="000000" w:themeColor="text1"/>
          <w:sz w:val="32"/>
          <w:szCs w:val="28"/>
          <w:highlight w:val="none"/>
          <w:lang w:eastAsia="zh-CN"/>
          <w14:textFill>
            <w14:solidFill>
              <w14:schemeClr w14:val="tx1"/>
            </w14:solidFill>
          </w14:textFill>
        </w:rPr>
        <w:t xml:space="preserve">海安市第二轮生物多样性本底调查项目</w:t>
      </w:r>
      <w:r/>
    </w:p>
    <w:p>
      <w:pPr>
        <w:jc w:val="center"/>
        <w:spacing w:before="120" w:after="120" w:line="360" w:lineRule="auto"/>
        <w:rPr>
          <w:rFonts w:hint="eastAsia" w:ascii="宋体" w:hAnsi="宋体" w:eastAsia="宋体" w:cs="宋体"/>
          <w:b/>
          <w:bCs/>
          <w:color w:val="000000" w:themeColor="text1"/>
          <w:sz w:val="32"/>
          <w:szCs w:val="28"/>
          <w:highlight w:val="none"/>
          <w:lang w:eastAsia="zh-CN"/>
          <w14:textFill>
            <w14:solidFill>
              <w14:schemeClr w14:val="tx1"/>
            </w14:solidFill>
          </w14:textFill>
        </w:rPr>
      </w:pPr>
      <w:r>
        <w:rPr>
          <w:rFonts w:hint="eastAsia" w:ascii="宋体" w:hAnsi="宋体" w:eastAsia="宋体" w:cs="宋体"/>
          <w:b/>
          <w:bCs/>
          <w:color w:val="000000" w:themeColor="text1"/>
          <w:sz w:val="32"/>
          <w:szCs w:val="28"/>
          <w:highlight w:val="none"/>
          <w14:textFill>
            <w14:solidFill>
              <w14:schemeClr w14:val="tx1"/>
            </w14:solidFill>
          </w14:textFill>
        </w:rPr>
        <w:t xml:space="preserve">项目编号：</w:t>
      </w:r>
      <w:r>
        <w:rPr>
          <w:rFonts w:hint="eastAsia" w:ascii="宋体" w:hAnsi="宋体" w:cs="宋体"/>
          <w:b/>
          <w:bCs/>
          <w:color w:val="000000" w:themeColor="text1"/>
          <w:sz w:val="32"/>
          <w:szCs w:val="28"/>
          <w:highlight w:val="none"/>
          <w:lang w:eastAsia="zh-CN"/>
          <w14:textFill>
            <w14:solidFill>
              <w14:schemeClr w14:val="tx1"/>
            </w14:solidFill>
          </w14:textFill>
        </w:rPr>
        <w:t xml:space="preserve">JSZC-320685-JSHS-C2026-0034</w:t>
      </w:r>
      <w:r/>
    </w:p>
    <w:p>
      <w:pPr>
        <w:ind w:firstLine="1470"/>
        <w:jc w:val="left"/>
        <w:spacing w:before="120" w:after="120"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 xml:space="preserve">     </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36"/>
          <w:szCs w:val="28"/>
          <w:highlight w:val="none"/>
          <w14:textFill>
            <w14:solidFill>
              <w14:schemeClr w14:val="tx1"/>
            </w14:solidFill>
          </w14:textFill>
        </w:rPr>
      </w:pPr>
      <w:r>
        <w:rPr>
          <w:rFonts w:hint="eastAsia" w:ascii="宋体" w:hAnsi="宋体" w:eastAsia="宋体" w:cs="宋体"/>
          <w:b/>
          <w:bCs/>
          <w:color w:val="000000" w:themeColor="text1"/>
          <w:sz w:val="36"/>
          <w:szCs w:val="28"/>
          <w:highlight w:val="none"/>
          <w14:textFill>
            <w14:solidFill>
              <w14:schemeClr w14:val="tx1"/>
            </w14:solidFill>
          </w14:textFill>
        </w:rPr>
        <w:t xml:space="preserve">采购人： </w:t>
      </w:r>
      <w:r>
        <w:rPr>
          <w:rFonts w:hint="eastAsia" w:ascii="宋体" w:hAnsi="宋体" w:cs="宋体"/>
          <w:b/>
          <w:bCs/>
          <w:color w:val="000000" w:themeColor="text1"/>
          <w:sz w:val="36"/>
          <w:szCs w:val="28"/>
          <w:highlight w:val="none"/>
          <w:lang w:eastAsia="zh-CN"/>
          <w14:textFill>
            <w14:solidFill>
              <w14:schemeClr w14:val="tx1"/>
            </w14:solidFill>
          </w14:textFill>
        </w:rPr>
        <w:t xml:space="preserve">南通市海安生态环境局</w:t>
      </w:r>
      <w:r/>
    </w:p>
    <w:p>
      <w:pPr>
        <w:jc w:val="center"/>
        <w:spacing w:before="120" w:after="120" w:line="360" w:lineRule="auto"/>
        <w:rPr>
          <w:rFonts w:hint="eastAsia" w:ascii="宋体" w:hAnsi="宋体" w:eastAsia="宋体" w:cs="宋体"/>
          <w:b/>
          <w:bCs/>
          <w:color w:val="000000" w:themeColor="text1"/>
          <w:sz w:val="36"/>
          <w:szCs w:val="28"/>
          <w:highlight w:val="none"/>
          <w14:textFill>
            <w14:solidFill>
              <w14:schemeClr w14:val="tx1"/>
            </w14:solidFill>
          </w14:textFill>
        </w:rPr>
      </w:pPr>
      <w:r>
        <w:rPr>
          <w:rFonts w:hint="eastAsia" w:ascii="宋体" w:hAnsi="宋体" w:eastAsia="宋体" w:cs="宋体"/>
          <w:b/>
          <w:bCs/>
          <w:color w:val="000000" w:themeColor="text1"/>
          <w:sz w:val="36"/>
          <w:szCs w:val="28"/>
          <w:highlight w:val="none"/>
          <w:u w:val="none"/>
          <w14:textFill>
            <w14:solidFill>
              <w14:schemeClr w14:val="tx1"/>
            </w14:solidFill>
          </w14:textFill>
        </w:rPr>
        <w:t xml:space="preserve">202</w:t>
      </w:r>
      <w:r>
        <w:rPr>
          <w:rFonts w:hint="eastAsia" w:ascii="宋体" w:hAnsi="宋体" w:eastAsia="宋体" w:cs="宋体"/>
          <w:b/>
          <w:bCs/>
          <w:color w:val="000000" w:themeColor="text1"/>
          <w:sz w:val="36"/>
          <w:szCs w:val="28"/>
          <w:highlight w:val="none"/>
          <w:u w:val="none"/>
          <w:lang w:val="en-US" w:eastAsia="zh-CN"/>
          <w14:textFill>
            <w14:solidFill>
              <w14:schemeClr w14:val="tx1"/>
            </w14:solidFill>
          </w14:textFill>
        </w:rPr>
        <w:t xml:space="preserve">6</w:t>
      </w:r>
      <w:r>
        <w:rPr>
          <w:rFonts w:hint="eastAsia" w:ascii="宋体" w:hAnsi="宋体" w:eastAsia="宋体" w:cs="宋体"/>
          <w:b/>
          <w:bCs/>
          <w:color w:val="000000" w:themeColor="text1"/>
          <w:sz w:val="36"/>
          <w:szCs w:val="28"/>
          <w:highlight w:val="none"/>
          <w14:textFill>
            <w14:solidFill>
              <w14:schemeClr w14:val="tx1"/>
            </w14:solidFill>
          </w14:textFill>
        </w:rPr>
        <w:t xml:space="preserve">年9月</w:t>
      </w:r>
      <w:r/>
    </w:p>
    <w:p>
      <w:pPr>
        <w:jc w:val="center"/>
        <w:spacing w:line="480" w:lineRule="auto"/>
        <w:rPr>
          <w:rFonts w:hint="eastAsia" w:ascii="宋体" w:hAnsi="宋体" w:eastAsia="宋体" w:cs="宋体"/>
          <w:b w:val="0"/>
          <w:bCs/>
          <w:color w:val="000000" w:themeColor="text1"/>
          <w:sz w:val="44"/>
          <w:szCs w:val="21"/>
          <w:highlight w:val="none"/>
          <w14:textFill>
            <w14:solidFill>
              <w14:schemeClr w14:val="tx1"/>
            </w14:solidFill>
          </w14:textFill>
        </w:rPr>
        <w:outlineLvl w:val="0"/>
      </w:pPr>
      <w:r>
        <w:rPr>
          <w:rFonts w:hint="eastAsia" w:ascii="宋体" w:hAnsi="宋体" w:eastAsia="宋体" w:cs="宋体"/>
          <w:color w:val="000000" w:themeColor="text1"/>
          <w:szCs w:val="21"/>
          <w:highlight w:val="none"/>
          <w14:textFill>
            <w14:solidFill>
              <w14:schemeClr w14:val="tx1"/>
            </w14:solidFill>
          </w14:textFill>
        </w:rP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ascii="宋体" w:hAnsi="宋体" w:eastAsia="宋体" w:cs="宋体"/>
          <w:b w:val="0"/>
          <w:bCs/>
          <w:color w:val="000000" w:themeColor="text1"/>
          <w:sz w:val="44"/>
          <w:szCs w:val="21"/>
          <w:highlight w:val="none"/>
          <w14:textFill>
            <w14:solidFill>
              <w14:schemeClr w14:val="tx1"/>
            </w14:solidFill>
          </w14:textFill>
        </w:rPr>
        <w:t xml:space="preserve">总  目  录</w:t>
      </w:r>
      <w:r/>
    </w:p>
    <w:p>
      <w:pPr>
        <w:spacing w:line="480" w:lineRule="auto"/>
        <w:rPr>
          <w:rFonts w:hint="eastAsia" w:ascii="宋体" w:hAnsi="宋体" w:eastAsia="宋体" w:cs="宋体"/>
          <w:b/>
          <w:color w:val="000000" w:themeColor="text1"/>
          <w:sz w:val="28"/>
          <w:szCs w:val="21"/>
          <w:highlight w:val="none"/>
          <w14:textFill>
            <w14:solidFill>
              <w14:schemeClr w14:val="tx1"/>
            </w14:solidFill>
          </w14:textFill>
        </w:rPr>
      </w:pPr>
      <w:r>
        <w:rPr>
          <w:rFonts w:hint="eastAsia" w:ascii="宋体" w:hAnsi="宋体" w:eastAsia="宋体" w:cs="宋体"/>
          <w:b/>
          <w:color w:val="000000" w:themeColor="text1"/>
          <w:sz w:val="28"/>
          <w:szCs w:val="21"/>
          <w:highlight w:val="none"/>
          <w14:textFill>
            <w14:solidFill>
              <w14:schemeClr w14:val="tx1"/>
            </w14:solidFill>
          </w14:textFill>
        </w:rPr>
      </w:r>
      <w:r/>
    </w:p>
    <w:p>
      <w:pPr>
        <w:numPr>
          <w:ilvl w:val="0"/>
          <w:numId w:val="1"/>
        </w:numPr>
        <w:spacing w:line="480" w:lineRule="auto"/>
        <w:rPr>
          <w:rFonts w:hint="eastAsia" w:ascii="宋体" w:hAnsi="宋体" w:eastAsia="宋体" w:cs="宋体"/>
          <w:color w:val="000000" w:themeColor="text1"/>
          <w:sz w:val="32"/>
          <w:szCs w:val="21"/>
          <w:highlight w:val="none"/>
          <w14:textFill>
            <w14:solidFill>
              <w14:schemeClr w14:val="tx1"/>
            </w14:solidFill>
          </w14:textFill>
        </w:rPr>
        <w:outlineLvl w:val="0"/>
      </w:pPr>
      <w:r>
        <w:rPr>
          <w:rFonts w:hint="eastAsia" w:ascii="宋体" w:hAnsi="宋体" w:eastAsia="宋体" w:cs="宋体"/>
          <w:color w:val="000000" w:themeColor="text1"/>
          <w:sz w:val="36"/>
          <w:szCs w:val="21"/>
          <w:highlight w:val="none"/>
          <w14:textFill>
            <w14:solidFill>
              <w14:schemeClr w14:val="tx1"/>
            </w14:solidFill>
          </w14:textFill>
        </w:rPr>
        <w:t xml:space="preserve">磋商邀请</w:t>
      </w:r>
      <w:r/>
    </w:p>
    <w:p>
      <w:pPr>
        <w:numPr>
          <w:ilvl w:val="0"/>
          <w:numId w:val="1"/>
        </w:numPr>
        <w:spacing w:line="480" w:lineRule="auto"/>
        <w:rPr>
          <w:rFonts w:hint="eastAsia" w:ascii="宋体" w:hAnsi="宋体" w:eastAsia="宋体" w:cs="宋体"/>
          <w:color w:val="000000" w:themeColor="text1"/>
          <w:sz w:val="36"/>
          <w:szCs w:val="21"/>
          <w:highlight w:val="none"/>
          <w14:textFill>
            <w14:solidFill>
              <w14:schemeClr w14:val="tx1"/>
            </w14:solidFill>
          </w14:textFill>
        </w:rPr>
        <w:outlineLvl w:val="0"/>
      </w:pPr>
      <w:r>
        <w:rPr>
          <w:rFonts w:hint="eastAsia" w:ascii="宋体" w:hAnsi="宋体" w:eastAsia="宋体" w:cs="宋体"/>
          <w:bCs/>
          <w:color w:val="000000" w:themeColor="text1"/>
          <w:sz w:val="36"/>
          <w:szCs w:val="36"/>
          <w:highlight w:val="none"/>
          <w14:textFill>
            <w14:solidFill>
              <w14:schemeClr w14:val="tx1"/>
            </w14:solidFill>
          </w14:textFill>
        </w:rPr>
        <w:t xml:space="preserve">供应商须知</w:t>
      </w:r>
      <w:r>
        <w:rPr>
          <w:rFonts w:hint="eastAsia" w:ascii="宋体" w:hAnsi="宋体" w:eastAsia="宋体" w:cs="宋体"/>
          <w:color w:val="000000" w:themeColor="text1"/>
          <w:sz w:val="36"/>
          <w:szCs w:val="21"/>
          <w:highlight w:val="none"/>
          <w14:textFill>
            <w14:solidFill>
              <w14:schemeClr w14:val="tx1"/>
            </w14:solidFill>
          </w14:textFill>
        </w:rPr>
        <w:t xml:space="preserve"> </w:t>
      </w:r>
      <w:r/>
    </w:p>
    <w:p>
      <w:pPr>
        <w:numPr>
          <w:ilvl w:val="0"/>
          <w:numId w:val="1"/>
        </w:numPr>
        <w:spacing w:line="480" w:lineRule="auto"/>
        <w:rPr>
          <w:rFonts w:hint="eastAsia" w:ascii="宋体" w:hAnsi="宋体" w:eastAsia="宋体" w:cs="宋体"/>
          <w:color w:val="000000" w:themeColor="text1"/>
          <w:sz w:val="36"/>
          <w:szCs w:val="21"/>
          <w:highlight w:val="none"/>
          <w14:textFill>
            <w14:solidFill>
              <w14:schemeClr w14:val="tx1"/>
            </w14:solidFill>
          </w14:textFill>
        </w:rPr>
        <w:outlineLvl w:val="0"/>
      </w:pPr>
      <w:r>
        <w:rPr>
          <w:rFonts w:hint="eastAsia" w:ascii="宋体" w:hAnsi="宋体" w:eastAsia="宋体" w:cs="宋体"/>
          <w:color w:val="000000" w:themeColor="text1"/>
          <w:sz w:val="36"/>
          <w:szCs w:val="21"/>
          <w:highlight w:val="none"/>
          <w14:textFill>
            <w14:solidFill>
              <w14:schemeClr w14:val="tx1"/>
            </w14:solidFill>
          </w14:textFill>
        </w:rPr>
        <w:t xml:space="preserve">采购需求</w:t>
      </w:r>
      <w:r/>
    </w:p>
    <w:p>
      <w:pPr>
        <w:numPr>
          <w:ilvl w:val="0"/>
          <w:numId w:val="1"/>
        </w:numPr>
        <w:spacing w:line="480" w:lineRule="auto"/>
        <w:rPr>
          <w:rFonts w:hint="eastAsia" w:ascii="宋体" w:hAnsi="宋体" w:eastAsia="宋体" w:cs="宋体"/>
          <w:color w:val="000000" w:themeColor="text1"/>
          <w:sz w:val="36"/>
          <w:szCs w:val="21"/>
          <w:highlight w:val="none"/>
          <w14:textFill>
            <w14:solidFill>
              <w14:schemeClr w14:val="tx1"/>
            </w14:solidFill>
          </w14:textFill>
        </w:rPr>
        <w:outlineLvl w:val="0"/>
      </w:pPr>
      <w:r>
        <w:rPr>
          <w:rFonts w:hint="eastAsia" w:ascii="宋体" w:hAnsi="宋体" w:eastAsia="宋体" w:cs="宋体"/>
          <w:bCs/>
          <w:color w:val="000000" w:themeColor="text1"/>
          <w:sz w:val="36"/>
          <w:szCs w:val="36"/>
          <w:highlight w:val="none"/>
          <w14:textFill>
            <w14:solidFill>
              <w14:schemeClr w14:val="tx1"/>
            </w14:solidFill>
          </w14:textFill>
        </w:rPr>
        <w:t xml:space="preserve">评审方法与评审标准</w:t>
      </w:r>
      <w:r/>
    </w:p>
    <w:p>
      <w:pPr>
        <w:numPr>
          <w:ilvl w:val="0"/>
          <w:numId w:val="1"/>
        </w:numPr>
        <w:spacing w:line="480" w:lineRule="auto"/>
        <w:rPr>
          <w:rFonts w:hint="eastAsia" w:ascii="宋体" w:hAnsi="宋体" w:eastAsia="宋体" w:cs="宋体"/>
          <w:color w:val="000000" w:themeColor="text1"/>
          <w:sz w:val="36"/>
          <w:szCs w:val="21"/>
          <w:highlight w:val="none"/>
          <w14:textFill>
            <w14:solidFill>
              <w14:schemeClr w14:val="tx1"/>
            </w14:solidFill>
          </w14:textFill>
        </w:rPr>
        <w:outlineLvl w:val="0"/>
      </w:pPr>
      <w:r>
        <w:rPr>
          <w:rFonts w:hint="eastAsia" w:ascii="宋体" w:hAnsi="宋体" w:eastAsia="宋体" w:cs="宋体"/>
          <w:color w:val="000000" w:themeColor="text1"/>
          <w:sz w:val="36"/>
          <w:szCs w:val="21"/>
          <w:highlight w:val="none"/>
          <w14:textFill>
            <w14:solidFill>
              <w14:schemeClr w14:val="tx1"/>
            </w14:solidFill>
          </w14:textFill>
        </w:rPr>
        <w:t xml:space="preserve">响应文件格式</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keepNext/>
        <w:spacing w:line="640" w:lineRule="exact"/>
        <w:rPr>
          <w:rFonts w:hint="eastAsia" w:ascii="宋体" w:hAnsi="宋体" w:eastAsia="宋体" w:cs="宋体"/>
          <w:bCs/>
          <w:color w:val="000000" w:themeColor="text1"/>
          <w:sz w:val="44"/>
          <w:szCs w:val="44"/>
          <w:highlight w:val="none"/>
          <w14:textFill>
            <w14:solidFill>
              <w14:schemeClr w14:val="tx1"/>
            </w14:solidFill>
          </w14:textFill>
        </w:rPr>
        <w:outlineLvl w:val="0"/>
      </w:pPr>
      <w:r>
        <w:rPr>
          <w:rFonts w:hint="eastAsia" w:ascii="宋体" w:hAnsi="宋体" w:eastAsia="宋体" w:cs="宋体"/>
          <w:color w:val="000000" w:themeColor="text1"/>
          <w:sz w:val="44"/>
          <w:szCs w:val="44"/>
          <w:highlight w:val="none"/>
          <w14:textFill>
            <w14:solidFill>
              <w14:schemeClr w14:val="tx1"/>
            </w14:solidFill>
          </w14:textFill>
        </w:rPr>
        <w:t xml:space="preserve">第一章  </w:t>
      </w:r>
      <w:bookmarkEnd w:id="0"/>
      <w:r>
        <w:rPr>
          <w:rFonts w:hint="eastAsia" w:ascii="宋体" w:hAnsi="宋体" w:eastAsia="宋体" w:cs="宋体"/>
          <w:color w:val="000000" w:themeColor="text1"/>
          <w:sz w:val="44"/>
          <w:szCs w:val="44"/>
          <w:highlight w:val="none"/>
          <w14:textFill>
            <w14:solidFill>
              <w14:schemeClr w14:val="tx1"/>
            </w14:solidFill>
          </w14:textFill>
        </w:rPr>
        <w:t xml:space="preserve">磋商邀请</w:t>
      </w:r>
      <w:r/>
    </w:p>
    <w:p>
      <w:pPr>
        <w:ind w:firstLine="56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南通市海安生态环境局</w:t>
      </w:r>
      <w:r>
        <w:rPr>
          <w:rFonts w:hint="eastAsia" w:ascii="宋体" w:hAnsi="宋体" w:eastAsia="宋体" w:cs="宋体"/>
          <w:color w:val="000000" w:themeColor="text1"/>
          <w:sz w:val="24"/>
          <w:szCs w:val="24"/>
          <w:highlight w:val="none"/>
          <w14:textFill>
            <w14:solidFill>
              <w14:schemeClr w14:val="tx1"/>
            </w14:solidFill>
          </w14:textFill>
        </w:rPr>
        <w:t xml:space="preserve">的委托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江苏海审工程咨询有限公司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就</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海安市第二轮生物多样性本底调查项目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项目编号：</w:t>
      </w:r>
      <w:r>
        <w:rPr>
          <w:rFonts w:hint="eastAsia" w:ascii="Segoe UI" w:hAnsi="Segoe UI" w:cs="Segoe UI"/>
          <w:i w:val="0"/>
          <w:iCs w:val="0"/>
          <w:caps w:val="0"/>
          <w:color w:val="000000" w:themeColor="text1"/>
          <w:spacing w:val="0"/>
          <w:sz w:val="21"/>
          <w:szCs w:val="21"/>
          <w:shd w:val="clear" w:color="auto" w:fill="ffffff"/>
          <w:lang w:eastAsia="zh-CN"/>
          <w14:textFill>
            <w14:solidFill>
              <w14:schemeClr w14:val="tx1"/>
            </w14:solidFill>
          </w14:textFill>
        </w:rPr>
        <w:t xml:space="preserve">JSZC-320685-JSHS-C2026-0034</w:t>
      </w:r>
      <w:r>
        <w:rPr>
          <w:rFonts w:hint="eastAsia" w:ascii="宋体" w:hAnsi="宋体" w:eastAsia="宋体" w:cs="宋体"/>
          <w:color w:val="000000" w:themeColor="text1"/>
          <w:sz w:val="24"/>
          <w:szCs w:val="24"/>
          <w:highlight w:val="none"/>
          <w14:textFill>
            <w14:solidFill>
              <w14:schemeClr w14:val="tx1"/>
            </w14:solidFill>
          </w14:textFill>
        </w:rPr>
        <w:t xml:space="preserve">)项目进行竞争性磋商采购，欢迎符合条件的供应商参加磋商。</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海安市第二轮生物多样性本底调查项目</w:t>
      </w:r>
      <w:r>
        <w:rPr>
          <w:rFonts w:hint="eastAsia" w:ascii="宋体" w:hAnsi="宋体" w:eastAsia="宋体" w:cs="宋体"/>
          <w:color w:val="000000" w:themeColor="text1"/>
          <w:sz w:val="24"/>
          <w:szCs w:val="24"/>
          <w:highlight w:val="none"/>
          <w14:textFill>
            <w14:solidFill>
              <w14:schemeClr w14:val="tx1"/>
            </w14:solidFill>
          </w14:textFill>
        </w:rPr>
        <w:t xml:space="preserve">竞争性磋商项目的潜在供应商可在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“江苏政府采购网”自行免费下载</w:t>
      </w:r>
      <w:r>
        <w:rPr>
          <w:rFonts w:hint="eastAsia" w:ascii="宋体" w:hAnsi="宋体" w:eastAsia="宋体" w:cs="宋体"/>
          <w:color w:val="000000" w:themeColor="text1"/>
          <w:sz w:val="24"/>
          <w:szCs w:val="24"/>
          <w:highlight w:val="none"/>
          <w14:textFill>
            <w14:solidFill>
              <w14:schemeClr w14:val="tx1"/>
            </w14:solidFill>
          </w14:textFill>
        </w:rPr>
        <w:t xml:space="preserve">磋商文件，并于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月21</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日</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点</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北京时间）前递交响应文件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JSZC-320685-JSHS-C2026-0034</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海安市第二轮生物多样性本底调查项目</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3.项目类型：服务</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4.项目行业：其他未列明行业</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人民币100</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人民币100</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报价超过最高限价的为无效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响应</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文件。</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7.采购需求：详细内容见本采购文件第三章，请仔细研究。</w:t>
      </w:r>
      <w:r/>
    </w:p>
    <w:p>
      <w:pPr>
        <w:ind w:firstLine="480"/>
        <w:spacing w:line="48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8.合同履行期限：详见采购文件。</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12" w:name="_Toc28359003"/>
      <w:r/>
      <w:bookmarkStart w:id="13" w:name="_Toc35393622"/>
      <w:r/>
      <w:bookmarkStart w:id="14" w:name="_Toc35393791"/>
      <w:r/>
      <w:bookmarkStart w:id="15" w:name="_Toc38985264"/>
      <w:r/>
      <w:bookmarkStart w:id="16" w:name="_Toc2835908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7" w:name="_Toc35393792"/>
      <w:r/>
      <w:bookmarkStart w:id="18" w:name="_Toc28359004"/>
      <w:r/>
      <w:bookmarkStart w:id="19" w:name="_Toc35393623"/>
      <w:r/>
      <w:bookmarkStart w:id="20" w:name="_Toc28359081"/>
      <w:r/>
      <w:bookmarkStart w:id="21" w:name="_Toc38985265"/>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满足《中华人民共和国政府采购法》第二十二条规定。（按附件1格式进行声明并提供营业执照，</w:t>
      </w:r>
      <w:r>
        <w:rPr>
          <w:rFonts w:hint="eastAsia" w:ascii="宋体" w:hAnsi="宋体" w:cs="宋体"/>
          <w:color w:val="000000" w:themeColor="text1"/>
          <w:sz w:val="24"/>
          <w:szCs w:val="24"/>
          <w:highlight w:val="none"/>
          <w:lang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文件中无需提供其他证明材料）。</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2.落实政府采购政策需满足的资格要求：本项目专门面向中小企业采购（须按照财库〔2020〕46 号文要求提供中小企业声明函。）</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文件中无需提供其他证明材料）</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.本项目不接受联合体响应。</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.本项目不接受进口产品。</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.本项目不接受分包。</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本项目的特定资格要求：无。</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三、获取</w:t>
      </w:r>
      <w:bookmarkEnd w:id="17"/>
      <w:r/>
      <w:bookmarkEnd w:id="18"/>
      <w:r/>
      <w:bookmarkEnd w:id="19"/>
      <w:r/>
      <w:bookmarkEnd w:id="20"/>
      <w:r/>
      <w:bookmarkEnd w:id="21"/>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磋商文件</w:t>
      </w:r>
      <w:r/>
    </w:p>
    <w:p>
      <w:pPr>
        <w:ind w:firstLine="48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eastAsia="宋体" w:cs="宋体"/>
          <w:color w:val="000000" w:themeColor="text1"/>
          <w:sz w:val="24"/>
          <w:szCs w:val="24"/>
          <w:highlight w:val="none"/>
          <w14:textFill>
            <w14:solidFill>
              <w14:schemeClr w14:val="tx1"/>
            </w14:solidFill>
          </w14:textFill>
        </w:rPr>
        <w:t xml:space="preserve">1.时间：202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月10</w:t>
      </w:r>
      <w:r>
        <w:rPr>
          <w:rFonts w:hint="eastAsia" w:ascii="宋体" w:hAnsi="宋体" w:eastAsia="宋体" w:cs="宋体"/>
          <w:color w:val="000000" w:themeColor="text1"/>
          <w:sz w:val="24"/>
          <w:szCs w:val="24"/>
          <w:highlight w:val="none"/>
          <w14:textFill>
            <w14:solidFill>
              <w14:schemeClr w14:val="tx1"/>
            </w14:solidFill>
          </w14:textFill>
        </w:rPr>
        <w:t xml:space="preserve">日至202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月21</w:t>
      </w:r>
      <w:r>
        <w:rPr>
          <w:rFonts w:hint="eastAsia" w:ascii="宋体" w:hAnsi="宋体" w:eastAsia="宋体" w:cs="宋体"/>
          <w:color w:val="000000" w:themeColor="text1"/>
          <w:sz w:val="24"/>
          <w:szCs w:val="24"/>
          <w:highlight w:val="none"/>
          <w14:textFill>
            <w14:solidFill>
              <w14:schemeClr w14:val="tx1"/>
            </w14:solidFill>
          </w14:textFill>
        </w:rPr>
        <w:t xml:space="preserve">日（提供期限自本公告发布之日起不得少于5个工作日）。</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2.方式：在“江苏政府采购网”自行免费下载磋商文件。</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3.获取方式：本项目采用网上注册登记方式。</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3.1潜在供应商访问电子招标响应交易平台的网络地址和方法：</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3.2潜在供应商访问“苏采云”系统的网络地址和方法：“苏采云”系统的网址：http://jszfcg.jsczt.cn/。</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3.3“CA数字证书”的获取：</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供应商需办理“CA数字证书”，CA办理指南及“苏采云”操作手册可至江苏省政府采购网—办事指南-资料下载中心下载。</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3.5招标代理机构（采购代理机构）将数据电文形式的采购文件加载至“苏采云”系统，供潜在供应商下载或者查阅。</w:t>
      </w:r>
      <w:r/>
    </w:p>
    <w:p>
      <w:pPr>
        <w:ind w:firstLine="480"/>
        <w:spacing w:line="48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3.6请潜在供应商提前安装相应的控件（详见《江苏省政府采购管理交易系统（苏采云）供应商操作手册》）并使用谷歌浏览器登录“苏采云”系统参与不见面开评标。</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四、提交</w:t>
      </w:r>
      <w:bookmarkEnd w:id="22"/>
      <w:r/>
      <w:bookmarkEnd w:id="23"/>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响应文件截止时间</w:t>
      </w:r>
      <w:bookmarkEnd w:id="24"/>
      <w:r/>
      <w:bookmarkEnd w:id="25"/>
      <w:r/>
      <w:bookmarkEnd w:id="26"/>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202</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月21</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日</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时</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w:t>
      </w:r>
      <w:r>
        <w:rPr>
          <w:rFonts w:hint="eastAsia" w:ascii="宋体" w:hAnsi="宋体" w:eastAsia="宋体" w:cs="宋体"/>
          <w:color w:val="000000" w:themeColor="text1"/>
          <w:sz w:val="24"/>
          <w:szCs w:val="24"/>
          <w:highlight w:val="none"/>
          <w14:textFill>
            <w14:solidFill>
              <w14:schemeClr w14:val="tx1"/>
            </w14:solidFill>
          </w14:textFill>
        </w:rPr>
        <w:t xml:space="preserve">（自磋商文件开始发出之日起至供应商提交响应文件截止之日止，不得少于10日。）</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2.地点：“苏采云”政府采购交易系统网上开标大厅。</w:t>
      </w:r>
      <w:r/>
    </w:p>
    <w:p>
      <w:pPr>
        <w:ind w:firstLine="482"/>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注：各供应商请关注开标大厅交流区，在开标结束后，请勿离开开标大厅，待资格审查完毕，磋商小组发出报价指令后须在</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4"/>
          <w:szCs w:val="24"/>
          <w:highlight w:val="none"/>
          <w14:textFill>
            <w14:solidFill>
              <w14:schemeClr w14:val="tx1"/>
            </w14:solidFill>
          </w14:textFill>
        </w:rPr>
        <w:t xml:space="preserve">分钟内完成系统报价。</w:t>
      </w:r>
      <w:r>
        <w:rPr>
          <w:rFonts w:hint="eastAsia" w:ascii="宋体" w:hAnsi="宋体" w:eastAsia="宋体" w:cs="宋体"/>
          <w:color w:val="000000" w:themeColor="text1"/>
          <w:sz w:val="24"/>
          <w:szCs w:val="24"/>
          <w:highlight w:val="none"/>
          <w14:textFill>
            <w14:solidFill>
              <w14:schemeClr w14:val="tx1"/>
            </w14:solidFill>
          </w14:textFill>
        </w:rPr>
        <w:t xml:space="preserve">供应商未在磋商小组规定的时间内在苏采云系统中提交最后报价的视为放弃磋商，其响应文件按无效响应处理。</w:t>
      </w:r>
      <w:r/>
    </w:p>
    <w:p>
      <w:pPr>
        <w:ind w:firstLine="480"/>
        <w:spacing w:line="480" w:lineRule="exact"/>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000000" w:themeColor="text1"/>
          <w:sz w:val="24"/>
          <w:szCs w:val="24"/>
          <w:highlight w:val="none"/>
          <w14:textFill>
            <w14:solidFill>
              <w14:schemeClr w14:val="tx1"/>
            </w14:solidFill>
          </w14:textFill>
        </w:rPr>
        <w:t xml:space="preserve">供应商解密限定在开标后30分钟之内完成</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000000" w:themeColor="text1"/>
          <w:sz w:val="24"/>
          <w:szCs w:val="24"/>
          <w:highlight w:val="none"/>
          <w14:textFill>
            <w14:solidFill>
              <w14:schemeClr w14:val="tx1"/>
            </w14:solidFill>
          </w14:textFill>
        </w:rPr>
        <w:t xml:space="preserve">；因采购人原因或网上招投标平台发生故障，导致无法按时完成响应文件解密或开、评标工作无法进行的，可根据实际情况相应延迟解密时间或调整开、评标时间。</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27" w:name="_Toc35393794"/>
      <w:r/>
      <w:bookmarkStart w:id="28" w:name="_Toc38985267"/>
      <w:r/>
      <w:bookmarkStart w:id="29" w:name="_Toc28359084"/>
      <w:r/>
      <w:bookmarkStart w:id="30" w:name="_Toc35393625"/>
      <w:r/>
      <w:bookmarkStart w:id="31" w:name="_Toc28359007"/>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bookmarkStart w:id="32" w:name="_Toc35393626"/>
      <w:r/>
      <w:bookmarkStart w:id="33" w:name="_Toc35393795"/>
      <w:r/>
      <w:bookmarkStart w:id="34" w:name="_Toc38985268"/>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个工作日。</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六、其他补充事宜</w:t>
      </w:r>
      <w:bookmarkEnd w:id="32"/>
      <w:r/>
      <w:bookmarkEnd w:id="33"/>
      <w:r/>
      <w:bookmarkEnd w:id="34"/>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1.磋商保证金：免收</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2.项目开标活动模式：不见面远程开标模式，供应商在各自地点通过“苏采云”政府采购交易系统参加磋商活动。</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3.项目演示、样品、答辩等（如有请描述）：无</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6.有关本次磋商的事项若存在变动或修改，敬请及时关注采购人在“江苏政府采购网”发布的更正公告。</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35" w:name="_Toc35393796"/>
      <w:r/>
      <w:bookmarkStart w:id="36" w:name="_Toc38985269"/>
      <w:r/>
      <w:bookmarkStart w:id="37" w:name="_Toc28359008"/>
      <w:r/>
      <w:bookmarkStart w:id="38" w:name="_Toc35393627"/>
      <w:r/>
      <w:bookmarkStart w:id="39" w:name="_Toc28359085"/>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七、本次磋商联系方式</w:t>
      </w:r>
      <w:bookmarkEnd w:id="35"/>
      <w:r/>
      <w:bookmarkEnd w:id="36"/>
      <w:r/>
      <w:bookmarkEnd w:id="37"/>
      <w:r/>
      <w:bookmarkEnd w:id="38"/>
      <w:r/>
      <w:bookmarkEnd w:id="39"/>
      <w:r/>
      <w:r/>
    </w:p>
    <w:p>
      <w:pPr>
        <w:ind w:firstLine="480"/>
        <w:jc w:val="both"/>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0" w:name="_Toc28359010"/>
      <w:r/>
      <w:bookmarkStart w:id="41" w:name="_Toc28359087"/>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left="0" w:firstLine="480"/>
        <w:jc w:val="both"/>
        <w:spacing w:line="480" w:lineRule="exact"/>
        <w:rPr>
          <w:rFonts w:hint="eastAsia" w:ascii="宋体" w:hAnsi="宋体" w:eastAsia="宋体" w:cs="宋体"/>
          <w:color w:val="000000" w:themeColor="text1"/>
          <w:sz w:val="24"/>
          <w:szCs w:val="24"/>
          <w:highlight w:val="none"/>
          <w14:textFill>
            <w14:solidFill>
              <w14:schemeClr w14:val="tx1"/>
            </w14:solidFill>
          </w14:textFill>
        </w:rPr>
      </w:pPr>
      <w:r/>
      <w:bookmarkStart w:id="42" w:name="_Toc28359009"/>
      <w:r/>
      <w:bookmarkStart w:id="43" w:name="_Toc28359086"/>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南通市海安生态环境局</w:t>
      </w:r>
      <w:r/>
    </w:p>
    <w:p>
      <w:pPr>
        <w:ind w:left="0" w:firstLine="480"/>
        <w:jc w:val="both"/>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地址：江苏省南通市海安高新区镇南路428号1号楼</w:t>
      </w:r>
      <w:r/>
    </w:p>
    <w:p>
      <w:pPr>
        <w:ind w:left="0" w:firstLine="480"/>
        <w:jc w:val="both"/>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联系人：周晓强</w:t>
      </w:r>
      <w:r/>
    </w:p>
    <w:p>
      <w:pPr>
        <w:ind w:left="0" w:firstLine="480"/>
        <w:jc w:val="both"/>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联系方式：15365503600</w:t>
      </w:r>
      <w:bookmarkEnd w:id="42"/>
      <w:r/>
      <w:bookmarkEnd w:id="43"/>
      <w:r/>
      <w:r/>
    </w:p>
    <w:p>
      <w:pPr>
        <w:ind w:left="0" w:firstLine="480"/>
        <w:jc w:val="both"/>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r/>
    </w:p>
    <w:p>
      <w:pPr>
        <w:ind w:left="0" w:firstLine="480"/>
        <w:jc w:val="both"/>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江苏海审工程咨询有限公司</w:t>
      </w:r>
      <w:r/>
    </w:p>
    <w:p>
      <w:pPr>
        <w:ind w:left="0" w:firstLine="480"/>
        <w:jc w:val="both"/>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海安市长江中路122号</w:t>
      </w:r>
      <w:r/>
    </w:p>
    <w:p>
      <w:pPr>
        <w:ind w:left="0" w:firstLine="480"/>
        <w:jc w:val="both"/>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eastAsia="zh-CN"/>
          <w14:textFill>
            <w14:solidFill>
              <w14:schemeClr w14:val="tx1"/>
            </w14:solidFill>
          </w14:textFill>
        </w:rPr>
        <w:t xml:space="preserve">万丽丽</w:t>
      </w:r>
      <w:r/>
    </w:p>
    <w:p>
      <w:pPr>
        <w:ind w:firstLine="48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13348084612</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ind w:firstLine="480"/>
        <w:spacing w:line="48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磋商文件制作人:</w:t>
      </w:r>
      <w:r>
        <w:rPr>
          <w:rFonts w:hint="eastAsia" w:ascii="宋体" w:hAnsi="宋体" w:cs="宋体"/>
          <w:color w:val="000000" w:themeColor="text1"/>
          <w:sz w:val="24"/>
          <w:szCs w:val="24"/>
          <w:highlight w:val="none"/>
          <w:lang w:eastAsia="zh-CN"/>
          <w14:textFill>
            <w14:solidFill>
              <w14:schemeClr w14:val="tx1"/>
            </w14:solidFill>
          </w14:textFill>
        </w:rPr>
        <w:t xml:space="preserve">万丽丽</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项目磋商经办人：周晓强</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交易系统软件维护人员：那工0519-86722801、0519-86722806</w:t>
      </w:r>
      <w:bookmarkEnd w:id="40"/>
      <w:r/>
      <w:bookmarkEnd w:id="41"/>
      <w:r/>
      <w:r/>
    </w:p>
    <w:p>
      <w:pPr>
        <w:jc w:val="center"/>
        <w:keepLines w:val="0"/>
        <w:keepNext/>
        <w:spacing w:line="640" w:lineRule="exact"/>
        <w:rPr>
          <w:rFonts w:hint="eastAsia" w:ascii="宋体" w:hAnsi="宋体" w:eastAsia="宋体" w:cs="宋体"/>
          <w:color w:val="000000" w:themeColor="text1"/>
          <w:sz w:val="44"/>
          <w:szCs w:val="44"/>
          <w:highlight w:val="none"/>
          <w14:textFill>
            <w14:solidFill>
              <w14:schemeClr w14:val="tx1"/>
            </w14:solidFill>
          </w14:textFill>
        </w:rPr>
        <w:outlineLvl w:val="0"/>
      </w:pPr>
      <w:r>
        <w:rPr>
          <w:rFonts w:hint="eastAsia" w:ascii="宋体" w:hAnsi="宋体" w:eastAsia="宋体" w:cs="宋体"/>
          <w:color w:val="000000" w:themeColor="text1"/>
          <w:sz w:val="44"/>
          <w:szCs w:val="44"/>
          <w:highlight w:val="none"/>
          <w14:textFill>
            <w14:solidFill>
              <w14:schemeClr w14:val="tx1"/>
            </w14:solidFill>
          </w14:textFill>
        </w:rPr>
        <w:br w:type="page" w:clear="all"/>
      </w:r>
      <w:bookmarkStart w:id="44" w:name="_Toc120614211"/>
      <w:r>
        <w:rPr>
          <w:rFonts w:hint="eastAsia" w:ascii="宋体" w:hAnsi="宋体" w:eastAsia="宋体" w:cs="宋体"/>
          <w:b w:val="0"/>
          <w:bCs w:val="0"/>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44"/>
      <w:r>
        <w:rPr>
          <w:rFonts w:hint="eastAsia" w:ascii="宋体" w:hAnsi="宋体" w:eastAsia="宋体" w:cs="宋体"/>
          <w:b w:val="0"/>
          <w:bCs w:val="0"/>
          <w:color w:val="000000" w:themeColor="text1"/>
          <w:sz w:val="44"/>
          <w:szCs w:val="44"/>
          <w:highlight w:val="none"/>
          <w14:textFill>
            <w14:solidFill>
              <w14:schemeClr w14:val="tx1"/>
            </w14:solidFill>
          </w14:textFill>
        </w:rPr>
        <w:t xml:space="preserve">供应商须知</w:t>
      </w:r>
      <w:r/>
    </w:p>
    <w:p>
      <w:pPr>
        <w:ind w:firstLine="562"/>
        <w:keepLines w:val="0"/>
        <w:keepNext w:val="0"/>
        <w:spacing w:line="480" w:lineRule="exact"/>
        <w:rPr>
          <w:rFonts w:hint="eastAsia" w:ascii="宋体" w:hAnsi="宋体" w:eastAsia="宋体" w:cs="宋体"/>
          <w:b/>
          <w:bCs/>
          <w:color w:val="000000" w:themeColor="text1"/>
          <w:sz w:val="28"/>
          <w:szCs w:val="28"/>
          <w:highlight w:val="none"/>
          <w14:textFill>
            <w14:solidFill>
              <w14:schemeClr w14:val="tx1"/>
            </w14:solidFill>
          </w14:textFill>
        </w:rPr>
        <w:outlineLvl w:val="2"/>
      </w:pPr>
      <w:r/>
      <w:bookmarkStart w:id="45" w:name="_Toc20823275"/>
      <w:r/>
      <w:bookmarkStart w:id="46" w:name="_Toc16938519"/>
      <w:r/>
      <w:bookmarkStart w:id="47" w:name="_Toc513029203"/>
      <w:r/>
      <w:bookmarkStart w:id="48" w:name="_Toc120614214"/>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一、总则</w:t>
      </w:r>
      <w:bookmarkEnd w:id="45"/>
      <w:r/>
      <w:bookmarkEnd w:id="46"/>
      <w:r/>
      <w:bookmarkEnd w:id="47"/>
      <w:r/>
      <w:bookmarkEnd w:id="48"/>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49" w:name="_Hlt16619475"/>
      <w:r/>
      <w:bookmarkEnd w:id="49"/>
      <w:r/>
      <w:bookmarkStart w:id="50" w:name="_Toc458694821"/>
      <w:r/>
      <w:bookmarkStart w:id="51" w:name="_Toc16938520"/>
      <w:r/>
      <w:bookmarkStart w:id="52" w:name="_Toc20823276"/>
      <w:r/>
      <w:bookmarkStart w:id="53" w:name="_Toc513029204"/>
      <w:r>
        <w:rPr>
          <w:rFonts w:hint="eastAsia" w:ascii="宋体" w:hAnsi="宋体" w:eastAsia="宋体" w:cs="宋体"/>
          <w:b/>
          <w:bCs/>
          <w:color w:val="000000" w:themeColor="text1"/>
          <w:sz w:val="24"/>
          <w:szCs w:val="24"/>
          <w:highlight w:val="none"/>
          <w14:textFill>
            <w14:solidFill>
              <w14:schemeClr w14:val="tx1"/>
            </w14:solidFill>
          </w14:textFill>
        </w:rPr>
        <w:t xml:space="preserve">1</w:t>
      </w:r>
      <w:bookmarkEnd w:id="50"/>
      <w:r>
        <w:rPr>
          <w:rFonts w:hint="eastAsia" w:ascii="宋体" w:hAnsi="宋体" w:eastAsia="宋体" w:cs="宋体"/>
          <w:b/>
          <w:bCs/>
          <w:color w:val="000000" w:themeColor="text1"/>
          <w:sz w:val="24"/>
          <w:szCs w:val="24"/>
          <w:highlight w:val="none"/>
          <w14:textFill>
            <w14:solidFill>
              <w14:schemeClr w14:val="tx1"/>
            </w14:solidFill>
          </w14:textFill>
        </w:rPr>
        <w:t xml:space="preserve">.采购方式</w:t>
      </w:r>
      <w:bookmarkEnd w:id="51"/>
      <w:r/>
      <w:bookmarkEnd w:id="52"/>
      <w:r/>
      <w:bookmarkEnd w:id="53"/>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本次政府采购活动采取竞争性磋商(以下简称磋商)方式，本磋商文件仅适用于磋商公告中所述项目。</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54" w:name="_Toc513029205"/>
      <w:r/>
      <w:bookmarkStart w:id="55" w:name="_Toc16938521"/>
      <w:r/>
      <w:bookmarkStart w:id="56" w:name="_Toc20823277"/>
      <w:r>
        <w:rPr>
          <w:rFonts w:hint="eastAsia" w:ascii="宋体" w:hAnsi="宋体" w:eastAsia="宋体" w:cs="宋体"/>
          <w:b/>
          <w:bCs/>
          <w:color w:val="000000" w:themeColor="text1"/>
          <w:sz w:val="24"/>
          <w:szCs w:val="24"/>
          <w:highlight w:val="none"/>
          <w14:textFill>
            <w14:solidFill>
              <w14:schemeClr w14:val="tx1"/>
            </w14:solidFill>
          </w14:textFill>
        </w:rPr>
        <w:t xml:space="preserve">2.合格的</w:t>
      </w:r>
      <w:bookmarkEnd w:id="54"/>
      <w:r/>
      <w:bookmarkEnd w:id="55"/>
      <w:r/>
      <w:bookmarkEnd w:id="56"/>
      <w:r>
        <w:rPr>
          <w:rFonts w:hint="eastAsia" w:ascii="宋体" w:hAnsi="宋体" w:eastAsia="宋体" w:cs="宋体"/>
          <w:b/>
          <w:bCs/>
          <w:color w:val="000000" w:themeColor="text1"/>
          <w:sz w:val="24"/>
          <w:szCs w:val="24"/>
          <w:highlight w:val="none"/>
          <w14:textFill>
            <w14:solidFill>
              <w14:schemeClr w14:val="tx1"/>
            </w14:solidFill>
          </w14:textFill>
        </w:rPr>
        <w:t xml:space="preserve">供应商</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2.1满足磋商公告中供应商资格要求的规定。</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满足本磋商文件实质性要求和条件的规定。</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57" w:name="_Toc16938522"/>
      <w:r/>
      <w:bookmarkStart w:id="58" w:name="_Toc20823278"/>
      <w:r/>
      <w:bookmarkStart w:id="59" w:name="_Toc513029206"/>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bookmarkEnd w:id="57"/>
      <w:r/>
      <w:bookmarkEnd w:id="58"/>
      <w:r/>
      <w:bookmarkEnd w:id="59"/>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3.1本次磋商及由此产生的合同受中华人民共和国有关的法律法规制约和保护。</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60" w:name="_Toc20823279"/>
      <w:r/>
      <w:bookmarkStart w:id="61" w:name="_Toc462564067"/>
      <w:r/>
      <w:bookmarkStart w:id="62" w:name="_Toc513029207"/>
      <w:r/>
      <w:bookmarkStart w:id="63" w:name="_Toc16938523"/>
      <w:r>
        <w:rPr>
          <w:rFonts w:hint="eastAsia" w:ascii="宋体" w:hAnsi="宋体" w:eastAsia="宋体" w:cs="宋体"/>
          <w:b/>
          <w:bCs/>
          <w:color w:val="000000" w:themeColor="text1"/>
          <w:sz w:val="24"/>
          <w:szCs w:val="24"/>
          <w:highlight w:val="none"/>
          <w14:textFill>
            <w14:solidFill>
              <w14:schemeClr w14:val="tx1"/>
            </w14:solidFill>
          </w14:textFill>
        </w:rPr>
        <w:t xml:space="preserve">4.磋商费用</w:t>
      </w:r>
      <w:bookmarkEnd w:id="60"/>
      <w:r/>
      <w:bookmarkEnd w:id="61"/>
      <w:r/>
      <w:bookmarkEnd w:id="62"/>
      <w:r/>
      <w:bookmarkEnd w:id="63"/>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w:t>
      </w:r>
      <w:r>
        <w:rPr>
          <w:rFonts w:hint="eastAsia" w:ascii="宋体" w:hAnsi="宋体" w:eastAsia="宋体" w:cs="宋体"/>
          <w:color w:val="000000" w:themeColor="text1"/>
          <w:sz w:val="24"/>
          <w:szCs w:val="24"/>
          <w:highlight w:val="none"/>
          <w14:textFill>
            <w14:solidFill>
              <w14:schemeClr w14:val="tx1"/>
            </w14:solidFill>
          </w14:textFill>
        </w:rPr>
        <w:t xml:space="preserve">供应商应自行承担所有与参加本次磋商有关的费用，无论磋商过程中的做法和结果如何，采购人和采购代理机构在任何情况下均无义务和责任承担这些费用。</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4.2本次磋商不收取标书工本费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5.磋商文件的约束力</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64" w:name="_Toc20823281"/>
      <w:r/>
      <w:bookmarkStart w:id="65" w:name="_Toc16938525"/>
      <w:r/>
      <w:bookmarkStart w:id="66" w:name="_Toc513029209"/>
      <w:r/>
      <w:bookmarkStart w:id="67" w:name="_Toc120614215"/>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二、</w:t>
      </w:r>
      <w:bookmarkEnd w:id="64"/>
      <w:r/>
      <w:bookmarkEnd w:id="65"/>
      <w:r/>
      <w:bookmarkEnd w:id="66"/>
      <w:r/>
      <w:bookmarkEnd w:id="67"/>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磋商文件</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68" w:name="_Toc513029210"/>
      <w:r/>
      <w:bookmarkStart w:id="69" w:name="_Toc20823282"/>
      <w:r/>
      <w:bookmarkStart w:id="70" w:name="_Toc16938526"/>
      <w:r>
        <w:rPr>
          <w:rFonts w:hint="eastAsia" w:ascii="宋体" w:hAnsi="宋体" w:eastAsia="宋体" w:cs="宋体"/>
          <w:b/>
          <w:bCs/>
          <w:color w:val="000000" w:themeColor="text1"/>
          <w:sz w:val="24"/>
          <w:szCs w:val="24"/>
          <w:highlight w:val="none"/>
          <w14:textFill>
            <w14:solidFill>
              <w14:schemeClr w14:val="tx1"/>
            </w14:solidFill>
          </w14:textFill>
        </w:rPr>
        <w:t xml:space="preserve">6.磋商文件构成</w:t>
      </w:r>
      <w:bookmarkEnd w:id="68"/>
      <w:r/>
      <w:bookmarkEnd w:id="69"/>
      <w:r/>
      <w:bookmarkEnd w:id="70"/>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磋商文件由以下部分组成：</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（1）磋商邀请</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（2）供应商须知</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（3）采购需求</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（4）评审方法与评审标准</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（5）响应文件格式</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（6）附件（如有）</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请仔细检查磋商文件是否齐全，如有缺漏请立即与采购人或采购代理机构联系解决。</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71" w:name="_Toc462564070"/>
      <w:r/>
      <w:bookmarkStart w:id="72" w:name="_Toc513029211"/>
      <w:r/>
      <w:bookmarkStart w:id="73" w:name="_Toc20823283"/>
      <w:r/>
      <w:bookmarkStart w:id="74" w:name="_Toc16938527"/>
      <w:r>
        <w:rPr>
          <w:rFonts w:hint="eastAsia" w:ascii="宋体" w:hAnsi="宋体" w:eastAsia="宋体" w:cs="宋体"/>
          <w:b/>
          <w:bCs/>
          <w:color w:val="000000" w:themeColor="text1"/>
          <w:sz w:val="24"/>
          <w:szCs w:val="24"/>
          <w:highlight w:val="none"/>
          <w14:textFill>
            <w14:solidFill>
              <w14:schemeClr w14:val="tx1"/>
            </w14:solidFill>
          </w14:textFill>
        </w:rPr>
        <w:t xml:space="preserve">7.磋商文件的澄清</w:t>
      </w:r>
      <w:bookmarkEnd w:id="71"/>
      <w:r/>
      <w:bookmarkEnd w:id="72"/>
      <w:r/>
      <w:bookmarkEnd w:id="73"/>
      <w:r/>
      <w:bookmarkEnd w:id="74"/>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7.1</w:t>
      </w:r>
      <w:r>
        <w:rPr>
          <w:rFonts w:hint="eastAsia" w:ascii="宋体" w:hAnsi="宋体" w:eastAsia="宋体" w:cs="宋体"/>
          <w:color w:val="000000" w:themeColor="text1"/>
          <w:sz w:val="24"/>
          <w:szCs w:val="24"/>
          <w:highlight w:val="none"/>
          <w14:textFill>
            <w14:solidFill>
              <w14:schemeClr w14:val="tx1"/>
            </w14:solidFill>
          </w14:textFill>
        </w:rPr>
        <w:t xml:space="preserve">任何要求对磋商文件进行澄清的供应商，应在磋商截止期5日前按磋商公告中的通讯地址，以书面形式通知采购人或采购代理机构。</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7.2采购人视情组织答疑会。</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75" w:name="_Toc20823284"/>
      <w:r/>
      <w:bookmarkStart w:id="76" w:name="_Toc16938528"/>
      <w:r/>
      <w:bookmarkStart w:id="77" w:name="_Toc462564071"/>
      <w:r/>
      <w:bookmarkStart w:id="78" w:name="_Toc513029212"/>
      <w:r>
        <w:rPr>
          <w:rFonts w:hint="eastAsia" w:ascii="宋体" w:hAnsi="宋体" w:eastAsia="宋体" w:cs="宋体"/>
          <w:b/>
          <w:bCs/>
          <w:color w:val="000000" w:themeColor="text1"/>
          <w:sz w:val="24"/>
          <w:szCs w:val="24"/>
          <w:highlight w:val="none"/>
          <w14:textFill>
            <w14:solidFill>
              <w14:schemeClr w14:val="tx1"/>
            </w14:solidFill>
          </w14:textFill>
        </w:rPr>
        <w:t xml:space="preserve">8.磋商文件的澄清和修改</w:t>
      </w:r>
      <w:bookmarkEnd w:id="75"/>
      <w:r/>
      <w:bookmarkEnd w:id="76"/>
      <w:r/>
      <w:bookmarkEnd w:id="77"/>
      <w:r/>
      <w:bookmarkEnd w:id="78"/>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w:t>
      </w:r>
      <w:r>
        <w:rPr>
          <w:rFonts w:hint="eastAsia" w:ascii="宋体" w:hAnsi="宋体" w:eastAsia="宋体" w:cs="宋体"/>
          <w:color w:val="000000" w:themeColor="text1"/>
          <w:sz w:val="24"/>
          <w:szCs w:val="24"/>
          <w:highlight w:val="none"/>
          <w14:textFill>
            <w14:solidFill>
              <w14:schemeClr w14:val="tx1"/>
            </w14:solidFill>
          </w14:textFill>
        </w:rPr>
        <w:t xml:space="preserve">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79" w:name="_Toc462564072"/>
      <w:r/>
      <w:bookmarkStart w:id="80" w:name="_Toc120614216"/>
      <w:r/>
      <w:bookmarkStart w:id="81" w:name="_Toc513029213"/>
      <w:r/>
      <w:bookmarkStart w:id="82" w:name="_Toc16938529"/>
      <w:r/>
      <w:bookmarkStart w:id="83" w:name="_Toc20823285"/>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三、响应文件的编制</w:t>
      </w:r>
      <w:bookmarkEnd w:id="79"/>
      <w:r/>
      <w:bookmarkEnd w:id="80"/>
      <w:r/>
      <w:bookmarkEnd w:id="81"/>
      <w:r/>
      <w:bookmarkEnd w:id="82"/>
      <w:r/>
      <w:bookmarkEnd w:id="83"/>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84" w:name="_Toc462564073"/>
      <w:r/>
      <w:bookmarkStart w:id="85" w:name="_Toc20823286"/>
      <w:r/>
      <w:bookmarkStart w:id="86" w:name="_Toc16938530"/>
      <w:r/>
      <w:bookmarkStart w:id="87" w:name="_Toc513029214"/>
      <w:r>
        <w:rPr>
          <w:rFonts w:hint="eastAsia" w:ascii="宋体" w:hAnsi="宋体" w:eastAsia="宋体" w:cs="宋体"/>
          <w:b/>
          <w:bCs/>
          <w:color w:val="000000" w:themeColor="text1"/>
          <w:sz w:val="24"/>
          <w:szCs w:val="24"/>
          <w:highlight w:val="none"/>
          <w14:textFill>
            <w14:solidFill>
              <w14:schemeClr w14:val="tx1"/>
            </w14:solidFill>
          </w14:textFill>
        </w:rPr>
        <w:t xml:space="preserve">9.响应文件的语言及度量衡单位</w:t>
      </w:r>
      <w:bookmarkEnd w:id="84"/>
      <w:r/>
      <w:bookmarkEnd w:id="85"/>
      <w:r/>
      <w:bookmarkEnd w:id="86"/>
      <w:r/>
      <w:bookmarkEnd w:id="87"/>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供应商提交的响应文件以及供应商与采购人就有关磋商的所有来往通知、函件和文件均应使用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除技术性能另有规定外，响应文件所使用的度量衡单位，均须采用国家法定计量单位。</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88" w:name="_Toc16938531"/>
      <w:r/>
      <w:bookmarkStart w:id="89" w:name="_Toc20823287"/>
      <w:r/>
      <w:bookmarkStart w:id="90" w:name="_Toc462564074"/>
      <w:r/>
      <w:bookmarkStart w:id="91" w:name="_Toc513029215"/>
      <w:r>
        <w:rPr>
          <w:rFonts w:hint="eastAsia" w:ascii="宋体" w:hAnsi="宋体" w:eastAsia="宋体" w:cs="宋体"/>
          <w:b/>
          <w:bCs/>
          <w:color w:val="000000" w:themeColor="text1"/>
          <w:sz w:val="24"/>
          <w:szCs w:val="24"/>
          <w:highlight w:val="none"/>
          <w14:textFill>
            <w14:solidFill>
              <w14:schemeClr w14:val="tx1"/>
            </w14:solidFill>
          </w14:textFill>
        </w:rPr>
        <w:t xml:space="preserve">10.响应文件构成</w:t>
      </w:r>
      <w:bookmarkEnd w:id="88"/>
      <w:r/>
      <w:bookmarkEnd w:id="89"/>
      <w:r/>
      <w:bookmarkEnd w:id="90"/>
      <w:r/>
      <w:bookmarkEnd w:id="91"/>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w:t>
      </w:r>
      <w:r>
        <w:rPr>
          <w:rFonts w:hint="eastAsia" w:ascii="宋体" w:hAnsi="宋体" w:eastAsia="宋体" w:cs="宋体"/>
          <w:color w:val="000000" w:themeColor="text1"/>
          <w:sz w:val="24"/>
          <w:szCs w:val="24"/>
          <w:highlight w:val="none"/>
          <w14:textFill>
            <w14:solidFill>
              <w14:schemeClr w14:val="tx1"/>
            </w14:solidFill>
          </w14:textFill>
        </w:rPr>
        <w:t xml:space="preserve">供应商编写的响应文件应包括资格证明文件、符合性证明文件、分项报价表、技术要求响应及偏离表、商务要求响应及偏离表、其他证明文件、磋商响应函等部分。</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10.2如标书制作工具中格式和内容与“江苏政府采购网”发布的磋商文件不一致，请以“江苏政府采购网”发布的磋商文件为准。</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92" w:name="_Hlt26954838"/>
      <w:r/>
      <w:bookmarkEnd w:id="92"/>
      <w:r/>
      <w:bookmarkStart w:id="93" w:name="_Hlt26668975"/>
      <w:r/>
      <w:bookmarkEnd w:id="93"/>
      <w:r/>
      <w:bookmarkStart w:id="94" w:name="_Hlt26670360"/>
      <w:r/>
      <w:bookmarkEnd w:id="94"/>
      <w:r/>
      <w:bookmarkStart w:id="95" w:name="_Toc49090509"/>
      <w:r/>
      <w:bookmarkStart w:id="96" w:name="_Toc513029219"/>
      <w:r/>
      <w:bookmarkStart w:id="97" w:name="_Toc14577357"/>
      <w:r/>
      <w:bookmarkStart w:id="98" w:name="_Toc513029216"/>
      <w:r/>
      <w:bookmarkStart w:id="99" w:name="_Toc49090507"/>
      <w:r/>
      <w:bookmarkStart w:id="100" w:name="_Toc14577354"/>
      <w:r/>
      <w:bookmarkStart w:id="101" w:name="_Toc14577355"/>
      <w:r/>
      <w:bookmarkStart w:id="102" w:name="_Toc49090508"/>
      <w:r>
        <w:rPr>
          <w:rFonts w:hint="eastAsia" w:ascii="宋体" w:hAnsi="宋体" w:eastAsia="宋体" w:cs="宋体"/>
          <w:b/>
          <w:bCs/>
          <w:color w:val="000000" w:themeColor="text1"/>
          <w:sz w:val="24"/>
          <w:szCs w:val="24"/>
          <w:highlight w:val="none"/>
          <w14:textFill>
            <w14:solidFill>
              <w14:schemeClr w14:val="tx1"/>
            </w14:solidFill>
          </w14:textFill>
        </w:rPr>
        <w:t xml:space="preserve">11.证明磋商响应标的符合磋商文件规定的文件</w:t>
      </w:r>
      <w:bookmarkEnd w:id="95"/>
      <w:r/>
      <w:bookmarkEnd w:id="96"/>
      <w:r/>
      <w:bookmarkEnd w:id="97"/>
      <w:r/>
      <w:bookmarkEnd w:id="98"/>
      <w:r/>
      <w:bookmarkEnd w:id="99"/>
      <w:r/>
      <w:bookmarkEnd w:id="100"/>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bookmarkEnd w:id="101"/>
      <w:r/>
      <w:bookmarkEnd w:id="102"/>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12.分项报价表</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12.1</w:t>
      </w:r>
      <w:r>
        <w:rPr>
          <w:rFonts w:hint="eastAsia" w:ascii="宋体" w:hAnsi="宋体" w:eastAsia="宋体" w:cs="宋体"/>
          <w:color w:val="000000" w:themeColor="text1"/>
          <w:sz w:val="24"/>
          <w:szCs w:val="24"/>
          <w:highlight w:val="none"/>
          <w14:textFill>
            <w14:solidFill>
              <w14:schemeClr w14:val="tx1"/>
            </w14:solidFill>
          </w14:textFill>
        </w:rPr>
        <w:t xml:space="preserve">供应商应按照磋商文件规定格式填报分项报价表。</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w:t>
      </w:r>
      <w:r>
        <w:rPr>
          <w:rFonts w:hint="eastAsia" w:ascii="宋体" w:hAnsi="宋体" w:eastAsia="宋体" w:cs="宋体"/>
          <w:bCs/>
          <w:color w:val="000000" w:themeColor="text1"/>
          <w:sz w:val="24"/>
          <w:szCs w:val="24"/>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eastAsia="宋体" w:cs="宋体"/>
          <w:color w:val="000000" w:themeColor="text1"/>
          <w:sz w:val="24"/>
          <w:szCs w:val="24"/>
          <w:highlight w:val="none"/>
          <w14:textFill>
            <w14:solidFill>
              <w14:schemeClr w14:val="tx1"/>
            </w14:solidFill>
          </w14:textFill>
        </w:rPr>
        <w:t xml:space="preserve">磋商文件中另有规定的按规定执行。</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03" w:name="_Hlt26670482"/>
      <w:r/>
      <w:bookmarkEnd w:id="103"/>
      <w:r/>
      <w:bookmarkStart w:id="104" w:name="_Hlt26954848"/>
      <w:r/>
      <w:bookmarkEnd w:id="104"/>
      <w:r/>
      <w:bookmarkStart w:id="105" w:name="_Hlt26954731"/>
      <w:r/>
      <w:bookmarkEnd w:id="105"/>
      <w:r/>
      <w:bookmarkStart w:id="106" w:name="_Hlt26670486"/>
      <w:r/>
      <w:bookmarkEnd w:id="106"/>
      <w:r/>
      <w:bookmarkStart w:id="107" w:name="_Hlt26954846"/>
      <w:r/>
      <w:bookmarkEnd w:id="107"/>
      <w:r>
        <w:rPr>
          <w:rFonts w:hint="eastAsia" w:ascii="宋体" w:hAnsi="宋体" w:eastAsia="宋体" w:cs="宋体"/>
          <w:b/>
          <w:bCs/>
          <w:color w:val="000000" w:themeColor="text1"/>
          <w:sz w:val="24"/>
          <w:szCs w:val="24"/>
          <w:highlight w:val="none"/>
          <w14:textFill>
            <w14:solidFill>
              <w14:schemeClr w14:val="tx1"/>
            </w14:solidFill>
          </w14:textFill>
        </w:rPr>
        <w:t xml:space="preserve">13.技术要求响应及偏离表、商务要求响应及偏离表</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13.1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供应商需对磋商文件中的技术要求与商务要求逐项作出响应或偏离，并说明原因。</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13.2供应商可在响应文件中提供认为需要的其他技术文件或说明。</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14.服务承诺、培训计划、人员安排及其他</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14.1</w:t>
      </w:r>
      <w:r>
        <w:rPr>
          <w:rFonts w:hint="eastAsia" w:ascii="宋体" w:hAnsi="宋体" w:eastAsia="宋体" w:cs="宋体"/>
          <w:color w:val="000000" w:themeColor="text1"/>
          <w:sz w:val="24"/>
          <w:szCs w:val="24"/>
          <w:highlight w:val="none"/>
          <w14:textFill>
            <w14:solidFill>
              <w14:schemeClr w14:val="tx1"/>
            </w14:solidFill>
          </w14:textFill>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14.2供应商需根据磋商文件要求提供培训计划。</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14.3供应商需根据磋商文件要求提供</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磋商响应标的的主要组成部分、功能设计、实现思路及关键技术等。</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08" w:name="_Toc14577359"/>
      <w:r/>
      <w:bookmarkStart w:id="109" w:name="_Toc49090510"/>
      <w:r>
        <w:rPr>
          <w:rFonts w:hint="eastAsia" w:ascii="宋体" w:hAnsi="宋体" w:eastAsia="宋体" w:cs="宋体"/>
          <w:b/>
          <w:bCs/>
          <w:color w:val="000000" w:themeColor="text1"/>
          <w:sz w:val="24"/>
          <w:szCs w:val="24"/>
          <w:highlight w:val="none"/>
          <w14:textFill>
            <w14:solidFill>
              <w14:schemeClr w14:val="tx1"/>
            </w14:solidFill>
          </w14:textFill>
        </w:rPr>
        <w:t xml:space="preserve">15.磋商响应函</w:t>
      </w:r>
      <w:r/>
    </w:p>
    <w:p>
      <w:pPr>
        <w:ind w:firstLine="480"/>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15.1</w:t>
      </w:r>
      <w:r>
        <w:rPr>
          <w:rFonts w:hint="eastAsia" w:ascii="宋体" w:hAnsi="宋体" w:eastAsia="宋体" w:cs="宋体"/>
          <w:color w:val="000000" w:themeColor="text1"/>
          <w:sz w:val="24"/>
          <w:szCs w:val="24"/>
          <w:highlight w:val="none"/>
          <w14:textFill>
            <w14:solidFill>
              <w14:schemeClr w14:val="tx1"/>
            </w14:solidFill>
          </w14:textFill>
        </w:rPr>
        <w:t xml:space="preserve">供应</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商应按照磋商文件中提供的格式完整、正确填写磋商响应函。</w:t>
      </w:r>
      <w:bookmarkEnd w:id="108"/>
      <w:r/>
      <w:bookmarkEnd w:id="109"/>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10" w:name="_Toc14577360"/>
      <w:r/>
      <w:bookmarkStart w:id="111" w:name="_Toc49090511"/>
      <w:r>
        <w:rPr>
          <w:rFonts w:hint="eastAsia" w:ascii="宋体" w:hAnsi="宋体" w:eastAsia="宋体" w:cs="宋体"/>
          <w:b/>
          <w:bCs/>
          <w:color w:val="000000" w:themeColor="text1"/>
          <w:sz w:val="24"/>
          <w:szCs w:val="24"/>
          <w:highlight w:val="none"/>
          <w14:textFill>
            <w14:solidFill>
              <w14:schemeClr w14:val="tx1"/>
            </w14:solidFill>
          </w14:textFill>
        </w:rPr>
        <w:t xml:space="preserve">16.磋商有效期</w:t>
      </w:r>
      <w:bookmarkEnd w:id="110"/>
      <w:r/>
      <w:bookmarkEnd w:id="111"/>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16.1磋商有效期为采购人规定的提交响应文件截止之日后</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六十（60）天</w:t>
      </w:r>
      <w:r>
        <w:rPr>
          <w:rFonts w:hint="eastAsia" w:ascii="宋体" w:hAnsi="宋体" w:eastAsia="宋体" w:cs="宋体"/>
          <w:bCs/>
          <w:color w:val="000000" w:themeColor="text1"/>
          <w:sz w:val="24"/>
          <w:szCs w:val="24"/>
          <w:highlight w:val="none"/>
          <w14:textFill>
            <w14:solidFill>
              <w14:schemeClr w14:val="tx1"/>
            </w14:solidFill>
          </w14:textFill>
        </w:rPr>
        <w:t xml:space="preserve">。磋商有效期比规定短的将被视为非实质性响应磋商文件而予以拒绝。</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17.磋商有效期的延长</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eastAsia="宋体" w:cs="宋体"/>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112" w:name="_Hlt26954852"/>
      <w:r/>
      <w:bookmarkEnd w:id="112"/>
      <w:r/>
      <w:bookmarkStart w:id="113" w:name="_Hlt26954739"/>
      <w:r/>
      <w:bookmarkEnd w:id="113"/>
      <w:r/>
      <w:bookmarkStart w:id="114" w:name="_Toc513029224"/>
      <w:r/>
      <w:bookmarkStart w:id="115" w:name="_Toc20823296"/>
      <w:r/>
      <w:bookmarkStart w:id="116" w:name="_Toc16938540"/>
      <w:r/>
      <w:bookmarkStart w:id="117" w:name="_Toc120614217"/>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四、响应文件的递交</w:t>
      </w:r>
      <w:bookmarkEnd w:id="114"/>
      <w:r/>
      <w:bookmarkEnd w:id="115"/>
      <w:r/>
      <w:bookmarkEnd w:id="116"/>
      <w:r/>
      <w:bookmarkEnd w:id="117"/>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18" w:name="_Toc462564084"/>
      <w:r/>
      <w:bookmarkStart w:id="119" w:name="_Toc20823297"/>
      <w:r/>
      <w:bookmarkStart w:id="120" w:name="_Toc16938541"/>
      <w:r/>
      <w:bookmarkStart w:id="121" w:name="_Toc513029225"/>
      <w:r>
        <w:rPr>
          <w:rFonts w:hint="eastAsia" w:ascii="宋体" w:hAnsi="宋体" w:eastAsia="宋体" w:cs="宋体"/>
          <w:b/>
          <w:bCs/>
          <w:color w:val="000000" w:themeColor="text1"/>
          <w:sz w:val="24"/>
          <w:szCs w:val="24"/>
          <w:highlight w:val="none"/>
          <w14:textFill>
            <w14:solidFill>
              <w14:schemeClr w14:val="tx1"/>
            </w14:solidFill>
          </w14:textFill>
        </w:rPr>
        <w:t xml:space="preserve">18.电子磋商</w:t>
      </w:r>
      <w:bookmarkEnd w:id="118"/>
      <w:r/>
      <w:bookmarkEnd w:id="119"/>
      <w:r/>
      <w:bookmarkEnd w:id="120"/>
      <w:r/>
      <w:bookmarkEnd w:id="121"/>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响应文件的递交</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w:t>
      </w:r>
      <w:bookmarkStart w:id="122" w:name="_Toc20823298"/>
      <w:r/>
      <w:bookmarkStart w:id="123" w:name="_Toc513029226"/>
      <w:r/>
      <w:bookmarkStart w:id="124" w:name="_Toc16938542"/>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19.提交响应文件截止时间</w:t>
      </w:r>
      <w:bookmarkEnd w:id="122"/>
      <w:r/>
      <w:bookmarkEnd w:id="123"/>
      <w:r/>
      <w:bookmarkEnd w:id="124"/>
      <w:r/>
      <w:r/>
    </w:p>
    <w:p>
      <w:pPr>
        <w:ind w:firstLine="480"/>
        <w:spacing w:line="480" w:lineRule="exact"/>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供应商上传电子响应文件的时间不得迟于磋商公告中规定的提交响应文件截止时间。</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w:t>
      </w:r>
      <w:r>
        <w:rPr>
          <w:rFonts w:hint="eastAsia" w:ascii="宋体" w:hAnsi="宋体" w:eastAsia="宋体" w:cs="宋体"/>
          <w:bCs/>
          <w:color w:val="000000" w:themeColor="text1"/>
          <w:sz w:val="24"/>
          <w:szCs w:val="24"/>
          <w:highlight w:val="none"/>
          <w14:textFill>
            <w14:solidFill>
              <w14:schemeClr w14:val="tx1"/>
            </w14:solidFill>
          </w14:textFill>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25" w:name="_Toc513029227"/>
      <w:r/>
      <w:bookmarkStart w:id="126" w:name="_Toc16938543"/>
      <w:r/>
      <w:bookmarkStart w:id="127" w:name="_Toc20823299"/>
      <w:r>
        <w:rPr>
          <w:rFonts w:hint="eastAsia" w:ascii="宋体" w:hAnsi="宋体" w:eastAsia="宋体" w:cs="宋体"/>
          <w:b/>
          <w:bCs/>
          <w:color w:val="000000" w:themeColor="text1"/>
          <w:sz w:val="24"/>
          <w:szCs w:val="24"/>
          <w:highlight w:val="none"/>
          <w14:textFill>
            <w14:solidFill>
              <w14:schemeClr w14:val="tx1"/>
            </w14:solidFill>
          </w14:textFill>
        </w:rPr>
        <w:t xml:space="preserve">20.响应文件</w:t>
      </w:r>
      <w:bookmarkEnd w:id="125"/>
      <w:r/>
      <w:bookmarkEnd w:id="126"/>
      <w:r/>
      <w:bookmarkEnd w:id="127"/>
      <w:r>
        <w:rPr>
          <w:rFonts w:hint="eastAsia" w:ascii="宋体" w:hAnsi="宋体" w:eastAsia="宋体" w:cs="宋体"/>
          <w:b/>
          <w:bCs/>
          <w:color w:val="000000" w:themeColor="text1"/>
          <w:sz w:val="24"/>
          <w:szCs w:val="24"/>
          <w:highlight w:val="none"/>
          <w14:textFill>
            <w14:solidFill>
              <w14:schemeClr w14:val="tx1"/>
            </w14:solidFill>
          </w14:textFill>
        </w:rPr>
        <w:t xml:space="preserve">的拒收</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20.1 采购人拒绝接收在其规定的提交响应文件截止时间后上传的任何电子响应文件。</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28" w:name="_Toc513029228"/>
      <w:r/>
      <w:bookmarkStart w:id="129" w:name="_Toc16938544"/>
      <w:r/>
      <w:bookmarkStart w:id="130" w:name="_Toc20823300"/>
      <w:r>
        <w:rPr>
          <w:rFonts w:hint="eastAsia" w:ascii="宋体" w:hAnsi="宋体" w:eastAsia="宋体" w:cs="宋体"/>
          <w:b/>
          <w:bCs/>
          <w:color w:val="000000" w:themeColor="text1"/>
          <w:sz w:val="24"/>
          <w:szCs w:val="24"/>
          <w:highlight w:val="none"/>
          <w14:textFill>
            <w14:solidFill>
              <w14:schemeClr w14:val="tx1"/>
            </w14:solidFill>
          </w14:textFill>
        </w:rPr>
        <w:t xml:space="preserve">21.响应文件的撤回和修改</w:t>
      </w:r>
      <w:bookmarkEnd w:id="128"/>
      <w:r/>
      <w:bookmarkEnd w:id="129"/>
      <w:r/>
      <w:bookmarkEnd w:id="130"/>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21.1响应文件的撤回</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 电子响应文件的撤回</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4"/>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4"/>
          <w:highlight w:val="none"/>
          <w14:textFill>
            <w14:solidFill>
              <w14:schemeClr w14:val="tx1"/>
            </w14:solidFill>
          </w14:textFill>
        </w:rPr>
        <w:t xml:space="preserve">截止时间前，撤回其电子响应文件，具体操作方法见《操作手册》。</w:t>
      </w:r>
      <w:r/>
    </w:p>
    <w:p>
      <w:pPr>
        <w:ind w:firstLine="480"/>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21.1.2供</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应商撤回电子响应文件，则认为其不再参与本项目磋商活动。</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21.2响应文件的修改</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4"/>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4"/>
          <w:highlight w:val="none"/>
          <w14:textFill>
            <w14:solidFill>
              <w14:schemeClr w14:val="tx1"/>
            </w14:solidFill>
          </w14:textFill>
        </w:rPr>
        <w:t xml:space="preserve">截止时间前，对其电子响应文件进行修改，具体操作方法见《操作手册》。</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w:t>
      </w:r>
      <w:r>
        <w:rPr>
          <w:rFonts w:hint="eastAsia" w:ascii="宋体" w:hAnsi="宋体" w:eastAsia="宋体" w:cs="宋体"/>
          <w:bCs/>
          <w:color w:val="000000" w:themeColor="text1"/>
          <w:sz w:val="24"/>
          <w:szCs w:val="24"/>
          <w:highlight w:val="none"/>
          <w14:textFill>
            <w14:solidFill>
              <w14:schemeClr w14:val="tx1"/>
            </w14:solidFill>
          </w14:textFill>
        </w:rPr>
        <w:t xml:space="preserve"> 在提交响应文件截止时间之后，供应商不得对其电子响应文件作任何修改。</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21.4</w:t>
      </w:r>
      <w:r>
        <w:rPr>
          <w:rFonts w:hint="eastAsia" w:ascii="宋体" w:hAnsi="宋体" w:eastAsia="宋体" w:cs="宋体"/>
          <w:bCs/>
          <w:color w:val="000000" w:themeColor="text1"/>
          <w:sz w:val="24"/>
          <w:szCs w:val="24"/>
          <w:highlight w:val="none"/>
          <w14:textFill>
            <w14:solidFill>
              <w14:schemeClr w14:val="tx1"/>
            </w14:solidFill>
          </w14:textFill>
        </w:rPr>
        <w:t xml:space="preserve"> 在提交响应文件截止时间至磋商文件中规定的磋商有效期满之间的这段时间内，供应商不得撤回其响应文件。</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131" w:name="_Toc20823301"/>
      <w:r/>
      <w:bookmarkStart w:id="132" w:name="_Toc16938545"/>
      <w:r/>
      <w:bookmarkStart w:id="133" w:name="_Toc120614218"/>
      <w:r/>
      <w:bookmarkStart w:id="134" w:name="_Toc513029229"/>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五、响应文件的解密与评审</w:t>
      </w:r>
      <w:bookmarkEnd w:id="131"/>
      <w:r/>
      <w:bookmarkEnd w:id="132"/>
      <w:r/>
      <w:bookmarkEnd w:id="133"/>
      <w:r/>
      <w:bookmarkEnd w:id="134"/>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35" w:name="_Toc20823302"/>
      <w:r/>
      <w:bookmarkStart w:id="136" w:name="_Toc513029230"/>
      <w:r/>
      <w:bookmarkStart w:id="137" w:name="_Toc16938546"/>
      <w:r>
        <w:rPr>
          <w:rFonts w:hint="eastAsia" w:ascii="宋体" w:hAnsi="宋体" w:eastAsia="宋体" w:cs="宋体"/>
          <w:b/>
          <w:bCs/>
          <w:color w:val="000000" w:themeColor="text1"/>
          <w:sz w:val="24"/>
          <w:szCs w:val="24"/>
          <w:highlight w:val="none"/>
          <w14:textFill>
            <w14:solidFill>
              <w14:schemeClr w14:val="tx1"/>
            </w14:solidFill>
          </w14:textFill>
        </w:rPr>
        <w:t xml:space="preserve">22</w:t>
      </w:r>
      <w:bookmarkEnd w:id="135"/>
      <w:r/>
      <w:bookmarkEnd w:id="136"/>
      <w:r/>
      <w:bookmarkEnd w:id="137"/>
      <w:r>
        <w:rPr>
          <w:rFonts w:hint="eastAsia" w:ascii="宋体" w:hAnsi="宋体" w:eastAsia="宋体" w:cs="宋体"/>
          <w:b/>
          <w:bCs/>
          <w:color w:val="000000" w:themeColor="text1"/>
          <w:sz w:val="24"/>
          <w:szCs w:val="24"/>
          <w:highlight w:val="none"/>
          <w14:textFill>
            <w14:solidFill>
              <w14:schemeClr w14:val="tx1"/>
            </w14:solidFill>
          </w14:textFill>
        </w:rPr>
        <w:t xml:space="preserve">.响应文件解密</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22.1供应商应当按照《操作手册》规定，在苏采云系统规定的时间内对磋商响应文件进行解密。</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38" w:name="_Toc20823303"/>
      <w:r/>
      <w:bookmarkStart w:id="139" w:name="_Toc513029231"/>
      <w:r/>
      <w:bookmarkStart w:id="140" w:name="_Toc16938547"/>
      <w:r>
        <w:rPr>
          <w:rFonts w:hint="eastAsia" w:ascii="宋体" w:hAnsi="宋体" w:eastAsia="宋体" w:cs="宋体"/>
          <w:b/>
          <w:bCs/>
          <w:color w:val="000000" w:themeColor="text1"/>
          <w:sz w:val="24"/>
          <w:szCs w:val="24"/>
          <w:highlight w:val="none"/>
          <w14:textFill>
            <w14:solidFill>
              <w14:schemeClr w14:val="tx1"/>
            </w14:solidFill>
          </w14:textFill>
        </w:rPr>
        <w:t xml:space="preserve">23.磋商小组</w:t>
      </w:r>
      <w:r/>
    </w:p>
    <w:p>
      <w:pPr>
        <w:ind w:firstLine="48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23.2磋商小组独立工作，负责评审所有响应文件并确定成交候选人。</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24.评审过程的保密与公正</w:t>
      </w:r>
      <w:bookmarkEnd w:id="138"/>
      <w:r/>
      <w:bookmarkEnd w:id="139"/>
      <w:r/>
      <w:bookmarkEnd w:id="140"/>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w:t>
      </w:r>
      <w:r>
        <w:rPr>
          <w:rFonts w:hint="eastAsia" w:ascii="宋体" w:hAnsi="宋体" w:eastAsia="宋体" w:cs="宋体"/>
          <w:bCs/>
          <w:color w:val="000000" w:themeColor="text1"/>
          <w:sz w:val="24"/>
          <w:szCs w:val="24"/>
          <w:highlight w:val="none"/>
          <w14:textFill>
            <w14:solidFill>
              <w14:schemeClr w14:val="tx1"/>
            </w14:solidFill>
          </w14:textFill>
        </w:rPr>
        <w:t xml:space="preserve">磋商小组、采购人和采购代理机构工作人员、相关监督人员等与评审工作有关的人员，对评审情况以及在评审过程中获悉的国家秘密、商业秘密负有保密责任。</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24.2在评审过程中，供应商不得以任何行为影响磋商评审过程，否则其响应文件将被作为无效响应文件。</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24.3在项目评审期间，采购代理机构将设专门人员与供应商联系。</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24.4采购人和磋商小组不向未成交的供应商解释未成交原因，也不公布评审过程中的相关细节。</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41" w:name="_Toc20823304"/>
      <w:r/>
      <w:bookmarkStart w:id="142" w:name="_Toc513029232"/>
      <w:r/>
      <w:bookmarkStart w:id="143" w:name="_Toc16938548"/>
      <w:r>
        <w:rPr>
          <w:rFonts w:hint="eastAsia" w:ascii="宋体" w:hAnsi="宋体" w:eastAsia="宋体" w:cs="宋体"/>
          <w:b/>
          <w:bCs/>
          <w:color w:val="000000" w:themeColor="text1"/>
          <w:sz w:val="24"/>
          <w:szCs w:val="24"/>
          <w:highlight w:val="none"/>
          <w14:textFill>
            <w14:solidFill>
              <w14:schemeClr w14:val="tx1"/>
            </w14:solidFill>
          </w14:textFill>
        </w:rPr>
        <w:t xml:space="preserve">25.评审过程中的澄清</w:t>
      </w:r>
      <w:bookmarkEnd w:id="141"/>
      <w:r/>
      <w:bookmarkEnd w:id="142"/>
      <w:r/>
      <w:bookmarkEnd w:id="143"/>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磋商小组并非对每个供应商都作澄清要求。</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 接到磋商小组澄清、说明和更正要求的供应商如未按规定做出澄清、说明和 更正，其风险由供应商自行承担。</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44" w:name="_Toc16938549"/>
      <w:r/>
      <w:bookmarkStart w:id="145" w:name="_Toc513029233"/>
      <w:r/>
      <w:bookmarkStart w:id="146" w:name="_Toc20823305"/>
      <w:r>
        <w:rPr>
          <w:rFonts w:hint="eastAsia" w:ascii="宋体" w:hAnsi="宋体" w:eastAsia="宋体" w:cs="宋体"/>
          <w:b/>
          <w:bCs/>
          <w:color w:val="000000" w:themeColor="text1"/>
          <w:sz w:val="24"/>
          <w:szCs w:val="24"/>
          <w:highlight w:val="none"/>
          <w14:textFill>
            <w14:solidFill>
              <w14:schemeClr w14:val="tx1"/>
            </w14:solidFill>
          </w14:textFill>
        </w:rPr>
        <w:t xml:space="preserve">26.对响应文件的审</w:t>
      </w:r>
      <w:bookmarkEnd w:id="144"/>
      <w:r/>
      <w:bookmarkEnd w:id="145"/>
      <w:r/>
      <w:bookmarkEnd w:id="146"/>
      <w:r>
        <w:rPr>
          <w:rFonts w:hint="eastAsia" w:ascii="宋体" w:hAnsi="宋体" w:eastAsia="宋体" w:cs="宋体"/>
          <w:b/>
          <w:bCs/>
          <w:color w:val="000000" w:themeColor="text1"/>
          <w:sz w:val="24"/>
          <w:szCs w:val="24"/>
          <w:highlight w:val="none"/>
          <w14:textFill>
            <w14:solidFill>
              <w14:schemeClr w14:val="tx1"/>
            </w14:solidFill>
          </w14:textFill>
        </w:rPr>
        <w:t xml:space="preserve">查</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响应文件审查分为资格审查和符合性审查。</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 资格审查：由采购人依据法律法规和磋商文件的规定，对响应文件中的资格证明文件进行审查，以确定供应商是否具备参加磋商的资格。</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bCs/>
          <w:color w:val="000000" w:themeColor="text1"/>
          <w:sz w:val="24"/>
          <w:szCs w:val="24"/>
          <w:highlight w:val="none"/>
          <w14:textFill>
            <w14:solidFill>
              <w14:schemeClr w14:val="tx1"/>
            </w14:solidFill>
          </w14:textFill>
        </w:rPr>
        <w:t xml:space="preserve">在进行资格审查的同时，将在“信用中国”网站（www.creditchina.gov.cn）查询供应商的信用记录，以确定供应商是否具备磋商资格,查询结果留存并归档。</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26.1.3未通过资格审查或符合性审查的供应商，采购代理机构将在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中告知未通过资格审查或符合性审查的原因，评审结束后，采购代理机构将不再告知未通过资格审查或符合性审查的原因。</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26.2在详细评审之前，磋商小组将首先审查每份响应文件是否实质性响应了磋商文件的要求。实质性响应的响应文件应该与磋商文件要求的条款、条件和规格相符，没有重大偏离或保留。</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26.3未实质性响应磋商文件的情形</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26.3.1供应商在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规定的时间内未成功解密电子响应文件的。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26.3.2供应商未按照磋商文件要求上传电子响应文件的。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26.3.3同一供应商提交两个（含两个）以上不同的响应文件或者最后报价的。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26.3.4供应商不具备磋商文件中规定资格要求的。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26.3.5供应商的最后报价超过了采购预算。</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26.3.6不符合磋商文件中规定的实质性要求和条件的。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26.3.8响应文件含有采购人不能接受的附加条件的。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26.3.10响应文件未按照磋商文件要求加盖CA电子公章的。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26.4未实质性响应磋商文件的响应文件按无效响应处理。</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w:t>
      </w:r>
      <w:r>
        <w:rPr>
          <w:rFonts w:hint="eastAsia" w:ascii="宋体" w:hAnsi="宋体" w:eastAsia="宋体" w:cs="宋体"/>
          <w:bCs/>
          <w:color w:val="000000" w:themeColor="text1"/>
          <w:sz w:val="24"/>
          <w:szCs w:val="24"/>
          <w:highlight w:val="none"/>
          <w14:textFill>
            <w14:solidFill>
              <w14:schemeClr w14:val="tx1"/>
            </w14:solidFill>
          </w14:textFill>
        </w:rPr>
        <w:t xml:space="preserve">如果响应文件实质上没有响应磋商文件的要求，磋商小组将予以拒绝，供应商不得通过修改或撤销不合要求的偏离或保留而使其成为实质性响应的文件。</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26.6磋商小组将对确定为实质性响应的文件进行进一步审核，看其是否有计算上或累加上的算术错误，修正错误的原则如下：</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（1）响应文件中报价总表内容与响应文件中相应内容不一致的，以报价总表为准。</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（2）大写金额和小写金额不一致的，以大写金额为准。</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（3）单价金额小数点或者百分比有明显错位的，以报价总表的总价为准，并修改单价。</w:t>
      </w:r>
      <w:r/>
    </w:p>
    <w:p>
      <w:pPr>
        <w:ind w:firstLine="480"/>
        <w:spacing w:line="480" w:lineRule="exact"/>
        <w:rPr>
          <w:rFonts w:hint="eastAsia" w:ascii="宋体" w:hAnsi="宋体" w:eastAsia="宋体" w:cs="宋体"/>
          <w:bCs/>
          <w:color w:val="000000" w:themeColor="text1"/>
          <w:spacing w:val="-6"/>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pacing w:val="-6"/>
          <w:sz w:val="24"/>
          <w:szCs w:val="24"/>
          <w:highlight w:val="none"/>
          <w14:textFill>
            <w14:solidFill>
              <w14:schemeClr w14:val="tx1"/>
            </w14:solidFill>
          </w14:textFill>
        </w:rPr>
        <w:t xml:space="preserve">总价金额与按单价汇总金额不一致的，以单价金额计算结果为准。</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同时出现两种以上错误的，按照前款规定的顺序修正。</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7" w:name="_Toc513029234"/>
      <w:r/>
      <w:bookmarkStart w:id="148" w:name="_Toc20823306"/>
      <w:r/>
      <w:bookmarkStart w:id="149" w:name="_Toc16938550"/>
      <w:r>
        <w:rPr>
          <w:rFonts w:hint="eastAsia" w:ascii="宋体" w:hAnsi="宋体" w:eastAsia="宋体" w:cs="宋体"/>
          <w:color w:val="000000" w:themeColor="text1"/>
          <w:sz w:val="24"/>
          <w:szCs w:val="24"/>
          <w:highlight w:val="none"/>
          <w14:textFill>
            <w14:solidFill>
              <w14:schemeClr w14:val="tx1"/>
            </w14:solidFill>
          </w14:textFill>
        </w:rPr>
        <w:t xml:space="preserve">26.7供应商在项目评审全过程中应保持通讯畅通，并安排专人与采购人或采购代理机构及磋商小组联系。</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bookmarkEnd w:id="147"/>
      <w:r/>
      <w:bookmarkEnd w:id="148"/>
      <w:r/>
      <w:bookmarkEnd w:id="149"/>
      <w:r>
        <w:rPr>
          <w:rFonts w:hint="eastAsia" w:ascii="宋体" w:hAnsi="宋体" w:eastAsia="宋体" w:cs="宋体"/>
          <w:b/>
          <w:bCs/>
          <w:color w:val="000000" w:themeColor="text1"/>
          <w:sz w:val="24"/>
          <w:szCs w:val="24"/>
          <w:highlight w:val="none"/>
          <w14:textFill>
            <w14:solidFill>
              <w14:schemeClr w14:val="tx1"/>
            </w14:solidFill>
          </w14:textFill>
        </w:rPr>
        <w:t xml:space="preserve">.磋商程序及评审方法和评审标准</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27.1磋商程序</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 评审方法和评审标准</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27.2.2评审标准</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见本磋商文件第四章规定。</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27.3采购活动终止的情况</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出现下列情形之一的，本次竞争性磋商采购活动将被终止：</w:t>
      </w:r>
      <w:r/>
    </w:p>
    <w:p>
      <w:pPr>
        <w:ind w:firstLine="480"/>
        <w:spacing w:line="480" w:lineRule="exact"/>
        <w:tabs>
          <w:tab w:val="left" w:pos="90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27.3.1</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因情况变化，不再符合规定的竞争性磋商采购方式适用情形的。</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27.3.2出现影响采购公正的违法、违规行为的。</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27.3.4在苏采云系统规定时间内成功解密电子响应文件的供应商不足3家的。</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150" w:name="_Toc120614219"/>
      <w:r/>
      <w:bookmarkStart w:id="151" w:name="_Toc513029235"/>
      <w:r/>
      <w:bookmarkStart w:id="152" w:name="_Toc16938551"/>
      <w:r/>
      <w:bookmarkStart w:id="153" w:name="_Toc20823307"/>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六、</w:t>
      </w:r>
      <w:bookmarkEnd w:id="150"/>
      <w:r/>
      <w:bookmarkEnd w:id="151"/>
      <w:r/>
      <w:bookmarkEnd w:id="152"/>
      <w:r/>
      <w:bookmarkEnd w:id="153"/>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成交</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54" w:name="_Toc513029238"/>
      <w:r/>
      <w:bookmarkStart w:id="155" w:name="_Toc16938554"/>
      <w:r/>
      <w:bookmarkStart w:id="156" w:name="_Toc20823310"/>
      <w:r>
        <w:rPr>
          <w:rFonts w:hint="eastAsia" w:ascii="宋体" w:hAnsi="宋体" w:eastAsia="宋体" w:cs="宋体"/>
          <w:b/>
          <w:bCs/>
          <w:color w:val="000000" w:themeColor="text1"/>
          <w:sz w:val="24"/>
          <w:szCs w:val="24"/>
          <w:highlight w:val="none"/>
          <w14:textFill>
            <w14:solidFill>
              <w14:schemeClr w14:val="tx1"/>
            </w14:solidFill>
          </w14:textFill>
        </w:rPr>
        <w:t xml:space="preserve">28</w:t>
      </w:r>
      <w:bookmarkEnd w:id="154"/>
      <w:r>
        <w:rPr>
          <w:rFonts w:hint="eastAsia" w:ascii="宋体" w:hAnsi="宋体" w:eastAsia="宋体" w:cs="宋体"/>
          <w:b/>
          <w:bCs/>
          <w:color w:val="000000" w:themeColor="text1"/>
          <w:sz w:val="24"/>
          <w:szCs w:val="24"/>
          <w:highlight w:val="none"/>
          <w14:textFill>
            <w14:solidFill>
              <w14:schemeClr w14:val="tx1"/>
            </w14:solidFill>
          </w14:textFill>
        </w:rPr>
        <w:t xml:space="preserve">.确定</w:t>
      </w:r>
      <w:bookmarkEnd w:id="155"/>
      <w:r/>
      <w:bookmarkEnd w:id="156"/>
      <w:r>
        <w:rPr>
          <w:rFonts w:hint="eastAsia" w:ascii="宋体" w:hAnsi="宋体" w:eastAsia="宋体" w:cs="宋体"/>
          <w:b/>
          <w:bCs/>
          <w:color w:val="000000" w:themeColor="text1"/>
          <w:sz w:val="24"/>
          <w:szCs w:val="24"/>
          <w:highlight w:val="none"/>
          <w14:textFill>
            <w14:solidFill>
              <w14:schemeClr w14:val="tx1"/>
            </w14:solidFill>
          </w14:textFill>
        </w:rPr>
        <w:t xml:space="preserve">成交单位</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28.1</w:t>
      </w:r>
      <w:r>
        <w:rPr>
          <w:rFonts w:hint="eastAsia" w:ascii="宋体" w:hAnsi="宋体" w:eastAsia="宋体" w:cs="宋体"/>
          <w:color w:val="000000" w:themeColor="text1"/>
          <w:sz w:val="24"/>
          <w:szCs w:val="24"/>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28.2采购人应根据磋商小组推荐的成交候选供应商确定成交供应商。采购人确定成交供应商后，采购代理机构将在“江苏政府采购网”发布成交结果公告，公告期限为1个工作日。</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28.3若有充分证据证明，成交供应商出现下列情况之一的，一经查实，将被取消成交资格：</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28.3.1提供虚假材料谋取成交的。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28.3.2与评审专家、采购人、其他供应商或者采购代理机构工作人员恶意串通的。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28.3.3向评审专家、采购人或采购代理机构工作人员行贿或者提供其他不正当利益的。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28.3.4恶意竞争，最后报价明显低于其自身合理成本且又无法提供证明的。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28.3.5不满足本磋商文件规定的实质性要求，但在评审过程中又未被磋商小组发现的。</w:t>
      </w:r>
      <w:r/>
    </w:p>
    <w:p>
      <w:pPr>
        <w:ind w:firstLine="480"/>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28.3.7将政府采购合同转包的。</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57" w:name="_Toc200451960"/>
      <w:r>
        <w:rPr>
          <w:rFonts w:hint="eastAsia" w:ascii="宋体" w:hAnsi="宋体" w:eastAsia="宋体" w:cs="宋体"/>
          <w:b/>
          <w:bCs/>
          <w:color w:val="000000" w:themeColor="text1"/>
          <w:sz w:val="24"/>
          <w:szCs w:val="24"/>
          <w:highlight w:val="none"/>
          <w14:textFill>
            <w14:solidFill>
              <w14:schemeClr w14:val="tx1"/>
            </w14:solidFill>
          </w14:textFill>
        </w:rPr>
        <w:t xml:space="preserve">29.质疑处理</w:t>
      </w:r>
      <w:bookmarkEnd w:id="157"/>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29.2.2对采购过程提出质疑的，为各采购程序环节结束之日。</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29.2.3对成交结果提出质疑的，为成交结果公告期限届满之日。</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 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采购人或采购代理机构只接收以纸质原件形式送达的质疑,建议供应商尽量通过邮寄方式提交质疑（采购人或采购代理机构不接受未填写快递运单的快件）。</w:t>
      </w:r>
      <w:r/>
    </w:p>
    <w:p>
      <w:pPr>
        <w:ind w:firstLine="480"/>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w:t>
      </w:r>
      <w:r>
        <w:rPr>
          <w:rFonts w:hint="eastAsia" w:ascii="宋体" w:hAnsi="宋体" w:eastAsia="宋体" w:cs="宋体"/>
          <w:color w:val="000000" w:themeColor="text1"/>
          <w:spacing w:val="-6"/>
          <w:sz w:val="24"/>
          <w:szCs w:val="24"/>
          <w:highlight w:val="none"/>
          <w14:textFill>
            <w14:solidFill>
              <w14:schemeClr w14:val="tx1"/>
            </w14:solidFill>
          </w14:textFill>
        </w:rPr>
        <w:t xml:space="preserve">购人及采购代理机构质疑接收人及联系方式见本采购文件第一章。</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 以下情形的质疑不予受理</w:t>
      </w:r>
      <w:r/>
    </w:p>
    <w:p>
      <w:pPr>
        <w:ind w:firstLine="480"/>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内容不符合《政府采购质疑和投诉办法》第十二条规定的质疑。</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 超出政府采购法定期限的质疑。</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 以传真、电子邮件等方式递交的非原件形式的质疑。</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29.5.4未参加磋商活动的供应商或在磋商活动中自身权益未受到损害的供应商所提出的质疑。</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29.5.5供应商组成联合体参加磋商，联合体中任何一方或多方未按要求签字、盖章、加盖公章的质疑。</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30.成交通知书</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keepLines w:val="0"/>
        <w:keepNext w:val="0"/>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158" w:name="_Toc120614220"/>
      <w:r/>
      <w:bookmarkStart w:id="159" w:name="_Toc513029236"/>
      <w:r/>
      <w:bookmarkStart w:id="160" w:name="_Toc20823308"/>
      <w:r/>
      <w:bookmarkStart w:id="161" w:name="_Toc16938552"/>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七、授予合同</w:t>
      </w:r>
      <w:bookmarkEnd w:id="158"/>
      <w:r/>
      <w:bookmarkEnd w:id="159"/>
      <w:r/>
      <w:bookmarkEnd w:id="160"/>
      <w:r/>
      <w:bookmarkEnd w:id="161"/>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62" w:name="_Toc20823309"/>
      <w:r/>
      <w:bookmarkStart w:id="163" w:name="_Toc16938553"/>
      <w:r/>
      <w:bookmarkStart w:id="164" w:name="_Toc513029237"/>
      <w:r>
        <w:rPr>
          <w:rFonts w:hint="eastAsia" w:ascii="宋体" w:hAnsi="宋体" w:eastAsia="宋体" w:cs="宋体"/>
          <w:b/>
          <w:bCs/>
          <w:color w:val="000000" w:themeColor="text1"/>
          <w:sz w:val="24"/>
          <w:szCs w:val="24"/>
          <w:highlight w:val="none"/>
          <w14:textFill>
            <w14:solidFill>
              <w14:schemeClr w14:val="tx1"/>
            </w14:solidFill>
          </w14:textFill>
        </w:rPr>
        <w:t xml:space="preserve">31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签订合同</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.l成交供应商应当在成交通知书发出之日起三十日内，按照磋商文件确定的事项与采购人签订政府采购合同。</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31.2磋商文件、成交供应商的响应文件及磋商过程中有关澄清、承诺文件均应作为合同附件。</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31.3签订合同后，</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成交供应商不得将合同标的进行转包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ind w:firstLine="482"/>
        <w:keepLines w:val="0"/>
        <w:keepNext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32.标的物的追加</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ind w:firstLine="482"/>
        <w:keepLines w:val="0"/>
        <w:keepNext w:val="0"/>
        <w:spacing w:line="480" w:lineRule="exact"/>
        <w:rPr>
          <w:rFonts w:hint="eastAsia" w:ascii="宋体" w:hAnsi="宋体" w:eastAsia="宋体" w:cs="宋体"/>
          <w:b/>
          <w:bCs w:val="0"/>
          <w:color w:val="000000" w:themeColor="text1"/>
          <w:sz w:val="24"/>
          <w:szCs w:val="24"/>
          <w:highlight w:val="none"/>
          <w14:textFill>
            <w14:solidFill>
              <w14:schemeClr w14:val="tx1"/>
            </w14:solidFill>
          </w14:textFill>
        </w:rPr>
        <w:outlineLvl w:val="3"/>
      </w:pPr>
      <w:r/>
      <w:bookmarkStart w:id="165" w:name="_Toc479757207"/>
      <w:r/>
      <w:bookmarkStart w:id="166" w:name="_Toc16938558"/>
      <w:r/>
      <w:bookmarkStart w:id="167" w:name="_Toc120614221"/>
      <w:r/>
      <w:bookmarkStart w:id="168" w:name="_Toc20823314"/>
      <w:r/>
      <w:bookmarkStart w:id="169" w:name="_Toc513029242"/>
      <w:r>
        <w:rPr>
          <w:rFonts w:hint="eastAsia" w:ascii="宋体" w:hAnsi="宋体" w:eastAsia="宋体" w:cs="宋体"/>
          <w:b/>
          <w:bCs w:val="0"/>
          <w:color w:val="000000" w:themeColor="text1"/>
          <w:sz w:val="24"/>
          <w:szCs w:val="24"/>
          <w:highlight w:val="none"/>
          <w14:textFill>
            <w14:solidFill>
              <w14:schemeClr w14:val="tx1"/>
            </w14:solidFill>
          </w14:textFill>
        </w:rPr>
        <w:t xml:space="preserve">33.政府采购履约资金扶持政策</w:t>
      </w:r>
      <w:bookmarkEnd w:id="165"/>
      <w:r/>
      <w:bookmarkEnd w:id="166"/>
      <w:r/>
      <w:bookmarkEnd w:id="167"/>
      <w:r/>
      <w:bookmarkEnd w:id="168"/>
      <w:r/>
      <w:bookmarkEnd w:id="169"/>
      <w:r/>
      <w:r/>
    </w:p>
    <w:p>
      <w:pPr>
        <w:pStyle w:val="927"/>
        <w:ind w:firstLine="562"/>
        <w:spacing w:line="480" w:lineRule="exact"/>
        <w:rPr>
          <w:rFonts w:hint="eastAsia" w:ascii="宋体" w:hAnsi="宋体" w:eastAsia="宋体" w:cs="宋体"/>
          <w:bCs/>
          <w:color w:val="000000" w:themeColor="text1"/>
          <w:sz w:val="24"/>
          <w:szCs w:val="24"/>
          <w:highlight w:val="none"/>
          <w14:textFill>
            <w14:solidFill>
              <w14:schemeClr w14:val="tx1"/>
            </w14:solidFill>
          </w14:textFill>
        </w:rPr>
      </w:pPr>
      <w:r/>
      <w:bookmarkStart w:id="170" w:name="_Hlt16619350"/>
      <w:r/>
      <w:bookmarkStart w:id="171" w:name="_Toc120614244"/>
      <w:r/>
      <w:bookmarkStart w:id="172" w:name="_Toc20823346"/>
      <w:r/>
      <w:bookmarkStart w:id="173" w:name="_Toc16938590"/>
      <w:r/>
      <w:bookmarkStart w:id="174" w:name="_Toc479757211"/>
      <w:r/>
      <w:bookmarkStart w:id="175" w:name="_Toc462564139"/>
      <w:r>
        <w:rPr>
          <w:rFonts w:hint="eastAsia" w:ascii="宋体" w:hAnsi="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人可凭政府采购合同办理融资贷款，详情请见江苏政府采购网“政采贷”专栏。</w:t>
      </w:r>
      <w:r/>
    </w:p>
    <w:p>
      <w:pPr>
        <w:jc w:val="center"/>
        <w:keepNext/>
        <w:spacing w:line="640" w:lineRule="exact"/>
        <w:rPr>
          <w:rFonts w:hint="eastAsia" w:ascii="宋体" w:hAnsi="宋体" w:eastAsia="宋体" w:cs="宋体"/>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44"/>
          <w:szCs w:val="21"/>
          <w:highlight w:val="none"/>
          <w14:textFill>
            <w14:solidFill>
              <w14:schemeClr w14:val="tx1"/>
            </w14:solidFill>
          </w14:textFill>
        </w:rPr>
        <w:br w:type="page" w:clear="all"/>
      </w:r>
      <w:r>
        <w:rPr>
          <w:rFonts w:hint="eastAsia" w:ascii="宋体" w:hAnsi="宋体" w:eastAsia="宋体" w:cs="宋体"/>
          <w:bCs w:val="0"/>
          <w:color w:val="000000" w:themeColor="text1"/>
          <w:sz w:val="44"/>
          <w:szCs w:val="44"/>
          <w:highlight w:val="none"/>
          <w14:textFill>
            <w14:solidFill>
              <w14:schemeClr w14:val="tx1"/>
            </w14:solidFill>
          </w14:textFill>
        </w:rPr>
        <w:t xml:space="preserve">第</w:t>
      </w:r>
      <w:bookmarkEnd w:id="170"/>
      <w:r>
        <w:rPr>
          <w:rFonts w:hint="eastAsia" w:ascii="宋体" w:hAnsi="宋体" w:eastAsia="宋体" w:cs="宋体"/>
          <w:bCs w:val="0"/>
          <w:color w:val="000000" w:themeColor="text1"/>
          <w:sz w:val="44"/>
          <w:szCs w:val="44"/>
          <w:highlight w:val="none"/>
          <w14:textFill>
            <w14:solidFill>
              <w14:schemeClr w14:val="tx1"/>
            </w14:solidFill>
          </w14:textFill>
        </w:rPr>
        <w:t xml:space="preserve">三章 采购需求</w:t>
      </w:r>
      <w:bookmarkEnd w:id="171"/>
      <w:r/>
      <w:bookmarkEnd w:id="172"/>
      <w:r/>
      <w:bookmarkEnd w:id="173"/>
      <w:r/>
      <w:bookmarkStart w:id="176" w:name="_Toc26554093"/>
      <w:r/>
      <w:bookmarkStart w:id="177" w:name="_Toc49090575"/>
      <w:r/>
      <w:bookmarkStart w:id="178" w:name="_Toc120614281"/>
      <w:r/>
      <w:r/>
    </w:p>
    <w:p>
      <w:pPr>
        <w:ind w:firstLine="482"/>
        <w:spacing w:after="145" w:line="56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一、采购标的清单</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402"/>
        <w:gridCol w:w="3745"/>
      </w:tblGrid>
      <w:tr>
        <w:trPr>
          <w:jc w:val="center"/>
          <w:trHeight w:val="567" w:hRule="exact"/>
        </w:trPr>
        <w:tc>
          <w:tcPr>
            <w:tcW w:w="1101" w:type="dxa"/>
            <w:vAlign w:val="center"/>
            <w:textDirection w:val="lrTb"/>
            <w:noWrap w:val="false"/>
          </w:tcPr>
          <w:p>
            <w:pPr>
              <w:jc w:val="center"/>
              <w:spacing w:line="240" w:lineRule="atLeas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序号</w:t>
            </w:r>
            <w:r/>
          </w:p>
        </w:tc>
        <w:tc>
          <w:tcPr>
            <w:tcW w:w="3402" w:type="dxa"/>
            <w:vAlign w:val="center"/>
            <w:textDirection w:val="lrTb"/>
            <w:noWrap w:val="false"/>
          </w:tcPr>
          <w:p>
            <w:pPr>
              <w:jc w:val="center"/>
              <w:spacing w:line="240" w:lineRule="atLeas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采购标的</w:t>
            </w:r>
            <w:r/>
          </w:p>
        </w:tc>
        <w:tc>
          <w:tcPr>
            <w:tcW w:w="3745" w:type="dxa"/>
            <w:vAlign w:val="center"/>
            <w:textDirection w:val="lrTb"/>
            <w:noWrap w:val="false"/>
          </w:tcPr>
          <w:p>
            <w:pPr>
              <w:jc w:val="center"/>
              <w:spacing w:line="240" w:lineRule="atLeas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对应中</w:t>
            </w:r>
            <w:r>
              <w:rPr>
                <w:rFonts w:ascii="宋体" w:hAnsi="宋体"/>
                <w:color w:val="000000" w:themeColor="text1"/>
                <w:sz w:val="24"/>
                <w:szCs w:val="24"/>
                <w:highlight w:val="none"/>
                <w14:textFill>
                  <w14:solidFill>
                    <w14:schemeClr w14:val="tx1"/>
                  </w14:solidFill>
                </w14:textFill>
              </w:rPr>
              <w:t xml:space="preserve">小企业划分标准所属行业</w:t>
            </w:r>
            <w:r/>
          </w:p>
        </w:tc>
      </w:tr>
      <w:tr>
        <w:trPr>
          <w:jc w:val="center"/>
          <w:trHeight w:val="567" w:hRule="exact"/>
        </w:trPr>
        <w:tc>
          <w:tcPr>
            <w:tcW w:w="1101" w:type="dxa"/>
            <w:vAlign w:val="center"/>
            <w:textDirection w:val="lrTb"/>
            <w:noWrap w:val="false"/>
          </w:tcPr>
          <w:p>
            <w:pPr>
              <w:jc w:val="center"/>
              <w:spacing w:line="240" w:lineRule="atLeas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p>
        </w:tc>
        <w:tc>
          <w:tcPr>
            <w:tcW w:w="3402" w:type="dxa"/>
            <w:vAlign w:val="center"/>
            <w:textDirection w:val="lrTb"/>
            <w:noWrap w:val="false"/>
          </w:tcPr>
          <w:p>
            <w:pPr>
              <w:jc w:val="center"/>
              <w:spacing w:line="240" w:lineRule="atLeas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生物多样性本底调查</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项目</w:t>
            </w:r>
            <w:r/>
          </w:p>
        </w:tc>
        <w:tc>
          <w:tcPr>
            <w:tcW w:w="3745" w:type="dxa"/>
            <w:vAlign w:val="center"/>
            <w:textDirection w:val="lrTb"/>
            <w:noWrap w:val="false"/>
          </w:tcPr>
          <w:p>
            <w:pPr>
              <w:jc w:val="center"/>
              <w:spacing w:line="240" w:lineRule="atLeast"/>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lang w:val="en-US"/>
                <w14:textFill>
                  <w14:solidFill>
                    <w14:schemeClr w14:val="tx1"/>
                  </w14:solidFill>
                </w14:textFill>
              </w:rPr>
              <w:t xml:space="preserve">其他未列明行业</w:t>
            </w:r>
            <w:r/>
          </w:p>
        </w:tc>
      </w:tr>
    </w:tbl>
    <w:p>
      <w:pPr>
        <w:ind w:firstLine="482"/>
        <w:spacing w:line="560" w:lineRule="exact"/>
        <w:rPr>
          <w:rFonts w:ascii="宋体" w:hAnsi="宋体" w:eastAsia="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w:t>
      </w:r>
      <w:r>
        <w:rPr>
          <w:rFonts w:hint="eastAsia" w:ascii="宋体" w:hAnsi="宋体"/>
          <w:b/>
          <w:color w:val="000000" w:themeColor="text1"/>
          <w:sz w:val="24"/>
          <w:szCs w:val="24"/>
          <w:highlight w:val="none"/>
          <w:lang w:val="en-US" w:eastAsia="zh-CN"/>
          <w14:textFill>
            <w14:solidFill>
              <w14:schemeClr w14:val="tx1"/>
            </w14:solidFill>
          </w14:textFill>
        </w:rPr>
        <w:t xml:space="preserve">采购需求</w:t>
      </w:r>
      <w:r/>
    </w:p>
    <w:p>
      <w:pPr>
        <w:ind w:firstLine="480"/>
        <w:spacing w:line="5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其内容包含但不限于以下内容：</w:t>
      </w:r>
      <w:r/>
    </w:p>
    <w:p>
      <w:pPr>
        <w:ind w:firstLine="482"/>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1.采购标的需实现的功能或者目标，以及为落实政府采购政策需满足的要求：</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14:textFill>
            <w14:solidFill>
              <w14:schemeClr w14:val="tx1"/>
            </w14:solidFill>
          </w14:textFill>
        </w:rPr>
        <w:t xml:space="preserve">根据《江苏省新一轮生物多样性调查工作方案》（苏环办〔2025〕177号）要求，结合海安市首轮生物多样性本底调查成果和实际工作需要，</w:t>
      </w: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完成</w:t>
      </w:r>
      <w:r>
        <w:rPr>
          <w:rFonts w:hint="eastAsia" w:ascii="宋体" w:hAnsi="Times New Roman" w:eastAsia="宋体" w:cs="Times New Roman"/>
          <w:color w:val="000000" w:themeColor="text1"/>
          <w:sz w:val="24"/>
          <w:highlight w:val="none"/>
          <w14:textFill>
            <w14:solidFill>
              <w14:schemeClr w14:val="tx1"/>
            </w14:solidFill>
          </w14:textFill>
        </w:rPr>
        <w:t xml:space="preserve">海安市第二轮生物多样性本底调查和评估。</w:t>
      </w:r>
      <w:r/>
    </w:p>
    <w:p>
      <w:pPr>
        <w:ind w:firstLine="482"/>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2.采购标的需执行的国家相关标准、行业标准、地方标准或者其他标准、规范：</w:t>
      </w:r>
      <w:r/>
    </w:p>
    <w:p>
      <w:pPr>
        <w:ind w:firstLine="480"/>
        <w:spacing w:line="480" w:lineRule="exact"/>
        <w:rPr>
          <w:rFonts w:hint="eastAsia" w:ascii="宋体" w:hAnsi="Times New Roman" w:eastAsia="宋体"/>
          <w:color w:val="000000" w:themeColor="text1"/>
          <w:sz w:val="24"/>
          <w:highlight w:val="none"/>
          <w14:textFill>
            <w14:solidFill>
              <w14:schemeClr w14:val="tx1"/>
            </w14:solidFill>
          </w14:textFill>
        </w:rPr>
      </w:pPr>
      <w:r>
        <w:rPr>
          <w:rFonts w:hint="eastAsia" w:ascii="宋体" w:hAnsi="Times New Roman" w:eastAsia="宋体"/>
          <w:color w:val="000000" w:themeColor="text1"/>
          <w:sz w:val="24"/>
          <w:highlight w:val="none"/>
          <w14:textFill>
            <w14:solidFill>
              <w14:schemeClr w14:val="tx1"/>
            </w14:solidFill>
          </w14:textFill>
        </w:rPr>
        <w:t xml:space="preserve">需满足《江苏省新一轮生物多样性本底调查技术要求（试行）》质量要求。</w:t>
      </w:r>
      <w:r/>
    </w:p>
    <w:p>
      <w:pPr>
        <w:ind w:firstLine="482"/>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3.采购标的需满足的质量、安全、技术规格、物理特性等要求：</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本项目调查工作的组织实施、调查范围划定、工作网格设置、调查对象与频次、调查方法、数据采集、标本制作、成果编制、数据报送及质量控制等，应严格按照江苏省生态环境厅《关于印发〈江苏省新一轮生物多样性调查工作方案〉的通知》（苏环办〔2025〕177号）及《江苏省新一轮生物多样性本底调查技术要求（试行）》等有关规定执行。采购文件未明确或相关要求不一致的，以省生态环境厅最新发布的技术要求、数据标准和成果要求为准。</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调查范围：海安市市域全域范围。</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调查任务：</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2.1生态系统调查</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基于卫星及航空遥感影像解译、地面核查（含无人机航拍）及查阅历史资料等技术手段，调查海安市生态系统的主要类型、面积、组成和分布特征等信息。通过全面调查栖息地生境及生态系统景观信息，评估生态系统结构与功能、破碎化程度，识别生态脆弱区、生态廊道等关键区域，分析人类活动对生态系统的胁迫影响，提出优先保护或修复建议。遥感数据精度应不低于5m，每个工作网格生境照片不少于10张。</w:t>
      </w:r>
      <w:r/>
    </w:p>
    <w:p>
      <w:pPr>
        <w:pStyle w:val="753"/>
        <w:ind w:firstLine="480"/>
        <w:spacing w:line="336" w:lineRule="auto"/>
        <w:rPr>
          <w:rFonts w:hint="eastAsia" w:ascii="宋体" w:hAnsi="Times New Roman" w:eastAsia="宋体" w:cs="Times New Roman"/>
          <w:color w:val="000000" w:themeColor="text1"/>
          <w:sz w:val="24"/>
          <w:szCs w:val="22"/>
          <w:highlight w:val="none"/>
          <w14:textFill>
            <w14:solidFill>
              <w14:schemeClr w14:val="tx1"/>
            </w14:solidFill>
          </w14:textFill>
        </w:rPr>
      </w:pPr>
      <w:r>
        <w:rPr>
          <w:rFonts w:hint="eastAsia" w:ascii="宋体" w:hAnsi="Times New Roman" w:eastAsia="宋体" w:cs="Times New Roman"/>
          <w:color w:val="000000" w:themeColor="text1"/>
          <w:sz w:val="24"/>
          <w:szCs w:val="22"/>
          <w:highlight w:val="none"/>
          <w:lang w:val="en-US" w:eastAsia="zh-CN" w:bidi="ar-SA"/>
          <w14:textFill>
            <w14:solidFill>
              <w14:schemeClr w14:val="tx1"/>
            </w14:solidFill>
          </w14:textFill>
        </w:rPr>
        <w:t xml:space="preserve">2.2物种多样性调查</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包括大型真菌、地衣和苔藓、陆生维管植物、陆生脊椎动物（两栖动物、爬行动物、鸟类、陆生哺乳动物）、陆生昆虫、大中型土壤动物、淡水水生生物（鱼类、底栖动物、浮游动物、浮游植物、着生藻类、水生维管植物）共7大类群。调查前应结合首轮本底调查成果和生态系统遥感解译结果，优化调整调查区域。鼓励采用环境DNA、人工智能识别等新技术手段。在报告分析与名录整理中，需将实际调查且有采集照片、音频、影像等资料佐证的物种与历史记录物种明确区分。</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2.2.1大型真菌</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采用样线法和样方法，在子实体发生期调查种类组成、数量、分布、生境及受威胁情况。每年至少调查3次，时间贯穿子实体生长季节（建议5—10月）。</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2.2.2地衣和苔藓</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采用样线法和样方法，调查种类组成、分布、生境及受威胁情况，可随维管植物调查一并开展。调查区域应覆盖生态保护红线区域及主要生态系统类型。至少调查2次，苔藓选择春季或秋季雨后，地衣时间不限。</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2.2.3陆生维管植物</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采用样线法和样方法，调查种类组成、分布、生境，重点记录保护物种、受威胁物种和外来入侵物种，对野生植物和栽培植物进行区分备注。每个工作网格至少1条样线。每年至少调查3次（春、夏、秋）。</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2.2.4陆生脊椎动物</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两栖动物：样线法为主，样线数量不少于工作网格总数，每条500～1000m。每年2次（繁殖期4—5月、非繁殖期6—9月）。</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爬行动物：样线法为主，每年3次（3—4月、5—6月、8—9月）。</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鸟类：样线法和样点法，数量不少于工作网格总数。繁殖期（4—7月）至少2次，越冬期（12—2月）每月1次，迁徙期（3—4月、9—10月）各2次。</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陆生哺乳动物：红外相机法为主。有保护物种分布的网格不少于6台，其他适宜生境1～3台，单次布设不少于60天。</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2.2.5陆生昆虫</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样线法为主，辅以灯诱法和马来氏网法。样线数量不少于工作网格总数，每条≥1km，配合扫网（不少于400网/条）。灯诱不少于6次，马来氏网不少于3个点（连续7～10天）。每年春、夏、秋各调查1次。</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2.2.6大中型土壤动物</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样方法，样方数量不少于工作网格总数，每样地不少于5个样方（50cm×50cm，深20cm），手拣法采集。每年春、秋各1次。</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2.2.7淡水水生生物</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鱼类：不少于10个采样断面，覆盖主要水体类型。每年春、秋各1次，或丰水期、平水期和枯水期各1次。</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底栖动物：不少于15个样点，采用定量、定性和拖网采样。每年2次（4—5月、9—10月）。</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浮游生物：不少于15个采样点，采用定量+定性调查。每年春、秋各1次。</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着生藻类：不少于5个样点，天然基质或人工基质法。每年至少1次（枯水期或平水期）。</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水生维管植物：样线法，不少于10～15条样线。每年2次。</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2.3生物多样性评估</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一是整合最新调查数据，系统梳理海安市生物多样性本底信息，编制生物物种编目报告与名录，构建市区生物多样性数据库；二是深入分析海安市生物多样性的空间分布特征、保护现状及面临的主要威胁，识别生物多样性热点区域，并提出针对性保护对策，最终形成《海安市生物多样性评估报告》。</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2.3.1建立生物多样性数据库。根据最新海安市生物多样性本底调查成果数据，按照标准数据格式建立海安市生物多样性数据库。</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2.3.2编制生物物种编目。根据物种编目数据库信息，编制海安市生物多样性物种编目，物种按照进化树顺序编排，按所属科分节。</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2.3.3编制《海安市生物多样性评估报告》。与上一轮调查进行对比，对海安市生物多样性状况深入分析，包括全市生物多样性的空间分布特征、保护现状及面临的主要威胁，识别生物多样性热点区域，并提出针对性保护对策等。</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3.主要调查依据</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bookmarkStart w:id="179" w:name="OLE_LINK6"/>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3.1.江苏省生物多样性保护条例》（2025）</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3.2.《江苏省新一轮生物多样性调查工作方案》（苏环办〔2025〕177号</w:t>
      </w:r>
      <w:bookmarkEnd w:id="179"/>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3.3.《江苏省新一轮生物多样性本底调查技术要求（试行）》</w:t>
      </w:r>
      <w:r/>
    </w:p>
    <w:p>
      <w:pPr>
        <w:ind w:firstLine="480"/>
        <w:spacing w:line="480" w:lineRule="exact"/>
        <w:rPr>
          <w:rFonts w:hint="eastAsia" w:ascii="宋体" w:hAnsi="Times New Roman" w:eastAsia="宋体" w:cs="Times New Roman"/>
          <w:color w:val="000000" w:themeColor="text1"/>
          <w:sz w:val="24"/>
          <w:highlight w:val="none"/>
          <w14:textFill>
            <w14:solidFill>
              <w14:schemeClr w14:val="tx1"/>
            </w14:solidFill>
          </w14:textFill>
        </w:rPr>
      </w:pPr>
      <w:r>
        <w:rPr>
          <w:rFonts w:hint="eastAsia" w:ascii="宋体" w:hAnsi="Times New Roman" w:eastAsia="宋体" w:cs="Times New Roman"/>
          <w:color w:val="000000" w:themeColor="text1"/>
          <w:sz w:val="24"/>
          <w:highlight w:val="none"/>
          <w:lang w:val="en-US" w:eastAsia="zh-CN"/>
          <w14:textFill>
            <w14:solidFill>
              <w14:schemeClr w14:val="tx1"/>
            </w14:solidFill>
          </w14:textFill>
        </w:rPr>
        <w:t xml:space="preserve">3.4《生物多样性观测技术导则》系列</w:t>
      </w:r>
      <w:r/>
    </w:p>
    <w:p>
      <w:pPr>
        <w:ind w:firstLine="482"/>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采购标的的数量、采购项目交付或者实施的时间和地点：</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4.1服务内容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依据〈江苏省新一轮生物多样性调查工作方案〉的通知》（苏环办〔2025〕177号）和《江苏省新一轮生物多样性本底调查技术要求（试行）》等有关规定，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海安</w:t>
      </w:r>
      <w:r>
        <w:rPr>
          <w:rFonts w:hint="eastAsia" w:ascii="宋体" w:hAnsi="宋体" w:eastAsia="宋体" w:cs="宋体"/>
          <w:color w:val="000000" w:themeColor="text1"/>
          <w:sz w:val="24"/>
          <w:szCs w:val="24"/>
          <w:highlight w:val="none"/>
          <w14:textFill>
            <w14:solidFill>
              <w14:schemeClr w14:val="tx1"/>
            </w14:solidFill>
          </w14:textFill>
        </w:rPr>
        <w:t xml:space="preserve">市全域系统开展生物多样性本底调查工作。</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周期</w:t>
      </w:r>
      <w:r>
        <w:rPr>
          <w:rFonts w:hint="eastAsia" w:ascii="宋体" w:hAnsi="宋体" w:eastAsia="宋体" w:cs="宋体"/>
          <w:color w:val="000000" w:themeColor="text1"/>
          <w:sz w:val="24"/>
          <w:szCs w:val="24"/>
          <w:highlight w:val="none"/>
          <w14:textFill>
            <w14:solidFill>
              <w14:schemeClr w14:val="tx1"/>
            </w14:solidFill>
          </w14:textFill>
        </w:rPr>
        <w:t xml:space="preserve">：自合同签订之日起至202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4.3服务地点：采购人指定地点。</w:t>
      </w:r>
      <w:r/>
    </w:p>
    <w:p>
      <w:pPr>
        <w:ind w:firstLine="482"/>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5.采购标的需满足的服务标准、期限、效率等要求：</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5.1签</w:t>
      </w:r>
      <w:r>
        <w:rPr>
          <w:rFonts w:hint="eastAsia" w:ascii="宋体" w:hAnsi="宋体" w:cs="宋体"/>
          <w:color w:val="000000" w:themeColor="text1"/>
          <w:sz w:val="24"/>
          <w:szCs w:val="24"/>
          <w:highlight w:val="none"/>
          <w:lang w:val="en-US" w:eastAsia="zh-CN"/>
          <w14:textFill>
            <w14:solidFill>
              <w14:schemeClr w14:val="tx1"/>
            </w14:solidFill>
          </w14:textFill>
        </w:rPr>
        <w:t xml:space="preserve">订</w:t>
      </w:r>
      <w:r>
        <w:rPr>
          <w:rFonts w:hint="eastAsia" w:ascii="宋体" w:hAnsi="宋体" w:eastAsia="宋体" w:cs="宋体"/>
          <w:color w:val="000000" w:themeColor="text1"/>
          <w:sz w:val="24"/>
          <w:szCs w:val="24"/>
          <w:highlight w:val="none"/>
          <w14:textFill>
            <w14:solidFill>
              <w14:schemeClr w14:val="tx1"/>
            </w14:solidFill>
          </w14:textFill>
        </w:rPr>
        <w:t xml:space="preserve">合同日期：自中标（成交）通知书发出之日起30日内按时签约。</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周期</w:t>
      </w:r>
      <w:r>
        <w:rPr>
          <w:rFonts w:hint="eastAsia" w:ascii="宋体" w:hAnsi="宋体" w:eastAsia="宋体" w:cs="宋体"/>
          <w:color w:val="000000" w:themeColor="text1"/>
          <w:sz w:val="24"/>
          <w:szCs w:val="24"/>
          <w:highlight w:val="none"/>
          <w14:textFill>
            <w14:solidFill>
              <w14:schemeClr w14:val="tx1"/>
            </w14:solidFill>
          </w14:textFill>
        </w:rPr>
        <w:t xml:space="preserve">：自合同签订之日起至202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5.3</w:t>
      </w:r>
      <w:r>
        <w:rPr>
          <w:rFonts w:hint="eastAsia" w:ascii="宋体" w:hAnsi="宋体" w:eastAsia="宋体" w:cs="宋体"/>
          <w:color w:val="000000" w:themeColor="text1"/>
          <w:sz w:val="24"/>
          <w:szCs w:val="24"/>
          <w:highlight w:val="none"/>
          <w14:textFill>
            <w14:solidFill>
              <w14:schemeClr w14:val="tx1"/>
            </w14:solidFill>
          </w14:textFill>
        </w:rPr>
        <w:t xml:space="preserve">服务效率：定期报送项目进展资料；收到采购人整改、资料调取通知3个工作日内响应办结；全力配合各级现场核查、专家评审，高效完成成果编制、修改及省级数据上报，不得无故拖延工作节点。</w:t>
      </w:r>
      <w:r/>
    </w:p>
    <w:p>
      <w:pPr>
        <w:ind w:firstLine="482"/>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6.采购标的的验收标准：</w:t>
      </w:r>
      <w:r/>
    </w:p>
    <w:p>
      <w:pPr>
        <w:ind w:firstLine="460"/>
        <w:spacing w:line="480" w:lineRule="exact"/>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cs="宋体"/>
          <w:color w:val="000000" w:themeColor="text1"/>
          <w:spacing w:val="-5"/>
          <w:sz w:val="24"/>
          <w:szCs w:val="24"/>
          <w:highlight w:val="none"/>
          <w:lang w:val="en-US" w:eastAsia="zh-CN"/>
          <w14:textFill>
            <w14:solidFill>
              <w14:schemeClr w14:val="tx1"/>
            </w14:solidFill>
          </w14:textFill>
        </w:rPr>
        <w:t xml:space="preserve">成交供应商</w:t>
      </w:r>
      <w:r>
        <w:rPr>
          <w:rFonts w:hint="eastAsia" w:ascii="宋体" w:hAnsi="宋体" w:cs="宋体"/>
          <w:color w:val="000000" w:themeColor="text1"/>
          <w:spacing w:val="-5"/>
          <w:sz w:val="24"/>
          <w:szCs w:val="24"/>
          <w:highlight w:val="none"/>
          <w:lang w:eastAsia="zh-CN"/>
          <w14:textFill>
            <w14:solidFill>
              <w14:schemeClr w14:val="tx1"/>
            </w14:solidFill>
          </w14:textFill>
        </w:rPr>
        <w:t xml:space="preserve">与</w:t>
      </w:r>
      <w:r>
        <w:rPr>
          <w:rFonts w:hint="eastAsia" w:ascii="宋体" w:hAnsi="宋体" w:cs="宋体"/>
          <w:color w:val="000000" w:themeColor="text1"/>
          <w:spacing w:val="-5"/>
          <w:sz w:val="24"/>
          <w:szCs w:val="24"/>
          <w:highlight w:val="none"/>
          <w:lang w:val="en-US" w:eastAsia="zh-CN"/>
          <w14:textFill>
            <w14:solidFill>
              <w14:schemeClr w14:val="tx1"/>
            </w14:solidFill>
          </w14:textFill>
        </w:rPr>
        <w:t xml:space="preserve">采购</w:t>
      </w:r>
      <w:r>
        <w:rPr>
          <w:rFonts w:hint="eastAsia" w:ascii="宋体" w:hAnsi="宋体" w:cs="宋体"/>
          <w:color w:val="000000" w:themeColor="text1"/>
          <w:spacing w:val="-5"/>
          <w:sz w:val="24"/>
          <w:szCs w:val="24"/>
          <w:highlight w:val="none"/>
          <w:lang w:eastAsia="zh-CN"/>
          <w14:textFill>
            <w14:solidFill>
              <w14:schemeClr w14:val="tx1"/>
            </w14:solidFill>
          </w14:textFill>
        </w:rPr>
        <w:t xml:space="preserve">人签订合同并按合同计划实施项目，完成相关工作形成相应成果，</w:t>
      </w:r>
      <w:r>
        <w:rPr>
          <w:rFonts w:hint="eastAsia" w:ascii="宋体" w:hAnsi="宋体" w:cs="宋体"/>
          <w:color w:val="000000" w:themeColor="text1"/>
          <w:spacing w:val="-5"/>
          <w:sz w:val="24"/>
          <w:szCs w:val="24"/>
          <w:highlight w:val="none"/>
          <w:lang w:val="en-US" w:eastAsia="zh-CN"/>
          <w14:textFill>
            <w14:solidFill>
              <w14:schemeClr w14:val="tx1"/>
            </w14:solidFill>
          </w14:textFill>
        </w:rPr>
        <w:t xml:space="preserve">采购</w:t>
      </w:r>
      <w:r>
        <w:rPr>
          <w:rFonts w:hint="eastAsia" w:ascii="宋体" w:hAnsi="宋体" w:cs="宋体"/>
          <w:color w:val="000000" w:themeColor="text1"/>
          <w:spacing w:val="-5"/>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组织专家进行项目履约验收，确认项目成果。</w:t>
      </w:r>
      <w:r/>
    </w:p>
    <w:p>
      <w:pPr>
        <w:ind w:firstLine="460"/>
        <w:spacing w:line="480" w:lineRule="exact"/>
        <w:rPr>
          <w:rFonts w:ascii="宋体" w:hAnsi="宋体" w:eastAsia="宋体" w:cs="宋体"/>
          <w:color w:val="000000" w:themeColor="text1"/>
          <w:spacing w:val="-5"/>
          <w:sz w:val="24"/>
          <w:szCs w:val="24"/>
          <w:highlight w:val="none"/>
          <w14:textFill>
            <w14:solidFill>
              <w14:schemeClr w14:val="tx1"/>
            </w14:solidFill>
          </w14:textFill>
        </w:rPr>
      </w:pPr>
      <w:r>
        <w:rPr>
          <w:rFonts w:ascii="宋体" w:hAnsi="宋体" w:eastAsia="宋体" w:cs="宋体"/>
          <w:color w:val="000000" w:themeColor="text1"/>
          <w:spacing w:val="-5"/>
          <w:sz w:val="24"/>
          <w:szCs w:val="24"/>
          <w:highlight w:val="none"/>
          <w:lang w:val="en-US" w:eastAsia="zh-CN"/>
          <w14:textFill>
            <w14:solidFill>
              <w14:schemeClr w14:val="tx1"/>
            </w14:solidFill>
          </w14:textFill>
        </w:rPr>
        <w:t xml:space="preserve">验收成果要求</w:t>
      </w: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w:t>
      </w:r>
      <w:r/>
    </w:p>
    <w:p>
      <w:pPr>
        <w:ind w:firstLine="460"/>
        <w:spacing w:line="480" w:lineRule="exact"/>
        <w:rPr>
          <w:rFonts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pacing w:val="-5"/>
          <w:sz w:val="24"/>
          <w:szCs w:val="24"/>
          <w:highlight w:val="none"/>
          <w:lang w:val="en-US" w:eastAsia="zh-CN"/>
          <w14:textFill>
            <w14:solidFill>
              <w14:schemeClr w14:val="tx1"/>
            </w14:solidFill>
          </w14:textFill>
        </w:rPr>
        <w:t xml:space="preserve">完成《海安市第二轮生物多样性本底调查实施方案》；</w:t>
      </w:r>
      <w:r/>
    </w:p>
    <w:p>
      <w:pPr>
        <w:ind w:firstLine="460"/>
        <w:spacing w:line="480" w:lineRule="exact"/>
        <w:rPr>
          <w:rFonts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pacing w:val="-5"/>
          <w:sz w:val="24"/>
          <w:szCs w:val="24"/>
          <w:highlight w:val="none"/>
          <w:lang w:val="en-US" w:eastAsia="zh-CN"/>
          <w14:textFill>
            <w14:solidFill>
              <w14:schemeClr w14:val="tx1"/>
            </w14:solidFill>
          </w14:textFill>
        </w:rPr>
        <w:t xml:space="preserve">完成《海安市第二轮生物多样性本底调查工作报告》；</w:t>
      </w:r>
      <w:r/>
    </w:p>
    <w:p>
      <w:pPr>
        <w:ind w:firstLine="460"/>
        <w:spacing w:line="480" w:lineRule="exact"/>
        <w:rPr>
          <w:rFonts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5"/>
          <w:sz w:val="24"/>
          <w:szCs w:val="24"/>
          <w:highlight w:val="none"/>
          <w:lang w:val="en-US" w:eastAsia="zh-CN"/>
          <w14:textFill>
            <w14:solidFill>
              <w14:schemeClr w14:val="tx1"/>
            </w14:solidFill>
          </w14:textFill>
        </w:rPr>
        <w:t xml:space="preserve">完成《海安市第二轮生物多样性本底调查技术报告》；</w:t>
      </w:r>
      <w:r/>
    </w:p>
    <w:p>
      <w:pPr>
        <w:ind w:firstLine="460"/>
        <w:spacing w:line="480" w:lineRule="exact"/>
        <w:rPr>
          <w:rFonts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5"/>
          <w:sz w:val="24"/>
          <w:szCs w:val="24"/>
          <w:highlight w:val="none"/>
          <w:lang w:val="en-US" w:eastAsia="zh-CN"/>
          <w14:textFill>
            <w14:solidFill>
              <w14:schemeClr w14:val="tx1"/>
            </w14:solidFill>
          </w14:textFill>
        </w:rPr>
        <w:t xml:space="preserve">完成《海安市第二轮生物多样性本底调查编目报告》；</w:t>
      </w:r>
      <w:r/>
    </w:p>
    <w:p>
      <w:pPr>
        <w:ind w:firstLine="460"/>
        <w:spacing w:line="480" w:lineRule="exact"/>
        <w:rPr>
          <w:rFonts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pacing w:val="-5"/>
          <w:sz w:val="24"/>
          <w:szCs w:val="24"/>
          <w:highlight w:val="none"/>
          <w:lang w:val="en-US" w:eastAsia="zh-CN"/>
          <w14:textFill>
            <w14:solidFill>
              <w14:schemeClr w14:val="tx1"/>
            </w14:solidFill>
          </w14:textFill>
        </w:rPr>
        <w:t xml:space="preserve">提交生态系统调查结果数据表、生物多样性现场调查记录表和生物多样性调查结果数据表等数据表，按要求提交省生态环境厅数据系统；提交生物多样性调查现场照片、现场调查轨迹、电子标本、实物标本、物种分布专题地图等其他支撑材料。</w:t>
      </w:r>
      <w:r/>
    </w:p>
    <w:p>
      <w:pPr>
        <w:ind w:firstLine="460"/>
        <w:spacing w:line="480" w:lineRule="exact"/>
        <w:rPr>
          <w:rFonts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pacing w:val="-5"/>
          <w:sz w:val="24"/>
          <w:szCs w:val="24"/>
          <w:highlight w:val="none"/>
          <w:lang w:val="en-US" w:eastAsia="zh-CN"/>
          <w14:textFill>
            <w14:solidFill>
              <w14:schemeClr w14:val="tx1"/>
            </w14:solidFill>
          </w14:textFill>
        </w:rPr>
        <w:t xml:space="preserve">协助配合开展生物多样性保护宣传工作，如国际生物多样性日、六五环境日、全国生态日等宣传活动，开展生物多样性保护专题讲座进社区/进校园/进企业等环保科普活动。</w:t>
      </w:r>
      <w:r/>
    </w:p>
    <w:p>
      <w:pPr>
        <w:ind w:firstLine="482"/>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7.采购标的的其他技术、服务等要求：</w:t>
      </w:r>
      <w:r/>
    </w:p>
    <w:p>
      <w:pPr>
        <w:ind w:firstLine="460"/>
        <w:spacing w:line="480" w:lineRule="exact"/>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7.1项目人员要求</w:t>
      </w:r>
      <w:r/>
    </w:p>
    <w:p>
      <w:pPr>
        <w:ind w:firstLine="460"/>
        <w:spacing w:line="480" w:lineRule="exact"/>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组建专业服务团队，项目团队中必须包含项目负责人1名、专业技术负责人1名，项目负责人和专业技术负责人应具备生物多样性调查工作经验。项目组下设8个调查组，分别为生态系统类型调查组、大型真菌、地衣和苔藓、陆生维管植物、陆生脊椎动物、陆生昆虫、中大型土壤动物及水生生物多样性调查组。</w:t>
      </w:r>
      <w:r/>
    </w:p>
    <w:p>
      <w:pPr>
        <w:ind w:firstLine="460"/>
        <w:spacing w:line="480" w:lineRule="exact"/>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7.2保密及知识产权要求</w:t>
      </w:r>
      <w:r/>
    </w:p>
    <w:p>
      <w:pPr>
        <w:ind w:firstLine="460"/>
        <w:spacing w:line="480" w:lineRule="exact"/>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（1）成交供应商负责对采购人所提供资料及最终成果保密，成交供应商及其专业技术人员需遵守采购人的保密规定，不以任何形式将收集的所有资料、数据等进行泄漏、传播。</w:t>
      </w:r>
      <w:r/>
    </w:p>
    <w:p>
      <w:pPr>
        <w:ind w:firstLine="460"/>
        <w:spacing w:line="480" w:lineRule="exact"/>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（2）项目成果所有权归属采购人，在项目完成时成交供应商必须全部移交，不得以任何形式公开项目信息。</w:t>
      </w:r>
      <w:r/>
    </w:p>
    <w:p>
      <w:pPr>
        <w:ind w:firstLine="460"/>
        <w:spacing w:line="480" w:lineRule="exact"/>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（3）成交供应商须维护项目服务成果，不得转让给第三方重复使用。</w:t>
      </w:r>
      <w:r/>
    </w:p>
    <w:p>
      <w:pPr>
        <w:ind w:firstLine="460"/>
        <w:spacing w:line="480" w:lineRule="exact"/>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（4）任何成果利用，例如发表论文等，必须经采购人同意</w:t>
      </w:r>
      <w:r/>
    </w:p>
    <w:p>
      <w:pPr>
        <w:ind w:firstLine="482"/>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8.（1）非单一产品采购项目，采购标的中的核心产品：无。</w:t>
      </w:r>
      <w:r/>
    </w:p>
    <w:p>
      <w:pPr>
        <w:ind w:firstLine="482"/>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（2）本项目的主要标的：</w:t>
      </w:r>
      <w:r>
        <w:rPr>
          <w:rFonts w:hint="eastAsia" w:ascii="宋体" w:hAnsi="宋体" w:cs="宋体"/>
          <w:b/>
          <w:bCs/>
          <w:color w:val="000000" w:themeColor="text1"/>
          <w:sz w:val="24"/>
          <w:szCs w:val="24"/>
          <w:highlight w:val="none"/>
          <w:lang w:eastAsia="zh-CN"/>
          <w14:textFill>
            <w14:solidFill>
              <w14:schemeClr w14:val="tx1"/>
            </w14:solidFill>
          </w14:textFill>
        </w:rPr>
        <w:t xml:space="preserve">海安市第二轮生物多样性本底调查项目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9.采购需求中必须满足的实质性要求</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详见第三章</w:t>
      </w:r>
      <w:r>
        <w:rPr>
          <w:rFonts w:hint="eastAsia"/>
          <w:color w:val="000000" w:themeColor="text1"/>
          <w:sz w:val="24"/>
          <w:szCs w:val="24"/>
          <w:highlight w:val="none"/>
          <w:lang w:val="en-US" w:eastAsia="zh-CN"/>
          <w14:textFill>
            <w14:solidFill>
              <w14:schemeClr w14:val="tx1"/>
            </w14:solidFill>
          </w14:textFill>
        </w:rPr>
        <w:t xml:space="preserve">采购</w:t>
      </w:r>
      <w:r>
        <w:rPr>
          <w:rFonts w:hint="eastAsia"/>
          <w:color w:val="000000" w:themeColor="text1"/>
          <w:sz w:val="24"/>
          <w:szCs w:val="24"/>
          <w:highlight w:val="none"/>
          <w:lang w:eastAsia="zh-CN"/>
          <w14:textFill>
            <w14:solidFill>
              <w14:schemeClr w14:val="tx1"/>
            </w14:solidFill>
          </w14:textFill>
        </w:rPr>
        <w:t xml:space="preserve">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.付款方式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60"/>
        <w:spacing w:line="480" w:lineRule="exact"/>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合同签订后，成交供应商向采购人出具正式发票后30个工作日内支付合同价的30%，完成前两个季度调查后付合同价的40%，完成剩余季度调查并且技术报告通过评审验收后付合同价的30%。</w:t>
      </w:r>
      <w:r/>
    </w:p>
    <w:p>
      <w:pPr>
        <w:numPr>
          <w:ilvl w:val="0"/>
          <w:numId w:val="0"/>
        </w:num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11.其他要求：</w:t>
      </w:r>
      <w:r/>
    </w:p>
    <w:p>
      <w:pPr>
        <w:ind w:firstLine="460"/>
        <w:spacing w:line="480" w:lineRule="exact"/>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报价应包括服务期内的人员经费、办公经费、差旅、住宿、专家评审费、税金等一切与本项目相关的费用。供应商应充分了解本项目特点，报价中应充分考虑到一切风险及不可预见性费用，报价中视为已包含此部分因素。报价在合同期内不随市场价格的变化及政策的改变因素而调整。在合同实施时，采购人将不予支付成交人没有填列的项目费用，并认为此项目的费用已包括在报价中。</w:t>
      </w:r>
      <w:r/>
    </w:p>
    <w:p>
      <w:pPr>
        <w:numPr>
          <w:ilvl w:val="0"/>
          <w:numId w:val="0"/>
        </w:num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12.履约保证金</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本项目免收履约保证金。</w:t>
      </w:r>
      <w:r/>
    </w:p>
    <w:p>
      <w:pPr>
        <w:numPr>
          <w:ilvl w:val="0"/>
          <w:numId w:val="0"/>
        </w:numPr>
        <w:ind w:firstLine="482"/>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合同条款（详见附件）</w:t>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3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8"/>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3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8"/>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jc w:val="both"/>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30"/>
        <w:jc w:val="center"/>
        <w:rPr>
          <w:rFonts w:hint="eastAsia" w:ascii="宋体" w:hAnsi="宋体" w:eastAsia="宋体" w:cs="宋体"/>
          <w:b w:val="0"/>
          <w:bCs w:val="0"/>
          <w:color w:val="000000" w:themeColor="text1"/>
          <w:sz w:val="44"/>
          <w:szCs w:val="44"/>
          <w:highlight w:val="none"/>
          <w14:textFill>
            <w14:solidFill>
              <w14:schemeClr w14:val="tx1"/>
            </w14:solidFill>
          </w14:textFill>
        </w:rPr>
      </w:pPr>
      <w:r>
        <w:rPr>
          <w:rFonts w:hint="eastAsia" w:ascii="宋体" w:hAnsi="宋体" w:eastAsia="宋体" w:cs="宋体"/>
          <w:bCs w:val="0"/>
          <w:color w:val="000000" w:themeColor="text1"/>
          <w:sz w:val="44"/>
          <w:szCs w:val="44"/>
          <w:highlight w:val="none"/>
          <w14:textFill>
            <w14:solidFill>
              <w14:schemeClr w14:val="tx1"/>
            </w14:solidFill>
          </w14:textFill>
        </w:rPr>
        <w:br w:type="page" w:clear="all"/>
      </w:r>
      <w:r>
        <w:rPr>
          <w:rFonts w:hint="eastAsia" w:ascii="宋体" w:hAnsi="宋体" w:eastAsia="宋体" w:cs="宋体"/>
          <w:bCs w:val="0"/>
          <w:color w:val="000000" w:themeColor="text1"/>
          <w:sz w:val="44"/>
          <w:szCs w:val="44"/>
          <w:highlight w:val="none"/>
          <w14:textFill>
            <w14:solidFill>
              <w14:schemeClr w14:val="tx1"/>
            </w14:solidFill>
          </w14:textFill>
        </w:rPr>
        <w:t xml:space="preserve">第四章  </w:t>
      </w:r>
      <w:r>
        <w:rPr>
          <w:rFonts w:hint="eastAsia" w:ascii="宋体" w:hAnsi="宋体" w:eastAsia="宋体" w:cs="宋体"/>
          <w:b w:val="0"/>
          <w:bCs w:val="0"/>
          <w:color w:val="000000" w:themeColor="text1"/>
          <w:sz w:val="44"/>
          <w:szCs w:val="44"/>
          <w:highlight w:val="none"/>
          <w14:textFill>
            <w14:solidFill>
              <w14:schemeClr w14:val="tx1"/>
            </w14:solidFill>
          </w14:textFill>
        </w:rPr>
        <w:t xml:space="preserve">评审方法与评审标准</w:t>
      </w:r>
      <w:r/>
    </w:p>
    <w:p>
      <w:pPr>
        <w:ind w:firstLine="56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评委在认真审阅响应文件的基础上，根据各响应文件的响应程度独立评判，不得统一打分。</w:t>
      </w:r>
      <w:r/>
    </w:p>
    <w:p>
      <w:pPr>
        <w:ind w:firstLine="480"/>
        <w:spacing w:line="48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（一）采购人（代表）对供应商资格进行审查。</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供应商资格不合格的，其响应文件判定为无效响应文件。</w:t>
      </w:r>
      <w:r/>
    </w:p>
    <w:p>
      <w:pPr>
        <w:ind w:firstLine="480"/>
        <w:spacing w:line="48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（二）磋商小组对符合资格供应商的响应文件进行符合性审查。</w:t>
      </w:r>
      <w:r/>
    </w:p>
    <w:p>
      <w:pPr>
        <w:ind w:firstLine="480"/>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未通</w:t>
      </w:r>
      <w:r>
        <w:rPr>
          <w:rFonts w:hint="eastAsia" w:ascii="宋体" w:hAnsi="宋体" w:eastAsia="宋体" w:cs="宋体"/>
          <w:color w:val="000000" w:themeColor="text1"/>
          <w:spacing w:val="-6"/>
          <w:sz w:val="24"/>
          <w:szCs w:val="24"/>
          <w:highlight w:val="none"/>
          <w14:textFill>
            <w14:solidFill>
              <w14:schemeClr w14:val="tx1"/>
            </w14:solidFill>
          </w14:textFill>
        </w:rPr>
        <w:t xml:space="preserve">过符合性审查的响应文件，将被判为不满足磋商文件实质性要求。 </w:t>
      </w:r>
      <w:r/>
    </w:p>
    <w:p>
      <w:pPr>
        <w:ind w:firstLine="480"/>
        <w:spacing w:line="48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（三）商务技术分：</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70</w:t>
      </w:r>
      <w:r>
        <w:rPr>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ind w:firstLine="480"/>
        <w:spacing w:line="480" w:lineRule="exac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各供应商得分为磋商小组成员评分的算术平均分，分值保留小数点后两位（四舍五入）。</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2"/>
        <w:gridCol w:w="1153"/>
        <w:gridCol w:w="1038"/>
        <w:gridCol w:w="6044"/>
      </w:tblGrid>
      <w:tr>
        <w:trPr>
          <w:trHeight w:val="4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51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51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w:t>
            </w:r>
            <w:r/>
          </w:p>
          <w:p>
            <w:pPr>
              <w:ind w:left="0" w:right="0" w:firstLine="0"/>
              <w:jc w:val="center"/>
              <w:spacing w:before="0" w:after="0" w:line="51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51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44" w:type="dxa"/>
            <w:vAlign w:val="center"/>
            <w:textDirection w:val="lrTb"/>
            <w:noWrap w:val="false"/>
          </w:tcPr>
          <w:p>
            <w:pPr>
              <w:ind w:left="0" w:right="0" w:firstLine="0"/>
              <w:jc w:val="center"/>
              <w:spacing w:before="0" w:after="0" w:line="51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1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供应商具有有效期内的质量管理体系、环境管理体系，每提供1个得1.5分，本项最高得3分；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注：提供相关证书并加盖公章，未按要求提供不得分。</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供应商承担过类似生物多样性本底调查项目的，提供1个有效业绩得2分，本项最高4分。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w:t>
            </w:r>
            <w:r>
              <w:rPr>
                <w:rFonts w:ascii="SimSun" w:hAnsi="SimSun" w:eastAsia="SimSun" w:cs="SimSun"/>
                <w:color w:val="000000"/>
                <w:spacing w:val="-3"/>
                <w:sz w:val="21"/>
              </w:rPr>
              <w:t xml:space="preserve">有效的合同扫描件并</w:t>
            </w:r>
            <w:r>
              <w:rPr>
                <w:rFonts w:ascii="SimSun" w:hAnsi="SimSun" w:eastAsia="SimSun" w:cs="SimSun"/>
                <w:color w:val="000000"/>
                <w:sz w:val="21"/>
              </w:rPr>
              <w:t xml:space="preserve">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4" w:type="dxa"/>
            <w:vAlign w:val="center"/>
            <w:textDirection w:val="lrTb"/>
            <w:noWrap w:val="false"/>
          </w:tcPr>
          <w:p>
            <w:pPr>
              <w:numPr>
                <w:ilvl w:val="0"/>
                <w:numId w:val="3"/>
              </w:numPr>
              <w:jc w:val="both"/>
              <w:spacing w:before="200" w:after="20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派项目负责人具有生态、植物、动物、环境、林业相关专业正高级职称的得5分，高级职称的得4分，具有中级职称的得2分；项目负责人具备生态环境、生物多样性领域相关课题研究经历的的得2分。本项最高7分。</w:t>
            </w:r>
            <w:r/>
          </w:p>
          <w:p>
            <w:pPr>
              <w:numPr>
                <w:ilvl w:val="0"/>
                <w:numId w:val="3"/>
              </w:numPr>
              <w:jc w:val="both"/>
              <w:spacing w:before="200" w:after="20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供应商拟派项目技术负责人具有生态、植物、动物、环境相关专业高级及以上职称的得4分，具有中级职称的得2分。本项最高4分。</w:t>
            </w:r>
            <w:r/>
          </w:p>
          <w:p>
            <w:pPr>
              <w:numPr>
                <w:ilvl w:val="0"/>
                <w:numId w:val="3"/>
              </w:numPr>
              <w:jc w:val="both"/>
              <w:spacing w:before="200" w:after="20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供应商拟派项目组成员（项目负责人、技术负责人除外）： （1）具备①植物调查类专业：植物学、植物科学与技术、林学、园艺等；②陆生动物调查类专业：生物科学、野生动物与自然保护区管理、动物学、生态学等；③水生生物调查类专业：生物科学、水产养殖学、水生生物学、生态学等；④真菌地衣调查类专业：菌物学、植物学、微生物学、生物技术、生物工程等；⑤生态系统调查类专业：地理科学、自然地理与资源环境、环境科学、生态学等。每提供1名对应专业方向人员，得2分；同一人员具备多个专业方向，不重复得分。人员专业以毕业证书或职称证书上专业</w:t>
            </w:r>
            <w:r>
              <w:rPr>
                <w:rFonts w:ascii="SimSun" w:hAnsi="SimSun" w:eastAsia="SimSun" w:cs="SimSun"/>
                <w:color w:val="000000"/>
                <w:sz w:val="21"/>
              </w:rPr>
              <w:t xml:space="preserve">类别为准，本项最高得10分。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（2）上述匹配专业人员中，每有1个具备中级及以上职称的，得1分。本项最高得5分。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注：以上人员必须为本响应单位的正式员工，提供供应商近三个月任意一个月为其缴纳的社保证明材料或劳动合同、相关证书或证明材料并加盖公章，未按要求提供不得分。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设备保障能力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供应商承诺在满足项目需求的情况下，增加无人机、红外相机、声纹采集仪等设备的得2分，本项最高2分。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注：承诺函格式自拟，加盖响应供应商公章。</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包括以下内容的：①海安市生态环境和生物多样性基本情况；②海安市生物多样性调查基础及现状分析；③项目背景、必要性及调查需求分析。每项得3分，共计9分；每有一项缺项的扣3分，每有一项内容不完整或有缺陷的扣1.5分，扣完为止，未提供不得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内容不完整或有缺陷是指：非专门针对本项目或未结合海安市实际情况，内容不全面或缺少必要的数据、资料支撑，内容不清晰或交叉混乱，明显套用其他项目材料，有明显的规范性或常识性错误，存在明显无关事项，凭空编造，明显存在不可能实现的夸大情形，仅有纲要且未展开阐述，内容前后矛盾等任意一种情形。</w:t>
            </w:r>
            <w:r/>
          </w:p>
        </w:tc>
      </w:tr>
      <w:tr>
        <w:trPr>
          <w:trHeight w:val="1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调查实施方案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查实施方案包括以下内容的：①调查范围、调查内容及调查方法；②技术路线、成果编制及质量控制措施。每项得5分，共计10分；每有一项缺项的扣5分，每有一项内容不完整或有缺陷的扣2.5分，扣完为止，未提供不得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内容不完整或有缺陷是指：非专门针对本项目或未结合海安市实际情况，内容不全面或缺少必要的数据、资料支撑，内容不清晰或交叉混乱，明显套用其他项目材料，有明显的规范性或常识性错误，存在明显无关事项，凭空编造，明显存在不可能实现的夸大情形，仅有纲要且未展开阐述，内容前后矛盾等任意一种情形。</w:t>
            </w:r>
            <w:r/>
          </w:p>
        </w:tc>
      </w:tr>
      <w:tr>
        <w:trPr>
          <w:trHeight w:val="12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实施计划及工作安排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计划及工作安排具备以下内容的：①项目进度计划及各阶段工作安排；②人员、设备等资源配置及进度保障措施。每项得4分，共计8分；每有一项缺项的扣4分，每有一项内容不完整或有缺陷的扣2分，扣完为止，未提供不得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内容不完整或有缺陷是指：非专门针对本项目或未结合海安市实际情况，内容不全面或缺少必要的数据、资料支撑，内容不清晰或交叉混乱，明显套用其他项目材料，有明显的规范性或常识性错误，存在明显无关事项，凭空编造，明显存在不可能实现的夸大情形，仅有纲要且未展开阐述，内容前后矛盾等任意一种情形。</w:t>
            </w:r>
            <w:r/>
          </w:p>
        </w:tc>
      </w:tr>
      <w:tr>
        <w:trPr>
          <w:trHeight w:val="2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具备以下内容的：①围绕技术方案、调查人员、仪器设备、数据等内容②过程可追溯、数据可溯源、分级复核等全套质量保证措施。每项得4分，共计8分；每有一项缺项的扣4分，每有一项内容不完整或有缺陷的扣2分，扣完为止，未提供不得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内容不完整或有缺陷是指：非专门针对本项目或未结合海安市实际情况，内容不全面或缺少必要的数据、资料支撑，内容不清晰或交叉混乱，明显套用其他项目材料，有明显的规范性或常识性错误，存在明显无关事项，凭空编造，明显存在不可能实现的夸大情形，仅有纲要且未展开阐述，内容前后矛盾等任意一种情形。</w:t>
            </w:r>
            <w:r/>
          </w:p>
        </w:tc>
      </w:tr>
    </w:tbl>
    <w:p>
      <w:pPr>
        <w:ind w:firstLine="0"/>
        <w:spacing w:line="48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（四）价格分</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14:textFill>
            <w14:solidFill>
              <w14:schemeClr w14:val="tx1"/>
            </w14:solidFill>
          </w14:textFill>
        </w:rPr>
        <w:t xml:space="preserve">分</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统一采用低价优先法计算，即满足磋商文件要求且最后报价最低的供应商的价格为磋商基准价，其价格分为满分。其他供应商的价格分统一按照下列公式计算：磋商报价得分=（磋商基准价/最后磋商报价）×价格权值×100</w:t>
      </w:r>
      <w:r/>
    </w:p>
    <w:p>
      <w:pPr>
        <w:ind w:firstLine="480"/>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出现下列情形之一的，磋商小组应当启动异常低价响应审查程序：</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出现下列情形之一的，评标委员会应当启动异常低价投标审查程序：</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1、投标（响应）报价低于全部通过符合性审查投标人投标（响应）报价平均值50%的，即投标（响应）报价&lt;全部通过符合性审查投标人投标（响应）报价平均值×50%；</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2、投标（响应）报价低于通过符合性审查的次低报价投标人投标（响应）报价50%的，即投标（响应）报价&lt;通过符合性审查的次低报价投标人投标（响应）报价×50%；</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3、投标（响应）报价低于采购项目最高限价45%的，即投标（响应）报价&lt;采购项目最高限价×45%；</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4、评审委员会基于专业判断，认为投标人报价过低，有可能影响产品质量或者不能诚信履约的其他情形。</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启动异常低价投标审查后，评标委员会将通过苏采云系统要求相关投标人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p>
    <w:p>
      <w:pPr>
        <w:ind w:firstLine="48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投标投标人不提供书面说明、证明材料，或者提供的书面说明、证明材料不能证明其报价合理性的，评标委员会应当将其作为无效投标处理。审查相关情况应当在评审报告中进行记录。</w:t>
      </w:r>
      <w:r/>
    </w:p>
    <w:p>
      <w:pPr>
        <w:ind w:firstLine="480"/>
        <w:spacing w:line="48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（五）政府采购政策功能落实</w:t>
      </w:r>
      <w:r/>
    </w:p>
    <w:p>
      <w:pPr>
        <w:ind w:firstLine="482"/>
        <w:jc w:val="both"/>
        <w:spacing w:line="480" w:lineRule="exact"/>
        <w:rPr>
          <w:rFonts w:hint="eastAsia" w:ascii="宋体" w:hAnsi="宋体" w:eastAsia="宋体" w:cs="宋体"/>
          <w:color w:val="000000" w:themeColor="text1"/>
          <w:sz w:val="24"/>
          <w:szCs w:val="24"/>
          <w:highlight w:val="none"/>
          <w14:textFill>
            <w14:solidFill>
              <w14:schemeClr w14:val="tx1"/>
            </w14:solidFill>
          </w14:textFill>
        </w:rPr>
        <w:sectPr>
          <w:headerReference w:type="default" r:id="rId9"/>
          <w:footerReference w:type="default" r:id="rId11"/>
          <w:footerReference w:type="first" r:id="rId12"/>
          <w:footnotePr/>
          <w:endnotePr/>
          <w:type w:val="nextPage"/>
          <w:pgSz w:w="11906" w:h="16838" w:orient="portrait"/>
          <w:pgMar w:top="1587" w:right="1588" w:bottom="1587" w:left="1587" w:header="851" w:footer="992" w:gutter="0"/>
          <w:pgNumType w:start="1"/>
          <w:cols w:num="1" w:sep="0" w:space="1701" w:equalWidth="1"/>
          <w:docGrid w:linePitch="360"/>
        </w:sect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本项目为专门面向中小微企业采购项目，不</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再</w:t>
      </w:r>
      <w:r>
        <w:rPr>
          <w:rFonts w:hint="eastAsia" w:ascii="宋体" w:hAnsi="宋体" w:eastAsia="宋体" w:cs="宋体"/>
          <w:b/>
          <w:bCs w:val="0"/>
          <w:color w:val="000000" w:themeColor="text1"/>
          <w:sz w:val="24"/>
          <w:szCs w:val="24"/>
          <w:highlight w:val="none"/>
          <w14:textFill>
            <w14:solidFill>
              <w14:schemeClr w14:val="tx1"/>
            </w14:solidFill>
          </w14:textFill>
        </w:rPr>
        <w:t xml:space="preserve">对小微企业实行价格扣除政策。</w:t>
      </w:r>
      <w:r/>
    </w:p>
    <w:p>
      <w:pPr>
        <w:jc w:val="center"/>
        <w:keepNext/>
        <w:spacing w:line="640" w:lineRule="exact"/>
        <w:rPr>
          <w:rFonts w:hint="eastAsia" w:ascii="宋体" w:hAnsi="宋体" w:eastAsia="宋体" w:cs="宋体"/>
          <w:bCs w:val="0"/>
          <w:color w:val="000000" w:themeColor="text1"/>
          <w:sz w:val="44"/>
          <w:szCs w:val="44"/>
          <w:highlight w:val="none"/>
          <w14:textFill>
            <w14:solidFill>
              <w14:schemeClr w14:val="tx1"/>
            </w14:solidFill>
          </w14:textFill>
        </w:rPr>
        <w:outlineLvl w:val="0"/>
      </w:pPr>
      <w:r>
        <w:rPr>
          <w:rFonts w:hint="eastAsia" w:ascii="宋体" w:hAnsi="宋体" w:eastAsia="宋体" w:cs="宋体"/>
          <w:bCs w:val="0"/>
          <w:color w:val="000000" w:themeColor="text1"/>
          <w:sz w:val="44"/>
          <w:szCs w:val="44"/>
          <w:highlight w:val="none"/>
          <w14:textFill>
            <w14:solidFill>
              <w14:schemeClr w14:val="tx1"/>
            </w14:solidFill>
          </w14:textFill>
        </w:rPr>
        <w:t xml:space="preserve">第五章  响应文件格式</w:t>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val="0"/>
          <w:bCs/>
          <w:color w:val="000000" w:themeColor="text1"/>
          <w:sz w:val="72"/>
          <w:szCs w:val="21"/>
          <w:highlight w:val="none"/>
          <w14:textFill>
            <w14:solidFill>
              <w14:schemeClr w14:val="tx1"/>
            </w14:solidFill>
          </w14:textFill>
        </w:rPr>
      </w:pPr>
      <w:r>
        <w:rPr>
          <w:rFonts w:hint="eastAsia" w:ascii="宋体" w:hAnsi="宋体" w:eastAsia="宋体" w:cs="宋体"/>
          <w:b w:val="0"/>
          <w:bCs/>
          <w:color w:val="000000" w:themeColor="text1"/>
          <w:sz w:val="72"/>
          <w:szCs w:val="21"/>
          <w:highlight w:val="none"/>
          <w14:textFill>
            <w14:solidFill>
              <w14:schemeClr w14:val="tx1"/>
            </w14:solidFill>
          </w14:textFill>
        </w:rPr>
        <w:t xml:space="preserve">响  应  文  件</w:t>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ind w:firstLine="1084"/>
        <w:spacing w:line="640" w:lineRule="exact"/>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项 目 名 称：</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               </w:t>
      </w:r>
      <w:r/>
    </w:p>
    <w:p>
      <w:pPr>
        <w:ind w:firstLine="1084"/>
        <w:spacing w:line="640" w:lineRule="exact"/>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项 目 编 号：</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               </w:t>
      </w:r>
      <w:r/>
    </w:p>
    <w:p>
      <w:pPr>
        <w:spacing w:line="640" w:lineRule="exact"/>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      供应商名称 ：</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（加盖CA电子公章）</w:t>
      </w:r>
      <w:r/>
    </w:p>
    <w:p>
      <w:pPr>
        <w:spacing w:line="640" w:lineRule="exact"/>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      日      期 ：</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bookmarkEnd w:id="176"/>
      <w:r/>
      <w:bookmarkEnd w:id="177"/>
      <w:r/>
      <w:bookmarkEnd w:id="178"/>
      <w:r/>
      <w:r/>
    </w:p>
    <w:p>
      <w:pPr>
        <w:rPr>
          <w:rFonts w:hint="eastAsia" w:ascii="宋体" w:hAnsi="宋体" w:eastAsia="宋体" w:cs="宋体"/>
          <w:bCs/>
          <w:color w:val="000000" w:themeColor="text1"/>
          <w:sz w:val="44"/>
          <w:szCs w:val="28"/>
          <w:highlight w:val="none"/>
          <w14:textFill>
            <w14:solidFill>
              <w14:schemeClr w14:val="tx1"/>
            </w14:solidFill>
          </w14:textFill>
        </w:rPr>
      </w:pPr>
      <w:r/>
      <w:bookmarkStart w:id="180" w:name="_Toc49090576"/>
      <w:r/>
      <w:bookmarkStart w:id="181" w:name="_Toc120614282"/>
      <w:r/>
      <w:bookmarkStart w:id="182" w:name="_Toc26554094"/>
      <w:r/>
      <w:r/>
    </w:p>
    <w:p>
      <w:pPr>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u w:val="single"/>
          <w14:textFill>
            <w14:solidFill>
              <w14:schemeClr w14:val="tx1"/>
            </w14:solidFill>
          </w14:textFill>
        </w:rPr>
      </w:r>
      <w:r/>
    </w:p>
    <w:p>
      <w:pPr>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u w:val="single"/>
          <w14:textFill>
            <w14:solidFill>
              <w14:schemeClr w14:val="tx1"/>
            </w14:solidFill>
          </w14:textFill>
        </w:rPr>
      </w:r>
      <w:r/>
    </w:p>
    <w:p>
      <w:pPr>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u w:val="single"/>
          <w14:textFill>
            <w14:solidFill>
              <w14:schemeClr w14:val="tx1"/>
            </w14:solidFill>
          </w14:textFill>
        </w:rPr>
      </w:r>
      <w:r/>
    </w:p>
    <w:p>
      <w:pPr>
        <w:jc w:val="center"/>
        <w:spacing w:line="6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rPr>
          <w:rFonts w:hint="eastAsia" w:ascii="宋体" w:hAnsi="宋体" w:eastAsia="宋体" w:cs="宋体"/>
          <w:b w:val="0"/>
          <w:bCs w:val="0"/>
          <w:color w:val="000000" w:themeColor="text1"/>
          <w:sz w:val="44"/>
          <w:szCs w:val="44"/>
          <w:highlight w:val="none"/>
          <w14:textFill>
            <w14:solidFill>
              <w14:schemeClr w14:val="tx1"/>
            </w14:solidFill>
          </w14:textFill>
        </w:rPr>
        <w:t xml:space="preserve">响应文件目录</w:t>
      </w:r>
      <w:r/>
    </w:p>
    <w:p>
      <w:pPr>
        <w:numPr>
          <w:ilvl w:val="0"/>
          <w:numId w:val="0"/>
        </w:numPr>
        <w:contextualSpacing/>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一、</w:t>
      </w:r>
      <w:r>
        <w:rPr>
          <w:rFonts w:hint="eastAsia" w:ascii="宋体" w:hAnsi="宋体" w:eastAsia="宋体" w:cs="宋体"/>
          <w:color w:val="000000" w:themeColor="text1"/>
          <w:sz w:val="24"/>
          <w:szCs w:val="24"/>
          <w:highlight w:val="none"/>
          <w14:textFill>
            <w14:solidFill>
              <w14:schemeClr w14:val="tx1"/>
            </w14:solidFill>
          </w14:textFill>
        </w:rPr>
        <w:t xml:space="preserve">基本目录</w:t>
      </w:r>
      <w:r/>
    </w:p>
    <w:p>
      <w:pPr>
        <w:pStyle w:val="944"/>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1.目录。</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磋商报价表</w:t>
      </w:r>
      <w:r>
        <w:rPr>
          <w:rFonts w:hint="eastAsia" w:ascii="宋体" w:hAnsi="宋体" w:eastAsia="宋体" w:cs="宋体"/>
          <w:color w:val="000000" w:themeColor="text1"/>
          <w:sz w:val="24"/>
          <w:szCs w:val="24"/>
          <w:highlight w:val="none"/>
          <w14:textFill>
            <w14:solidFill>
              <w14:schemeClr w14:val="tx1"/>
            </w14:solidFill>
          </w14:textFill>
        </w:rPr>
        <w:t xml:space="preserve">（格式参见附件）。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二、资格审查内容</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符合《政府采购法》第二十二条规定条件的承诺函（格式见附件）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2.法定代表人身份证明书（格式见附件）；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.法人授权书（格式见附件）；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采购公告中“二、申请人的资格要求”提供相应的佐证材料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其它需要提交的资格审查证明材料。</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三、符合性审查内容</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报价总表</w:t>
      </w:r>
      <w:r>
        <w:rPr>
          <w:rFonts w:hint="eastAsia" w:ascii="宋体" w:hAnsi="宋体" w:eastAsia="宋体" w:cs="宋体"/>
          <w:color w:val="000000" w:themeColor="text1"/>
          <w:sz w:val="24"/>
          <w:szCs w:val="24"/>
          <w:highlight w:val="none"/>
          <w14:textFill>
            <w14:solidFill>
              <w14:schemeClr w14:val="tx1"/>
            </w14:solidFill>
          </w14:textFill>
        </w:rPr>
        <w:t xml:space="preserve">（格式参见附件）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2.分项报价明细表（格式参见附件）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contextualSpacing/>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3.商务部分正负偏离表（格式参见</w:t>
      </w:r>
      <w:r>
        <w:rPr>
          <w:rFonts w:hint="eastAsia" w:ascii="宋体" w:hAnsi="宋体" w:eastAsia="宋体" w:cs="宋体"/>
          <w:color w:val="000000" w:themeColor="text1"/>
          <w:sz w:val="24"/>
          <w:szCs w:val="24"/>
          <w:highlight w:val="none"/>
          <w14:textFill>
            <w14:solidFill>
              <w14:schemeClr w14:val="tx1"/>
            </w14:solidFill>
          </w14:textFill>
        </w:rPr>
        <w:t xml:space="preserve">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contextualSpacing/>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4.磋商响应函（格式参见</w:t>
      </w:r>
      <w:r>
        <w:rPr>
          <w:rFonts w:hint="eastAsia" w:ascii="宋体" w:hAnsi="宋体" w:eastAsia="宋体" w:cs="宋体"/>
          <w:color w:val="000000" w:themeColor="text1"/>
          <w:sz w:val="24"/>
          <w:szCs w:val="24"/>
          <w:highlight w:val="none"/>
          <w14:textFill>
            <w14:solidFill>
              <w14:schemeClr w14:val="tx1"/>
            </w14:solidFill>
          </w14:textFill>
        </w:rPr>
        <w:t xml:space="preserve">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contextualSpacing/>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技术</w:t>
      </w:r>
      <w:r>
        <w:rPr>
          <w:rFonts w:hint="eastAsia" w:ascii="宋体" w:hAnsi="宋体" w:eastAsia="宋体" w:cs="宋体"/>
          <w:bCs/>
          <w:color w:val="000000" w:themeColor="text1"/>
          <w:sz w:val="24"/>
          <w:szCs w:val="24"/>
          <w:highlight w:val="none"/>
          <w14:textFill>
            <w14:solidFill>
              <w14:schemeClr w14:val="tx1"/>
            </w14:solidFill>
          </w14:textFill>
        </w:rPr>
        <w:t xml:space="preserve">部分正负偏离表（格式参见</w:t>
      </w:r>
      <w:r>
        <w:rPr>
          <w:rFonts w:hint="eastAsia" w:ascii="宋体" w:hAnsi="宋体" w:eastAsia="宋体" w:cs="宋体"/>
          <w:color w:val="000000" w:themeColor="text1"/>
          <w:sz w:val="24"/>
          <w:szCs w:val="24"/>
          <w:highlight w:val="none"/>
          <w14:textFill>
            <w14:solidFill>
              <w14:schemeClr w14:val="tx1"/>
            </w14:solidFill>
          </w14:textFill>
        </w:rPr>
        <w:t xml:space="preserve">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四、商务技术标文件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1.项目需求及评审办法中所涉及的事项需提供的所有资料。</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2.采购文件中未涉及的事项，供应商认为需要提交的其他资料。</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五、价格折扣文件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中小微企业、监狱和戒毒企业、残疾人福利单位声明函（如有）</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注：为方便评委评审，请供应商按评审办法中所涉及的事项顺序进行编制，可</w:t>
      </w:r>
      <w:r>
        <w:rPr>
          <w:rFonts w:hint="eastAsia" w:ascii="宋体" w:hAnsi="宋体" w:eastAsia="宋体" w:cs="宋体"/>
          <w:bCs/>
          <w:color w:val="000000" w:themeColor="text1"/>
          <w:sz w:val="24"/>
          <w:szCs w:val="24"/>
          <w:highlight w:val="none"/>
          <w14:textFill>
            <w14:solidFill>
              <w14:schemeClr w14:val="tx1"/>
            </w14:solidFill>
          </w14:textFill>
        </w:rPr>
        <w:t xml:space="preserve">以补充相关材料。</w:t>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附件1</w:t>
      </w:r>
      <w:r/>
    </w:p>
    <w:p>
      <w:pPr>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供应商符合《政府采购法》第二十二条规定条件的声明函</w:t>
      </w:r>
      <w:r/>
    </w:p>
    <w:p>
      <w:pPr>
        <w:spacing w:line="4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24"/>
          <w:szCs w:val="21"/>
          <w:highlight w:val="none"/>
          <w14:textFill>
            <w14:solidFill>
              <w14:schemeClr w14:val="tx1"/>
            </w14:solidFill>
          </w14:textFill>
        </w:rPr>
        <w:t xml:space="preserve">                       </w:t>
      </w:r>
      <w:r>
        <w:rPr>
          <w:rFonts w:hint="eastAsia" w:ascii="宋体" w:hAnsi="宋体"/>
          <w:b/>
          <w:bCs/>
          <w:color w:val="000000" w:themeColor="text1"/>
          <w:sz w:val="44"/>
          <w:szCs w:val="44"/>
          <w:highlight w:val="none"/>
          <w14:textFill>
            <w14:solidFill>
              <w14:schemeClr w14:val="tx1"/>
            </w14:solidFill>
          </w14:textFill>
        </w:rPr>
        <w:t xml:space="preserve">   </w:t>
      </w:r>
      <w:r/>
    </w:p>
    <w:p>
      <w:pPr>
        <w:ind w:firstLine="480"/>
        <w:spacing w:line="5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我单位参加</w:t>
      </w:r>
      <w:r>
        <w:rPr>
          <w:rFonts w:hint="eastAsia" w:ascii="宋体" w:hAnsi="宋体"/>
          <w:bCs/>
          <w:color w:val="000000" w:themeColor="text1"/>
          <w:sz w:val="24"/>
          <w:szCs w:val="21"/>
          <w:highlight w:val="none"/>
          <w:u w:val="single"/>
          <w14:textFill>
            <w14:solidFill>
              <w14:schemeClr w14:val="tx1"/>
            </w14:solidFill>
          </w14:textFill>
        </w:rPr>
        <w:t xml:space="preserve">________________ _</w:t>
      </w:r>
      <w:r>
        <w:rPr>
          <w:rFonts w:hint="eastAsia" w:ascii="宋体" w:hAnsi="宋体"/>
          <w:bCs/>
          <w:color w:val="000000" w:themeColor="text1"/>
          <w:sz w:val="24"/>
          <w:szCs w:val="21"/>
          <w:highlight w:val="none"/>
          <w14:textFill>
            <w14:solidFill>
              <w14:schemeClr w14:val="tx1"/>
            </w14:solidFill>
          </w14:textFill>
        </w:rPr>
        <w:t xml:space="preserve">（项目名称），</w:t>
      </w:r>
      <w:r>
        <w:rPr>
          <w:rFonts w:hint="eastAsia" w:ascii="宋体" w:hAnsi="宋体"/>
          <w:bCs/>
          <w:color w:val="000000" w:themeColor="text1"/>
          <w:sz w:val="24"/>
          <w:szCs w:val="21"/>
          <w:highlight w:val="none"/>
          <w:u w:val="single"/>
          <w14:textFill>
            <w14:solidFill>
              <w14:schemeClr w14:val="tx1"/>
            </w14:solidFill>
          </w14:textFill>
        </w:rPr>
        <w:t xml:space="preserve">_______ __________</w:t>
      </w:r>
      <w:r>
        <w:rPr>
          <w:rFonts w:hint="eastAsia" w:ascii="宋体" w:hAnsi="宋体"/>
          <w:bCs/>
          <w:color w:val="000000" w:themeColor="text1"/>
          <w:sz w:val="24"/>
          <w:szCs w:val="21"/>
          <w:highlight w:val="none"/>
          <w14:textFill>
            <w14:solidFill>
              <w14:schemeClr w14:val="tx1"/>
            </w14:solidFill>
          </w14:textFill>
        </w:rPr>
        <w:t xml:space="preserve">（项目编号）采购活动。针对《中华人民共和国政府采购法》第二十二条规定做出如下声明：</w:t>
      </w:r>
      <w:r/>
    </w:p>
    <w:p>
      <w:pPr>
        <w:ind w:firstLine="482"/>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1.我单位具有独立承担民事责任的能力；</w:t>
      </w:r>
      <w:r/>
    </w:p>
    <w:p>
      <w:pPr>
        <w:ind w:firstLine="482"/>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2.我单位具有良好的商业信誉和健全的财务会计制度；</w:t>
      </w:r>
      <w:r/>
    </w:p>
    <w:p>
      <w:pPr>
        <w:ind w:firstLine="482"/>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3.我单位具有履行合同所必需的设备和专业技术能力；</w:t>
      </w:r>
      <w:r/>
    </w:p>
    <w:p>
      <w:pPr>
        <w:ind w:firstLine="482"/>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4.我单位有依法缴纳税收和社会保障资金的良好记录；</w:t>
      </w:r>
      <w:r/>
    </w:p>
    <w:p>
      <w:pPr>
        <w:ind w:firstLine="482"/>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6.我单位满足法律、行政法规规定的其他条件。</w:t>
      </w:r>
      <w:r/>
    </w:p>
    <w:p>
      <w:pPr>
        <w:ind w:firstLine="482"/>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jc w:val="cente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承诺人名称（公章）：</w:t>
      </w:r>
      <w:r/>
    </w:p>
    <w:p>
      <w:pPr>
        <w:jc w:val="right"/>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r/>
    </w:p>
    <w:p>
      <w:pPr>
        <w:jc w:val="right"/>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日期：</w:t>
      </w:r>
      <w:r>
        <w:rPr>
          <w:rFonts w:hint="eastAsia" w:ascii="宋体" w:hAnsi="宋体"/>
          <w:bCs/>
          <w:color w:val="000000" w:themeColor="text1"/>
          <w:sz w:val="24"/>
          <w:szCs w:val="21"/>
          <w:highlight w:val="none"/>
          <w:u w:val="single"/>
          <w14:textFill>
            <w14:solidFill>
              <w14:schemeClr w14:val="tx1"/>
            </w14:solidFill>
          </w14:textFill>
        </w:rPr>
        <w:t xml:space="preserve">______</w:t>
      </w:r>
      <w:r>
        <w:rPr>
          <w:rFonts w:hint="eastAsia" w:ascii="宋体" w:hAnsi="宋体"/>
          <w:bCs/>
          <w:color w:val="000000" w:themeColor="text1"/>
          <w:sz w:val="24"/>
          <w:szCs w:val="21"/>
          <w:highlight w:val="none"/>
          <w14:textFill>
            <w14:solidFill>
              <w14:schemeClr w14:val="tx1"/>
            </w14:solidFill>
          </w14:textFill>
        </w:rPr>
        <w:t xml:space="preserve">年</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月</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日</w:t>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lang w:val="zh-CN"/>
          <w14:textFill>
            <w14:solidFill>
              <w14:schemeClr w14:val="tx1"/>
            </w14:solidFill>
          </w14:textFill>
        </w:rPr>
      </w:pPr>
      <w:r>
        <w:rPr>
          <w:rFonts w:hint="eastAsia" w:ascii="宋体" w:hAnsi="宋体" w:eastAsia="宋体" w:cs="宋体"/>
          <w:color w:val="000000" w:themeColor="text1"/>
          <w:sz w:val="32"/>
          <w:szCs w:val="32"/>
          <w:highlight w:val="none"/>
          <w:lang w:val="zh-CN"/>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附件2</w:t>
      </w:r>
      <w:r/>
    </w:p>
    <w:p>
      <w:pPr>
        <w:ind w:firstLine="643"/>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Times New Roman"/>
          <w:b/>
          <w:color w:val="000000" w:themeColor="text1"/>
          <w:sz w:val="30"/>
          <w:szCs w:val="30"/>
          <w:highlight w:val="none"/>
          <w14:textFill>
            <w14:solidFill>
              <w14:schemeClr w14:val="tx1"/>
            </w14:solidFill>
          </w14:textFill>
        </w:rPr>
      </w:pPr>
      <w:r>
        <w:rPr>
          <w:rFonts w:hint="eastAsia" w:ascii="宋体" w:hAnsi="宋体" w:eastAsia="宋体" w:cs="Times New Roman"/>
          <w:b/>
          <w:color w:val="000000" w:themeColor="text1"/>
          <w:sz w:val="30"/>
          <w:szCs w:val="30"/>
          <w:highlight w:val="none"/>
          <w14:textFill>
            <w14:solidFill>
              <w14:schemeClr w14:val="tx1"/>
            </w14:solidFill>
          </w14:textFill>
        </w:rPr>
        <w:t xml:space="preserve">法定代表人身份证明</w:t>
      </w:r>
      <w:r/>
    </w:p>
    <w:p>
      <w:pP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先生/女士：现任我单位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职务，为法定代表人，特此证明。</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注：提供法定代表人的身份证复印件盖公章</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bookmarkEnd w:id="180"/>
      <w:r/>
      <w:bookmarkEnd w:id="181"/>
      <w:r/>
      <w:bookmarkEnd w:id="182"/>
      <w:r/>
      <w:r/>
    </w:p>
    <w:p>
      <w:pPr>
        <w:spacing w:line="460" w:lineRule="exact"/>
        <w:rPr>
          <w:rFonts w:hint="eastAsia" w:ascii="宋体" w:hAnsi="宋体" w:eastAsia="宋体" w:cs="宋体"/>
          <w:bCs/>
          <w:color w:val="000000" w:themeColor="text1"/>
          <w:sz w:val="24"/>
          <w:szCs w:val="21"/>
          <w:highlight w:val="none"/>
          <w14:textFill>
            <w14:solidFill>
              <w14:schemeClr w14:val="tx1"/>
            </w14:solidFill>
          </w14:textFill>
        </w:rPr>
      </w:pPr>
      <w:r/>
      <w:bookmarkStart w:id="183" w:name="_Toc120614284"/>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br w:type="page" w:clear="all"/>
      </w: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w:t>
      </w:r>
      <w:r>
        <w:rPr>
          <w:rFonts w:hint="eastAsia" w:ascii="宋体" w:hAnsi="宋体" w:cs="宋体"/>
          <w:color w:val="000000" w:themeColor="text1"/>
          <w:sz w:val="32"/>
          <w:szCs w:val="32"/>
          <w:highlight w:val="none"/>
          <w:lang w:val="en-US" w:eastAsia="zh-CN"/>
          <w14:textFill>
            <w14:solidFill>
              <w14:schemeClr w14:val="tx1"/>
            </w14:solidFill>
          </w14:textFill>
        </w:rPr>
        <w:t xml:space="preserve">3</w:t>
      </w:r>
      <w:r/>
    </w:p>
    <w:p>
      <w:pPr>
        <w:jc w:val="center"/>
        <w:rPr>
          <w:rFonts w:hint="eastAsia" w:ascii="宋体" w:hAnsi="宋体" w:eastAsia="宋体" w:cs="Times New Roman"/>
          <w:b/>
          <w:color w:val="000000" w:themeColor="text1"/>
          <w:sz w:val="30"/>
          <w:szCs w:val="30"/>
          <w:highlight w:val="none"/>
          <w14:textFill>
            <w14:solidFill>
              <w14:schemeClr w14:val="tx1"/>
            </w14:solidFill>
          </w14:textFill>
        </w:rPr>
      </w:pPr>
      <w:r>
        <w:rPr>
          <w:rFonts w:hint="eastAsia" w:ascii="宋体" w:hAnsi="宋体" w:eastAsia="宋体" w:cs="Times New Roman"/>
          <w:b/>
          <w:color w:val="000000" w:themeColor="text1"/>
          <w:sz w:val="30"/>
          <w:szCs w:val="30"/>
          <w:highlight w:val="none"/>
          <w14:textFill>
            <w14:solidFill>
              <w14:schemeClr w14:val="tx1"/>
            </w14:solidFill>
          </w14:textFill>
        </w:rPr>
        <w:t xml:space="preserve">法人授权书</w:t>
      </w:r>
      <w:r/>
    </w:p>
    <w:p>
      <w:pPr>
        <w:ind w:firstLine="560"/>
        <w:spacing w:line="480" w:lineRule="exact"/>
        <w:tabs>
          <w:tab w:val="left" w:pos="360" w:leader="none"/>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80"/>
        <w:spacing w:line="360" w:lineRule="auto"/>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本授权书声明：</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（供应商名称）授权</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（被授权人的姓名）为我方项目编号：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本授权书于</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日起生效，特此声明。</w:t>
      </w:r>
      <w:r/>
    </w:p>
    <w:p>
      <w:pPr>
        <w:spacing w:line="360" w:lineRule="auto"/>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被授权人身份证号码：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被授权人联系电话：（手机）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1200"/>
        <w:spacing w:line="360" w:lineRule="auto"/>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（加盖CA电子公章）</w:t>
      </w:r>
      <w:r/>
    </w:p>
    <w:p>
      <w:pPr>
        <w:ind w:firstLine="480"/>
        <w:spacing w:line="360" w:lineRule="auto"/>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46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spacing w:line="46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w:t>
      </w:r>
      <w:r>
        <w:rPr>
          <w:rFonts w:hint="eastAsia" w:ascii="宋体" w:hAnsi="宋体" w:cs="宋体"/>
          <w:color w:val="000000" w:themeColor="text1"/>
          <w:sz w:val="32"/>
          <w:szCs w:val="32"/>
          <w:highlight w:val="none"/>
          <w:lang w:val="en-US" w:eastAsia="zh-CN"/>
          <w14:textFill>
            <w14:solidFill>
              <w14:schemeClr w14:val="tx1"/>
            </w14:solidFill>
          </w14:textFill>
        </w:rPr>
        <w:t xml:space="preserve">4</w:t>
      </w:r>
      <w:r/>
    </w:p>
    <w:p>
      <w:pPr>
        <w:jc w:val="center"/>
        <w:rPr>
          <w:rFonts w:hint="eastAsia" w:ascii="宋体" w:hAnsi="宋体" w:eastAsia="宋体" w:cs="Times New Roman"/>
          <w:b/>
          <w:color w:val="000000" w:themeColor="text1"/>
          <w:sz w:val="30"/>
          <w:szCs w:val="30"/>
          <w:highlight w:val="none"/>
          <w14:textFill>
            <w14:solidFill>
              <w14:schemeClr w14:val="tx1"/>
            </w14:solidFill>
          </w14:textFill>
        </w:rPr>
      </w:pPr>
      <w:r>
        <w:rPr>
          <w:rFonts w:hint="eastAsia" w:ascii="宋体" w:hAnsi="宋体" w:eastAsia="宋体" w:cs="Times New Roman"/>
          <w:b/>
          <w:color w:val="000000" w:themeColor="text1"/>
          <w:sz w:val="30"/>
          <w:szCs w:val="30"/>
          <w:highlight w:val="none"/>
          <w14:textFill>
            <w14:solidFill>
              <w14:schemeClr w14:val="tx1"/>
            </w14:solidFill>
          </w14:textFill>
        </w:rPr>
        <w:t xml:space="preserve">磋商响应函</w:t>
      </w:r>
      <w:r/>
    </w:p>
    <w:p>
      <w:pPr>
        <w:jc w:val="left"/>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致：采购人</w:t>
      </w:r>
      <w:r/>
    </w:p>
    <w:p>
      <w:pPr>
        <w:ind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根据贵方的项目编号：</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磋商文件，正式授权下述签字人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(姓名)代表我方</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（供应商的名称），全权处理本次项目磋商的有关事宜。</w:t>
      </w:r>
      <w:r/>
    </w:p>
    <w:p>
      <w:pPr>
        <w:ind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据此函，</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签字人兹宣布同意如下：</w:t>
      </w:r>
      <w:r/>
    </w:p>
    <w:p>
      <w:pPr>
        <w:ind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2.我们完全理解贵方不一定将合同授予最低报价的供应商。</w:t>
      </w:r>
      <w:r/>
    </w:p>
    <w:p>
      <w:pPr>
        <w:ind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4.我们同意从规定的开标日期起遵循本响应文件，并在规定的磋商有效期期满之前均具有约束力。</w:t>
      </w:r>
      <w:r/>
    </w:p>
    <w:p>
      <w:pPr>
        <w:ind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left="425"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7.我方与本磋商有关的正式通讯地址为：</w:t>
      </w:r>
      <w:r/>
    </w:p>
    <w:p>
      <w:pPr>
        <w:ind w:left="420"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p>
    <w:p>
      <w:pPr>
        <w:ind w:left="420"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          编：</w:t>
      </w:r>
      <w:r/>
    </w:p>
    <w:p>
      <w:pPr>
        <w:ind w:left="420"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p>
    <w:p>
      <w:pPr>
        <w:ind w:left="420"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          真：</w:t>
      </w:r>
      <w:r/>
    </w:p>
    <w:p>
      <w:pPr>
        <w:ind w:left="420"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供应商开户行：</w:t>
      </w:r>
      <w:r/>
    </w:p>
    <w:p>
      <w:pPr>
        <w:ind w:left="420"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 </w:t>
      </w:r>
      <w:r/>
    </w:p>
    <w:p>
      <w:pPr>
        <w:ind w:left="420"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ind w:left="420" w:firstLine="48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firstLine="240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响应供应商全称(盖公章)：</w:t>
      </w:r>
      <w:r/>
    </w:p>
    <w:p>
      <w:pPr>
        <w:ind w:left="420" w:firstLine="2400"/>
        <w:jc w:val="left"/>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p>
      <w:pPr>
        <w:contextualSpacing/>
        <w:spacing w:line="460" w:lineRule="exac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br w:type="page" w:clear="all"/>
      </w: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w:t>
      </w:r>
      <w:r>
        <w:rPr>
          <w:rFonts w:hint="eastAsia" w:ascii="宋体" w:hAnsi="宋体" w:cs="宋体"/>
          <w:color w:val="000000" w:themeColor="text1"/>
          <w:sz w:val="32"/>
          <w:szCs w:val="32"/>
          <w:highlight w:val="none"/>
          <w:lang w:val="en-US" w:eastAsia="zh-CN"/>
          <w14:textFill>
            <w14:solidFill>
              <w14:schemeClr w14:val="tx1"/>
            </w14:solidFill>
          </w14:textFill>
        </w:rPr>
        <w:t xml:space="preserve">5</w:t>
      </w:r>
      <w:r/>
    </w:p>
    <w:p>
      <w:pPr>
        <w:jc w:val="center"/>
        <w:rPr>
          <w:rFonts w:hint="eastAsia" w:ascii="宋体" w:hAnsi="宋体" w:eastAsia="宋体" w:cs="Times New Roman"/>
          <w:b/>
          <w:color w:val="000000" w:themeColor="text1"/>
          <w:sz w:val="30"/>
          <w:szCs w:val="30"/>
          <w:highlight w:val="none"/>
          <w14:textFill>
            <w14:solidFill>
              <w14:schemeClr w14:val="tx1"/>
            </w14:solidFill>
          </w14:textFill>
        </w:rPr>
      </w:pPr>
      <w:r>
        <w:rPr>
          <w:rFonts w:hint="eastAsia" w:ascii="宋体" w:hAnsi="宋体" w:eastAsia="宋体" w:cs="Times New Roman"/>
          <w:b/>
          <w:color w:val="000000" w:themeColor="text1"/>
          <w:sz w:val="30"/>
          <w:szCs w:val="30"/>
          <w:highlight w:val="none"/>
          <w14:textFill>
            <w14:solidFill>
              <w14:schemeClr w14:val="tx1"/>
            </w14:solidFill>
          </w14:textFill>
        </w:rPr>
        <w:t xml:space="preserve">商务部分正负偏离表</w:t>
      </w:r>
      <w:r/>
    </w:p>
    <w:p>
      <w:pPr>
        <w:ind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（由供应商据实填写，表格不够自行添加）</w:t>
      </w:r>
      <w:r/>
    </w:p>
    <w:p>
      <w:pPr>
        <w:ind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75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W w:w="46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254"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货物或服务名称</w:t>
            </w:r>
            <w:r/>
          </w:p>
        </w:tc>
        <w:tc>
          <w:tcPr>
            <w:tcW w:w="109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磋商文件要求的商务条款</w:t>
            </w:r>
            <w:r/>
          </w:p>
        </w:tc>
        <w:tc>
          <w:tcPr>
            <w:tcW w:w="1413"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响应文件响应情况</w:t>
            </w:r>
            <w:r/>
          </w:p>
        </w:tc>
        <w:tc>
          <w:tcPr>
            <w:tcW w:w="778" w:type="dxa"/>
            <w:vAlign w:val="top"/>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偏离说明</w:t>
            </w:r>
            <w:r/>
          </w:p>
        </w:tc>
      </w:tr>
      <w:tr>
        <w:trPr>
          <w:trHeight w:val="414"/>
        </w:trPr>
        <w:tc>
          <w:tcPr>
            <w:tcW w:w="460"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254"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95"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3"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8"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8"/>
        </w:trPr>
        <w:tc>
          <w:tcPr>
            <w:tcW w:w="460"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254"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95"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3"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8"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00"/>
        </w:trPr>
        <w:tc>
          <w:tcPr>
            <w:tcW w:w="460"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254"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95"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3"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8"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19"/>
        </w:trPr>
        <w:tc>
          <w:tcPr>
            <w:tcW w:w="460"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254"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95"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3"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8"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contextualSpacing/>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1.供应商提交的响应文件中与磋商文件第三部分“项目需求”中的商务部分的要求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相匹配</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如有负偏离应逐条</w:t>
      </w:r>
      <w:r>
        <w:rPr>
          <w:rFonts w:hint="eastAsia" w:ascii="宋体" w:hAnsi="宋体" w:eastAsia="宋体" w:cs="宋体"/>
          <w:color w:val="000000" w:themeColor="text1"/>
          <w:sz w:val="24"/>
          <w:szCs w:val="24"/>
          <w:highlight w:val="none"/>
          <w14:textFill>
            <w14:solidFill>
              <w14:schemeClr w14:val="tx1"/>
            </w14:solidFill>
          </w14:textFill>
        </w:rPr>
        <w:t xml:space="preserve">填列在偏离表中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2.“偏离说明”一栏选择“正偏离”、“无偏离”、“负偏离”进行填写。正偏离、无偏离的确认和负偏离的是否响应采购文件，由磋商小组认定。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3.供应商如果虚假响应，将被暂停参加采购人组织政府采购活动。</w:t>
      </w:r>
      <w:r/>
    </w:p>
    <w:p>
      <w:pPr>
        <w:contextualSpacing/>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4.供应商若提供其他增值服务，可以在表中自行据实填写。</w:t>
      </w:r>
      <w:r/>
    </w:p>
    <w:p>
      <w:pPr>
        <w:contextualSpacing/>
        <w:ind w:firstLine="540"/>
        <w:spacing w:line="56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spacing w:line="46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br w:type="page" w:clear="all"/>
      </w: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w:t>
      </w:r>
      <w:r>
        <w:rPr>
          <w:rFonts w:hint="eastAsia" w:ascii="宋体" w:hAnsi="宋体" w:cs="宋体"/>
          <w:color w:val="000000" w:themeColor="text1"/>
          <w:sz w:val="32"/>
          <w:szCs w:val="32"/>
          <w:highlight w:val="none"/>
          <w:lang w:val="en-US" w:eastAsia="zh-CN"/>
          <w14:textFill>
            <w14:solidFill>
              <w14:schemeClr w14:val="tx1"/>
            </w14:solidFill>
          </w14:textFill>
        </w:rPr>
        <w:t xml:space="preserve">6</w:t>
      </w:r>
      <w:r/>
    </w:p>
    <w:p>
      <w:pPr>
        <w:jc w:val="center"/>
        <w:rPr>
          <w:rFonts w:hint="eastAsia" w:ascii="宋体" w:hAnsi="宋体" w:eastAsia="宋体" w:cs="Times New Roman"/>
          <w:b/>
          <w:color w:val="000000" w:themeColor="text1"/>
          <w:sz w:val="30"/>
          <w:szCs w:val="30"/>
          <w:highlight w:val="none"/>
          <w14:textFill>
            <w14:solidFill>
              <w14:schemeClr w14:val="tx1"/>
            </w14:solidFill>
          </w14:textFill>
        </w:rPr>
      </w:pPr>
      <w:r>
        <w:rPr>
          <w:rFonts w:hint="eastAsia" w:ascii="宋体" w:hAnsi="宋体" w:eastAsia="宋体" w:cs="Times New Roman"/>
          <w:b/>
          <w:color w:val="000000" w:themeColor="text1"/>
          <w:sz w:val="30"/>
          <w:szCs w:val="30"/>
          <w:highlight w:val="none"/>
          <w14:textFill>
            <w14:solidFill>
              <w14:schemeClr w14:val="tx1"/>
            </w14:solidFill>
          </w14:textFill>
        </w:rPr>
        <w:t xml:space="preserve">技术部分正负偏离表</w:t>
      </w:r>
      <w:r/>
    </w:p>
    <w:p>
      <w:pPr>
        <w:ind w:firstLine="48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（由供应商据实填写，表格不够自行添加）</w:t>
      </w:r>
      <w:r/>
    </w:p>
    <w:p>
      <w:pPr>
        <w:pStyle w:val="94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75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W w:w="46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254"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货物或服务名称</w:t>
            </w:r>
            <w:r/>
          </w:p>
        </w:tc>
        <w:tc>
          <w:tcPr>
            <w:tcW w:w="109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磋商文件要求的技术要求</w:t>
            </w:r>
            <w:r/>
          </w:p>
        </w:tc>
        <w:tc>
          <w:tcPr>
            <w:tcW w:w="1413"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响应文件响应情况</w:t>
            </w:r>
            <w:r/>
          </w:p>
        </w:tc>
        <w:tc>
          <w:tcPr>
            <w:tcW w:w="778" w:type="dxa"/>
            <w:vAlign w:val="top"/>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偏离说明</w:t>
            </w:r>
            <w:r/>
          </w:p>
        </w:tc>
      </w:tr>
      <w:tr>
        <w:trPr>
          <w:trHeight w:val="489"/>
        </w:trPr>
        <w:tc>
          <w:tcPr>
            <w:tcW w:w="460"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254"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95"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3"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8"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8"/>
        </w:trPr>
        <w:tc>
          <w:tcPr>
            <w:tcW w:w="460"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254"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95"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3"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8"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00"/>
        </w:trPr>
        <w:tc>
          <w:tcPr>
            <w:tcW w:w="460"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254"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95"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3"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8"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19"/>
        </w:trPr>
        <w:tc>
          <w:tcPr>
            <w:tcW w:w="460"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254"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95"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3"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8"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contextualSpacing/>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1.供应商提交的响应文件中与磋商文件第三部分“项目需求”中的技术部分的要求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相匹配</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如有负偏离应逐条</w:t>
      </w:r>
      <w:r>
        <w:rPr>
          <w:rFonts w:hint="eastAsia" w:ascii="宋体" w:hAnsi="宋体" w:eastAsia="宋体" w:cs="宋体"/>
          <w:color w:val="000000" w:themeColor="text1"/>
          <w:sz w:val="24"/>
          <w:szCs w:val="24"/>
          <w:highlight w:val="none"/>
          <w14:textFill>
            <w14:solidFill>
              <w14:schemeClr w14:val="tx1"/>
            </w14:solidFill>
          </w14:textFill>
        </w:rPr>
        <w:t xml:space="preserve">填列在偏离表中。</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2.“偏离说明”一栏选择“正偏离”、“无偏离”、“负偏离”进行填写。正偏离、无偏离的确认和负偏离的是否响应采购文件，由磋商小组认定。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3.供应商如果虚假响应，将被暂停参加采购人组织政府采购活动。</w:t>
      </w:r>
      <w:r/>
    </w:p>
    <w:p>
      <w:pPr>
        <w:contextualSpacing/>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4.供应商若提供其他增值服务，可以在表中自行据实填写。</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br w:type="page" w:clear="all"/>
      </w: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w:t>
      </w:r>
      <w:r>
        <w:rPr>
          <w:rFonts w:hint="eastAsia" w:ascii="宋体" w:hAnsi="宋体" w:cs="宋体"/>
          <w:color w:val="000000" w:themeColor="text1"/>
          <w:sz w:val="32"/>
          <w:szCs w:val="32"/>
          <w:highlight w:val="none"/>
          <w:lang w:val="en-US" w:eastAsia="zh-CN"/>
          <w14:textFill>
            <w14:solidFill>
              <w14:schemeClr w14:val="tx1"/>
            </w14:solidFill>
          </w14:textFill>
        </w:rPr>
        <w:t xml:space="preserve">7</w:t>
      </w:r>
      <w:r/>
    </w:p>
    <w:p>
      <w:pPr>
        <w:jc w:val="center"/>
        <w:rPr>
          <w:rFonts w:ascii="宋体" w:hAnsi="宋体" w:eastAsia="宋体" w:cs="Times New Roman"/>
          <w:b/>
          <w:color w:val="000000" w:themeColor="text1"/>
          <w:sz w:val="30"/>
          <w:szCs w:val="30"/>
          <w:highlight w:val="none"/>
          <w14:textFill>
            <w14:solidFill>
              <w14:schemeClr w14:val="tx1"/>
            </w14:solidFill>
          </w14:textFill>
        </w:rPr>
      </w:pPr>
      <w:r>
        <w:rPr>
          <w:rFonts w:hint="eastAsia" w:ascii="宋体" w:hAnsi="宋体" w:eastAsia="宋体" w:cs="Times New Roman"/>
          <w:b/>
          <w:color w:val="000000" w:themeColor="text1"/>
          <w:sz w:val="30"/>
          <w:szCs w:val="30"/>
          <w:highlight w:val="none"/>
          <w:lang w:val="en-US" w:eastAsia="zh-CN"/>
          <w14:textFill>
            <w14:solidFill>
              <w14:schemeClr w14:val="tx1"/>
            </w14:solidFill>
          </w14:textFill>
        </w:rPr>
        <w:t xml:space="preserve">报价总表</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供应商全称（加盖公章）：</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分包号：</w:t>
      </w:r>
      <w:r/>
    </w:p>
    <w:tbl>
      <w:tblPr>
        <w:tblStyle w:val="752"/>
        <w:tblW w:w="87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9"/>
        <w:gridCol w:w="4620"/>
      </w:tblGrid>
      <w:tr>
        <w:trPr>
          <w:trHeight w:val="720"/>
        </w:trPr>
        <w:tc>
          <w:tcPr>
            <w:tcW w:w="4159"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磋商服务名称</w:t>
            </w:r>
            <w:r/>
          </w:p>
        </w:tc>
        <w:tc>
          <w:tcPr>
            <w:tcW w:w="4620"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磋商总报价</w:t>
            </w:r>
            <w:r/>
          </w:p>
        </w:tc>
      </w:tr>
      <w:tr>
        <w:trPr>
          <w:trHeight w:val="1440"/>
        </w:trPr>
        <w:tc>
          <w:tcPr>
            <w:tcW w:w="4159"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62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大写：</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元（人民币）</w:t>
            </w:r>
            <w:r/>
          </w:p>
        </w:tc>
      </w:tr>
    </w:tbl>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填写说明：</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1、报价总表必须加盖供应商公章。</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2、如有分包，供应商投任何一个包的标的，都需单独填写报价总表。</w:t>
      </w:r>
      <w:r/>
    </w:p>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93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contextualSpacing/>
        <w:spacing w:line="4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contextualSpacing/>
        <w:spacing w:line="4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pStyle w:val="94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4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4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4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w:t>
      </w:r>
      <w:r>
        <w:rPr>
          <w:rFonts w:hint="eastAsia" w:ascii="宋体" w:hAnsi="宋体" w:cs="宋体"/>
          <w:color w:val="000000" w:themeColor="text1"/>
          <w:sz w:val="32"/>
          <w:szCs w:val="32"/>
          <w:highlight w:val="none"/>
          <w:lang w:val="en-US" w:eastAsia="zh-CN"/>
          <w14:textFill>
            <w14:solidFill>
              <w14:schemeClr w14:val="tx1"/>
            </w14:solidFill>
          </w14:textFill>
        </w:rPr>
        <w:t xml:space="preserve">8</w:t>
      </w:r>
      <w:r/>
    </w:p>
    <w:p>
      <w:pPr>
        <w:jc w:val="center"/>
        <w:rPr>
          <w:rFonts w:hint="eastAsia" w:ascii="宋体" w:hAnsi="宋体" w:eastAsia="宋体" w:cs="Times New Roman"/>
          <w:b/>
          <w:color w:val="000000" w:themeColor="text1"/>
          <w:sz w:val="30"/>
          <w:szCs w:val="30"/>
          <w:highlight w:val="none"/>
          <w14:textFill>
            <w14:solidFill>
              <w14:schemeClr w14:val="tx1"/>
            </w14:solidFill>
          </w14:textFill>
        </w:rPr>
      </w:pPr>
      <w:r>
        <w:rPr>
          <w:rFonts w:hint="eastAsia" w:ascii="宋体" w:hAnsi="宋体" w:eastAsia="宋体" w:cs="Times New Roman"/>
          <w:b/>
          <w:color w:val="000000" w:themeColor="text1"/>
          <w:sz w:val="30"/>
          <w:szCs w:val="30"/>
          <w:highlight w:val="none"/>
          <w:lang w:val="en-US" w:eastAsia="zh-CN"/>
          <w14:textFill>
            <w14:solidFill>
              <w14:schemeClr w14:val="tx1"/>
            </w14:solidFill>
          </w14:textFill>
        </w:rPr>
        <w:t xml:space="preserve">分项报价明细表（服务类）</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tbl>
      <w:tblPr>
        <w:tblStyle w:val="752"/>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ind w:left="0" w:right="0" w:firstLine="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1321" w:type="dxa"/>
            <w:vAlign w:val="center"/>
            <w:textDirection w:val="lrTb"/>
            <w:noWrap w:val="false"/>
          </w:tcPr>
          <w:p>
            <w:pPr>
              <w:ind w:left="0" w:right="0" w:firstLine="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名称</w:t>
            </w:r>
            <w:r/>
          </w:p>
        </w:tc>
        <w:tc>
          <w:tcPr>
            <w:tcW w:w="1417" w:type="dxa"/>
            <w:vAlign w:val="center"/>
            <w:textDirection w:val="lrTb"/>
            <w:noWrap w:val="false"/>
          </w:tcPr>
          <w:p>
            <w:pPr>
              <w:ind w:left="0" w:right="0" w:firstLine="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服务范围</w:t>
            </w:r>
            <w:r/>
          </w:p>
        </w:tc>
        <w:tc>
          <w:tcPr>
            <w:tcW w:w="1418" w:type="dxa"/>
            <w:vAlign w:val="center"/>
            <w:textDirection w:val="lrTb"/>
            <w:noWrap w:val="false"/>
          </w:tcPr>
          <w:p>
            <w:pPr>
              <w:ind w:left="0" w:right="0" w:firstLine="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服务要求</w:t>
            </w:r>
            <w:r/>
          </w:p>
        </w:tc>
        <w:tc>
          <w:tcPr>
            <w:tcW w:w="1275" w:type="dxa"/>
            <w:vAlign w:val="center"/>
            <w:textDirection w:val="lrTb"/>
            <w:noWrap w:val="false"/>
          </w:tcPr>
          <w:p>
            <w:pPr>
              <w:ind w:left="0" w:right="0" w:firstLine="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服务时间</w:t>
            </w:r>
            <w:r/>
          </w:p>
        </w:tc>
        <w:tc>
          <w:tcPr>
            <w:tcW w:w="1276" w:type="dxa"/>
            <w:vAlign w:val="center"/>
            <w:textDirection w:val="lrTb"/>
            <w:noWrap w:val="false"/>
          </w:tcPr>
          <w:p>
            <w:pPr>
              <w:ind w:left="0" w:right="0" w:firstLine="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服务标准</w:t>
            </w:r>
            <w:r/>
          </w:p>
        </w:tc>
        <w:tc>
          <w:tcPr>
            <w:tcW w:w="851" w:type="dxa"/>
            <w:vAlign w:val="center"/>
            <w:textDirection w:val="lrTb"/>
            <w:noWrap w:val="false"/>
          </w:tcPr>
          <w:p>
            <w:pPr>
              <w:ind w:left="0" w:right="0" w:firstLine="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金额</w:t>
            </w:r>
            <w:r/>
          </w:p>
        </w:tc>
        <w:tc>
          <w:tcPr>
            <w:tcW w:w="1151" w:type="dxa"/>
            <w:vAlign w:val="center"/>
            <w:textDirection w:val="lrTb"/>
            <w:noWrap w:val="false"/>
          </w:tcPr>
          <w:p>
            <w:pPr>
              <w:ind w:left="0" w:right="0" w:firstLine="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tc>
      </w:tr>
      <w:tr>
        <w:trPr>
          <w:cantSplit/>
          <w:jc w:val="center"/>
          <w:trHeight w:val="479"/>
        </w:trPr>
        <w:tc>
          <w:tcPr>
            <w:tcW w:w="97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32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7"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5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502"/>
        </w:trPr>
        <w:tc>
          <w:tcPr>
            <w:tcW w:w="97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32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7"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5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513"/>
        </w:trPr>
        <w:tc>
          <w:tcPr>
            <w:tcW w:w="97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32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7"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5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513"/>
        </w:trPr>
        <w:tc>
          <w:tcPr>
            <w:tcW w:w="97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32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7"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5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513"/>
        </w:trPr>
        <w:tc>
          <w:tcPr>
            <w:tcW w:w="97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7"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5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419"/>
        </w:trPr>
        <w:tc>
          <w:tcPr>
            <w:tcW w:w="971"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gridSpan w:val="7"/>
            <w:tcW w:w="8709" w:type="dxa"/>
            <w:vAlign w:val="center"/>
            <w:textDirection w:val="lrTb"/>
            <w:noWrap w:val="false"/>
          </w:tcPr>
          <w:p>
            <w:pPr>
              <w:ind w:left="0" w:right="0"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b/>
          <w:color w:val="000000" w:themeColor="text1"/>
          <w:sz w:val="24"/>
          <w:szCs w:val="24"/>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jc w:val="center"/>
        <w:keepNext/>
        <w:spacing w:line="640" w:lineRule="exact"/>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pStyle w:val="93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00" w:lineRule="auto"/>
        <w:rPr>
          <w:rFonts w:hint="eastAsia" w:ascii="宋体" w:hAnsi="宋体" w:eastAsia="宋体" w:cs="宋体"/>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outlineLvl w:val="9"/>
      </w:pP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w:t>
      </w:r>
      <w:r>
        <w:rPr>
          <w:rFonts w:hint="eastAsia" w:ascii="宋体" w:hAnsi="宋体" w:cs="宋体"/>
          <w:color w:val="000000" w:themeColor="text1"/>
          <w:sz w:val="32"/>
          <w:szCs w:val="32"/>
          <w:highlight w:val="none"/>
          <w:lang w:val="en-US" w:eastAsia="zh-CN"/>
          <w14:textFill>
            <w14:solidFill>
              <w14:schemeClr w14:val="tx1"/>
            </w14:solidFill>
          </w14:textFill>
        </w:rPr>
        <w:t xml:space="preserve">9</w:t>
      </w:r>
      <w:r/>
    </w:p>
    <w:p>
      <w:pPr>
        <w:jc w:val="center"/>
        <w:rPr>
          <w:rFonts w:hint="eastAsia" w:ascii="宋体" w:hAnsi="宋体" w:eastAsia="宋体" w:cs="Times New Roman"/>
          <w:b/>
          <w:color w:val="000000" w:themeColor="text1"/>
          <w:sz w:val="30"/>
          <w:szCs w:val="30"/>
          <w:highlight w:val="none"/>
          <w14:textFill>
            <w14:solidFill>
              <w14:schemeClr w14:val="tx1"/>
            </w14:solidFill>
          </w14:textFill>
        </w:rPr>
      </w:pPr>
      <w:r>
        <w:rPr>
          <w:rFonts w:hint="eastAsia" w:ascii="宋体" w:hAnsi="宋体" w:eastAsia="宋体" w:cs="Times New Roman"/>
          <w:b/>
          <w:color w:val="000000" w:themeColor="text1"/>
          <w:sz w:val="30"/>
          <w:szCs w:val="30"/>
          <w:highlight w:val="none"/>
          <w:lang w:val="en-US" w:eastAsia="zh-CN"/>
          <w14:textFill>
            <w14:solidFill>
              <w14:schemeClr w14:val="tx1"/>
            </w14:solidFill>
          </w14:textFill>
        </w:rPr>
        <w:t xml:space="preserve">中小企业声明函（服务）</w:t>
      </w:r>
      <w:r/>
    </w:p>
    <w:p>
      <w:pPr>
        <w:ind w:firstLine="560"/>
        <w:spacing w:line="480" w:lineRule="exact"/>
        <w:rPr>
          <w:rFonts w:hint="eastAsia" w:ascii="宋体" w:hAnsi="宋体" w:eastAsia="宋体" w:cs="宋体"/>
          <w:color w:val="000000" w:themeColor="text1"/>
          <w:sz w:val="28"/>
          <w:szCs w:val="28"/>
          <w:highlight w:val="none"/>
          <w14:textFill>
            <w14:solidFill>
              <w14:schemeClr w14:val="tx1"/>
            </w14:solidFill>
          </w14:textFill>
        </w:rPr>
        <w:outlineLvl w:val="0"/>
      </w:pPr>
      <w:r>
        <w:rPr>
          <w:rFonts w:hint="eastAsia" w:ascii="宋体" w:hAnsi="宋体" w:eastAsia="宋体" w:cs="宋体"/>
          <w:color w:val="000000" w:themeColor="text1"/>
          <w:sz w:val="28"/>
          <w:szCs w:val="28"/>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bidi="zh-CN"/>
          <w14:textFill>
            <w14:solidFill>
              <w14:schemeClr w14:val="tx1"/>
            </w14:solidFill>
          </w14:textFill>
        </w:rPr>
        <w:t xml:space="preserve">本公司（联合体）郑重声明，根据《政府采购促进中小企业发展管理办法》（财库﹝2020﹞46 号）的规定，本公司参加</w:t>
      </w:r>
      <w:r>
        <w:rPr>
          <w:rFonts w:hint="eastAsia" w:ascii="宋体" w:hAnsi="宋体" w:eastAsia="宋体" w:cs="宋体"/>
          <w:color w:val="000000" w:themeColor="text1"/>
          <w:sz w:val="24"/>
          <w:szCs w:val="24"/>
          <w:highlight w:val="none"/>
          <w:u w:val="single"/>
          <w:lang w:bidi="zh-CN"/>
          <w14:textFill>
            <w14:solidFill>
              <w14:schemeClr w14:val="tx1"/>
            </w14:solidFill>
          </w14:textFill>
        </w:rPr>
        <w:t xml:space="preserve">（单位名称）</w:t>
      </w:r>
      <w:r>
        <w:rPr>
          <w:rFonts w:hint="eastAsia" w:ascii="宋体" w:hAnsi="宋体" w:eastAsia="宋体" w:cs="宋体"/>
          <w:color w:val="000000" w:themeColor="text1"/>
          <w:sz w:val="24"/>
          <w:szCs w:val="24"/>
          <w:highlight w:val="none"/>
          <w:lang w:bidi="zh-CN"/>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bidi="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bidi="zh-CN"/>
          <w14:textFill>
            <w14:solidFill>
              <w14:schemeClr w14:val="tx1"/>
            </w14:solidFill>
          </w14:textFill>
        </w:rPr>
        <w:t xml:space="preserve">采购活动，服务全部由符合政策要求的中小企业承接。相关企业的具体情况如下：</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bidi="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bidi="zh-CN"/>
          <w14:textFill>
            <w14:solidFill>
              <w14:schemeClr w14:val="tx1"/>
            </w14:solidFill>
          </w14:textFill>
        </w:rPr>
        <w:t xml:space="preserve">（标的名称）</w:t>
      </w:r>
      <w:r>
        <w:rPr>
          <w:rFonts w:hint="eastAsia" w:ascii="宋体" w:hAnsi="宋体" w:eastAsia="宋体" w:cs="宋体"/>
          <w:color w:val="000000" w:themeColor="text1"/>
          <w:sz w:val="24"/>
          <w:szCs w:val="24"/>
          <w:highlight w:val="none"/>
          <w:lang w:bidi="zh-CN"/>
          <w14:textFill>
            <w14:solidFill>
              <w14:schemeClr w14:val="tx1"/>
            </w14:solidFill>
          </w14:textFill>
        </w:rPr>
        <w:t xml:space="preserve">，属于</w:t>
      </w:r>
      <w:r>
        <w:rPr>
          <w:rFonts w:ascii="Times New Roman" w:hAnsi="Times New Roman"/>
          <w:color w:val="000000" w:themeColor="text1"/>
          <w:sz w:val="24"/>
          <w:szCs w:val="24"/>
          <w:highlight w:val="none"/>
          <w:u w:val="single"/>
          <w:lang w:bidi="zh-CN"/>
          <w14:textFill>
            <w14:solidFill>
              <w14:schemeClr w14:val="tx1"/>
            </w14:solidFill>
          </w14:textFill>
        </w:rPr>
        <w:t xml:space="preserve">（</w:t>
      </w:r>
      <w:r>
        <w:rPr>
          <w:rFonts w:hint="eastAsia" w:ascii="Times New Roman" w:hAnsi="Times New Roman"/>
          <w:color w:val="000000" w:themeColor="text1"/>
          <w:sz w:val="24"/>
          <w:szCs w:val="24"/>
          <w:highlight w:val="none"/>
          <w:u w:val="single"/>
          <w:lang w:bidi="zh-CN"/>
          <w14:textFill>
            <w14:solidFill>
              <w14:schemeClr w14:val="tx1"/>
            </w14:solidFill>
          </w14:textFill>
        </w:rPr>
        <w:t xml:space="preserve">其他未列明行业</w:t>
      </w:r>
      <w:r>
        <w:rPr>
          <w:rFonts w:ascii="Times New Roman" w:hAnsi="Times New Roman"/>
          <w:color w:val="000000" w:themeColor="text1"/>
          <w:sz w:val="24"/>
          <w:szCs w:val="24"/>
          <w:highlight w:val="none"/>
          <w:u w:val="single"/>
          <w:lang w:bidi="zh-CN"/>
          <w14:textFill>
            <w14:solidFill>
              <w14:schemeClr w14:val="tx1"/>
            </w14:solidFill>
          </w14:textFill>
        </w:rPr>
        <w:t xml:space="preserve">）</w:t>
      </w:r>
      <w:r>
        <w:rPr>
          <w:rFonts w:hint="eastAsia" w:ascii="宋体" w:hAnsi="宋体" w:eastAsia="宋体" w:cs="宋体"/>
          <w:color w:val="000000" w:themeColor="text1"/>
          <w:sz w:val="24"/>
          <w:szCs w:val="24"/>
          <w:highlight w:val="none"/>
          <w:lang w:bidi="zh-CN"/>
          <w14:textFill>
            <w14:solidFill>
              <w14:schemeClr w14:val="tx1"/>
            </w14:solidFill>
          </w14:textFill>
        </w:rPr>
        <w:t xml:space="preserve">；承建（承接）企业为</w:t>
      </w:r>
      <w:r>
        <w:rPr>
          <w:rFonts w:hint="eastAsia" w:ascii="宋体" w:hAnsi="宋体" w:eastAsia="宋体" w:cs="宋体"/>
          <w:color w:val="000000" w:themeColor="text1"/>
          <w:sz w:val="24"/>
          <w:szCs w:val="24"/>
          <w:highlight w:val="none"/>
          <w:u w:val="single"/>
          <w:lang w:bidi="zh-CN"/>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bidi="zh-CN"/>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lang w:bidi="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zh-CN"/>
          <w14:textFill>
            <w14:solidFill>
              <w14:schemeClr w14:val="tx1"/>
            </w14:solidFill>
          </w14:textFill>
        </w:rPr>
        <w:tab/>
      </w:r>
      <w:r>
        <w:rPr>
          <w:rFonts w:hint="eastAsia" w:ascii="宋体" w:hAnsi="宋体" w:eastAsia="宋体" w:cs="宋体"/>
          <w:color w:val="000000" w:themeColor="text1"/>
          <w:sz w:val="24"/>
          <w:szCs w:val="24"/>
          <w:highlight w:val="none"/>
          <w:lang w:bidi="zh-CN"/>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lang w:bidi="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zh-CN"/>
          <w14:textFill>
            <w14:solidFill>
              <w14:schemeClr w14:val="tx1"/>
            </w14:solidFill>
          </w14:textFill>
        </w:rPr>
        <w:tab/>
      </w:r>
      <w:r>
        <w:rPr>
          <w:rFonts w:hint="eastAsia" w:ascii="宋体" w:hAnsi="宋体" w:eastAsia="宋体" w:cs="宋体"/>
          <w:color w:val="000000" w:themeColor="text1"/>
          <w:sz w:val="24"/>
          <w:szCs w:val="24"/>
          <w:highlight w:val="none"/>
          <w:lang w:bidi="zh-CN"/>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lang w:bidi="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zh-CN"/>
          <w14:textFill>
            <w14:solidFill>
              <w14:schemeClr w14:val="tx1"/>
            </w14:solidFill>
          </w14:textFill>
        </w:rPr>
        <w:tab/>
      </w:r>
      <w:r>
        <w:rPr>
          <w:rFonts w:hint="eastAsia" w:ascii="宋体" w:hAnsi="宋体" w:eastAsia="宋体" w:cs="宋体"/>
          <w:color w:val="000000" w:themeColor="text1"/>
          <w:sz w:val="24"/>
          <w:szCs w:val="24"/>
          <w:highlight w:val="none"/>
          <w:lang w:bidi="zh-CN"/>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bidi="zh-CN"/>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lang w:bidi="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bidi="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bidi="zh-CN"/>
          <w14:textFill>
            <w14:solidFill>
              <w14:schemeClr w14:val="tx1"/>
            </w14:solidFill>
          </w14:textFill>
        </w:rPr>
        <w:t xml:space="preserve">本企业对上述声明内容的真实性负责。如有虚假，将依法承担相应责任。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bidi="zh-CN"/>
          <w14:textFill>
            <w14:solidFill>
              <w14:schemeClr w14:val="tx1"/>
            </w14:solidFill>
          </w14:textFill>
        </w:rPr>
        <w:t xml:space="preserve">注：1.如项目属性为“服务”，请按本表填写。</w:t>
      </w:r>
      <w:r/>
    </w:p>
    <w:p>
      <w:pPr>
        <w:ind w:firstLine="480"/>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bidi="zh-CN"/>
          <w14:textFill>
            <w14:solidFill>
              <w14:schemeClr w14:val="tx1"/>
            </w14:solidFill>
          </w14:textFill>
        </w:rPr>
        <w:t xml:space="preserve">2.</w:t>
      </w:r>
      <w:r>
        <w:rPr>
          <w:rFonts w:hint="eastAsia" w:ascii="宋体" w:hAnsi="宋体" w:eastAsia="宋体" w:cs="宋体"/>
          <w:color w:val="000000" w:themeColor="text1"/>
          <w:spacing w:val="-6"/>
          <w:sz w:val="24"/>
          <w:szCs w:val="24"/>
          <w:highlight w:val="none"/>
          <w:lang w:bidi="zh-CN"/>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bidi="zh-CN"/>
          <w14:textFill>
            <w14:solidFill>
              <w14:schemeClr w14:val="tx1"/>
            </w14:solidFill>
          </w14:textFill>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bidi="zh-CN"/>
          <w14:textFill>
            <w14:solidFill>
              <w14:schemeClr w14:val="tx1"/>
            </w14:solidFill>
          </w14:textFill>
        </w:rPr>
        <w:t xml:space="preserve">企业名称（盖章）：</w:t>
      </w:r>
      <w:r/>
    </w:p>
    <w:p>
      <w:pPr>
        <w:ind w:firstLine="420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bidi="zh-CN"/>
          <w14:textFill>
            <w14:solidFill>
              <w14:schemeClr w14:val="tx1"/>
            </w14:solidFill>
          </w14:textFill>
        </w:rPr>
        <w:t xml:space="preserve">日期：</w:t>
      </w:r>
      <w:r/>
    </w:p>
    <w:p>
      <w:pPr>
        <w:ind w:left="0" w:right="0" w:firstLine="560"/>
        <w:jc w:val="both"/>
        <w:spacing w:before="0" w:after="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14:textFill>
            <w14:solidFill>
              <w14:schemeClr w14:val="tx1"/>
            </w14:solidFill>
          </w14:textFill>
        </w:rPr>
        <w:t xml:space="preserve">《中小企业划型标准规定》（工信部联企业〔2011〕300号）</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1512"/>
        <w:gridCol w:w="805"/>
        <w:gridCol w:w="1897"/>
        <w:gridCol w:w="1660"/>
        <w:gridCol w:w="11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行业名称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指标名称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计量</w:t>
            </w:r>
            <w:r/>
          </w:p>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中型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小型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微型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其他未列明行业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24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X&lt;10</w:t>
            </w:r>
            <w:r/>
          </w:p>
        </w:tc>
      </w:tr>
    </w:tbl>
    <w:p>
      <w:pPr>
        <w:ind w:left="0" w:right="0" w:firstLine="0"/>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说明：大型、中型和小型企业须同时满足所列指标的下限，否则下划一档；微型企业只需满足所列指标中的一项即可。</w:t>
      </w:r>
      <w:r/>
    </w:p>
    <w:p>
      <w:pPr>
        <w:pStyle w:val="94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4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4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outlineLvl w:val="9"/>
      </w:pP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附件1</w:t>
      </w:r>
      <w:r>
        <w:rPr>
          <w:rFonts w:hint="eastAsia" w:ascii="宋体" w:hAnsi="宋体" w:cs="宋体"/>
          <w:color w:val="000000" w:themeColor="text1"/>
          <w:sz w:val="32"/>
          <w:szCs w:val="32"/>
          <w:highlight w:val="none"/>
          <w:lang w:val="en-US" w:eastAsia="zh-CN"/>
          <w14:textFill>
            <w14:solidFill>
              <w14:schemeClr w14:val="tx1"/>
            </w14:solidFill>
          </w14:textFill>
        </w:rPr>
        <w:t xml:space="preserve">0</w:t>
      </w:r>
      <w:r/>
    </w:p>
    <w:p>
      <w:pPr>
        <w:jc w:val="center"/>
        <w:rPr>
          <w:rFonts w:hint="eastAsia" w:ascii="宋体" w:hAnsi="宋体" w:eastAsia="宋体" w:cs="Times New Roman"/>
          <w:b/>
          <w:color w:val="000000" w:themeColor="text1"/>
          <w:sz w:val="30"/>
          <w:szCs w:val="30"/>
          <w:highlight w:val="none"/>
          <w14:textFill>
            <w14:solidFill>
              <w14:schemeClr w14:val="tx1"/>
            </w14:solidFill>
          </w14:textFill>
        </w:rPr>
      </w:pPr>
      <w:r>
        <w:rPr>
          <w:rFonts w:hint="eastAsia" w:ascii="宋体" w:hAnsi="宋体" w:eastAsia="宋体" w:cs="Times New Roman"/>
          <w:b/>
          <w:color w:val="000000" w:themeColor="text1"/>
          <w:sz w:val="30"/>
          <w:szCs w:val="30"/>
          <w:highlight w:val="none"/>
          <w:lang w:val="en-US" w:eastAsia="zh-CN"/>
          <w14:textFill>
            <w14:solidFill>
              <w14:schemeClr w14:val="tx1"/>
            </w14:solidFill>
          </w14:textFill>
        </w:rPr>
        <w:t xml:space="preserve">残疾人福利性单位声明函</w:t>
      </w:r>
      <w:r/>
    </w:p>
    <w:p>
      <w:pPr>
        <w:ind w:firstLine="560"/>
        <w:spacing w:line="588"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单位的项目编号为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bidi="zh-CN"/>
          <w14:textFill>
            <w14:solidFill>
              <w14:schemeClr w14:val="tx1"/>
            </w14:solidFill>
          </w14:textFill>
        </w:rPr>
        <w:t xml:space="preserve">注：1、供应商如不提供此声明函，价格将不做相应扣除。</w:t>
      </w:r>
      <w:r/>
    </w:p>
    <w:p>
      <w:pPr>
        <w:ind w:firstLine="480"/>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zh-CN"/>
          <w14:textFill>
            <w14:solidFill>
              <w14:schemeClr w14:val="tx1"/>
            </w14:solidFill>
          </w14:textFill>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0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p>
      <w:pPr>
        <w:ind w:right="1560" w:firstLine="504"/>
        <w:jc w:val="center"/>
        <w:spacing w:line="360" w:lineRule="auto"/>
        <w:tabs>
          <w:tab w:val="left" w:pos="48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供应商全称（盖章）：</w:t>
      </w:r>
      <w:r/>
    </w:p>
    <w:p>
      <w:pPr>
        <w:ind w:right="1560" w:firstLine="480"/>
        <w:jc w:val="center"/>
        <w:spacing w:line="360" w:lineRule="auto"/>
        <w:tabs>
          <w:tab w:val="left" w:pos="48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w:t>
      </w:r>
      <w:r/>
    </w:p>
    <w:p>
      <w:pPr>
        <w:ind w:firstLine="240"/>
        <w:jc w:val="center"/>
        <w:spacing w:line="56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outlineLvl w:val="9"/>
      </w:pPr>
      <w:r>
        <w:rPr>
          <w:rFonts w:hint="eastAsia" w:ascii="宋体" w:hAnsi="宋体" w:eastAsia="宋体" w:cs="宋体"/>
          <w:color w:val="000000" w:themeColor="text1"/>
          <w:sz w:val="32"/>
          <w:szCs w:val="32"/>
          <w:highlight w:val="none"/>
          <w14:textFill>
            <w14:solidFill>
              <w14:schemeClr w14:val="tx1"/>
            </w14:solidFill>
          </w14:textFill>
        </w:rPr>
      </w:r>
      <w:r/>
    </w:p>
    <w:p>
      <w:pPr>
        <w:pStyle w:val="939"/>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939"/>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939"/>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939"/>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939"/>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939"/>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outlineLvl w:val="9"/>
      </w:pP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附件1</w:t>
      </w:r>
      <w:r>
        <w:rPr>
          <w:rFonts w:hint="eastAsia" w:ascii="宋体" w:hAnsi="宋体" w:eastAsia="宋体" w:cs="Times New Roman"/>
          <w:b/>
          <w:color w:val="000000" w:themeColor="text1"/>
          <w:sz w:val="30"/>
          <w:szCs w:val="30"/>
          <w:highlight w:val="none"/>
          <w:lang w:val="en-US" w:eastAsia="zh-CN"/>
          <w14:textFill>
            <w14:solidFill>
              <w14:schemeClr w14:val="tx1"/>
            </w14:solidFill>
          </w14:textFill>
        </w:rPr>
        <w:t xml:space="preserve">1</w:t>
      </w:r>
      <w:r/>
    </w:p>
    <w:p>
      <w:pPr>
        <w:jc w:val="center"/>
        <w:rPr>
          <w:rFonts w:hint="eastAsia" w:ascii="宋体" w:hAnsi="宋体" w:eastAsia="宋体" w:cs="Times New Roman"/>
          <w:b/>
          <w:color w:val="000000" w:themeColor="text1"/>
          <w:sz w:val="30"/>
          <w:szCs w:val="30"/>
          <w:highlight w:val="none"/>
          <w14:textFill>
            <w14:solidFill>
              <w14:schemeClr w14:val="tx1"/>
            </w14:solidFill>
          </w14:textFill>
        </w:rPr>
      </w:pPr>
      <w:r>
        <w:rPr>
          <w:rFonts w:hint="eastAsia" w:ascii="宋体" w:hAnsi="宋体" w:eastAsia="宋体" w:cs="Times New Roman"/>
          <w:b/>
          <w:color w:val="000000" w:themeColor="text1"/>
          <w:sz w:val="30"/>
          <w:szCs w:val="30"/>
          <w:highlight w:val="none"/>
          <w:lang w:val="en-US" w:eastAsia="zh-CN"/>
          <w14:textFill>
            <w14:solidFill>
              <w14:schemeClr w14:val="tx1"/>
            </w14:solidFill>
          </w14:textFill>
        </w:rPr>
        <w:t xml:space="preserve">监狱和戒毒企业证明材料</w:t>
      </w:r>
      <w:r/>
    </w:p>
    <w:p>
      <w:pPr>
        <w:ind w:firstLine="495"/>
        <w:spacing w:line="42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26"/>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（格式自拟）</w:t>
      </w:r>
      <w:r/>
    </w:p>
    <w:p>
      <w:pPr>
        <w:ind w:firstLine="56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注：1、供应商如不提供此声明函，价格将不做相应扣除。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outlineLvl w:val="0"/>
      </w:pPr>
      <w:r>
        <w:rPr>
          <w:rFonts w:hint="eastAsia" w:ascii="宋体" w:hAnsi="宋体" w:eastAsia="宋体" w:cs="宋体"/>
          <w:color w:val="000000" w:themeColor="text1"/>
          <w:sz w:val="28"/>
          <w:szCs w:val="28"/>
          <w:highlight w:val="none"/>
          <w14:textFill>
            <w14:solidFill>
              <w14:schemeClr w14:val="tx1"/>
            </w14:solidFill>
          </w14:textFill>
        </w:rPr>
      </w:r>
      <w:r/>
    </w:p>
    <w:p>
      <w:pPr>
        <w:ind w:firstLine="360"/>
        <w:spacing w:line="560" w:lineRule="exac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Cs w:val="0"/>
          <w:color w:val="000000" w:themeColor="text1"/>
          <w:sz w:val="32"/>
          <w:szCs w:val="32"/>
          <w:highlight w:val="none"/>
          <w:lang w:val="zh-CN"/>
          <w14:textFill>
            <w14:solidFill>
              <w14:schemeClr w14:val="tx1"/>
            </w14:solidFill>
          </w14:textFill>
        </w:rPr>
        <w:t xml:space="preserve">附件1</w:t>
      </w:r>
      <w:r>
        <w:rPr>
          <w:rFonts w:hint="eastAsia" w:ascii="宋体" w:hAnsi="宋体" w:cs="宋体"/>
          <w:bCs w:val="0"/>
          <w:color w:val="000000" w:themeColor="text1"/>
          <w:sz w:val="32"/>
          <w:szCs w:val="32"/>
          <w:highlight w:val="none"/>
          <w:lang w:val="en-US" w:eastAsia="zh-CN"/>
          <w14:textFill>
            <w14:solidFill>
              <w14:schemeClr w14:val="tx1"/>
            </w14:solidFill>
          </w14:textFill>
        </w:rPr>
        <w:t xml:space="preserve">2</w:t>
      </w:r>
      <w:r/>
    </w:p>
    <w:p>
      <w:pPr>
        <w:jc w:val="center"/>
        <w:spacing w:line="640" w:lineRule="exact"/>
        <w:rPr>
          <w:rFonts w:hint="eastAsia" w:ascii="宋体" w:hAnsi="宋体" w:eastAsia="宋体" w:cs="宋体"/>
          <w:b w:val="0"/>
          <w:bCs w:val="0"/>
          <w:color w:val="000000" w:themeColor="text1"/>
          <w:sz w:val="40"/>
          <w:szCs w:val="40"/>
          <w:highlight w:val="none"/>
          <w14:textFill>
            <w14:solidFill>
              <w14:schemeClr w14:val="tx1"/>
            </w14:solidFill>
          </w14:textFill>
        </w:rPr>
        <w:outlineLvl w:val="1"/>
      </w:pPr>
      <w:r>
        <w:rPr>
          <w:rFonts w:hint="eastAsia" w:ascii="宋体" w:hAnsi="宋体" w:eastAsia="宋体" w:cs="宋体"/>
          <w:b w:val="0"/>
          <w:bCs w:val="0"/>
          <w:color w:val="000000" w:themeColor="text1"/>
          <w:sz w:val="40"/>
          <w:szCs w:val="40"/>
          <w:highlight w:val="none"/>
          <w14:textFill>
            <w14:solidFill>
              <w14:schemeClr w14:val="tx1"/>
            </w14:solidFill>
          </w14:textFill>
        </w:rPr>
        <w:t xml:space="preserve">质疑函范本</w:t>
      </w:r>
      <w:r/>
    </w:p>
    <w:p>
      <w:pPr>
        <w:spacing w:line="48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spacing w:line="48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一、质疑供应商基本信息</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质疑供应商：</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地址：</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邮编：</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联系人：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联系电话：</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授权代表：</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联系电话：</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地址</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邮编：</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二、质疑项目基本情况</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质疑项目的名称：</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质疑项目的编号：</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包号：</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采购人名称：</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采购文件获取日期：</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p>
    <w:p>
      <w:pPr>
        <w:spacing w:line="48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三、质疑事项具体内容</w:t>
      </w:r>
      <w:r/>
    </w:p>
    <w:p>
      <w:pPr>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质疑事项1：</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事实依据：</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法律依据：</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质疑事项2</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spacing w:line="48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请求：</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签字(签章)：                   公章：                      </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    </w:t>
      </w:r>
      <w:r/>
    </w:p>
    <w:p>
      <w:pPr>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质疑函制作说明：</w:t>
      </w:r>
      <w:r/>
    </w:p>
    <w:p>
      <w:pPr>
        <w:ind w:firstLine="48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bookmarkEnd w:id="174"/>
      <w:r/>
      <w:bookmarkEnd w:id="175"/>
      <w:r/>
      <w:bookmarkEnd w:id="183"/>
      <w:r/>
      <w:r/>
    </w:p>
    <w:p>
      <w:pPr>
        <w:contextualSpacing/>
        <w:spacing w:line="400" w:lineRule="exact"/>
        <w:rPr>
          <w:rFonts w:hint="eastAsia" w:ascii="宋体" w:hAnsi="宋体" w:eastAsia="宋体" w:cs="宋体"/>
          <w:b w:val="0"/>
          <w:color w:val="000000" w:themeColor="text1"/>
          <w:sz w:val="32"/>
          <w:szCs w:val="32"/>
          <w:highlight w:val="none"/>
          <w14:textFill>
            <w14:solidFill>
              <w14:schemeClr w14:val="tx1"/>
            </w14:solidFill>
          </w14:textFill>
        </w:rPr>
        <w:outlineLvl w:val="9"/>
      </w:pPr>
      <w:r>
        <w:rPr>
          <w:rFonts w:hint="eastAsia" w:ascii="宋体" w:hAnsi="宋体" w:eastAsia="宋体" w:cs="宋体"/>
          <w:color w:val="000000" w:themeColor="text1"/>
          <w:sz w:val="32"/>
          <w:szCs w:val="32"/>
          <w:highlight w:val="none"/>
          <w:lang w:val="zh-CN"/>
          <w14:textFill>
            <w14:solidFill>
              <w14:schemeClr w14:val="tx1"/>
            </w14:solidFill>
          </w14:textFill>
        </w:rPr>
        <w:br w:type="page" w:clear="all"/>
      </w: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附件1</w:t>
      </w:r>
      <w:r>
        <w:rPr>
          <w:rFonts w:hint="eastAsia" w:ascii="宋体" w:hAnsi="宋体" w:cs="宋体"/>
          <w:color w:val="000000" w:themeColor="text1"/>
          <w:sz w:val="32"/>
          <w:szCs w:val="32"/>
          <w:highlight w:val="none"/>
          <w:lang w:val="en-US" w:eastAsia="zh-CN"/>
          <w14:textFill>
            <w14:solidFill>
              <w14:schemeClr w14:val="tx1"/>
            </w14:solidFill>
          </w14:textFill>
        </w:rPr>
        <w:t xml:space="preserve">3</w:t>
      </w:r>
      <w:r/>
    </w:p>
    <w:p>
      <w:pPr>
        <w:ind w:firstLine="0"/>
        <w:jc w:val="center"/>
        <w:spacing w:line="640" w:lineRule="exact"/>
        <w:rPr>
          <w:rFonts w:hint="eastAsia" w:ascii="宋体" w:hAnsi="宋体" w:eastAsia="宋体" w:cs="宋体"/>
          <w:bCs w:val="0"/>
          <w:color w:val="000000" w:themeColor="text1"/>
          <w:sz w:val="40"/>
          <w:szCs w:val="40"/>
          <w:highlight w:val="none"/>
          <w14:textFill>
            <w14:solidFill>
              <w14:schemeClr w14:val="tx1"/>
            </w14:solidFill>
          </w14:textFill>
        </w:rPr>
        <w:outlineLvl w:val="1"/>
      </w:pPr>
      <w:r>
        <w:rPr>
          <w:rFonts w:hint="eastAsia" w:ascii="宋体" w:hAnsi="宋体" w:eastAsia="宋体" w:cs="宋体"/>
          <w:bCs w:val="0"/>
          <w:color w:val="000000" w:themeColor="text1"/>
          <w:sz w:val="40"/>
          <w:szCs w:val="40"/>
          <w:highlight w:val="none"/>
          <w14:textFill>
            <w14:solidFill>
              <w14:schemeClr w14:val="tx1"/>
            </w14:solidFill>
          </w14:textFill>
        </w:rPr>
        <w:t xml:space="preserve">南通市政府采购线上合同信用融资政策</w:t>
      </w:r>
      <w:r/>
    </w:p>
    <w:p>
      <w:pPr>
        <w:jc w:val="center"/>
        <w:spacing w:line="640" w:lineRule="exact"/>
        <w:rPr>
          <w:rFonts w:hint="eastAsia" w:ascii="宋体" w:hAnsi="宋体" w:eastAsia="宋体" w:cs="宋体"/>
          <w:bCs w:val="0"/>
          <w:color w:val="000000" w:themeColor="text1"/>
          <w:sz w:val="40"/>
          <w:szCs w:val="40"/>
          <w:highlight w:val="none"/>
          <w14:textFill>
            <w14:solidFill>
              <w14:schemeClr w14:val="tx1"/>
            </w14:solidFill>
          </w14:textFill>
        </w:rPr>
        <w:outlineLvl w:val="1"/>
      </w:pPr>
      <w:r>
        <w:rPr>
          <w:rFonts w:hint="eastAsia" w:ascii="宋体" w:hAnsi="宋体" w:eastAsia="宋体" w:cs="宋体"/>
          <w:bCs w:val="0"/>
          <w:color w:val="000000" w:themeColor="text1"/>
          <w:sz w:val="40"/>
          <w:szCs w:val="40"/>
          <w:highlight w:val="none"/>
          <w14:textFill>
            <w14:solidFill>
              <w14:schemeClr w14:val="tx1"/>
            </w14:solidFill>
          </w14:textFill>
        </w:rPr>
        <w:t xml:space="preserve">告知函</w:t>
      </w:r>
      <w:r/>
    </w:p>
    <w:p>
      <w:pPr>
        <w:jc w:val="center"/>
        <w:spacing w:line="580" w:lineRule="exact"/>
        <w:rPr>
          <w:rFonts w:hint="eastAsia" w:ascii="宋体" w:hAnsi="宋体" w:eastAsia="宋体" w:cs="宋体"/>
          <w:bCs/>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44"/>
          <w:szCs w:val="44"/>
          <w:highlight w:val="none"/>
          <w14:textFill>
            <w14:solidFill>
              <w14:schemeClr w14:val="tx1"/>
            </w14:solidFill>
          </w14:textFill>
        </w:rPr>
      </w:r>
      <w:r/>
    </w:p>
    <w:p>
      <w:pPr>
        <w:spacing w:line="5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各政府采购供应商：</w:t>
      </w:r>
      <w:r/>
    </w:p>
    <w:p>
      <w:pPr>
        <w:ind w:firstLine="560"/>
        <w:spacing w:line="5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欢迎贵公司参与南通市政府采购活动！</w:t>
      </w:r>
      <w:r/>
    </w:p>
    <w:p>
      <w:pPr>
        <w:ind w:firstLine="560"/>
        <w:spacing w:line="5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p>
    <w:p>
      <w:pPr>
        <w:ind w:firstLine="560"/>
        <w:spacing w:line="5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提供贷款的金融机构，可在江苏省政府采购网-“政采贷”模块查询联系。</w:t>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contextualSpacing/>
        <w:spacing w:line="400" w:lineRule="exact"/>
        <w:rPr>
          <w:rFonts w:hint="eastAsia" w:ascii="宋体" w:hAnsi="宋体" w:eastAsia="宋体" w:cs="宋体"/>
          <w:color w:val="000000" w:themeColor="text1"/>
          <w:sz w:val="32"/>
          <w:szCs w:val="32"/>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32"/>
          <w:szCs w:val="32"/>
          <w:highlight w:val="none"/>
          <w:lang w:val="zh-CN"/>
          <w14:textFill>
            <w14:solidFill>
              <w14:schemeClr w14:val="tx1"/>
            </w14:solidFill>
          </w14:textFill>
        </w:rPr>
        <w:t xml:space="preserve">附件1</w:t>
      </w:r>
      <w:r>
        <w:rPr>
          <w:rFonts w:hint="eastAsia" w:ascii="宋体" w:hAnsi="宋体" w:cs="宋体"/>
          <w:color w:val="000000" w:themeColor="text1"/>
          <w:sz w:val="32"/>
          <w:szCs w:val="32"/>
          <w:highlight w:val="none"/>
          <w:lang w:val="en-US" w:eastAsia="zh-CN"/>
          <w14:textFill>
            <w14:solidFill>
              <w14:schemeClr w14:val="tx1"/>
            </w14:solidFill>
          </w14:textFill>
        </w:rPr>
        <w:t xml:space="preserve">4</w:t>
      </w:r>
      <w:r/>
    </w:p>
    <w:p>
      <w:pPr>
        <w:jc w:val="center"/>
        <w:spacing w:line="640" w:lineRule="exact"/>
        <w:rPr>
          <w:rFonts w:hint="eastAsia" w:ascii="宋体" w:hAnsi="宋体" w:eastAsia="宋体" w:cs="宋体"/>
          <w:bCs w:val="0"/>
          <w:color w:val="000000" w:themeColor="text1"/>
          <w:sz w:val="40"/>
          <w:szCs w:val="40"/>
          <w:highlight w:val="none"/>
          <w14:textFill>
            <w14:solidFill>
              <w14:schemeClr w14:val="tx1"/>
            </w14:solidFill>
          </w14:textFill>
        </w:rPr>
        <w:outlineLvl w:val="1"/>
      </w:pPr>
      <w:r>
        <w:rPr>
          <w:rFonts w:hint="eastAsia" w:ascii="宋体" w:hAnsi="宋体" w:eastAsia="宋体" w:cs="宋体"/>
          <w:bCs w:val="0"/>
          <w:color w:val="000000" w:themeColor="text1"/>
          <w:sz w:val="40"/>
          <w:szCs w:val="40"/>
          <w:highlight w:val="none"/>
          <w14:textFill>
            <w14:solidFill>
              <w14:schemeClr w14:val="tx1"/>
            </w14:solidFill>
          </w14:textFill>
        </w:rPr>
        <w:t xml:space="preserve">南通市政府采购履约保证保险政策</w:t>
      </w:r>
      <w:r/>
    </w:p>
    <w:p>
      <w:pPr>
        <w:jc w:val="center"/>
        <w:spacing w:line="640" w:lineRule="exact"/>
        <w:rPr>
          <w:rFonts w:hint="eastAsia" w:ascii="宋体" w:hAnsi="宋体" w:eastAsia="宋体" w:cs="宋体"/>
          <w:bCs w:val="0"/>
          <w:color w:val="000000" w:themeColor="text1"/>
          <w:sz w:val="40"/>
          <w:szCs w:val="40"/>
          <w:highlight w:val="none"/>
          <w14:textFill>
            <w14:solidFill>
              <w14:schemeClr w14:val="tx1"/>
            </w14:solidFill>
          </w14:textFill>
        </w:rPr>
        <w:outlineLvl w:val="1"/>
      </w:pPr>
      <w:r>
        <w:rPr>
          <w:rFonts w:hint="eastAsia" w:ascii="宋体" w:hAnsi="宋体" w:eastAsia="宋体" w:cs="宋体"/>
          <w:bCs w:val="0"/>
          <w:color w:val="000000" w:themeColor="text1"/>
          <w:sz w:val="40"/>
          <w:szCs w:val="40"/>
          <w:highlight w:val="none"/>
          <w14:textFill>
            <w14:solidFill>
              <w14:schemeClr w14:val="tx1"/>
            </w14:solidFill>
          </w14:textFill>
        </w:rPr>
        <w:t xml:space="preserve">告知函</w:t>
      </w:r>
      <w:r/>
    </w:p>
    <w:p>
      <w:pPr>
        <w:ind w:firstLine="624"/>
        <w:jc w:val="center"/>
        <w:spacing w:line="580" w:lineRule="exact"/>
        <w:rPr>
          <w:rFonts w:hint="eastAsia" w:ascii="宋体" w:hAnsi="宋体" w:eastAsia="宋体" w:cs="宋体"/>
          <w:bCs/>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44"/>
          <w:szCs w:val="44"/>
          <w:highlight w:val="none"/>
          <w14:textFill>
            <w14:solidFill>
              <w14:schemeClr w14:val="tx1"/>
            </w14:solidFill>
          </w14:textFill>
        </w:rPr>
      </w:r>
      <w:r/>
    </w:p>
    <w:p>
      <w:pPr>
        <w:spacing w:line="5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各政府采购供应商：</w:t>
      </w:r>
      <w:r/>
    </w:p>
    <w:p>
      <w:pPr>
        <w:ind w:firstLine="560"/>
        <w:spacing w:line="5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欢迎贵公司参与南通市政府采购活动！</w:t>
      </w:r>
      <w:r/>
    </w:p>
    <w:p>
      <w:pPr>
        <w:ind w:firstLine="560"/>
        <w:spacing w:line="5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560"/>
        <w:spacing w:line="54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贵公司若成为本次政府采购项目的中标（成交）供应商，可自愿选择履约保证保险形式替代履约保证金。集中采购项目可线下自主选择或在南通市公共资源交易金融服务平台（http://ggzyjy.nantong.gov.cn/NTdzbhweb/supermarket/）“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jc w:val="center"/>
        <w:spacing w:line="560" w:lineRule="exact"/>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r>
      <w:r/>
    </w:p>
    <w:p>
      <w:pPr>
        <w:pStyle w:val="930"/>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r>
      <w:r/>
    </w:p>
    <w:p>
      <w:pPr>
        <w:pStyle w:val="930"/>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r>
      <w:r/>
    </w:p>
    <w:p>
      <w:pPr>
        <w:pStyle w:val="930"/>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r>
      <w:r/>
    </w:p>
    <w:p>
      <w:pPr>
        <w:pStyle w:val="930"/>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r>
      <w:r/>
    </w:p>
    <w:p>
      <w:pPr>
        <w:pStyle w:val="930"/>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r>
      <w:r/>
    </w:p>
    <w:p>
      <w:pPr>
        <w:pStyle w:val="930"/>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headerReference w:type="default" r:id="rId10"/>
      <w:footerReference w:type="default" r:id="rId13"/>
      <w:footnotePr/>
      <w:endnotePr/>
      <w:type w:val="nextPage"/>
      <w:pgSz w:w="11906" w:h="16838" w:orient="portrait"/>
      <w:pgMar w:top="1587" w:right="1588" w:bottom="1587" w:left="158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等线">
    <w:panose1 w:val="02010600030101010101"/>
  </w:font>
  <w:font w:name="Wingdings">
    <w:panose1 w:val="05000000000000000000"/>
  </w:font>
  <w:font w:name="华文楷体">
    <w:panose1 w:val="02010600040101010101"/>
  </w:font>
  <w:font w:name="楷体_GB2312">
    <w:panose1 w:val="02010609060101010101"/>
  </w:font>
  <w:font w:name="Cambria">
    <w:panose1 w:val="02040503050406030204"/>
  </w:font>
  <w:font w:name="Courier New">
    <w:panose1 w:val="02070309020205020404"/>
  </w:font>
  <w:font w:name="仿宋_GB2312">
    <w:panose1 w:val="02010609060101010101"/>
  </w:font>
  <w:font w:name="黑体">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next w:val="753"/>
    <w:link w:val="951"/>
    <w:uiPriority w:val="0"/>
    <w:qFormat/>
    <w:pPr>
      <w:jc w:val="both"/>
      <w:widowControl w:val="off"/>
    </w:pPr>
    <w:rPr>
      <w:rFonts w:hint="default" w:ascii="Calibri" w:hAnsi="Calibri" w:eastAsia="宋体" w:cs="Times New Roman"/>
      <w:sz w:val="21"/>
      <w:szCs w:val="22"/>
      <w:lang w:val="en-US" w:eastAsia="zh-CN" w:bidi="ar-SA"/>
    </w:rPr>
  </w:style>
  <w:style w:type="paragraph" w:styleId="742">
    <w:name w:val="Heading 1"/>
    <w:basedOn w:val="741"/>
    <w:next w:val="741"/>
    <w:link w:val="776"/>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77"/>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778"/>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779"/>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80"/>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81"/>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783"/>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784"/>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customStyle="1">
    <w:name w:val="正文文本1"/>
    <w:basedOn w:val="741"/>
    <w:uiPriority w:val="0"/>
    <w:semiHidden/>
    <w:qFormat/>
    <w:rPr>
      <w:rFonts w:ascii="Arial" w:hAnsi="Arial" w:eastAsia="Arial" w:cs="Arial"/>
      <w:sz w:val="21"/>
      <w:szCs w:val="21"/>
      <w:lang w:val="en-US" w:eastAsia="en-US" w:bidi="ar-SA"/>
    </w:rPr>
  </w:style>
  <w:style w:type="paragraph" w:styleId="754">
    <w:name w:val="toc 7"/>
    <w:basedOn w:val="741"/>
    <w:next w:val="741"/>
    <w:uiPriority w:val="39"/>
    <w:unhideWhenUsed/>
    <w:qFormat/>
    <w:pPr>
      <w:ind w:left="1701" w:right="0" w:firstLine="0"/>
      <w:spacing w:after="57"/>
    </w:pPr>
  </w:style>
  <w:style w:type="paragraph" w:styleId="755">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toc 5"/>
    <w:basedOn w:val="741"/>
    <w:next w:val="741"/>
    <w:uiPriority w:val="39"/>
    <w:unhideWhenUsed/>
    <w:qFormat/>
    <w:pPr>
      <w:ind w:left="1134" w:right="0" w:firstLine="0"/>
      <w:spacing w:after="57"/>
    </w:pPr>
  </w:style>
  <w:style w:type="paragraph" w:styleId="757">
    <w:name w:val="toc 3"/>
    <w:basedOn w:val="741"/>
    <w:next w:val="741"/>
    <w:uiPriority w:val="39"/>
    <w:unhideWhenUsed/>
    <w:qFormat/>
    <w:pPr>
      <w:ind w:left="567" w:right="0" w:firstLine="0"/>
      <w:spacing w:after="57"/>
    </w:pPr>
  </w:style>
  <w:style w:type="paragraph" w:styleId="758">
    <w:name w:val="toc 8"/>
    <w:basedOn w:val="741"/>
    <w:next w:val="741"/>
    <w:uiPriority w:val="39"/>
    <w:unhideWhenUsed/>
    <w:qFormat/>
    <w:pPr>
      <w:ind w:left="1984" w:right="0" w:firstLine="0"/>
      <w:spacing w:after="57"/>
    </w:pPr>
  </w:style>
  <w:style w:type="paragraph" w:styleId="759">
    <w:name w:val="endnote text"/>
    <w:basedOn w:val="741"/>
    <w:link w:val="922"/>
    <w:uiPriority w:val="99"/>
    <w:semiHidden/>
    <w:unhideWhenUsed/>
    <w:qFormat/>
    <w:pPr>
      <w:spacing w:after="0" w:line="240" w:lineRule="auto"/>
    </w:pPr>
    <w:rPr>
      <w:sz w:val="20"/>
    </w:rPr>
  </w:style>
  <w:style w:type="paragraph" w:styleId="760">
    <w:name w:val="Footer"/>
    <w:basedOn w:val="741"/>
    <w:link w:val="795"/>
    <w:uiPriority w:val="99"/>
    <w:unhideWhenUsed/>
    <w:qFormat/>
    <w:pPr>
      <w:spacing w:after="0" w:line="240" w:lineRule="auto"/>
      <w:tabs>
        <w:tab w:val="center" w:pos="7143" w:leader="none"/>
        <w:tab w:val="right" w:pos="14287" w:leader="none"/>
      </w:tabs>
    </w:pPr>
  </w:style>
  <w:style w:type="paragraph" w:styleId="761">
    <w:name w:val="Header"/>
    <w:basedOn w:val="741"/>
    <w:link w:val="793"/>
    <w:uiPriority w:val="99"/>
    <w:unhideWhenUsed/>
    <w:qFormat/>
    <w:pPr>
      <w:spacing w:after="0" w:line="240" w:lineRule="auto"/>
      <w:tabs>
        <w:tab w:val="center" w:pos="7143" w:leader="none"/>
        <w:tab w:val="right" w:pos="14287" w:leader="none"/>
      </w:tabs>
    </w:pPr>
  </w:style>
  <w:style w:type="paragraph" w:styleId="762">
    <w:name w:val="toc 1"/>
    <w:basedOn w:val="741"/>
    <w:next w:val="741"/>
    <w:uiPriority w:val="39"/>
    <w:unhideWhenUsed/>
    <w:qFormat/>
    <w:pPr>
      <w:ind w:left="0" w:right="0" w:firstLine="0"/>
      <w:spacing w:after="57"/>
    </w:pPr>
  </w:style>
  <w:style w:type="paragraph" w:styleId="763">
    <w:name w:val="toc 4"/>
    <w:basedOn w:val="741"/>
    <w:next w:val="741"/>
    <w:uiPriority w:val="39"/>
    <w:unhideWhenUsed/>
    <w:qFormat/>
    <w:pPr>
      <w:ind w:left="850" w:right="0" w:firstLine="0"/>
      <w:spacing w:after="57"/>
    </w:pPr>
  </w:style>
  <w:style w:type="paragraph" w:styleId="764">
    <w:name w:val="Subtitle"/>
    <w:basedOn w:val="741"/>
    <w:next w:val="741"/>
    <w:link w:val="788"/>
    <w:uiPriority w:val="11"/>
    <w:qFormat/>
    <w:pPr>
      <w:spacing w:before="200" w:after="200"/>
    </w:pPr>
    <w:rPr>
      <w:sz w:val="24"/>
      <w:szCs w:val="24"/>
    </w:rPr>
  </w:style>
  <w:style w:type="paragraph" w:styleId="765">
    <w:name w:val="footnote text"/>
    <w:basedOn w:val="741"/>
    <w:link w:val="921"/>
    <w:uiPriority w:val="99"/>
    <w:semiHidden/>
    <w:unhideWhenUsed/>
    <w:pPr>
      <w:spacing w:after="40" w:line="240" w:lineRule="auto"/>
    </w:pPr>
    <w:rPr>
      <w:sz w:val="18"/>
    </w:rPr>
  </w:style>
  <w:style w:type="paragraph" w:styleId="766">
    <w:name w:val="toc 6"/>
    <w:basedOn w:val="741"/>
    <w:next w:val="741"/>
    <w:uiPriority w:val="39"/>
    <w:unhideWhenUsed/>
    <w:qFormat/>
    <w:pPr>
      <w:ind w:left="1417" w:right="0" w:firstLine="0"/>
      <w:spacing w:after="57"/>
    </w:pPr>
  </w:style>
  <w:style w:type="paragraph" w:styleId="767">
    <w:name w:val="table of figures"/>
    <w:basedOn w:val="741"/>
    <w:next w:val="741"/>
    <w:uiPriority w:val="99"/>
    <w:unhideWhenUsed/>
    <w:qFormat/>
    <w:pPr>
      <w:spacing w:after="0" w:afterAutospacing="0"/>
    </w:pPr>
  </w:style>
  <w:style w:type="paragraph" w:styleId="768">
    <w:name w:val="toc 2"/>
    <w:basedOn w:val="741"/>
    <w:next w:val="741"/>
    <w:uiPriority w:val="39"/>
    <w:unhideWhenUsed/>
    <w:qFormat/>
    <w:pPr>
      <w:ind w:left="283" w:right="0" w:firstLine="0"/>
      <w:spacing w:after="57"/>
    </w:pPr>
  </w:style>
  <w:style w:type="paragraph" w:styleId="769">
    <w:name w:val="toc 9"/>
    <w:basedOn w:val="741"/>
    <w:next w:val="741"/>
    <w:uiPriority w:val="39"/>
    <w:unhideWhenUsed/>
    <w:qFormat/>
    <w:pPr>
      <w:ind w:left="2268" w:right="0" w:firstLine="0"/>
      <w:spacing w:after="57"/>
    </w:pPr>
  </w:style>
  <w:style w:type="paragraph" w:styleId="770">
    <w:name w:val="Title"/>
    <w:basedOn w:val="741"/>
    <w:next w:val="741"/>
    <w:link w:val="787"/>
    <w:uiPriority w:val="10"/>
    <w:qFormat/>
    <w:pPr>
      <w:contextualSpacing/>
      <w:spacing w:before="300" w:after="200"/>
    </w:pPr>
    <w:rPr>
      <w:sz w:val="48"/>
      <w:szCs w:val="48"/>
    </w:rPr>
  </w:style>
  <w:style w:type="table" w:styleId="7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51"/>
    <w:uiPriority w:val="22"/>
    <w:qFormat/>
    <w:rPr>
      <w:b/>
    </w:rPr>
  </w:style>
  <w:style w:type="character" w:styleId="773">
    <w:name w:val="endnote reference"/>
    <w:uiPriority w:val="99"/>
    <w:semiHidden/>
    <w:unhideWhenUsed/>
    <w:qFormat/>
    <w:rPr>
      <w:vertAlign w:val="superscript"/>
    </w:rPr>
  </w:style>
  <w:style w:type="character" w:styleId="774">
    <w:name w:val="Hyperlink"/>
    <w:uiPriority w:val="99"/>
    <w:unhideWhenUsed/>
    <w:rPr>
      <w:color w:val="0000ff" w:themeColor="hyperlink"/>
      <w:u w:val="single"/>
      <w14:textFill>
        <w14:solidFill>
          <w14:schemeClr w14:val="hlink"/>
        </w14:solidFill>
      </w14:textFill>
    </w:rPr>
  </w:style>
  <w:style w:type="character" w:styleId="775">
    <w:name w:val="footnote reference"/>
    <w:uiPriority w:val="99"/>
    <w:unhideWhenUsed/>
    <w:qFormat/>
    <w:rPr>
      <w:vertAlign w:val="superscript"/>
    </w:rPr>
  </w:style>
  <w:style w:type="character" w:styleId="776" w:customStyle="1">
    <w:name w:val="Heading 1 Char"/>
    <w:link w:val="742"/>
    <w:uiPriority w:val="9"/>
    <w:qFormat/>
    <w:rPr>
      <w:rFonts w:ascii="Arial" w:hAnsi="Arial" w:eastAsia="Arial" w:cs="Arial"/>
      <w:sz w:val="40"/>
      <w:szCs w:val="40"/>
    </w:rPr>
  </w:style>
  <w:style w:type="character" w:styleId="777" w:customStyle="1">
    <w:name w:val="Heading 2 Char"/>
    <w:link w:val="743"/>
    <w:uiPriority w:val="9"/>
    <w:qFormat/>
    <w:rPr>
      <w:rFonts w:ascii="Arial" w:hAnsi="Arial" w:eastAsia="Arial" w:cs="Arial"/>
      <w:sz w:val="34"/>
    </w:rPr>
  </w:style>
  <w:style w:type="character" w:styleId="778" w:customStyle="1">
    <w:name w:val="Heading 3 Char"/>
    <w:link w:val="744"/>
    <w:uiPriority w:val="9"/>
    <w:rPr>
      <w:rFonts w:ascii="Arial" w:hAnsi="Arial" w:eastAsia="Arial" w:cs="Arial"/>
      <w:sz w:val="30"/>
      <w:szCs w:val="30"/>
    </w:rPr>
  </w:style>
  <w:style w:type="character" w:styleId="779" w:customStyle="1">
    <w:name w:val="Heading 4 Char"/>
    <w:link w:val="745"/>
    <w:uiPriority w:val="9"/>
    <w:rPr>
      <w:rFonts w:ascii="Arial" w:hAnsi="Arial" w:eastAsia="Arial" w:cs="Arial"/>
      <w:b/>
      <w:bCs/>
      <w:sz w:val="26"/>
      <w:szCs w:val="26"/>
    </w:rPr>
  </w:style>
  <w:style w:type="character" w:styleId="780" w:customStyle="1">
    <w:name w:val="Heading 5 Char"/>
    <w:link w:val="746"/>
    <w:uiPriority w:val="9"/>
    <w:qFormat/>
    <w:rPr>
      <w:rFonts w:ascii="Arial" w:hAnsi="Arial" w:eastAsia="Arial" w:cs="Arial"/>
      <w:b/>
      <w:bCs/>
      <w:sz w:val="24"/>
      <w:szCs w:val="24"/>
    </w:rPr>
  </w:style>
  <w:style w:type="character" w:styleId="781" w:customStyle="1">
    <w:name w:val="Heading 6 Char"/>
    <w:link w:val="747"/>
    <w:uiPriority w:val="9"/>
    <w:rPr>
      <w:rFonts w:ascii="Arial" w:hAnsi="Arial" w:eastAsia="Arial" w:cs="Arial"/>
      <w:b/>
      <w:bCs/>
      <w:sz w:val="22"/>
      <w:szCs w:val="22"/>
    </w:rPr>
  </w:style>
  <w:style w:type="character" w:styleId="782" w:customStyle="1">
    <w:name w:val="Heading 7 Char"/>
    <w:link w:val="748"/>
    <w:uiPriority w:val="9"/>
    <w:rPr>
      <w:rFonts w:ascii="Arial" w:hAnsi="Arial" w:eastAsia="Arial" w:cs="Arial"/>
      <w:b/>
      <w:bCs/>
      <w:i/>
      <w:iCs/>
      <w:sz w:val="22"/>
      <w:szCs w:val="22"/>
    </w:rPr>
  </w:style>
  <w:style w:type="character" w:styleId="783" w:customStyle="1">
    <w:name w:val="Heading 8 Char"/>
    <w:link w:val="749"/>
    <w:uiPriority w:val="9"/>
    <w:qFormat/>
    <w:rPr>
      <w:rFonts w:ascii="Arial" w:hAnsi="Arial" w:eastAsia="Arial" w:cs="Arial"/>
      <w:i/>
      <w:iCs/>
      <w:sz w:val="22"/>
      <w:szCs w:val="22"/>
    </w:rPr>
  </w:style>
  <w:style w:type="character" w:styleId="784" w:customStyle="1">
    <w:name w:val="Heading 9 Char"/>
    <w:link w:val="750"/>
    <w:uiPriority w:val="9"/>
    <w:qFormat/>
    <w:rPr>
      <w:rFonts w:ascii="Arial" w:hAnsi="Arial" w:eastAsia="Arial" w:cs="Arial"/>
      <w:i/>
      <w:iCs/>
      <w:sz w:val="21"/>
      <w:szCs w:val="21"/>
    </w:rPr>
  </w:style>
  <w:style w:type="paragraph" w:styleId="785">
    <w:name w:val="List Paragraph"/>
    <w:basedOn w:val="741"/>
    <w:uiPriority w:val="34"/>
    <w:qFormat/>
    <w:pPr>
      <w:contextualSpacing/>
      <w:ind w:left="720"/>
    </w:pPr>
  </w:style>
  <w:style w:type="paragraph" w:styleId="786">
    <w:name w:val="No Spacing"/>
    <w:uiPriority w:val="1"/>
    <w:qFormat/>
    <w:pPr>
      <w:spacing w:before="0" w:after="0" w:line="240" w:lineRule="auto"/>
    </w:pPr>
    <w:rPr>
      <w:rFonts w:hint="default" w:ascii="Times New Roman" w:hAnsi="Times New Roman" w:eastAsia="宋体" w:cs="Times New Roman"/>
    </w:rPr>
  </w:style>
  <w:style w:type="character" w:styleId="787" w:customStyle="1">
    <w:name w:val="Title Char"/>
    <w:link w:val="770"/>
    <w:uiPriority w:val="10"/>
    <w:rPr>
      <w:sz w:val="48"/>
      <w:szCs w:val="48"/>
    </w:rPr>
  </w:style>
  <w:style w:type="character" w:styleId="788" w:customStyle="1">
    <w:name w:val="Subtitle Char"/>
    <w:link w:val="764"/>
    <w:uiPriority w:val="11"/>
    <w:qFormat/>
    <w:rPr>
      <w:sz w:val="24"/>
      <w:szCs w:val="24"/>
    </w:rPr>
  </w:style>
  <w:style w:type="paragraph" w:styleId="789">
    <w:name w:val="Quote"/>
    <w:basedOn w:val="741"/>
    <w:next w:val="741"/>
    <w:link w:val="790"/>
    <w:uiPriority w:val="29"/>
    <w:qFormat/>
    <w:pPr>
      <w:ind w:left="720" w:right="720"/>
    </w:pPr>
    <w:rPr>
      <w:i/>
    </w:rPr>
  </w:style>
  <w:style w:type="character" w:styleId="790" w:customStyle="1">
    <w:name w:val="Quote Char"/>
    <w:link w:val="789"/>
    <w:uiPriority w:val="29"/>
    <w:rPr>
      <w:i/>
    </w:rPr>
  </w:style>
  <w:style w:type="paragraph" w:styleId="791">
    <w:name w:val="Intense Quote"/>
    <w:basedOn w:val="741"/>
    <w:next w:val="741"/>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Intense Quote Char"/>
    <w:link w:val="791"/>
    <w:uiPriority w:val="30"/>
    <w:qFormat/>
    <w:rPr>
      <w:i/>
    </w:rPr>
  </w:style>
  <w:style w:type="character" w:styleId="793" w:customStyle="1">
    <w:name w:val="Header Char"/>
    <w:link w:val="761"/>
    <w:uiPriority w:val="99"/>
    <w:qFormat/>
  </w:style>
  <w:style w:type="character" w:styleId="794" w:customStyle="1">
    <w:name w:val="Footer Char"/>
    <w:link w:val="760"/>
    <w:uiPriority w:val="99"/>
  </w:style>
  <w:style w:type="character" w:styleId="795" w:customStyle="1">
    <w:name w:val="Caption Char"/>
    <w:link w:val="760"/>
    <w:uiPriority w:val="99"/>
    <w:qFormat/>
  </w:style>
  <w:style w:type="table" w:styleId="79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9"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1"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8"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9"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2"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3"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7"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Footnote Text Char"/>
    <w:link w:val="765"/>
    <w:uiPriority w:val="99"/>
    <w:rPr>
      <w:sz w:val="18"/>
    </w:rPr>
  </w:style>
  <w:style w:type="character" w:styleId="922" w:customStyle="1">
    <w:name w:val="Endnote Text Char"/>
    <w:link w:val="759"/>
    <w:uiPriority w:val="99"/>
    <w:qFormat/>
    <w:rPr>
      <w:sz w:val="20"/>
    </w:rPr>
  </w:style>
  <w:style w:type="paragraph" w:styleId="923" w:customStyle="1">
    <w:name w:val="TOC Heading"/>
    <w:uiPriority w:val="39"/>
    <w:unhideWhenUsed/>
    <w:qFormat/>
    <w:rPr>
      <w:rFonts w:hint="default" w:ascii="Times New Roman" w:hAnsi="Times New Roman" w:eastAsia="宋体" w:cs="Times New Roman"/>
    </w:rPr>
  </w:style>
  <w:style w:type="paragraph" w:styleId="924" w:customStyle="1">
    <w:name w:val="标题 41"/>
    <w:basedOn w:val="741"/>
    <w:next w:val="741"/>
    <w:uiPriority w:val="0"/>
    <w:qFormat/>
    <w:pPr>
      <w:keepLines/>
      <w:keepNext/>
      <w:spacing w:before="280" w:after="290" w:line="376" w:lineRule="auto"/>
      <w:outlineLvl w:val="3"/>
    </w:pPr>
    <w:rPr>
      <w:rFonts w:ascii="Arial" w:hAnsi="Arial" w:eastAsia="黑体"/>
      <w:b/>
      <w:bCs/>
      <w:sz w:val="28"/>
      <w:szCs w:val="28"/>
    </w:rPr>
  </w:style>
  <w:style w:type="character" w:styleId="925" w:customStyle="1">
    <w:name w:val="默认段落字体11"/>
    <w:link w:val="741"/>
    <w:uiPriority w:val="0"/>
    <w:semiHidden/>
    <w:qFormat/>
  </w:style>
  <w:style w:type="table" w:styleId="926" w:customStyle="1">
    <w:name w:val="普通表格1"/>
    <w:uiPriority w:val="0"/>
    <w:semiHidden/>
    <w:qFormat/>
    <w:tblPr/>
  </w:style>
  <w:style w:type="paragraph" w:styleId="927" w:customStyle="1">
    <w:name w:val="正文缩进1"/>
    <w:basedOn w:val="741"/>
    <w:uiPriority w:val="99"/>
    <w:unhideWhenUsed/>
    <w:qFormat/>
    <w:pPr>
      <w:ind w:firstLine="420"/>
    </w:pPr>
  </w:style>
  <w:style w:type="paragraph" w:styleId="928" w:customStyle="1">
    <w:name w:val="索引 51"/>
    <w:basedOn w:val="741"/>
    <w:next w:val="741"/>
    <w:uiPriority w:val="0"/>
    <w:qFormat/>
    <w:pPr>
      <w:ind w:left="800"/>
    </w:pPr>
  </w:style>
  <w:style w:type="paragraph" w:styleId="929" w:customStyle="1">
    <w:name w:val="批注文字1"/>
    <w:basedOn w:val="741"/>
    <w:uiPriority w:val="0"/>
    <w:qFormat/>
    <w:pPr>
      <w:jc w:val="left"/>
    </w:pPr>
  </w:style>
  <w:style w:type="paragraph" w:styleId="930" w:customStyle="1">
    <w:name w:val="纯文本1"/>
    <w:basedOn w:val="741"/>
    <w:uiPriority w:val="99"/>
    <w:unhideWhenUsed/>
    <w:qFormat/>
    <w:rPr>
      <w:rFonts w:ascii="宋体" w:hAnsi="Courier New" w:eastAsia="宋体"/>
    </w:rPr>
  </w:style>
  <w:style w:type="paragraph" w:styleId="931" w:customStyle="1">
    <w:name w:val="页脚11"/>
    <w:basedOn w:val="741"/>
    <w:uiPriority w:val="99"/>
    <w:qFormat/>
    <w:pPr>
      <w:jc w:val="left"/>
      <w:tabs>
        <w:tab w:val="center" w:pos="4153" w:leader="none"/>
        <w:tab w:val="right" w:pos="8306" w:leader="none"/>
      </w:tabs>
    </w:pPr>
    <w:rPr>
      <w:rFonts w:ascii="Times New Roman" w:hAnsi="Times New Roman"/>
      <w:sz w:val="18"/>
      <w:szCs w:val="18"/>
    </w:rPr>
  </w:style>
  <w:style w:type="paragraph" w:styleId="932" w:customStyle="1">
    <w:name w:val="页眉11"/>
    <w:basedOn w:val="74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33" w:customStyle="1">
    <w:name w:val="脚注文本1"/>
    <w:basedOn w:val="741"/>
    <w:next w:val="928"/>
    <w:uiPriority w:val="99"/>
    <w:unhideWhenUsed/>
    <w:qFormat/>
    <w:pPr>
      <w:jc w:val="left"/>
    </w:pPr>
    <w:rPr>
      <w:sz w:val="18"/>
      <w:szCs w:val="18"/>
    </w:rPr>
  </w:style>
  <w:style w:type="paragraph" w:styleId="934" w:customStyle="1">
    <w:name w:val="目录 21"/>
    <w:basedOn w:val="741"/>
    <w:next w:val="741"/>
    <w:uiPriority w:val="39"/>
    <w:unhideWhenUsed/>
    <w:qFormat/>
    <w:pPr>
      <w:ind w:firstLine="480"/>
      <w:spacing w:line="336" w:lineRule="auto"/>
    </w:pPr>
  </w:style>
  <w:style w:type="paragraph" w:styleId="935" w:customStyle="1">
    <w:name w:val="普通(网站)1"/>
    <w:basedOn w:val="741"/>
    <w:uiPriority w:val="0"/>
    <w:qFormat/>
    <w:pPr>
      <w:jc w:val="left"/>
      <w:spacing w:beforeAutospacing="1" w:afterAutospacing="1"/>
    </w:pPr>
    <w:rPr>
      <w:rFonts w:cs="Times New Roman"/>
      <w:sz w:val="24"/>
    </w:rPr>
  </w:style>
  <w:style w:type="table" w:styleId="936" w:customStyle="1">
    <w:name w:val="网格型1"/>
    <w:basedOn w:val="926"/>
    <w:uiPriority w:val="39"/>
    <w:qFormat/>
    <w:pPr>
      <w:spacing w:after="0" w:line="240" w:lineRule="auto"/>
    </w:pPr>
    <w:tblPr/>
  </w:style>
  <w:style w:type="character" w:styleId="937" w:customStyle="1">
    <w:name w:val="要点11"/>
    <w:basedOn w:val="925"/>
    <w:link w:val="741"/>
    <w:uiPriority w:val="0"/>
    <w:qFormat/>
    <w:rPr>
      <w:b/>
    </w:rPr>
  </w:style>
  <w:style w:type="character" w:styleId="938" w:customStyle="1">
    <w:name w:val="页码1"/>
    <w:link w:val="741"/>
    <w:uiPriority w:val="0"/>
    <w:qFormat/>
  </w:style>
  <w:style w:type="paragraph" w:styleId="939" w:customStyle="1">
    <w:name w:val="BodyText1I21"/>
    <w:basedOn w:val="940"/>
    <w:uiPriority w:val="0"/>
    <w:qFormat/>
    <w:pPr>
      <w:ind w:firstLine="200"/>
    </w:pPr>
  </w:style>
  <w:style w:type="paragraph" w:styleId="940" w:customStyle="1">
    <w:name w:val="BodyTextIndent1"/>
    <w:basedOn w:val="741"/>
    <w:uiPriority w:val="0"/>
    <w:qFormat/>
    <w:pPr>
      <w:ind w:left="420"/>
      <w:spacing w:after="120"/>
    </w:pPr>
  </w:style>
  <w:style w:type="character" w:styleId="941" w:customStyle="1">
    <w:name w:val="默认段落字体1"/>
    <w:link w:val="741"/>
    <w:uiPriority w:val="1"/>
    <w:unhideWhenUsed/>
    <w:qFormat/>
  </w:style>
  <w:style w:type="paragraph" w:styleId="942" w:customStyle="1">
    <w:name w:val="文本块1"/>
    <w:basedOn w:val="741"/>
    <w:uiPriority w:val="99"/>
    <w:unhideWhenUsed/>
    <w:qFormat/>
    <w:pPr>
      <w:ind w:left="1440" w:right="1440"/>
      <w:spacing w:after="120"/>
    </w:pPr>
  </w:style>
  <w:style w:type="paragraph" w:styleId="943" w:customStyle="1">
    <w:name w:val="引文目录标题1"/>
    <w:basedOn w:val="741"/>
    <w:next w:val="741"/>
    <w:uiPriority w:val="99"/>
    <w:unhideWhenUsed/>
    <w:qFormat/>
    <w:pPr>
      <w:spacing w:before="120"/>
    </w:pPr>
    <w:rPr>
      <w:rFonts w:ascii="Cambria" w:hAnsi="Cambria"/>
      <w:sz w:val="24"/>
    </w:rPr>
  </w:style>
  <w:style w:type="paragraph" w:styleId="944" w:customStyle="1">
    <w:name w:val="正文首行缩进11"/>
    <w:basedOn w:val="945"/>
    <w:uiPriority w:val="0"/>
    <w:qFormat/>
    <w:pPr>
      <w:ind w:firstLine="200"/>
      <w:spacing w:line="360" w:lineRule="auto"/>
    </w:pPr>
    <w:rPr>
      <w:rFonts w:ascii="仿宋_GB2312" w:eastAsia="仿宋_GB2312"/>
      <w:sz w:val="30"/>
      <w:szCs w:val="30"/>
    </w:rPr>
  </w:style>
  <w:style w:type="paragraph" w:styleId="945" w:customStyle="1">
    <w:name w:val="正文文本11"/>
    <w:basedOn w:val="741"/>
    <w:next w:val="741"/>
    <w:uiPriority w:val="0"/>
    <w:qFormat/>
    <w:rPr>
      <w:rFonts w:ascii="楷体_GB2312" w:hAnsi="Arial" w:eastAsia="楷体_GB2312"/>
      <w:sz w:val="28"/>
      <w:szCs w:val="28"/>
    </w:rPr>
  </w:style>
  <w:style w:type="paragraph" w:styleId="94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7" w:customStyle="1">
    <w:name w:val="页眉1"/>
    <w:basedOn w:val="74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48" w:customStyle="1">
    <w:name w:val="页脚1"/>
    <w:basedOn w:val="741"/>
    <w:uiPriority w:val="99"/>
    <w:qFormat/>
    <w:pPr>
      <w:jc w:val="left"/>
      <w:tabs>
        <w:tab w:val="center" w:pos="4153" w:leader="none"/>
        <w:tab w:val="right" w:pos="8306" w:leader="none"/>
      </w:tabs>
    </w:pPr>
    <w:rPr>
      <w:rFonts w:ascii="Times New Roman" w:hAnsi="Times New Roman"/>
      <w:sz w:val="18"/>
      <w:szCs w:val="18"/>
    </w:rPr>
  </w:style>
  <w:style w:type="character" w:styleId="949" w:customStyle="1">
    <w:name w:val="font21"/>
    <w:basedOn w:val="925"/>
    <w:link w:val="741"/>
    <w:uiPriority w:val="0"/>
    <w:qFormat/>
    <w:rPr>
      <w:rFonts w:hint="eastAsia" w:ascii="等线" w:hAnsi="等线" w:eastAsia="等线" w:cs="等线"/>
      <w:color w:val="000000"/>
      <w:sz w:val="18"/>
      <w:szCs w:val="18"/>
      <w:u w:val="none"/>
    </w:rPr>
  </w:style>
  <w:style w:type="character" w:styleId="950" w:customStyle="1">
    <w:name w:val="font11"/>
    <w:basedOn w:val="925"/>
    <w:link w:val="741"/>
    <w:uiPriority w:val="0"/>
    <w:qFormat/>
    <w:rPr>
      <w:rFonts w:hint="eastAsia" w:ascii="等线" w:hAnsi="等线" w:eastAsia="等线" w:cs="等线"/>
      <w:color w:val="000000"/>
      <w:sz w:val="22"/>
      <w:szCs w:val="22"/>
      <w:u w:val="none"/>
    </w:rPr>
  </w:style>
  <w:style w:type="character" w:styleId="951" w:customStyle="1">
    <w:name w:val="要点1"/>
    <w:basedOn w:val="941"/>
    <w:link w:val="741"/>
    <w:uiPriority w:val="22"/>
    <w:qFormat/>
    <w:rPr>
      <w:rFonts w:ascii="Calibri" w:hAnsi="Calibri" w:eastAsia="宋体" w:cs="Times New Roman"/>
      <w:sz w:val="21"/>
      <w:szCs w:val="22"/>
      <w:lang w:val="en-US" w:eastAsia="zh-CN" w:bidi="ar-SA"/>
    </w:rPr>
  </w:style>
  <w:style w:type="paragraph" w:styleId="952" w:customStyle="1">
    <w:name w:val="Table Text"/>
    <w:basedOn w:val="741"/>
    <w:uiPriority w:val="0"/>
    <w:semiHidden/>
    <w:qFormat/>
    <w:rPr>
      <w:rFonts w:ascii="宋体" w:hAnsi="宋体" w:eastAsia="宋体" w:cs="宋体"/>
      <w:sz w:val="24"/>
      <w:szCs w:val="24"/>
      <w:lang w:val="en-US" w:eastAsia="en-US" w:bidi="ar-SA"/>
    </w:rPr>
  </w:style>
  <w:style w:type="table" w:styleId="953" w:customStyle="1">
    <w:name w:val="Table Normal"/>
    <w:uiPriority w:val="0"/>
    <w:unhideWhenUsed/>
    <w:qFormat/>
    <w:tblPr/>
  </w:style>
  <w:style w:type="paragraph" w:styleId="954" w:customStyle="1">
    <w:name w:val="普通正文"/>
    <w:basedOn w:val="741"/>
    <w:uiPriority w:val="0"/>
    <w:qFormat/>
    <w:pPr>
      <w:ind w:firstLine="480"/>
      <w:jc w:val="left"/>
      <w:spacing w:before="120" w:after="120" w:line="360" w:lineRule="auto"/>
    </w:pPr>
    <w:rPr>
      <w:rFonts w:ascii="Arial" w:hAnsi="Arial"/>
      <w:sz w:val="24"/>
      <w:szCs w:val="24"/>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万丽丽</cp:lastModifiedBy>
  <cp:revision>8</cp:revision>
  <dcterms:created xsi:type="dcterms:W3CDTF">2025-11-13T03:02:00Z</dcterms:created>
  <dcterms:modified xsi:type="dcterms:W3CDTF">2026-09-10T02:34:27Z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eyJoZGlkIjoiOTk4ZDg2NmU3YTRhODY5ZGMxNjM2NTkzYjIwZTkyZWUiLCJ1c2VySWQiOiI1NzU0MTI5ODYifQ==</vt:lpwstr>
  </property>
  <property fmtid="{D5CDD505-2E9C-101B-9397-08002B2CF9AE}" pid="3" name="KSOProductBuildVer">
    <vt:lpwstr>2052-12.1.0.28505</vt:lpwstr>
  </property>
  <property fmtid="{D5CDD505-2E9C-101B-9397-08002B2CF9AE}" pid="4" name="ICV">
    <vt:lpwstr>351A31EE02774C1C89071861C208A9AE_13</vt:lpwstr>
  </property>
</Properties>
</file>