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6"/>
        <w:jc w:val="center"/>
        <w:rPr>
          <w:rFonts w:eastAsia="方正小标宋_GBK"/>
          <w:bCs/>
          <w:spacing w:val="20"/>
          <w:sz w:val="44"/>
        </w:rPr>
      </w:pPr>
      <w:r>
        <w:rPr>
          <w:rFonts w:hint="eastAsia" w:ascii="宋体" w:hAnsi="宋体" w:cs="宋体"/>
          <w:b/>
          <w:sz w:val="52"/>
          <w:szCs w:val="52"/>
        </w:rPr>
        <w:t xml:space="preserve">江苏航运职业技术学院船舶工程技术专业群MR场景课堂</w:t>
      </w:r>
      <w:r>
        <w:rPr>
          <w:rFonts w:eastAsia="方正小标宋_GBK"/>
          <w:bCs/>
          <w:spacing w:val="20"/>
          <w:sz w:val="44"/>
        </w:rPr>
      </w:r>
      <w:r/>
    </w:p>
    <w:p>
      <w:pPr>
        <w:pStyle w:val="1317"/>
        <w:spacing w:line="500" w:lineRule="exact"/>
        <w:rPr>
          <w:sz w:val="52"/>
          <w:szCs w:val="52"/>
        </w:rPr>
        <w:outlineLvl w:val="9"/>
      </w:pPr>
      <w:r/>
      <w:bookmarkStart w:id="0" w:name="_Toc30582"/>
      <w:r>
        <w:rPr>
          <w:sz w:val="52"/>
          <w:szCs w:val="52"/>
        </w:rPr>
      </w:r>
      <w:r/>
    </w:p>
    <w:p>
      <w:pPr>
        <w:pStyle w:val="1317"/>
        <w:spacing w:line="500" w:lineRule="exact"/>
        <w:rPr>
          <w:sz w:val="52"/>
          <w:szCs w:val="52"/>
        </w:rPr>
        <w:outlineLvl w:val="9"/>
      </w:pPr>
      <w:r>
        <w:rPr>
          <w:sz w:val="52"/>
          <w:szCs w:val="52"/>
        </w:rPr>
      </w:r>
      <w:r/>
    </w:p>
    <w:p>
      <w:pPr>
        <w:pStyle w:val="1317"/>
        <w:spacing w:line="500" w:lineRule="exact"/>
        <w:rPr>
          <w:sz w:val="52"/>
          <w:szCs w:val="52"/>
        </w:rPr>
        <w:outlineLvl w:val="9"/>
      </w:pPr>
      <w:r>
        <w:rPr>
          <w:sz w:val="52"/>
          <w:szCs w:val="52"/>
        </w:rPr>
      </w:r>
      <w:r/>
    </w:p>
    <w:p>
      <w:pPr>
        <w:pStyle w:val="1317"/>
        <w:spacing w:line="500" w:lineRule="exact"/>
        <w:rPr>
          <w:sz w:val="52"/>
          <w:szCs w:val="52"/>
        </w:rPr>
        <w:outlineLvl w:val="9"/>
      </w:pPr>
      <w:r>
        <w:rPr>
          <w:sz w:val="52"/>
          <w:szCs w:val="52"/>
        </w:rPr>
        <w:t xml:space="preserve">公开招标文件</w:t>
      </w:r>
      <w:bookmarkEnd w:id="0"/>
      <w:r>
        <w:rPr>
          <w:sz w:val="52"/>
          <w:szCs w:val="52"/>
        </w:rPr>
      </w:r>
      <w:r/>
    </w:p>
    <w:p>
      <w:pPr>
        <w:pStyle w:val="1317"/>
        <w:spacing w:line="500" w:lineRule="exact"/>
        <w:rPr>
          <w:b w:val="0"/>
          <w:bCs/>
          <w:sz w:val="36"/>
          <w:szCs w:val="36"/>
        </w:rPr>
        <w:outlineLvl w:val="9"/>
      </w:pPr>
      <w:r>
        <w:rPr>
          <w:b w:val="0"/>
          <w:bCs/>
          <w:sz w:val="36"/>
          <w:szCs w:val="36"/>
        </w:rPr>
      </w:r>
      <w:r/>
    </w:p>
    <w:p>
      <w:pPr>
        <w:pStyle w:val="1317"/>
        <w:spacing w:line="500" w:lineRule="exact"/>
        <w:rPr>
          <w:sz w:val="36"/>
          <w:szCs w:val="36"/>
          <w:shd w:val="clear" w:color="auto" w:fill="ffffff"/>
        </w:rPr>
        <w:outlineLvl w:val="9"/>
      </w:pPr>
      <w:r>
        <w:rPr>
          <w:sz w:val="36"/>
          <w:szCs w:val="36"/>
          <w:shd w:val="clear" w:color="auto" w:fill="ffffff"/>
        </w:rPr>
        <w:t xml:space="preserve">项目编号：</w:t>
      </w:r>
      <w:r>
        <w:rPr>
          <w:rFonts w:hint="eastAsia" w:ascii="仿宋" w:hAnsi="仿宋" w:eastAsia="仿宋" w:cs="仿宋"/>
          <w:sz w:val="36"/>
          <w:szCs w:val="36"/>
        </w:rPr>
        <w:t xml:space="preserve">JSZC-320690-JZCG-G2026-0007</w:t>
      </w:r>
      <w:r>
        <w:rPr>
          <w:sz w:val="36"/>
          <w:szCs w:val="36"/>
          <w:shd w:val="clear" w:color="auto" w:fill="ffffff"/>
        </w:rPr>
      </w:r>
      <w:r/>
    </w:p>
    <w:p>
      <w:pPr>
        <w:pStyle w:val="836"/>
        <w:jc w:val="center"/>
        <w:spacing w:line="500" w:lineRule="exact"/>
        <w:rPr>
          <w:b/>
          <w:sz w:val="36"/>
          <w:szCs w:val="36"/>
        </w:rPr>
      </w:pPr>
      <w:r>
        <w:rPr>
          <w:b/>
          <w:sz w:val="36"/>
          <w:szCs w:val="36"/>
        </w:rPr>
      </w:r>
      <w:r/>
    </w:p>
    <w:p>
      <w:pPr>
        <w:pStyle w:val="836"/>
        <w:spacing w:line="500" w:lineRule="exact"/>
      </w:pPr>
      <w: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1;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2" ProgID="MS_ClipArt_Gallery" ShapeID="_x0000_i2" Type="Embed"/>
        </w:object>
      </w:r>
      <w:r/>
    </w:p>
    <w:p>
      <w:pPr>
        <w:pStyle w:val="836"/>
        <w:jc w:val="center"/>
        <w:spacing w:line="500" w:lineRule="exact"/>
        <w:rPr>
          <w:sz w:val="32"/>
        </w:rPr>
      </w:pPr>
      <w:r>
        <w:rPr>
          <w:sz w:val="32"/>
        </w:rPr>
      </w:r>
      <w:r/>
    </w:p>
    <w:p>
      <w:pPr>
        <w:pStyle w:val="836"/>
        <w:spacing w:line="500" w:lineRule="exact"/>
        <w:rPr>
          <w:b/>
          <w:spacing w:val="20"/>
          <w:sz w:val="44"/>
        </w:rPr>
      </w:pPr>
      <w:r>
        <w:rPr>
          <w:b/>
          <w:spacing w:val="20"/>
          <w:sz w:val="44"/>
        </w:rPr>
      </w:r>
      <w:r/>
    </w:p>
    <w:p>
      <w:pPr>
        <w:pStyle w:val="948"/>
        <w:ind w:firstLine="0"/>
        <w:rPr>
          <w:rFonts w:ascii="Times New Roman" w:hAnsi="Times New Roman"/>
          <w:b/>
          <w:bCs/>
          <w:sz w:val="32"/>
        </w:rPr>
      </w:pPr>
      <w:r>
        <w:rPr>
          <w:rFonts w:ascii="Times New Roman" w:hAnsi="Times New Roman"/>
          <w:b/>
          <w:bCs/>
          <w:sz w:val="32"/>
        </w:rPr>
      </w:r>
      <w:r/>
    </w:p>
    <w:p>
      <w:pPr>
        <w:pStyle w:val="948"/>
        <w:ind w:firstLine="0"/>
        <w:rPr>
          <w:rFonts w:ascii="Times New Roman" w:hAnsi="Times New Roman"/>
          <w:b/>
          <w:bCs/>
          <w:sz w:val="32"/>
        </w:rPr>
      </w:pPr>
      <w:r>
        <w:rPr>
          <w:rFonts w:ascii="Times New Roman" w:hAnsi="Times New Roman"/>
          <w:b/>
          <w:bCs/>
          <w:sz w:val="32"/>
        </w:rPr>
      </w:r>
      <w:r/>
    </w:p>
    <w:p>
      <w:pPr>
        <w:pStyle w:val="948"/>
        <w:ind w:firstLine="0"/>
        <w:rPr>
          <w:rFonts w:ascii="Times New Roman" w:hAnsi="Times New Roman"/>
          <w:b/>
          <w:bCs/>
          <w:sz w:val="32"/>
        </w:rPr>
      </w:pPr>
      <w:r>
        <w:rPr>
          <w:rFonts w:ascii="Times New Roman" w:hAnsi="Times New Roman"/>
          <w:b/>
          <w:bCs/>
          <w:sz w:val="32"/>
        </w:rPr>
        <w:t xml:space="preserve">南通市经济技术开发区公共资源交易中心</w:t>
      </w:r>
      <w:r/>
    </w:p>
    <w:p>
      <w:pPr>
        <w:pStyle w:val="948"/>
        <w:ind w:left="0" w:firstLine="3039"/>
        <w:jc w:val="both"/>
        <w:rPr>
          <w:rFonts w:ascii="Times New Roman" w:hAnsi="Times New Roman"/>
          <w:b/>
          <w:bCs/>
          <w:sz w:val="32"/>
        </w:rPr>
      </w:pPr>
      <w:r>
        <w:rPr>
          <w:rFonts w:ascii="Times New Roman" w:hAnsi="Times New Roman"/>
          <w:b/>
          <w:bCs/>
          <w:sz w:val="32"/>
        </w:rPr>
        <w:t xml:space="preserve">二〇二六年</w:t>
      </w:r>
      <w:r>
        <w:rPr>
          <w:rFonts w:hint="eastAsia" w:ascii="Times New Roman" w:hAnsi="Times New Roman"/>
          <w:b/>
          <w:bCs/>
          <w:sz w:val="32"/>
          <w:lang w:val="en-US" w:eastAsia="zh-CN"/>
        </w:rPr>
        <w:t xml:space="preserve">九</w:t>
      </w:r>
      <w:r>
        <w:rPr>
          <w:rFonts w:ascii="Times New Roman" w:hAnsi="Times New Roman"/>
          <w:b/>
          <w:bCs/>
          <w:sz w:val="32"/>
        </w:rPr>
        <w:t xml:space="preserve">月</w:t>
      </w:r>
      <w:r/>
    </w:p>
    <w:p>
      <w:pPr>
        <w:pStyle w:val="836"/>
        <w:ind w:left="-158"/>
        <w:rPr>
          <w:b/>
          <w:sz w:val="26"/>
          <w:szCs w:val="28"/>
          <w:u w:val="single"/>
        </w:rPr>
      </w:pPr>
      <w:r>
        <w:rPr>
          <w:b/>
          <w:sz w:val="26"/>
          <w:szCs w:val="28"/>
          <w:u w:val="single"/>
        </w:rPr>
        <w:t xml:space="preserve">                                 </w:t>
      </w:r>
      <w:r/>
    </w:p>
    <w:p>
      <w:pPr>
        <w:pStyle w:val="836"/>
        <w:ind w:left="-158"/>
        <w:rPr>
          <w:b/>
          <w:sz w:val="26"/>
          <w:szCs w:val="28"/>
          <w:u w:val="single"/>
        </w:rPr>
      </w:pPr>
      <w:r>
        <w:rPr>
          <w:b/>
          <w:sz w:val="26"/>
          <w:szCs w:val="28"/>
          <w:u w:val="single"/>
        </w:rPr>
        <w:t xml:space="preserve">                            </w:t>
      </w:r>
      <w:r/>
    </w:p>
    <w:p>
      <w:pPr>
        <w:pStyle w:val="836"/>
        <w:jc w:val="center"/>
        <w:spacing w:line="360" w:lineRule="auto"/>
        <w:rPr>
          <w:rFonts w:hint="eastAsia" w:ascii="宋体" w:hAnsi="宋体" w:cs="宋体"/>
          <w:sz w:val="44"/>
          <w:szCs w:val="44"/>
        </w:rPr>
      </w:pPr>
      <w:r>
        <w:rPr>
          <w:rFonts w:eastAsia="方正黑体_GBK"/>
          <w:sz w:val="44"/>
          <w:szCs w:val="44"/>
        </w:rPr>
        <w:br w:type="page" w:clear="all"/>
      </w:r>
      <w:r>
        <w:rPr>
          <w:rFonts w:hint="eastAsia" w:ascii="宋体" w:hAnsi="宋体" w:cs="宋体"/>
          <w:sz w:val="44"/>
          <w:szCs w:val="44"/>
        </w:rPr>
        <w:t xml:space="preserve">目 录</w:t>
      </w:r>
      <w:r/>
    </w:p>
    <w:p>
      <w:pPr>
        <w:pStyle w:val="836"/>
        <w:jc w:val="center"/>
        <w:spacing w:line="360" w:lineRule="auto"/>
        <w:rPr>
          <w:rFonts w:hint="eastAsia" w:ascii="宋体" w:hAnsi="宋体" w:cs="宋体"/>
          <w:sz w:val="32"/>
          <w:szCs w:val="32"/>
        </w:rPr>
      </w:pPr>
      <w:r>
        <w:rPr>
          <w:rFonts w:hint="eastAsia" w:ascii="宋体" w:hAnsi="宋体" w:cs="宋体"/>
          <w:sz w:val="32"/>
          <w:szCs w:val="32"/>
        </w:rPr>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第一部分  投标邀请</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第二部分  投标须知</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第三部分  项目需求</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第四部分  合同文本</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第五部分  开标和评标</w:t>
      </w:r>
      <w:r/>
    </w:p>
    <w:p>
      <w:pPr>
        <w:pStyle w:val="836"/>
        <w:ind w:firstLine="640"/>
        <w:spacing w:line="480" w:lineRule="auto"/>
        <w:tabs>
          <w:tab w:val="left" w:pos="7740" w:leader="none"/>
        </w:tabs>
        <w:rPr>
          <w:rFonts w:hint="eastAsia" w:ascii="宋体" w:hAnsi="宋体" w:cs="宋体"/>
          <w:bCs/>
          <w:sz w:val="32"/>
          <w:szCs w:val="32"/>
        </w:rPr>
      </w:pPr>
      <w:r>
        <w:rPr>
          <w:rFonts w:hint="eastAsia" w:ascii="宋体" w:hAnsi="宋体" w:cs="宋体"/>
          <w:bCs/>
          <w:sz w:val="32"/>
          <w:szCs w:val="32"/>
        </w:rPr>
        <w:t xml:space="preserve">第六部分  投标文件组成</w:t>
      </w:r>
      <w:r/>
    </w:p>
    <w:p>
      <w:pPr>
        <w:pStyle w:val="836"/>
        <w:spacing w:line="500" w:lineRule="exact"/>
        <w:tabs>
          <w:tab w:val="left" w:pos="7740" w:leader="none"/>
        </w:tabs>
        <w:rPr>
          <w:rFonts w:eastAsia="楷体_GB2312"/>
          <w:b/>
          <w:spacing w:val="2"/>
          <w:sz w:val="32"/>
          <w:szCs w:val="32"/>
        </w:rPr>
      </w:pPr>
      <w:r>
        <w:rPr>
          <w:rFonts w:eastAsia="楷体_GB2312"/>
          <w:b/>
          <w:spacing w:val="2"/>
          <w:sz w:val="32"/>
          <w:szCs w:val="32"/>
        </w:rPr>
      </w:r>
      <w:r/>
    </w:p>
    <w:p>
      <w:pPr>
        <w:pStyle w:val="836"/>
        <w:spacing w:line="500" w:lineRule="exact"/>
        <w:tabs>
          <w:tab w:val="left" w:pos="7740" w:leader="none"/>
        </w:tabs>
        <w:rPr>
          <w:rFonts w:eastAsia="楷体_GB2312"/>
          <w:b/>
          <w:bCs/>
          <w:sz w:val="32"/>
          <w:szCs w:val="32"/>
        </w:rPr>
      </w:pPr>
      <w:r>
        <w:rPr>
          <w:rFonts w:eastAsia="楷体_GB2312"/>
          <w:b/>
          <w:bCs/>
          <w:sz w:val="32"/>
          <w:szCs w:val="32"/>
        </w:rPr>
      </w:r>
      <w:r/>
    </w:p>
    <w:p>
      <w:pPr>
        <w:pStyle w:val="836"/>
        <w:spacing w:line="500" w:lineRule="exact"/>
        <w:rPr>
          <w:rFonts w:eastAsia="楷体_GB2312"/>
          <w:b/>
          <w:sz w:val="44"/>
          <w:szCs w:val="44"/>
        </w:rPr>
      </w:pPr>
      <w:r>
        <w:rPr>
          <w:rFonts w:eastAsia="楷体_GB2312"/>
          <w:b/>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spacing w:line="500" w:lineRule="exact"/>
        <w:rPr>
          <w:rFonts w:eastAsia="仿宋_GB2312"/>
          <w:sz w:val="44"/>
          <w:szCs w:val="44"/>
        </w:rPr>
      </w:pPr>
      <w:r>
        <w:rPr>
          <w:rFonts w:eastAsia="仿宋_GB2312"/>
          <w:sz w:val="44"/>
          <w:szCs w:val="44"/>
        </w:rPr>
      </w:r>
      <w:r/>
    </w:p>
    <w:p>
      <w:pPr>
        <w:pStyle w:val="836"/>
        <w:jc w:val="center"/>
        <w:spacing w:line="500" w:lineRule="exact"/>
        <w:rPr>
          <w:rFonts w:hint="eastAsia" w:ascii="宋体" w:hAnsi="宋体" w:cs="宋体"/>
          <w:b/>
          <w:sz w:val="36"/>
          <w:szCs w:val="36"/>
        </w:rPr>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outlineLvl w:val="0"/>
      </w:pPr>
      <w:r>
        <w:rPr>
          <w:rFonts w:hint="eastAsia" w:ascii="宋体" w:hAnsi="宋体" w:cs="宋体"/>
          <w:b/>
          <w:sz w:val="36"/>
          <w:szCs w:val="36"/>
        </w:rPr>
      </w:r>
      <w:r/>
    </w:p>
    <w:p>
      <w:pPr>
        <w:pStyle w:val="836"/>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第一部分</w:t>
      </w:r>
      <w:bookmarkStart w:id="1" w:name="OLE_LINK7"/>
      <w:r/>
      <w:bookmarkStart w:id="2" w:name="OLE_LINK5"/>
      <w:r>
        <w:rPr>
          <w:rFonts w:hint="eastAsia" w:ascii="宋体" w:hAnsi="宋体" w:cs="宋体"/>
          <w:b/>
          <w:sz w:val="36"/>
          <w:szCs w:val="36"/>
        </w:rPr>
        <w:t xml:space="preserve">  投标邀请</w:t>
      </w:r>
      <w:r/>
    </w:p>
    <w:p>
      <w:pPr>
        <w:pStyle w:val="836"/>
        <w:ind w:firstLine="480"/>
        <w:spacing w:line="360" w:lineRule="auto"/>
        <w:rPr>
          <w:rFonts w:hint="eastAsia" w:ascii="宋体" w:hAnsi="宋体" w:cs="宋体"/>
          <w:sz w:val="24"/>
        </w:rPr>
      </w:pPr>
      <w:r/>
      <w:bookmarkStart w:id="3" w:name="OLE_LINK6"/>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受[江苏航运职业技术学院]的委托，南通市经济技术开发区公共资源交易中心就[</w:t>
      </w:r>
      <w:r>
        <w:rPr>
          <w:rFonts w:hint="eastAsia" w:ascii="宋体" w:hAnsi="宋体" w:cs="宋体"/>
          <w:sz w:val="24"/>
        </w:rPr>
        <w:t xml:space="preserve">江苏航运职业技术学院船舶工程技术专业群MR场景课堂</w:t>
      </w:r>
      <w:r>
        <w:rPr>
          <w:rFonts w:hint="eastAsia" w:ascii="宋体" w:hAnsi="宋体" w:cs="宋体"/>
          <w:sz w:val="24"/>
        </w:rPr>
        <w:t xml:space="preserve">]（项目编号:</w:t>
      </w:r>
      <w:r>
        <w:rPr>
          <w:rFonts w:hint="eastAsia" w:ascii="宋体" w:hAnsi="宋体" w:cs="宋体"/>
          <w:sz w:val="24"/>
        </w:rPr>
        <w:t xml:space="preserve">JSZC-320690-JZCG-G2026-0007</w:t>
      </w:r>
      <w:r>
        <w:rPr>
          <w:rFonts w:hint="eastAsia" w:ascii="宋体" w:hAnsi="宋体" w:cs="宋体"/>
          <w:sz w:val="24"/>
        </w:rPr>
        <w:t xml:space="preserve">）进行公开招标采购，欢迎符合条件的供应商投标。</w:t>
      </w:r>
      <w:r/>
    </w:p>
    <w:p>
      <w:pPr>
        <w:pStyle w:val="836"/>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项目概况</w:t>
      </w:r>
      <w:r/>
    </w:p>
    <w:p>
      <w:pPr>
        <w:pStyle w:val="836"/>
        <w:ind w:firstLine="480"/>
        <w:spacing w:line="360" w:lineRule="auto"/>
        <w:rPr>
          <w:rFonts w:hint="eastAsia" w:ascii="宋体" w:hAnsi="宋体" w:cs="宋体"/>
          <w:sz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rPr>
        <w:t xml:space="preserve">江苏航运职业技术学院船舶工程技术专业群MR场景课堂招标项目的潜在投标人可在“江苏政府采购网”获取招标文件，并于</w:t>
      </w:r>
      <w:r>
        <w:rPr>
          <w:rFonts w:hint="eastAsia" w:ascii="宋体" w:hAnsi="宋体" w:cs="宋体"/>
          <w:sz w:val="24"/>
        </w:rPr>
        <w:t xml:space="preserve">2026年09月24日09点30分</w:t>
      </w:r>
      <w:r>
        <w:rPr>
          <w:rFonts w:hint="eastAsia" w:ascii="宋体" w:hAnsi="宋体" w:cs="宋体"/>
          <w:sz w:val="24"/>
        </w:rPr>
        <w:t xml:space="preserve">（北京时间）前递交投标文件。</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一、项目基本情况</w:t>
      </w:r>
      <w:r/>
    </w:p>
    <w:p>
      <w:pPr>
        <w:pStyle w:val="836"/>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JSZC-320690-JZCG-G2026-0007</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t xml:space="preserve">江苏航运职业技术学院船舶工程技术专业群MR场景课堂</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项目类型：货物类</w:t>
      </w:r>
      <w:r/>
    </w:p>
    <w:p>
      <w:pPr>
        <w:pStyle w:val="836"/>
        <w:ind w:firstLine="480"/>
        <w:spacing w:line="360" w:lineRule="auto"/>
        <w:rPr>
          <w:rFonts w:hint="eastAsia" w:ascii="宋体" w:hAnsi="宋体" w:cs="宋体"/>
          <w:sz w:val="24"/>
        </w:rPr>
      </w:pPr>
      <w:r>
        <w:rPr>
          <w:rFonts w:hint="eastAsia" w:ascii="宋体" w:hAnsi="宋体" w:cs="宋体"/>
          <w:sz w:val="24"/>
        </w:rPr>
        <w:t xml:space="preserve">所属行业：船舶与海洋工程</w:t>
      </w:r>
      <w:r/>
    </w:p>
    <w:p>
      <w:pPr>
        <w:pStyle w:val="836"/>
        <w:ind w:firstLine="480"/>
        <w:spacing w:line="360" w:lineRule="auto"/>
        <w:rPr>
          <w:rFonts w:hint="eastAsia" w:ascii="宋体" w:hAnsi="宋体" w:cs="宋体"/>
          <w:sz w:val="24"/>
        </w:rPr>
      </w:pPr>
      <w:r>
        <w:rPr>
          <w:rFonts w:hint="eastAsia" w:ascii="宋体" w:hAnsi="宋体" w:cs="宋体"/>
          <w:sz w:val="24"/>
        </w:rPr>
        <w:t xml:space="preserve">预算金额：199万元</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最高限价：199万元（其中17实训室地板铺设及环境升级，最高限价：9.341405万元）；投标报价超过最高限价为无效投标。</w:t>
      </w:r>
      <w:r>
        <w:rPr>
          <w:rFonts w:hint="eastAsia" w:ascii="宋体" w:hAnsi="宋体" w:cs="宋体"/>
          <w:sz w:val="24"/>
        </w:rPr>
      </w:r>
      <w:r/>
    </w:p>
    <w:p>
      <w:pPr>
        <w:pStyle w:val="836"/>
        <w:ind w:firstLine="480"/>
        <w:spacing w:line="360" w:lineRule="auto"/>
        <w:tabs>
          <w:tab w:val="left" w:pos="4536" w:leader="none"/>
        </w:tabs>
        <w:rPr>
          <w:rFonts w:hint="eastAsia" w:ascii="宋体" w:hAnsi="宋体" w:cs="宋体"/>
          <w:sz w:val="24"/>
        </w:rPr>
      </w:pPr>
      <w:r>
        <w:rPr>
          <w:rFonts w:hint="eastAsia" w:ascii="宋体" w:hAnsi="宋体" w:cs="宋体"/>
          <w:sz w:val="24"/>
        </w:rPr>
        <w:t xml:space="preserve">采购需求：详见采购文件，请仔细研究。</w:t>
      </w:r>
      <w:r/>
    </w:p>
    <w:p>
      <w:pPr>
        <w:pStyle w:val="836"/>
        <w:ind w:firstLine="480"/>
        <w:spacing w:line="360" w:lineRule="auto"/>
        <w:rPr>
          <w:rFonts w:hint="eastAsia" w:ascii="宋体" w:hAnsi="宋体" w:cs="宋体"/>
          <w:sz w:val="24"/>
        </w:rPr>
      </w:pPr>
      <w:r>
        <w:rPr>
          <w:rFonts w:hint="eastAsia" w:ascii="宋体" w:hAnsi="宋体" w:cs="宋体"/>
          <w:sz w:val="24"/>
        </w:rPr>
        <w:t xml:space="preserve">合同履行期限：自合同签订起630天内，完成供货、安装、调试、检验、试运行、正式验收及交付使用等全部工作。本项目供货期间实行分期供货、分段验收，具体安排以采购人通知为准。</w:t>
      </w:r>
      <w:r/>
    </w:p>
    <w:p>
      <w:pPr>
        <w:pStyle w:val="836"/>
        <w:ind w:firstLine="480"/>
        <w:spacing w:line="360" w:lineRule="auto"/>
        <w:rPr>
          <w:rFonts w:hint="eastAsia" w:ascii="宋体" w:hAnsi="宋体" w:cs="宋体"/>
          <w:sz w:val="24"/>
        </w:rPr>
      </w:pPr>
      <w:r>
        <w:rPr>
          <w:rFonts w:hint="eastAsia" w:ascii="宋体" w:hAnsi="宋体" w:cs="宋体"/>
          <w:sz w:val="24"/>
        </w:rPr>
        <w:t xml:space="preserve">本项目（是/否）接受联合体投标：是</w:t>
      </w:r>
      <w:r/>
    </w:p>
    <w:p>
      <w:pPr>
        <w:pStyle w:val="836"/>
        <w:ind w:firstLine="480"/>
        <w:spacing w:line="360" w:lineRule="auto"/>
        <w:rPr>
          <w:rFonts w:hint="eastAsia" w:ascii="宋体" w:hAnsi="宋体" w:cs="宋体"/>
          <w:sz w:val="24"/>
        </w:rPr>
      </w:pPr>
      <w:r>
        <w:rPr>
          <w:rFonts w:hint="eastAsia" w:ascii="宋体" w:hAnsi="宋体" w:cs="宋体"/>
          <w:sz w:val="24"/>
        </w:rPr>
        <w:t xml:space="preserve">（1）联合体成员不得超过2家。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pStyle w:val="836"/>
        <w:ind w:firstLine="480"/>
        <w:spacing w:line="360" w:lineRule="auto"/>
        <w:rPr>
          <w:rFonts w:hint="eastAsia" w:ascii="宋体" w:hAnsi="宋体" w:cs="宋体"/>
          <w:sz w:val="24"/>
        </w:rPr>
      </w:pPr>
      <w:r>
        <w:rPr>
          <w:rFonts w:hint="eastAsia" w:ascii="宋体" w:hAnsi="宋体" w:cs="宋体"/>
          <w:sz w:val="24"/>
        </w:rPr>
        <w:t xml:space="preserve">（2）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pStyle w:val="836"/>
        <w:ind w:firstLine="480"/>
        <w:spacing w:line="360" w:lineRule="auto"/>
        <w:rPr>
          <w:rFonts w:hint="eastAsia" w:ascii="宋体" w:hAnsi="宋体" w:cs="宋体"/>
          <w:sz w:val="24"/>
        </w:rPr>
      </w:pPr>
      <w:r>
        <w:rPr>
          <w:rFonts w:hint="eastAsia" w:ascii="宋体" w:hAnsi="宋体" w:cs="宋体"/>
          <w:sz w:val="24"/>
        </w:rPr>
        <w:t xml:space="preserve">（3）联合体牵头人所提交的响应文件应认为已代表了联合体各成员的真实情况。组成联合体投标须为联合体各方自愿行为。</w:t>
      </w:r>
      <w:r/>
    </w:p>
    <w:p>
      <w:pPr>
        <w:pStyle w:val="836"/>
        <w:ind w:firstLine="480"/>
        <w:spacing w:line="360" w:lineRule="auto"/>
        <w:rPr>
          <w:rFonts w:hint="eastAsia" w:ascii="宋体" w:hAnsi="宋体" w:cs="宋体"/>
          <w:sz w:val="24"/>
        </w:rPr>
      </w:pPr>
      <w:r>
        <w:rPr>
          <w:rFonts w:hint="eastAsia" w:ascii="宋体" w:hAnsi="宋体" w:cs="宋体"/>
          <w:sz w:val="24"/>
        </w:rPr>
        <w:t xml:space="preserve">（4）以联合体形式参加政府采购活动，联合体各方均为中小企业的，联合体视同中小企业。</w:t>
      </w:r>
      <w:r/>
    </w:p>
    <w:p>
      <w:pPr>
        <w:pStyle w:val="836"/>
        <w:ind w:firstLine="480"/>
        <w:spacing w:line="360" w:lineRule="auto"/>
        <w:rPr>
          <w:rFonts w:hint="eastAsia" w:ascii="宋体" w:hAnsi="宋体" w:cs="宋体"/>
          <w:sz w:val="24"/>
        </w:rPr>
      </w:pPr>
      <w:r>
        <w:rPr>
          <w:rFonts w:hint="eastAsia" w:ascii="宋体" w:hAnsi="宋体" w:cs="宋体"/>
          <w:sz w:val="24"/>
        </w:rPr>
        <w:t xml:space="preserve">本项目（是/否）接受分包：否</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二、申请人的资格要求：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（一）满足《中华人民共和国政府采购法》第二十二条规定：</w:t>
      </w:r>
      <w:r>
        <w:rPr>
          <w:rFonts w:hint="eastAsia" w:ascii="宋体" w:hAnsi="宋体" w:cs="宋体"/>
          <w:sz w:val="24"/>
        </w:rPr>
      </w:r>
      <w:r/>
    </w:p>
    <w:p>
      <w:pPr>
        <w:pStyle w:val="836"/>
        <w:ind w:firstLine="480"/>
        <w:spacing w:line="360" w:lineRule="auto"/>
        <w:rPr>
          <w:rFonts w:hint="eastAsia" w:ascii="宋体" w:hAnsi="宋体" w:cs="宋体"/>
          <w:b/>
          <w:bCs/>
          <w:sz w:val="24"/>
        </w:rPr>
      </w:pPr>
      <w:r>
        <w:rPr>
          <w:rFonts w:hint="eastAsia" w:ascii="宋体" w:hAnsi="宋体" w:cs="宋体"/>
          <w:sz w:val="24"/>
        </w:rPr>
        <w:t xml:space="preserve">1.满足《中华人民共和国政府采购法》第二十二条规定，提供声明函；</w:t>
      </w:r>
      <w:r>
        <w:rPr>
          <w:rFonts w:hint="eastAsia" w:ascii="宋体" w:hAnsi="宋体" w:cs="宋体"/>
          <w:b/>
          <w:bCs/>
          <w:sz w:val="24"/>
        </w:rPr>
        <w:t xml:space="preserve">（如是联合体投标，联合体各成员单位均须提供。）</w:t>
      </w:r>
      <w:r/>
    </w:p>
    <w:p>
      <w:pPr>
        <w:pStyle w:val="836"/>
        <w:ind w:firstLine="480"/>
        <w:spacing w:line="360" w:lineRule="auto"/>
        <w:rPr>
          <w:rFonts w:hint="eastAsia" w:ascii="宋体" w:hAnsi="宋体" w:cs="宋体"/>
          <w:b/>
          <w:bCs/>
          <w:sz w:val="24"/>
        </w:rPr>
      </w:pPr>
      <w:r>
        <w:rPr>
          <w:rFonts w:hint="eastAsia" w:ascii="宋体" w:hAnsi="宋体" w:cs="宋体"/>
          <w:sz w:val="24"/>
        </w:rPr>
        <w:t xml:space="preserve">2.供应商具有独立承担民事责任的能力，提供法人或者其他组织的营业执照等证明文件，自然人的身份证明；</w:t>
      </w:r>
      <w:r>
        <w:rPr>
          <w:rFonts w:hint="eastAsia" w:ascii="宋体" w:hAnsi="宋体" w:cs="宋体"/>
          <w:b/>
          <w:bCs/>
          <w:sz w:val="24"/>
        </w:rPr>
        <w:t xml:space="preserve">（如是联合体投标，联合体各成员单位均须提供。）</w:t>
      </w:r>
      <w:r/>
    </w:p>
    <w:p>
      <w:pPr>
        <w:pStyle w:val="836"/>
        <w:ind w:firstLine="482"/>
        <w:spacing w:line="360" w:lineRule="auto"/>
        <w:rPr>
          <w:rFonts w:hint="eastAsia" w:ascii="宋体" w:hAnsi="宋体" w:cs="宋体"/>
          <w:sz w:val="24"/>
          <w:u w:val="single"/>
        </w:rPr>
      </w:pPr>
      <w:r>
        <w:rPr>
          <w:rFonts w:hint="eastAsia" w:ascii="宋体" w:hAnsi="宋体" w:cs="宋体"/>
          <w:b/>
          <w:bCs/>
          <w:sz w:val="24"/>
        </w:rPr>
        <w:t xml:space="preserve">（二）落实政府采购政策需满足的资格要求：</w:t>
      </w:r>
      <w:r>
        <w:rPr>
          <w:rFonts w:hint="eastAsia" w:ascii="宋体" w:hAnsi="宋体" w:cs="宋体"/>
          <w:b/>
          <w:bCs/>
          <w:sz w:val="24"/>
          <w:u w:val="single"/>
        </w:rPr>
        <w:t xml:space="preserve">本项目属于专门面向中小企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rPr>
          <w:rFonts w:hint="eastAsia" w:ascii="宋体" w:hAnsi="宋体" w:cs="宋体"/>
          <w:sz w:val="24"/>
          <w:u w:val="single"/>
        </w:rPr>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（三）</w:t>
      </w:r>
      <w:bookmarkStart w:id="4" w:name="OLE_LINK172"/>
      <w:r>
        <w:rPr>
          <w:rFonts w:hint="eastAsia" w:ascii="宋体" w:hAnsi="宋体" w:cs="宋体"/>
          <w:b/>
          <w:bCs/>
          <w:sz w:val="24"/>
        </w:rPr>
        <w:t xml:space="preserve">本项目的特定资格要求</w:t>
      </w:r>
      <w:bookmarkEnd w:id="4"/>
      <w:r>
        <w:rPr>
          <w:rFonts w:hint="eastAsia" w:ascii="宋体" w:hAnsi="宋体" w:cs="宋体"/>
          <w:b/>
          <w:bCs/>
          <w:sz w:val="24"/>
        </w:rPr>
        <w:t xml:space="preserve">：</w:t>
      </w:r>
      <w:r/>
    </w:p>
    <w:p>
      <w:pPr>
        <w:pStyle w:val="836"/>
        <w:ind w:firstLine="480"/>
        <w:spacing w:line="360" w:lineRule="auto"/>
        <w:rPr>
          <w:rFonts w:hint="eastAsia" w:cs="宋体"/>
          <w:sz w:val="24"/>
        </w:rPr>
      </w:pPr>
      <w:r/>
      <w:bookmarkStart w:id="5" w:name="OLE_LINK173"/>
      <w:r>
        <w:rPr>
          <w:rFonts w:hint="eastAsia" w:ascii="宋体" w:hAnsi="宋体" w:cs="宋体"/>
          <w:sz w:val="24"/>
        </w:rPr>
        <w:t xml:space="preserve">1.</w:t>
      </w:r>
      <w:r>
        <w:rPr>
          <w:rFonts w:hint="eastAsia" w:cs="宋体"/>
          <w:sz w:val="24"/>
        </w:rPr>
        <w:t xml:space="preserve">未被“信用中国”网站（www.creditchina.gov.cn）列入失信被执行人、重大税收违法案件当事人名单、政府采购严重失信行为记录名单；</w:t>
      </w:r>
      <w:r/>
    </w:p>
    <w:p>
      <w:pPr>
        <w:pStyle w:val="836"/>
        <w:ind w:firstLine="480"/>
        <w:spacing w:line="360" w:lineRule="auto"/>
        <w:rPr>
          <w:rFonts w:hint="eastAsia" w:ascii="宋体" w:hAnsi="宋体" w:cs="宋体"/>
          <w:b/>
          <w:bCs/>
          <w:sz w:val="24"/>
        </w:rPr>
      </w:pPr>
      <w:r>
        <w:rPr>
          <w:rFonts w:hint="eastAsia" w:cs="宋体"/>
          <w:sz w:val="24"/>
        </w:rPr>
        <w:t xml:space="preserve">2.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w:t>
      </w:r>
      <w:r>
        <w:rPr>
          <w:rFonts w:hint="eastAsia" w:ascii="宋体" w:hAnsi="宋体" w:cs="宋体"/>
          <w:b/>
          <w:bCs/>
          <w:sz w:val="24"/>
        </w:rPr>
        <w:t xml:space="preserve">（如是联合体投标，联合体牵头单位提供。）</w:t>
      </w:r>
      <w:r/>
    </w:p>
    <w:p>
      <w:pPr>
        <w:pStyle w:val="836"/>
        <w:ind w:firstLine="482"/>
        <w:spacing w:line="360" w:lineRule="auto"/>
        <w:rPr>
          <w:rFonts w:hint="eastAsia" w:ascii="宋体" w:hAnsi="宋体" w:cs="宋体"/>
          <w:b/>
          <w:bCs/>
          <w:sz w:val="24"/>
        </w:rPr>
      </w:pPr>
      <w:r>
        <w:rPr>
          <w:rFonts w:hint="eastAsia" w:ascii="宋体" w:hAnsi="宋体" w:cs="宋体"/>
          <w:b/>
          <w:bCs/>
          <w:sz w:val="24"/>
          <w:lang w:val="zh-CN"/>
        </w:rPr>
        <w:t xml:space="preserve">注：以上所有资格要求条件必须在资格审查材料中逐条提供有效证明材料或相关承诺书并加盖公章，否则投标无效。</w:t>
      </w:r>
      <w:r>
        <w:rPr>
          <w:rFonts w:hint="eastAsia" w:ascii="宋体" w:hAnsi="宋体" w:cs="宋体"/>
          <w:b/>
          <w:bCs/>
          <w:sz w:val="24"/>
        </w:rPr>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具体资格要求详见第六部分  投标文件组成中的“资格审查文件”。</w:t>
      </w:r>
      <w:r/>
    </w:p>
    <w:p>
      <w:pPr>
        <w:pStyle w:val="836"/>
        <w:ind w:firstLine="482"/>
        <w:spacing w:line="360" w:lineRule="auto"/>
        <w:rPr>
          <w:rFonts w:hint="eastAsia" w:ascii="宋体" w:hAnsi="宋体" w:cs="宋体"/>
          <w:b/>
          <w:sz w:val="24"/>
        </w:rPr>
        <w:outlineLvl w:val="2"/>
      </w:pPr>
      <w:r/>
      <w:bookmarkEnd w:id="5"/>
      <w:r>
        <w:rPr>
          <w:rFonts w:hint="eastAsia" w:ascii="宋体" w:hAnsi="宋体" w:cs="宋体"/>
          <w:b/>
          <w:sz w:val="24"/>
        </w:rPr>
        <w:t xml:space="preserve">三、获取招标文件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时间：自招标文件公告发布之日起5个工作日。</w:t>
      </w:r>
      <w:r/>
    </w:p>
    <w:p>
      <w:pPr>
        <w:pStyle w:val="836"/>
        <w:ind w:firstLine="480"/>
        <w:spacing w:line="360" w:lineRule="auto"/>
        <w:rPr>
          <w:rFonts w:hint="eastAsia" w:ascii="宋体" w:hAnsi="宋体" w:cs="宋体"/>
          <w:sz w:val="24"/>
        </w:rPr>
      </w:pPr>
      <w:r>
        <w:rPr>
          <w:rFonts w:hint="eastAsia" w:ascii="宋体" w:hAnsi="宋体" w:cs="宋体"/>
          <w:sz w:val="24"/>
        </w:rPr>
        <w:t xml:space="preserve">方式：在“江苏政府采购网”自行免费下载招标文件。</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四、提交投标文件截止时间、开标时间和地点</w:t>
      </w:r>
      <w:r/>
    </w:p>
    <w:p>
      <w:pPr>
        <w:pStyle w:val="836"/>
        <w:ind w:firstLine="480"/>
        <w:spacing w:line="360" w:lineRule="auto"/>
        <w:rPr>
          <w:rFonts w:hint="eastAsia" w:ascii="宋体" w:hAnsi="宋体" w:cs="宋体"/>
          <w:sz w:val="24"/>
        </w:rPr>
      </w:pPr>
      <w:r>
        <w:rPr>
          <w:rFonts w:hint="eastAsia" w:ascii="宋体" w:hAnsi="宋体" w:cs="宋体"/>
          <w:sz w:val="24"/>
        </w:rPr>
        <w:t xml:space="preserve">2026年</w:t>
      </w:r>
      <w:r>
        <w:rPr>
          <w:rFonts w:hint="eastAsia" w:ascii="宋体" w:hAnsi="宋体" w:cs="宋体"/>
          <w:sz w:val="24"/>
        </w:rPr>
        <w:t xml:space="preserve">09月24日</w:t>
      </w:r>
      <w:r>
        <w:rPr>
          <w:rFonts w:hint="eastAsia" w:ascii="宋体" w:hAnsi="宋体" w:cs="宋体"/>
          <w:sz w:val="24"/>
        </w:rPr>
        <w:t xml:space="preserve">09点30分（北京时间）。逾时，交易系统将拒绝接受上传投标文件电子文档。</w:t>
      </w:r>
      <w:r/>
    </w:p>
    <w:p>
      <w:pPr>
        <w:pStyle w:val="836"/>
        <w:ind w:firstLine="480"/>
        <w:spacing w:line="360" w:lineRule="auto"/>
        <w:rPr>
          <w:rFonts w:hint="eastAsia" w:ascii="宋体" w:hAnsi="宋体" w:cs="宋体"/>
          <w:i/>
          <w:sz w:val="24"/>
        </w:rPr>
      </w:pPr>
      <w:r>
        <w:rPr>
          <w:rFonts w:hint="eastAsia" w:ascii="宋体" w:hAnsi="宋体" w:cs="宋体"/>
          <w:sz w:val="24"/>
        </w:rPr>
        <w:t xml:space="preserve">地点：“苏采云”政府采购交易系统网上开标大厅。</w:t>
      </w:r>
      <w:r>
        <w:rPr>
          <w:rFonts w:hint="eastAsia" w:ascii="宋体" w:hAnsi="宋体" w:cs="宋体"/>
          <w:i/>
          <w:sz w:val="24"/>
        </w:rPr>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五、公告期限</w:t>
      </w:r>
      <w:r/>
    </w:p>
    <w:p>
      <w:pPr>
        <w:pStyle w:val="836"/>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六、其他补充事宜</w:t>
      </w:r>
      <w:r/>
    </w:p>
    <w:p>
      <w:pPr>
        <w:pStyle w:val="836"/>
        <w:ind w:firstLine="480"/>
        <w:spacing w:line="360" w:lineRule="auto"/>
        <w:rPr>
          <w:rFonts w:hint="eastAsia" w:ascii="宋体" w:hAnsi="宋体" w:cs="宋体"/>
          <w:sz w:val="24"/>
        </w:rPr>
      </w:pPr>
      <w:r>
        <w:rPr>
          <w:rFonts w:hint="eastAsia" w:ascii="宋体" w:hAnsi="宋体" w:cs="宋体"/>
          <w:sz w:val="24"/>
        </w:rPr>
        <w:t xml:space="preserve">1.投标保证金：免收</w:t>
      </w:r>
      <w:r/>
    </w:p>
    <w:p>
      <w:pPr>
        <w:pStyle w:val="836"/>
        <w:ind w:firstLine="480"/>
        <w:spacing w:line="360" w:lineRule="auto"/>
        <w:rPr>
          <w:rFonts w:hint="eastAsia" w:ascii="宋体" w:hAnsi="宋体" w:cs="宋体"/>
          <w:sz w:val="24"/>
        </w:rPr>
      </w:pPr>
      <w:r>
        <w:rPr>
          <w:rFonts w:hint="eastAsia" w:ascii="宋体" w:hAnsi="宋体" w:cs="宋体"/>
          <w:sz w:val="24"/>
        </w:rPr>
        <w:t xml:space="preserve">2.项目演示、样品、答辩等：具体见技术参数部分。</w:t>
      </w:r>
      <w:r/>
    </w:p>
    <w:p>
      <w:pPr>
        <w:pStyle w:val="836"/>
        <w:ind w:firstLine="480"/>
        <w:spacing w:line="360" w:lineRule="auto"/>
        <w:rPr>
          <w:rFonts w:hint="eastAsia" w:ascii="宋体" w:hAnsi="宋体" w:cs="宋体"/>
          <w:sz w:val="24"/>
        </w:rPr>
      </w:pPr>
      <w:r>
        <w:rPr>
          <w:rFonts w:hint="eastAsia" w:ascii="宋体" w:hAnsi="宋体" w:cs="宋体"/>
          <w:sz w:val="24"/>
        </w:rPr>
        <w:t xml:space="preserve">3.供应商系统操作过程中如遇问题，请致电“苏采云”客服0519-86722801。</w:t>
      </w:r>
      <w:r/>
    </w:p>
    <w:p>
      <w:pPr>
        <w:pStyle w:val="836"/>
        <w:ind w:firstLine="480"/>
        <w:spacing w:line="360" w:lineRule="auto"/>
        <w:rPr>
          <w:rFonts w:hint="eastAsia" w:ascii="宋体" w:hAnsi="宋体" w:cs="宋体"/>
          <w:sz w:val="24"/>
        </w:rPr>
      </w:pPr>
      <w:r>
        <w:rPr>
          <w:rFonts w:hint="eastAsia" w:ascii="宋体" w:hAnsi="宋体" w:cs="宋体"/>
          <w:sz w:val="24"/>
        </w:rPr>
        <w:t xml:space="preserve">4.有关本次招标的事项若存在变动或修改，均以江苏政府采购网发布的更正或补充通知为准，敬请及时关注。</w:t>
      </w:r>
      <w:r/>
    </w:p>
    <w:p>
      <w:pPr>
        <w:pStyle w:val="836"/>
        <w:ind w:firstLine="480"/>
        <w:spacing w:line="360" w:lineRule="auto"/>
        <w:rPr>
          <w:rFonts w:hint="eastAsia" w:ascii="宋体" w:hAnsi="宋体" w:cs="宋体"/>
          <w:sz w:val="24"/>
        </w:rPr>
      </w:pPr>
      <w:r>
        <w:rPr>
          <w:rFonts w:hint="eastAsia" w:ascii="宋体" w:hAnsi="宋体" w:cs="宋体"/>
          <w:sz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836"/>
        <w:ind w:firstLine="480"/>
        <w:spacing w:line="360" w:lineRule="auto"/>
        <w:rPr>
          <w:rFonts w:hint="eastAsia" w:ascii="宋体" w:hAnsi="宋体" w:cs="宋体"/>
          <w:sz w:val="24"/>
        </w:rPr>
      </w:pPr>
      <w:r>
        <w:rPr>
          <w:rFonts w:hint="eastAsia" w:ascii="宋体" w:hAnsi="宋体" w:cs="宋体"/>
          <w:sz w:val="24"/>
        </w:rPr>
        <w:t xml:space="preserve">6.“苏采云”系统使用相关提醒</w:t>
      </w:r>
      <w:r/>
    </w:p>
    <w:p>
      <w:pPr>
        <w:pStyle w:val="836"/>
        <w:ind w:firstLine="480"/>
        <w:spacing w:line="360" w:lineRule="auto"/>
        <w:rPr>
          <w:rFonts w:hint="eastAsia" w:ascii="宋体" w:hAnsi="宋体" w:cs="宋体"/>
          <w:sz w:val="24"/>
        </w:rPr>
      </w:pPr>
      <w:r>
        <w:rPr>
          <w:rFonts w:hint="eastAsia" w:ascii="宋体" w:hAnsi="宋体" w:cs="宋体"/>
          <w:sz w:val="24"/>
        </w:rPr>
        <w:t xml:space="preserve">6.1</w:t>
      </w:r>
      <w:r>
        <w:rPr>
          <w:rFonts w:hint="eastAsia" w:ascii="宋体" w:hAnsi="宋体" w:cs="宋体"/>
          <w:sz w:val="24"/>
        </w:rPr>
        <w:t xml:space="preserve"> </w:t>
      </w:r>
      <w:r>
        <w:rPr>
          <w:rFonts w:hint="eastAsia" w:ascii="宋体" w:hAnsi="宋体" w:cs="宋体"/>
          <w:sz w:val="24"/>
        </w:rPr>
        <w:t xml:space="preserve">根据省财政厅《关于更换全省政府采购交易系</w:t>
      </w:r>
      <w:r>
        <w:rPr>
          <w:rFonts w:hint="eastAsia" w:ascii="宋体" w:hAnsi="宋体" w:cs="宋体"/>
          <w:sz w:val="24"/>
        </w:rPr>
        <w:t xml:space="preserve">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 和 操 作 手 册 见 链 接 ： http://www.ccgp-jiangsu.gov.cn/jiangsu/zlxz/ee/ee3a4bc5a3454aa2b0d9312230633ce9.html。</w:t>
      </w:r>
      <w:r/>
    </w:p>
    <w:p>
      <w:pPr>
        <w:pStyle w:val="836"/>
        <w:ind w:firstLine="480"/>
        <w:spacing w:line="360" w:lineRule="auto"/>
        <w:rPr>
          <w:rFonts w:hint="eastAsia" w:ascii="宋体" w:hAnsi="宋体" w:cs="宋体"/>
          <w:sz w:val="24"/>
        </w:rPr>
      </w:pPr>
      <w:r>
        <w:rPr>
          <w:rFonts w:hint="eastAsia" w:ascii="宋体" w:hAnsi="宋体" w:cs="宋体"/>
          <w:sz w:val="24"/>
        </w:rPr>
        <w:t xml:space="preserve">6.2</w:t>
      </w:r>
      <w:r>
        <w:rPr>
          <w:rFonts w:hint="eastAsia" w:ascii="宋体" w:hAnsi="宋体" w:cs="宋体"/>
          <w:sz w:val="24"/>
        </w:rPr>
        <w:t xml:space="preserve"> </w:t>
      </w:r>
      <w:r>
        <w:rPr>
          <w:rFonts w:hint="eastAsia" w:ascii="宋体" w:hAnsi="宋体" w:cs="宋体"/>
          <w:sz w:val="24"/>
        </w:rPr>
        <w:t xml:space="preserve">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6.3</w:t>
      </w:r>
      <w:r>
        <w:rPr>
          <w:rFonts w:hint="eastAsia" w:ascii="宋体" w:hAnsi="宋体" w:cs="宋体"/>
          <w:sz w:val="24"/>
        </w:rPr>
        <w:t xml:space="preserve"> </w:t>
      </w:r>
      <w:r>
        <w:rPr>
          <w:rFonts w:hint="eastAsia" w:ascii="宋体" w:hAnsi="宋体" w:cs="宋体"/>
          <w:sz w:val="24"/>
        </w:rPr>
        <w:t xml:space="preserve">开标当天投标供应商应及时登录“苏采云”不见面开标大厅，并在规定时</w:t>
      </w:r>
      <w:r>
        <w:rPr>
          <w:rFonts w:hint="eastAsia" w:ascii="宋体" w:hAnsi="宋体" w:cs="宋体"/>
          <w:sz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836"/>
        <w:ind w:firstLine="482"/>
        <w:spacing w:line="360" w:lineRule="auto"/>
        <w:rPr>
          <w:rFonts w:hint="eastAsia" w:ascii="宋体" w:hAnsi="宋体" w:cs="宋体"/>
          <w:b/>
          <w:sz w:val="24"/>
        </w:rPr>
        <w:outlineLvl w:val="2"/>
      </w:pPr>
      <w:r>
        <w:rPr>
          <w:rFonts w:hint="eastAsia" w:ascii="宋体" w:hAnsi="宋体" w:cs="宋体"/>
          <w:b/>
          <w:sz w:val="24"/>
        </w:rPr>
        <w:t xml:space="preserve">七、对本次招标提出询问，请按以下方式联系。</w:t>
      </w:r>
      <w:r/>
    </w:p>
    <w:p>
      <w:pPr>
        <w:pStyle w:val="836"/>
        <w:ind w:firstLine="480"/>
        <w:spacing w:line="360" w:lineRule="auto"/>
        <w:rPr>
          <w:rFonts w:hint="eastAsia" w:ascii="宋体" w:hAnsi="宋体" w:cs="宋体"/>
          <w:sz w:val="24"/>
        </w:rPr>
      </w:pPr>
      <w:r>
        <w:rPr>
          <w:rFonts w:hint="eastAsia" w:ascii="宋体" w:hAnsi="宋体" w:cs="宋体"/>
          <w:sz w:val="24"/>
        </w:rPr>
        <w:t xml:space="preserve">1.采购人信息</w:t>
      </w:r>
      <w:r/>
    </w:p>
    <w:p>
      <w:pPr>
        <w:pStyle w:val="836"/>
        <w:ind w:firstLine="480"/>
        <w:spacing w:line="360" w:lineRule="auto"/>
        <w:rPr>
          <w:rFonts w:hint="eastAsia" w:ascii="宋体" w:hAnsi="宋体" w:cs="宋体"/>
          <w:sz w:val="24"/>
        </w:rPr>
      </w:pPr>
      <w:r>
        <w:rPr>
          <w:rFonts w:hint="eastAsia" w:ascii="宋体" w:hAnsi="宋体" w:cs="宋体"/>
          <w:sz w:val="24"/>
        </w:rPr>
        <w:t xml:space="preserve">名 称：江苏航运职业技术学院</w:t>
      </w:r>
      <w:r/>
    </w:p>
    <w:p>
      <w:pPr>
        <w:pStyle w:val="836"/>
        <w:ind w:firstLine="480"/>
        <w:spacing w:line="360" w:lineRule="auto"/>
        <w:rPr>
          <w:rFonts w:hint="eastAsia" w:ascii="宋体" w:hAnsi="宋体" w:cs="宋体"/>
          <w:sz w:val="24"/>
        </w:rPr>
      </w:pPr>
      <w:r>
        <w:rPr>
          <w:rFonts w:hint="eastAsia" w:ascii="宋体" w:hAnsi="宋体" w:cs="宋体"/>
          <w:sz w:val="24"/>
        </w:rPr>
        <w:t xml:space="preserve">地址：南通市开发区通盛大道185号</w:t>
      </w:r>
      <w:r/>
    </w:p>
    <w:p>
      <w:pPr>
        <w:pStyle w:val="836"/>
        <w:ind w:firstLine="480"/>
        <w:spacing w:line="360" w:lineRule="auto"/>
        <w:rPr>
          <w:rFonts w:hint="eastAsia" w:ascii="宋体" w:hAnsi="宋体" w:cs="宋体"/>
          <w:sz w:val="24"/>
        </w:rPr>
      </w:pPr>
      <w:r>
        <w:rPr>
          <w:rFonts w:hint="eastAsia" w:ascii="宋体" w:hAnsi="宋体" w:cs="宋体"/>
          <w:sz w:val="24"/>
        </w:rPr>
        <w:t xml:space="preserve">联系人：陶老师</w:t>
      </w:r>
      <w:r/>
    </w:p>
    <w:p>
      <w:pPr>
        <w:pStyle w:val="836"/>
        <w:ind w:firstLine="480"/>
        <w:spacing w:line="360" w:lineRule="auto"/>
        <w:rPr>
          <w:rFonts w:hint="eastAsia" w:ascii="宋体" w:hAnsi="宋体" w:cs="宋体"/>
          <w:sz w:val="24"/>
        </w:rPr>
      </w:pPr>
      <w:r>
        <w:rPr>
          <w:rFonts w:hint="eastAsia" w:ascii="宋体" w:hAnsi="宋体" w:cs="宋体"/>
          <w:sz w:val="24"/>
        </w:rPr>
        <w:t xml:space="preserve">联系方式：18796083287</w:t>
      </w:r>
      <w:r/>
    </w:p>
    <w:p>
      <w:pPr>
        <w:pStyle w:val="836"/>
        <w:ind w:firstLine="480"/>
        <w:spacing w:line="360" w:lineRule="auto"/>
        <w:rPr>
          <w:rFonts w:hint="eastAsia" w:ascii="宋体" w:hAnsi="宋体" w:cs="宋体"/>
          <w:sz w:val="24"/>
        </w:rPr>
      </w:pPr>
      <w:r>
        <w:rPr>
          <w:rFonts w:hint="eastAsia" w:ascii="宋体" w:hAnsi="宋体" w:cs="宋体"/>
          <w:sz w:val="24"/>
        </w:rPr>
        <w:t xml:space="preserve">2.采购代理机构信息</w:t>
      </w:r>
      <w:r/>
    </w:p>
    <w:p>
      <w:pPr>
        <w:pStyle w:val="836"/>
        <w:ind w:firstLine="480"/>
        <w:spacing w:line="360" w:lineRule="auto"/>
        <w:rPr>
          <w:rFonts w:hint="eastAsia" w:ascii="宋体" w:hAnsi="宋体" w:cs="宋体"/>
          <w:sz w:val="24"/>
        </w:rPr>
      </w:pPr>
      <w:r>
        <w:rPr>
          <w:rFonts w:hint="eastAsia" w:ascii="宋体" w:hAnsi="宋体" w:cs="宋体"/>
          <w:sz w:val="24"/>
        </w:rPr>
        <w:t xml:space="preserve">单位名称：南通市经济技术开发区公共资源交易中心</w:t>
      </w:r>
      <w:r/>
    </w:p>
    <w:p>
      <w:pPr>
        <w:pStyle w:val="836"/>
        <w:ind w:firstLine="480"/>
        <w:spacing w:line="360" w:lineRule="auto"/>
        <w:rPr>
          <w:rFonts w:hint="eastAsia" w:ascii="宋体" w:hAnsi="宋体" w:cs="宋体"/>
          <w:sz w:val="24"/>
        </w:rPr>
      </w:pPr>
      <w:r>
        <w:rPr>
          <w:rFonts w:hint="eastAsia" w:ascii="宋体" w:hAnsi="宋体" w:cs="宋体"/>
          <w:sz w:val="24"/>
        </w:rPr>
        <w:t xml:space="preserve">单位地址：南通市经济技术开发区宏兴路9号</w:t>
      </w:r>
      <w:r/>
    </w:p>
    <w:p>
      <w:pPr>
        <w:pStyle w:val="836"/>
        <w:ind w:firstLine="480"/>
        <w:spacing w:line="360" w:lineRule="auto"/>
        <w:rPr>
          <w:rFonts w:hint="eastAsia" w:ascii="宋体" w:hAnsi="宋体" w:cs="宋体"/>
          <w:sz w:val="24"/>
        </w:rPr>
      </w:pPr>
      <w:r>
        <w:rPr>
          <w:rFonts w:hint="eastAsia" w:ascii="宋体" w:hAnsi="宋体" w:cs="宋体"/>
          <w:sz w:val="24"/>
        </w:rPr>
        <w:t xml:space="preserve">联系人：经办</w:t>
      </w:r>
      <w:r>
        <w:rPr>
          <w:rFonts w:hint="eastAsia" w:ascii="宋体" w:hAnsi="宋体" w:cs="宋体"/>
          <w:sz w:val="24"/>
        </w:rPr>
        <w:t xml:space="preserve">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联系电话：</w:t>
      </w:r>
      <w:r>
        <w:rPr>
          <w:rFonts w:ascii="宋体" w:hAnsi="宋体" w:cs="宋体"/>
          <w:sz w:val="24"/>
        </w:rPr>
        <w:t xml:space="preserve">0513-81196997</w:t>
      </w:r>
      <w:r>
        <w:rPr>
          <w:rFonts w:hint="eastAsia" w:ascii="宋体" w:hAnsi="宋体" w:cs="宋体"/>
          <w:sz w:val="24"/>
        </w:rPr>
        <w:t xml:space="preserve">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3.项目联系方式</w:t>
      </w:r>
      <w:r/>
    </w:p>
    <w:p>
      <w:pPr>
        <w:pStyle w:val="836"/>
        <w:ind w:firstLine="480"/>
        <w:spacing w:line="360" w:lineRule="auto"/>
        <w:rPr>
          <w:rFonts w:hint="eastAsia" w:ascii="宋体" w:hAnsi="宋体" w:cs="宋体"/>
          <w:sz w:val="24"/>
        </w:rPr>
      </w:pPr>
      <w:r>
        <w:rPr>
          <w:rFonts w:hint="eastAsia" w:ascii="宋体" w:hAnsi="宋体" w:cs="宋体"/>
          <w:sz w:val="24"/>
        </w:rPr>
        <w:t xml:space="preserve">项目联系人：经办</w:t>
      </w:r>
      <w:r>
        <w:rPr>
          <w:rFonts w:hint="eastAsia" w:ascii="宋体" w:hAnsi="宋体" w:cs="宋体"/>
          <w:sz w:val="24"/>
        </w:rPr>
        <w:t xml:space="preserve">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电话：</w:t>
      </w:r>
      <w:r>
        <w:rPr>
          <w:rFonts w:ascii="宋体" w:hAnsi="宋体" w:cs="宋体"/>
          <w:sz w:val="24"/>
        </w:rPr>
        <w:t xml:space="preserve">0513-81196997</w:t>
      </w:r>
      <w:r>
        <w:rPr>
          <w:rFonts w:hint="eastAsia" w:ascii="宋体" w:hAnsi="宋体" w:cs="宋体"/>
          <w:sz w:val="24"/>
        </w:rPr>
        <w:t xml:space="preserve"> </w:t>
      </w:r>
      <w:r>
        <w:rPr>
          <w:rFonts w:hint="eastAsia" w:ascii="宋体" w:hAnsi="宋体" w:cs="宋体"/>
          <w:sz w:val="24"/>
        </w:rPr>
      </w:r>
      <w:r/>
    </w:p>
    <w:p>
      <w:pPr>
        <w:pStyle w:val="836"/>
        <w:ind w:firstLine="480"/>
        <w:jc w:val="center"/>
        <w:spacing w:line="360" w:lineRule="auto"/>
        <w:rPr>
          <w:rFonts w:hint="eastAsia" w:ascii="宋体" w:hAnsi="宋体" w:cs="宋体"/>
          <w:bCs/>
          <w:sz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pStyle w:val="836"/>
        <w:jc w:val="center"/>
        <w:spacing w:line="500" w:lineRule="exact"/>
        <w:rPr>
          <w:rFonts w:hint="eastAsia" w:ascii="宋体" w:hAnsi="宋体" w:cs="宋体"/>
          <w:b/>
          <w:sz w:val="36"/>
          <w:szCs w:val="36"/>
        </w:rPr>
        <w:outlineLvl w:val="0"/>
      </w:pPr>
      <w:r>
        <w:rPr>
          <w:rFonts w:hint="eastAsia" w:ascii="宋体" w:hAnsi="宋体" w:cs="宋体"/>
          <w:b/>
          <w:sz w:val="36"/>
          <w:szCs w:val="36"/>
        </w:rPr>
        <w:t xml:space="preserve">第二部分  投标须知</w:t>
      </w:r>
      <w:r/>
    </w:p>
    <w:p>
      <w:pPr>
        <w:pStyle w:val="836"/>
        <w:rPr>
          <w:rFonts w:hint="eastAsia" w:ascii="宋体" w:hAnsi="宋体" w:cs="宋体"/>
          <w:sz w:val="24"/>
        </w:rPr>
      </w:pPr>
      <w:r/>
      <w:bookmarkStart w:id="6" w:name="_Toc16938519"/>
      <w:r/>
      <w:bookmarkStart w:id="7" w:name="_Toc20823275"/>
      <w:r/>
      <w:bookmarkStart w:id="8" w:name="_Toc120614214"/>
      <w:r/>
      <w:bookmarkStart w:id="9" w:name="_Toc513029203"/>
      <w:r>
        <w:rPr>
          <w:rFonts w:hint="eastAsia" w:ascii="宋体" w:hAnsi="宋体" w:cs="宋体"/>
          <w:sz w:val="24"/>
        </w:rPr>
      </w:r>
      <w:r/>
    </w:p>
    <w:p>
      <w:pPr>
        <w:pStyle w:val="836"/>
        <w:ind w:firstLine="480"/>
        <w:spacing w:line="360" w:lineRule="auto"/>
        <w:rPr>
          <w:rFonts w:hint="eastAsia" w:ascii="宋体" w:hAnsi="宋体" w:cs="宋体"/>
          <w:sz w:val="24"/>
        </w:rPr>
        <w:outlineLvl w:val="2"/>
      </w:pPr>
      <w:r>
        <w:rPr>
          <w:rFonts w:hint="eastAsia" w:ascii="宋体" w:hAnsi="宋体" w:cs="宋体"/>
          <w:sz w:val="24"/>
        </w:rPr>
        <w:t xml:space="preserve">一 </w:t>
      </w:r>
      <w:r>
        <w:rPr>
          <w:rFonts w:hint="eastAsia" w:ascii="宋体" w:hAnsi="宋体" w:cs="宋体"/>
          <w:b/>
          <w:sz w:val="24"/>
        </w:rPr>
        <w:t xml:space="preserve">总则</w:t>
      </w:r>
      <w:bookmarkEnd w:id="6"/>
      <w:r/>
      <w:bookmarkEnd w:id="7"/>
      <w:r/>
      <w:bookmarkEnd w:id="8"/>
      <w:r/>
      <w:bookmarkEnd w:id="9"/>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10" w:name="_Hlt16619475"/>
      <w:r/>
      <w:bookmarkEnd w:id="10"/>
      <w:r/>
      <w:bookmarkStart w:id="11" w:name="_Toc458694821"/>
      <w:r/>
      <w:bookmarkStart w:id="12" w:name="_Toc16938520"/>
      <w:r/>
      <w:bookmarkStart w:id="13" w:name="_Toc513029204"/>
      <w:r/>
      <w:bookmarkStart w:id="14" w:name="_Toc20823276"/>
      <w:r>
        <w:rPr>
          <w:rFonts w:hint="eastAsia" w:ascii="宋体" w:hAnsi="宋体" w:eastAsia="宋体" w:cs="宋体"/>
          <w:sz w:val="24"/>
          <w:szCs w:val="24"/>
        </w:rPr>
        <w:t xml:space="preserve">1</w:t>
      </w:r>
      <w:bookmarkEnd w:id="11"/>
      <w:r>
        <w:rPr>
          <w:rFonts w:hint="eastAsia" w:ascii="宋体" w:hAnsi="宋体" w:eastAsia="宋体" w:cs="宋体"/>
          <w:sz w:val="24"/>
          <w:szCs w:val="24"/>
        </w:rPr>
        <w:t xml:space="preserve">.招标方式</w:t>
      </w:r>
      <w:bookmarkEnd w:id="12"/>
      <w:r/>
      <w:bookmarkEnd w:id="13"/>
      <w:r/>
      <w:bookmarkEnd w:id="14"/>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1.1 本次招标采取公开招标方式，本招标文件仅适用于招标公告中所述项目。</w:t>
      </w:r>
      <w:r/>
    </w:p>
    <w:p>
      <w:pPr>
        <w:pStyle w:val="840"/>
        <w:ind w:firstLine="480"/>
        <w:jc w:val="both"/>
        <w:spacing w:line="360" w:lineRule="auto"/>
        <w:rPr>
          <w:rFonts w:hint="eastAsia" w:ascii="宋体" w:hAnsi="宋体" w:eastAsia="宋体" w:cs="宋体"/>
          <w:b/>
          <w:bCs/>
          <w:sz w:val="24"/>
          <w:szCs w:val="24"/>
        </w:rPr>
      </w:pPr>
      <w:r/>
      <w:bookmarkStart w:id="15" w:name="_Toc20823277"/>
      <w:r/>
      <w:bookmarkStart w:id="16" w:name="_Toc16938521"/>
      <w:r/>
      <w:bookmarkStart w:id="17" w:name="_Toc513029205"/>
      <w:r>
        <w:rPr>
          <w:rFonts w:hint="eastAsia" w:ascii="宋体" w:hAnsi="宋体" w:eastAsia="宋体" w:cs="宋体"/>
          <w:sz w:val="24"/>
          <w:szCs w:val="24"/>
        </w:rPr>
        <w:t xml:space="preserve">2.合格的投标人</w:t>
      </w:r>
      <w:bookmarkEnd w:id="15"/>
      <w:r/>
      <w:bookmarkEnd w:id="16"/>
      <w:r/>
      <w:bookmarkEnd w:id="17"/>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满足招标公告中供应商的资格要求的规定。</w:t>
      </w:r>
      <w:r/>
    </w:p>
    <w:p>
      <w:pPr>
        <w:pStyle w:val="836"/>
        <w:ind w:firstLine="480"/>
        <w:spacing w:line="360" w:lineRule="auto"/>
        <w:rPr>
          <w:rFonts w:hint="eastAsia" w:ascii="宋体" w:hAnsi="宋体" w:cs="宋体"/>
          <w:sz w:val="24"/>
        </w:rPr>
      </w:pPr>
      <w:r>
        <w:rPr>
          <w:rFonts w:hint="eastAsia" w:ascii="宋体" w:hAnsi="宋体" w:cs="宋体"/>
          <w:sz w:val="24"/>
        </w:rPr>
        <w:t xml:space="preserve">2.2 满足本文件实质性条款的规定。</w:t>
      </w:r>
      <w:r/>
    </w:p>
    <w:p>
      <w:pPr>
        <w:pStyle w:val="840"/>
        <w:ind w:firstLine="480"/>
        <w:jc w:val="both"/>
        <w:spacing w:line="360" w:lineRule="auto"/>
        <w:rPr>
          <w:rFonts w:hint="eastAsia" w:ascii="宋体" w:hAnsi="宋体" w:eastAsia="宋体" w:cs="宋体"/>
          <w:b/>
          <w:bCs/>
          <w:sz w:val="24"/>
          <w:szCs w:val="24"/>
        </w:rPr>
      </w:pPr>
      <w:r/>
      <w:bookmarkStart w:id="18" w:name="_Toc513029206"/>
      <w:r/>
      <w:bookmarkStart w:id="19" w:name="_Toc16938522"/>
      <w:r/>
      <w:bookmarkStart w:id="20" w:name="_Toc20823278"/>
      <w:r>
        <w:rPr>
          <w:rFonts w:hint="eastAsia" w:ascii="宋体" w:hAnsi="宋体" w:eastAsia="宋体" w:cs="宋体"/>
          <w:sz w:val="24"/>
          <w:szCs w:val="24"/>
        </w:rPr>
        <w:t xml:space="preserve">3.适用法律</w:t>
      </w:r>
      <w:bookmarkEnd w:id="18"/>
      <w:r/>
      <w:bookmarkEnd w:id="19"/>
      <w:r/>
      <w:bookmarkEnd w:id="20"/>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840"/>
        <w:ind w:firstLine="480"/>
        <w:jc w:val="both"/>
        <w:spacing w:line="360" w:lineRule="auto"/>
        <w:rPr>
          <w:rFonts w:hint="eastAsia" w:ascii="宋体" w:hAnsi="宋体" w:eastAsia="宋体" w:cs="宋体"/>
          <w:b/>
          <w:bCs/>
          <w:sz w:val="24"/>
          <w:szCs w:val="24"/>
        </w:rPr>
      </w:pPr>
      <w:r/>
      <w:bookmarkStart w:id="21" w:name="_Toc513029207"/>
      <w:r/>
      <w:bookmarkStart w:id="22" w:name="_Toc20823279"/>
      <w:r/>
      <w:bookmarkStart w:id="23" w:name="_Toc16938523"/>
      <w:r/>
      <w:bookmarkStart w:id="24" w:name="_Toc462564067"/>
      <w:r>
        <w:rPr>
          <w:rFonts w:hint="eastAsia" w:ascii="宋体" w:hAnsi="宋体" w:eastAsia="宋体" w:cs="宋体"/>
          <w:sz w:val="24"/>
          <w:szCs w:val="24"/>
        </w:rPr>
        <w:t xml:space="preserve">4.投标费用</w:t>
      </w:r>
      <w:bookmarkEnd w:id="21"/>
      <w:r/>
      <w:bookmarkEnd w:id="22"/>
      <w:r/>
      <w:bookmarkEnd w:id="23"/>
      <w:r/>
      <w:bookmarkEnd w:id="24"/>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4.1</w:t>
      </w:r>
      <w:r>
        <w:rPr>
          <w:rFonts w:hint="eastAsia" w:ascii="宋体" w:hAnsi="宋体" w:cs="宋体"/>
          <w:sz w:val="24"/>
        </w:rPr>
        <w:t xml:space="preserve"> 投标人应自行承担所有与参加投标有关的费用，无论投标过程中的做法和结果如何，南通市经济技术开发区公共资源交易中心在任何情况下均无义务和责任承担这些费用。</w:t>
      </w:r>
      <w:r/>
    </w:p>
    <w:p>
      <w:pPr>
        <w:pStyle w:val="836"/>
        <w:ind w:firstLine="480"/>
        <w:spacing w:line="360" w:lineRule="auto"/>
        <w:rPr>
          <w:rFonts w:hint="eastAsia" w:ascii="宋体" w:hAnsi="宋体" w:cs="宋体"/>
          <w:sz w:val="24"/>
        </w:rPr>
      </w:pPr>
      <w:r>
        <w:rPr>
          <w:rFonts w:hint="eastAsia" w:ascii="宋体" w:hAnsi="宋体" w:cs="宋体"/>
          <w:sz w:val="24"/>
        </w:rPr>
        <w:t xml:space="preserve">4.2 本次招标采购中心和采购人不收取标书工本费与中标服务费。</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5.招标文件的约束力</w:t>
      </w:r>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 投标人一旦参加本项目采购活动，即被认为接受了本招标文件的规定和约束。</w:t>
      </w:r>
      <w:r/>
    </w:p>
    <w:p>
      <w:pPr>
        <w:pStyle w:val="840"/>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6.招标文件的解释</w:t>
      </w:r>
      <w:r/>
    </w:p>
    <w:p>
      <w:pPr>
        <w:pStyle w:val="836"/>
        <w:ind w:firstLine="480"/>
        <w:spacing w:line="360" w:lineRule="auto"/>
        <w:rPr>
          <w:rFonts w:hint="eastAsia" w:ascii="宋体" w:hAnsi="宋体" w:cs="宋体"/>
          <w:sz w:val="24"/>
        </w:rPr>
      </w:pPr>
      <w:r>
        <w:rPr>
          <w:rFonts w:hint="eastAsia" w:ascii="宋体" w:hAnsi="宋体" w:cs="宋体"/>
          <w:bCs/>
          <w:sz w:val="24"/>
        </w:rPr>
        <w:t xml:space="preserve">6.1 </w:t>
      </w:r>
      <w:r>
        <w:rPr>
          <w:rFonts w:hint="eastAsia" w:ascii="宋体" w:hAnsi="宋体" w:cs="宋体"/>
          <w:sz w:val="24"/>
        </w:rPr>
        <w:t xml:space="preserve">招标文件需求部分（供应商资格要求、项目需求、商务技术评分标准）由采购人解释，其它部分由采购中心解释。</w:t>
      </w:r>
      <w:r/>
    </w:p>
    <w:p>
      <w:pPr>
        <w:pStyle w:val="836"/>
        <w:ind w:firstLine="480"/>
        <w:spacing w:line="360" w:lineRule="auto"/>
        <w:rPr>
          <w:rFonts w:hint="eastAsia" w:ascii="宋体" w:hAnsi="宋体" w:cs="宋体"/>
          <w:sz w:val="24"/>
        </w:rPr>
        <w:outlineLvl w:val="2"/>
      </w:pPr>
      <w:r/>
      <w:bookmarkStart w:id="25" w:name="_Toc20823281"/>
      <w:r/>
      <w:bookmarkStart w:id="26" w:name="_Toc16938525"/>
      <w:r/>
      <w:bookmarkStart w:id="27" w:name="_Toc120614215"/>
      <w:r/>
      <w:bookmarkStart w:id="28" w:name="_Toc513029209"/>
      <w:r>
        <w:rPr>
          <w:rFonts w:hint="eastAsia" w:ascii="宋体" w:hAnsi="宋体" w:cs="宋体"/>
          <w:sz w:val="24"/>
        </w:rPr>
        <w:t xml:space="preserve">二 </w:t>
      </w:r>
      <w:r>
        <w:rPr>
          <w:rFonts w:hint="eastAsia" w:ascii="宋体" w:hAnsi="宋体" w:cs="宋体"/>
          <w:b/>
          <w:sz w:val="24"/>
        </w:rPr>
        <w:t xml:space="preserve">招标文件</w:t>
      </w:r>
      <w:bookmarkEnd w:id="25"/>
      <w:r/>
      <w:bookmarkEnd w:id="26"/>
      <w:r/>
      <w:bookmarkEnd w:id="27"/>
      <w:r/>
      <w:bookmarkEnd w:id="28"/>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29" w:name="_Toc513029210"/>
      <w:r/>
      <w:bookmarkStart w:id="30" w:name="_Toc16938526"/>
      <w:r/>
      <w:bookmarkStart w:id="31" w:name="_Toc20823282"/>
      <w:r>
        <w:rPr>
          <w:rFonts w:hint="eastAsia" w:ascii="宋体" w:hAnsi="宋体" w:eastAsia="宋体" w:cs="宋体"/>
          <w:sz w:val="24"/>
          <w:szCs w:val="24"/>
        </w:rPr>
        <w:t xml:space="preserve">1.招标文件构成</w:t>
      </w:r>
      <w:bookmarkEnd w:id="29"/>
      <w:r/>
      <w:bookmarkEnd w:id="30"/>
      <w:r/>
      <w:bookmarkEnd w:id="31"/>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 招标文件由以下部分组成：</w:t>
      </w:r>
      <w:r/>
    </w:p>
    <w:p>
      <w:pPr>
        <w:pStyle w:val="836"/>
        <w:ind w:firstLine="480"/>
        <w:spacing w:line="360" w:lineRule="auto"/>
        <w:rPr>
          <w:rFonts w:hint="eastAsia" w:ascii="宋体" w:hAnsi="宋体" w:cs="宋体"/>
          <w:sz w:val="24"/>
        </w:rPr>
      </w:pPr>
      <w:r>
        <w:rPr>
          <w:rFonts w:hint="eastAsia" w:ascii="宋体" w:hAnsi="宋体" w:cs="宋体"/>
          <w:sz w:val="24"/>
        </w:rPr>
        <w:t xml:space="preserve">（1）投标邀请</w:t>
      </w:r>
      <w:r/>
    </w:p>
    <w:p>
      <w:pPr>
        <w:pStyle w:val="836"/>
        <w:ind w:firstLine="480"/>
        <w:spacing w:line="360" w:lineRule="auto"/>
        <w:rPr>
          <w:rFonts w:hint="eastAsia" w:ascii="宋体" w:hAnsi="宋体" w:cs="宋体"/>
          <w:sz w:val="24"/>
        </w:rPr>
      </w:pPr>
      <w:r>
        <w:rPr>
          <w:rFonts w:hint="eastAsia" w:ascii="宋体" w:hAnsi="宋体" w:cs="宋体"/>
          <w:sz w:val="24"/>
        </w:rPr>
        <w:t xml:space="preserve">（2）投标须知</w:t>
      </w:r>
      <w:r/>
    </w:p>
    <w:p>
      <w:pPr>
        <w:pStyle w:val="836"/>
        <w:ind w:firstLine="480"/>
        <w:spacing w:line="360" w:lineRule="auto"/>
        <w:rPr>
          <w:rFonts w:hint="eastAsia" w:ascii="宋体" w:hAnsi="宋体" w:cs="宋体"/>
          <w:sz w:val="24"/>
        </w:rPr>
      </w:pPr>
      <w:r>
        <w:rPr>
          <w:rFonts w:hint="eastAsia" w:ascii="宋体" w:hAnsi="宋体" w:cs="宋体"/>
          <w:sz w:val="24"/>
        </w:rPr>
        <w:t xml:space="preserve">（3）项目需求</w:t>
      </w:r>
      <w:r/>
    </w:p>
    <w:p>
      <w:pPr>
        <w:pStyle w:val="836"/>
        <w:ind w:firstLine="480"/>
        <w:spacing w:line="360" w:lineRule="auto"/>
        <w:rPr>
          <w:rFonts w:hint="eastAsia" w:ascii="宋体" w:hAnsi="宋体" w:cs="宋体"/>
          <w:sz w:val="24"/>
        </w:rPr>
      </w:pPr>
      <w:r>
        <w:rPr>
          <w:rFonts w:hint="eastAsia" w:ascii="宋体" w:hAnsi="宋体" w:cs="宋体"/>
          <w:sz w:val="24"/>
        </w:rPr>
        <w:t xml:space="preserve">（4）开标和评标</w:t>
      </w:r>
      <w:r/>
    </w:p>
    <w:p>
      <w:pPr>
        <w:pStyle w:val="836"/>
        <w:ind w:firstLine="480"/>
        <w:spacing w:line="360" w:lineRule="auto"/>
        <w:rPr>
          <w:rFonts w:hint="eastAsia" w:ascii="宋体" w:hAnsi="宋体" w:cs="宋体"/>
          <w:sz w:val="24"/>
        </w:rPr>
      </w:pPr>
      <w:r>
        <w:rPr>
          <w:rFonts w:hint="eastAsia" w:ascii="宋体" w:hAnsi="宋体" w:cs="宋体"/>
          <w:sz w:val="24"/>
        </w:rPr>
        <w:t xml:space="preserve">（5）投标文件组成</w:t>
      </w:r>
      <w:r/>
    </w:p>
    <w:p>
      <w:pPr>
        <w:pStyle w:val="836"/>
        <w:ind w:firstLine="480"/>
        <w:spacing w:line="360" w:lineRule="auto"/>
        <w:rPr>
          <w:rFonts w:hint="eastAsia" w:ascii="宋体" w:hAnsi="宋体" w:cs="宋体"/>
          <w:sz w:val="24"/>
        </w:rPr>
      </w:pPr>
      <w:r>
        <w:rPr>
          <w:rFonts w:hint="eastAsia" w:ascii="宋体" w:hAnsi="宋体" w:cs="宋体"/>
          <w:sz w:val="24"/>
        </w:rPr>
        <w:t xml:space="preserve">（6）附件（如有）</w:t>
      </w:r>
      <w:r/>
    </w:p>
    <w:p>
      <w:pPr>
        <w:pStyle w:val="836"/>
        <w:ind w:firstLine="480"/>
        <w:spacing w:line="360" w:lineRule="auto"/>
        <w:rPr>
          <w:rFonts w:hint="eastAsia" w:ascii="宋体" w:hAnsi="宋体" w:cs="宋体"/>
          <w:sz w:val="24"/>
        </w:rPr>
      </w:pPr>
      <w:r>
        <w:rPr>
          <w:rFonts w:hint="eastAsia" w:ascii="宋体" w:hAnsi="宋体" w:cs="宋体"/>
          <w:sz w:val="24"/>
        </w:rPr>
        <w:t xml:space="preserve">请仔细检查招标文件是否齐全，如有缺漏请立即与采购人联系解决。</w:t>
      </w:r>
      <w:r/>
    </w:p>
    <w:p>
      <w:pPr>
        <w:pStyle w:val="836"/>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0"/>
        <w:ind w:firstLine="480"/>
        <w:jc w:val="both"/>
        <w:spacing w:line="360" w:lineRule="auto"/>
        <w:rPr>
          <w:rFonts w:hint="eastAsia" w:ascii="宋体" w:hAnsi="宋体" w:eastAsia="宋体" w:cs="宋体"/>
          <w:b/>
          <w:bCs/>
          <w:sz w:val="24"/>
          <w:szCs w:val="24"/>
        </w:rPr>
      </w:pPr>
      <w:r/>
      <w:bookmarkStart w:id="32" w:name="_Toc513029211"/>
      <w:r/>
      <w:bookmarkStart w:id="33" w:name="_Toc16938527"/>
      <w:r/>
      <w:bookmarkStart w:id="34" w:name="_Toc462564070"/>
      <w:r/>
      <w:bookmarkStart w:id="35" w:name="_Toc20823283"/>
      <w:r>
        <w:rPr>
          <w:rFonts w:hint="eastAsia" w:ascii="宋体" w:hAnsi="宋体" w:eastAsia="宋体" w:cs="宋体"/>
          <w:sz w:val="24"/>
          <w:szCs w:val="24"/>
        </w:rPr>
        <w:t xml:space="preserve">2.招标文件的澄清</w:t>
      </w:r>
      <w:bookmarkEnd w:id="32"/>
      <w:r/>
      <w:bookmarkEnd w:id="33"/>
      <w:r/>
      <w:bookmarkEnd w:id="34"/>
      <w:r/>
      <w:bookmarkEnd w:id="35"/>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 任何要求对招标文件进行澄清的投标人，应在投标截止期十日前按招标公告中的通讯地址，以书面形式通知采购人。采购人有权对发出的招标文件进行必要的澄清或修改</w:t>
      </w:r>
      <w:r/>
    </w:p>
    <w:p>
      <w:pPr>
        <w:pStyle w:val="836"/>
        <w:ind w:firstLine="480"/>
        <w:spacing w:line="360" w:lineRule="auto"/>
        <w:rPr>
          <w:rFonts w:hint="eastAsia" w:ascii="宋体" w:hAnsi="宋体" w:cs="宋体"/>
          <w:sz w:val="24"/>
        </w:rPr>
      </w:pPr>
      <w:r>
        <w:rPr>
          <w:rFonts w:hint="eastAsia" w:ascii="宋体" w:hAnsi="宋体" w:cs="宋体"/>
          <w:sz w:val="24"/>
        </w:rPr>
        <w:t xml:space="preserve">2.2 采购人视情组织答疑会</w:t>
      </w:r>
      <w:r/>
    </w:p>
    <w:p>
      <w:pPr>
        <w:pStyle w:val="840"/>
        <w:ind w:firstLine="480"/>
        <w:jc w:val="both"/>
        <w:spacing w:line="360" w:lineRule="auto"/>
        <w:rPr>
          <w:rFonts w:hint="eastAsia" w:ascii="宋体" w:hAnsi="宋体" w:eastAsia="宋体" w:cs="宋体"/>
          <w:b/>
          <w:bCs/>
          <w:sz w:val="24"/>
          <w:szCs w:val="24"/>
        </w:rPr>
      </w:pPr>
      <w:r/>
      <w:bookmarkStart w:id="36" w:name="_Toc16938528"/>
      <w:r/>
      <w:bookmarkStart w:id="37" w:name="_Toc462564071"/>
      <w:r/>
      <w:bookmarkStart w:id="38" w:name="_Toc20823284"/>
      <w:r/>
      <w:bookmarkStart w:id="39" w:name="_Toc513029212"/>
      <w:r>
        <w:rPr>
          <w:rFonts w:hint="eastAsia" w:ascii="宋体" w:hAnsi="宋体" w:eastAsia="宋体" w:cs="宋体"/>
          <w:sz w:val="24"/>
          <w:szCs w:val="24"/>
        </w:rPr>
        <w:t xml:space="preserve">3.招标文件的修改</w:t>
      </w:r>
      <w:bookmarkEnd w:id="36"/>
      <w:r/>
      <w:bookmarkEnd w:id="37"/>
      <w:r/>
      <w:bookmarkEnd w:id="38"/>
      <w:r/>
      <w:bookmarkEnd w:id="39"/>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3.1</w:t>
      </w:r>
      <w:r>
        <w:rPr>
          <w:rFonts w:hint="eastAsia" w:ascii="宋体" w:hAnsi="宋体" w:cs="宋体"/>
          <w:sz w:val="24"/>
        </w:rPr>
        <w:t xml:space="preserve"> 在投标截止时间前，采购人可以对招标文件进行修改。</w:t>
      </w:r>
      <w:r/>
    </w:p>
    <w:p>
      <w:pPr>
        <w:pStyle w:val="836"/>
        <w:ind w:firstLine="480"/>
        <w:spacing w:line="360" w:lineRule="auto"/>
        <w:rPr>
          <w:rFonts w:hint="eastAsia" w:ascii="宋体" w:hAnsi="宋体" w:cs="宋体"/>
          <w:sz w:val="24"/>
        </w:rPr>
      </w:pPr>
      <w:r>
        <w:rPr>
          <w:rFonts w:hint="eastAsia" w:ascii="宋体" w:hAnsi="宋体" w:cs="宋体"/>
          <w:bCs/>
          <w:sz w:val="24"/>
        </w:rPr>
        <w:t xml:space="preserve">3.2 </w:t>
      </w:r>
      <w:r>
        <w:rPr>
          <w:rFonts w:hint="eastAsia" w:ascii="宋体" w:hAnsi="宋体" w:cs="宋体"/>
          <w:sz w:val="24"/>
        </w:rPr>
        <w:t xml:space="preserve">采购人有权按照法定的要求推迟投标截止日期和开标日期。</w:t>
      </w:r>
      <w:r/>
    </w:p>
    <w:p>
      <w:pPr>
        <w:pStyle w:val="836"/>
        <w:ind w:firstLine="480"/>
        <w:spacing w:line="360" w:lineRule="auto"/>
        <w:rPr>
          <w:rFonts w:hint="eastAsia" w:ascii="宋体" w:hAnsi="宋体" w:cs="宋体"/>
          <w:sz w:val="24"/>
        </w:rPr>
      </w:pPr>
      <w:r>
        <w:rPr>
          <w:rFonts w:hint="eastAsia" w:ascii="宋体" w:hAnsi="宋体" w:cs="宋体"/>
          <w:bCs/>
          <w:sz w:val="24"/>
        </w:rPr>
        <w:t xml:space="preserve">3.3 </w:t>
      </w:r>
      <w:r>
        <w:rPr>
          <w:rFonts w:hint="eastAsia" w:ascii="宋体" w:hAnsi="宋体" w:cs="宋体"/>
          <w:sz w:val="24"/>
        </w:rPr>
        <w:t xml:space="preserve">招标文件的修改将在江苏政府采购网公布，补充文件将作为招标文件的组成部分，并对投标人具有约束力。</w:t>
      </w:r>
      <w:r/>
    </w:p>
    <w:p>
      <w:pPr>
        <w:pStyle w:val="836"/>
        <w:ind w:firstLine="482"/>
        <w:spacing w:line="360" w:lineRule="auto"/>
        <w:rPr>
          <w:rFonts w:hint="eastAsia" w:ascii="宋体" w:hAnsi="宋体" w:cs="宋体"/>
          <w:b/>
          <w:bCs/>
          <w:sz w:val="24"/>
        </w:rPr>
        <w:outlineLvl w:val="2"/>
      </w:pPr>
      <w:r/>
      <w:bookmarkStart w:id="40" w:name="_Toc513029213"/>
      <w:r/>
      <w:bookmarkStart w:id="41" w:name="_Toc20823285"/>
      <w:r/>
      <w:bookmarkStart w:id="42" w:name="_Toc16938529"/>
      <w:r/>
      <w:bookmarkStart w:id="43" w:name="_Toc462564072"/>
      <w:r/>
      <w:bookmarkStart w:id="44" w:name="_Toc120614216"/>
      <w:r>
        <w:rPr>
          <w:rFonts w:hint="eastAsia" w:ascii="宋体" w:hAnsi="宋体" w:cs="宋体"/>
          <w:b/>
          <w:bCs/>
          <w:sz w:val="24"/>
        </w:rPr>
        <w:t xml:space="preserve">三 投标文件的编制</w:t>
      </w:r>
      <w:bookmarkEnd w:id="40"/>
      <w:r/>
      <w:bookmarkEnd w:id="41"/>
      <w:r/>
      <w:bookmarkEnd w:id="42"/>
      <w:r/>
      <w:bookmarkEnd w:id="43"/>
      <w:r/>
      <w:bookmarkEnd w:id="44"/>
      <w:r>
        <w:rPr>
          <w:rFonts w:hint="eastAsia" w:ascii="宋体" w:hAnsi="宋体" w:cs="宋体"/>
          <w:b/>
          <w:bCs/>
          <w:sz w:val="24"/>
        </w:rPr>
      </w:r>
      <w:r/>
    </w:p>
    <w:p>
      <w:pPr>
        <w:pStyle w:val="840"/>
        <w:ind w:firstLine="480"/>
        <w:jc w:val="both"/>
        <w:spacing w:line="360" w:lineRule="auto"/>
        <w:rPr>
          <w:rFonts w:hint="eastAsia" w:ascii="宋体" w:hAnsi="宋体" w:eastAsia="宋体" w:cs="宋体"/>
          <w:bCs/>
          <w:sz w:val="24"/>
          <w:szCs w:val="24"/>
        </w:rPr>
      </w:pPr>
      <w:r/>
      <w:bookmarkStart w:id="45" w:name="_Toc513029214"/>
      <w:r/>
      <w:bookmarkStart w:id="46" w:name="_Toc16938530"/>
      <w:r/>
      <w:bookmarkStart w:id="47" w:name="_Toc20823286"/>
      <w:r/>
      <w:bookmarkStart w:id="48" w:name="_Toc462564073"/>
      <w:r>
        <w:rPr>
          <w:rFonts w:hint="eastAsia" w:ascii="宋体" w:hAnsi="宋体" w:eastAsia="宋体" w:cs="宋体"/>
          <w:sz w:val="24"/>
          <w:szCs w:val="24"/>
        </w:rPr>
        <w:t xml:space="preserve">1.投标文件的语言及度量衡单位</w:t>
      </w:r>
      <w:bookmarkEnd w:id="45"/>
      <w:r/>
      <w:bookmarkEnd w:id="46"/>
      <w:r/>
      <w:bookmarkEnd w:id="47"/>
      <w:r/>
      <w:bookmarkEnd w:id="48"/>
      <w:r>
        <w:rPr>
          <w:rFonts w:hint="eastAsia" w:ascii="宋体" w:hAnsi="宋体" w:eastAsia="宋体" w:cs="宋体"/>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 投标人提交的投标文件以及投标人与交易中心就有关投标的所有来往通知、函件和文件均应使用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pStyle w:val="836"/>
        <w:ind w:firstLine="480"/>
        <w:spacing w:line="360" w:lineRule="auto"/>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 除技术性能另有规定外，投标文件所使用的度量衡单位，均须采用国家法定计量单位。</w:t>
      </w:r>
      <w:r/>
    </w:p>
    <w:p>
      <w:pPr>
        <w:pStyle w:val="840"/>
        <w:ind w:firstLine="480"/>
        <w:jc w:val="both"/>
        <w:spacing w:line="360" w:lineRule="auto"/>
        <w:rPr>
          <w:rFonts w:hint="eastAsia" w:ascii="宋体" w:hAnsi="宋体" w:eastAsia="宋体" w:cs="宋体"/>
          <w:b/>
          <w:bCs/>
          <w:sz w:val="24"/>
          <w:szCs w:val="24"/>
        </w:rPr>
      </w:pPr>
      <w:r/>
      <w:bookmarkStart w:id="49" w:name="_Toc16938531"/>
      <w:r/>
      <w:bookmarkStart w:id="50" w:name="_Toc513029215"/>
      <w:r/>
      <w:bookmarkStart w:id="51" w:name="_Toc462564074"/>
      <w:r/>
      <w:bookmarkStart w:id="52" w:name="_Toc20823287"/>
      <w:r>
        <w:rPr>
          <w:rFonts w:hint="eastAsia" w:ascii="宋体" w:hAnsi="宋体" w:eastAsia="宋体" w:cs="宋体"/>
          <w:sz w:val="24"/>
          <w:szCs w:val="24"/>
        </w:rPr>
        <w:t xml:space="preserve">2.投标文件构成</w:t>
      </w:r>
      <w:bookmarkEnd w:id="49"/>
      <w:r/>
      <w:bookmarkEnd w:id="50"/>
      <w:r/>
      <w:bookmarkEnd w:id="51"/>
      <w:r/>
      <w:bookmarkEnd w:id="52"/>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 投标人编写的投标文件应包括资格审查证明材料文件、商务技术标文件、价格标文件。供应商按“第五部分 投标文件组成”要求编写投标文件。</w:t>
      </w:r>
      <w:r/>
    </w:p>
    <w:p>
      <w:pPr>
        <w:pStyle w:val="840"/>
        <w:ind w:firstLine="480"/>
        <w:jc w:val="both"/>
        <w:spacing w:line="360" w:lineRule="auto"/>
        <w:rPr>
          <w:rFonts w:hint="eastAsia" w:ascii="宋体" w:hAnsi="宋体" w:eastAsia="宋体" w:cs="宋体"/>
          <w:b/>
          <w:bCs/>
          <w:sz w:val="24"/>
          <w:szCs w:val="24"/>
        </w:rPr>
      </w:pPr>
      <w:r/>
      <w:bookmarkStart w:id="53" w:name="_Hlt26954838"/>
      <w:r/>
      <w:bookmarkEnd w:id="53"/>
      <w:r/>
      <w:bookmarkStart w:id="54" w:name="_Hlt26668975"/>
      <w:r/>
      <w:bookmarkEnd w:id="54"/>
      <w:r/>
      <w:bookmarkStart w:id="55" w:name="_Hlt26670360"/>
      <w:r/>
      <w:bookmarkEnd w:id="55"/>
      <w:r/>
      <w:bookmarkStart w:id="56" w:name="_Toc49090511"/>
      <w:r/>
      <w:bookmarkStart w:id="57" w:name="_Toc14577360"/>
      <w:r>
        <w:rPr>
          <w:rFonts w:hint="eastAsia" w:ascii="宋体" w:hAnsi="宋体" w:eastAsia="宋体" w:cs="宋体"/>
          <w:sz w:val="24"/>
          <w:szCs w:val="24"/>
        </w:rPr>
        <w:t xml:space="preserve">3.投标有效期</w:t>
      </w:r>
      <w:bookmarkEnd w:id="56"/>
      <w:r/>
      <w:bookmarkEnd w:id="57"/>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3.1 投标有效期为采购中心规定的开标之日后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4.投标有效期的延长</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4.1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pStyle w:val="836"/>
        <w:ind w:firstLine="482"/>
        <w:spacing w:line="360" w:lineRule="auto"/>
        <w:rPr>
          <w:rFonts w:hint="eastAsia" w:ascii="宋体" w:hAnsi="宋体" w:cs="宋体"/>
          <w:b/>
          <w:bCs/>
          <w:sz w:val="24"/>
        </w:rPr>
        <w:outlineLvl w:val="2"/>
      </w:pPr>
      <w:r/>
      <w:bookmarkStart w:id="58" w:name="_Hlt26954852"/>
      <w:r/>
      <w:bookmarkEnd w:id="58"/>
      <w:r/>
      <w:bookmarkStart w:id="59" w:name="_Toc16938540"/>
      <w:r/>
      <w:bookmarkStart w:id="60" w:name="_Toc513029224"/>
      <w:r/>
      <w:bookmarkStart w:id="61" w:name="_Toc120614217"/>
      <w:r/>
      <w:bookmarkStart w:id="62" w:name="_Toc20823296"/>
      <w:r/>
      <w:bookmarkStart w:id="63" w:name="_Hlt26954739"/>
      <w:r/>
      <w:bookmarkEnd w:id="63"/>
      <w:r>
        <w:rPr>
          <w:rFonts w:hint="eastAsia" w:ascii="宋体" w:hAnsi="宋体" w:cs="宋体"/>
          <w:b/>
          <w:bCs/>
          <w:sz w:val="24"/>
        </w:rPr>
        <w:t xml:space="preserve">四 投标文件的递交</w:t>
      </w:r>
      <w:bookmarkEnd w:id="59"/>
      <w:r/>
      <w:bookmarkEnd w:id="60"/>
      <w:r/>
      <w:bookmarkEnd w:id="61"/>
      <w:r/>
      <w:bookmarkEnd w:id="62"/>
      <w:r>
        <w:rPr>
          <w:rFonts w:hint="eastAsia" w:ascii="宋体" w:hAnsi="宋体" w:cs="宋体"/>
          <w:b/>
          <w:bCs/>
          <w:sz w:val="24"/>
        </w:rPr>
      </w:r>
      <w:r/>
    </w:p>
    <w:p>
      <w:pPr>
        <w:pStyle w:val="840"/>
        <w:ind w:firstLine="480"/>
        <w:jc w:val="both"/>
        <w:spacing w:line="360" w:lineRule="auto"/>
        <w:rPr>
          <w:rFonts w:hint="eastAsia" w:ascii="宋体" w:hAnsi="宋体" w:eastAsia="宋体" w:cs="宋体"/>
          <w:b/>
          <w:bCs/>
          <w:sz w:val="24"/>
          <w:szCs w:val="24"/>
        </w:rPr>
      </w:pPr>
      <w:r/>
      <w:bookmarkStart w:id="64" w:name="_Toc16938541"/>
      <w:r/>
      <w:bookmarkStart w:id="65" w:name="_Toc462564084"/>
      <w:r/>
      <w:bookmarkStart w:id="66" w:name="_Toc513029225"/>
      <w:r/>
      <w:bookmarkStart w:id="67" w:name="_Toc20823297"/>
      <w:r>
        <w:rPr>
          <w:rFonts w:hint="eastAsia" w:ascii="宋体" w:hAnsi="宋体" w:eastAsia="宋体" w:cs="宋体"/>
          <w:sz w:val="24"/>
          <w:szCs w:val="24"/>
        </w:rPr>
        <w:t xml:space="preserve">1.投标文件</w:t>
      </w:r>
      <w:bookmarkEnd w:id="64"/>
      <w:r/>
      <w:bookmarkEnd w:id="65"/>
      <w:r/>
      <w:bookmarkEnd w:id="66"/>
      <w:r/>
      <w:bookmarkEnd w:id="67"/>
      <w:r>
        <w:rPr>
          <w:rFonts w:hint="eastAsia" w:ascii="宋体" w:hAnsi="宋体" w:eastAsia="宋体" w:cs="宋体"/>
          <w:sz w:val="24"/>
          <w:szCs w:val="24"/>
        </w:rPr>
        <w:t xml:space="preserve">的递交</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w:t>
      </w:r>
      <w:bookmarkStart w:id="68" w:name="_Toc16938542"/>
      <w:r/>
      <w:bookmarkStart w:id="69" w:name="_Toc20823298"/>
      <w:r/>
      <w:bookmarkStart w:id="70" w:name="_Toc513029226"/>
      <w:r>
        <w:rPr>
          <w:rFonts w:hint="eastAsia" w:ascii="宋体" w:hAnsi="宋体" w:cs="宋体"/>
          <w:bCs/>
          <w:sz w:val="24"/>
        </w:rPr>
        <w:t xml:space="preserve"> 投标人应当按照《操作手册》规定，在投标截止时间前制作并上传电子投标文件。</w:t>
      </w:r>
      <w:r/>
    </w:p>
    <w:p>
      <w:pPr>
        <w:pStyle w:val="836"/>
        <w:ind w:firstLine="480"/>
        <w:spacing w:line="360" w:lineRule="auto"/>
        <w:rPr>
          <w:rFonts w:hint="eastAsia" w:ascii="宋体" w:hAnsi="宋体" w:cs="宋体"/>
          <w:b/>
          <w:sz w:val="24"/>
        </w:rPr>
      </w:pPr>
      <w:r>
        <w:rPr>
          <w:rFonts w:hint="eastAsia" w:ascii="宋体" w:hAnsi="宋体" w:cs="宋体"/>
          <w:sz w:val="24"/>
        </w:rPr>
        <w:t xml:space="preserve">2.投标截止日期</w:t>
      </w:r>
      <w:bookmarkEnd w:id="68"/>
      <w:r/>
      <w:bookmarkEnd w:id="69"/>
      <w:r/>
      <w:bookmarkEnd w:id="70"/>
      <w:r>
        <w:rPr>
          <w:rFonts w:hint="eastAsia" w:ascii="宋体" w:hAnsi="宋体" w:cs="宋体"/>
          <w:b/>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2.1 投标人上传电子投标文件的时间不得迟于招标公告中规定的投标截止时间。</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pStyle w:val="836"/>
        <w:ind w:firstLine="480"/>
        <w:spacing w:line="360" w:lineRule="auto"/>
        <w:rPr>
          <w:rFonts w:hint="eastAsia" w:ascii="宋体" w:hAnsi="宋体" w:cs="宋体"/>
          <w:bCs/>
          <w:sz w:val="24"/>
        </w:rPr>
      </w:pPr>
      <w:r>
        <w:rPr>
          <w:rFonts w:hint="eastAsia" w:ascii="宋体" w:hAnsi="宋体" w:cs="宋体"/>
          <w:sz w:val="24"/>
        </w:rPr>
        <w:t xml:space="preserve">2.2</w:t>
      </w:r>
      <w:r>
        <w:rPr>
          <w:rFonts w:hint="eastAsia" w:ascii="宋体" w:hAnsi="宋体" w:cs="宋体"/>
          <w:bCs/>
          <w:sz w:val="24"/>
        </w:rPr>
        <w:t xml:space="preserve"> 采购人可以按照规定，通过修改招标文件酌情延长投标截止日期，在此情况下，投标人的所有权利和义务以及投标人受制的截止日期均应以延长后新的截止日期为准。</w:t>
      </w:r>
      <w:r/>
    </w:p>
    <w:p>
      <w:pPr>
        <w:pStyle w:val="840"/>
        <w:ind w:firstLine="480"/>
        <w:jc w:val="both"/>
        <w:spacing w:line="360" w:lineRule="auto"/>
        <w:rPr>
          <w:rFonts w:hint="eastAsia" w:ascii="宋体" w:hAnsi="宋体" w:eastAsia="宋体" w:cs="宋体"/>
          <w:b/>
          <w:bCs/>
          <w:sz w:val="24"/>
          <w:szCs w:val="24"/>
        </w:rPr>
      </w:pPr>
      <w:r/>
      <w:bookmarkStart w:id="71" w:name="_Toc513029227"/>
      <w:r/>
      <w:bookmarkStart w:id="72" w:name="_Toc16938543"/>
      <w:r/>
      <w:bookmarkStart w:id="73" w:name="_Toc20823299"/>
      <w:r>
        <w:rPr>
          <w:rFonts w:hint="eastAsia" w:ascii="宋体" w:hAnsi="宋体" w:eastAsia="宋体" w:cs="宋体"/>
          <w:sz w:val="24"/>
          <w:szCs w:val="24"/>
        </w:rPr>
        <w:t xml:space="preserve">3.投标文件</w:t>
      </w:r>
      <w:bookmarkEnd w:id="71"/>
      <w:r/>
      <w:bookmarkEnd w:id="72"/>
      <w:r/>
      <w:bookmarkEnd w:id="73"/>
      <w:r>
        <w:rPr>
          <w:rFonts w:hint="eastAsia" w:ascii="宋体" w:hAnsi="宋体" w:eastAsia="宋体" w:cs="宋体"/>
          <w:sz w:val="24"/>
          <w:szCs w:val="24"/>
        </w:rPr>
        <w:t xml:space="preserve">的拒收</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3.1 采购人拒绝接收在其规定的投标截止时间后上传的任何投标文件。</w:t>
      </w:r>
      <w:r/>
    </w:p>
    <w:p>
      <w:pPr>
        <w:pStyle w:val="840"/>
        <w:ind w:firstLine="480"/>
        <w:jc w:val="both"/>
        <w:spacing w:line="360" w:lineRule="auto"/>
        <w:rPr>
          <w:rFonts w:hint="eastAsia" w:ascii="宋体" w:hAnsi="宋体" w:eastAsia="宋体" w:cs="宋体"/>
          <w:b/>
          <w:bCs/>
          <w:sz w:val="24"/>
          <w:szCs w:val="24"/>
        </w:rPr>
      </w:pPr>
      <w:r/>
      <w:bookmarkStart w:id="74" w:name="_Toc513029228"/>
      <w:r/>
      <w:bookmarkStart w:id="75" w:name="_Toc20823300"/>
      <w:r/>
      <w:bookmarkStart w:id="76" w:name="_Toc16938544"/>
      <w:r>
        <w:rPr>
          <w:rFonts w:hint="eastAsia" w:ascii="宋体" w:hAnsi="宋体" w:eastAsia="宋体" w:cs="宋体"/>
          <w:sz w:val="24"/>
          <w:szCs w:val="24"/>
        </w:rPr>
        <w:t xml:space="preserve">4.投标文件的撤回和修改</w:t>
      </w:r>
      <w:bookmarkEnd w:id="74"/>
      <w:r/>
      <w:bookmarkEnd w:id="75"/>
      <w:r/>
      <w:bookmarkEnd w:id="76"/>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4.1 投标文件的撤回</w:t>
      </w:r>
      <w:r/>
    </w:p>
    <w:p>
      <w:pPr>
        <w:pStyle w:val="836"/>
        <w:ind w:firstLine="480"/>
        <w:spacing w:line="360" w:lineRule="auto"/>
        <w:rPr>
          <w:rFonts w:hint="eastAsia" w:ascii="宋体" w:hAnsi="宋体" w:cs="宋体"/>
          <w:sz w:val="24"/>
        </w:rPr>
      </w:pPr>
      <w:r>
        <w:rPr>
          <w:rFonts w:hint="eastAsia" w:ascii="宋体" w:hAnsi="宋体" w:cs="宋体"/>
          <w:sz w:val="24"/>
        </w:rPr>
        <w:t xml:space="preserve">4.1.1 电子投标文件的撤回</w:t>
      </w:r>
      <w:r/>
    </w:p>
    <w:p>
      <w:pPr>
        <w:pStyle w:val="836"/>
        <w:ind w:firstLine="480"/>
        <w:spacing w:line="360" w:lineRule="auto"/>
        <w:rPr>
          <w:rFonts w:hint="eastAsia" w:ascii="宋体" w:hAnsi="宋体" w:cs="宋体"/>
          <w:sz w:val="24"/>
        </w:rPr>
      </w:pPr>
      <w:r>
        <w:rPr>
          <w:rFonts w:hint="eastAsia" w:ascii="宋体" w:hAnsi="宋体" w:cs="宋体"/>
          <w:sz w:val="24"/>
        </w:rPr>
        <w:t xml:space="preserve">投标人可在投标截止时间前，撤回其电子投标文件，具体操作方法见《操作手册》。</w:t>
      </w:r>
      <w:r/>
    </w:p>
    <w:p>
      <w:pPr>
        <w:pStyle w:val="836"/>
        <w:ind w:firstLine="480"/>
        <w:spacing w:line="360" w:lineRule="auto"/>
        <w:rPr>
          <w:rFonts w:hint="eastAsia" w:ascii="宋体" w:hAnsi="宋体" w:cs="宋体"/>
          <w:sz w:val="24"/>
        </w:rPr>
      </w:pPr>
      <w:r>
        <w:rPr>
          <w:rFonts w:hint="eastAsia" w:ascii="宋体" w:hAnsi="宋体" w:cs="宋体"/>
          <w:sz w:val="24"/>
        </w:rPr>
        <w:t xml:space="preserve">4.1.2 投标人撤回电子投标文件，则认为其不再参与本项目投标活动。</w:t>
      </w:r>
      <w:r/>
    </w:p>
    <w:p>
      <w:pPr>
        <w:pStyle w:val="836"/>
        <w:ind w:firstLine="480"/>
        <w:spacing w:line="360" w:lineRule="auto"/>
        <w:rPr>
          <w:rFonts w:hint="eastAsia" w:ascii="宋体" w:hAnsi="宋体" w:cs="宋体"/>
          <w:sz w:val="24"/>
        </w:rPr>
      </w:pPr>
      <w:r>
        <w:rPr>
          <w:rFonts w:hint="eastAsia" w:ascii="宋体" w:hAnsi="宋体" w:cs="宋体"/>
          <w:sz w:val="24"/>
        </w:rPr>
        <w:t xml:space="preserve">4.2 投标文件的修改</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投标人可在投标截止时间前，对其电子投标文件进行修改，具体操作方法见《</w:t>
      </w:r>
      <w:r>
        <w:rPr>
          <w:rFonts w:hint="eastAsia" w:ascii="宋体" w:hAnsi="宋体" w:cs="宋体"/>
          <w:sz w:val="24"/>
        </w:rPr>
        <w:t xml:space="preserve">操作手册</w:t>
      </w:r>
      <w:r>
        <w:rPr>
          <w:rFonts w:hint="eastAsia" w:ascii="宋体" w:hAnsi="宋体" w:cs="宋体"/>
          <w:bCs/>
          <w:sz w:val="24"/>
        </w:rPr>
        <w:t xml:space="preserve">》。</w:t>
      </w:r>
      <w:r/>
    </w:p>
    <w:p>
      <w:pPr>
        <w:pStyle w:val="836"/>
        <w:ind w:firstLine="480"/>
        <w:spacing w:line="360" w:lineRule="auto"/>
        <w:rPr>
          <w:rFonts w:hint="eastAsia" w:ascii="宋体" w:hAnsi="宋体" w:cs="宋体"/>
          <w:bCs/>
          <w:sz w:val="24"/>
        </w:rPr>
      </w:pPr>
      <w:r>
        <w:rPr>
          <w:rFonts w:hint="eastAsia" w:ascii="宋体" w:hAnsi="宋体" w:cs="宋体"/>
          <w:sz w:val="24"/>
        </w:rPr>
        <w:t xml:space="preserve">4.3</w:t>
      </w:r>
      <w:r>
        <w:rPr>
          <w:rFonts w:hint="eastAsia" w:ascii="宋体" w:hAnsi="宋体" w:cs="宋体"/>
          <w:bCs/>
          <w:sz w:val="24"/>
        </w:rPr>
        <w:t xml:space="preserve"> 在投标截止时间之后，投标人不得对其电子投标文件作任何修改。</w:t>
      </w:r>
      <w:r/>
    </w:p>
    <w:p>
      <w:pPr>
        <w:pStyle w:val="836"/>
        <w:ind w:firstLine="480"/>
        <w:spacing w:line="360" w:lineRule="auto"/>
        <w:rPr>
          <w:rFonts w:hint="eastAsia" w:ascii="宋体" w:hAnsi="宋体" w:cs="宋体"/>
          <w:bCs/>
          <w:sz w:val="24"/>
        </w:rPr>
      </w:pPr>
      <w:r>
        <w:rPr>
          <w:rFonts w:hint="eastAsia" w:ascii="宋体" w:hAnsi="宋体" w:cs="宋体"/>
          <w:sz w:val="24"/>
        </w:rPr>
        <w:t xml:space="preserve">4.4</w:t>
      </w:r>
      <w:r>
        <w:rPr>
          <w:rFonts w:hint="eastAsia" w:ascii="宋体" w:hAnsi="宋体" w:cs="宋体"/>
          <w:bCs/>
          <w:sz w:val="24"/>
        </w:rPr>
        <w:t xml:space="preserve"> 在投标截止时间至招标文件中规定的投标有效期满之间的这段时间内，投标人不得撤回其投标。</w:t>
      </w:r>
      <w:r/>
    </w:p>
    <w:p>
      <w:pPr>
        <w:pStyle w:val="836"/>
        <w:ind w:firstLine="482"/>
        <w:spacing w:line="360" w:lineRule="auto"/>
        <w:rPr>
          <w:rFonts w:hint="eastAsia" w:ascii="宋体" w:hAnsi="宋体" w:cs="宋体"/>
          <w:sz w:val="24"/>
        </w:rPr>
        <w:outlineLvl w:val="2"/>
      </w:pPr>
      <w:r/>
      <w:bookmarkStart w:id="77" w:name="_Toc16938545"/>
      <w:r/>
      <w:bookmarkStart w:id="78" w:name="_Toc20823301"/>
      <w:r/>
      <w:bookmarkStart w:id="79" w:name="_Toc120614218"/>
      <w:r/>
      <w:bookmarkStart w:id="80" w:name="_Toc513029229"/>
      <w:r>
        <w:rPr>
          <w:rFonts w:hint="eastAsia" w:ascii="宋体" w:hAnsi="宋体" w:cs="宋体"/>
          <w:b/>
          <w:sz w:val="24"/>
        </w:rPr>
        <w:t xml:space="preserve">五 开标与评标</w:t>
      </w:r>
      <w:bookmarkEnd w:id="77"/>
      <w:r/>
      <w:bookmarkEnd w:id="78"/>
      <w:r/>
      <w:bookmarkEnd w:id="79"/>
      <w:r/>
      <w:bookmarkEnd w:id="80"/>
      <w:r>
        <w:rPr>
          <w:rFonts w:hint="eastAsia" w:ascii="宋体" w:hAnsi="宋体" w:cs="宋体"/>
          <w:sz w:val="24"/>
        </w:rPr>
      </w:r>
      <w:r/>
    </w:p>
    <w:p>
      <w:pPr>
        <w:pStyle w:val="840"/>
        <w:ind w:firstLine="480"/>
        <w:jc w:val="both"/>
        <w:spacing w:line="360" w:lineRule="auto"/>
        <w:rPr>
          <w:rFonts w:hint="eastAsia" w:ascii="宋体" w:hAnsi="宋体" w:eastAsia="宋体" w:cs="宋体"/>
          <w:b/>
          <w:bCs/>
          <w:sz w:val="24"/>
          <w:szCs w:val="24"/>
        </w:rPr>
      </w:pPr>
      <w:r/>
      <w:bookmarkStart w:id="81" w:name="_Toc20823302"/>
      <w:r/>
      <w:bookmarkStart w:id="82" w:name="_Toc16938546"/>
      <w:r/>
      <w:bookmarkStart w:id="83" w:name="_Toc513029230"/>
      <w:r>
        <w:rPr>
          <w:rFonts w:hint="eastAsia" w:ascii="宋体" w:hAnsi="宋体" w:eastAsia="宋体" w:cs="宋体"/>
          <w:sz w:val="24"/>
          <w:szCs w:val="24"/>
        </w:rPr>
        <w:t xml:space="preserve">1开标</w:t>
      </w:r>
      <w:bookmarkEnd w:id="81"/>
      <w:r/>
      <w:bookmarkEnd w:id="82"/>
      <w:r/>
      <w:bookmarkEnd w:id="83"/>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 </w:t>
      </w:r>
      <w:r>
        <w:rPr>
          <w:rFonts w:hint="eastAsia" w:ascii="宋体" w:hAnsi="宋体" w:cs="宋体"/>
          <w:sz w:val="24"/>
        </w:rPr>
        <w:t xml:space="preserve">交易中心将在招标公告中规定的时间和地点组织公开开标。投标人应当按照《操作手册》规定，参加开标活动和在苏采云系统规定的时间内对投标文件进行解密。</w:t>
      </w:r>
      <w:r>
        <w:rPr>
          <w:rFonts w:hint="eastAsia" w:ascii="宋体" w:hAnsi="宋体" w:cs="宋体"/>
          <w:bCs/>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1.2 开标仪式由交易中心组织，苏采云系统将自动对项目进行开标，并宣布各投标人名称和投标价格。</w:t>
      </w:r>
      <w:r/>
    </w:p>
    <w:p>
      <w:pPr>
        <w:pStyle w:val="836"/>
        <w:ind w:firstLine="480"/>
        <w:spacing w:line="360" w:lineRule="auto"/>
        <w:rPr>
          <w:rFonts w:hint="eastAsia" w:ascii="宋体" w:hAnsi="宋体" w:cs="宋体"/>
          <w:sz w:val="24"/>
        </w:rPr>
      </w:pPr>
      <w:r>
        <w:rPr>
          <w:rFonts w:hint="eastAsia" w:ascii="宋体" w:hAnsi="宋体" w:cs="宋体"/>
          <w:sz w:val="24"/>
        </w:rPr>
        <w:t xml:space="preserve">1.3 投标人在开标过程中涉及到的投标文件解密、开标结果确认等工作，按照《操作手册》执行。</w:t>
      </w:r>
      <w:r/>
    </w:p>
    <w:p>
      <w:pPr>
        <w:pStyle w:val="840"/>
        <w:ind w:firstLine="480"/>
        <w:jc w:val="both"/>
        <w:spacing w:line="360" w:lineRule="auto"/>
        <w:rPr>
          <w:rFonts w:hint="eastAsia" w:ascii="宋体" w:hAnsi="宋体" w:eastAsia="宋体" w:cs="宋体"/>
          <w:b/>
          <w:bCs/>
          <w:sz w:val="24"/>
          <w:szCs w:val="24"/>
        </w:rPr>
      </w:pPr>
      <w:r/>
      <w:bookmarkStart w:id="84" w:name="_Toc20823303"/>
      <w:r/>
      <w:bookmarkStart w:id="85" w:name="_Toc16938547"/>
      <w:r/>
      <w:bookmarkStart w:id="86" w:name="_Toc513029231"/>
      <w:r>
        <w:rPr>
          <w:rFonts w:hint="eastAsia" w:ascii="宋体" w:hAnsi="宋体" w:eastAsia="宋体" w:cs="宋体"/>
          <w:sz w:val="24"/>
          <w:szCs w:val="24"/>
        </w:rPr>
        <w:t xml:space="preserve">2评标委员会</w:t>
      </w:r>
      <w:r>
        <w:rPr>
          <w:rFonts w:hint="eastAsia" w:ascii="宋体" w:hAnsi="宋体" w:eastAsia="宋体" w:cs="宋体"/>
          <w:b/>
          <w:bCs/>
          <w:sz w:val="24"/>
          <w:szCs w:val="24"/>
        </w:rPr>
      </w:r>
      <w:r/>
    </w:p>
    <w:p>
      <w:pPr>
        <w:pStyle w:val="836"/>
        <w:ind w:firstLine="480"/>
        <w:spacing w:line="360" w:lineRule="auto"/>
        <w:rPr>
          <w:rFonts w:hint="eastAsia" w:ascii="宋体" w:hAnsi="宋体" w:cs="宋体"/>
          <w:b/>
          <w:sz w:val="24"/>
        </w:rPr>
      </w:pPr>
      <w:r>
        <w:rPr>
          <w:rFonts w:hint="eastAsia" w:ascii="宋体" w:hAnsi="宋体" w:cs="宋体"/>
          <w:sz w:val="24"/>
        </w:rPr>
        <w:t xml:space="preserve">2.1</w:t>
      </w:r>
      <w:r>
        <w:rPr>
          <w:rFonts w:hint="eastAsia" w:ascii="宋体" w:hAnsi="宋体" w:cs="宋体"/>
          <w:b/>
          <w:sz w:val="24"/>
        </w:rPr>
        <w:t xml:space="preserve"> </w:t>
      </w:r>
      <w:r>
        <w:rPr>
          <w:rFonts w:hint="eastAsia" w:ascii="宋体" w:hAnsi="宋体" w:cs="宋体"/>
          <w:sz w:val="24"/>
        </w:rPr>
        <w:t xml:space="preserve">开标后，采购中心将立即组织评标委员会（以下简称评委会）进行评标。</w:t>
      </w:r>
      <w:r>
        <w:rPr>
          <w:rFonts w:hint="eastAsia" w:ascii="宋体" w:hAnsi="宋体" w:cs="宋体"/>
          <w:b/>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2.2 评委会由采购人代表和有关技术、经济等方面的专家组成，且人员构成符合政府采购有关规定。</w:t>
      </w:r>
      <w:r/>
    </w:p>
    <w:p>
      <w:pPr>
        <w:pStyle w:val="836"/>
        <w:ind w:firstLine="480"/>
        <w:spacing w:line="360" w:lineRule="auto"/>
        <w:rPr>
          <w:rFonts w:hint="eastAsia" w:ascii="宋体" w:hAnsi="宋体" w:cs="宋体"/>
          <w:sz w:val="24"/>
        </w:rPr>
      </w:pPr>
      <w:r>
        <w:rPr>
          <w:rFonts w:hint="eastAsia" w:ascii="宋体" w:hAnsi="宋体" w:cs="宋体"/>
          <w:sz w:val="24"/>
        </w:rPr>
        <w:t xml:space="preserve">2.3 评委会独立工作，负责评审所有投标文件并确定中标侯选人。</w:t>
      </w:r>
      <w:r/>
    </w:p>
    <w:p>
      <w:pPr>
        <w:pStyle w:val="840"/>
        <w:ind w:firstLine="480"/>
        <w:jc w:val="both"/>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3.评标过程的保密与公正</w:t>
      </w:r>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bookmarkEnd w:id="84"/>
      <w:r/>
      <w:bookmarkEnd w:id="85"/>
      <w:r/>
      <w:bookmarkEnd w:id="86"/>
      <w:r>
        <w:rPr>
          <w:rFonts w:hint="eastAsia" w:ascii="宋体" w:hAnsi="宋体" w:cs="宋体"/>
          <w:sz w:val="24"/>
        </w:rPr>
        <w:t xml:space="preserve">3.1 </w:t>
      </w:r>
      <w:r>
        <w:rPr>
          <w:rFonts w:hint="eastAsia" w:ascii="宋体" w:hAnsi="宋体" w:cs="宋体"/>
          <w:bCs/>
          <w:sz w:val="24"/>
        </w:rPr>
        <w:t xml:space="preserve">公开开标后，直至向中标的投标人授予合同时止，凡是与审查、澄清、评价和比较投标的有关资料以及授标建议等，采购人、评委、采购中心均不得向投标人或与评标无关的其他人员透露。</w:t>
      </w:r>
      <w:r/>
    </w:p>
    <w:p>
      <w:pPr>
        <w:pStyle w:val="836"/>
        <w:ind w:firstLine="480"/>
        <w:spacing w:line="360" w:lineRule="auto"/>
        <w:rPr>
          <w:rFonts w:hint="eastAsia" w:ascii="宋体" w:hAnsi="宋体" w:cs="宋体"/>
          <w:sz w:val="24"/>
        </w:rPr>
      </w:pPr>
      <w:r>
        <w:rPr>
          <w:rFonts w:hint="eastAsia" w:ascii="宋体" w:hAnsi="宋体" w:cs="宋体"/>
          <w:sz w:val="24"/>
        </w:rPr>
        <w:t xml:space="preserve">3.2 在评标过程中，投标人不得以任何行为影响评标过程，否则其投标文件将被作为无效投标文件。</w:t>
      </w:r>
      <w:r/>
    </w:p>
    <w:p>
      <w:pPr>
        <w:pStyle w:val="836"/>
        <w:ind w:firstLine="480"/>
        <w:spacing w:line="360" w:lineRule="auto"/>
        <w:rPr>
          <w:rFonts w:hint="eastAsia" w:ascii="宋体" w:hAnsi="宋体" w:cs="宋体"/>
          <w:sz w:val="24"/>
        </w:rPr>
      </w:pPr>
      <w:r>
        <w:rPr>
          <w:rFonts w:hint="eastAsia" w:ascii="宋体" w:hAnsi="宋体" w:cs="宋体"/>
          <w:sz w:val="24"/>
        </w:rPr>
        <w:t xml:space="preserve">3.3 在评标期间，采购中心将设专门人员与投标人联系。</w:t>
      </w:r>
      <w:r/>
    </w:p>
    <w:p>
      <w:pPr>
        <w:pStyle w:val="836"/>
        <w:ind w:firstLine="480"/>
        <w:spacing w:line="360" w:lineRule="auto"/>
        <w:rPr>
          <w:rFonts w:hint="eastAsia" w:ascii="宋体" w:hAnsi="宋体" w:cs="宋体"/>
          <w:sz w:val="24"/>
        </w:rPr>
      </w:pPr>
      <w:r>
        <w:rPr>
          <w:rFonts w:hint="eastAsia" w:ascii="宋体" w:hAnsi="宋体" w:cs="宋体"/>
          <w:sz w:val="24"/>
        </w:rPr>
        <w:t xml:space="preserve">3.4 交易中心和评标委员会不向未中标的投标人解释未中标原因，也不公布评标过程中的相关细节。</w:t>
      </w:r>
      <w:r/>
    </w:p>
    <w:p>
      <w:pPr>
        <w:pStyle w:val="836"/>
        <w:ind w:firstLine="480"/>
        <w:spacing w:line="360" w:lineRule="auto"/>
        <w:rPr>
          <w:rFonts w:hint="eastAsia" w:ascii="宋体" w:hAnsi="宋体" w:cs="宋体"/>
          <w:sz w:val="24"/>
        </w:rPr>
      </w:pPr>
      <w:r>
        <w:rPr>
          <w:rFonts w:hint="eastAsia" w:ascii="宋体" w:hAnsi="宋体" w:cs="宋体"/>
          <w:sz w:val="24"/>
        </w:rPr>
        <w:t xml:space="preserve">3.5 采用综合评分法的项目，公布评标结果时一并公布所有投标人的评审得分及排序情况。</w:t>
      </w:r>
      <w:r/>
    </w:p>
    <w:p>
      <w:pPr>
        <w:pStyle w:val="840"/>
        <w:ind w:firstLine="480"/>
        <w:jc w:val="both"/>
        <w:spacing w:line="360" w:lineRule="auto"/>
        <w:rPr>
          <w:rFonts w:hint="eastAsia" w:ascii="宋体" w:hAnsi="宋体" w:eastAsia="宋体" w:cs="宋体"/>
          <w:b/>
          <w:bCs/>
          <w:sz w:val="24"/>
          <w:szCs w:val="24"/>
        </w:rPr>
      </w:pPr>
      <w:r/>
      <w:bookmarkStart w:id="87" w:name="_Toc513029232"/>
      <w:r/>
      <w:bookmarkStart w:id="88" w:name="_Toc16938548"/>
      <w:r/>
      <w:bookmarkStart w:id="89" w:name="_Toc20823304"/>
      <w:r>
        <w:rPr>
          <w:rFonts w:hint="eastAsia" w:ascii="宋体" w:hAnsi="宋体" w:eastAsia="宋体" w:cs="宋体"/>
          <w:sz w:val="24"/>
          <w:szCs w:val="24"/>
        </w:rPr>
        <w:t xml:space="preserve">4.投标的澄清</w:t>
      </w:r>
      <w:bookmarkEnd w:id="87"/>
      <w:r/>
      <w:bookmarkEnd w:id="88"/>
      <w:r/>
      <w:bookmarkEnd w:id="89"/>
      <w:r>
        <w:rPr>
          <w:rFonts w:hint="eastAsia" w:ascii="宋体" w:hAnsi="宋体" w:eastAsia="宋体" w:cs="宋体"/>
          <w:b/>
          <w:bCs/>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4.1 评标期间，为有助于对投标文件的审查、评价和比较，评委会有权以电子函件形式要求投标人对其投标文件进行澄清，但并非对每个投标人都作澄清要求。</w:t>
      </w:r>
      <w:r/>
    </w:p>
    <w:p>
      <w:pPr>
        <w:pStyle w:val="836"/>
        <w:ind w:firstLine="480"/>
        <w:spacing w:line="360" w:lineRule="auto"/>
        <w:rPr>
          <w:rFonts w:hint="eastAsia" w:ascii="宋体" w:hAnsi="宋体" w:cs="宋体"/>
          <w:sz w:val="24"/>
        </w:rPr>
      </w:pPr>
      <w:r>
        <w:rPr>
          <w:rFonts w:hint="eastAsia" w:ascii="宋体" w:hAnsi="宋体" w:cs="宋体"/>
          <w:sz w:val="24"/>
        </w:rPr>
        <w:t xml:space="preserve">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836"/>
        <w:ind w:firstLine="480"/>
        <w:spacing w:line="360" w:lineRule="auto"/>
        <w:rPr>
          <w:rFonts w:hint="eastAsia" w:ascii="宋体" w:hAnsi="宋体" w:cs="宋体"/>
          <w:sz w:val="24"/>
        </w:rPr>
      </w:pPr>
      <w:r>
        <w:rPr>
          <w:rFonts w:hint="eastAsia" w:ascii="宋体" w:hAnsi="宋体" w:cs="宋体"/>
          <w:sz w:val="24"/>
        </w:rPr>
        <w:t xml:space="preserve">4.3 接到评委会澄清要求的投标人如未按规定做出澄清，其风险由投标人自行承担。</w:t>
      </w:r>
      <w:r/>
    </w:p>
    <w:p>
      <w:pPr>
        <w:pStyle w:val="840"/>
        <w:ind w:firstLine="480"/>
        <w:jc w:val="both"/>
        <w:spacing w:line="360" w:lineRule="auto"/>
        <w:rPr>
          <w:rFonts w:hint="eastAsia" w:ascii="宋体" w:hAnsi="宋体" w:eastAsia="宋体" w:cs="宋体"/>
          <w:b/>
          <w:bCs/>
          <w:sz w:val="24"/>
          <w:szCs w:val="24"/>
        </w:rPr>
      </w:pPr>
      <w:r/>
      <w:bookmarkStart w:id="90" w:name="_Toc20823305"/>
      <w:r/>
      <w:bookmarkStart w:id="91" w:name="_Toc513029233"/>
      <w:r/>
      <w:bookmarkStart w:id="92" w:name="_Toc16938549"/>
      <w:r>
        <w:rPr>
          <w:rFonts w:hint="eastAsia" w:ascii="宋体" w:hAnsi="宋体" w:eastAsia="宋体" w:cs="宋体"/>
          <w:sz w:val="24"/>
          <w:szCs w:val="24"/>
        </w:rPr>
        <w:t xml:space="preserve">5对投标文件的初审</w:t>
      </w:r>
      <w:bookmarkEnd w:id="90"/>
      <w:r/>
      <w:bookmarkEnd w:id="91"/>
      <w:r/>
      <w:bookmarkEnd w:id="92"/>
      <w:r>
        <w:rPr>
          <w:rFonts w:hint="eastAsia" w:ascii="宋体" w:hAnsi="宋体" w:eastAsia="宋体" w:cs="宋体"/>
          <w:b/>
          <w:bCs/>
          <w:sz w:val="24"/>
          <w:szCs w:val="24"/>
        </w:rPr>
      </w:r>
      <w:r/>
    </w:p>
    <w:p>
      <w:pPr>
        <w:pStyle w:val="836"/>
        <w:ind w:firstLine="480"/>
        <w:spacing w:line="360" w:lineRule="auto"/>
        <w:rPr>
          <w:rFonts w:hint="eastAsia" w:ascii="宋体" w:hAnsi="宋体" w:cs="宋体"/>
          <w:bCs/>
          <w:sz w:val="24"/>
        </w:rPr>
      </w:pPr>
      <w:r>
        <w:rPr>
          <w:rFonts w:hint="eastAsia" w:ascii="宋体" w:hAnsi="宋体" w:cs="宋体"/>
          <w:sz w:val="24"/>
        </w:rPr>
        <w:t xml:space="preserve">5.1 </w:t>
      </w:r>
      <w:r>
        <w:rPr>
          <w:rFonts w:hint="eastAsia" w:ascii="宋体" w:hAnsi="宋体" w:cs="宋体"/>
          <w:bCs/>
          <w:sz w:val="24"/>
        </w:rPr>
        <w:t xml:space="preserve">投标文件初审分为资格审查和符合性审查。</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5.1.1 资格审查：依据法律法规和招标文件的规定，由采购人对投标文件中的资格证明文件进行审查。资格审查的结论，采购人以书面形式向评委会进行反馈。</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采购人在进行资格性审查的同时，评标系统将通过南通市公共信用信息联合奖惩系统自动从“信用中国”网站（www.creditchina.gov.cn）查询投标人的信用记录，以确定投标人是否具备投标资格。查询结果将在系统中留存并归档。</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5.1.2 符合性审查：依据招标文件的规定，由评委会从投标文件的有效性、完整性和对招标文件的响应程度进行审查，以确定是否对招标文件的实质性要求作出响应。</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5.1.3 未通过资格审查或符合性审查的投标人，交易中心将在“苏采云不见面交易系统”中告知未通过资格审查或符合性审查的原因，评审结束后，交易中心将不再告知未通过资格审查或符合性审查的原因。</w:t>
      </w:r>
      <w:r/>
    </w:p>
    <w:p>
      <w:pPr>
        <w:pStyle w:val="836"/>
        <w:ind w:firstLine="480"/>
        <w:spacing w:line="360" w:lineRule="auto"/>
        <w:rPr>
          <w:rFonts w:hint="eastAsia" w:ascii="宋体" w:hAnsi="宋体" w:cs="宋体"/>
          <w:sz w:val="24"/>
        </w:rPr>
      </w:pPr>
      <w:r>
        <w:rPr>
          <w:rFonts w:hint="eastAsia" w:ascii="宋体" w:hAnsi="宋体" w:cs="宋体"/>
          <w:sz w:val="24"/>
        </w:rPr>
        <w:t xml:space="preserve">5.2 在详细评标之前，评委会将首先审查每份投标文件是否实质性响应了招标文件的要求。实质性响应的投标应该是与招标文件要求的全部条款、条件和规格相符，没有重大偏离或保留的投标。</w:t>
      </w:r>
      <w:r/>
    </w:p>
    <w:p>
      <w:pPr>
        <w:pStyle w:val="836"/>
        <w:ind w:firstLine="480"/>
        <w:spacing w:line="360" w:lineRule="auto"/>
        <w:rPr>
          <w:rFonts w:hint="eastAsia"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pStyle w:val="836"/>
        <w:ind w:firstLine="480"/>
        <w:spacing w:line="360" w:lineRule="auto"/>
        <w:rPr>
          <w:rFonts w:hint="eastAsia" w:ascii="宋体" w:hAnsi="宋体" w:cs="宋体"/>
          <w:bCs/>
          <w:sz w:val="24"/>
        </w:rPr>
      </w:pPr>
      <w:r>
        <w:rPr>
          <w:rFonts w:hint="eastAsia" w:ascii="宋体" w:hAnsi="宋体" w:cs="宋体"/>
          <w:sz w:val="24"/>
        </w:rPr>
        <w:t xml:space="preserve">5.3 </w:t>
      </w:r>
      <w:r>
        <w:rPr>
          <w:rFonts w:hint="eastAsia" w:ascii="宋体" w:hAnsi="宋体" w:cs="宋体"/>
          <w:bCs/>
          <w:sz w:val="24"/>
        </w:rPr>
        <w:t xml:space="preserve">如果投标文件实质上没有响应招标文件的要求，评委会将予以拒绝，投标人不得通过修改或撤销不合要求的偏离或保留而使其投标成为实质性响应的投标。</w:t>
      </w:r>
      <w:r/>
    </w:p>
    <w:p>
      <w:pPr>
        <w:pStyle w:val="836"/>
        <w:ind w:firstLine="480"/>
        <w:spacing w:line="360" w:lineRule="auto"/>
        <w:rPr>
          <w:rFonts w:hint="eastAsia" w:ascii="宋体" w:hAnsi="宋体" w:cs="宋体"/>
          <w:bCs/>
          <w:sz w:val="24"/>
        </w:rPr>
      </w:pPr>
      <w:r>
        <w:rPr>
          <w:rFonts w:hint="eastAsia" w:ascii="宋体" w:hAnsi="宋体" w:cs="宋体"/>
          <w:sz w:val="24"/>
        </w:rPr>
        <w:t xml:space="preserve">5.4 </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pStyle w:val="836"/>
        <w:ind w:firstLine="480"/>
        <w:spacing w:line="360" w:lineRule="auto"/>
        <w:rPr>
          <w:rFonts w:hint="eastAsia" w:ascii="宋体" w:hAnsi="宋体" w:cs="宋体"/>
          <w:bCs/>
          <w:sz w:val="24"/>
        </w:rPr>
      </w:pPr>
      <w:r>
        <w:rPr>
          <w:rFonts w:hint="eastAsia" w:ascii="宋体" w:hAnsi="宋体" w:cs="宋体"/>
          <w:sz w:val="24"/>
        </w:rPr>
        <w:t xml:space="preserve">5.5 </w:t>
      </w:r>
      <w:r>
        <w:rPr>
          <w:rFonts w:hint="eastAsia" w:ascii="宋体" w:hAnsi="宋体" w:cs="宋体"/>
          <w:bCs/>
          <w:sz w:val="24"/>
        </w:rPr>
        <w:t xml:space="preserve">评委会将按上述修正错误的方法调整投标文件中的投标报价，并通过“苏采云不见面交易系统”告知投标人，调整后的价格应对投标人具有约束力。如果投标人不接受修正后的价格，则其投标将被拒绝。</w:t>
      </w:r>
      <w:r/>
    </w:p>
    <w:p>
      <w:pPr>
        <w:pStyle w:val="836"/>
        <w:ind w:firstLine="482"/>
        <w:spacing w:line="360" w:lineRule="auto"/>
        <w:rPr>
          <w:rFonts w:hint="eastAsia" w:ascii="宋体" w:hAnsi="宋体" w:cs="宋体"/>
          <w:b/>
          <w:sz w:val="24"/>
        </w:rPr>
      </w:pPr>
      <w:r>
        <w:rPr>
          <w:rFonts w:hint="eastAsia" w:ascii="宋体" w:hAnsi="宋体" w:cs="宋体"/>
          <w:b/>
          <w:sz w:val="24"/>
        </w:rPr>
        <w:t xml:space="preserve">5.6异常低价审查</w:t>
      </w:r>
      <w:r/>
    </w:p>
    <w:p>
      <w:pPr>
        <w:pStyle w:val="836"/>
        <w:ind w:firstLine="482"/>
        <w:spacing w:line="360" w:lineRule="auto"/>
        <w:rPr>
          <w:rFonts w:hint="eastAsia" w:ascii="宋体" w:hAnsi="宋体" w:cs="宋体"/>
          <w:b/>
          <w:sz w:val="24"/>
        </w:rPr>
      </w:pPr>
      <w:r>
        <w:rPr>
          <w:rFonts w:hint="eastAsia" w:ascii="宋体" w:hAnsi="宋体" w:cs="宋体"/>
          <w:b/>
          <w:sz w:val="24"/>
        </w:rPr>
        <w:t xml:space="preserve">5.6.1评审过程中出现下列情形之一的，评标委员会应当启动异常低价投标（响应）审查程序：</w:t>
      </w:r>
      <w:r/>
    </w:p>
    <w:p>
      <w:pPr>
        <w:pStyle w:val="836"/>
        <w:ind w:firstLine="482"/>
        <w:spacing w:line="360" w:lineRule="auto"/>
        <w:rPr>
          <w:rFonts w:hint="eastAsia" w:ascii="宋体" w:hAnsi="宋体" w:cs="宋体"/>
          <w:b/>
          <w:sz w:val="24"/>
        </w:rPr>
      </w:pPr>
      <w:r>
        <w:rPr>
          <w:rFonts w:hint="eastAsia" w:ascii="宋体" w:hAnsi="宋体" w:cs="宋体"/>
          <w:b/>
          <w:sz w:val="24"/>
        </w:rPr>
        <w:t xml:space="preserve">（1）响应报价低于全部通过符合性审查供应商响应报价平均值50%的，即响应报价&lt;全部通过符合性审查供应商响应报价平均值×50%；</w:t>
      </w:r>
      <w:r/>
    </w:p>
    <w:p>
      <w:pPr>
        <w:pStyle w:val="836"/>
        <w:ind w:firstLine="482"/>
        <w:spacing w:line="360" w:lineRule="auto"/>
        <w:rPr>
          <w:rFonts w:hint="eastAsia" w:ascii="宋体" w:hAnsi="宋体" w:cs="宋体"/>
          <w:b/>
          <w:sz w:val="24"/>
        </w:rPr>
      </w:pPr>
      <w:r>
        <w:rPr>
          <w:rFonts w:hint="eastAsia" w:ascii="宋体" w:hAnsi="宋体" w:cs="宋体"/>
          <w:b/>
          <w:sz w:val="24"/>
        </w:rPr>
        <w:t xml:space="preserve">（2）响应报价低于通过符合性审查次低报价供应商响应报价50%的，即响应报价&lt;通过符合性审查次低报价供应商响应报价×50%；</w:t>
      </w:r>
      <w:r/>
    </w:p>
    <w:p>
      <w:pPr>
        <w:pStyle w:val="836"/>
        <w:ind w:firstLine="482"/>
        <w:spacing w:line="360" w:lineRule="auto"/>
        <w:rPr>
          <w:rFonts w:hint="eastAsia" w:ascii="宋体" w:hAnsi="宋体" w:cs="宋体"/>
          <w:b/>
          <w:sz w:val="24"/>
        </w:rPr>
      </w:pPr>
      <w:r>
        <w:rPr>
          <w:rFonts w:hint="eastAsia" w:ascii="宋体" w:hAnsi="宋体" w:cs="宋体"/>
          <w:b/>
          <w:sz w:val="24"/>
        </w:rPr>
        <w:t xml:space="preserve">（3）响应报价低于采购项目最高限价45%的，即响应报价&lt;采购项目最高限价×45%；</w:t>
      </w:r>
      <w:r/>
    </w:p>
    <w:p>
      <w:pPr>
        <w:pStyle w:val="836"/>
        <w:ind w:firstLine="482"/>
        <w:spacing w:line="360" w:lineRule="auto"/>
        <w:rPr>
          <w:rFonts w:hint="eastAsia" w:ascii="宋体" w:hAnsi="宋体" w:cs="宋体"/>
          <w:b/>
          <w:sz w:val="24"/>
        </w:rPr>
      </w:pPr>
      <w:r>
        <w:rPr>
          <w:rFonts w:hint="eastAsia" w:ascii="宋体" w:hAnsi="宋体" w:cs="宋体"/>
          <w:b/>
          <w:sz w:val="24"/>
        </w:rPr>
        <w:t xml:space="preserve">（4）评标委员会基于专业判断，认为供应商报价过低、有可能影响产品质量或者不能诚信履约的其他情形。</w:t>
      </w:r>
      <w:r/>
    </w:p>
    <w:p>
      <w:pPr>
        <w:pStyle w:val="836"/>
        <w:ind w:firstLine="482"/>
        <w:spacing w:line="360" w:lineRule="auto"/>
        <w:rPr>
          <w:rFonts w:hint="eastAsia" w:ascii="宋体" w:hAnsi="宋体" w:cs="宋体"/>
          <w:b/>
          <w:sz w:val="24"/>
        </w:rPr>
      </w:pPr>
      <w:r>
        <w:rPr>
          <w:rFonts w:hint="eastAsia" w:ascii="宋体" w:hAnsi="宋体" w:cs="宋体"/>
          <w:b/>
          <w:sz w:val="24"/>
        </w:rPr>
        <w:t xml:space="preserve">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r/>
    </w:p>
    <w:p>
      <w:pPr>
        <w:pStyle w:val="836"/>
        <w:ind w:firstLine="482"/>
        <w:spacing w:line="360" w:lineRule="auto"/>
        <w:rPr>
          <w:rFonts w:hint="eastAsia" w:ascii="宋体" w:hAnsi="宋体" w:cs="宋体"/>
          <w:b/>
          <w:sz w:val="24"/>
        </w:rPr>
      </w:pPr>
      <w:r>
        <w:rPr>
          <w:rFonts w:hint="eastAsia" w:ascii="宋体" w:hAnsi="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r/>
    </w:p>
    <w:p>
      <w:pPr>
        <w:pStyle w:val="836"/>
        <w:ind w:firstLine="482"/>
        <w:spacing w:line="360" w:lineRule="auto"/>
        <w:rPr>
          <w:rFonts w:hint="eastAsia" w:ascii="宋体" w:hAnsi="宋体" w:cs="宋体"/>
          <w:bCs/>
          <w:sz w:val="24"/>
        </w:rPr>
      </w:pPr>
      <w:r>
        <w:rPr>
          <w:rFonts w:hint="eastAsia" w:ascii="宋体" w:hAnsi="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5.7 评委会将允许修正投标文件中不构成重大偏离的、微小的、非正规的、不一致的或不规则的地方，但这些修改不能影响任何投标人相应的名次排列。</w:t>
      </w:r>
      <w:r/>
    </w:p>
    <w:p>
      <w:pPr>
        <w:pStyle w:val="836"/>
        <w:ind w:firstLine="480"/>
        <w:spacing w:line="360" w:lineRule="auto"/>
        <w:rPr>
          <w:rFonts w:hint="eastAsia" w:ascii="宋体" w:hAnsi="宋体" w:cs="宋体"/>
          <w:sz w:val="24"/>
        </w:rPr>
      </w:pPr>
      <w:r/>
      <w:bookmarkStart w:id="93" w:name="_Toc16938550"/>
      <w:r/>
      <w:bookmarkStart w:id="94" w:name="_Toc513029234"/>
      <w:r/>
      <w:bookmarkStart w:id="95" w:name="_Toc20823306"/>
      <w:r>
        <w:rPr>
          <w:rFonts w:hint="eastAsia" w:ascii="宋体" w:hAnsi="宋体" w:cs="宋体"/>
          <w:sz w:val="24"/>
        </w:rPr>
        <w:t xml:space="preserve">5.8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非单一产品采购项目，招标文件中将载明其中的核心产品。多家投标人提供的核心产品品牌相同的，按前两款规定处理。</w:t>
      </w:r>
      <w:r/>
    </w:p>
    <w:p>
      <w:pPr>
        <w:pStyle w:val="836"/>
        <w:ind w:firstLine="480"/>
        <w:spacing w:line="360" w:lineRule="auto"/>
        <w:rPr>
          <w:rFonts w:hint="eastAsia" w:ascii="宋体" w:hAnsi="宋体" w:cs="宋体"/>
          <w:sz w:val="24"/>
        </w:rPr>
      </w:pPr>
      <w:r>
        <w:rPr>
          <w:rFonts w:hint="eastAsia" w:ascii="宋体" w:hAnsi="宋体" w:cs="宋体"/>
          <w:sz w:val="24"/>
        </w:rPr>
        <w:t xml:space="preserve">5.9 投标人在开、评标全过程中应保持通讯畅通，并安排专人与采购中心及评标委员会联系。</w:t>
      </w:r>
      <w:r/>
    </w:p>
    <w:p>
      <w:pPr>
        <w:pStyle w:val="840"/>
        <w:ind w:firstLine="480"/>
        <w:jc w:val="both"/>
        <w:spacing w:line="360" w:lineRule="auto"/>
        <w:rPr>
          <w:rFonts w:hint="eastAsia" w:ascii="宋体" w:hAnsi="宋体" w:eastAsia="宋体" w:cs="宋体"/>
          <w:b/>
          <w:bCs/>
          <w:sz w:val="24"/>
          <w:szCs w:val="24"/>
        </w:rPr>
      </w:pPr>
      <w:r/>
      <w:bookmarkEnd w:id="93"/>
      <w:r/>
      <w:bookmarkEnd w:id="94"/>
      <w:r/>
      <w:bookmarkEnd w:id="95"/>
      <w:r>
        <w:rPr>
          <w:rFonts w:hint="eastAsia" w:ascii="宋体" w:hAnsi="宋体" w:eastAsia="宋体" w:cs="宋体"/>
          <w:sz w:val="24"/>
          <w:szCs w:val="24"/>
        </w:rPr>
        <w:t xml:space="preserve">6.无效投标条款和废标条款</w:t>
      </w:r>
      <w:r>
        <w:rPr>
          <w:rFonts w:hint="eastAsia" w:ascii="宋体" w:hAnsi="宋体" w:eastAsia="宋体" w:cs="宋体"/>
          <w:b/>
          <w:bCs/>
          <w:sz w:val="24"/>
          <w:szCs w:val="24"/>
        </w:rPr>
      </w:r>
      <w:r/>
    </w:p>
    <w:p>
      <w:pPr>
        <w:pStyle w:val="836"/>
        <w:ind w:firstLine="482"/>
        <w:spacing w:line="360" w:lineRule="auto"/>
        <w:rPr>
          <w:rFonts w:hint="eastAsia" w:ascii="宋体" w:hAnsi="宋体" w:cs="宋体"/>
          <w:bCs/>
          <w:sz w:val="24"/>
        </w:rPr>
      </w:pPr>
      <w:r/>
      <w:bookmarkStart w:id="96" w:name="_Toc513029235"/>
      <w:r/>
      <w:bookmarkStart w:id="97" w:name="_Toc20823307"/>
      <w:r/>
      <w:bookmarkStart w:id="98" w:name="_Toc16938551"/>
      <w:r>
        <w:rPr>
          <w:rFonts w:hint="eastAsia" w:ascii="宋体" w:hAnsi="宋体" w:cs="宋体"/>
          <w:b/>
          <w:sz w:val="24"/>
        </w:rPr>
        <w:t xml:space="preserve">6.1 无效投标条款</w:t>
      </w:r>
      <w:r>
        <w:rPr>
          <w:rFonts w:hint="eastAsia" w:ascii="宋体" w:hAnsi="宋体" w:cs="宋体"/>
          <w:bCs/>
          <w:sz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 投标人在“苏采云不见面交易系统”规定的时间内未成功解密电子投标文件的。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6.1.2 投标人未按照招标文件要求上传电子投标文件的。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6.1.3 同一投标人提交两个（含两个）以上不同的投标报价的。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6.1.4 投标人不具备招标文件中规定资格要求的。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6.1.5 投标人的报价超过了采购预算或最高限价的。</w:t>
      </w:r>
      <w:r/>
    </w:p>
    <w:p>
      <w:pPr>
        <w:pStyle w:val="836"/>
        <w:ind w:firstLine="480"/>
        <w:spacing w:line="360" w:lineRule="auto"/>
        <w:rPr>
          <w:rFonts w:hint="eastAsia" w:ascii="宋体" w:hAnsi="宋体" w:cs="宋体"/>
          <w:bCs/>
          <w:i/>
          <w:sz w:val="24"/>
          <w:u w:val="single"/>
        </w:rPr>
      </w:pPr>
      <w:r>
        <w:rPr>
          <w:rFonts w:hint="eastAsia" w:ascii="宋体" w:hAnsi="宋体" w:cs="宋体"/>
          <w:bCs/>
          <w:sz w:val="24"/>
        </w:rPr>
        <w:t xml:space="preserve">6.1.6 未通过符合性检查的。</w:t>
      </w:r>
      <w:r>
        <w:rPr>
          <w:rFonts w:hint="eastAsia" w:ascii="宋体" w:hAnsi="宋体" w:cs="宋体"/>
          <w:bCs/>
          <w:i/>
          <w:sz w:val="24"/>
          <w:u w:val="single"/>
        </w:rPr>
      </w:r>
      <w:r/>
    </w:p>
    <w:p>
      <w:pPr>
        <w:pStyle w:val="836"/>
        <w:ind w:firstLine="480"/>
        <w:spacing w:line="360" w:lineRule="auto"/>
        <w:rPr>
          <w:rFonts w:hint="eastAsia" w:ascii="宋体" w:hAnsi="宋体" w:cs="宋体"/>
          <w:bCs/>
          <w:i/>
          <w:sz w:val="24"/>
          <w:u w:val="single"/>
        </w:rPr>
      </w:pPr>
      <w:r>
        <w:rPr>
          <w:rFonts w:hint="eastAsia" w:ascii="宋体" w:hAnsi="宋体" w:cs="宋体"/>
          <w:bCs/>
          <w:sz w:val="24"/>
        </w:rPr>
        <w:t xml:space="preserve">6.1.7 不符合招标文件中规定的其他实质性要求和条件的。</w:t>
      </w:r>
      <w:r>
        <w:rPr>
          <w:rFonts w:hint="eastAsia" w:ascii="宋体" w:hAnsi="宋体" w:cs="宋体"/>
          <w:bCs/>
          <w:i/>
          <w:sz w:val="24"/>
          <w:u w:val="single"/>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6.1.9 投标文件含有采购人不能接受的附加条件的。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6.1.10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6.1.12 投标文件未按照招标文件要求加盖电子签章。</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6.1.13 不同的投标人投标文件制作机器码、文件创建标识码一致的。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6.1.14 投标人的商务技术标得分低于本采购文件商务技术标评分分值的50%的，视为未实质性响应采购文件要求。</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6.1.15 投标文件中已标价工程量清单与招标文件规定的专业工程暂估价（含税）、材料暂估价、暂列金、发包人供应材料价格、增值税税率、安全生产措施费费率、计算基础不一致的。</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6.1.16 投标文件中已标价工程量清单与招标文件明确列出的不可竞争费用项目或费率或计算基础不一致的。</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6.1.17 投标文件的已标价工程量清单与招标文件提供的工程量清单中的项目编码、项目名称、项目特征、计量单位、工程量不一致的。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6.1.18 其他法律、法规及本招标文件规定的属无效投标的情形。</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6.2废标条款：</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6.2.1符合专业条件的供应商或者对招标文件作实质响应的供应商不足三家的。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6.2.2出现影响采购公正的违法、违规行为的。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6.2.3因重大变故，采购任务取消的。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6.2.4评标委员会认定招标文件存在歧义、重大缺陷导致评审工作无法进行。</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6.2.5 因系统故障原因造成开评标无法继续进行的。</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6.3 投标截止时间结束后参加投标的供应商不足三家的处理：</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6.3.1如出现投标截止时间结束后参加投标的供应商或者在评标期间对招标文件做出实质响应的供应商不足三家情况，按政府采购相关规定执行。</w:t>
      </w:r>
      <w:r/>
    </w:p>
    <w:p>
      <w:pPr>
        <w:pStyle w:val="836"/>
        <w:ind w:firstLine="482"/>
        <w:spacing w:line="360" w:lineRule="auto"/>
        <w:rPr>
          <w:rFonts w:hint="eastAsia" w:ascii="宋体" w:hAnsi="宋体" w:cs="宋体"/>
          <w:b/>
          <w:sz w:val="24"/>
        </w:rPr>
        <w:outlineLvl w:val="2"/>
      </w:pPr>
      <w:r/>
      <w:bookmarkEnd w:id="96"/>
      <w:r/>
      <w:bookmarkEnd w:id="97"/>
      <w:r/>
      <w:bookmarkEnd w:id="98"/>
      <w:r/>
      <w:bookmarkStart w:id="99" w:name="_Toc120614219"/>
      <w:r>
        <w:rPr>
          <w:rFonts w:hint="eastAsia" w:ascii="宋体" w:hAnsi="宋体" w:cs="宋体"/>
          <w:b/>
          <w:sz w:val="24"/>
        </w:rPr>
        <w:t xml:space="preserve">六 定标</w:t>
      </w:r>
      <w:bookmarkEnd w:id="99"/>
      <w:r>
        <w:rPr>
          <w:rFonts w:hint="eastAsia" w:ascii="宋体" w:hAnsi="宋体" w:cs="宋体"/>
          <w:b/>
          <w:sz w:val="24"/>
        </w:rPr>
      </w:r>
      <w:r/>
    </w:p>
    <w:p>
      <w:pPr>
        <w:pStyle w:val="840"/>
        <w:ind w:firstLine="480"/>
        <w:jc w:val="both"/>
        <w:spacing w:line="360" w:lineRule="auto"/>
        <w:rPr>
          <w:rFonts w:hint="eastAsia" w:ascii="宋体" w:hAnsi="宋体" w:eastAsia="宋体" w:cs="宋体"/>
          <w:b/>
          <w:sz w:val="24"/>
          <w:szCs w:val="24"/>
        </w:rPr>
      </w:pPr>
      <w:r/>
      <w:bookmarkStart w:id="100" w:name="_Toc20823310"/>
      <w:r/>
      <w:bookmarkStart w:id="101" w:name="_Toc16938554"/>
      <w:r>
        <w:rPr>
          <w:rFonts w:hint="eastAsia" w:ascii="宋体" w:hAnsi="宋体" w:eastAsia="宋体" w:cs="宋体"/>
          <w:sz w:val="24"/>
          <w:szCs w:val="24"/>
        </w:rPr>
        <w:t xml:space="preserve">1.确定</w:t>
      </w:r>
      <w:bookmarkEnd w:id="100"/>
      <w:r/>
      <w:bookmarkEnd w:id="101"/>
      <w:r>
        <w:rPr>
          <w:rFonts w:hint="eastAsia" w:ascii="宋体" w:hAnsi="宋体" w:eastAsia="宋体" w:cs="宋体"/>
          <w:sz w:val="24"/>
          <w:szCs w:val="24"/>
        </w:rPr>
        <w:t xml:space="preserve">中标单位</w:t>
      </w:r>
      <w:r>
        <w:rPr>
          <w:rFonts w:hint="eastAsia" w:ascii="宋体" w:hAnsi="宋体" w:eastAsia="宋体" w:cs="宋体"/>
          <w:b/>
          <w:sz w:val="24"/>
          <w:szCs w:val="24"/>
        </w:rPr>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1.1中标候选人的选取原则和数量见招标文件第四部分规定。 </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1.2采购人授权评委会在中标候选人中直接确定中标人。</w:t>
      </w:r>
      <w:r/>
    </w:p>
    <w:p>
      <w:pPr>
        <w:pStyle w:val="836"/>
        <w:ind w:firstLine="480"/>
        <w:spacing w:line="360" w:lineRule="auto"/>
        <w:rPr>
          <w:rFonts w:hint="eastAsia" w:ascii="宋体" w:hAnsi="宋体" w:cs="宋体"/>
          <w:sz w:val="24"/>
        </w:rPr>
      </w:pPr>
      <w:r>
        <w:rPr>
          <w:rFonts w:hint="eastAsia" w:ascii="宋体" w:hAnsi="宋体" w:cs="宋体"/>
          <w:bCs/>
          <w:sz w:val="24"/>
        </w:rPr>
        <w:t xml:space="preserve">1.3</w:t>
      </w:r>
      <w:r>
        <w:rPr>
          <w:rFonts w:hint="eastAsia" w:ascii="宋体" w:hAnsi="宋体" w:cs="宋体"/>
          <w:sz w:val="24"/>
        </w:rPr>
        <w:t xml:space="preserve">采购中心将在“江苏政府采购网”发布中标公告，公告期限为1个工作日。</w:t>
      </w:r>
      <w:r/>
    </w:p>
    <w:p>
      <w:pPr>
        <w:pStyle w:val="836"/>
        <w:ind w:firstLine="480"/>
        <w:spacing w:line="360" w:lineRule="auto"/>
        <w:rPr>
          <w:rFonts w:hint="eastAsia" w:ascii="宋体" w:hAnsi="宋体" w:cs="宋体"/>
          <w:sz w:val="24"/>
        </w:rPr>
      </w:pPr>
      <w:r>
        <w:rPr>
          <w:rFonts w:hint="eastAsia" w:ascii="宋体" w:hAnsi="宋体" w:cs="宋体"/>
          <w:sz w:val="24"/>
        </w:rPr>
        <w:t xml:space="preserve">1.4若有充分证据证明，中标人出现下列情况之一的，一经查实，将被取消中标资格：</w:t>
      </w:r>
      <w:r/>
    </w:p>
    <w:p>
      <w:pPr>
        <w:pStyle w:val="836"/>
        <w:ind w:firstLine="480"/>
        <w:spacing w:line="360" w:lineRule="auto"/>
        <w:rPr>
          <w:rFonts w:hint="eastAsia" w:ascii="宋体" w:hAnsi="宋体" w:cs="宋体"/>
          <w:sz w:val="24"/>
        </w:rPr>
      </w:pPr>
      <w:r>
        <w:rPr>
          <w:rFonts w:hint="eastAsia" w:ascii="宋体" w:hAnsi="宋体" w:cs="宋体"/>
          <w:sz w:val="24"/>
        </w:rPr>
        <w:t xml:space="preserve">1.4.1提供虚假材料谋取中标的。</w:t>
      </w:r>
      <w:r/>
    </w:p>
    <w:p>
      <w:pPr>
        <w:pStyle w:val="836"/>
        <w:ind w:firstLine="480"/>
        <w:spacing w:line="360" w:lineRule="auto"/>
        <w:rPr>
          <w:rFonts w:hint="eastAsia" w:ascii="宋体" w:hAnsi="宋体" w:cs="宋体"/>
          <w:sz w:val="24"/>
        </w:rPr>
      </w:pPr>
      <w:r>
        <w:rPr>
          <w:rFonts w:hint="eastAsia" w:ascii="宋体" w:hAnsi="宋体" w:cs="宋体"/>
          <w:sz w:val="24"/>
        </w:rPr>
        <w:t xml:space="preserve">1.4.2向采购人、采购中心行贿或者提供其他不正当利益的。</w:t>
      </w:r>
      <w:r/>
    </w:p>
    <w:p>
      <w:pPr>
        <w:pStyle w:val="836"/>
        <w:ind w:firstLine="480"/>
        <w:spacing w:line="360" w:lineRule="auto"/>
        <w:rPr>
          <w:rFonts w:hint="eastAsia" w:ascii="宋体" w:hAnsi="宋体" w:cs="宋体"/>
          <w:sz w:val="24"/>
        </w:rPr>
      </w:pPr>
      <w:r>
        <w:rPr>
          <w:rFonts w:hint="eastAsia" w:ascii="宋体" w:hAnsi="宋体" w:cs="宋体"/>
          <w:sz w:val="24"/>
        </w:rPr>
        <w:t xml:space="preserve">1.4.3恶意竞争，投标总报价明显低于其自身合理成本且又无法提供证明的。</w:t>
      </w:r>
      <w:r/>
    </w:p>
    <w:p>
      <w:pPr>
        <w:pStyle w:val="836"/>
        <w:ind w:firstLine="480"/>
        <w:spacing w:line="360" w:lineRule="auto"/>
        <w:rPr>
          <w:rFonts w:hint="eastAsia" w:ascii="宋体" w:hAnsi="宋体" w:cs="宋体"/>
          <w:sz w:val="24"/>
        </w:rPr>
      </w:pPr>
      <w:r>
        <w:rPr>
          <w:rFonts w:hint="eastAsia" w:ascii="宋体" w:hAnsi="宋体" w:cs="宋体"/>
          <w:sz w:val="24"/>
        </w:rPr>
        <w:t xml:space="preserve">1.4.4属于本文件规定的无效条件，但在评标过程中又未被评委会发现的。</w:t>
      </w:r>
      <w:r/>
    </w:p>
    <w:p>
      <w:pPr>
        <w:pStyle w:val="836"/>
        <w:ind w:firstLine="480"/>
        <w:spacing w:line="360" w:lineRule="auto"/>
        <w:rPr>
          <w:rFonts w:hint="eastAsia" w:ascii="宋体" w:hAnsi="宋体" w:cs="宋体"/>
          <w:sz w:val="24"/>
        </w:rPr>
      </w:pPr>
      <w:r>
        <w:rPr>
          <w:rFonts w:hint="eastAsia" w:ascii="宋体" w:hAnsi="宋体" w:cs="宋体"/>
          <w:sz w:val="24"/>
        </w:rPr>
        <w:t xml:space="preserve">1.4.5与采购人或者其他供应商恶意串通的。</w:t>
      </w:r>
      <w:r/>
    </w:p>
    <w:p>
      <w:pPr>
        <w:pStyle w:val="836"/>
        <w:ind w:firstLine="480"/>
        <w:spacing w:line="360" w:lineRule="auto"/>
        <w:rPr>
          <w:rFonts w:hint="eastAsia" w:ascii="宋体" w:hAnsi="宋体" w:cs="宋体"/>
          <w:sz w:val="24"/>
        </w:rPr>
      </w:pPr>
      <w:r>
        <w:rPr>
          <w:rFonts w:hint="eastAsia" w:ascii="宋体" w:hAnsi="宋体" w:cs="宋体"/>
          <w:sz w:val="24"/>
        </w:rPr>
        <w:t xml:space="preserve">1.4.6采取不正当手段诋毁、排挤其他供应商的。</w:t>
      </w:r>
      <w:r/>
    </w:p>
    <w:p>
      <w:pPr>
        <w:pStyle w:val="836"/>
        <w:ind w:firstLine="480"/>
        <w:spacing w:line="360" w:lineRule="auto"/>
        <w:rPr>
          <w:rFonts w:hint="eastAsia" w:ascii="宋体" w:hAnsi="宋体" w:cs="宋体"/>
          <w:sz w:val="24"/>
        </w:rPr>
      </w:pPr>
      <w:r/>
      <w:bookmarkStart w:id="102" w:name="_Toc200451960"/>
      <w:r>
        <w:rPr>
          <w:rFonts w:hint="eastAsia" w:ascii="宋体" w:hAnsi="宋体" w:cs="宋体"/>
          <w:sz w:val="24"/>
        </w:rPr>
        <w:t xml:space="preserve">1.5.</w:t>
      </w:r>
      <w:r>
        <w:rPr>
          <w:rFonts w:hint="eastAsia" w:ascii="宋体" w:hAnsi="宋体" w:cs="宋体"/>
          <w:sz w:val="24"/>
        </w:rPr>
        <w:t xml:space="preserve">有下列情形之一的，视为投标人串通投标，投标无效：</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1.5.1不同投标人的投标文件由同一单位或者个人编制；</w:t>
      </w:r>
      <w:r/>
    </w:p>
    <w:p>
      <w:pPr>
        <w:pStyle w:val="836"/>
        <w:ind w:firstLine="480"/>
        <w:spacing w:line="360" w:lineRule="auto"/>
        <w:rPr>
          <w:rFonts w:hint="eastAsia" w:ascii="宋体" w:hAnsi="宋体" w:cs="宋体"/>
          <w:sz w:val="24"/>
        </w:rPr>
      </w:pPr>
      <w:r>
        <w:rPr>
          <w:rFonts w:hint="eastAsia" w:ascii="宋体" w:hAnsi="宋体" w:cs="宋体"/>
          <w:sz w:val="24"/>
        </w:rPr>
        <w:t xml:space="preserve">1.5.2不同投标人委托同一单位或者个人办理投标事宜；</w:t>
      </w:r>
      <w:r/>
    </w:p>
    <w:p>
      <w:pPr>
        <w:pStyle w:val="836"/>
        <w:ind w:firstLine="480"/>
        <w:spacing w:line="360" w:lineRule="auto"/>
        <w:rPr>
          <w:rFonts w:hint="eastAsia" w:ascii="宋体" w:hAnsi="宋体" w:cs="宋体"/>
          <w:sz w:val="24"/>
        </w:rPr>
      </w:pPr>
      <w:r>
        <w:rPr>
          <w:rFonts w:hint="eastAsia" w:ascii="宋体" w:hAnsi="宋体" w:cs="宋体"/>
          <w:sz w:val="24"/>
        </w:rPr>
        <w:t xml:space="preserve">1.5.3不同投标人的投标文件载明的项目管理成员或者联系人员为同一人；</w:t>
      </w:r>
      <w:r/>
    </w:p>
    <w:p>
      <w:pPr>
        <w:pStyle w:val="836"/>
        <w:ind w:firstLine="480"/>
        <w:spacing w:line="360" w:lineRule="auto"/>
        <w:rPr>
          <w:rFonts w:hint="eastAsia" w:ascii="宋体" w:hAnsi="宋体" w:cs="宋体"/>
          <w:sz w:val="24"/>
        </w:rPr>
      </w:pPr>
      <w:r>
        <w:rPr>
          <w:rFonts w:hint="eastAsia" w:ascii="宋体" w:hAnsi="宋体" w:cs="宋体"/>
          <w:sz w:val="24"/>
        </w:rPr>
        <w:t xml:space="preserve">1.5.4不同投标人的投标文件异常一致或者投标报价呈规律性差异；</w:t>
      </w:r>
      <w:r/>
    </w:p>
    <w:p>
      <w:pPr>
        <w:pStyle w:val="836"/>
        <w:ind w:firstLine="480"/>
        <w:spacing w:line="360" w:lineRule="auto"/>
        <w:rPr>
          <w:rFonts w:hint="eastAsia" w:ascii="宋体" w:hAnsi="宋体" w:cs="宋体"/>
          <w:sz w:val="24"/>
        </w:rPr>
      </w:pPr>
      <w:r>
        <w:rPr>
          <w:rFonts w:hint="eastAsia" w:ascii="宋体" w:hAnsi="宋体" w:cs="宋体"/>
          <w:sz w:val="24"/>
        </w:rPr>
        <w:t xml:space="preserve">1.5.5不同投标人的投标文件相互混装；</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2.质疑处理</w:t>
      </w:r>
      <w:bookmarkEnd w:id="102"/>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提出质疑的供应商应当是参与所质疑项目采购活动的供应商。潜在供应商依法获取其可质疑的采购文件的，可以对采购文件提出质疑。</w:t>
      </w:r>
      <w:r/>
    </w:p>
    <w:p>
      <w:pPr>
        <w:pStyle w:val="836"/>
        <w:ind w:firstLine="480"/>
        <w:spacing w:line="360" w:lineRule="auto"/>
        <w:rPr>
          <w:rFonts w:hint="eastAsia" w:ascii="宋体" w:hAnsi="宋体" w:cs="宋体"/>
          <w:sz w:val="24"/>
        </w:rPr>
      </w:pPr>
      <w:r>
        <w:rPr>
          <w:rFonts w:hint="eastAsia" w:ascii="宋体" w:hAnsi="宋体" w:cs="宋体"/>
          <w:sz w:val="24"/>
        </w:rPr>
        <w:t xml:space="preserve">2.2 供应商认为采购文件、采购过程和采购结果使自己的权益受到损害的，可以在知道或应知其权益受到损害之日起七个工作日内，以书面形式向采购中心或采购人提出质疑。上述应知其权益受到损害之日，是指：</w:t>
      </w:r>
      <w:r/>
    </w:p>
    <w:p>
      <w:pPr>
        <w:pStyle w:val="836"/>
        <w:ind w:firstLine="480"/>
        <w:spacing w:line="360" w:lineRule="auto"/>
        <w:rPr>
          <w:rFonts w:hint="eastAsia" w:ascii="宋体" w:hAnsi="宋体" w:cs="宋体"/>
          <w:sz w:val="24"/>
        </w:rPr>
      </w:pPr>
      <w:r>
        <w:rPr>
          <w:rFonts w:hint="eastAsia" w:ascii="宋体" w:hAnsi="宋体" w:cs="宋体"/>
          <w:sz w:val="24"/>
        </w:rPr>
        <w:t xml:space="preserve">2.2.1 </w:t>
      </w:r>
      <w:r>
        <w:rPr>
          <w:rFonts w:hint="eastAsia" w:ascii="宋体" w:hAnsi="宋体" w:cs="宋体"/>
          <w:sz w:val="24"/>
        </w:rPr>
        <w:t xml:space="preserve">对可以质疑的采购文件提出质疑的，为收到采购文件之日或者采购文件公告期限届满之日；</w:t>
        <w:br w:type="textWrapping" w:clear="all"/>
        <w:t xml:space="preserve">　　</w:t>
      </w:r>
      <w:r>
        <w:rPr>
          <w:rFonts w:hint="eastAsia" w:ascii="宋体" w:hAnsi="宋体" w:cs="宋体"/>
          <w:sz w:val="24"/>
        </w:rPr>
        <w:t xml:space="preserve">2.2.2 </w:t>
      </w:r>
      <w:r>
        <w:rPr>
          <w:rFonts w:hint="eastAsia" w:ascii="宋体" w:hAnsi="宋体" w:cs="宋体"/>
          <w:sz w:val="24"/>
        </w:rPr>
        <w:t xml:space="preserve">对采购过程提出质疑的，为各采购程序环节结束之日；</w:t>
        <w:br w:type="textWrapping" w:clear="all"/>
        <w:t xml:space="preserve">　　</w:t>
      </w:r>
      <w:r>
        <w:rPr>
          <w:rFonts w:hint="eastAsia" w:ascii="宋体" w:hAnsi="宋体" w:cs="宋体"/>
          <w:sz w:val="24"/>
        </w:rPr>
        <w:t xml:space="preserve">2.2.3 </w:t>
      </w:r>
      <w:r>
        <w:rPr>
          <w:rFonts w:hint="eastAsia" w:ascii="宋体" w:hAnsi="宋体" w:cs="宋体"/>
          <w:sz w:val="24"/>
        </w:rPr>
        <w:t xml:space="preserve">对中标或者成交结果提出质疑的，为中标或者成交结果公告期限届满之日。</w:t>
      </w:r>
      <w:r/>
    </w:p>
    <w:p>
      <w:pPr>
        <w:pStyle w:val="836"/>
        <w:ind w:firstLine="480"/>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2.3 质疑函必须按照本招标文件中《质疑函范本》要求的格式和内容进行填写。供应商如组成联合体参加投标，则《质疑函范本》中要求签字、盖章、加盖公章之处，联合体各方均须按要求签字、盖章、加盖公章。</w:t>
      </w:r>
      <w:r/>
    </w:p>
    <w:p>
      <w:pPr>
        <w:pStyle w:val="836"/>
        <w:ind w:firstLine="480"/>
        <w:spacing w:line="360" w:lineRule="auto"/>
        <w:rPr>
          <w:rFonts w:hint="eastAsia" w:ascii="宋体" w:hAnsi="宋体" w:cs="宋体"/>
          <w:sz w:val="24"/>
        </w:rPr>
      </w:pPr>
      <w:r>
        <w:rPr>
          <w:rFonts w:hint="eastAsia" w:ascii="宋体" w:hAnsi="宋体" w:cs="宋体"/>
          <w:sz w:val="24"/>
        </w:rPr>
        <w:t xml:space="preserve">2.4 对采购方式、招标文件中项目需求、供应商资格条件、评标方法和评标标准、资格审查结果等应当由采购人答复的质疑，请向采购人提出，由采购人负责答复。</w:t>
      </w:r>
      <w:r/>
    </w:p>
    <w:p>
      <w:pPr>
        <w:pStyle w:val="836"/>
        <w:ind w:firstLine="480"/>
        <w:spacing w:line="360" w:lineRule="auto"/>
        <w:rPr>
          <w:rFonts w:hint="eastAsia" w:ascii="宋体" w:hAnsi="宋体" w:cs="宋体"/>
          <w:sz w:val="24"/>
        </w:rPr>
      </w:pPr>
      <w:r>
        <w:rPr>
          <w:rFonts w:hint="eastAsia" w:ascii="宋体" w:hAnsi="宋体" w:cs="宋体"/>
          <w:sz w:val="24"/>
        </w:rPr>
        <w:t xml:space="preserve">交易中心及采购人只接收以纸质原件形式送达的质疑,建议供应商尽量通过邮寄方式提交质疑（采购人和交易中心不接受未填写快递运单的快件）。</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采购人质疑接收人及联系方式，见招标文件第一章。</w:t>
      </w:r>
      <w:r/>
    </w:p>
    <w:p>
      <w:pPr>
        <w:pStyle w:val="836"/>
        <w:ind w:firstLine="480"/>
        <w:spacing w:line="360" w:lineRule="auto"/>
        <w:rPr>
          <w:rFonts w:hint="eastAsia" w:ascii="宋体" w:hAnsi="宋体" w:cs="宋体"/>
          <w:sz w:val="24"/>
        </w:rPr>
      </w:pPr>
      <w:r>
        <w:rPr>
          <w:rFonts w:hint="eastAsia" w:ascii="宋体" w:hAnsi="宋体" w:cs="宋体"/>
          <w:sz w:val="24"/>
        </w:rPr>
        <w:t xml:space="preserve">2.5 以下情形的质疑不予受理</w:t>
      </w:r>
      <w:r/>
    </w:p>
    <w:p>
      <w:pPr>
        <w:pStyle w:val="836"/>
        <w:ind w:firstLine="480"/>
        <w:spacing w:line="360" w:lineRule="auto"/>
        <w:rPr>
          <w:rFonts w:hint="eastAsia" w:ascii="宋体" w:hAnsi="宋体" w:cs="宋体"/>
          <w:sz w:val="24"/>
        </w:rPr>
      </w:pPr>
      <w:r>
        <w:rPr>
          <w:rFonts w:hint="eastAsia" w:ascii="宋体" w:hAnsi="宋体" w:cs="宋体"/>
          <w:sz w:val="24"/>
        </w:rPr>
        <w:t xml:space="preserve">2.5.1 内容不符合《政府采购质疑和投诉办法》第十二条规定的质疑。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2.5.2 超出政府采购法定期限的质疑。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2.5.3 未参加投标活动的供应商或在投标活动中自身权益未受到损害的供应商所提出的质疑。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2.5.4 供应商组成联合体参加投标，联合体中任何一方或多方未按要求签字、盖章、加盖公章的质疑。</w:t>
      </w:r>
      <w:r/>
    </w:p>
    <w:p>
      <w:pPr>
        <w:pStyle w:val="836"/>
        <w:ind w:firstLine="480"/>
        <w:spacing w:line="360" w:lineRule="auto"/>
        <w:rPr>
          <w:rFonts w:hint="eastAsia"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3中标通知书</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3.l</w:t>
      </w:r>
      <w:r>
        <w:rPr>
          <w:rFonts w:hint="eastAsia" w:ascii="宋体" w:hAnsi="宋体" w:cs="宋体"/>
          <w:b/>
          <w:sz w:val="24"/>
        </w:rPr>
        <w:t xml:space="preserve"> </w:t>
      </w:r>
      <w:r>
        <w:rPr>
          <w:rFonts w:hint="eastAsia" w:ascii="宋体" w:hAnsi="宋体" w:cs="宋体"/>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6"/>
        <w:ind w:firstLine="480"/>
        <w:spacing w:line="360" w:lineRule="auto"/>
        <w:rPr>
          <w:rFonts w:hint="eastAsia" w:ascii="宋体" w:hAnsi="宋体" w:cs="宋体"/>
          <w:sz w:val="24"/>
        </w:rPr>
      </w:pPr>
      <w:r>
        <w:rPr>
          <w:rFonts w:hint="eastAsia" w:ascii="宋体" w:hAnsi="宋体" w:cs="宋体"/>
          <w:sz w:val="24"/>
        </w:rPr>
        <w:t xml:space="preserve">3.2 中标通知书将是合同的一个组成部分。对采购人和中标供应商均具有法律效力。中标通知书发出后，采购人改变中标结果的，或者中标供应商放弃中标项目的，应当依法承担法律责任。</w:t>
      </w:r>
      <w:r/>
    </w:p>
    <w:p>
      <w:pPr>
        <w:pStyle w:val="836"/>
        <w:ind w:firstLine="482"/>
        <w:spacing w:line="360" w:lineRule="auto"/>
        <w:rPr>
          <w:rFonts w:hint="eastAsia" w:ascii="宋体" w:hAnsi="宋体" w:cs="宋体"/>
          <w:b/>
          <w:sz w:val="24"/>
        </w:rPr>
        <w:outlineLvl w:val="2"/>
      </w:pPr>
      <w:r/>
      <w:bookmarkStart w:id="103" w:name="_Toc120614220"/>
      <w:r/>
      <w:bookmarkStart w:id="104" w:name="_Toc513029236"/>
      <w:r/>
      <w:bookmarkStart w:id="105" w:name="_Toc16938552"/>
      <w:r/>
      <w:bookmarkStart w:id="106" w:name="_Toc20823308"/>
      <w:r>
        <w:rPr>
          <w:rFonts w:hint="eastAsia" w:ascii="宋体" w:hAnsi="宋体" w:cs="宋体"/>
          <w:b/>
          <w:sz w:val="24"/>
        </w:rPr>
        <w:t xml:space="preserve">七 授予合同</w:t>
      </w:r>
      <w:bookmarkEnd w:id="103"/>
      <w:r>
        <w:rPr>
          <w:rFonts w:hint="eastAsia" w:ascii="宋体" w:hAnsi="宋体" w:cs="宋体"/>
          <w:b/>
          <w:sz w:val="24"/>
        </w:rPr>
      </w:r>
      <w:r/>
    </w:p>
    <w:p>
      <w:pPr>
        <w:pStyle w:val="840"/>
        <w:ind w:firstLine="480"/>
        <w:jc w:val="both"/>
        <w:spacing w:line="360" w:lineRule="auto"/>
        <w:rPr>
          <w:rFonts w:hint="eastAsia" w:ascii="宋体" w:hAnsi="宋体" w:eastAsia="宋体" w:cs="宋体"/>
          <w:b/>
          <w:sz w:val="24"/>
          <w:szCs w:val="24"/>
        </w:rPr>
      </w:pPr>
      <w:r/>
      <w:bookmarkEnd w:id="104"/>
      <w:r/>
      <w:bookmarkEnd w:id="105"/>
      <w:r/>
      <w:bookmarkEnd w:id="106"/>
      <w:r/>
      <w:bookmarkStart w:id="107" w:name="_Toc20823309"/>
      <w:r/>
      <w:bookmarkStart w:id="108" w:name="_Toc513029237"/>
      <w:r/>
      <w:bookmarkStart w:id="109" w:name="_Toc16938553"/>
      <w:r>
        <w:rPr>
          <w:rFonts w:hint="eastAsia" w:ascii="宋体" w:hAnsi="宋体" w:eastAsia="宋体" w:cs="宋体"/>
          <w:sz w:val="24"/>
          <w:szCs w:val="24"/>
        </w:rPr>
        <w:t xml:space="preserve">1.签订合同</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bCs/>
          <w:sz w:val="24"/>
        </w:rPr>
        <w:t xml:space="preserve">1</w:t>
      </w:r>
      <w:r>
        <w:rPr>
          <w:rFonts w:hint="eastAsia" w:ascii="宋体" w:hAnsi="宋体" w:cs="宋体"/>
          <w:sz w:val="24"/>
        </w:rPr>
        <w:t xml:space="preserve">.l 中标人应当在中标通知书发出之日起三十日内，按照招标文件确定的事项与采购人签订政府采购合同。</w:t>
      </w:r>
      <w:r/>
    </w:p>
    <w:p>
      <w:pPr>
        <w:pStyle w:val="836"/>
        <w:ind w:firstLine="480"/>
        <w:spacing w:line="360" w:lineRule="auto"/>
        <w:rPr>
          <w:rFonts w:hint="eastAsia" w:ascii="宋体" w:hAnsi="宋体" w:cs="宋体"/>
          <w:sz w:val="24"/>
        </w:rPr>
      </w:pPr>
      <w:r>
        <w:rPr>
          <w:rFonts w:hint="eastAsia" w:ascii="宋体" w:hAnsi="宋体" w:cs="宋体"/>
          <w:sz w:val="24"/>
        </w:rPr>
        <w:t xml:space="preserve">1.2 招标文件、中标人的投标文件及招标过程中有关澄清、承诺文件均应作为合同附件。</w:t>
      </w:r>
      <w:r/>
    </w:p>
    <w:p>
      <w:pPr>
        <w:pStyle w:val="836"/>
        <w:ind w:firstLine="480"/>
        <w:spacing w:line="360" w:lineRule="auto"/>
        <w:rPr>
          <w:rFonts w:hint="eastAsia" w:ascii="宋体" w:hAnsi="宋体" w:cs="宋体"/>
          <w:sz w:val="24"/>
        </w:rPr>
      </w:pPr>
      <w:r>
        <w:rPr>
          <w:rFonts w:hint="eastAsia" w:ascii="宋体" w:hAnsi="宋体" w:cs="宋体"/>
          <w:sz w:val="24"/>
        </w:rPr>
        <w:t xml:space="preserve">1.3 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pStyle w:val="840"/>
        <w:ind w:firstLine="480"/>
        <w:jc w:val="both"/>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2.货物和服务的追加、减少和添购。</w:t>
      </w:r>
      <w:r>
        <w:rPr>
          <w:rFonts w:hint="eastAsia" w:ascii="宋体" w:hAnsi="宋体" w:eastAsia="宋体" w:cs="宋体"/>
          <w:b/>
          <w:sz w:val="24"/>
          <w:szCs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2.1 政府采购合同履行中，采购人需追加与合同标的相同的货物和服务的，在不改变合同其他条款的前提下，可以与中标人协商签订补充合同，但所有补充合同的采购金额不超过原合同金额10%。</w:t>
      </w:r>
      <w:r/>
    </w:p>
    <w:p>
      <w:pPr>
        <w:pStyle w:val="836"/>
        <w:ind w:firstLine="480"/>
        <w:spacing w:line="360" w:lineRule="auto"/>
        <w:rPr>
          <w:rFonts w:hint="eastAsia" w:ascii="宋体" w:hAnsi="宋体" w:cs="宋体"/>
          <w:b/>
          <w:sz w:val="24"/>
        </w:rPr>
      </w:pPr>
      <w:r>
        <w:rPr>
          <w:rFonts w:hint="eastAsia" w:ascii="宋体" w:hAnsi="宋体" w:cs="宋体"/>
          <w:sz w:val="24"/>
        </w:rPr>
        <w:t xml:space="preserve">2.2 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cs="宋体"/>
          <w:b/>
          <w:sz w:val="24"/>
        </w:rPr>
      </w:r>
      <w:r/>
    </w:p>
    <w:p>
      <w:pPr>
        <w:pStyle w:val="840"/>
        <w:ind w:firstLine="480"/>
        <w:jc w:val="both"/>
        <w:spacing w:line="360" w:lineRule="auto"/>
        <w:rPr>
          <w:rFonts w:hint="eastAsia" w:ascii="宋体" w:hAnsi="宋体" w:eastAsia="宋体" w:cs="宋体"/>
          <w:sz w:val="24"/>
          <w:szCs w:val="24"/>
        </w:rPr>
      </w:pPr>
      <w:r/>
      <w:bookmarkEnd w:id="107"/>
      <w:r/>
      <w:bookmarkEnd w:id="108"/>
      <w:r/>
      <w:bookmarkEnd w:id="109"/>
      <w:r>
        <w:rPr>
          <w:rFonts w:hint="eastAsia" w:ascii="宋体" w:hAnsi="宋体" w:eastAsia="宋体" w:cs="宋体"/>
          <w:sz w:val="24"/>
          <w:szCs w:val="24"/>
        </w:rPr>
        <w:t xml:space="preserve">3.政府采购履约保证资金、合同信用融资扶持政策</w:t>
      </w:r>
      <w:r/>
    </w:p>
    <w:p>
      <w:pPr>
        <w:pStyle w:val="836"/>
        <w:ind w:firstLine="480"/>
        <w:spacing w:line="360" w:lineRule="auto"/>
        <w:rPr>
          <w:rFonts w:hint="eastAsia" w:ascii="宋体" w:hAnsi="宋体" w:cs="宋体"/>
          <w:sz w:val="24"/>
        </w:rPr>
      </w:pPr>
      <w:r>
        <w:rPr>
          <w:rFonts w:hint="eastAsia" w:ascii="宋体" w:hAnsi="宋体" w:cs="宋体"/>
          <w:sz w:val="24"/>
        </w:rPr>
        <w:t xml:space="preserve">3.1 根</w:t>
      </w:r>
      <w:r>
        <w:rPr>
          <w:rFonts w:hint="eastAsia" w:ascii="宋体" w:hAnsi="宋体" w:cs="宋体"/>
          <w:sz w:val="24"/>
        </w:rPr>
        <w:t xml:space="preserve">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八、采购本国产品的支持政策</w:t>
      </w:r>
      <w:r/>
    </w:p>
    <w:p>
      <w:pPr>
        <w:pStyle w:val="836"/>
        <w:ind w:firstLine="480"/>
        <w:spacing w:line="360" w:lineRule="auto"/>
        <w:rPr>
          <w:rFonts w:hint="eastAsia" w:ascii="宋体" w:hAnsi="宋体" w:cs="宋体"/>
          <w:sz w:val="24"/>
        </w:rPr>
      </w:pPr>
      <w:r>
        <w:rPr>
          <w:rFonts w:hint="eastAsia" w:ascii="宋体" w:hAnsi="宋体" w:cs="宋体"/>
          <w:sz w:val="24"/>
        </w:rPr>
        <w:t xml:space="preserve">1.本项目政府采购活动中既有本国产品又有非本国产品参与竞争的，依法对本国产品给予价格评审优惠，对本国产品的报价给予20%的价格扣除，用扣除后的价格参与评审。</w:t>
      </w:r>
      <w:r/>
    </w:p>
    <w:p>
      <w:pPr>
        <w:pStyle w:val="836"/>
        <w:ind w:firstLine="480"/>
        <w:spacing w:line="360" w:lineRule="auto"/>
        <w:rPr>
          <w:rFonts w:hint="eastAsia" w:ascii="宋体" w:hAnsi="宋体" w:cs="宋体"/>
          <w:sz w:val="24"/>
        </w:rPr>
      </w:pPr>
      <w:r>
        <w:rPr>
          <w:rFonts w:hint="eastAsia" w:ascii="宋体" w:hAnsi="宋体" w:cs="宋体"/>
          <w:sz w:val="24"/>
        </w:rPr>
        <w:t xml:space="preserve">2.当采购项目或者采购包中含有多种产品，供应商为该采购项目或者采购包提供的符合本国产品标准的产品成本之和占该供应商提供的全部产品成本之和的比例达到80%以上时（供应商需在“第八章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3.供应商需按照招标文件的要求提供《关于符合本国产品标准的声明函》（以下简称《声明函》），如不提供将不享受本国产品价格评审优惠。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36"/>
        <w:ind w:firstLine="480"/>
        <w:spacing w:line="360" w:lineRule="auto"/>
        <w:rPr>
          <w:rFonts w:hint="eastAsia" w:ascii="宋体" w:hAnsi="宋体" w:cs="宋体"/>
          <w:sz w:val="24"/>
        </w:rPr>
      </w:pPr>
      <w:r>
        <w:rPr>
          <w:rFonts w:hint="eastAsia" w:ascii="宋体" w:hAnsi="宋体" w:cs="宋体"/>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九、电子招标投标交易平台</w:t>
      </w:r>
      <w:r/>
    </w:p>
    <w:p>
      <w:pPr>
        <w:pStyle w:val="836"/>
        <w:ind w:firstLine="480"/>
        <w:spacing w:line="360" w:lineRule="auto"/>
        <w:rPr>
          <w:rFonts w:hint="eastAsia" w:ascii="宋体" w:hAnsi="宋体" w:cs="宋体"/>
          <w:sz w:val="24"/>
        </w:rPr>
      </w:pPr>
      <w:r>
        <w:rPr>
          <w:rFonts w:hint="eastAsia" w:ascii="宋体" w:hAnsi="宋体" w:cs="宋体"/>
          <w:bCs/>
          <w:sz w:val="24"/>
        </w:rPr>
        <w:t xml:space="preserve">电子招标投标交易平台（即“苏采云”系统，网址：http://jszfcg.jsczt.cn/）相关要求是本招标文件的组成部分。</w:t>
      </w:r>
      <w:r>
        <w:rPr>
          <w:rFonts w:hint="eastAsia" w:ascii="宋体" w:hAnsi="宋体" w:cs="宋体"/>
          <w:sz w:val="24"/>
        </w:rPr>
      </w:r>
      <w:r/>
    </w:p>
    <w:p>
      <w:pPr>
        <w:pStyle w:val="836"/>
        <w:spacing w:line="500" w:lineRule="exact"/>
        <w:rPr>
          <w:sz w:val="24"/>
        </w:rPr>
      </w:pPr>
      <w:r>
        <w:rPr>
          <w:sz w:val="24"/>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eastAsia="方正小标宋_GBK"/>
          <w:bCs/>
          <w:sz w:val="36"/>
          <w:szCs w:val="36"/>
        </w:rPr>
      </w:pPr>
      <w:r>
        <w:rPr>
          <w:rFonts w:eastAsia="方正小标宋_GBK"/>
          <w:bCs/>
          <w:sz w:val="36"/>
          <w:szCs w:val="36"/>
        </w:rPr>
      </w:r>
      <w:r/>
    </w:p>
    <w:p>
      <w:pPr>
        <w:pStyle w:val="836"/>
        <w:jc w:val="center"/>
        <w:spacing w:line="500" w:lineRule="exact"/>
        <w:rPr>
          <w:rFonts w:hint="eastAsia" w:ascii="宋体" w:hAnsi="宋体" w:cs="宋体"/>
          <w:b/>
          <w:sz w:val="36"/>
          <w:szCs w:val="36"/>
        </w:rPr>
        <w:outlineLvl w:val="0"/>
      </w:pPr>
      <w:r>
        <w:rPr>
          <w:rFonts w:eastAsia="方正小标宋_GBK"/>
          <w:bCs/>
          <w:sz w:val="36"/>
          <w:szCs w:val="36"/>
        </w:rPr>
        <w:br w:type="page" w:clear="all"/>
      </w:r>
      <w:r>
        <w:rPr>
          <w:rFonts w:hint="eastAsia" w:ascii="宋体" w:hAnsi="宋体" w:cs="宋体"/>
          <w:b/>
          <w:sz w:val="36"/>
          <w:szCs w:val="36"/>
        </w:rPr>
        <w:t xml:space="preserve">第三部分  项目需求</w:t>
      </w:r>
      <w:r/>
    </w:p>
    <w:p>
      <w:pPr>
        <w:pStyle w:val="836"/>
        <w:ind w:firstLine="482"/>
        <w:spacing w:line="500" w:lineRule="exact"/>
        <w:rPr>
          <w:rFonts w:hint="eastAsia" w:ascii="宋体" w:hAnsi="宋体" w:cs="宋体"/>
          <w:b/>
          <w:bCs/>
          <w:sz w:val="24"/>
        </w:rPr>
      </w:pPr>
      <w:r>
        <w:rPr>
          <w:rFonts w:hint="eastAsia" w:ascii="宋体" w:hAnsi="宋体" w:cs="宋体"/>
          <w:b/>
          <w:bCs/>
          <w:sz w:val="24"/>
        </w:rPr>
      </w:r>
      <w:r/>
    </w:p>
    <w:p>
      <w:pPr>
        <w:pStyle w:val="836"/>
        <w:ind w:firstLine="482"/>
        <w:spacing w:line="500" w:lineRule="exact"/>
        <w:rPr>
          <w:rFonts w:hint="eastAsia" w:ascii="宋体" w:hAnsi="宋体" w:cs="宋体"/>
          <w:b/>
          <w:bCs/>
          <w:sz w:val="24"/>
        </w:rPr>
      </w:pPr>
      <w:r>
        <w:rPr>
          <w:rFonts w:hint="eastAsia" w:ascii="宋体" w:hAnsi="宋体" w:cs="宋体"/>
          <w:b/>
          <w:bCs/>
          <w:sz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一、需求总则</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1.关于优先采购：</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1）政府采购优先采购节能产品和环境标志产品。节能产品是指列入财政部、国家发展和改革委员会制定的《节能产品政府采购清单》。环境标志产品是指财政部、国家环保总局制定的《环境标志产品政府采购清单》。</w:t>
      </w:r>
      <w:r/>
    </w:p>
    <w:p>
      <w:pPr>
        <w:pStyle w:val="836"/>
        <w:contextualSpacing/>
        <w:ind w:firstLine="482"/>
        <w:spacing w:line="360" w:lineRule="auto"/>
        <w:rPr>
          <w:rFonts w:hint="eastAsia" w:ascii="宋体" w:hAnsi="宋体" w:cs="宋体"/>
          <w:bCs/>
          <w:sz w:val="24"/>
        </w:rPr>
      </w:pPr>
      <w:r>
        <w:rPr>
          <w:rFonts w:hint="eastAsia" w:ascii="宋体" w:hAnsi="宋体" w:cs="宋体"/>
          <w:b/>
          <w:sz w:val="24"/>
        </w:rPr>
        <w:t xml:space="preserve">（2）本次招标采购涉及产品如列入节能产品、环境标志产品实施品目清单的，各公开招标响应供应商应提供国家确定的认证机构出具的、处于有效期之内的节能产品、环境标志产品认证证书。</w:t>
      </w:r>
      <w:r>
        <w:rPr>
          <w:rFonts w:hint="eastAsia" w:ascii="宋体" w:hAnsi="宋体" w:cs="宋体"/>
          <w:bCs/>
          <w:sz w:val="24"/>
        </w:rPr>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2.绿色采购</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1.本次采购需切实履行绿色采购。</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1.1商品包装环保要求：应当按《关于印发〈商品包装政府采购需求标准（试行）〉、〈快递包装政府采购需求标准（试行）〉的通知》（财办库〔2020〕123号）文件执行。</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（1）商品包装层数不得超过 3 层，空隙率不大于40%；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（2）商品包装尽可能使用单一材质的包装材料，如因功能需求必需使用不同材质，不同材质间应便于分离；</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（3）商品包装中铅、汞、镉、六价铬的总含量应不大于100mg/kg；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（4）商品包装印刷使用的油墨中挥发性有机化合物（VOCs）含量应不大于 5%（以重量计）；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（5）塑料材质商品包装上呈现的印刷颜色不得超过 6 色；</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（6）纸质商品包装应使用 75%以上的可再生纤维原料生产；</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（7）木质商品包装的原料应来源于可持续性森林。</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1.2快递包装环保要求：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（1）快递包装中重金属（铅、汞、镉、六价铬）总量应不大于 100mg/kg；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（2）快递包装印刷使用的油墨中不应添加邻苯二甲酸酯，其挥发性有机化合物（VOCs）含量应不大于5%（以重量计）；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（3）快递包装中使用纸基材的包装材料，纸基材中的有机氯的含量应不大于 150 mg/kg；</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（5）快递中使用的塑料包装袋不得使用聚氯乙烯作为原料，且原料应为单一材质制成，生物分解率大于60%；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（6）快递中使用的充气类填充物不得使用聚氯乙烯作为原料，且原料为单一材质制成，生物分解率大于60%；</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（7）快递中使用的集装袋应为单一材质制成，其重复使用次数应不小于 80 次；</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（8）快递中应使用幅宽不大于45mm 的生物降解胶带；</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（9）快递包装中不得使用溶剂型胶粘剂；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（10）快递应使用电子面单；</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（11）直接使用商品包装作为快递包装的商品，其商品包装满足《商品包装政府采购需求标准（试行）》即可；</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（12）快递包装产品质量和封装方式应符合相关国家或行业标准技术指标要求。</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3.关于招标项目涉及产品：</w:t>
      </w:r>
      <w:r/>
    </w:p>
    <w:p>
      <w:pPr>
        <w:pStyle w:val="836"/>
        <w:contextualSpacing/>
        <w:ind w:firstLine="480"/>
        <w:spacing w:line="360" w:lineRule="auto"/>
        <w:rPr>
          <w:rFonts w:hint="eastAsia" w:ascii="宋体" w:hAnsi="宋体" w:cs="宋体"/>
          <w:b/>
          <w:bCs/>
          <w:sz w:val="24"/>
        </w:rPr>
      </w:pPr>
      <w:r>
        <w:rPr>
          <w:rFonts w:hint="eastAsia" w:ascii="宋体" w:hAnsi="宋体" w:cs="宋体"/>
          <w:bCs/>
          <w:sz w:val="24"/>
        </w:rPr>
        <w:t xml:space="preserve">（1）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hint="eastAsia" w:ascii="宋体" w:hAnsi="宋体" w:cs="宋体"/>
          <w:b/>
          <w:bCs/>
          <w:sz w:val="24"/>
        </w:rPr>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（2）若竞标产品涉及政府采购协议供货目录内的产品则必须选择目录内产品（型号及参数），产品报价不得超过江苏省省级或南通市最新一期的政府采购协议供货价格。</w:t>
      </w:r>
      <w:r/>
    </w:p>
    <w:p>
      <w:pPr>
        <w:pStyle w:val="836"/>
        <w:contextualSpacing/>
        <w:ind w:firstLine="480"/>
        <w:spacing w:line="360" w:lineRule="auto"/>
        <w:rPr>
          <w:rFonts w:hint="eastAsia" w:ascii="宋体" w:hAnsi="宋体" w:cs="宋体"/>
          <w:b/>
          <w:bCs/>
          <w:sz w:val="24"/>
        </w:rPr>
      </w:pPr>
      <w:r>
        <w:rPr>
          <w:rFonts w:hint="eastAsia" w:ascii="宋体" w:hAnsi="宋体" w:cs="宋体"/>
          <w:bCs/>
          <w:sz w:val="24"/>
        </w:rPr>
        <w:t xml:space="preserve">（3）本项目采购不接受全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
          <w:bCs/>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二、项目公开招标响应说明</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公开招标响应供应商不能简单照搬照抄招标项目需求说明中的技术要求，必须作实事求是的响应：</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1.照搬照抄项目需求说明中的技术要求，一旦中标，在与采购人签订合同和履约环节中不得提出异议，一切后果和损失由中标人承担。</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2.公开招标响应供应商提供的货物和服务与采购人提出的项目需求说明中的技术要求不同，必</w:t>
      </w:r>
      <w:bookmarkStart w:id="110" w:name="_Hlk69896050"/>
      <w:r>
        <w:rPr>
          <w:rFonts w:hint="eastAsia" w:ascii="宋体" w:hAnsi="宋体" w:cs="宋体"/>
          <w:bCs/>
          <w:sz w:val="24"/>
        </w:rPr>
        <w:t xml:space="preserve">须在逐一逐条响应的《技术条款响应正负偏离表》上明示偏离的部分。</w:t>
      </w:r>
      <w:bookmarkEnd w:id="110"/>
      <w:r>
        <w:rPr>
          <w:rFonts w:hint="eastAsia" w:ascii="宋体" w:hAnsi="宋体" w:cs="宋体"/>
          <w:bCs/>
          <w:sz w:val="24"/>
        </w:rPr>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3.项目需求产品的技术参数响应：</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为鼓励不同品牌的充分竞争，如某主要技术参数属于个别品牌专有，则该主要技术参数不具有限制性，供应商可以自行调整，但必须保证“正偏离”。公开招标响应供应商可对提供的竞标产品涉及的技术参数进行对比参照，并具体提供以下材料：</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（1）指标排它性的证明材料；</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（2）产品调整对比表；</w:t>
      </w:r>
      <w:r/>
    </w:p>
    <w:p>
      <w:pPr>
        <w:pStyle w:val="836"/>
        <w:contextualSpacing/>
        <w:ind w:firstLine="482"/>
        <w:spacing w:line="360" w:lineRule="auto"/>
        <w:rPr>
          <w:rFonts w:hint="eastAsia" w:ascii="宋体" w:hAnsi="宋体" w:cs="宋体"/>
          <w:b/>
          <w:sz w:val="24"/>
        </w:rPr>
      </w:pPr>
      <w:r>
        <w:rPr>
          <w:rFonts w:hint="eastAsia" w:ascii="宋体" w:hAnsi="宋体" w:cs="宋体"/>
          <w:b/>
          <w:sz w:val="24"/>
        </w:rPr>
        <w:t xml:space="preserve">（3）调整后产品的详细技术参数。</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三、采购标的数量、采购项目交付或者实施的时间和地点</w:t>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（一）采</w:t>
      </w:r>
      <w:bookmarkStart w:id="111" w:name="OLE_LINK57"/>
      <w:r>
        <w:rPr>
          <w:rFonts w:hint="eastAsia" w:ascii="宋体" w:hAnsi="宋体" w:cs="宋体"/>
          <w:b/>
          <w:sz w:val="24"/>
        </w:rPr>
        <w:t xml:space="preserve">购标的需实现的功能或者目标，以及为落实政府采购政策需满足的要求</w:t>
      </w:r>
      <w:r/>
    </w:p>
    <w:p>
      <w:pPr>
        <w:pStyle w:val="836"/>
        <w:ind w:firstLine="482"/>
        <w:spacing w:line="400" w:lineRule="exact"/>
        <w:rPr>
          <w:rFonts w:ascii="宋体" w:hAnsi="宋体" w:cs="宋体"/>
          <w:bCs/>
          <w:sz w:val="24"/>
        </w:rPr>
      </w:pPr>
      <w:r/>
      <w:bookmarkEnd w:id="111"/>
      <w:r>
        <w:rPr>
          <w:rFonts w:hint="eastAsia" w:ascii="宋体" w:hAnsi="宋体" w:cs="宋体"/>
          <w:b/>
          <w:sz w:val="24"/>
        </w:rPr>
        <w:t xml:space="preserve">采购标的</w:t>
      </w:r>
      <w:bookmarkStart w:id="112" w:name="OLE_LINK111"/>
      <w:r>
        <w:rPr>
          <w:rFonts w:hint="eastAsia" w:ascii="宋体" w:hAnsi="宋体" w:cs="宋体"/>
          <w:b/>
          <w:sz w:val="24"/>
        </w:rPr>
        <w:t xml:space="preserve">需实现的功能</w:t>
      </w:r>
      <w:bookmarkEnd w:id="112"/>
      <w:r>
        <w:rPr>
          <w:rFonts w:hint="eastAsia" w:ascii="宋体" w:hAnsi="宋体" w:cs="宋体"/>
          <w:b/>
          <w:sz w:val="24"/>
        </w:rPr>
        <w:t xml:space="preserve">或者目标</w:t>
      </w:r>
      <w:r>
        <w:rPr>
          <w:rFonts w:hint="eastAsia" w:ascii="宋体" w:hAnsi="宋体" w:cs="宋体"/>
          <w:bCs/>
          <w:sz w:val="24"/>
        </w:rPr>
        <w:t xml:space="preserve">：</w:t>
      </w:r>
      <w:bookmarkStart w:id="113" w:name="OLE_LINK96"/>
      <w:r>
        <w:rPr>
          <w:rFonts w:hint="eastAsia" w:ascii="宋体" w:hAnsi="宋体" w:cs="宋体"/>
          <w:bCs/>
          <w:sz w:val="24"/>
        </w:rPr>
        <w:t xml:space="preserve">本项目旨在采购并安装教师教学和学生实训设备，建设</w:t>
      </w:r>
      <w:bookmarkStart w:id="114" w:name="OLE_LINK139"/>
      <w:r>
        <w:rPr>
          <w:rFonts w:hint="eastAsia" w:ascii="宋体" w:hAnsi="宋体" w:cs="宋体"/>
          <w:bCs/>
          <w:sz w:val="24"/>
        </w:rPr>
        <w:t xml:space="preserve">8个船舶工程技术专业群虚拟仿真实训课程</w:t>
      </w:r>
      <w:bookmarkEnd w:id="114"/>
      <w:r>
        <w:rPr>
          <w:rFonts w:hint="eastAsia" w:ascii="宋体" w:hAnsi="宋体" w:cs="宋体"/>
          <w:bCs/>
          <w:sz w:val="24"/>
        </w:rPr>
        <w:t xml:space="preserve">，并对项目需求方指定的</w:t>
      </w:r>
      <w:bookmarkStart w:id="115" w:name="OLE_LINK144"/>
      <w:r>
        <w:rPr>
          <w:rFonts w:hint="eastAsia" w:ascii="宋体" w:hAnsi="宋体" w:cs="宋体"/>
          <w:bCs/>
          <w:sz w:val="24"/>
        </w:rPr>
        <w:t xml:space="preserve">实训场地进行环境升级</w:t>
      </w:r>
      <w:bookmarkEnd w:id="115"/>
      <w:r>
        <w:rPr>
          <w:rFonts w:hint="eastAsia" w:ascii="宋体" w:hAnsi="宋体" w:cs="宋体"/>
          <w:bCs/>
          <w:sz w:val="24"/>
        </w:rPr>
        <w:t xml:space="preserve">。</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教师教学和学生实训设备，包含</w:t>
      </w:r>
      <w:bookmarkStart w:id="116" w:name="OLE_LINK135"/>
      <w:r>
        <w:rPr>
          <w:rFonts w:hint="eastAsia" w:ascii="宋体" w:hAnsi="宋体" w:cs="宋体"/>
          <w:bCs/>
          <w:sz w:val="24"/>
        </w:rPr>
        <w:t xml:space="preserve">教师专用数据管控终端、学生实训专用终端</w:t>
      </w:r>
      <w:bookmarkEnd w:id="116"/>
      <w:r>
        <w:rPr>
          <w:rFonts w:hint="eastAsia" w:ascii="宋体" w:hAnsi="宋体" w:cs="宋体"/>
          <w:bCs/>
          <w:sz w:val="24"/>
        </w:rPr>
        <w:t xml:space="preserve">、</w:t>
      </w:r>
      <w:bookmarkStart w:id="117" w:name="OLE_LINK137"/>
      <w:r>
        <w:rPr>
          <w:rFonts w:hint="eastAsia" w:ascii="宋体" w:hAnsi="宋体" w:cs="宋体"/>
          <w:bCs/>
          <w:sz w:val="24"/>
        </w:rPr>
        <w:t xml:space="preserve">MR一体机</w:t>
      </w:r>
      <w:bookmarkEnd w:id="117"/>
      <w:r>
        <w:rPr>
          <w:rFonts w:hint="eastAsia" w:ascii="宋体" w:hAnsi="宋体" w:cs="宋体"/>
          <w:bCs/>
          <w:sz w:val="24"/>
        </w:rPr>
        <w:t xml:space="preserve">、</w:t>
      </w:r>
      <w:bookmarkStart w:id="118" w:name="OLE_LINK138"/>
      <w:r>
        <w:rPr>
          <w:rFonts w:hint="eastAsia" w:ascii="宋体" w:hAnsi="宋体" w:cs="宋体"/>
          <w:bCs/>
          <w:sz w:val="24"/>
        </w:rPr>
        <w:t xml:space="preserve">教学展示用投影设备</w:t>
      </w:r>
      <w:bookmarkEnd w:id="118"/>
      <w:r>
        <w:rPr>
          <w:rFonts w:hint="eastAsia" w:ascii="宋体" w:hAnsi="宋体" w:cs="宋体"/>
          <w:bCs/>
          <w:sz w:val="24"/>
        </w:rPr>
        <w:t xml:space="preserve">以及</w:t>
      </w:r>
      <w:bookmarkStart w:id="119" w:name="OLE_LINK133"/>
      <w:r>
        <w:rPr>
          <w:rFonts w:hint="eastAsia" w:ascii="宋体" w:hAnsi="宋体" w:cs="宋体"/>
          <w:bCs/>
          <w:sz w:val="24"/>
        </w:rPr>
        <w:t xml:space="preserve">教学管理软件</w:t>
      </w:r>
      <w:bookmarkEnd w:id="119"/>
      <w:r>
        <w:rPr>
          <w:rFonts w:hint="eastAsia" w:ascii="宋体" w:hAnsi="宋体" w:cs="宋体"/>
          <w:bCs/>
          <w:sz w:val="24"/>
        </w:rPr>
        <w:t xml:space="preserve">，配备符合教学和实训需求的专用教师操作台、学生实训桌椅。教师专用数据管控终端、学生实训专用终端、MR一体机和教学展示用投影设备，能够流畅运行MR开发引擎和虚拟仿真软件，满足MR课程开发、虚拟仿真教学及教学内容交互和展示需求；教学管理软件实现屏幕广播、远程控制、行为监控等教学管理功能。</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8个船舶工程技术专业群虚拟仿真实训课程同时支持云端共享平台部署及MR环境部署，满足课程运行、资源共享和教学使用需求。虚拟仿真课程资源应根据实训内容配置必要的交互步骤，覆盖核心操作训练，对标相关专业知识点内容。</w:t>
      </w:r>
      <w:r>
        <w:rPr>
          <w:rFonts w:ascii="宋体" w:hAnsi="宋体" w:cs="宋体"/>
          <w:bCs/>
          <w:sz w:val="24"/>
        </w:rPr>
      </w:r>
      <w:r/>
    </w:p>
    <w:p>
      <w:pPr>
        <w:pStyle w:val="836"/>
        <w:ind w:firstLine="480"/>
        <w:spacing w:line="400" w:lineRule="exact"/>
        <w:rPr>
          <w:rFonts w:ascii="宋体" w:hAnsi="宋体" w:cs="宋体"/>
          <w:bCs/>
          <w:sz w:val="24"/>
        </w:rPr>
      </w:pPr>
      <w:r>
        <w:rPr>
          <w:rFonts w:hint="eastAsia" w:ascii="宋体" w:hAnsi="宋体" w:cs="宋体"/>
          <w:bCs/>
          <w:sz w:val="24"/>
        </w:rPr>
        <w:t xml:space="preserve">实训场地进行环境升级，完成防静电地板铺设、强弱电线路规范铺设及室内墙面粉刷，需要满足所有教学设备的电力及网络接入需求，为设备部署和教学运行提供安全稳定的物理环境。</w:t>
      </w:r>
      <w:bookmarkEnd w:id="113"/>
      <w:r>
        <w:rPr>
          <w:rFonts w:ascii="宋体" w:hAnsi="宋体" w:cs="宋体"/>
          <w:bCs/>
          <w:sz w:val="24"/>
        </w:rPr>
      </w:r>
      <w:r/>
    </w:p>
    <w:p>
      <w:pPr>
        <w:pStyle w:val="836"/>
        <w:ind w:firstLine="482"/>
        <w:spacing w:line="400" w:lineRule="exact"/>
        <w:rPr>
          <w:rFonts w:ascii="宋体" w:hAnsi="宋体" w:cs="宋体"/>
          <w:bCs/>
          <w:sz w:val="24"/>
        </w:rPr>
      </w:pPr>
      <w:r>
        <w:rPr>
          <w:rFonts w:ascii="宋体" w:hAnsi="宋体" w:cs="宋体"/>
          <w:b/>
          <w:sz w:val="24"/>
        </w:rPr>
        <w:t xml:space="preserve">为落实政府采购政策需满足的要求：</w:t>
      </w:r>
      <w:r>
        <w:rPr>
          <w:rFonts w:ascii="宋体" w:hAnsi="宋体" w:cs="宋体"/>
          <w:bCs/>
          <w:sz w:val="24"/>
        </w:rPr>
        <w:t xml:space="preserve">本项目严格落实政府采购政策要求：一是优先采购节能环保产品，机房设备须符合国家节能环保标准；二是落实促进中小企业发展政策，不得设置规模条件作为资格要求或评审因素；三是鼓励采购国内产品，支持国产操作系统和软件环境，促进信息技术应用创新。采购需求不得指向特定供应商或产品，不得设置不合理条件实行差别待遇</w:t>
      </w:r>
      <w:r>
        <w:rPr>
          <w:rFonts w:hint="eastAsia" w:ascii="宋体" w:hAnsi="宋体" w:cs="宋体"/>
          <w:bCs/>
          <w:sz w:val="24"/>
        </w:rPr>
        <w:t xml:space="preserve">。</w:t>
      </w:r>
      <w:r>
        <w:rPr>
          <w:rFonts w:ascii="宋体" w:hAnsi="宋体" w:cs="宋体"/>
          <w:bCs/>
          <w:sz w:val="24"/>
        </w:rPr>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（二）采购标的需执行的国家相关标准、行业标准、地方标准或者其他标准、规范</w:t>
      </w:r>
      <w:r/>
    </w:p>
    <w:p>
      <w:pPr>
        <w:pStyle w:val="836"/>
        <w:contextualSpacing/>
        <w:ind w:firstLine="480"/>
        <w:spacing w:line="360" w:lineRule="auto"/>
        <w:rPr>
          <w:rFonts w:hint="eastAsia" w:ascii="宋体" w:hAnsi="宋体" w:cs="宋体"/>
          <w:bCs/>
          <w:sz w:val="24"/>
        </w:rPr>
      </w:pPr>
      <w:r>
        <w:rPr>
          <w:rFonts w:hint="eastAsia" w:ascii="宋体" w:hAnsi="宋体" w:cs="宋体"/>
          <w:bCs/>
          <w:sz w:val="24"/>
        </w:rPr>
        <w:t xml:space="preserve">本采购标的需执行的技术标准按国家标准执行，无国家标准的，按行业标准执行，无国家和行业标准的，按企业标准执行。</w:t>
      </w:r>
      <w:r/>
    </w:p>
    <w:p>
      <w:pPr>
        <w:pStyle w:val="836"/>
        <w:ind w:firstLine="482"/>
        <w:spacing w:line="500" w:lineRule="exact"/>
        <w:rPr>
          <w:rFonts w:hint="eastAsia" w:ascii="宋体" w:hAnsi="宋体" w:cs="宋体"/>
          <w:b/>
          <w:sz w:val="24"/>
        </w:rPr>
        <w:outlineLvl w:val="2"/>
      </w:pPr>
      <w:r>
        <w:rPr>
          <w:rFonts w:hint="eastAsia" w:ascii="宋体" w:hAnsi="宋体" w:cs="宋体"/>
          <w:b/>
          <w:sz w:val="24"/>
        </w:rPr>
        <w:t xml:space="preserve">（三）采购标的需满足的质量、安全、技术规格、物理特性等要求</w:t>
      </w:r>
      <w:r/>
    </w:p>
    <w:p>
      <w:pPr>
        <w:pStyle w:val="836"/>
        <w:contextualSpacing/>
        <w:ind w:firstLine="482"/>
        <w:spacing w:line="360" w:lineRule="auto"/>
        <w:rPr>
          <w:rFonts w:ascii="宋体" w:hAnsi="宋体" w:cs="宋体"/>
          <w:b/>
          <w:sz w:val="24"/>
        </w:rPr>
      </w:pPr>
      <w:r>
        <w:rPr>
          <w:rFonts w:hint="eastAsia" w:ascii="宋体" w:hAnsi="宋体" w:cs="宋体"/>
          <w:b/>
          <w:sz w:val="24"/>
        </w:rPr>
        <w:t xml:space="preserve">1.技术参数</w:t>
      </w:r>
      <w:r>
        <w:rPr>
          <w:rFonts w:ascii="宋体" w:hAnsi="宋体" w:cs="宋体"/>
          <w:b/>
          <w:sz w:val="24"/>
        </w:rPr>
      </w:r>
      <w:r/>
    </w:p>
    <w:tbl>
      <w:tblPr>
        <w:tblW w:w="525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09"/>
        <w:gridCol w:w="1395"/>
        <w:gridCol w:w="5675"/>
        <w:gridCol w:w="619"/>
        <w:gridCol w:w="667"/>
      </w:tblGrid>
      <w:tr>
        <w:trPr>
          <w:trHeight w:val="539"/>
          <w:tblHeader/>
        </w:trPr>
        <w:tc>
          <w:tcPr>
            <w:shd w:val="clear" w:color="auto" w:fill="d9d9d9"/>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bookmarkStart w:id="120" w:name="OLE_LINK51"/>
            <w:r>
              <w:rPr>
                <w:rFonts w:hint="eastAsia" w:ascii="宋体" w:hAnsi="宋体" w:cs="宋体"/>
                <w:b/>
                <w:bCs/>
                <w:szCs w:val="21"/>
                <w:lang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货物名称</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详细参数</w:t>
            </w:r>
            <w:r/>
          </w:p>
        </w:tc>
        <w:tc>
          <w:tcPr>
            <w:shd w:val="clear" w:color="auto" w:fill="d9d9d9"/>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r>
      <w:tr>
        <w:trPr>
          <w:trHeight w:val="442"/>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rPr>
            </w:pPr>
            <w:r>
              <w:rPr>
                <w:rFonts w:hint="eastAsia" w:ascii="宋体" w:hAnsi="宋体" w:cs="宋体"/>
                <w:b/>
                <w:bCs/>
                <w:szCs w:val="21"/>
                <w:lang w:bidi="ar"/>
              </w:rPr>
              <w:t xml:space="preserve">一、教学设备及管控系统</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1</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rPr>
              <w:t xml:space="preserve">教师数据管控终端</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2"/>
              </w:numPr>
              <w:ind w:firstLine="422"/>
              <w:widowControl/>
              <w:tabs>
                <w:tab w:val="left" w:pos="312" w:leader="none"/>
              </w:tabs>
              <w:rPr>
                <w:rFonts w:hint="eastAsia" w:ascii="宋体" w:hAnsi="宋体" w:cs="宋体"/>
                <w:b/>
                <w:bCs/>
                <w:szCs w:val="21"/>
                <w:u w:val="single"/>
                <w:shd w:val="clear" w:color="auto" w:fill="d99594"/>
              </w:rPr>
            </w:pPr>
            <w:r/>
            <w:bookmarkStart w:id="121" w:name="OLE_LINK116"/>
            <w:r/>
            <w:bookmarkStart w:id="122" w:name="OLE_LINK119"/>
            <w:r/>
            <w:bookmarkStart w:id="123" w:name="OLE_LINK65"/>
            <w:r>
              <w:rPr>
                <w:rFonts w:hint="eastAsia" w:ascii="宋体" w:hAnsi="宋体" w:cs="宋体"/>
                <w:b/>
                <w:bCs/>
                <w:szCs w:val="21"/>
              </w:rPr>
              <w:t xml:space="preserve">☆</w:t>
            </w:r>
            <w:r>
              <w:rPr>
                <w:rFonts w:hint="eastAsia" w:ascii="宋体" w:hAnsi="宋体" w:cs="宋体"/>
                <w:szCs w:val="21"/>
              </w:rPr>
              <w:t xml:space="preserve">处理器：核心数≥8，线程数量≥16，性能核基本频率≥2.</w:t>
            </w:r>
            <w:r>
              <w:rPr>
                <w:rFonts w:ascii="宋体" w:hAnsi="宋体" w:cs="宋体"/>
                <w:szCs w:val="21"/>
              </w:rPr>
              <w:t xml:space="preserve">1</w:t>
            </w:r>
            <w:r>
              <w:rPr>
                <w:rFonts w:hint="eastAsia" w:ascii="宋体" w:hAnsi="宋体" w:cs="宋体"/>
                <w:szCs w:val="21"/>
              </w:rPr>
              <w:t xml:space="preserve">GHz，最高频率≥5.1GHz，L3级缓存≥32MB。</w:t>
            </w:r>
            <w:r>
              <w:rPr>
                <w:rFonts w:hint="eastAsia" w:ascii="宋体" w:hAnsi="宋体" w:cs="宋体"/>
                <w:b/>
                <w:bCs/>
                <w:szCs w:val="21"/>
                <w:u w:val="single"/>
              </w:rPr>
              <w:t xml:space="preserve">（需提供承诺书和产品官网参数彩页，并加盖投标人公章。）</w:t>
            </w:r>
            <w:r>
              <w:rPr>
                <w:rFonts w:hint="eastAsia" w:ascii="宋体" w:hAnsi="宋体" w:cs="宋体"/>
                <w:b/>
                <w:bCs/>
                <w:szCs w:val="21"/>
                <w:u w:val="single"/>
                <w:shd w:val="clear" w:color="auto" w:fill="d99594"/>
              </w:rPr>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运行内存：≥32G DDR</w:t>
            </w:r>
            <w:r>
              <w:rPr>
                <w:rFonts w:ascii="宋体" w:hAnsi="宋体" w:cs="宋体"/>
                <w:szCs w:val="21"/>
              </w:rPr>
              <w:t xml:space="preserve">5</w:t>
            </w:r>
            <w:r>
              <w:rPr>
                <w:rFonts w:hint="eastAsia" w:ascii="宋体" w:hAnsi="宋体" w:cs="宋体"/>
                <w:szCs w:val="21"/>
              </w:rPr>
              <w:t xml:space="preserve">。</w:t>
            </w:r>
            <w:r>
              <w:rPr>
                <w:rFonts w:hint="eastAsia" w:ascii="宋体" w:hAnsi="宋体" w:cs="宋体"/>
                <w:b/>
                <w:bCs/>
                <w:szCs w:val="21"/>
                <w:u w:val="single"/>
              </w:rPr>
              <w:t xml:space="preserve">（需提供承诺书，并加盖投标人公章。）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显卡：RTX5060及以上，显存≥8GB。</w:t>
            </w:r>
            <w:bookmarkEnd w:id="121"/>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szCs w:val="21"/>
              </w:rPr>
            </w:pPr>
            <w:r/>
            <w:bookmarkStart w:id="124" w:name="OLE_LINK50"/>
            <w:r/>
            <w:bookmarkStart w:id="125" w:name="OLE_LINK117"/>
            <w:r>
              <w:rPr>
                <w:rFonts w:hint="eastAsia" w:ascii="宋体" w:hAnsi="宋体" w:cs="宋体"/>
                <w:b/>
                <w:bCs/>
                <w:szCs w:val="21"/>
              </w:rPr>
              <w:t xml:space="preserve">☆</w:t>
            </w:r>
            <w:bookmarkEnd w:id="124"/>
            <w:r>
              <w:rPr>
                <w:rFonts w:hint="eastAsia" w:ascii="宋体" w:hAnsi="宋体" w:cs="宋体"/>
                <w:szCs w:val="21"/>
              </w:rPr>
              <w:t xml:space="preserve">硬盘：PCIe 4.0固态硬盘≥1T + 7200RPM机械硬盘≥4T。</w:t>
            </w:r>
            <w:bookmarkEnd w:id="125"/>
            <w:r/>
            <w:bookmarkStart w:id="126" w:name="OLE_LINK41"/>
            <w:r>
              <w:rPr>
                <w:rFonts w:hint="eastAsia" w:ascii="宋体" w:hAnsi="宋体" w:cs="宋体"/>
                <w:b/>
                <w:bCs/>
                <w:szCs w:val="21"/>
                <w:u w:val="single"/>
              </w:rPr>
              <w:t xml:space="preserve">（</w:t>
            </w:r>
            <w:bookmarkStart w:id="127" w:name="OLE_LINK54"/>
            <w:r>
              <w:rPr>
                <w:rFonts w:hint="eastAsia" w:ascii="宋体" w:hAnsi="宋体" w:cs="宋体"/>
                <w:b/>
                <w:bCs/>
                <w:szCs w:val="21"/>
                <w:u w:val="single"/>
              </w:rPr>
              <w:t xml:space="preserve">需提供承诺书和产品官网参数彩页，并加盖投标人公章。）</w:t>
            </w:r>
            <w:bookmarkEnd w:id="126"/>
            <w:r/>
            <w:bookmarkEnd w:id="127"/>
            <w:r>
              <w:rPr>
                <w:rFonts w:hint="eastAsia" w:ascii="宋体" w:hAnsi="宋体" w:cs="宋体"/>
                <w:szCs w:val="21"/>
              </w:rPr>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配套：USB有线键鼠套装。</w:t>
            </w:r>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操作系统：支持Windows 10及以上操作系统。</w:t>
            </w:r>
            <w:r>
              <w:rPr>
                <w:rFonts w:hint="eastAsia" w:ascii="宋体" w:hAnsi="宋体" w:cs="宋体"/>
                <w:b/>
                <w:bCs/>
                <w:szCs w:val="21"/>
                <w:u w:val="single"/>
              </w:rPr>
              <w:t xml:space="preserve">（需提供承诺书，并加盖投标人公章。）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bookmarkStart w:id="128" w:name="OLE_LINK39"/>
            <w:r/>
            <w:bookmarkStart w:id="129" w:name="OLE_LINK118"/>
            <w:r>
              <w:rPr>
                <w:rFonts w:hint="eastAsia" w:ascii="宋体" w:hAnsi="宋体" w:cs="宋体"/>
                <w:b/>
                <w:bCs/>
                <w:szCs w:val="21"/>
              </w:rPr>
              <w:t xml:space="preserve">☆</w:t>
            </w:r>
            <w:bookmarkEnd w:id="128"/>
            <w:r>
              <w:rPr>
                <w:rFonts w:hint="eastAsia" w:ascii="宋体" w:hAnsi="宋体" w:cs="宋体"/>
                <w:szCs w:val="21"/>
              </w:rPr>
              <w:t xml:space="preserve">显示终端：屏幕尺寸≥27英寸，分辨率≥2K，屏幕材质：IPS，可旋转升降。</w:t>
            </w:r>
            <w:bookmarkEnd w:id="129"/>
            <w:r>
              <w:rPr>
                <w:rFonts w:hint="eastAsia" w:ascii="宋体" w:hAnsi="宋体" w:cs="宋体"/>
                <w:b/>
                <w:bCs/>
                <w:szCs w:val="21"/>
                <w:u w:val="single"/>
              </w:rPr>
              <w:t xml:space="preserve">（需提供承诺书和产品官网参数彩页，并加盖投标人公章。）</w:t>
            </w:r>
            <w:r/>
          </w:p>
          <w:p>
            <w:pPr>
              <w:pStyle w:val="836"/>
              <w:numPr>
                <w:ilvl w:val="0"/>
                <w:numId w:val="2"/>
              </w:numPr>
              <w:ind w:firstLine="422"/>
              <w:widowControl/>
              <w:tabs>
                <w:tab w:val="left" w:pos="312" w:leader="none"/>
              </w:tabs>
              <w:rPr>
                <w:rFonts w:hint="eastAsia" w:ascii="宋体" w:hAnsi="宋体" w:cs="宋体"/>
                <w:b/>
                <w:bCs/>
                <w:szCs w:val="21"/>
                <w:u w:val="single"/>
              </w:rPr>
            </w:pPr>
            <w:r/>
            <w:bookmarkStart w:id="130" w:name="OLE_LINK40"/>
            <w:r/>
            <w:bookmarkStart w:id="131" w:name="OLE_LINK46"/>
            <w:r>
              <w:rPr>
                <w:rFonts w:hint="eastAsia" w:ascii="宋体" w:hAnsi="宋体" w:cs="宋体"/>
                <w:b/>
                <w:bCs/>
                <w:szCs w:val="21"/>
              </w:rPr>
              <w:t xml:space="preserve">☆</w:t>
            </w:r>
            <w:bookmarkEnd w:id="130"/>
            <w:r/>
            <w:bookmarkStart w:id="132" w:name="OLE_LINK56"/>
            <w:r>
              <w:rPr>
                <w:rFonts w:hint="eastAsia" w:ascii="宋体" w:hAnsi="宋体" w:cs="宋体"/>
                <w:szCs w:val="21"/>
              </w:rPr>
              <w:t xml:space="preserve">接口拓展：预留≥4个USB、≥</w:t>
            </w:r>
            <w:r>
              <w:rPr>
                <w:rFonts w:ascii="宋体" w:hAnsi="宋体" w:cs="宋体"/>
                <w:szCs w:val="21"/>
              </w:rPr>
              <w:t xml:space="preserve">1</w:t>
            </w:r>
            <w:r>
              <w:rPr>
                <w:rFonts w:hint="eastAsia" w:ascii="宋体" w:hAnsi="宋体" w:cs="宋体"/>
                <w:szCs w:val="21"/>
              </w:rPr>
              <w:t xml:space="preserve">个HDMI接口，音频接口≥1，适配外接实训设备。</w:t>
            </w:r>
            <w:r>
              <w:rPr>
                <w:rFonts w:hint="eastAsia" w:ascii="宋体" w:hAnsi="宋体" w:cs="宋体"/>
                <w:b/>
                <w:bCs/>
                <w:szCs w:val="21"/>
                <w:u w:val="single"/>
              </w:rPr>
              <w:t xml:space="preserve">（需提供承诺书和产品参数彩页，并加盖投标人公章。）</w:t>
            </w:r>
            <w:bookmarkEnd w:id="132"/>
            <w:r>
              <w:rPr>
                <w:rFonts w:hint="eastAsia" w:ascii="宋体" w:hAnsi="宋体" w:cs="宋体"/>
                <w:b/>
                <w:bCs/>
                <w:szCs w:val="21"/>
                <w:u w:val="single"/>
              </w:rPr>
            </w:r>
            <w:r/>
          </w:p>
          <w:p>
            <w:pPr>
              <w:pStyle w:val="836"/>
              <w:numPr>
                <w:ilvl w:val="0"/>
                <w:numId w:val="2"/>
              </w:numPr>
              <w:ind w:firstLine="422"/>
              <w:widowControl/>
              <w:tabs>
                <w:tab w:val="left" w:pos="312" w:leader="none"/>
              </w:tabs>
              <w:rPr>
                <w:rFonts w:hint="eastAsia" w:ascii="宋体" w:hAnsi="宋体" w:cs="宋体"/>
                <w:szCs w:val="21"/>
              </w:rPr>
            </w:pPr>
            <w:r/>
            <w:bookmarkEnd w:id="131"/>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bookmarkEnd w:id="123"/>
            <w:r>
              <w:rPr>
                <w:rFonts w:hint="eastAsia" w:ascii="宋体" w:hAnsi="宋体" w:cs="宋体"/>
                <w:b/>
                <w:bCs/>
                <w:szCs w:val="21"/>
                <w:u w:val="single"/>
              </w:rPr>
              <w:t xml:space="preserve">（需提供承诺书，并加盖投标人公章。）</w:t>
            </w:r>
            <w:bookmarkEnd w:id="122"/>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rPr>
              <w:t xml:space="preserve">教学管理软件（含教师端和学生端）</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运行系统：Windows操作系统。</w:t>
            </w:r>
            <w:r/>
          </w:p>
          <w:p>
            <w:pPr>
              <w:pStyle w:val="836"/>
              <w:numPr>
                <w:ilvl w:val="0"/>
                <w:numId w:val="3"/>
              </w:numPr>
              <w:ind w:firstLine="420"/>
              <w:widowControl/>
              <w:tabs>
                <w:tab w:val="left" w:pos="312" w:leader="none"/>
              </w:tabs>
              <w:rPr>
                <w:rFonts w:hint="eastAsia" w:ascii="宋体" w:hAnsi="宋体" w:cs="宋体"/>
                <w:szCs w:val="21"/>
              </w:rPr>
            </w:pPr>
            <w:r/>
            <w:bookmarkStart w:id="133" w:name="OLE_LINK120"/>
            <w:r>
              <w:rPr>
                <w:rFonts w:hint="eastAsia" w:ascii="宋体" w:hAnsi="宋体" w:cs="宋体"/>
                <w:szCs w:val="21"/>
              </w:rPr>
              <w:t xml:space="preserve">支持屏幕广播</w:t>
            </w:r>
            <w:bookmarkEnd w:id="133"/>
            <w:r>
              <w:rPr>
                <w:rFonts w:hint="eastAsia" w:ascii="宋体" w:hAnsi="宋体" w:cs="宋体"/>
                <w:szCs w:val="21"/>
              </w:rPr>
              <w:t xml:space="preserve">：支持将教师机的屏幕和声音广播到学生机，支持全屏或窗口方式。支持学生控制教师机演示。支持4K广播。支持屏幕笔批注。</w:t>
            </w:r>
            <w:r/>
          </w:p>
          <w:p>
            <w:pPr>
              <w:pStyle w:val="836"/>
              <w:numPr>
                <w:ilvl w:val="0"/>
                <w:numId w:val="3"/>
              </w:numPr>
              <w:ind w:firstLine="420"/>
              <w:widowControl/>
              <w:tabs>
                <w:tab w:val="left" w:pos="312" w:leader="none"/>
              </w:tabs>
              <w:rPr>
                <w:rFonts w:hint="eastAsia" w:ascii="宋体" w:hAnsi="宋体" w:cs="宋体"/>
                <w:szCs w:val="21"/>
              </w:rPr>
            </w:pPr>
            <w:r/>
            <w:bookmarkStart w:id="134" w:name="OLE_LINK121"/>
            <w:r>
              <w:rPr>
                <w:rFonts w:hint="eastAsia" w:ascii="宋体" w:hAnsi="宋体" w:cs="宋体"/>
                <w:szCs w:val="21"/>
              </w:rPr>
              <w:t xml:space="preserve">支持网络影院</w:t>
            </w:r>
            <w:bookmarkEnd w:id="134"/>
            <w:r>
              <w:rPr>
                <w:rFonts w:hint="eastAsia" w:ascii="宋体" w:hAnsi="宋体" w:cs="宋体"/>
                <w:szCs w:val="21"/>
              </w:rPr>
              <w:t xml:space="preserve">，实现教师机播放的视频同步无延时广播到学生机，支持720p、1080p、4K高清视频。</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5" w:name="OLE_LINK122"/>
            <w:r>
              <w:rPr>
                <w:rFonts w:hint="eastAsia" w:ascii="宋体" w:hAnsi="宋体" w:cs="宋体"/>
                <w:szCs w:val="21"/>
              </w:rPr>
              <w:t xml:space="preserve">多种文件交互</w:t>
            </w:r>
            <w:bookmarkEnd w:id="135"/>
            <w:r>
              <w:rPr>
                <w:rFonts w:hint="eastAsia" w:ascii="宋体" w:hAnsi="宋体" w:cs="宋体"/>
                <w:szCs w:val="21"/>
              </w:rPr>
              <w:t xml:space="preserve">功能，包含文件分发、文件提交、文件收集、文件共享等功能；支持对已发送的文件进行删除和清空学生端文件夹。支持通过课件点播实现教师上传文件供学生查看和下载。</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支持教师</w:t>
            </w:r>
            <w:bookmarkStart w:id="136" w:name="OLE_LINK123"/>
            <w:r>
              <w:rPr>
                <w:rFonts w:hint="eastAsia" w:ascii="宋体" w:hAnsi="宋体" w:cs="宋体"/>
                <w:szCs w:val="21"/>
              </w:rPr>
              <w:t xml:space="preserve">发起分组讨论</w:t>
            </w:r>
            <w:bookmarkEnd w:id="136"/>
            <w:r>
              <w:rPr>
                <w:rFonts w:hint="eastAsia" w:ascii="宋体" w:hAnsi="宋体" w:cs="宋体"/>
                <w:szCs w:val="21"/>
              </w:rPr>
              <w:t xml:space="preserve">或主题讨论，支持教师发送文字、画布、图片、文件等与学生进行讨论。</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7" w:name="OLE_LINK124"/>
            <w:r>
              <w:rPr>
                <w:rFonts w:hint="eastAsia" w:ascii="宋体" w:hAnsi="宋体" w:cs="宋体"/>
                <w:szCs w:val="21"/>
              </w:rPr>
              <w:t xml:space="preserve">共享白板</w:t>
            </w:r>
            <w:bookmarkEnd w:id="137"/>
            <w:r>
              <w:rPr>
                <w:rFonts w:hint="eastAsia" w:ascii="宋体" w:hAnsi="宋体" w:cs="宋体"/>
                <w:szCs w:val="21"/>
              </w:rPr>
              <w:t xml:space="preserve">：支持教师共享白板、图片或截图与选定的学生共同完成相同的学习任务或绘画作品，并提供多种不同的工具，如画笔、图形等供教师和学生绘制时使用。</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8" w:name="OLE_LINK125"/>
            <w:r>
              <w:rPr>
                <w:rFonts w:hint="eastAsia" w:ascii="宋体" w:hAnsi="宋体" w:cs="宋体"/>
                <w:szCs w:val="21"/>
              </w:rPr>
              <w:t xml:space="preserve">互动功能</w:t>
            </w:r>
            <w:bookmarkEnd w:id="138"/>
            <w:r>
              <w:rPr>
                <w:rFonts w:hint="eastAsia" w:ascii="宋体" w:hAnsi="宋体" w:cs="宋体"/>
                <w:szCs w:val="21"/>
              </w:rPr>
              <w:t xml:space="preserve">，支持教师实时截屏、添加本地图片、手动输入问题等方式发起互动答题，答题类型支持单选、多选、判断、简答、投票、演示等，支持挑人、抢答。支持教师查看正在进行课堂和已结束课堂的参与人数、发起答题数、答题正确率、答题详情、答案分布等信息。</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39" w:name="OLE_LINK126"/>
            <w:r>
              <w:rPr>
                <w:rFonts w:hint="eastAsia" w:ascii="宋体" w:hAnsi="宋体" w:cs="宋体"/>
                <w:szCs w:val="21"/>
              </w:rPr>
              <w:t xml:space="preserve">考试</w:t>
            </w:r>
            <w:bookmarkEnd w:id="139"/>
            <w:r>
              <w:rPr>
                <w:rFonts w:hint="eastAsia" w:ascii="宋体" w:hAnsi="宋体" w:cs="宋体"/>
                <w:szCs w:val="21"/>
              </w:rPr>
              <w:t xml:space="preserve">：支持对全体学生发起统一的考试，支持添加ABCD卷对不同组别的学生发送不同试卷。支持教师实时查看学生答题进度。</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0" w:name="OLE_LINK127"/>
            <w:r>
              <w:rPr>
                <w:rFonts w:hint="eastAsia" w:ascii="宋体" w:hAnsi="宋体" w:cs="宋体"/>
                <w:szCs w:val="21"/>
              </w:rPr>
              <w:t xml:space="preserve">全体遥控</w:t>
            </w:r>
            <w:bookmarkEnd w:id="140"/>
            <w:r>
              <w:rPr>
                <w:rFonts w:hint="eastAsia" w:ascii="宋体" w:hAnsi="宋体" w:cs="宋体"/>
                <w:szCs w:val="21"/>
              </w:rPr>
              <w:t xml:space="preserve">：支持教师端实时遥控所有学生机的操作。</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1" w:name="OLE_LINK128"/>
            <w:r>
              <w:rPr>
                <w:rFonts w:hint="eastAsia" w:ascii="宋体" w:hAnsi="宋体" w:cs="宋体"/>
                <w:szCs w:val="21"/>
              </w:rPr>
              <w:t xml:space="preserve">各种上机策略</w:t>
            </w:r>
            <w:bookmarkEnd w:id="141"/>
            <w:r>
              <w:rPr>
                <w:rFonts w:hint="eastAsia" w:ascii="宋体" w:hAnsi="宋体" w:cs="宋体"/>
                <w:szCs w:val="21"/>
              </w:rPr>
              <w:t xml:space="preserve">，包括U盘限制、网页限制、程序限制等，U盘访问权限支持全部开放、只读、完全阻止三种策略。</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2" w:name="OLE_LINK129"/>
            <w:r>
              <w:rPr>
                <w:rFonts w:hint="eastAsia" w:ascii="宋体" w:hAnsi="宋体" w:cs="宋体"/>
                <w:szCs w:val="21"/>
              </w:rPr>
              <w:t xml:space="preserve">教师远程查看学生机</w:t>
            </w:r>
            <w:bookmarkEnd w:id="142"/>
            <w:r>
              <w:rPr>
                <w:rFonts w:hint="eastAsia" w:ascii="宋体" w:hAnsi="宋体" w:cs="宋体"/>
                <w:szCs w:val="21"/>
              </w:rPr>
              <w:t xml:space="preserve">登录名、IP地址、系统类型、MAC地址、磁盘空间、进程、CPU使用情况、内存使用情况、网络利用率等信息。</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3" w:name="OLE_LINK130"/>
            <w:r>
              <w:rPr>
                <w:rFonts w:hint="eastAsia" w:ascii="宋体" w:hAnsi="宋体" w:cs="宋体"/>
                <w:szCs w:val="21"/>
              </w:rPr>
              <w:t xml:space="preserve">控制中心面板</w:t>
            </w:r>
            <w:bookmarkEnd w:id="143"/>
            <w:r>
              <w:rPr>
                <w:rFonts w:hint="eastAsia" w:ascii="宋体" w:hAnsi="宋体" w:cs="宋体"/>
                <w:szCs w:val="21"/>
              </w:rPr>
              <w:t xml:space="preserve">，支持通过控制中心快速一键执行黑屏安静、联网权限、举手权眼、发送消息、发送文件、键鼠、U盘等使用权限的开关控制，支持调整扬声器音量、麦克风音量；控制中心面板支持折叠。</w:t>
            </w:r>
            <w:r/>
          </w:p>
          <w:p>
            <w:pPr>
              <w:pStyle w:val="836"/>
              <w:numPr>
                <w:ilvl w:val="0"/>
                <w:numId w:val="3"/>
              </w:numPr>
              <w:ind w:firstLine="420"/>
              <w:widowControl/>
              <w:tabs>
                <w:tab w:val="left" w:pos="312" w:leader="none"/>
              </w:tabs>
              <w:rPr>
                <w:rFonts w:hint="eastAsia" w:ascii="宋体" w:hAnsi="宋体" w:cs="宋体"/>
                <w:szCs w:val="21"/>
              </w:rPr>
            </w:pPr>
            <w:r>
              <w:rPr>
                <w:rFonts w:hint="eastAsia" w:ascii="宋体" w:hAnsi="宋体" w:cs="宋体"/>
                <w:szCs w:val="21"/>
              </w:rPr>
              <w:t xml:space="preserve">支持</w:t>
            </w:r>
            <w:bookmarkStart w:id="144" w:name="OLE_LINK131"/>
            <w:r>
              <w:rPr>
                <w:rFonts w:hint="eastAsia" w:ascii="宋体" w:hAnsi="宋体" w:cs="宋体"/>
                <w:szCs w:val="21"/>
              </w:rPr>
              <w:t xml:space="preserve">远程命令</w:t>
            </w:r>
            <w:bookmarkEnd w:id="144"/>
            <w:r>
              <w:rPr>
                <w:rFonts w:hint="eastAsia" w:ascii="宋体" w:hAnsi="宋体" w:cs="宋体"/>
                <w:szCs w:val="21"/>
              </w:rPr>
              <w:t xml:space="preserve">：支持教师进行远程开机、关机、重启、注销、自定义命令等操作。</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3</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rPr>
            </w:pPr>
            <w:r/>
            <w:bookmarkStart w:id="145" w:name="OLE_LINK28"/>
            <w:r>
              <w:rPr>
                <w:rFonts w:hint="eastAsia" w:ascii="宋体" w:hAnsi="宋体" w:cs="宋体"/>
                <w:b/>
                <w:bCs/>
                <w:szCs w:val="21"/>
              </w:rPr>
              <w:t xml:space="preserve">专用教师操作台</w:t>
            </w:r>
            <w:bookmarkEnd w:id="145"/>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4"/>
              </w:numPr>
              <w:ind w:firstLine="420"/>
              <w:widowControl/>
              <w:tabs>
                <w:tab w:val="left" w:pos="312" w:leader="none"/>
              </w:tabs>
              <w:rPr>
                <w:rFonts w:hint="eastAsia" w:ascii="宋体" w:hAnsi="宋体" w:cs="宋体"/>
                <w:szCs w:val="21"/>
              </w:rPr>
            </w:pPr>
            <w:r/>
            <w:bookmarkStart w:id="146" w:name="OLE_LINK134"/>
            <w:r>
              <w:rPr>
                <w:rFonts w:hint="eastAsia" w:ascii="宋体" w:hAnsi="宋体" w:cs="宋体"/>
                <w:szCs w:val="21"/>
              </w:rPr>
              <w:t xml:space="preserve">尺寸（长×宽×高）≥1.</w:t>
            </w:r>
            <w:r>
              <w:rPr>
                <w:rFonts w:ascii="宋体" w:hAnsi="宋体" w:cs="宋体"/>
                <w:szCs w:val="21"/>
              </w:rPr>
              <w:t xml:space="preserve">5</w:t>
            </w:r>
            <w:r>
              <w:rPr>
                <w:rFonts w:hint="eastAsia" w:ascii="宋体" w:hAnsi="宋体" w:cs="宋体"/>
                <w:szCs w:val="21"/>
              </w:rPr>
              <w:t xml:space="preserve">*0.7*</w:t>
            </w:r>
            <w:r>
              <w:rPr>
                <w:rFonts w:ascii="宋体" w:hAnsi="宋体" w:cs="宋体"/>
                <w:szCs w:val="21"/>
              </w:rPr>
              <w:t xml:space="preserve">0.75</w:t>
            </w:r>
            <w:r>
              <w:rPr>
                <w:rFonts w:hint="eastAsia" w:ascii="宋体" w:hAnsi="宋体" w:cs="宋体"/>
                <w:szCs w:val="21"/>
              </w:rPr>
              <w:t xml:space="preserve">m。</w:t>
            </w:r>
            <w:r/>
          </w:p>
          <w:p>
            <w:pPr>
              <w:pStyle w:val="836"/>
              <w:numPr>
                <w:ilvl w:val="0"/>
                <w:numId w:val="4"/>
              </w:numPr>
              <w:ind w:firstLine="420"/>
              <w:widowControl/>
              <w:tabs>
                <w:tab w:val="left" w:pos="312" w:leader="none"/>
              </w:tabs>
              <w:rPr>
                <w:rFonts w:hint="eastAsia" w:ascii="宋体" w:hAnsi="宋体" w:cs="宋体"/>
                <w:szCs w:val="21"/>
              </w:rPr>
            </w:pPr>
            <w:r/>
            <w:bookmarkEnd w:id="146"/>
            <w:r>
              <w:rPr>
                <w:rFonts w:hint="eastAsia" w:ascii="宋体" w:hAnsi="宋体" w:cs="宋体"/>
                <w:szCs w:val="21"/>
              </w:rPr>
              <w:t xml:space="preserve">材质：冷轧碳素钢板，表面经过除锈处理后静电喷塑，配置木制扶手，表面光滑，不易变形，防腐防锈。</w:t>
            </w:r>
            <w:r/>
          </w:p>
          <w:p>
            <w:pPr>
              <w:pStyle w:val="836"/>
              <w:numPr>
                <w:ilvl w:val="0"/>
                <w:numId w:val="4"/>
              </w:numPr>
              <w:ind w:firstLine="420"/>
              <w:widowControl/>
              <w:tabs>
                <w:tab w:val="left" w:pos="312" w:leader="none"/>
              </w:tabs>
              <w:rPr>
                <w:rFonts w:hint="eastAsia" w:ascii="宋体" w:hAnsi="宋体" w:cs="宋体"/>
                <w:szCs w:val="21"/>
              </w:rPr>
            </w:pPr>
            <w:r>
              <w:rPr>
                <w:rFonts w:hint="eastAsia" w:ascii="宋体" w:hAnsi="宋体" w:cs="宋体"/>
                <w:szCs w:val="21"/>
              </w:rPr>
              <w:t xml:space="preserve">功能：支持教师数据管控终端的放置与使用，具备显示器可翻转式设计，可放置≥27英寸显示器，具备键盘和鼠标固定位置，机箱配有安全锁，含有通风散热孔，预留走线孔，美观简洁。</w:t>
            </w:r>
            <w:r/>
          </w:p>
          <w:p>
            <w:pPr>
              <w:pStyle w:val="836"/>
              <w:numPr>
                <w:ilvl w:val="0"/>
                <w:numId w:val="4"/>
              </w:numPr>
              <w:ind w:firstLine="420"/>
              <w:widowControl/>
              <w:tabs>
                <w:tab w:val="left" w:pos="312" w:leader="none"/>
              </w:tabs>
              <w:rPr>
                <w:rFonts w:hint="eastAsia" w:ascii="宋体" w:hAnsi="宋体" w:cs="宋体"/>
                <w:szCs w:val="21"/>
              </w:rPr>
            </w:pPr>
            <w:r/>
            <w:bookmarkStart w:id="147" w:name="OLE_LINK136"/>
            <w:r>
              <w:rPr>
                <w:rFonts w:hint="eastAsia" w:ascii="宋体" w:hAnsi="宋体" w:cs="宋体"/>
                <w:szCs w:val="21"/>
              </w:rPr>
              <w:t xml:space="preserve">配套办公椅：办公椅1把</w:t>
            </w:r>
            <w:bookmarkEnd w:id="147"/>
            <w:r>
              <w:rPr>
                <w:rFonts w:hint="eastAsia" w:ascii="宋体" w:hAnsi="宋体" w:cs="宋体"/>
                <w:szCs w:val="21"/>
              </w:rPr>
              <w:t xml:space="preserve">，椅面尺寸（长×宽）满足≥450×450mm，符合人体工学设计，钢制椅脚或尼龙椅脚，配静音耐磨滑轮。所有五金件做防锈、防腐处理，耐磨防刮。</w:t>
            </w:r>
            <w:r/>
          </w:p>
          <w:p>
            <w:pPr>
              <w:pStyle w:val="836"/>
              <w:numPr>
                <w:ilvl w:val="0"/>
                <w:numId w:val="4"/>
              </w:numPr>
              <w:ind w:firstLine="422"/>
              <w:widowControl/>
              <w:tabs>
                <w:tab w:val="left" w:pos="312" w:leader="none"/>
              </w:tabs>
              <w:rPr>
                <w:rFonts w:hint="eastAsia" w:ascii="宋体" w:hAnsi="宋体" w:cs="宋体"/>
                <w:szCs w:val="21"/>
              </w:rPr>
            </w:pPr>
            <w:r/>
            <w:bookmarkStart w:id="148" w:name="OLE_LINK140"/>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w:t>
            </w:r>
            <w:bookmarkEnd w:id="148"/>
            <w:r>
              <w:rPr>
                <w:rFonts w:hint="eastAsia" w:ascii="宋体" w:hAnsi="宋体" w:cs="宋体"/>
                <w:szCs w:val="21"/>
              </w:rPr>
              <w:t xml:space="preserve">，保障实训教学不间断。</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49" w:name="OLE_LINK100"/>
            <w:r>
              <w:rPr>
                <w:rFonts w:hint="eastAsia" w:ascii="宋体" w:hAnsi="宋体" w:cs="宋体"/>
                <w:b/>
                <w:bCs/>
                <w:szCs w:val="21"/>
                <w:lang w:bidi="ar"/>
              </w:rPr>
              <w:t xml:space="preserve">学生实训专用终端</w:t>
            </w:r>
            <w:bookmarkEnd w:id="149"/>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5"/>
              </w:numPr>
              <w:ind w:left="0" w:firstLine="422"/>
              <w:widowControl/>
              <w:rPr>
                <w:rFonts w:hint="eastAsia" w:ascii="宋体" w:hAnsi="宋体" w:cs="宋体"/>
                <w:szCs w:val="21"/>
              </w:rPr>
            </w:pPr>
            <w:r/>
            <w:bookmarkStart w:id="150" w:name="_Hlk236264588"/>
            <w:r/>
            <w:bookmarkStart w:id="151" w:name="OLE_LINK141"/>
            <w:r>
              <w:rPr>
                <w:rFonts w:hint="eastAsia" w:ascii="宋体" w:hAnsi="宋体" w:cs="宋体"/>
                <w:b/>
                <w:bCs/>
                <w:szCs w:val="21"/>
              </w:rPr>
              <w:t xml:space="preserve">☆</w:t>
            </w:r>
            <w:r>
              <w:rPr>
                <w:rFonts w:hint="eastAsia" w:ascii="宋体" w:hAnsi="宋体" w:cs="宋体"/>
                <w:szCs w:val="21"/>
              </w:rPr>
              <w:t xml:space="preserve">处理器：核心数≥8，线程数量≥16，性能核</w:t>
            </w:r>
            <w:bookmarkStart w:id="152" w:name="OLE_LINK93"/>
            <w:r>
              <w:rPr>
                <w:rFonts w:hint="eastAsia" w:ascii="宋体" w:hAnsi="宋体" w:cs="宋体"/>
                <w:szCs w:val="21"/>
              </w:rPr>
              <w:t xml:space="preserve">基本频率</w:t>
            </w:r>
            <w:bookmarkEnd w:id="152"/>
            <w:r>
              <w:rPr>
                <w:rFonts w:hint="eastAsia" w:ascii="宋体" w:hAnsi="宋体" w:cs="宋体"/>
                <w:szCs w:val="21"/>
              </w:rPr>
              <w:t xml:space="preserve">≥2.</w:t>
            </w:r>
            <w:r>
              <w:rPr>
                <w:rFonts w:ascii="宋体" w:hAnsi="宋体" w:cs="宋体"/>
                <w:szCs w:val="21"/>
              </w:rPr>
              <w:t xml:space="preserve">1</w:t>
            </w:r>
            <w:r>
              <w:rPr>
                <w:rFonts w:hint="eastAsia" w:ascii="宋体" w:hAnsi="宋体" w:cs="宋体"/>
                <w:szCs w:val="21"/>
              </w:rPr>
              <w:t xml:space="preserve">GHz，最高频率≥5.1GHz，L3级缓存≥3</w:t>
            </w:r>
            <w:r>
              <w:rPr>
                <w:rFonts w:ascii="宋体" w:hAnsi="宋体" w:cs="宋体"/>
                <w:szCs w:val="21"/>
              </w:rPr>
              <w:t xml:space="preserve">2</w:t>
            </w:r>
            <w:r>
              <w:rPr>
                <w:rFonts w:hint="eastAsia" w:ascii="宋体" w:hAnsi="宋体" w:cs="宋体"/>
                <w:szCs w:val="21"/>
              </w:rPr>
              <w:t xml:space="preserve">MB。</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运行内存：≥16GB DDR</w:t>
            </w:r>
            <w:r>
              <w:rPr>
                <w:rFonts w:ascii="宋体" w:hAnsi="宋体" w:cs="宋体"/>
                <w:szCs w:val="21"/>
              </w:rPr>
              <w:t xml:space="preserve">5</w:t>
            </w:r>
            <w:r>
              <w:rPr>
                <w:rFonts w:hint="eastAsia" w:ascii="宋体" w:hAnsi="宋体" w:cs="宋体"/>
                <w:szCs w:val="21"/>
              </w:rPr>
              <w:t xml:space="preserve">。</w:t>
            </w:r>
            <w:r>
              <w:rPr>
                <w:rFonts w:hint="eastAsia" w:ascii="宋体" w:hAnsi="宋体" w:cs="宋体"/>
                <w:b/>
                <w:bCs/>
                <w:szCs w:val="21"/>
                <w:u w:val="single"/>
              </w:rPr>
              <w:t xml:space="preserve">（需提供承诺书，并加盖投标人公章。）</w:t>
            </w:r>
            <w:r/>
          </w:p>
          <w:p>
            <w:pPr>
              <w:pStyle w:val="836"/>
              <w:numPr>
                <w:ilvl w:val="0"/>
                <w:numId w:val="5"/>
              </w:numPr>
              <w:ind w:left="0" w:firstLine="422"/>
              <w:widowControl/>
              <w:rPr>
                <w:rFonts w:hint="eastAsia" w:ascii="宋体" w:hAnsi="宋体" w:cs="宋体"/>
                <w:szCs w:val="21"/>
              </w:rPr>
            </w:pPr>
            <w:r/>
            <w:bookmarkStart w:id="153" w:name="OLE_LINK60"/>
            <w:r>
              <w:rPr>
                <w:rFonts w:hint="eastAsia" w:ascii="宋体" w:hAnsi="宋体" w:cs="宋体"/>
                <w:b/>
                <w:bCs/>
                <w:szCs w:val="21"/>
              </w:rPr>
              <w:t xml:space="preserve">☆</w:t>
            </w:r>
            <w:bookmarkEnd w:id="153"/>
            <w:r>
              <w:rPr>
                <w:rFonts w:hint="eastAsia" w:ascii="宋体" w:hAnsi="宋体" w:cs="宋体"/>
                <w:szCs w:val="21"/>
              </w:rPr>
              <w:t xml:space="preserve">存储内存：≥512G PCIe 4.0固态硬盘，7200RPM机械硬盘≥2T。</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2"/>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独立显卡≥RTX 30</w:t>
            </w:r>
            <w:r>
              <w:rPr>
                <w:rFonts w:ascii="宋体" w:hAnsi="宋体" w:cs="宋体"/>
                <w:szCs w:val="21"/>
              </w:rPr>
              <w:t xml:space="preserve">50</w:t>
            </w:r>
            <w:r>
              <w:rPr>
                <w:rFonts w:hint="eastAsia" w:ascii="宋体" w:hAnsi="宋体" w:cs="宋体"/>
                <w:szCs w:val="21"/>
              </w:rPr>
              <w:t xml:space="preserve">；显存≥6G。</w:t>
            </w:r>
            <w:r>
              <w:rPr>
                <w:rFonts w:hint="eastAsia" w:ascii="宋体" w:hAnsi="宋体" w:cs="宋体"/>
                <w:b/>
                <w:bCs/>
                <w:szCs w:val="21"/>
                <w:u w:val="single"/>
              </w:rPr>
              <w:t xml:space="preserve">（需提供承诺书，并加盖投标人公章。）</w:t>
            </w:r>
            <w:r>
              <w:rPr>
                <w:rFonts w:hint="eastAsia" w:ascii="宋体" w:hAnsi="宋体" w:cs="宋体"/>
                <w:szCs w:val="21"/>
              </w:rPr>
            </w:r>
            <w:r/>
          </w:p>
          <w:p>
            <w:pPr>
              <w:pStyle w:val="836"/>
              <w:numPr>
                <w:ilvl w:val="0"/>
                <w:numId w:val="5"/>
              </w:numPr>
              <w:ind w:left="0" w:firstLine="420"/>
              <w:widowControl/>
              <w:rPr>
                <w:rFonts w:hint="eastAsia" w:ascii="宋体" w:hAnsi="宋体" w:cs="宋体"/>
                <w:b/>
                <w:bCs/>
                <w:szCs w:val="21"/>
                <w:u w:val="single"/>
              </w:rPr>
            </w:pPr>
            <w:r/>
            <w:bookmarkEnd w:id="150"/>
            <w:r/>
            <w:bookmarkStart w:id="154" w:name="OLE_LINK61"/>
            <w:r>
              <w:rPr>
                <w:rFonts w:hint="eastAsia" w:ascii="宋体" w:hAnsi="宋体" w:cs="宋体"/>
                <w:szCs w:val="21"/>
              </w:rPr>
              <w:t xml:space="preserve">☆</w:t>
            </w:r>
            <w:bookmarkEnd w:id="154"/>
            <w:r>
              <w:rPr>
                <w:rFonts w:hint="eastAsia" w:ascii="宋体" w:hAnsi="宋体" w:cs="宋体"/>
                <w:szCs w:val="21"/>
              </w:rPr>
              <w:t xml:space="preserve">配套：USB有线键鼠套装。</w:t>
            </w:r>
            <w:bookmarkStart w:id="155" w:name="OLE_LINK72"/>
            <w:r>
              <w:rPr>
                <w:rFonts w:hint="eastAsia" w:ascii="宋体" w:hAnsi="宋体" w:cs="宋体"/>
                <w:b/>
                <w:bCs/>
                <w:szCs w:val="21"/>
                <w:u w:val="single"/>
              </w:rPr>
              <w:t xml:space="preserve">（需提供承诺书和产品参数彩页，并加盖投标人公章。）</w:t>
            </w:r>
            <w:bookmarkEnd w:id="155"/>
            <w:r>
              <w:rPr>
                <w:rFonts w:hint="eastAsia" w:ascii="宋体" w:hAnsi="宋体" w:cs="宋体"/>
                <w:b/>
                <w:bCs/>
                <w:szCs w:val="21"/>
                <w:u w:val="single"/>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操作系统：支持Windows 10及以上操作系统。</w:t>
            </w:r>
            <w:r>
              <w:rPr>
                <w:rFonts w:hint="eastAsia" w:ascii="宋体" w:hAnsi="宋体" w:cs="宋体"/>
                <w:b/>
                <w:bCs/>
                <w:szCs w:val="21"/>
                <w:u w:val="single"/>
              </w:rPr>
              <w:t xml:space="preserve">（需提供承诺书，并加盖投标人公章。）</w:t>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USB屏蔽，仅识别USB键盘鼠标，无法读取USB设备，有效防止数据泄露。</w:t>
            </w:r>
            <w:r>
              <w:rPr>
                <w:rFonts w:hint="eastAsia" w:ascii="宋体" w:hAnsi="宋体" w:cs="宋体"/>
                <w:b/>
                <w:bCs/>
                <w:szCs w:val="21"/>
                <w:u w:val="single"/>
              </w:rPr>
              <w:t xml:space="preserve">（需提供承诺书，并加盖投标人公章。）</w:t>
            </w:r>
            <w:r/>
          </w:p>
          <w:p>
            <w:pPr>
              <w:pStyle w:val="836"/>
              <w:numPr>
                <w:ilvl w:val="0"/>
                <w:numId w:val="5"/>
              </w:numPr>
              <w:ind w:left="0" w:firstLine="420"/>
              <w:widowControl/>
              <w:rPr>
                <w:rFonts w:ascii="宋体" w:hAnsi="宋体" w:cs="宋体"/>
                <w:b/>
                <w:bCs/>
                <w:szCs w:val="21"/>
                <w:u w:val="single"/>
              </w:rPr>
            </w:pPr>
            <w:r>
              <w:rPr>
                <w:rFonts w:hint="eastAsia" w:ascii="宋体" w:hAnsi="宋体" w:cs="宋体"/>
                <w:szCs w:val="21"/>
              </w:rPr>
              <w:t xml:space="preserve">☆显示器：≥23.8寸，</w:t>
            </w:r>
            <w:bookmarkStart w:id="156" w:name="OLE_LINK142"/>
            <w:r>
              <w:rPr>
                <w:rFonts w:hint="eastAsia" w:ascii="宋体" w:hAnsi="宋体" w:cs="宋体"/>
                <w:szCs w:val="21"/>
              </w:rPr>
              <w:t xml:space="preserve">分辨率：≥1920*1080。</w:t>
            </w:r>
            <w:bookmarkEnd w:id="156"/>
            <w:r>
              <w:rPr>
                <w:rFonts w:hint="eastAsia" w:ascii="宋体" w:hAnsi="宋体" w:cs="宋体"/>
                <w:b/>
                <w:bCs/>
                <w:szCs w:val="21"/>
                <w:u w:val="single"/>
              </w:rPr>
              <w:t xml:space="preserve">（需提供承诺书和产品参数彩页，并加盖投标人公章。）</w:t>
            </w:r>
            <w:r>
              <w:rPr>
                <w:rFonts w:ascii="宋体" w:hAnsi="宋体" w:cs="宋体"/>
                <w:b/>
                <w:bCs/>
                <w:szCs w:val="21"/>
                <w:u w:val="single"/>
              </w:rPr>
            </w:r>
            <w:r/>
          </w:p>
          <w:p>
            <w:pPr>
              <w:pStyle w:val="836"/>
              <w:numPr>
                <w:ilvl w:val="0"/>
                <w:numId w:val="5"/>
              </w:numPr>
              <w:ind w:left="0" w:firstLine="422"/>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接口拓展：预留≥4个USB、≥1个HDMI接口，音频接口≥1，适配外接实训设备。</w:t>
            </w:r>
            <w:bookmarkStart w:id="157" w:name="OLE_LINK71"/>
            <w:r>
              <w:rPr>
                <w:rFonts w:hint="eastAsia" w:ascii="宋体" w:hAnsi="宋体" w:cs="宋体"/>
                <w:b/>
                <w:bCs/>
                <w:szCs w:val="21"/>
                <w:u w:val="single"/>
              </w:rPr>
              <w:t xml:space="preserve">（需提供承诺书和产品参数彩页，并加盖投标人公章。）</w:t>
            </w:r>
            <w:bookmarkEnd w:id="157"/>
            <w:r>
              <w:rPr>
                <w:rFonts w:hint="eastAsia" w:ascii="宋体" w:hAnsi="宋体" w:cs="宋体"/>
                <w:b/>
                <w:bCs/>
                <w:szCs w:val="21"/>
                <w:u w:val="single"/>
              </w:rPr>
            </w:r>
            <w:r/>
          </w:p>
          <w:p>
            <w:pPr>
              <w:pStyle w:val="836"/>
              <w:numPr>
                <w:ilvl w:val="0"/>
                <w:numId w:val="5"/>
              </w:numPr>
              <w:ind w:left="0" w:firstLine="422"/>
              <w:widowControl/>
              <w:rPr>
                <w:rFonts w:hint="eastAsia" w:ascii="宋体" w:hAnsi="宋体" w:cs="宋体"/>
                <w:szCs w:val="21"/>
                <w:lang w:bidi="ar"/>
              </w:rPr>
            </w:pPr>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r>
              <w:rPr>
                <w:rFonts w:hint="eastAsia" w:ascii="宋体" w:hAnsi="宋体" w:cs="宋体"/>
                <w:b/>
                <w:bCs/>
                <w:szCs w:val="21"/>
                <w:u w:val="single"/>
              </w:rPr>
              <w:t xml:space="preserve">（需提供承诺书，并加盖投标人公章。）</w:t>
            </w:r>
            <w:bookmarkEnd w:id="151"/>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58" w:name="OLE_LINK80"/>
            <w:r>
              <w:rPr>
                <w:rFonts w:hint="eastAsia" w:ascii="宋体" w:hAnsi="宋体" w:cs="宋体"/>
                <w:b/>
                <w:bCs/>
                <w:szCs w:val="21"/>
                <w:lang w:bidi="ar"/>
              </w:rPr>
              <w:t xml:space="preserve">学生实训桌椅</w:t>
            </w:r>
            <w:bookmarkEnd w:id="158"/>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6"/>
              </w:numPr>
              <w:ind w:left="0" w:firstLine="420"/>
              <w:widowControl/>
              <w:rPr>
                <w:rFonts w:hint="eastAsia" w:ascii="宋体" w:hAnsi="宋体" w:cs="宋体"/>
                <w:szCs w:val="21"/>
              </w:rPr>
            </w:pPr>
            <w:r/>
            <w:bookmarkStart w:id="159" w:name="OLE_LINK143"/>
            <w:r>
              <w:rPr>
                <w:rFonts w:hint="eastAsia" w:ascii="宋体" w:hAnsi="宋体" w:cs="宋体"/>
                <w:szCs w:val="21"/>
              </w:rPr>
              <w:t xml:space="preserve">组成：每套桌椅套装含1套六边形交流桌和6把凳子，满足48人学生教学实训，可开展分组研讨。</w:t>
            </w:r>
            <w:r/>
          </w:p>
          <w:p>
            <w:pPr>
              <w:pStyle w:val="836"/>
              <w:numPr>
                <w:ilvl w:val="0"/>
                <w:numId w:val="6"/>
              </w:numPr>
              <w:ind w:left="0" w:firstLine="420"/>
              <w:widowControl/>
              <w:rPr>
                <w:rFonts w:hint="eastAsia" w:ascii="宋体" w:hAnsi="宋体" w:cs="宋体"/>
                <w:szCs w:val="21"/>
              </w:rPr>
            </w:pPr>
            <w:r/>
            <w:bookmarkStart w:id="160" w:name="OLE_LINK18"/>
            <w:r>
              <w:rPr>
                <w:rFonts w:hint="eastAsia" w:ascii="宋体" w:hAnsi="宋体" w:cs="宋体"/>
                <w:szCs w:val="21"/>
              </w:rPr>
              <w:t xml:space="preserve">六边形交流桌材质为木制</w:t>
            </w:r>
            <w:bookmarkEnd w:id="160"/>
            <w:r>
              <w:rPr>
                <w:rFonts w:hint="eastAsia" w:ascii="宋体" w:hAnsi="宋体" w:cs="宋体"/>
                <w:szCs w:val="21"/>
              </w:rPr>
              <w:t xml:space="preserve">，耐磨防刮，桌面无毛刺。钢制桌脚，结构稳定，所有五金件做防锈、防腐处理，每套六边形桌预留6套学生实训专用终端走线孔，线缆隐藏收纳；凳子：坐面尺寸（长×宽）满足≥0.35×0.25m，带防滑脚垫。所有五金件做防锈、防腐处理，耐磨防刮。</w:t>
            </w:r>
            <w:r/>
          </w:p>
          <w:p>
            <w:pPr>
              <w:pStyle w:val="836"/>
              <w:numPr>
                <w:ilvl w:val="0"/>
                <w:numId w:val="6"/>
              </w:numPr>
              <w:ind w:left="0" w:firstLine="422"/>
              <w:widowControl/>
              <w:rPr>
                <w:rFonts w:hint="eastAsia" w:ascii="宋体" w:hAnsi="宋体" w:cs="宋体"/>
                <w:szCs w:val="21"/>
              </w:rPr>
            </w:pPr>
            <w:r>
              <w:rPr>
                <w:rFonts w:hint="eastAsia" w:ascii="宋体" w:hAnsi="宋体" w:cs="宋体"/>
                <w:b/>
                <w:bCs/>
                <w:szCs w:val="21"/>
              </w:rPr>
              <w:t xml:space="preserve">售后保障</w:t>
            </w:r>
            <w:r>
              <w:rPr>
                <w:rFonts w:hint="eastAsia" w:ascii="宋体" w:hAnsi="宋体" w:cs="宋体"/>
                <w:szCs w:val="21"/>
              </w:rPr>
              <w:t xml:space="preserve">：硬件提供≥</w:t>
            </w:r>
            <w:r>
              <w:rPr>
                <w:rFonts w:ascii="宋体" w:hAnsi="宋体" w:cs="宋体"/>
                <w:szCs w:val="21"/>
              </w:rPr>
              <w:t xml:space="preserve">5</w:t>
            </w:r>
            <w:r>
              <w:rPr>
                <w:rFonts w:hint="eastAsia" w:ascii="宋体" w:hAnsi="宋体" w:cs="宋体"/>
                <w:szCs w:val="21"/>
              </w:rPr>
              <w:t xml:space="preserve">年原厂质保，48小时上门维修，保障实训教学不间断。</w:t>
            </w:r>
            <w:bookmarkEnd w:id="159"/>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61" w:name="OLE_LINK105"/>
            <w:r>
              <w:rPr>
                <w:rFonts w:hint="eastAsia" w:ascii="宋体" w:hAnsi="宋体" w:cs="宋体"/>
                <w:b/>
                <w:bCs/>
                <w:szCs w:val="21"/>
                <w:lang w:bidi="ar"/>
              </w:rPr>
              <w:t xml:space="preserve">MR一体机</w:t>
            </w:r>
            <w:bookmarkEnd w:id="161"/>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7"/>
              </w:numPr>
              <w:ind w:left="0" w:firstLine="425"/>
              <w:widowControl/>
              <w:rPr>
                <w:rFonts w:hint="eastAsia" w:ascii="宋体" w:hAnsi="宋体" w:cs="宋体"/>
                <w:b/>
                <w:bCs/>
                <w:szCs w:val="21"/>
                <w:u w:val="single"/>
              </w:rPr>
            </w:pPr>
            <w:r/>
            <w:bookmarkStart w:id="162" w:name="OLE_LINK104"/>
            <w:r/>
            <w:bookmarkStart w:id="163" w:name="OLE_LINK145"/>
            <w:r>
              <w:rPr>
                <w:rFonts w:hint="eastAsia" w:ascii="宋体" w:hAnsi="宋体" w:cs="宋体"/>
                <w:b/>
                <w:bCs/>
                <w:szCs w:val="21"/>
              </w:rPr>
              <w:t xml:space="preserve">☆</w:t>
            </w:r>
            <w:r>
              <w:rPr>
                <w:rFonts w:hint="eastAsia" w:ascii="宋体" w:hAnsi="宋体" w:cs="宋体"/>
                <w:szCs w:val="21"/>
              </w:rPr>
              <w:t xml:space="preserve">MR眼镜双眼分辨率：≥4K（3664×1920）。</w:t>
            </w:r>
            <w:r>
              <w:rPr>
                <w:rFonts w:hint="eastAsia" w:ascii="宋体" w:hAnsi="宋体" w:cs="宋体"/>
                <w:b/>
                <w:bCs/>
                <w:szCs w:val="21"/>
                <w:u w:val="single"/>
              </w:rPr>
              <w:t xml:space="preserve">（需提供承诺书和产品参数彩页，并加盖投标人公章。）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刷新率：≥90Hz。</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芯片型号：高通XR2 Gen2。</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5"/>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运行内存：≥8G。</w:t>
            </w:r>
            <w:r>
              <w:rPr>
                <w:rFonts w:hint="eastAsia" w:ascii="宋体" w:hAnsi="宋体" w:cs="宋体"/>
                <w:b/>
                <w:bCs/>
                <w:szCs w:val="21"/>
                <w:u w:val="single"/>
              </w:rPr>
              <w:t xml:space="preserve">（需提供承诺书，并加盖投标人公章。）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机身存储：≥256G。</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rPr>
            </w:pPr>
            <w:r/>
            <w:bookmarkStart w:id="164" w:name="OLE_LINK102"/>
            <w:r>
              <w:rPr>
                <w:rFonts w:hint="eastAsia" w:ascii="宋体" w:hAnsi="宋体" w:cs="宋体"/>
                <w:b/>
                <w:bCs/>
                <w:szCs w:val="21"/>
              </w:rPr>
              <w:t xml:space="preserve">☆</w:t>
            </w:r>
            <w:r>
              <w:rPr>
                <w:rFonts w:hint="eastAsia" w:ascii="宋体" w:hAnsi="宋体" w:cs="宋体"/>
                <w:szCs w:val="21"/>
              </w:rPr>
              <w:t xml:space="preserve">水平FOV</w:t>
            </w:r>
            <w:bookmarkEnd w:id="164"/>
            <w:r>
              <w:rPr>
                <w:rFonts w:hint="eastAsia" w:ascii="宋体" w:hAnsi="宋体" w:cs="宋体"/>
                <w:szCs w:val="21"/>
              </w:rPr>
              <w:t xml:space="preserve">：</w:t>
            </w:r>
            <w:bookmarkStart w:id="165" w:name="OLE_LINK13"/>
            <w:r>
              <w:rPr>
                <w:rFonts w:hint="eastAsia" w:ascii="宋体" w:hAnsi="宋体" w:cs="宋体"/>
                <w:szCs w:val="21"/>
              </w:rPr>
              <w:t xml:space="preserve">≥</w:t>
            </w:r>
            <w:bookmarkEnd w:id="165"/>
            <w:r>
              <w:rPr>
                <w:rFonts w:hint="eastAsia" w:ascii="宋体" w:hAnsi="宋体" w:cs="宋体"/>
                <w:szCs w:val="21"/>
              </w:rPr>
              <w:t xml:space="preserve">105°。</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b/>
                <w:bCs/>
                <w:szCs w:val="21"/>
                <w:u w:val="single"/>
              </w:rPr>
            </w:pPr>
            <w:r/>
            <w:bookmarkEnd w:id="162"/>
            <w:r>
              <w:rPr>
                <w:rFonts w:hint="eastAsia" w:ascii="宋体" w:hAnsi="宋体" w:cs="宋体"/>
                <w:b/>
                <w:bCs/>
                <w:szCs w:val="21"/>
              </w:rPr>
              <w:t xml:space="preserve">☆</w:t>
            </w:r>
            <w:r>
              <w:rPr>
                <w:rFonts w:hint="eastAsia" w:ascii="宋体" w:hAnsi="宋体" w:cs="宋体"/>
                <w:szCs w:val="21"/>
              </w:rPr>
              <w:t xml:space="preserve">内置电池容量≥4300mAh。</w:t>
            </w:r>
            <w:r>
              <w:rPr>
                <w:rFonts w:hint="eastAsia" w:ascii="宋体" w:hAnsi="宋体" w:cs="宋体"/>
                <w:b/>
                <w:bCs/>
                <w:szCs w:val="21"/>
                <w:u w:val="single"/>
              </w:rPr>
              <w:t xml:space="preserve">（需提供承诺书和产品参数彩页，并加盖投标人公章。）</w:t>
            </w:r>
            <w:r/>
          </w:p>
          <w:p>
            <w:pPr>
              <w:pStyle w:val="836"/>
              <w:numPr>
                <w:ilvl w:val="0"/>
                <w:numId w:val="7"/>
              </w:numPr>
              <w:ind w:left="0" w:firstLine="422"/>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szCs w:val="21"/>
              </w:rPr>
              <w:t xml:space="preserve">附件：控制手柄≥2，通用电源适配器≥1，USB充电线≥1，电池≥2。</w:t>
            </w:r>
            <w:r>
              <w:rPr>
                <w:rFonts w:hint="eastAsia" w:ascii="宋体" w:hAnsi="宋体" w:cs="宋体"/>
                <w:b/>
                <w:bCs/>
                <w:szCs w:val="21"/>
                <w:u w:val="single"/>
              </w:rPr>
              <w:t xml:space="preserve">（需提供承诺书和产品参数彩页，并加盖投标人公章。）</w:t>
            </w:r>
            <w:r>
              <w:rPr>
                <w:rFonts w:hint="eastAsia" w:ascii="宋体" w:hAnsi="宋体" w:cs="宋体"/>
                <w:b/>
                <w:bCs/>
                <w:szCs w:val="21"/>
              </w:rPr>
            </w:r>
            <w:r/>
          </w:p>
          <w:p>
            <w:pPr>
              <w:pStyle w:val="836"/>
              <w:numPr>
                <w:ilvl w:val="0"/>
                <w:numId w:val="7"/>
              </w:numPr>
              <w:ind w:left="0" w:firstLine="422"/>
              <w:widowControl/>
              <w:rPr>
                <w:rFonts w:hint="eastAsia" w:ascii="宋体" w:hAnsi="宋体" w:cs="宋体"/>
                <w:szCs w:val="21"/>
              </w:rPr>
            </w:pPr>
            <w:r/>
            <w:bookmarkStart w:id="166" w:name="OLE_LINK68"/>
            <w:r>
              <w:rPr>
                <w:rFonts w:hint="eastAsia" w:ascii="宋体" w:hAnsi="宋体" w:cs="宋体"/>
                <w:b/>
                <w:bCs/>
                <w:szCs w:val="21"/>
              </w:rPr>
              <w:t xml:space="preserve">☆</w:t>
            </w:r>
            <w:bookmarkEnd w:id="166"/>
            <w:r>
              <w:rPr>
                <w:rFonts w:hint="eastAsia" w:ascii="宋体" w:hAnsi="宋体" w:cs="宋体"/>
                <w:szCs w:val="21"/>
              </w:rPr>
              <w:t xml:space="preserve">支持不低于Wi-Fi 6及蓝牙5.0。</w:t>
            </w:r>
            <w:r>
              <w:rPr>
                <w:rFonts w:hint="eastAsia" w:ascii="宋体" w:hAnsi="宋体" w:cs="宋体"/>
                <w:b/>
                <w:bCs/>
                <w:szCs w:val="21"/>
                <w:u w:val="single"/>
              </w:rPr>
              <w:t xml:space="preserve">（需提供承诺书和产品参数彩页，并加盖投标人公章。）</w:t>
            </w:r>
            <w:bookmarkEnd w:id="163"/>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67" w:name="OLE_LINK113"/>
            <w:r>
              <w:rPr>
                <w:rFonts w:hint="eastAsia" w:ascii="宋体" w:hAnsi="宋体" w:cs="宋体"/>
                <w:b/>
                <w:bCs/>
                <w:szCs w:val="21"/>
                <w:lang w:bidi="ar"/>
              </w:rPr>
              <w:t xml:space="preserve">投影仪及幕布</w:t>
            </w:r>
            <w:bookmarkEnd w:id="167"/>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8"/>
              </w:numPr>
              <w:ind w:left="0" w:firstLine="425"/>
              <w:widowControl/>
              <w:rPr>
                <w:rFonts w:ascii="宋体" w:hAnsi="宋体" w:cs="宋体"/>
                <w:szCs w:val="21"/>
              </w:rPr>
            </w:pPr>
            <w:r/>
            <w:bookmarkStart w:id="168" w:name="OLE_LINK146"/>
            <w:r/>
            <w:bookmarkStart w:id="169" w:name="OLE_LINK69"/>
            <w:r/>
            <w:bookmarkStart w:id="170" w:name="_Hlk236267509"/>
            <w:r>
              <w:rPr>
                <w:rFonts w:hint="eastAsia" w:ascii="宋体" w:hAnsi="宋体" w:cs="宋体"/>
                <w:b/>
                <w:bCs/>
                <w:szCs w:val="21"/>
              </w:rPr>
              <w:t xml:space="preserve">☆</w:t>
            </w:r>
            <w:bookmarkEnd w:id="169"/>
            <w:r>
              <w:rPr>
                <w:rFonts w:hint="eastAsia" w:ascii="宋体" w:hAnsi="宋体" w:cs="宋体"/>
                <w:szCs w:val="21"/>
              </w:rPr>
              <w:t xml:space="preserve">投影仪标称分辨率≥1920×1200；支持光学变焦；ISO亮度≥4000lm（符合ISO21118标准）；输入接口支持HDMI×2、VGA、RJ45、USB Type A。</w:t>
            </w:r>
            <w:bookmarkEnd w:id="170"/>
            <w:r>
              <w:rPr>
                <w:rFonts w:hint="eastAsia" w:ascii="宋体" w:hAnsi="宋体" w:cs="宋体"/>
                <w:b/>
                <w:bCs/>
                <w:szCs w:val="21"/>
                <w:u w:val="single"/>
              </w:rPr>
              <w:t xml:space="preserve">（需提供彩页和官网截图证明，并且两者材料显示参数一致，并加盖投标人公章。）</w:t>
            </w:r>
            <w:r>
              <w:rPr>
                <w:rFonts w:ascii="宋体" w:hAnsi="宋体" w:cs="宋体"/>
                <w:szCs w:val="21"/>
              </w:rPr>
            </w:r>
            <w:r/>
          </w:p>
          <w:p>
            <w:pPr>
              <w:pStyle w:val="836"/>
              <w:numPr>
                <w:ilvl w:val="0"/>
                <w:numId w:val="8"/>
              </w:numPr>
              <w:ind w:left="0" w:firstLine="425"/>
              <w:widowControl/>
              <w:rPr>
                <w:rFonts w:hint="eastAsia" w:ascii="宋体" w:hAnsi="宋体" w:cs="宋体"/>
                <w:b/>
                <w:bCs/>
                <w:szCs w:val="21"/>
                <w:u w:val="single"/>
              </w:rPr>
            </w:pPr>
            <w:r/>
            <w:bookmarkStart w:id="171" w:name="OLE_LINK70"/>
            <w:r>
              <w:rPr>
                <w:rFonts w:hint="eastAsia" w:ascii="宋体" w:hAnsi="宋体" w:cs="宋体"/>
                <w:b/>
                <w:bCs/>
                <w:szCs w:val="21"/>
              </w:rPr>
              <w:t xml:space="preserve">☆</w:t>
            </w:r>
            <w:bookmarkEnd w:id="171"/>
            <w:r>
              <w:rPr>
                <w:rFonts w:hint="eastAsia" w:ascii="宋体" w:hAnsi="宋体" w:cs="宋体"/>
                <w:szCs w:val="21"/>
              </w:rPr>
              <w:t xml:space="preserve">幕布</w:t>
            </w:r>
            <w:bookmarkStart w:id="172" w:name="OLE_LINK14"/>
            <w:r>
              <w:rPr>
                <w:rFonts w:hint="eastAsia" w:ascii="宋体" w:hAnsi="宋体" w:cs="宋体"/>
                <w:szCs w:val="21"/>
              </w:rPr>
              <w:t xml:space="preserve">≥120</w:t>
            </w:r>
            <w:bookmarkEnd w:id="172"/>
            <w:r>
              <w:rPr>
                <w:rFonts w:hint="eastAsia" w:ascii="宋体" w:hAnsi="宋体" w:cs="宋体"/>
                <w:szCs w:val="21"/>
              </w:rPr>
              <w:t xml:space="preserve">英寸；支持遥控和线控自动升降；视角≥178°。</w:t>
            </w:r>
            <w:r>
              <w:rPr>
                <w:rFonts w:hint="eastAsia" w:ascii="宋体" w:hAnsi="宋体" w:cs="宋体"/>
                <w:b/>
                <w:bCs/>
                <w:szCs w:val="21"/>
                <w:u w:val="single"/>
              </w:rPr>
              <w:t xml:space="preserve">（需提供承诺书和产品参数彩页，并加盖投标人公章。）</w:t>
            </w:r>
            <w:r/>
          </w:p>
          <w:p>
            <w:pPr>
              <w:pStyle w:val="836"/>
              <w:numPr>
                <w:ilvl w:val="0"/>
                <w:numId w:val="8"/>
              </w:numPr>
              <w:ind w:left="0" w:firstLine="425"/>
              <w:widowControl/>
              <w:rPr>
                <w:rFonts w:hint="eastAsia" w:ascii="宋体" w:hAnsi="宋体" w:cs="宋体"/>
                <w:b/>
                <w:bCs/>
                <w:szCs w:val="21"/>
                <w:u w:val="single"/>
              </w:rPr>
            </w:pPr>
            <w:r>
              <w:rPr>
                <w:rFonts w:hint="eastAsia" w:ascii="宋体" w:hAnsi="宋体" w:cs="宋体"/>
                <w:b/>
                <w:bCs/>
                <w:szCs w:val="21"/>
              </w:rPr>
              <w:t xml:space="preserve">☆</w:t>
            </w:r>
            <w:r>
              <w:rPr>
                <w:rFonts w:hint="eastAsia" w:ascii="宋体" w:hAnsi="宋体" w:cs="宋体"/>
                <w:szCs w:val="21"/>
              </w:rPr>
              <w:t xml:space="preserve">投影吊架：约75-150cm伸缩，管内走线。</w:t>
            </w:r>
            <w:r>
              <w:rPr>
                <w:rFonts w:hint="eastAsia" w:ascii="宋体" w:hAnsi="宋体" w:cs="宋体"/>
                <w:b/>
                <w:bCs/>
                <w:szCs w:val="21"/>
                <w:u w:val="single"/>
              </w:rPr>
              <w:t xml:space="preserve">（需提供承诺书和产品参数彩页，并加盖投标人公章。）</w:t>
            </w:r>
            <w:r/>
          </w:p>
          <w:p>
            <w:pPr>
              <w:pStyle w:val="836"/>
              <w:numPr>
                <w:ilvl w:val="0"/>
                <w:numId w:val="8"/>
              </w:numPr>
              <w:ind w:left="0" w:firstLine="425"/>
              <w:widowControl/>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高清HDMI线：支持高清音视频传输。</w:t>
            </w:r>
            <w:r>
              <w:rPr>
                <w:rFonts w:hint="eastAsia" w:ascii="宋体" w:hAnsi="宋体" w:cs="宋体"/>
                <w:b/>
                <w:bCs/>
                <w:szCs w:val="21"/>
                <w:u w:val="single"/>
              </w:rPr>
              <w:t xml:space="preserve">（需提供承诺书和产品参数彩页，并加盖投标人公章。）</w:t>
            </w:r>
            <w:bookmarkEnd w:id="168"/>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62"/>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二、云端共享课程平台及虚拟仿真实训课程</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73" w:name="OLE_LINK107"/>
            <w:r>
              <w:rPr>
                <w:rFonts w:hint="eastAsia" w:ascii="宋体" w:hAnsi="宋体" w:cs="宋体"/>
                <w:b/>
                <w:bCs/>
                <w:szCs w:val="21"/>
                <w:lang w:bidi="ar"/>
              </w:rPr>
              <w:t xml:space="preserve">云端</w:t>
            </w:r>
            <w:bookmarkStart w:id="174" w:name="OLE_LINK32"/>
            <w:r>
              <w:rPr>
                <w:rFonts w:hint="eastAsia" w:ascii="宋体" w:hAnsi="宋体" w:cs="宋体"/>
                <w:b/>
                <w:bCs/>
                <w:szCs w:val="21"/>
                <w:lang w:bidi="ar"/>
              </w:rPr>
              <w:t xml:space="preserve">共享课程平台</w:t>
            </w:r>
            <w:bookmarkEnd w:id="173"/>
            <w:r/>
            <w:bookmarkEnd w:id="174"/>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left="420"/>
              <w:widowControl/>
              <w:rPr>
                <w:rFonts w:hint="eastAsia" w:ascii="宋体" w:hAnsi="宋体" w:cs="宋体"/>
                <w:b/>
                <w:bCs/>
                <w:szCs w:val="21"/>
              </w:rPr>
            </w:pPr>
            <w:r>
              <w:rPr>
                <w:rFonts w:hint="eastAsia" w:ascii="宋体" w:hAnsi="宋体" w:cs="宋体"/>
                <w:b/>
                <w:bCs/>
                <w:szCs w:val="21"/>
              </w:rPr>
              <w:t xml:space="preserve">1. 基础功能要求</w:t>
            </w:r>
            <w:r/>
          </w:p>
          <w:p>
            <w:pPr>
              <w:pStyle w:val="836"/>
              <w:ind w:firstLine="420"/>
              <w:widowControl/>
              <w:rPr>
                <w:rFonts w:hint="eastAsia" w:ascii="宋体" w:hAnsi="宋体" w:cs="宋体"/>
                <w:szCs w:val="21"/>
              </w:rPr>
            </w:pPr>
            <w:r/>
            <w:bookmarkStart w:id="175" w:name="_Hlk236265928"/>
            <w:r>
              <w:rPr>
                <w:rFonts w:hint="eastAsia" w:ascii="宋体" w:hAnsi="宋体" w:cs="宋体"/>
                <w:szCs w:val="21"/>
              </w:rPr>
              <w:t xml:space="preserve">(1)支持虚拟仿真实训课程本地终端私有化部署运行与校园网范围内</w:t>
            </w:r>
            <w:bookmarkStart w:id="176" w:name="OLE_LINK33"/>
            <w:r>
              <w:rPr>
                <w:rFonts w:hint="eastAsia" w:ascii="宋体" w:hAnsi="宋体" w:cs="宋体"/>
                <w:szCs w:val="21"/>
              </w:rPr>
              <w:t xml:space="preserve">在线访问</w:t>
            </w:r>
            <w:bookmarkEnd w:id="176"/>
            <w:r>
              <w:rPr>
                <w:rFonts w:hint="eastAsia" w:ascii="宋体" w:hAnsi="宋体" w:cs="宋体"/>
                <w:szCs w:val="21"/>
              </w:rPr>
              <w:t xml:space="preserve">使用双模式，支持400人同时在线进行流畅的常规操作。供应商负责完成两套部署环境的安装、调试与适配，提供部署手册与运维说明，确保与学校现有校园网、服务器环境兼容，验收时须现场完成多终端、多并发场景的在线访问实测。</w:t>
            </w:r>
            <w:bookmarkEnd w:id="175"/>
            <w:r>
              <w:rPr>
                <w:rFonts w:hint="eastAsia" w:ascii="宋体" w:hAnsi="宋体" w:cs="宋体"/>
                <w:szCs w:val="21"/>
              </w:rPr>
            </w:r>
            <w:r/>
          </w:p>
          <w:p>
            <w:pPr>
              <w:pStyle w:val="836"/>
              <w:ind w:firstLine="420"/>
              <w:widowControl/>
              <w:rPr>
                <w:rFonts w:hint="eastAsia" w:ascii="宋体" w:hAnsi="宋体" w:cs="宋体"/>
                <w:szCs w:val="21"/>
              </w:rPr>
            </w:pPr>
            <w:r>
              <w:rPr>
                <w:rFonts w:hint="eastAsia" w:ascii="宋体" w:hAnsi="宋体" w:cs="宋体"/>
                <w:szCs w:val="21"/>
              </w:rPr>
              <w:t xml:space="preserve">(2)本地部署要求：共享课程平台完整部署于项目配套的教师管控终端和学生实训专用终端，支持离线状态下全功能运行，学生实训终端同时启动无卡顿、无掉线，实训数据本地存储，适配现有硬件性能与操作系统环境。</w:t>
            </w:r>
            <w:r/>
          </w:p>
          <w:p>
            <w:pPr>
              <w:pStyle w:val="836"/>
              <w:ind w:firstLine="420"/>
              <w:widowControl/>
              <w:rPr>
                <w:rFonts w:hint="eastAsia" w:ascii="宋体" w:hAnsi="宋体" w:cs="宋体"/>
                <w:b/>
                <w:bCs/>
                <w:szCs w:val="21"/>
              </w:rPr>
            </w:pPr>
            <w:r/>
            <w:bookmarkStart w:id="177" w:name="OLE_LINK148"/>
            <w:r>
              <w:rPr>
                <w:rFonts w:ascii="宋体" w:hAnsi="宋体" w:cs="宋体"/>
                <w:szCs w:val="21"/>
              </w:rPr>
              <w:t xml:space="preserve">(3)</w:t>
            </w:r>
            <w:bookmarkEnd w:id="177"/>
            <w:r>
              <w:rPr>
                <w:rFonts w:hint="eastAsia" w:ascii="宋体" w:hAnsi="宋体" w:cs="宋体"/>
                <w:szCs w:val="21"/>
              </w:rPr>
              <w:t xml:space="preserve">▲在线访问要求：共享课程平台应依托云服务部署，支持浏览器直接访问，满足课程运行、共享、推广和应用需求，具备安全、稳定、快速、智能、可拓展等特点，支持PC电脑、触控终端、平板等多类设备接入。</w:t>
            </w:r>
            <w:bookmarkStart w:id="178" w:name="OLE_LINK52"/>
            <w:r>
              <w:rPr>
                <w:rFonts w:hint="eastAsia" w:ascii="宋体" w:hAnsi="宋体" w:cs="宋体"/>
                <w:b/>
                <w:bCs/>
                <w:szCs w:val="21"/>
                <w:u w:val="single"/>
              </w:rPr>
              <w:t xml:space="preserve">【提供承诺函、功能截图，</w:t>
            </w:r>
            <w:bookmarkEnd w:id="178"/>
            <w:r>
              <w:rPr>
                <w:rFonts w:hint="eastAsia" w:ascii="宋体" w:hAnsi="宋体" w:cs="宋体"/>
                <w:b/>
                <w:bCs/>
                <w:szCs w:val="21"/>
                <w:u w:val="single"/>
              </w:rPr>
              <w:t xml:space="preserve">并加盖投标人公章。】</w:t>
            </w:r>
            <w:r>
              <w:rPr>
                <w:rFonts w:hint="eastAsia" w:ascii="宋体" w:hAnsi="宋体" w:cs="宋体"/>
                <w:b/>
                <w:bCs/>
                <w:szCs w:val="21"/>
              </w:rPr>
            </w:r>
            <w:r/>
          </w:p>
          <w:p>
            <w:pPr>
              <w:pStyle w:val="836"/>
              <w:ind w:firstLine="420"/>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t xml:space="preserve">独立课程页管理：每个虚拟仿真课程应具备独立课程页，可根据教师后台设置内容展示课程基本信息，包括项目介绍、师资介绍、实训指南、实训资源、考核要求、学习记录、数据分析等内容。</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t xml:space="preserve">学习记录管理：可按班级统计学生平时训练情况，展示学生训练日志流水，支持按实训、用户、状态等条件筛选，支持查看实训报告；可显示申请批阅的实训报告。</w:t>
            </w:r>
            <w:r/>
          </w:p>
          <w:p>
            <w:pPr>
              <w:pStyle w:val="836"/>
              <w:ind w:firstLine="420"/>
              <w:widowControl/>
              <w:rPr>
                <w:rFonts w:hint="eastAsia" w:ascii="宋体" w:hAnsi="宋体" w:cs="宋体"/>
                <w:szCs w:val="21"/>
              </w:rPr>
            </w:pPr>
            <w:r>
              <w:rPr>
                <w:rFonts w:ascii="宋体" w:hAnsi="宋体" w:cs="宋体"/>
                <w:szCs w:val="21"/>
              </w:rPr>
              <w:t xml:space="preserve">(6)</w:t>
            </w:r>
            <w:r>
              <w:rPr>
                <w:rFonts w:hint="eastAsia" w:ascii="宋体" w:hAnsi="宋体" w:cs="宋体"/>
                <w:szCs w:val="21"/>
              </w:rPr>
              <w:t xml:space="preserve">实训报告：系统应自动记录学生每一步操作并进行打分和计时，可根据赋分规则形成步骤得分情况，并最终以实训报告形式呈现。赋分规则应可根据采购人实际需求进行设置。</w:t>
            </w:r>
            <w:r/>
          </w:p>
          <w:p>
            <w:pPr>
              <w:pStyle w:val="836"/>
              <w:ind w:firstLine="420"/>
              <w:widowControl/>
              <w:rPr>
                <w:rFonts w:hint="eastAsia" w:ascii="宋体" w:hAnsi="宋体" w:cs="宋体"/>
                <w:b/>
                <w:bCs/>
                <w:szCs w:val="21"/>
              </w:rPr>
            </w:pPr>
            <w:r>
              <w:rPr>
                <w:rFonts w:ascii="宋体" w:hAnsi="宋体" w:cs="宋体"/>
                <w:szCs w:val="21"/>
              </w:rPr>
              <w:t xml:space="preserve">(7)</w:t>
            </w:r>
            <w:r>
              <w:rPr>
                <w:rFonts w:hint="eastAsia" w:ascii="宋体" w:hAnsi="宋体" w:cs="宋体"/>
                <w:szCs w:val="21"/>
              </w:rPr>
              <w:t xml:space="preserve">▲实训留档功能：系统应支持留档功能，即用户在实训操作时，可对实训进度进行存档，在下次实训时可继续进行实训操作。</w:t>
            </w:r>
            <w:bookmarkStart w:id="179" w:name="OLE_LINK55"/>
            <w:r>
              <w:rPr>
                <w:rFonts w:hint="eastAsia" w:ascii="宋体" w:hAnsi="宋体" w:cs="宋体"/>
                <w:b/>
                <w:bCs/>
                <w:szCs w:val="21"/>
                <w:u w:val="single"/>
              </w:rPr>
              <w:t xml:space="preserve">【提供功能截图，并加盖投标人公章。】</w:t>
            </w:r>
            <w:r>
              <w:rPr>
                <w:rFonts w:hint="eastAsia" w:ascii="宋体" w:hAnsi="宋体" w:cs="宋体"/>
                <w:b/>
                <w:bCs/>
                <w:szCs w:val="21"/>
              </w:rPr>
            </w:r>
            <w:r/>
          </w:p>
          <w:p>
            <w:pPr>
              <w:pStyle w:val="836"/>
              <w:ind w:firstLine="420"/>
              <w:widowControl/>
              <w:rPr>
                <w:rFonts w:hint="eastAsia" w:ascii="宋体" w:hAnsi="宋体" w:cs="宋体"/>
                <w:szCs w:val="21"/>
              </w:rPr>
            </w:pPr>
            <w:r/>
            <w:bookmarkEnd w:id="179"/>
            <w:r>
              <w:rPr>
                <w:rFonts w:ascii="宋体" w:hAnsi="宋体" w:cs="宋体"/>
                <w:szCs w:val="21"/>
              </w:rPr>
              <w:t xml:space="preserve">(8)</w:t>
            </w:r>
            <w:r>
              <w:rPr>
                <w:rFonts w:hint="eastAsia" w:ascii="宋体" w:hAnsi="宋体" w:cs="宋体"/>
                <w:szCs w:val="21"/>
              </w:rPr>
              <w:t xml:space="preserve">课程运行数据展示：虚拟仿真课程页应展示可视化累计运行数据，包括累计访问量、累计学生数、累计练习数、累计实训结果等，并展示课程概述、项目背景、项目目标、项目特色、教学团队、实训指南和数据分析等内容。</w:t>
            </w:r>
            <w:r/>
          </w:p>
          <w:p>
            <w:pPr>
              <w:pStyle w:val="836"/>
              <w:ind w:firstLine="420"/>
              <w:widowControl/>
              <w:rPr>
                <w:rFonts w:hint="eastAsia" w:ascii="宋体" w:hAnsi="宋体" w:cs="宋体"/>
                <w:szCs w:val="21"/>
              </w:rPr>
            </w:pPr>
            <w:r>
              <w:rPr>
                <w:rFonts w:ascii="宋体" w:hAnsi="宋体" w:cs="宋体"/>
                <w:szCs w:val="21"/>
              </w:rPr>
              <w:t xml:space="preserve">(9)</w:t>
            </w:r>
            <w:r>
              <w:rPr>
                <w:rFonts w:hint="eastAsia" w:ascii="宋体" w:hAnsi="宋体" w:cs="宋体"/>
                <w:szCs w:val="21"/>
              </w:rPr>
              <w:t xml:space="preserve">实训报告批阅：平台应支持实训报告批阅设置功能，支持教师批阅、自动成绩、自动成绩+教师批阅等不同批阅形式。</w:t>
            </w:r>
            <w:r/>
          </w:p>
          <w:p>
            <w:pPr>
              <w:pStyle w:val="836"/>
              <w:ind w:firstLine="420"/>
              <w:widowControl/>
              <w:rPr>
                <w:rFonts w:hint="eastAsia" w:ascii="宋体" w:hAnsi="宋体" w:cs="宋体"/>
                <w:szCs w:val="21"/>
              </w:rPr>
            </w:pPr>
            <w:r>
              <w:rPr>
                <w:rFonts w:ascii="宋体" w:hAnsi="宋体" w:cs="宋体"/>
                <w:szCs w:val="21"/>
              </w:rPr>
              <w:t xml:space="preserve">(10)</w:t>
            </w:r>
            <w:r>
              <w:rPr>
                <w:rFonts w:hint="eastAsia" w:ascii="宋体" w:hAnsi="宋体" w:cs="宋体"/>
                <w:szCs w:val="21"/>
              </w:rPr>
              <w:t xml:space="preserve">在线课程资源联动：支持虚拟仿真项目与采购单位已有在线课程结合，可实现虚拟仿真项目免登录跳转至对应共享课，也可从共享课免登录跳转至对应虚拟仿真项目，实现理论学习与实践操作结合。</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(11)</w:t>
            </w:r>
            <w:r>
              <w:rPr>
                <w:rFonts w:hint="eastAsia" w:ascii="宋体" w:hAnsi="宋体" w:cs="宋体"/>
                <w:szCs w:val="21"/>
              </w:rPr>
              <w:t xml:space="preserve">全三维虚拟实训与知识学习：虚拟实训应采用全三维建模方式建设，具备实训原理和相关知识学习模块，知识内容包括但不限于图片、文字、视频等。</w:t>
            </w:r>
            <w:r/>
          </w:p>
          <w:p>
            <w:pPr>
              <w:pStyle w:val="836"/>
              <w:ind w:firstLine="420"/>
              <w:widowControl/>
              <w:rPr>
                <w:rFonts w:hint="eastAsia" w:ascii="宋体" w:hAnsi="宋体" w:cs="宋体"/>
                <w:b/>
                <w:bCs/>
                <w:szCs w:val="21"/>
                <w:u w:val="single"/>
              </w:rPr>
            </w:pPr>
            <w:r>
              <w:rPr>
                <w:rFonts w:ascii="宋体" w:hAnsi="宋体" w:cs="宋体"/>
                <w:szCs w:val="21"/>
              </w:rPr>
              <w:t xml:space="preserve">(12)</w:t>
            </w:r>
            <w:r>
              <w:rPr>
                <w:rFonts w:hint="eastAsia" w:ascii="宋体" w:hAnsi="宋体" w:cs="宋体"/>
                <w:szCs w:val="21"/>
              </w:rPr>
              <w:t xml:space="preserve">▲在线考核：应提供对应考核内容，可针对知识学习内容生成考核题，题型包括但不限于选择题、填空题、连线题等，用户完成答题后系统能够直接给出反馈。</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b/>
                <w:bCs/>
                <w:szCs w:val="21"/>
                <w:u w:val="single"/>
              </w:rPr>
            </w:pPr>
            <w:r>
              <w:rPr>
                <w:rFonts w:ascii="宋体" w:hAnsi="宋体" w:cs="宋体"/>
                <w:szCs w:val="21"/>
              </w:rPr>
              <w:t xml:space="preserve">(13)</w:t>
            </w:r>
            <w:r>
              <w:rPr>
                <w:rFonts w:hint="eastAsia" w:ascii="宋体" w:hAnsi="宋体" w:cs="宋体"/>
                <w:szCs w:val="21"/>
              </w:rPr>
              <w:t xml:space="preserve">▲课程简介视频与教学引导视频：每个虚拟仿真课程应提供项目简介视频和项目引导视频。简介视频时长应控制在3分钟内，用于介绍项目背景、特色、技术与应用价值；教学引导视频时长应为8分钟以内，用于演示实训目的、流程、关键操作与注意事项。</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szCs w:val="21"/>
              </w:rPr>
            </w:pPr>
            <w:r>
              <w:rPr>
                <w:rFonts w:ascii="宋体" w:hAnsi="宋体" w:cs="宋体"/>
                <w:szCs w:val="21"/>
              </w:rPr>
              <w:t xml:space="preserve">(14)</w:t>
            </w:r>
            <w:r>
              <w:rPr>
                <w:rFonts w:hint="eastAsia" w:ascii="宋体" w:hAnsi="宋体" w:cs="宋体"/>
                <w:szCs w:val="21"/>
              </w:rPr>
              <w:t xml:space="preserve">新建实训：平台应支持新建实训功能，可进行基本信息、实训资源、实训设置等配置。基本信息包括实训标题、实训描述；实训资源支持我的虚仿实训添加、虚仿资源库添加、虚仿实训链接添加、线下实训任务添加；实训设置支持关联学习资源，支持选择是否允许重复实训、允许迟交、选择实训班级及运行时间。</w:t>
            </w:r>
            <w:r>
              <w:rPr>
                <w:rFonts w:hint="eastAsia" w:ascii="宋体" w:hAnsi="宋体" w:cs="宋体"/>
                <w:b/>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(15)</w:t>
            </w:r>
            <w:r>
              <w:rPr>
                <w:rFonts w:hint="eastAsia" w:ascii="宋体" w:hAnsi="宋体" w:cs="宋体"/>
                <w:szCs w:val="21"/>
              </w:rPr>
              <w:t xml:space="preserve">知识图谱融合：平台应支持虚拟仿真课程与知识图谱深度融合，虚拟仿真实训能够以实训图谱形式在知识图谱主页中呈现。用户可通过实训图谱了解实训步骤、实训子阶段、阶段及考核占比、相关知识点，并可通过实训图谱快速进入对应虚拟仿真实训。实训报告也应在知识图谱主页呈现，支持在线预览和下载。</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(16)</w:t>
            </w:r>
            <w:r>
              <w:rPr>
                <w:rFonts w:hint="eastAsia" w:ascii="宋体" w:hAnsi="宋体" w:cs="宋体"/>
                <w:szCs w:val="21"/>
              </w:rPr>
              <w:t xml:space="preserve">教学周报统计与分析功能：自动汇总教师AI指令与工具使用频率、课堂互动及任务执行情况。系统可生成教学行为分析报告，指出课堂互动薄弱环节，并提供优化建议，支持往期周报检索与对比分析，提升教学质量与学生参与度。</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bookmarkStart w:id="180" w:name="OLE_LINK38"/>
            <w:r>
              <w:rPr>
                <w:rFonts w:ascii="宋体" w:hAnsi="宋体" w:cs="宋体"/>
                <w:szCs w:val="21"/>
              </w:rPr>
              <w:t xml:space="preserve">(17)</w:t>
            </w:r>
            <w:r>
              <w:rPr>
                <w:rFonts w:hint="eastAsia" w:ascii="宋体" w:hAnsi="宋体" w:cs="宋体"/>
                <w:szCs w:val="21"/>
              </w:rPr>
              <w:t xml:space="preserve">共享课程平台使用手册</w:t>
            </w:r>
            <w:bookmarkEnd w:id="180"/>
            <w:r>
              <w:rPr>
                <w:rFonts w:hint="eastAsia" w:ascii="宋体" w:hAnsi="宋体" w:cs="宋体"/>
                <w:szCs w:val="21"/>
              </w:rPr>
              <w:t xml:space="preserve">：课程平台需要编制使用手册，随产品同步交付；使用手册须完整覆盖对应软件的全部功能，包含系统部署安装、账号与角色权限管理、各功能模块操作步骤、实训教学应用指引、数据查询与导出、常见故障排查、日常运维说明等全流程内容，图文对应、表述清晰，满足教师教学使用与管理员运维需求；使用手册须附招标技术参数-手册页码对照表，将本招标文件中该套软件列明的全部技术参数项，逐一对应标注至使用手册的具体章节与页码，确保每一项技术参数均可在手册对应位置找到功能说明与操作指引，无遗漏、无错配。</w:t>
            </w:r>
            <w:r/>
          </w:p>
          <w:p>
            <w:pPr>
              <w:pStyle w:val="836"/>
              <w:ind w:left="420"/>
              <w:widowControl/>
              <w:rPr>
                <w:rFonts w:hint="eastAsia" w:ascii="宋体" w:hAnsi="宋体" w:cs="宋体"/>
                <w:b/>
                <w:bCs/>
                <w:szCs w:val="21"/>
              </w:rPr>
            </w:pPr>
            <w:r>
              <w:rPr>
                <w:rFonts w:hint="eastAsia" w:ascii="宋体" w:hAnsi="宋体" w:cs="宋体"/>
                <w:b/>
                <w:bCs/>
                <w:szCs w:val="21"/>
              </w:rPr>
              <w:t xml:space="preserve">2. AI赋能要求</w:t>
            </w:r>
            <w:r/>
          </w:p>
          <w:p>
            <w:pPr>
              <w:pStyle w:val="836"/>
              <w:ind w:firstLine="420"/>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▲AI助教与智能问答：系统应提供AI助教或智能问答辅助功能，支持在课程页及虚拟仿真实训操作过程中调用使用，AI助教支持推荐问题展示，支持追问功能，支持展示资料来源。</w:t>
            </w:r>
            <w:r>
              <w:rPr>
                <w:rFonts w:hint="eastAsia" w:ascii="宋体" w:hAnsi="宋体" w:cs="宋体"/>
                <w:b/>
                <w:bCs/>
                <w:szCs w:val="21"/>
                <w:u w:val="single"/>
              </w:rPr>
              <w:t xml:space="preserve">【提供功能截图，并加盖投标人公章。】</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AI纠错与操作反馈：系统应支持AI纠错功能，在实训过程中如果出现错误AI能及时进行干预，并给出对应的错误分析，用户可重新进行选择。</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课程资源智能解析：系统应支持通过文本识别、文档结构化、表格解析、PPT结构化、公式解析等AI能力，对课程资源进行结构化处理。应支持PDF、DOCX、PPT等常见文档格式处理，能够对文档内容进行识别、切分、归类和索引，提升课程知识库建设效率。</w:t>
            </w:r>
            <w:r/>
          </w:p>
          <w:p>
            <w:pPr>
              <w:pStyle w:val="836"/>
              <w:ind w:firstLine="420"/>
              <w:widowControl/>
              <w:rPr>
                <w:rFonts w:hint="eastAsia" w:ascii="宋体" w:hAnsi="宋体" w:cs="宋体"/>
                <w:b/>
                <w:bCs/>
                <w:szCs w:val="21"/>
                <w:u w:val="single"/>
              </w:rPr>
            </w:pPr>
            <w:r>
              <w:rPr>
                <w:rFonts w:ascii="宋体" w:hAnsi="宋体" w:cs="宋体"/>
                <w:szCs w:val="21"/>
              </w:rPr>
              <w:t xml:space="preserve">(4)</w:t>
            </w:r>
            <w:r>
              <w:rPr>
                <w:rFonts w:hint="eastAsia" w:ascii="宋体" w:hAnsi="宋体" w:cs="宋体"/>
                <w:szCs w:val="21"/>
              </w:rPr>
              <w:t xml:space="preserve">▲知识检索与问答增强：系统应支持文本切片与索引构建，可采用语义切片、递归切片等方式将长文本切分为小块，并将文本数据转换为向量形式，支持向量检索、关键词检索或混合检索方式，提高知识检索准确性和响应效率。系统应支持对用户问题进行优化改写，提高AI回答与课程知识点、操作步骤和实训场景的匹配度。</w:t>
            </w:r>
            <w:r>
              <w:rPr>
                <w:rFonts w:hint="eastAsia" w:ascii="宋体" w:hAnsi="宋体" w:cs="宋体"/>
                <w:b/>
                <w:bCs/>
                <w:szCs w:val="21"/>
                <w:u w:val="single"/>
              </w:rPr>
              <w:t xml:space="preserve">【提供功能截图，并加盖投标人公章。】</w:t>
            </w:r>
            <w:r/>
          </w:p>
          <w:p>
            <w:pPr>
              <w:pStyle w:val="836"/>
              <w:ind w:firstLine="420"/>
              <w:widowControl/>
              <w:rPr>
                <w:rFonts w:hint="eastAsia" w:ascii="宋体" w:hAnsi="宋体" w:cs="宋体"/>
                <w:szCs w:val="21"/>
              </w:rPr>
            </w:pPr>
            <w:r>
              <w:rPr>
                <w:rFonts w:ascii="宋体" w:hAnsi="宋体" w:cs="宋体"/>
                <w:szCs w:val="21"/>
              </w:rPr>
              <w:t xml:space="preserve">(5)</w:t>
            </w:r>
            <w:bookmarkStart w:id="181" w:name="OLE_LINK62"/>
            <w:r>
              <w:rPr>
                <w:rFonts w:hint="eastAsia" w:ascii="宋体" w:hAnsi="宋体" w:cs="宋体"/>
                <w:szCs w:val="21"/>
              </w:rPr>
              <w:t xml:space="preserve">课程模型调优：支持采用LangGPT、少样本等技术对大模型进行提示词开发和优化。</w:t>
            </w:r>
            <w:bookmarkEnd w:id="181"/>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9</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bookmarkStart w:id="182" w:name="OLE_LINK29"/>
            <w:r>
              <w:rPr>
                <w:rFonts w:hint="eastAsia" w:ascii="宋体" w:hAnsi="宋体" w:cs="宋体"/>
                <w:b/>
                <w:bCs/>
                <w:szCs w:val="21"/>
                <w:lang w:bidi="ar"/>
              </w:rPr>
              <w:t xml:space="preserve">船体焊接MR</w:t>
            </w:r>
            <w:bookmarkStart w:id="183" w:name="OLE_LINK23"/>
            <w:r>
              <w:rPr>
                <w:rFonts w:hint="eastAsia" w:ascii="宋体" w:hAnsi="宋体" w:cs="宋体"/>
                <w:b/>
                <w:bCs/>
                <w:szCs w:val="21"/>
                <w:lang w:bidi="ar"/>
              </w:rPr>
              <w:t xml:space="preserve">场景</w:t>
            </w:r>
            <w:bookmarkEnd w:id="182"/>
            <w:r>
              <w:rPr>
                <w:rFonts w:hint="eastAsia" w:ascii="宋体" w:hAnsi="宋体" w:cs="宋体"/>
                <w:b/>
                <w:bCs/>
                <w:szCs w:val="21"/>
                <w:lang w:bidi="ar"/>
              </w:rPr>
              <w:t xml:space="preserve">课堂</w:t>
            </w:r>
            <w:bookmarkEnd w:id="183"/>
            <w:r>
              <w:rPr>
                <w:rFonts w:hint="eastAsia" w:ascii="宋体" w:hAnsi="宋体" w:cs="宋体"/>
                <w:b/>
                <w:bCs/>
                <w:szCs w:val="21"/>
                <w:lang w:bidi="ar"/>
              </w:rPr>
              <w:t xml:space="preserve">（含焊接系统升级）</w:t>
            </w:r>
            <w:r/>
          </w:p>
        </w:tc>
        <w:tc>
          <w:tcPr>
            <w:tcBorders>
              <w:top w:val="single" w:color="000000" w:sz="4" w:space="0"/>
              <w:left w:val="single" w:color="000000" w:sz="4" w:space="0"/>
              <w:bottom w:val="single" w:color="000000" w:sz="4" w:space="0"/>
              <w:right w:val="single" w:color="000000" w:sz="4" w:space="0"/>
            </w:tcBorders>
            <w:tcW w:w="5675" w:type="dxa"/>
            <w:vAlign w:val="bottom"/>
            <w:textDirection w:val="lrTb"/>
            <w:noWrap w:val="false"/>
          </w:tcPr>
          <w:p>
            <w:pPr>
              <w:pStyle w:val="836"/>
              <w:ind w:left="420"/>
              <w:widowControl/>
              <w:rPr>
                <w:rStyle w:val="1198"/>
                <w:bCs/>
                <w:color w:val="000000"/>
                <w:sz w:val="21"/>
                <w:szCs w:val="21"/>
                <w:lang w:bidi="ar"/>
              </w:rPr>
            </w:pPr>
            <w:r>
              <w:rPr>
                <w:rStyle w:val="1198"/>
                <w:bCs/>
                <w:color w:val="000000"/>
                <w:sz w:val="21"/>
                <w:szCs w:val="21"/>
                <w:lang w:bidi="ar"/>
              </w:rPr>
              <w:t xml:space="preserve">1.</w:t>
            </w:r>
            <w:r>
              <w:rPr>
                <w:rFonts w:hint="eastAsia" w:ascii="宋体" w:hAnsi="宋体" w:cs="宋体"/>
                <w:szCs w:val="21"/>
              </w:rPr>
              <w:t xml:space="preserve"> </w:t>
            </w:r>
            <w:r>
              <w:rPr>
                <w:rStyle w:val="1198"/>
                <w:bCs/>
                <w:color w:val="000000"/>
                <w:sz w:val="21"/>
                <w:szCs w:val="21"/>
                <w:lang w:bidi="ar"/>
              </w:rPr>
              <w:t xml:space="preserve">船体焊接MR场景课堂</w:t>
            </w:r>
            <w:r/>
          </w:p>
          <w:p>
            <w:pPr>
              <w:pStyle w:val="836"/>
              <w:ind w:firstLine="420"/>
              <w:widowControl/>
              <w:rPr>
                <w:rStyle w:val="1198"/>
                <w:b w:val="0"/>
                <w:color w:val="000000"/>
                <w:sz w:val="21"/>
                <w:szCs w:val="21"/>
                <w:lang w:bidi="ar"/>
              </w:rPr>
            </w:pPr>
            <w:r>
              <w:rPr>
                <w:rFonts w:ascii="宋体" w:hAnsi="宋体" w:cs="宋体"/>
                <w:szCs w:val="21"/>
                <w:lang w:bidi="ar"/>
              </w:rPr>
              <w:t xml:space="preserve">(1)</w:t>
            </w:r>
            <w:r>
              <w:rPr>
                <w:rStyle w:val="1198"/>
                <w:b w:val="0"/>
                <w:color w:val="000000"/>
                <w:sz w:val="21"/>
                <w:szCs w:val="21"/>
                <w:lang w:bidi="ar"/>
              </w:rPr>
              <w:t xml:space="preserve">场景课堂以3D交互形式展开，系统搭载全流程智能引导功能，带领学生通过10个详细的任务流程，包括图纸识读、工艺选择、安全检查、构件定位、坡口处理、点固焊接、正式施焊、变形控制、焊缝检验、返修交付，每个任务之间相互关联、顺序推进，还原船厂真实船体分段组立焊接作业全工序与实操场景。</w:t>
            </w:r>
            <w:r/>
          </w:p>
          <w:p>
            <w:pPr>
              <w:pStyle w:val="836"/>
              <w:ind w:firstLine="420"/>
              <w:widowControl/>
              <w:rPr>
                <w:rStyle w:val="1198"/>
                <w:b w:val="0"/>
                <w:color w:val="000000"/>
                <w:sz w:val="21"/>
                <w:szCs w:val="21"/>
                <w:lang w:bidi="ar"/>
              </w:rPr>
            </w:pPr>
            <w:r>
              <w:rPr>
                <w:rFonts w:ascii="宋体" w:hAnsi="宋体" w:cs="宋体"/>
                <w:szCs w:val="21"/>
                <w:lang w:bidi="ar"/>
              </w:rPr>
              <w:t xml:space="preserve">(2)</w:t>
            </w:r>
            <w:r>
              <w:rPr>
                <w:rStyle w:val="1198"/>
                <w:b w:val="0"/>
                <w:color w:val="000000"/>
                <w:sz w:val="21"/>
                <w:szCs w:val="21"/>
                <w:lang w:bidi="ar"/>
              </w:rPr>
              <w:t xml:space="preserve">图纸识读环节，系统内置船体双层底分段三维结构图、分段组立图、焊缝布置图、焊缝编号明细表、焊接工艺卡、坡口标准图、焊接顺序工艺图、船体焊缝质量验收规范等资料，学生通过了解船体主板、横向肋板、纵向加强筋、补强扁钢、连接肘板等核心构件的结构与装配关系；系统能够高亮显示目标焊缝，学生需要标注焊缝长度、板厚、焊缝类型、焊接位置和质量要求。</w:t>
            </w:r>
            <w:r/>
          </w:p>
          <w:p>
            <w:pPr>
              <w:pStyle w:val="836"/>
              <w:widowControl/>
              <w:rPr>
                <w:rStyle w:val="1198"/>
                <w:bCs/>
                <w:color w:val="000000"/>
                <w:sz w:val="21"/>
                <w:szCs w:val="21"/>
                <w:lang w:bidi="ar"/>
              </w:rPr>
            </w:pPr>
            <w:r>
              <w:rPr>
                <w:rFonts w:hint="eastAsia" w:ascii="宋体" w:hAnsi="宋体" w:cs="宋体"/>
                <w:b/>
                <w:bCs/>
                <w:szCs w:val="21"/>
              </w:rPr>
              <w:t xml:space="preserve">（提供功能演示）</w:t>
            </w:r>
            <w:r>
              <w:rPr>
                <w:rStyle w:val="1198"/>
                <w:bCs/>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(3)</w:t>
            </w:r>
            <w:r>
              <w:rPr>
                <w:rStyle w:val="1198"/>
                <w:b w:val="0"/>
                <w:color w:val="000000"/>
                <w:sz w:val="21"/>
                <w:szCs w:val="21"/>
                <w:lang w:bidi="ar"/>
              </w:rPr>
              <w:t xml:space="preserve">工艺选择环节，系统内置船体结构常用焊接工艺数据库，主要包含母材、板厚、焊缝类型、焊接方法、坡口形式、焊材型号、焊接电流、电压、焊接速度、焊脚尺寸、层道数、预热温度和层间温度等参数，学生通过点击场景中对应的施焊焊缝，选择对应的焊接方法、坡口形式、焊材型号，输入焊接电流、电压、焊接速度、层道数等核心参数。</w:t>
            </w: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(4)</w:t>
            </w:r>
            <w:r>
              <w:rPr>
                <w:rStyle w:val="1198"/>
                <w:b w:val="0"/>
                <w:color w:val="000000"/>
                <w:sz w:val="21"/>
                <w:szCs w:val="21"/>
                <w:lang w:bidi="ar"/>
              </w:rPr>
              <w:t xml:space="preserve">安全检查环节，系统提供焊接防护用品、焊机设备、通风消防设备和危险源识别场景。学生选择佩戴焊接面罩、手套、防护服、防滑绝缘鞋等防护装备检查焊机接地、气瓶固定、焊接电缆、通风设备和灭火器状态，并标记现场易燃物、电缆破损、气瓶未固定、通风不足等危险源。</w:t>
            </w:r>
            <w:r/>
          </w:p>
          <w:p>
            <w:pPr>
              <w:pStyle w:val="836"/>
              <w:ind w:firstLine="420"/>
              <w:widowControl/>
              <w:rPr>
                <w:rStyle w:val="1198"/>
                <w:b w:val="0"/>
                <w:color w:val="000000"/>
                <w:sz w:val="21"/>
                <w:szCs w:val="21"/>
                <w:lang w:bidi="ar"/>
              </w:rPr>
            </w:pPr>
            <w:r>
              <w:rPr>
                <w:rFonts w:ascii="宋体" w:hAnsi="宋体" w:cs="宋体"/>
                <w:szCs w:val="21"/>
                <w:lang w:bidi="ar"/>
              </w:rPr>
              <w:t xml:space="preserve">(5)</w:t>
            </w:r>
            <w:r>
              <w:rPr>
                <w:rStyle w:val="1198"/>
                <w:b w:val="0"/>
                <w:color w:val="000000"/>
                <w:sz w:val="21"/>
                <w:szCs w:val="21"/>
                <w:lang w:bidi="ar"/>
              </w:rPr>
              <w:t xml:space="preserve">构件定位环节，系统内置船体分段基准线、胎架、中心线、肋位线、构件安装线、夹具、压码和定位块等模型；学生拖拽船体底板、横向肋板、纵向加强筋、连接肘板等构件到指定的位置，对齐中心线、肋位线和安装线，通过测量工具测量构件间距、垂直度、水平度和装配间隙，并选择夹具、压码或定位块完成临时固定。</w:t>
            </w:r>
            <w:r/>
          </w:p>
          <w:p>
            <w:pPr>
              <w:pStyle w:val="836"/>
              <w:widowControl/>
              <w:rPr>
                <w:rStyle w:val="1198"/>
                <w:b w:val="0"/>
                <w:color w:val="000000"/>
                <w:sz w:val="21"/>
                <w:szCs w:val="21"/>
                <w:lang w:bidi="ar"/>
              </w:rPr>
            </w:pP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(6)</w:t>
            </w:r>
            <w:r>
              <w:rPr>
                <w:rStyle w:val="1198"/>
                <w:b w:val="0"/>
                <w:color w:val="000000"/>
                <w:sz w:val="21"/>
                <w:szCs w:val="21"/>
                <w:lang w:bidi="ar"/>
              </w:rPr>
              <w:t xml:space="preserve">坡口处理环节，系统内置坡口尺、塞尺、错边检测仪、砂轮、钢丝刷、除尘清理工具。学生点击焊缝边缘区域，输入调整坡口角度、装配间隙、构件错边量、钝边尺寸参数；针对焊缝边缘选择打磨，清洁工具，对焊缝及两侧区域进行打磨、除锈、除油污、除毛刺作业。</w:t>
            </w:r>
            <w:r/>
          </w:p>
          <w:p>
            <w:pPr>
              <w:pStyle w:val="836"/>
              <w:ind w:firstLine="420"/>
              <w:widowControl/>
              <w:rPr>
                <w:rStyle w:val="1198"/>
                <w:b w:val="0"/>
                <w:color w:val="000000"/>
                <w:sz w:val="21"/>
                <w:szCs w:val="21"/>
                <w:lang w:bidi="ar"/>
              </w:rPr>
            </w:pPr>
            <w:r>
              <w:rPr>
                <w:rFonts w:ascii="宋体" w:hAnsi="宋体" w:cs="宋体"/>
                <w:szCs w:val="21"/>
                <w:lang w:bidi="ar"/>
              </w:rPr>
              <w:t xml:space="preserve">(7)</w:t>
            </w:r>
            <w:r>
              <w:rPr>
                <w:rStyle w:val="1198"/>
                <w:b w:val="0"/>
                <w:color w:val="000000"/>
                <w:sz w:val="21"/>
                <w:szCs w:val="21"/>
                <w:lang w:bidi="ar"/>
              </w:rPr>
              <w:t xml:space="preserve">点固焊接环节，系统内置虚拟焊枪、焊接热变形趋势图。学生结合构件受力的特性，选取点固位置，设置点固长度、间距和电流参数。手持焊枪手柄完成起弧、施焊、收弧的操作；观察系统点固后的变形趋势，优化点固布局。</w:t>
            </w:r>
            <w:r/>
          </w:p>
          <w:p>
            <w:pPr>
              <w:pStyle w:val="836"/>
              <w:ind w:firstLine="420"/>
              <w:widowControl/>
              <w:rPr>
                <w:rStyle w:val="1198"/>
                <w:b w:val="0"/>
                <w:color w:val="000000"/>
                <w:sz w:val="21"/>
                <w:szCs w:val="21"/>
                <w:lang w:bidi="ar"/>
              </w:rPr>
            </w:pPr>
            <w:r>
              <w:rPr>
                <w:rFonts w:ascii="宋体" w:hAnsi="宋体" w:cs="宋体"/>
                <w:szCs w:val="21"/>
                <w:lang w:bidi="ar"/>
              </w:rPr>
              <w:t xml:space="preserve">(8)</w:t>
            </w:r>
            <w:r>
              <w:rPr>
                <w:rStyle w:val="1198"/>
                <w:b w:val="0"/>
                <w:color w:val="000000"/>
                <w:sz w:val="21"/>
                <w:szCs w:val="21"/>
                <w:lang w:bidi="ar"/>
              </w:rPr>
              <w:t xml:space="preserve">正式施焊环节，系统内置全息焊缝轨迹、手持仿真焊枪、熔池动态仿真数据。学生选择当前焊接层道，确认电流、电压、焊接速度、焊接方向、焊枪角度和焊接顺序后，手持焊枪手柄沿全息焊缝轨迹手动控制平移、摆动，完成打底焊、填充焊和盖面焊等操作。</w:t>
            </w:r>
            <w:r/>
          </w:p>
          <w:p>
            <w:pPr>
              <w:pStyle w:val="836"/>
              <w:ind w:firstLine="420"/>
              <w:widowControl/>
              <w:rPr>
                <w:rStyle w:val="1198"/>
                <w:b w:val="0"/>
                <w:color w:val="000000"/>
                <w:sz w:val="21"/>
                <w:szCs w:val="21"/>
                <w:lang w:bidi="ar"/>
              </w:rPr>
            </w:pPr>
            <w:r>
              <w:rPr>
                <w:rFonts w:ascii="宋体" w:hAnsi="宋体" w:cs="宋体"/>
                <w:szCs w:val="21"/>
                <w:lang w:bidi="ar"/>
              </w:rPr>
              <w:t xml:space="preserve">(9)</w:t>
            </w:r>
            <w:r>
              <w:rPr>
                <w:rStyle w:val="1198"/>
                <w:b w:val="0"/>
                <w:color w:val="000000"/>
                <w:sz w:val="21"/>
                <w:szCs w:val="21"/>
                <w:lang w:bidi="ar"/>
              </w:rPr>
              <w:t xml:space="preserve">变形控制环节，通过查看焊接变形云图、热影响区计算与变形控制方案；学生查看焊接完成后的变形云图，判断变形位置和变形量；根据变形类型选择优化方案包含对称焊、分段退焊、跳焊、反变形预留、夹具约束等控制方法。</w:t>
            </w:r>
            <w:r/>
          </w:p>
          <w:p>
            <w:pPr>
              <w:pStyle w:val="836"/>
              <w:ind w:firstLine="420"/>
              <w:widowControl/>
              <w:rPr>
                <w:rStyle w:val="1198"/>
                <w:b w:val="0"/>
                <w:color w:val="000000"/>
                <w:sz w:val="21"/>
                <w:szCs w:val="21"/>
                <w:lang w:bidi="ar"/>
              </w:rPr>
            </w:pPr>
            <w:r>
              <w:rPr>
                <w:rFonts w:ascii="宋体" w:hAnsi="宋体" w:cs="宋体"/>
                <w:szCs w:val="21"/>
                <w:lang w:bidi="ar"/>
              </w:rPr>
              <w:t xml:space="preserve">(10)</w:t>
            </w:r>
            <w:r>
              <w:rPr>
                <w:rStyle w:val="1198"/>
                <w:b w:val="0"/>
                <w:color w:val="000000"/>
                <w:sz w:val="21"/>
                <w:szCs w:val="21"/>
                <w:lang w:bidi="ar"/>
              </w:rPr>
              <w:t xml:space="preserve">焊缝检验环节，系统内置焊缝尺、焊脚规、外观检测工具、PT渗透检测、UT超声检测工具。学生使用工具测量焊缝焊脚尺寸、焊缝余高、焊缝宽度；检查咬边、气孔、裂纹、焊瘤、弧坑等表面缺陷；对于对接焊缝，学生使用UT工具观察波形并判断内部缺陷。</w:t>
            </w:r>
            <w:r/>
          </w:p>
          <w:p>
            <w:pPr>
              <w:pStyle w:val="836"/>
              <w:ind w:firstLine="420"/>
              <w:rPr>
                <w:rStyle w:val="1198"/>
                <w:b w:val="0"/>
                <w:color w:val="000000"/>
                <w:sz w:val="21"/>
                <w:szCs w:val="21"/>
                <w:lang w:bidi="ar"/>
              </w:rPr>
            </w:pPr>
            <w:r>
              <w:rPr>
                <w:rFonts w:ascii="宋体" w:hAnsi="宋体" w:cs="宋体"/>
                <w:szCs w:val="21"/>
                <w:lang w:bidi="ar"/>
              </w:rPr>
              <w:t xml:space="preserve">(11)</w:t>
            </w:r>
            <w:r>
              <w:rPr>
                <w:rStyle w:val="1198"/>
                <w:b w:val="0"/>
                <w:color w:val="000000"/>
                <w:sz w:val="21"/>
                <w:szCs w:val="21"/>
                <w:lang w:bidi="ar"/>
              </w:rPr>
              <w:t xml:space="preserve">返修交付环节，系统内置打磨清根工具、补焊施焊、二次复检数据。学生根据缺陷标记点位与缺陷类型，制定针对性返修方案，填写焊缝编号、焊接参数、缺陷类型、返修措施；最终根据学生返修结果判断是否合格。</w:t>
            </w:r>
            <w:r/>
          </w:p>
          <w:p>
            <w:pPr>
              <w:pStyle w:val="836"/>
              <w:ind w:left="420"/>
              <w:rPr>
                <w:rFonts w:ascii="宋体" w:hAnsi="宋体" w:cs="宋体"/>
                <w:b/>
                <w:szCs w:val="21"/>
                <w:lang w:bidi="ar"/>
              </w:rPr>
            </w:pPr>
            <w:r/>
            <w:bookmarkStart w:id="184" w:name="OLE_LINK153"/>
            <w:r>
              <w:rPr>
                <w:rStyle w:val="1198"/>
                <w:bCs/>
                <w:color w:val="000000"/>
                <w:sz w:val="21"/>
                <w:szCs w:val="21"/>
                <w:lang w:bidi="ar"/>
              </w:rPr>
              <w:t xml:space="preserve">2.</w:t>
            </w:r>
            <w:r>
              <w:rPr>
                <w:rFonts w:hint="eastAsia" w:ascii="宋体" w:hAnsi="宋体" w:cs="宋体"/>
                <w:szCs w:val="21"/>
              </w:rPr>
              <w:t xml:space="preserve"> </w:t>
            </w:r>
            <w:r>
              <w:rPr>
                <w:rFonts w:hint="eastAsia" w:ascii="宋体" w:hAnsi="宋体" w:cs="宋体"/>
                <w:b/>
                <w:szCs w:val="21"/>
                <w:lang w:bidi="ar"/>
              </w:rPr>
              <w:t xml:space="preserve">焊接系统升级</w:t>
            </w:r>
            <w:r>
              <w:rPr>
                <w:rFonts w:ascii="宋体" w:hAnsi="宋体" w:cs="宋体"/>
                <w:b/>
                <w:szCs w:val="21"/>
                <w:lang w:bidi="ar"/>
              </w:rPr>
            </w:r>
            <w:r/>
          </w:p>
          <w:p>
            <w:pPr>
              <w:pStyle w:val="836"/>
              <w:numPr>
                <w:ilvl w:val="0"/>
                <w:numId w:val="9"/>
              </w:numPr>
              <w:ind w:left="0" w:firstLine="420"/>
              <w:rPr>
                <w:rFonts w:hint="eastAsia" w:ascii="宋体" w:hAnsi="宋体" w:cs="宋体"/>
                <w:bCs/>
                <w:szCs w:val="21"/>
                <w:lang w:bidi="ar"/>
              </w:rPr>
            </w:pPr>
            <w:r>
              <w:rPr>
                <w:rFonts w:hint="eastAsia" w:ascii="宋体" w:hAnsi="宋体" w:cs="宋体"/>
                <w:bCs/>
                <w:szCs w:val="21"/>
                <w:lang w:bidi="ar"/>
              </w:rPr>
              <w:t xml:space="preserve">在原有虚拟焊接系统中升级机器人焊接功能；</w:t>
            </w:r>
            <w:r/>
          </w:p>
          <w:p>
            <w:pPr>
              <w:pStyle w:val="836"/>
              <w:numPr>
                <w:ilvl w:val="0"/>
                <w:numId w:val="9"/>
              </w:numPr>
              <w:ind w:left="0" w:firstLine="420"/>
              <w:rPr>
                <w:rFonts w:hint="eastAsia" w:ascii="宋体" w:hAnsi="宋体" w:cs="宋体"/>
                <w:szCs w:val="21"/>
              </w:rPr>
            </w:pPr>
            <w:r/>
            <w:bookmarkEnd w:id="184"/>
            <w:r>
              <w:rPr>
                <w:rFonts w:hint="eastAsia" w:ascii="宋体" w:hAnsi="宋体" w:cs="宋体"/>
                <w:szCs w:val="21"/>
              </w:rPr>
              <w:t xml:space="preserve">视觉技术：采用增强现实（AR）视觉技术，焊缝画面逼真度高，接近真实焊缝； 使用增强现实技术来模拟机器人焊接技术。</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操作练习模式：支持学员的自由练习和根据教师设定要求的考核练习；</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支持和展现的焊接材料：碳钢、不锈钢、铝合金等；</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焊接工件的厚度选择支持不少于3种 （3mm、6mm、10mm）；</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要求支持多层多道焊接，提供不少于3层焊缝的练习功能；</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支持和展现的焊接要素，不少于焊接操作中的熔池、焊缝、飞溅、电弧、声效；</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机器人焊接培训可以支持GMAW和FCAW；</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焊材的材料及直径：支持选择；</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实时提示：模拟练习过程中能显示实时提示机器人焊接的工作角、行走角、干伸长度以及设备参数设定是否合理；</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分析评价模块：每次练习支持分析评价，评价内容包括工作角，行走角，干伸长，轨迹吻合度，焊接速度等，支持每项分项评分并带有曲线显示整个过程动态；焊接过程可视频回顾，并支持不同视觉角度观看（不小于180°）；</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支持学员练习的单次和多次综合的报告输出； </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支持通过Modbus, Ethernet/IP等通讯协议和机器人进行通讯连接，进行机器人增强现实焊接训练；</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机器人焊接实时提示：模拟练习过程中能显示实时提示，机器人焊接的工作角、行走角、干伸长能以具体数值显示,以及设备参数设定是否合理, 并可支持机器人从焊接模拟器中调用JOB 号，选择焊接参数。</w:t>
            </w:r>
            <w:r/>
          </w:p>
          <w:p>
            <w:pPr>
              <w:pStyle w:val="836"/>
              <w:numPr>
                <w:ilvl w:val="0"/>
                <w:numId w:val="9"/>
              </w:numPr>
              <w:ind w:left="0" w:firstLine="420"/>
              <w:rPr>
                <w:rFonts w:hint="eastAsia" w:ascii="宋体" w:hAnsi="宋体" w:cs="宋体"/>
                <w:szCs w:val="21"/>
              </w:rPr>
            </w:pPr>
            <w:r>
              <w:rPr>
                <w:rFonts w:hint="eastAsia" w:ascii="宋体" w:hAnsi="宋体" w:cs="宋体"/>
                <w:szCs w:val="21"/>
              </w:rPr>
              <w:t xml:space="preserve">远程维护和升级：支持远程维护和升级；</w:t>
            </w:r>
            <w:r/>
          </w:p>
          <w:p>
            <w:pPr>
              <w:pStyle w:val="836"/>
              <w:numPr>
                <w:ilvl w:val="0"/>
                <w:numId w:val="9"/>
              </w:numPr>
              <w:ind w:left="0" w:firstLine="420"/>
              <w:rPr>
                <w:rStyle w:val="1198"/>
                <w:b w:val="0"/>
                <w:color w:val="000000"/>
                <w:sz w:val="21"/>
                <w:szCs w:val="21"/>
                <w:lang w:bidi="ar"/>
              </w:rPr>
            </w:pPr>
            <w:r>
              <w:rPr>
                <w:rFonts w:hint="eastAsia" w:ascii="宋体" w:hAnsi="宋体" w:cs="宋体"/>
                <w:szCs w:val="21"/>
              </w:rPr>
              <w:t xml:space="preserve">机器人焊接时须使用焊接机器人自带示教器进行编程。</w:t>
            </w:r>
            <w:r>
              <w:rPr>
                <w:rStyle w:val="1198"/>
                <w:b w:val="0"/>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329"/>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0</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船体装配MR场景课堂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firstLine="420"/>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实训全过程以3D交互形式展开，系统搭载全流程智能引导功能，带领学生通过10个详细的任务流程，包括图纸识读、基准确定、胎架布置、板材吊装、骨材定位、间隙调整、临时固定、精度复核、问题处置、装配交付，每个任务之间相互关联、顺序推进，完整还原船厂真实船体双层底分段装配全工序与实操场景。</w:t>
            </w:r>
            <w:r/>
          </w:p>
          <w:p>
            <w:pPr>
              <w:pStyle w:val="836"/>
              <w:ind w:firstLine="420"/>
              <w:rPr>
                <w:rFonts w:hint="eastAsia" w:ascii="宋体" w:hAnsi="宋体" w:cs="宋体"/>
                <w:b/>
                <w:szCs w:val="21"/>
                <w:lang w:bidi="ar"/>
              </w:rPr>
            </w:pPr>
            <w:r>
              <w:rPr>
                <w:rFonts w:ascii="宋体" w:hAnsi="宋体" w:cs="宋体"/>
                <w:bCs/>
                <w:szCs w:val="21"/>
                <w:lang w:bidi="ar"/>
              </w:rPr>
              <w:t xml:space="preserve">(2)</w:t>
            </w:r>
            <w:r>
              <w:rPr>
                <w:rFonts w:hint="eastAsia" w:ascii="宋体" w:hAnsi="宋体" w:cs="宋体"/>
                <w:bCs/>
                <w:szCs w:val="21"/>
                <w:lang w:bidi="ar"/>
              </w:rPr>
              <w:t xml:space="preserve">图纸识读环节，系统内置船体双层底分段三维结构图、分段装配图、装配顺序图、零件清单、构件编号表、胎架布置图、装配精度控制表等资料。学生需要了解双层底分段的基本组成，包括外底板、内底板、纵骨、横向肋板、中桁材、旁桁材、加强筋、补强板、肘板和人孔加强结构等。学生通过点击三维模型，切换查看各类图纸与零件清单，检索构件编号，识别各构件的安装位置、装配方向、连接关系与装配顺序。</w:t>
            </w:r>
            <w:r>
              <w:rPr>
                <w:rFonts w:hint="eastAsia" w:ascii="宋体" w:hAnsi="宋体" w:cs="宋体"/>
                <w:b/>
                <w:szCs w:val="21"/>
                <w:lang w:bidi="ar"/>
              </w:rPr>
              <w:t xml:space="preserve">（提供功能演示）</w:t>
            </w:r>
            <w:r/>
          </w:p>
          <w:p>
            <w:pPr>
              <w:pStyle w:val="836"/>
              <w:ind w:firstLine="420"/>
              <w:rPr>
                <w:rFonts w:hint="eastAsia" w:ascii="宋体" w:hAnsi="宋体" w:cs="宋体"/>
                <w:bCs/>
                <w:szCs w:val="21"/>
                <w:lang w:bidi="ar"/>
              </w:rPr>
            </w:pPr>
            <w:r>
              <w:rPr>
                <w:rFonts w:ascii="宋体" w:hAnsi="宋体" w:cs="宋体"/>
                <w:bCs/>
                <w:szCs w:val="21"/>
                <w:lang w:bidi="ar"/>
              </w:rPr>
              <w:t xml:space="preserve">(3)</w:t>
            </w:r>
            <w:r>
              <w:rPr>
                <w:rFonts w:hint="eastAsia" w:ascii="宋体" w:hAnsi="宋体" w:cs="宋体"/>
                <w:bCs/>
                <w:szCs w:val="21"/>
                <w:lang w:bidi="ar"/>
              </w:rPr>
              <w:t xml:space="preserve">基准确定环节，系统内置船体双层底分段装配基准可视化功能，提供中心线、肋位线、纵向基准线、水线、水平基准面、分段坐标原点和装配控制点。</w:t>
            </w:r>
            <w:r/>
          </w:p>
          <w:p>
            <w:pPr>
              <w:pStyle w:val="836"/>
              <w:ind w:firstLine="420"/>
              <w:rPr>
                <w:rFonts w:hint="eastAsia" w:ascii="宋体" w:hAnsi="宋体" w:cs="宋体"/>
                <w:bCs/>
                <w:szCs w:val="21"/>
                <w:lang w:bidi="ar"/>
              </w:rPr>
            </w:pPr>
            <w:r>
              <w:rPr>
                <w:rFonts w:ascii="宋体" w:hAnsi="宋体" w:cs="宋体"/>
                <w:bCs/>
                <w:szCs w:val="21"/>
                <w:lang w:bidi="ar"/>
              </w:rPr>
              <w:t xml:space="preserve">(4)</w:t>
            </w:r>
            <w:r>
              <w:rPr>
                <w:rFonts w:hint="eastAsia" w:ascii="宋体" w:hAnsi="宋体" w:cs="宋体"/>
                <w:bCs/>
                <w:szCs w:val="21"/>
                <w:lang w:bidi="ar"/>
              </w:rPr>
              <w:t xml:space="preserve">学生通过界面拖动虚板材吊装环节，系统内置吊机、吊钩、吊索、吊梁、吊耳、导向绳和板材姿态控制工具。学生在系统中选择待吊装板材，查看板材参数与推荐吊点，选择合理吊具；通过手柄或鼠标控制板材移动、升降、旋转和落位；输入坐标调整参数使板材边缘与中心线、肋位线和MR轮廓线对齐。</w:t>
            </w:r>
            <w:r/>
          </w:p>
          <w:p>
            <w:pPr>
              <w:pStyle w:val="836"/>
              <w:ind w:firstLine="420"/>
              <w:rPr>
                <w:rFonts w:hint="eastAsia" w:ascii="宋体" w:hAnsi="宋体" w:cs="宋体"/>
                <w:bCs/>
                <w:szCs w:val="21"/>
                <w:lang w:bidi="ar"/>
              </w:rPr>
            </w:pPr>
            <w:r>
              <w:rPr>
                <w:rFonts w:ascii="宋体" w:hAnsi="宋体" w:cs="宋体"/>
                <w:bCs/>
                <w:szCs w:val="21"/>
                <w:lang w:bidi="ar"/>
              </w:rPr>
              <w:t xml:space="preserve">(5)</w:t>
            </w:r>
            <w:r>
              <w:rPr>
                <w:rFonts w:hint="eastAsia" w:ascii="宋体" w:hAnsi="宋体" w:cs="宋体"/>
                <w:bCs/>
                <w:szCs w:val="21"/>
                <w:lang w:bidi="ar"/>
              </w:rPr>
              <w:t xml:space="preserve">骨材定位环节，系统内置纵骨、横向肋板、实肋板、中桁材、旁桁材、加强筋、补强板、连接肘板等双层底典型骨材构件模型。学生从零件库选取对应骨材构件，拖拽至基准高亮位置，调整构件方向、角度、间距及高度，完成吸附定位。</w:t>
            </w:r>
            <w:r/>
          </w:p>
          <w:p>
            <w:pPr>
              <w:pStyle w:val="836"/>
              <w:ind w:firstLine="420"/>
              <w:rPr>
                <w:rFonts w:hint="eastAsia" w:ascii="宋体" w:hAnsi="宋体" w:cs="宋体"/>
                <w:bCs/>
                <w:szCs w:val="21"/>
                <w:lang w:bidi="ar"/>
              </w:rPr>
            </w:pPr>
            <w:r>
              <w:rPr>
                <w:rFonts w:ascii="宋体" w:hAnsi="宋体" w:cs="宋体"/>
                <w:bCs/>
                <w:szCs w:val="21"/>
                <w:lang w:bidi="ar"/>
              </w:rPr>
              <w:t xml:space="preserve">(6)</w:t>
            </w:r>
            <w:r>
              <w:rPr>
                <w:rFonts w:hint="eastAsia" w:ascii="宋体" w:hAnsi="宋体" w:cs="宋体"/>
                <w:bCs/>
                <w:szCs w:val="21"/>
                <w:lang w:bidi="ar"/>
              </w:rPr>
              <w:t xml:space="preserve">间隙调整环节，系统内置塞尺、错边检测仪、角尺、水平尺、垂直度检测仪、激光测距工具和装配工具；学生需要点击板材拼接处、肋板底部、纵骨端部、桁材交接节点、内底板支撑面关键位置，测量板缝间隙、错边量、构件垂直度、骨材贴合间隙、孔位偏差和节点角度。针对超差问题，通过拖动、手柄微调和输入调整量，对构件进行位移、旋转、压紧校正，对比调整前后偏差</w:t>
            </w:r>
            <w:r/>
          </w:p>
          <w:p>
            <w:pPr>
              <w:pStyle w:val="836"/>
              <w:ind w:firstLine="420"/>
              <w:rPr>
                <w:rFonts w:hint="eastAsia" w:ascii="宋体" w:hAnsi="宋体" w:cs="宋体"/>
                <w:b/>
                <w:szCs w:val="21"/>
                <w:lang w:bidi="ar"/>
              </w:rPr>
            </w:pPr>
            <w:r>
              <w:rPr>
                <w:rFonts w:ascii="宋体" w:hAnsi="宋体" w:cs="宋体"/>
                <w:bCs/>
                <w:szCs w:val="21"/>
                <w:lang w:bidi="ar"/>
              </w:rPr>
              <w:t xml:space="preserve">(7)</w:t>
            </w:r>
            <w:r>
              <w:rPr>
                <w:rFonts w:hint="eastAsia" w:ascii="宋体" w:hAnsi="宋体" w:cs="宋体"/>
                <w:bCs/>
                <w:szCs w:val="21"/>
                <w:lang w:bidi="ar"/>
              </w:rPr>
              <w:t xml:space="preserve">临时固定环节，系统内置压码、夹具、支撑杆、定位块、拉码、临时马板、点固位置标记等固定工具。学生在关键装配节点、板材边缘、构件交接处选择适配的固定工具；在表单中设置固定点的、固定间距、夹具数量、支撑方向、点固位置和点固长度。</w:t>
            </w:r>
            <w:bookmarkStart w:id="185" w:name="OLE_LINK49"/>
            <w:r>
              <w:rPr>
                <w:rFonts w:hint="eastAsia" w:ascii="宋体" w:hAnsi="宋体" w:cs="宋体"/>
                <w:b/>
                <w:szCs w:val="21"/>
                <w:lang w:bidi="ar"/>
              </w:rPr>
            </w:r>
            <w:r/>
          </w:p>
          <w:p>
            <w:pPr>
              <w:pStyle w:val="836"/>
              <w:ind w:firstLine="420"/>
              <w:rPr>
                <w:rFonts w:hint="eastAsia" w:ascii="宋体" w:hAnsi="宋体" w:cs="宋体"/>
                <w:bCs/>
                <w:szCs w:val="21"/>
                <w:lang w:bidi="ar"/>
              </w:rPr>
            </w:pPr>
            <w:r/>
            <w:bookmarkEnd w:id="185"/>
            <w:r>
              <w:rPr>
                <w:rFonts w:ascii="宋体" w:hAnsi="宋体" w:cs="宋体"/>
                <w:bCs/>
                <w:szCs w:val="21"/>
                <w:lang w:bidi="ar"/>
              </w:rPr>
              <w:t xml:space="preserve">(8)</w:t>
            </w:r>
            <w:r>
              <w:rPr>
                <w:rFonts w:hint="eastAsia" w:ascii="宋体" w:hAnsi="宋体" w:cs="宋体"/>
                <w:bCs/>
                <w:szCs w:val="21"/>
                <w:lang w:bidi="ar"/>
              </w:rPr>
              <w:t xml:space="preserve">精度复核环节，系统内置全站仪、激光扫描仪、虚拟卷尺、水平仪、三维测点采集工具和装配偏差云图。学生选用对应检测工具，按规范顺序采集各关键部位测点数据；结合系统数据表、偏差云图，核对尺寸、精度指标，判定各装配部位是否存在超差问题。</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rPr>
                <w:rFonts w:hint="eastAsia" w:ascii="宋体" w:hAnsi="宋体" w:cs="宋体"/>
                <w:bCs/>
                <w:szCs w:val="21"/>
                <w:lang w:bidi="ar"/>
              </w:rPr>
            </w:pPr>
            <w:r>
              <w:rPr>
                <w:rFonts w:ascii="宋体" w:hAnsi="宋体" w:cs="宋体"/>
                <w:bCs/>
                <w:szCs w:val="21"/>
                <w:lang w:bidi="ar"/>
              </w:rPr>
              <w:t xml:space="preserve">(9)</w:t>
            </w:r>
            <w:r>
              <w:rPr>
                <w:rFonts w:hint="eastAsia" w:ascii="宋体" w:hAnsi="宋体" w:cs="宋体"/>
                <w:bCs/>
                <w:szCs w:val="21"/>
                <w:lang w:bidi="ar"/>
              </w:rPr>
              <w:t xml:space="preserve">问题处置环节，系统提供装配缺陷高亮提示、偏差原因分析和整改方案选择功能。学生需要了解船体双层底装配中常见问题，在模型高亮问题区域，学生点后查看偏差数据和可能原因，并在表单中选择重新定位、调整胎架高度、增加支撑、压紧校正、拆除重装、切割修整、更换构件、调整装配顺序等整改方案。</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rPr>
                <w:rFonts w:hint="eastAsia" w:ascii="宋体" w:hAnsi="宋体" w:cs="宋体"/>
                <w:b/>
                <w:szCs w:val="21"/>
                <w:lang w:bidi="ar"/>
              </w:rPr>
            </w:pPr>
            <w:r>
              <w:rPr>
                <w:rFonts w:ascii="宋体" w:hAnsi="宋体" w:cs="宋体"/>
                <w:bCs/>
                <w:szCs w:val="21"/>
                <w:lang w:bidi="ar"/>
              </w:rPr>
              <w:t xml:space="preserve">(10)</w:t>
            </w:r>
            <w:r>
              <w:rPr>
                <w:rFonts w:hint="eastAsia" w:ascii="宋体" w:hAnsi="宋体" w:cs="宋体"/>
                <w:bCs/>
                <w:szCs w:val="21"/>
                <w:lang w:bidi="ar"/>
              </w:rPr>
              <w:t xml:space="preserve">装配交付环节，系统提供双层底分段装配记录表、构件安装确认表、检测数据表等。学生需要对整体装配状态进行复核，确认底板、内底板、纵骨、肋板、桁材、补强板和肘板等构件安装齐全，装配基准正确，胎架支撑稳定，间隙和错边量满足焊前要求，临时固定状态可靠，精度复核，根据复核结果纠正修改。</w:t>
            </w:r>
            <w:r>
              <w:rPr>
                <w:rFonts w:hint="eastAsia" w:ascii="宋体" w:hAnsi="宋体" w:cs="宋体"/>
                <w:b/>
                <w:szCs w:val="21"/>
                <w:lang w:bidi="ar"/>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1</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船舶管系安装与检验MR场景课堂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0"/>
              </w:numPr>
              <w:ind w:left="0" w:firstLine="420"/>
              <w:rPr>
                <w:rFonts w:hint="eastAsia" w:ascii="宋体" w:hAnsi="宋体" w:cs="宋体"/>
                <w:szCs w:val="21"/>
                <w:lang w:bidi="ar"/>
              </w:rPr>
            </w:pPr>
            <w:r>
              <w:rPr>
                <w:rStyle w:val="1198"/>
                <w:b w:val="0"/>
                <w:bCs/>
                <w:color w:val="000000"/>
                <w:sz w:val="21"/>
                <w:szCs w:val="21"/>
                <w:lang w:bidi="ar"/>
              </w:rPr>
              <w:t xml:space="preserve">场景</w:t>
            </w:r>
            <w:r>
              <w:rPr>
                <w:rFonts w:hint="eastAsia" w:ascii="宋体" w:hAnsi="宋体" w:cs="宋体"/>
                <w:szCs w:val="21"/>
                <w:lang w:bidi="ar"/>
              </w:rPr>
              <w:t xml:space="preserve">课堂以3D交互形式展开，系统搭载全流程智能引导功能，带领学生通过10个详细的任务流程，包括图纸识读、路径规划、管件核对、支架定位、管段预装、阀件安装、间隙检查、压力试验、缺陷整改、验收交付，每个任务之间相互关联、顺序推进，完整还原船厂真实机舱舱底水管系（作为典型案例）从安装准备到试压验收检验实操场景。</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机舱舱底水管系原理图、机舱管路布置图、管段安装图、管件材料清单、阀件明细表、支架布置图、设备接口图、管路试压工艺卡等资料。学生查看各构件规格参数、安装标准及接口尺寸，识别管路起点、终点、设备对接端口与固定点位；结合图纸明确管路走向规范、安装高度标准、阀件安装朝向要求，最终设计出舱底水管系分步安装顺序。</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路径规划环节，系统内置机舱结构三维模型、舱底水标准管路走向模板、标高参照标尺、转弯半径校核、空间干涉检测与布局优化工具。学生以舱底水泵体接口、集水井出水口为基准起点，规划管路整体走向，设置高度及转弯点位；利用系统空间干涉检测工具扫描管路布设区域，排查管路与周边船体结构、设备、线缆的碰撞干涉问题作出修改。</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管件核对环节，系统内置舱底水管、弯管、阀件、法兰、垫片、螺栓紧固件的规格参数库、物料清单。学生需要核对现场管件、阀件、紧固件的规格、型号与数量，对比图纸标准参数，标记缺失、错误、不匹配的物料。</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支架定位环节，系统内置固定支架、滑动支架、防震托架等机舱专用管支架模型。学生根据图纸选取对应支架型号，拖拽至指定位置，调整支架安装高度、间距与水平度，检查支架受力状态。</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管段预装环节，系统内置管路三维坐标调整、角度校准、管口对位吸附、水平垂直度检测、预装偏差实时显示工具。学生按顺序拖拽各段管路就位，调整管路X、Y、Z坐标与旋转角度，核验管路坡度与管口同轴度。</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阀件安装环节，系统内置舱底水截止阀、止回阀、排污阀、压力表、法兰垫片、紧固螺栓模型。学生选择匹配阀件与密封配件拖拽到对应位置，核对阀件安装的方向，完成法兰精准对位贴合。</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间隙检查环节，系统内置激光测距工具、管路安全间距标准库。学生逐点测量管路周边水平与垂直间距，对照规范判断间隙是否达标，针对超标的位置，做出合理的修正。</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压力试验环节，系统内置试压介质选型、标准试压参数库、压力曲线监测、保压计时、泄漏点高亮与压力数据。学生选择适配试压介质，设置试验压力与保压参数，监测压力变化，识别管路、法兰、阀件的泄漏与压力是否有异常。</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缺陷整改环节，系统内置缺陷高亮提示、整改工艺方案、整改前后参数对比数据。学生查看系统缺陷数据与问题原因，选取对应整改方案，完成垫片更换、螺栓复紧、构件重装、管路整改操作。</w:t>
            </w:r>
            <w:r/>
          </w:p>
          <w:p>
            <w:pPr>
              <w:pStyle w:val="836"/>
              <w:numPr>
                <w:ilvl w:val="0"/>
                <w:numId w:val="10"/>
              </w:numPr>
              <w:ind w:left="0" w:firstLine="420"/>
              <w:rPr>
                <w:rFonts w:hint="eastAsia" w:ascii="宋体" w:hAnsi="宋体" w:cs="宋体"/>
                <w:szCs w:val="21"/>
                <w:lang w:bidi="ar"/>
              </w:rPr>
            </w:pPr>
            <w:r>
              <w:rPr>
                <w:rFonts w:hint="eastAsia" w:ascii="宋体" w:hAnsi="宋体" w:cs="宋体"/>
                <w:szCs w:val="21"/>
                <w:lang w:bidi="ar"/>
              </w:rPr>
              <w:t xml:space="preserve">验收交付环节，系统内置管系安装验收标准、试压数据表、施工记录。学生核对管路安装、支架布设、试压精度与整改状态，修正安装精度、间隙参数。</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2</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船体精度检验MR场景课堂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图纸识读、基准建立、仪器布设、测点采集、尺寸测量、形位检测、偏差分析、修正方案、复测确认、报告提交，每个任务之间相互关联、顺序推进，完整还原船厂真实船体双层底分段精度检验全工序与实操场景。</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双层底分段结构图、精度控制图、检验工艺卡、允许偏差表、焊后变形示意图等资料；学生查看各类图纸资料，检索分段、测点、基准点编号及偏差标准，结合系统高亮区域，明确检测范围、测量顺序与重点检验部位。</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基准建立环节，系统内置基准线可视化、三维坐标系建立、肋位线校准、水线校准、水平基准面布设、基准点配准。学生选择船体特征基准点搭建三维测量坐标系，填写分段尺寸、肋距、基准高度、允许偏差参数。</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仪器布设环节，系统内置全站仪、三维激光扫描仪、靶球、反射片、水平仪等测量设备模型；学生根据检验工艺要求，在场景中合理布置测量仪器站位，放置辅助测量配件，完成仪器整平、校准与试测，排查测量盲区，调整仪器位置保证全覆盖检测。</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测点采集环节，系统内置标注检验工艺关键点位，提供三维坐标模拟；学生按要求点击各类控制点完成数据的采集。系统内置关键测点标注、测点编号、三维坐标采集、漏测提醒；学生按照系统提示，依次采集分段控制点、板边点、骨材端点、桁材节点、合拢口及变形区域关键测点，核对测点编号与坐标数据，排查异常测点。</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尺寸测量环节，系统内置多点连线测距道具；系统内置连线测距道具；学生选取对应测点组合完成各类尺寸测量，核对系统生成的实测数据，对比理论尺寸与偏差标准，识别修正错误测量方式。</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形位检测环节，系统内置虚拟水平仪、铅垂线、激光平面、轮廓检测工具以及变形偏差云图数据。学生选择对应检测工具，依次检测底板平面度、肋板与桁材垂直度、纵骨直线度、合拢口平行度及局部变形量，根据偏差云图标记超差与异常变形区域。</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偏差分析环节，系统内置模型与实测点云叠加对比、超差区域数据；学生通过查看数据偏差数值与方向，分析偏差产生原因，选择标注异常点位信息。系统内置模型与实测点云叠加对比、偏差云图、超差清单、偏差方向标注、偏差成因提示。学生通过模型叠加对比，识别各类超差变形问题，查看精准偏差数据，结合施工特性分析装配误差、焊接收缩、基准误差等偏差来源，完成偏差判定与溯源。</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修正方案环节，系统内置火工矫正、机械校正、千斤顶调整、切割修边、加垫调整、胎架调平、局部拆改等全套精度修正工艺仿真工具。学生根据偏差类型与变形状态，选用适配的修正方案，设置合理修正参数与修正量。</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复测确认环节，系统内置修正前后数据对比、超差点复测清单、关键控制点复核、残余偏差检测数据。学生针对原超差区域、关键控制点重新采集测点、测量尺寸与形位精度，对比修正前后数据，判断项目是否达标，确定是否需要二次修正。</w:t>
            </w:r>
            <w:r/>
          </w:p>
          <w:p>
            <w:pPr>
              <w:pStyle w:val="836"/>
              <w:numPr>
                <w:ilvl w:val="0"/>
                <w:numId w:val="11"/>
              </w:numPr>
              <w:ind w:left="0" w:firstLine="420"/>
              <w:rPr>
                <w:rFonts w:hint="eastAsia" w:ascii="宋体" w:hAnsi="宋体" w:cs="宋体"/>
                <w:szCs w:val="21"/>
                <w:lang w:bidi="ar"/>
              </w:rPr>
            </w:pPr>
            <w:r>
              <w:rPr>
                <w:rFonts w:hint="eastAsia" w:ascii="宋体" w:hAnsi="宋体" w:cs="宋体"/>
                <w:szCs w:val="21"/>
                <w:lang w:bidi="ar"/>
              </w:rPr>
              <w:t xml:space="preserve">报告提交环节，系统内置测量数据汇总表、偏差云图、超差清单、复测对比图表。学生汇总全流程检测、偏差分析、修正、复测数据，完成检验记录与结论填写。</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3</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船舶轴系安装与校中MR场景课堂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图纸识读、基准建立、部件核对、轴承布置、轴段吊装、初步校正、联轴校中、负荷检查、试转检查、验收提交，每个任务之间相互关联、顺序推进，完整还原船厂真实机舱主机输出端到中间轴再到尾轴管前端轴承的轴系安装与联轴器校中实操场景。</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图纸识读环节，系统内置轴系总布置图、轴线图、设备基础图、主机输出端接口图、中间轴与轴承安装图、联轴器安装图、校中工艺卡、轴承负荷允许值表等资料。学生在查看全套施工图纸，识别设备安装位置、艏/艉方向、装配关系与校中技术要求，明确实训施工范围。</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基准建立环节，系统内置理论轴线布设、中心线可视化、艏/艉方向校准、高度基准配准、轴承中心基准点定位、空间坐标搭建及基准偏差检测。学生选择主机输出端、尾轴管前端、中间轴承等核心基准点，搭建轴系三维基准轴线；输入轴线高度、中心距、坐标参数与允许偏差。</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部件核对环节，系统内置全套轴系物料数据库，包含轴段、联轴器、轴承、轴承座、调整垫片、螺栓、密封件及百分表、激光对中仪等工具；学生核对各零部件的尺寸、规格、型号、数量及适配关系，识别垫片、轴承、联轴器、螺栓等常见物料存在的问题。</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轴承布置环节，系统内置中间轴承、尾轴管前端轴承、轴承座、调整垫块、临时支撑模型。学生对照图纸拖拽轴承座至对应位置，调整轴承前后、左右、高度位置，输入垫片厚度、支撑间距等参数。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轴段吊装环节，系统内置轴段吊具、碰撞检测以及吊装状态监测功能。学生选取适配吊点与吊具，通过手柄控制轴段升降、移动与旋转，规划无碰撞吊装路径，完成中间轴穿轴与初步位置；设置临时支撑固定轴段。</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初步校正环节，系统内置水平仪、高精度测距工具、联轴器端面间隙检测、轴中心偏差检测；学生测量轴中心高低、左右偏差、轴段水平度及联轴器端面间隙，调整垫片厚度、轴承位置、临时支撑高度修正偏差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联轴校中环节，系统内置百分表、磁力表座、激光对中仪、四方位旋转采点道具；学生安装对中测量设备，旋转联轴器采集0°、90°、180°、270°四方位数据，查看系统偏差分析结果；根据偏差方向调整轴承垫片、支座位置。</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负荷检查环节，系统内置轴系挠度曲线模拟、轴承反力数据；学生查看轴承负荷与轴线挠度数据，判定各支承负荷是否在规范区间；针对负荷失衡问题，调整轴承高度与垫片参数。</w:t>
            </w:r>
            <w:r/>
          </w:p>
          <w:p>
            <w:pPr>
              <w:pStyle w:val="836"/>
              <w:numPr>
                <w:ilvl w:val="0"/>
                <w:numId w:val="12"/>
              </w:numPr>
              <w:ind w:left="0" w:firstLine="420"/>
              <w:rPr>
                <w:rFonts w:hint="eastAsia" w:ascii="宋体" w:hAnsi="宋体" w:cs="宋体"/>
                <w:szCs w:val="21"/>
                <w:lang w:bidi="ar"/>
              </w:rPr>
            </w:pPr>
            <w:r>
              <w:rPr>
                <w:rFonts w:hint="eastAsia" w:ascii="宋体" w:hAnsi="宋体" w:cs="宋体"/>
                <w:szCs w:val="21"/>
                <w:lang w:bidi="ar"/>
              </w:rPr>
              <w:t xml:space="preserve">试转检查环节，系统内置虚拟盘车工具、低速试转模拟、轴端跳动检测、振动曲线监测、轴承温升监控数据；学生完成盘车与低速试转操作，观察轴系运转状态、跳动量、振动与温升数据；识别各类异常报警问题，标记故障位置，判断是否需要返工调整。</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4</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船舶系泊试验MR场景课堂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场景课堂以3D交互形式展开，系统搭载全流程智能引导功能，带领学生通过10个详细的任务流程，包括试验准备、动力检查、电站试验、主机试车、舵机试验、锚机试验、管路试验、报警联调、故障处置、试验报告，每个任务之间相互关联、顺序推进，完整还原船舶靠泊状态下机舱动力、电气、操舵、锚泊、管路及报警系统综合联调的系泊试验实操场景。</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试验准备环节，系统内置系泊试验大纲、设备清单、试验流程、安全检查表、人员分工及试验记录资料。学生查看试验项目与施工范围，核对机舱集控台、主机、电站、舵机、锚机等试验设备，确认船舶信息、设备隔离状态、通讯条件及应急停机条件。</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动力检查环节，系统内置主机、辅机、发电机组、油、水、气、电等数据资料；学生核查滑油、冷却水、燃油、压缩空气、电源及阀门开闭状态，识别压力不足、液位偏低、阀门未开、报警未复位等问题。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电站试验环节，系统内置发电机组、主配电板、并车装置、负载开关、应急电源模型，电气参数实时曲线监测功能。学生完成发电机启动、单机运行、参数校核、同期并车、分级加载、负载切换及应急电源切换操作，监测电气参数变化，排查并车失误、电压频率超限、供电异常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主机试车环节，系统内置主机盘车、预润滑、启动控制、正倒车操控面板，集成转速、油压、水温、排温、振动监测数据。学生依次完成盘车、预润滑、开机工况确认，启动主机完成低速正倒车运行，记录运行参数，识别油压、水温、振动、启动、换向异常，及时采取降速、停机、系统检查等处置措施。</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舵机试验环节，系统内置舵机液压系统、操舵控制、舵角指示、主备泵切换、应急操舵及驾驶台舵角反馈监测工具。学生操作多档位舵角指令，完成左右转舵、回舵测试，核查转舵时间、舵角精度、液压压力；切换主备泵及应急操舵，核对两端信号反馈。</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锚机试验环节，系统内置锚机、绞缆机、液压站、制动器、离合器、限位保护、急停控制及链速、制动力监测功能。学生按顺序操作离合器、制动器、起抛锚、收放缆及急停按钮，监测链速、液压压力、制动效果与限位报警，排查操作顺序错误、制动失效、超限运行等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管路试验环节，系统内置舱底水、压载水、消防水、冷却水、燃油管路系统仿真，具备泵阀操控、压力流量监测、液位采集、泄漏与堵塞检测功能。学生对各管路系统完成启泵、控阀、支路切换、停泵复位操作，采集压力、流量、液位数据，判断管路运行状态，处理压力不足、泄漏、堵塞等异常问题。</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报警联调环节，系统内置全船设备故障模拟、声光报警、集控台与驾驶台联动显示、报警等级判定、消音复位及报警记录功能。学生模拟各类设备故障，核对双站点报警联动效果，正确判定报警等级，按流程完成消音、原因核查、设备联动检查、复位与数据记录。</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故障处置环节，系统内置不同类型的泊试验典型故障场景、参数异常曲线、故障高亮溯源、分级应急处置方案与复验核验功能。学生识别各类设备运行故障与报警异常，匹配对应处置方案，完成停机、换备、隔离、检修复位等操作，复测验证故障闭环效果。</w:t>
            </w:r>
            <w:r/>
          </w:p>
          <w:p>
            <w:pPr>
              <w:pStyle w:val="836"/>
              <w:numPr>
                <w:ilvl w:val="0"/>
                <w:numId w:val="13"/>
              </w:numPr>
              <w:ind w:left="0" w:firstLine="420"/>
              <w:rPr>
                <w:rFonts w:hint="eastAsia" w:ascii="宋体" w:hAnsi="宋体" w:cs="宋体"/>
                <w:szCs w:val="21"/>
                <w:lang w:bidi="ar"/>
              </w:rPr>
            </w:pPr>
            <w:r>
              <w:rPr>
                <w:rFonts w:hint="eastAsia" w:ascii="宋体" w:hAnsi="宋体" w:cs="宋体"/>
                <w:szCs w:val="21"/>
                <w:lang w:bidi="ar"/>
              </w:rPr>
              <w:t xml:space="preserve">试验报告环节，系统内置试验数据汇总、运行曲线；学生汇总试验数据、设备运行状态、报警记录、故障整改与复验结果，完善验收结论。</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5</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船体总段合拢MR场景课堂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场景课堂以3D交互形式展开，系统搭载全流程智能引导功能，带领学生通过10个详细的任务流程，包括图纸识读、基准复核、吊装准备、总段就位、合拢调整、临时固定、精度复测、偏差处置、焊前确认、合拢交付，每个任务之间相互关联、顺序推进，完整还原船厂真实中部双层底总段与相邻底部分段合拢定位实操场景。</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图纸识读环节，系统内置总段布置图、合拢工艺图、精度控制图、吊装方案、合拢口检测标准、总段重心参数表、临时支撑布置图、焊前工艺卡。学生查看全套合拢图纸资料，检索总段、合拢口、吊点、基准点，识别固定分段、待合拢总段、中心线、水线、肋位线及合拢端面位置，明确施工范围与技术要求。</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基准复核环节，系统内置船台基准、中心线、水线、肋位线、端面基准可视化校核工具；学生复核船台及分段中心线、水线高度、肋位控制点、端面基准坐标，输入分段尺寸与允许偏差参数，排查基准超差问题并确认基准合格。</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吊装准备环节，系统内置虚拟吊机、吊梁、吊索、吊钩、吊耳模型；学生选择吊具组合，核对总段重量、重心与吊点受力参数，规划无碰撞吊装路径，清空安全作业区域，排查吊点不均、路径干涉、姿态不稳等吊装风险。</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总段就位环节，系统内置吊机姿态操控、总段六向位移微调、角度旋转、落位偏差实时显示、临时支撑布设与姿态稳定性监测功能。学生操控吊机完成总段升降、平移、旋转微调，控制总段姿态与倾角，逐步靠近理论合拢位置；布设临时支撑结构，完成总段初步落位与姿态固定。</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6.合拢调整环节，系统内置MR高精度测距、错边检测、虚拟千斤顶、顶升横移微调工具，内置偏差云图数据。学生多点位检测合拢口关键偏差数据，根据系统偏差提示与调整指引，采用顶升、横移、纵移、微旋转、加垫微调等方式优化合拢状态。</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临时固定环节，系统内置支撑杆、拉码、压码、马板、定位块、临时连接板等固定工装；学生在合拢口关键节点、端面、底部、侧向位置合理布置各类固定工装，设置固定间距与点固参数，排查固定不足、固定偏心、遮挡焊缝等问题。</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精度复测环节，系统内置全站仪、激光扫描仪、虚拟卷尺、水平仪、多点位测点采集工具；学生采集合拢口、中心线、水线、肋位、端面关键测点数据，核对分段总长、间距、间隙、错边、平面度、平行度等参数，判定整体合拢精度是否达标。</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偏差处置环节，系统内置超差区域高亮、偏差成因分析，提供顶升微调、横纵移修正、旋转校正、加垫补偿、局部修边、重新固定等整改工艺方案。学生识别中心线、水线、肋位、错边、端面不平等各类超差问题，选用对应整改方案修正偏差，整改完成后局部复测，确认偏差回落至允许范围。</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焊前确认环节，系统内置坡口尺、塞尺、错边检测仪、焊缝清理工具；学生检测坡口、间隙、错边等焊前参数，清理焊缝区域杂质，核对预热参数、焊接顺序、安全条件与临时固定状态。</w:t>
            </w:r>
            <w:r/>
          </w:p>
          <w:p>
            <w:pPr>
              <w:pStyle w:val="836"/>
              <w:numPr>
                <w:ilvl w:val="0"/>
                <w:numId w:val="14"/>
              </w:numPr>
              <w:ind w:left="0" w:firstLine="420"/>
              <w:rPr>
                <w:rFonts w:hint="eastAsia" w:ascii="宋体" w:hAnsi="宋体" w:cs="宋体"/>
                <w:szCs w:val="21"/>
              </w:rPr>
            </w:pPr>
            <w:r>
              <w:rPr>
                <w:rFonts w:hint="eastAsia" w:ascii="宋体" w:hAnsi="宋体" w:cs="宋体"/>
                <w:szCs w:val="21"/>
              </w:rPr>
              <w:t xml:space="preserve">合拢交付环节，系统内置合拢全流程数据、整复测数据、偏差整改数据；学生全面复核合拢全过程施工质量，完善各项试验数据、整改记录。</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6</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船舶下水作业MR场景课堂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场景课堂以3D交互形式展开，系统搭载全流程智能引导功能，带领学生通过10个详细的任务流程，包括下水方式分类、下水方案识读（以船台下水为例，下同）、船体检查、船台复核、重心校核、润滑布置、支墩拆除、牵引释放、下水监控、报告提交，每个任务之间相互关联、顺序推进，完整还原船厂船台滑道式船舶下水、状态校核、滑行监控、入水系泊的全流程安全作业实操场景。</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下水方式分类环节，介绍滑道纵向下水、滑道横向下水、船坞式下水、气囊下水、吊装下水等典型方式的基本原理、适用条件及技术要点。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下水方案识读环节，系统内置船台滑道下水方案、船台与滑道布置图、重量重心参数表、作业流程、安全检查表、人员分工、应急预案及下水记录模板。学生查阅下水工艺与安全资料，识别船体、船台、滑道、牵引装置、止滑设备、水域及警戒区域，明确下水作业范围、施工顺序与核心控制要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船体检查环节，系统内置船体开口、舱口、海底阀、通海阀、舵桨设备、轴系、吃水标识、防护装置三维模型，学生检查船体各类开口、阀门、舱盖、舵桨及防护装置状态，排查未封堵、未锁紧、防护缺失等隐患，标记异常问题并完成整改。</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船台复核环节，系统内置中心线校核、坡度检测、间距测距、障碍物排查、支墩楔块状态检测、止滑装置核验、安全区域标定等测量与检查工具。学生校核船台、船体、滑道三线对中状态，测量滑道坡度、支墩间距，检查止滑装置可靠性，清理下水通道障碍物，确认安全警戒区域布设完整。</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重心校核环节，系统内置船舶重量重心计算数据、压载状态校核、支承反力仿真、浮力曲线、纵倾横倾预测、初浮姿态模拟。学生核对船舶下水重量、三维重心与压载工况，查看支反力、浮力及姿态仿真数据，识别重心偏移、受力异常、浮态不良等风险，确认下水工况合规。</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润滑布置环节，系统内置滑道润滑材料、分区涂敷工具、润滑厚度检测、摩擦系数计算、滑行阻力校核、关键承压区域标注功能。学生选择适配润滑材料，对滑道艏、中、艉承压区域分区均匀涂敷，核对润滑厚度与覆盖范围，校核摩擦阻力，排除润滑不达标风险。</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支墩拆除环节，系统内置支墩楔块拆除顺序引导、船体支反力实时热力图、左右受力平衡监测、局部下沉预警与异常暂停功能。学生按照规范顺序逐步拆除支墩与楔块，实时观察船体受力平衡状态，遇到受力超限、姿态异常及时暂停处置。</w:t>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牵引释放环节，系统内置牵引绞车、制动器、止滑装置、下水控制台、口令确认、速度参数设置、释放顺序控制与启动模拟功能。学生确认警戒状态、制动状态、止滑装置与绞车工况，核对牵引参数与启动口令，确认所有安全条件满足后，执行下水启动操作。</w:t>
            </w:r>
            <w:r/>
          </w:p>
          <w:p>
            <w:pPr>
              <w:pStyle w:val="836"/>
              <w:numPr>
                <w:ilvl w:val="0"/>
                <w:numId w:val="15"/>
              </w:numPr>
              <w:ind w:left="0" w:firstLine="420"/>
              <w:rPr>
                <w:rFonts w:ascii="宋体" w:hAnsi="宋体" w:cs="宋体"/>
                <w:szCs w:val="21"/>
              </w:rPr>
            </w:pPr>
            <w:r>
              <w:rPr>
                <w:rFonts w:hint="eastAsia" w:ascii="宋体" w:hAnsi="宋体" w:cs="宋体"/>
                <w:szCs w:val="21"/>
              </w:rPr>
              <w:t xml:space="preserve">下水监控环节，系统内置滑行速度、纵倾横倾、吃水浮力、滑道反力实时曲线；学生全程监控船体滑行、入水、浮起全过程参数，记录关键数据，识别各类异常报警，针对风险问题及时采取对应应急管控措施。</w:t>
            </w:r>
            <w:r>
              <w:rPr>
                <w:rFonts w:ascii="宋体" w:hAnsi="宋体" w:cs="宋体"/>
                <w:szCs w:val="21"/>
              </w:rPr>
            </w:r>
            <w:r/>
          </w:p>
          <w:p>
            <w:pPr>
              <w:pStyle w:val="836"/>
              <w:numPr>
                <w:ilvl w:val="0"/>
                <w:numId w:val="15"/>
              </w:numPr>
              <w:ind w:left="0" w:firstLine="420"/>
              <w:rPr>
                <w:rFonts w:hint="eastAsia" w:ascii="宋体" w:hAnsi="宋体" w:cs="宋体"/>
                <w:szCs w:val="21"/>
              </w:rPr>
            </w:pPr>
            <w:r>
              <w:rPr>
                <w:rFonts w:hint="eastAsia" w:ascii="宋体" w:hAnsi="宋体" w:cs="宋体"/>
                <w:szCs w:val="21"/>
              </w:rPr>
              <w:t xml:space="preserve">报告提交环节，系统内置下水数据汇总；学生根据下水作业检测数据、操作记录、异常问题及整改结果，完善验收结论。</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个</w:t>
            </w:r>
            <w:r/>
          </w:p>
        </w:tc>
      </w:tr>
      <w:tr>
        <w:trPr>
          <w:trHeight w:val="420"/>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三、实训室环境建设</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17</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实训室地板铺设及环境升级</w:t>
            </w:r>
            <w:r/>
          </w:p>
          <w:p>
            <w:pPr>
              <w:pStyle w:val="836"/>
              <w:jc w:val="center"/>
              <w:rPr>
                <w:rStyle w:val="939"/>
                <w:rFonts w:hint="eastAsia"/>
              </w:rPr>
            </w:pPr>
            <w:r>
              <w:rPr>
                <w:rFonts w:hint="eastAsia" w:ascii="宋体" w:hAnsi="宋体" w:cs="宋体"/>
                <w:b/>
                <w:bCs/>
                <w:szCs w:val="21"/>
                <w:lang w:bidi="ar"/>
              </w:rPr>
              <w:t xml:space="preserve">（最高限价：9.341405万元）</w:t>
            </w:r>
            <w:r>
              <w:rPr>
                <w:rStyle w:val="939"/>
                <w:rFonts w:hint="eastAsia"/>
              </w:rPr>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ind w:firstLine="425"/>
              <w:rPr>
                <w:rFonts w:hint="eastAsia" w:ascii="宋体" w:hAnsi="宋体" w:cs="宋体"/>
                <w:szCs w:val="21"/>
              </w:rPr>
            </w:pPr>
            <w:r>
              <w:rPr>
                <w:rFonts w:hint="eastAsia" w:ascii="宋体" w:hAnsi="宋体" w:cs="宋体"/>
                <w:szCs w:val="21"/>
              </w:rPr>
              <w:t xml:space="preserve">1.实训室环境升级：针对约100m2场地进行环境升级，包括墙面和顶面氛围升级、窗帘安装，以满足整体实训室设备、教学、实训使用需求。</w:t>
            </w:r>
            <w:r/>
          </w:p>
          <w:p>
            <w:pPr>
              <w:pStyle w:val="836"/>
              <w:ind w:firstLine="425"/>
              <w:rPr>
                <w:rFonts w:hint="eastAsia" w:ascii="宋体" w:hAnsi="宋体" w:cs="宋体"/>
                <w:szCs w:val="21"/>
              </w:rPr>
            </w:pPr>
            <w:r/>
            <w:bookmarkStart w:id="186" w:name="OLE_LINK81"/>
            <w:r>
              <w:rPr>
                <w:rFonts w:hint="eastAsia" w:ascii="宋体" w:hAnsi="宋体" w:cs="宋体"/>
                <w:szCs w:val="21"/>
              </w:rPr>
              <w:t xml:space="preserve">2.实训室</w:t>
            </w:r>
            <w:bookmarkEnd w:id="186"/>
            <w:r>
              <w:rPr>
                <w:rFonts w:hint="eastAsia" w:ascii="宋体" w:hAnsi="宋体" w:cs="宋体"/>
                <w:szCs w:val="21"/>
              </w:rPr>
              <w:t xml:space="preserve">地板铺设：防静电地板采购、安装及配套施工。</w:t>
            </w:r>
            <w:r/>
          </w:p>
          <w:p>
            <w:pPr>
              <w:pStyle w:val="836"/>
              <w:ind w:firstLine="425"/>
              <w:rPr>
                <w:rFonts w:hint="eastAsia" w:ascii="宋体" w:hAnsi="宋体" w:cs="宋体"/>
                <w:szCs w:val="21"/>
              </w:rPr>
            </w:pPr>
            <w:r>
              <w:rPr>
                <w:rFonts w:hint="eastAsia" w:ascii="宋体" w:hAnsi="宋体" w:cs="宋体"/>
                <w:szCs w:val="21"/>
              </w:rPr>
              <w:t xml:space="preserve">3.具体做法及标准详见附件</w:t>
            </w:r>
            <w:bookmarkStart w:id="187" w:name="OLE_LINK45"/>
            <w:r>
              <w:rPr>
                <w:rFonts w:hint="eastAsia" w:ascii="宋体" w:hAnsi="宋体" w:cs="宋体"/>
                <w:szCs w:val="21"/>
              </w:rPr>
              <w:t xml:space="preserve">工程量清单</w:t>
            </w:r>
            <w:bookmarkEnd w:id="187"/>
            <w:r>
              <w:rPr>
                <w:rFonts w:hint="eastAsia" w:ascii="宋体" w:hAnsi="宋体" w:cs="宋体"/>
                <w:szCs w:val="21"/>
              </w:rPr>
              <w:t xml:space="preserve">、</w:t>
            </w:r>
            <w:bookmarkStart w:id="188" w:name="OLE_LINK47"/>
            <w:r>
              <w:rPr>
                <w:rFonts w:hint="eastAsia" w:ascii="宋体" w:hAnsi="宋体" w:cs="宋体"/>
                <w:szCs w:val="21"/>
              </w:rPr>
              <w:t xml:space="preserve">施工图</w:t>
            </w:r>
            <w:bookmarkEnd w:id="188"/>
            <w:r>
              <w:rPr>
                <w:rFonts w:hint="eastAsia" w:ascii="宋体" w:hAnsi="宋体" w:cs="宋体"/>
                <w:szCs w:val="21"/>
              </w:rPr>
              <w:t xml:space="preserve">。</w:t>
            </w:r>
            <w:r/>
          </w:p>
          <w:p>
            <w:pPr>
              <w:pStyle w:val="836"/>
              <w:ind w:firstLine="425"/>
              <w:rPr>
                <w:rFonts w:hint="eastAsia" w:ascii="宋体" w:hAnsi="宋体" w:cs="宋体"/>
                <w:b/>
                <w:bCs/>
                <w:szCs w:val="21"/>
              </w:rPr>
            </w:pPr>
            <w:r>
              <w:rPr>
                <w:rFonts w:hint="eastAsia" w:ascii="宋体" w:hAnsi="宋体" w:cs="宋体"/>
                <w:b/>
                <w:bCs/>
                <w:szCs w:val="21"/>
              </w:rPr>
              <w:t xml:space="preserve">4.最高投标限价编制依据</w:t>
            </w:r>
            <w:r/>
          </w:p>
          <w:p>
            <w:pPr>
              <w:pStyle w:val="836"/>
              <w:ind w:firstLine="425"/>
              <w:rPr>
                <w:rFonts w:hint="eastAsia" w:ascii="宋体" w:hAnsi="宋体" w:cs="宋体"/>
                <w:szCs w:val="21"/>
              </w:rPr>
            </w:pPr>
            <w:r>
              <w:rPr>
                <w:rFonts w:hint="eastAsia" w:ascii="宋体" w:hAnsi="宋体" w:cs="宋体"/>
                <w:szCs w:val="21"/>
              </w:rPr>
              <w:t xml:space="preserve">（1）工程量根据业主提供的工程量及现场照片计算。</w:t>
            </w:r>
            <w:r/>
          </w:p>
          <w:p>
            <w:pPr>
              <w:pStyle w:val="836"/>
              <w:ind w:firstLine="425"/>
              <w:rPr>
                <w:rFonts w:hint="eastAsia" w:ascii="宋体" w:hAnsi="宋体" w:cs="宋体"/>
                <w:szCs w:val="21"/>
              </w:rPr>
            </w:pPr>
            <w:r>
              <w:rPr>
                <w:rFonts w:hint="eastAsia" w:ascii="宋体" w:hAnsi="宋体" w:cs="宋体"/>
                <w:szCs w:val="21"/>
              </w:rPr>
              <w:t xml:space="preserve">（2）与本工程项目有关的标准（包括标准图集）、规范、技术资料。</w:t>
            </w:r>
            <w:r/>
          </w:p>
          <w:p>
            <w:pPr>
              <w:pStyle w:val="836"/>
              <w:ind w:firstLine="425"/>
              <w:rPr>
                <w:rFonts w:hint="eastAsia" w:ascii="宋体" w:hAnsi="宋体" w:cs="宋体"/>
                <w:szCs w:val="21"/>
              </w:rPr>
            </w:pPr>
            <w:r>
              <w:rPr>
                <w:rFonts w:hint="eastAsia" w:ascii="宋体" w:hAnsi="宋体" w:cs="宋体"/>
                <w:szCs w:val="21"/>
              </w:rPr>
              <w:t xml:space="preserve">（3）依据《建设工程工程量清单计价标注》GB/T50500-2024、《江苏省建筑与装饰工程消耗量》（2026版）、《江苏省通用安装工程消耗量》（2026版）、江苏省市政工程消耗量》（2026年）、及营改增后调整内容；</w:t>
            </w:r>
            <w:r/>
          </w:p>
          <w:p>
            <w:pPr>
              <w:pStyle w:val="836"/>
              <w:ind w:firstLine="425"/>
              <w:rPr>
                <w:rFonts w:hint="eastAsia" w:ascii="宋体" w:hAnsi="宋体" w:cs="宋体"/>
                <w:szCs w:val="21"/>
              </w:rPr>
            </w:pPr>
            <w:r>
              <w:rPr>
                <w:rFonts w:hint="eastAsia" w:ascii="宋体" w:hAnsi="宋体" w:cs="宋体"/>
                <w:szCs w:val="21"/>
              </w:rPr>
              <w:t xml:space="preserve">（4）本项目材料价格:根据当期信息价及市场询价。</w:t>
            </w:r>
            <w:r/>
          </w:p>
          <w:p>
            <w:pPr>
              <w:pStyle w:val="836"/>
              <w:ind w:firstLine="425"/>
              <w:rPr>
                <w:rFonts w:ascii="宋体" w:hAnsi="宋体" w:cs="宋体"/>
                <w:b/>
                <w:bCs/>
                <w:szCs w:val="21"/>
              </w:rPr>
            </w:pPr>
            <w:r>
              <w:rPr>
                <w:rFonts w:hint="eastAsia" w:ascii="宋体" w:hAnsi="宋体" w:cs="宋体"/>
                <w:szCs w:val="21"/>
              </w:rPr>
              <w:t xml:space="preserve">（5）税金费率按江苏省住房和城乡建设厅苏建函价〔2019〕178号。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项</w:t>
            </w:r>
            <w:r/>
          </w:p>
        </w:tc>
      </w:tr>
      <w:tr>
        <w:trPr>
          <w:trHeight w:val="515"/>
        </w:trPr>
        <w:tc>
          <w:tcPr>
            <w:gridSpan w:val="5"/>
            <w:tcBorders>
              <w:top w:val="single" w:color="000000" w:sz="4" w:space="0"/>
              <w:left w:val="single" w:color="000000" w:sz="4" w:space="0"/>
              <w:bottom w:val="single" w:color="000000" w:sz="4" w:space="0"/>
              <w:right w:val="single" w:color="000000" w:sz="4" w:space="0"/>
            </w:tcBorders>
            <w:tcW w:w="8965"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b/>
                <w:bCs/>
                <w:szCs w:val="21"/>
                <w:lang w:bidi="ar"/>
              </w:rPr>
              <w:t xml:space="preserve">四、其他要求</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609" w:type="dxa"/>
            <w:vAlign w:val="center"/>
            <w:textDirection w:val="lrTb"/>
            <w:noWrap w:val="false"/>
          </w:tcPr>
          <w:p>
            <w:pPr>
              <w:pStyle w:val="836"/>
              <w:jc w:val="center"/>
              <w:rPr>
                <w:rFonts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其他（货物9-16项共性要求）</w:t>
            </w:r>
            <w:r/>
          </w:p>
        </w:tc>
        <w:tc>
          <w:tcPr>
            <w:tcBorders>
              <w:top w:val="single" w:color="000000" w:sz="4" w:space="0"/>
              <w:left w:val="single" w:color="000000" w:sz="4" w:space="0"/>
              <w:bottom w:val="single" w:color="000000" w:sz="4" w:space="0"/>
              <w:right w:val="single" w:color="000000" w:sz="4" w:space="0"/>
            </w:tcBorders>
            <w:tcW w:w="5675" w:type="dxa"/>
            <w:vAlign w:val="center"/>
            <w:textDirection w:val="lrTb"/>
            <w:noWrap w:val="false"/>
          </w:tcPr>
          <w:p>
            <w:pPr>
              <w:pStyle w:val="836"/>
              <w:rPr>
                <w:rFonts w:hint="eastAsia" w:ascii="宋体" w:hAnsi="宋体" w:cs="宋体"/>
                <w:b/>
                <w:bCs/>
                <w:szCs w:val="21"/>
              </w:rPr>
            </w:pPr>
            <w:r>
              <w:rPr>
                <w:rFonts w:hint="eastAsia" w:ascii="宋体" w:hAnsi="宋体" w:cs="宋体"/>
                <w:b/>
                <w:bCs/>
                <w:szCs w:val="21"/>
              </w:rPr>
              <w:t xml:space="preserve">1. 技术要求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模型精度建设：设备、仪器等三维模型应符合真实尺寸，高精度模型误差控制在毫米级范围内，拓扑结构合理，避免破面、重叠等问题。应支持LOD分级，根据距离动态切换模型精度，实现远距离简化显示、近距离高精度展示。</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模型规范建设：三维模型文件格式应优先采用FBX、OBJ、GLTF等通用格式，支持Unity、Unreal等跨平台引擎。模型命名规则应清晰，层级结构明确，材质球与贴图命名一致；UV展开应避免拉伸，贴图利用率达到80%以上，支持2K/4K贴图分辨率。(3)</w:t>
              <w:tab/>
              <w:t xml:space="preserve">材质与贴图建设：模型应采用PBR材质，金属度、粗糙度等参数应符合物理规律，并支持HDR环境光反射。应支持动态贴图、屏幕空间反射、视差贴图等效果；透明材质的Alpha通道处理应兼容不同渲染管线。</w:t>
            </w:r>
            <w:r/>
          </w:p>
          <w:p>
            <w:pPr>
              <w:pStyle w:val="836"/>
              <w:numPr>
                <w:ilvl w:val="0"/>
                <w:numId w:val="16"/>
              </w:numPr>
              <w:ind w:left="0" w:firstLine="425"/>
            </w:pPr>
            <w:r>
              <w:rPr>
                <w:rFonts w:hint="eastAsia" w:ascii="宋体" w:hAnsi="宋体" w:cs="宋体"/>
                <w:szCs w:val="21"/>
              </w:rPr>
              <w:t xml:space="preserve">模型性能优化：应通过合并网格等方式减少Draw Call，对静态物体可合并为单一Mesh；碰撞体应进行简化，优先采用Box、Sphere等简化碰撞体替代复杂Mesh Collider，提高物理计算效率。</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画建设：支持关键帧动画、顶点动画、程序化动画和动画融合。关键帧动画应支持24/30/60 FPS精确控制和缓入缓出效果；顶点动画可用于流体、软体变形等场景；程序化动画可通过代码驱动机械运动轨迹；动画融合应支持不同动作间无缝切换。</w:t>
            </w:r>
            <w:r/>
          </w:p>
          <w:p>
            <w:pPr>
              <w:pStyle w:val="836"/>
              <w:numPr>
                <w:ilvl w:val="0"/>
                <w:numId w:val="16"/>
              </w:numPr>
              <w:ind w:left="0" w:firstLine="425"/>
              <w:rPr>
                <w:rFonts w:hint="eastAsia" w:ascii="宋体" w:hAnsi="宋体" w:cs="宋体"/>
                <w:b/>
                <w:bCs/>
                <w:szCs w:val="21"/>
                <w:u w:val="single"/>
              </w:rPr>
            </w:pPr>
            <w:r>
              <w:rPr>
                <w:rFonts w:hint="eastAsia" w:ascii="宋体" w:hAnsi="宋体" w:cs="宋体"/>
                <w:szCs w:val="21"/>
              </w:rPr>
              <w:t xml:space="preserve">▲交互动画：应支持用户点击、拖拽等操作触发动画状态机，动画过程支持中断和过渡。涉及刚体动力学、粒子系统、烟雾、火焰等效果时，应能够与场景交互。</w:t>
            </w:r>
            <w:r>
              <w:rPr>
                <w:rFonts w:hint="eastAsia" w:ascii="宋体" w:hAnsi="宋体" w:cs="宋体"/>
                <w:b/>
                <w:bCs/>
                <w:szCs w:val="21"/>
                <w:u w:val="single"/>
              </w:rPr>
              <w:t xml:space="preserve">【提供功能截图，并加盖投标人公章。】</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动画性能优化：应通过LOD等技术动态调整模型精度，平衡视觉效果与渲染性能；支持贴图压缩、动画数据精简、关键帧插值和骨骼动画压缩，减少内存占用。</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程序交互准确性与稳定性：统交互触发成功率应≥99%，通过重复测试100次以上验证；碰撞检测误判率应≤0.5%；应支持物理交互稳定响应，降低误触发率，满足课堂连续教学使用要求。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三维模型自由探索：用户应可通过触控或鼠标对3D模型进行自由旋转、缩放、平移等操作，深入观察模型结构细节，交互响应流畅、无明显卡顿。</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大模型加载与传输优化：系统应支持大体量模型切片加载、异步加载和LOD优化；后台传输应支持分片上传、断点续传和压缩传输机制，提高文件传输效率与稳定性。</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H5嵌入与自定义交互：应支持将3D交互模块封装为WebGL模块嵌入H5页面，支持轻量化加载、点击互动、浮层展示等功能，满足宣传展示和互动体验需求。</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界面动画与操作反馈：操作过程应提供按钮点击动效、加载进度条、选中高亮、模型高亮提示、场景引导等视觉反馈，提升用户操作感知和教学演示效果。</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性能优化与帧率控制：WebGL端在主流设备下帧率应≥30FPS，PC端帧率应≥60FPS。应优化Draw Call数量和资源占用，减少CPU/GPU负担，提升整体运行流畅度。</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网络连接与资源调度：系统应支持断线重连、资源预加载、缓存机制、CDN加速和静态资源分发，提高资源访问效率与运行稳定性。</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后端接口与模块扩展：系统应支持通过RESTful API进行模型数据、交互逻辑、用户信息等数据通信；系统应采用模块化开发，便于后续功能扩展与维护。</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数据安全与权限控制：系统应支持HTTPS传输协议，保障用户数据安全；应支持用户权限分级管理，不同角色可访问不同交互内容和管理功能。</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系统兼容性：WebGL内容应兼容Chrome、Edge、Firefox等常见浏览器，不依赖Flash等特定插件，避免浏览器兼容性问题。</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系统稳定性与异常保护：程序应具备异常处理机制，避免因模型加载失败、网络错误等导致程序崩溃；应支持错误提示反馈、日志记录、Bug追踪等维护功能。</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界面字体与排版：界面字体应清晰可读，统一采用微软雅黑或思源黑体等无衬线字体；标题、正文、辅助文字等字号层级应清晰，行高合理，文本对齐规范，避免中英文混排错位，并支持多语言扩展。</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图标与视觉设计：图标风格应统一，可采用扁平化或拟物风设计语言，色彩风格一致；图标尺寸应满足清晰度要求，支持SVG图标适配高分辨率设备，避免模糊或变形。</w:t>
            </w:r>
            <w:r/>
          </w:p>
          <w:p>
            <w:pPr>
              <w:pStyle w:val="836"/>
              <w:numPr>
                <w:ilvl w:val="0"/>
                <w:numId w:val="16"/>
              </w:numPr>
              <w:ind w:left="0" w:firstLine="425"/>
              <w:rPr>
                <w:rFonts w:hint="eastAsia" w:ascii="宋体" w:hAnsi="宋体" w:cs="宋体"/>
                <w:szCs w:val="21"/>
              </w:rPr>
            </w:pPr>
            <w:r>
              <w:rPr>
                <w:rFonts w:hint="eastAsia" w:ascii="宋体" w:hAnsi="宋体" w:cs="宋体"/>
                <w:szCs w:val="21"/>
              </w:rPr>
              <w:t xml:space="preserve">响应式与适配设计：UI布局应采用响应式设计，自动适配不同设备与浏览器窗口尺寸，保证内容在PC、安卓手机、安卓平板等终端均能正常显示与操作，并支持横竖屏布局切换。</w:t>
            </w:r>
            <w:r/>
          </w:p>
          <w:p>
            <w:pPr>
              <w:pStyle w:val="836"/>
              <w:rPr>
                <w:rFonts w:hint="eastAsia" w:ascii="宋体" w:hAnsi="宋体" w:cs="宋体"/>
                <w:b/>
                <w:bCs/>
                <w:szCs w:val="21"/>
              </w:rPr>
            </w:pPr>
            <w:r>
              <w:rPr>
                <w:rFonts w:hint="eastAsia" w:ascii="宋体" w:hAnsi="宋体" w:cs="宋体"/>
                <w:b/>
                <w:bCs/>
                <w:szCs w:val="21"/>
              </w:rPr>
              <w:t xml:space="preserve">2. 功能要求</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虚拟仿真课程需包含：二维动画、三维动画、三维模型、视频、文档等多种元素；视频分辨率≥1080P，视频码率10M，音频比特率128KBPS。视频时长不低于15分钟。</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每个虚拟仿真课程需提供≥10个三维模型，所有模型按照实物、设备图纸、现场照片1:1等比例精准复刻，外形、结构、部件布局与实际实训设备/场地保持一致；模型无破面、重面、穿插面、模型缺失等问题，结构完整规范。</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每个课堂总实训步骤不少于100个，可根据任务进行拆解，其中纳入考核评价的核心交互考核点不少于15项，操作逻辑贴合实际实训流程，考核点可实现正误判定与成绩记录。</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虚拟仿真课程资源需支持加入不少于20个的理论知识考核内容，考核方式包括但不限于选择题、填空题、连线题等多种题型，针对用户回答错误的题型系统能及时给出正确答案并进行问题讲解。</w:t>
            </w:r>
            <w:r/>
          </w:p>
          <w:p>
            <w:pPr>
              <w:pStyle w:val="836"/>
              <w:numPr>
                <w:ilvl w:val="0"/>
                <w:numId w:val="17"/>
              </w:numPr>
              <w:ind w:left="0" w:firstLine="425"/>
              <w:rPr>
                <w:rFonts w:hint="eastAsia" w:ascii="宋体" w:hAnsi="宋体" w:cs="宋体"/>
                <w:b/>
                <w:bCs/>
                <w:szCs w:val="21"/>
                <w:u w:val="single"/>
              </w:rPr>
            </w:pPr>
            <w:r>
              <w:rPr>
                <w:rFonts w:hint="eastAsia" w:ascii="宋体" w:hAnsi="宋体" w:cs="宋体"/>
                <w:szCs w:val="21"/>
              </w:rPr>
              <w:t xml:space="preserve">▲虚拟仿真课程资源需支持进行资源挂载，资源类型包括但不限于：视频、文档、语音等多种类型，以学校实际需求为准，免费提供与学校虚拟仿真校平台的对接。</w:t>
            </w:r>
            <w:r>
              <w:rPr>
                <w:rFonts w:hint="eastAsia" w:ascii="宋体" w:hAnsi="宋体" w:cs="宋体"/>
                <w:b/>
                <w:bCs/>
                <w:szCs w:val="21"/>
                <w:u w:val="single"/>
              </w:rPr>
              <w:t xml:space="preserve">【提供功能截图，并加盖投标人公章。】</w:t>
            </w:r>
            <w:r/>
          </w:p>
          <w:p>
            <w:pPr>
              <w:pStyle w:val="836"/>
              <w:numPr>
                <w:ilvl w:val="0"/>
                <w:numId w:val="17"/>
              </w:numPr>
              <w:ind w:left="0" w:firstLine="425"/>
              <w:rPr>
                <w:rFonts w:ascii="宋体" w:hAnsi="宋体" w:cs="宋体"/>
                <w:szCs w:val="21"/>
              </w:rPr>
            </w:pPr>
            <w:r>
              <w:rPr>
                <w:rFonts w:hint="eastAsia" w:ascii="宋体" w:hAnsi="宋体" w:cs="宋体"/>
                <w:szCs w:val="21"/>
              </w:rPr>
              <w:t xml:space="preserve">单个虚拟仿真课程资源需提供不少于120s的三维动画以及180s的二维动画，具体内容和交互方式由课堂场景实际需求确定。</w:t>
            </w:r>
            <w:r>
              <w:rPr>
                <w:rFonts w:ascii="宋体" w:hAnsi="宋体" w:cs="宋体"/>
                <w:szCs w:val="21"/>
              </w:rPr>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单个虚拟仿真课程资源需提供不同的定制化课程页，需支持AI助教形象根据每个课的需求进行定制化调整。</w:t>
            </w:r>
            <w:r/>
          </w:p>
          <w:p>
            <w:pPr>
              <w:pStyle w:val="836"/>
              <w:numPr>
                <w:ilvl w:val="0"/>
                <w:numId w:val="17"/>
              </w:numPr>
              <w:ind w:left="0" w:firstLine="425"/>
              <w:rPr>
                <w:rFonts w:hint="eastAsia" w:ascii="宋体" w:hAnsi="宋体" w:cs="宋体"/>
                <w:szCs w:val="21"/>
              </w:rPr>
            </w:pPr>
            <w:r>
              <w:rPr>
                <w:rFonts w:hint="eastAsia" w:ascii="宋体" w:hAnsi="宋体" w:cs="宋体"/>
                <w:szCs w:val="21"/>
              </w:rPr>
              <w:t xml:space="preserve">MR端支持手势或手柄操作，在MR眼镜中能看到现实画面叠加3D虚拟画面的效果，并且具有空间定位功能，可以和3D虚拟道具互动。</w:t>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w:t>
            </w:r>
            <w:r/>
          </w:p>
        </w:tc>
      </w:tr>
    </w:tbl>
    <w:p>
      <w:pPr>
        <w:pStyle w:val="836"/>
        <w:rPr>
          <w:rFonts w:hint="eastAsia" w:ascii="宋体" w:hAnsi="宋体" w:cs="宋体"/>
          <w:b/>
          <w:bCs/>
          <w:sz w:val="24"/>
        </w:rPr>
      </w:pPr>
      <w:r/>
      <w:bookmarkEnd w:id="120"/>
      <w:r>
        <w:rPr>
          <w:rFonts w:hint="eastAsia" w:ascii="宋体" w:hAnsi="宋体" w:cs="宋体"/>
          <w:b/>
          <w:bCs/>
          <w:sz w:val="24"/>
        </w:rPr>
      </w:r>
      <w:r/>
    </w:p>
    <w:p>
      <w:pPr>
        <w:pStyle w:val="836"/>
        <w:ind w:firstLine="482"/>
        <w:spacing w:line="360" w:lineRule="auto"/>
        <w:rPr>
          <w:rFonts w:hint="eastAsia" w:ascii="宋体" w:hAnsi="宋体" w:cs="宋体"/>
          <w:b/>
          <w:bCs/>
          <w:sz w:val="24"/>
        </w:rPr>
        <w:outlineLvl w:val="2"/>
      </w:pPr>
      <w:r>
        <w:rPr>
          <w:rFonts w:hint="eastAsia" w:ascii="宋体" w:hAnsi="宋体" w:cs="宋体"/>
          <w:b/>
          <w:bCs/>
          <w:sz w:val="24"/>
        </w:rPr>
        <w:t xml:space="preserve">（四）采购标的的数量、采购项目交付或者实施的时间和地点</w:t>
      </w:r>
      <w:r/>
    </w:p>
    <w:p>
      <w:pPr>
        <w:pStyle w:val="836"/>
        <w:rPr>
          <w:rFonts w:hint="eastAsia" w:ascii="宋体" w:hAnsi="宋体" w:cs="宋体"/>
          <w:b/>
          <w:bCs/>
          <w:sz w:val="24"/>
        </w:rPr>
      </w:pPr>
      <w:r>
        <w:rPr>
          <w:rFonts w:hint="eastAsia" w:ascii="宋体" w:hAnsi="宋体" w:cs="宋体"/>
          <w:b/>
          <w:bCs/>
          <w:sz w:val="24"/>
        </w:rPr>
        <w:t xml:space="preserve">1.建设清单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2156"/>
        <w:gridCol w:w="3904"/>
        <w:gridCol w:w="860"/>
        <w:gridCol w:w="861"/>
      </w:tblGrid>
      <w:tr>
        <w:trPr>
          <w:trHeight w:val="454"/>
          <w:tblHeader/>
        </w:trPr>
        <w:tc>
          <w:tcPr>
            <w:shd w:val="clear" w:color="auto" w:fill="d9d9d9"/>
            <w:tcW w:w="747" w:type="dxa"/>
            <w:vAlign w:val="center"/>
            <w:textDirection w:val="lrTb"/>
            <w:noWrap w:val="false"/>
          </w:tcPr>
          <w:p>
            <w:pPr>
              <w:pStyle w:val="836"/>
              <w:jc w:val="center"/>
              <w:rPr>
                <w:rFonts w:hint="eastAsia" w:ascii="宋体" w:hAnsi="宋体" w:cs="宋体"/>
                <w:b/>
                <w:bCs/>
                <w:szCs w:val="21"/>
                <w:lang w:bidi="ar"/>
              </w:rPr>
            </w:pPr>
            <w:r/>
            <w:bookmarkStart w:id="189" w:name="OLE_LINK27"/>
            <w:r>
              <w:rPr>
                <w:rFonts w:hint="eastAsia" w:ascii="宋体" w:hAnsi="宋体" w:cs="宋体"/>
                <w:b/>
                <w:bCs/>
                <w:szCs w:val="21"/>
                <w:lang w:bidi="ar"/>
              </w:rPr>
              <w:t xml:space="preserve">序号</w:t>
            </w:r>
            <w:r/>
          </w:p>
        </w:tc>
        <w:tc>
          <w:tcPr>
            <w:shd w:val="clear" w:color="auto" w:fill="d9d9d9"/>
            <w:tcW w:w="2156"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3904"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860"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861"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bookmarkStart w:id="190" w:name="OLE_LINK48"/>
            <w:r/>
            <w:bookmarkStart w:id="191" w:name="_Hlk236207261"/>
            <w:r/>
            <w:bookmarkStart w:id="192" w:name="OLE_LINK44"/>
            <w:r/>
            <w:bookmarkStart w:id="193" w:name="OLE_LINK30"/>
            <w:r/>
            <w:bookmarkStart w:id="194" w:name="OLE_LINK31"/>
            <w:r>
              <w:rPr>
                <w:rFonts w:hint="eastAsia" w:ascii="宋体" w:hAnsi="宋体" w:cs="宋体"/>
                <w:szCs w:val="21"/>
                <w:lang w:bidi="ar"/>
              </w:rPr>
              <w:t xml:space="preserve">1</w:t>
            </w:r>
            <w:r>
              <w:rPr>
                <w:rFonts w:hint="eastAsia" w:ascii="宋体" w:hAnsi="宋体" w:cs="宋体"/>
                <w:szCs w:val="21"/>
              </w:rPr>
            </w:r>
            <w:r/>
          </w:p>
        </w:tc>
        <w:tc>
          <w:tcPr>
            <w:tcW w:w="2156" w:type="dxa"/>
            <w:vAlign w:val="center"/>
            <w:vMerge w:val="restart"/>
            <w:textDirection w:val="lrTb"/>
            <w:noWrap w:val="false"/>
          </w:tcPr>
          <w:p>
            <w:pPr>
              <w:pStyle w:val="836"/>
              <w:jc w:val="center"/>
              <w:rPr>
                <w:rFonts w:hint="eastAsia" w:ascii="宋体" w:hAnsi="宋体" w:cs="宋体"/>
                <w:szCs w:val="21"/>
              </w:rPr>
            </w:pPr>
            <w:r/>
            <w:bookmarkStart w:id="195" w:name="OLE_LINK24"/>
            <w:r>
              <w:rPr>
                <w:rFonts w:hint="eastAsia" w:ascii="宋体" w:hAnsi="宋体" w:cs="宋体"/>
                <w:szCs w:val="21"/>
                <w:lang w:bidi="ar"/>
              </w:rPr>
              <w:t xml:space="preserve">教学设备及管控系统</w:t>
            </w:r>
            <w:bookmarkEnd w:id="195"/>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196" w:name="OLE_LINK98"/>
            <w:r>
              <w:rPr>
                <w:rFonts w:hint="eastAsia" w:ascii="宋体" w:hAnsi="宋体" w:cs="宋体"/>
                <w:szCs w:val="21"/>
                <w:lang w:bidi="ar"/>
              </w:rPr>
              <w:t xml:space="preserve">教师数据管控终端</w:t>
            </w:r>
            <w:bookmarkEnd w:id="196"/>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2156"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3904" w:type="dxa"/>
            <w:vAlign w:val="center"/>
            <w:textDirection w:val="lrTb"/>
            <w:noWrap w:val="false"/>
          </w:tcPr>
          <w:p>
            <w:pPr>
              <w:pStyle w:val="836"/>
              <w:jc w:val="left"/>
              <w:rPr>
                <w:rFonts w:hint="eastAsia" w:ascii="宋体" w:hAnsi="宋体" w:cs="宋体"/>
                <w:szCs w:val="21"/>
                <w:lang w:bidi="ar"/>
              </w:rPr>
            </w:pPr>
            <w:r/>
            <w:bookmarkStart w:id="197" w:name="OLE_LINK19"/>
            <w:r/>
            <w:bookmarkStart w:id="198" w:name="OLE_LINK22"/>
            <w:r>
              <w:rPr>
                <w:rFonts w:hint="eastAsia" w:ascii="宋体" w:hAnsi="宋体" w:cs="宋体"/>
                <w:szCs w:val="21"/>
                <w:lang w:bidi="ar"/>
              </w:rPr>
              <w:t xml:space="preserve">教学管理软件</w:t>
            </w:r>
            <w:bookmarkEnd w:id="197"/>
            <w:r>
              <w:rPr>
                <w:rFonts w:hint="eastAsia" w:ascii="宋体" w:hAnsi="宋体" w:cs="宋体"/>
                <w:szCs w:val="21"/>
                <w:lang w:bidi="ar"/>
              </w:rPr>
              <w:t xml:space="preserve">（</w:t>
            </w:r>
            <w:bookmarkStart w:id="199" w:name="OLE_LINK20"/>
            <w:r>
              <w:rPr>
                <w:rFonts w:hint="eastAsia" w:ascii="宋体" w:hAnsi="宋体" w:cs="宋体"/>
                <w:szCs w:val="21"/>
                <w:lang w:bidi="ar"/>
              </w:rPr>
              <w:t xml:space="preserve">含教师端和客户端）</w:t>
            </w:r>
            <w:bookmarkEnd w:id="198"/>
            <w:r/>
            <w:bookmarkEnd w:id="199"/>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00" w:name="OLE_LINK99"/>
            <w:r>
              <w:rPr>
                <w:rFonts w:hint="eastAsia" w:ascii="宋体" w:hAnsi="宋体" w:cs="宋体"/>
                <w:szCs w:val="21"/>
                <w:lang w:bidi="ar"/>
              </w:rPr>
              <w:t xml:space="preserve">专用教师操作台</w:t>
            </w:r>
            <w:bookmarkEnd w:id="200"/>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1" w:name="OLE_LINK16"/>
            <w:r/>
            <w:bookmarkStart w:id="202" w:name="OLE_LINK26"/>
            <w:r>
              <w:rPr>
                <w:rFonts w:hint="eastAsia" w:ascii="宋体" w:hAnsi="宋体" w:cs="宋体"/>
                <w:szCs w:val="21"/>
                <w:lang w:bidi="ar"/>
              </w:rPr>
              <w:t xml:space="preserve">学生</w:t>
            </w:r>
            <w:bookmarkEnd w:id="201"/>
            <w:r>
              <w:rPr>
                <w:rFonts w:hint="eastAsia" w:ascii="宋体" w:hAnsi="宋体" w:cs="宋体"/>
                <w:szCs w:val="21"/>
                <w:lang w:bidi="ar"/>
              </w:rPr>
              <w:t xml:space="preserve">实训专用终端</w:t>
            </w:r>
            <w:bookmarkEnd w:id="202"/>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3" w:name="OLE_LINK17"/>
            <w:r>
              <w:rPr>
                <w:rFonts w:hint="eastAsia" w:ascii="宋体" w:hAnsi="宋体" w:cs="宋体"/>
                <w:szCs w:val="21"/>
                <w:lang w:bidi="ar"/>
              </w:rPr>
              <w:t xml:space="preserve">学生实训桌椅</w:t>
            </w:r>
            <w:bookmarkEnd w:id="203"/>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861" w:type="dxa"/>
            <w:vAlign w:val="center"/>
            <w:textDirection w:val="lrTb"/>
            <w:noWrap/>
          </w:tcPr>
          <w:p>
            <w:pPr>
              <w:pStyle w:val="836"/>
              <w:jc w:val="center"/>
              <w:rPr>
                <w:rFonts w:hint="eastAsia" w:ascii="宋体" w:hAnsi="宋体" w:cs="宋体"/>
                <w:szCs w:val="21"/>
                <w:lang w:bidi="ar"/>
              </w:rPr>
            </w:pPr>
            <w:r/>
            <w:bookmarkStart w:id="204" w:name="OLE_LINK4"/>
            <w:r>
              <w:rPr>
                <w:rFonts w:hint="eastAsia" w:ascii="宋体" w:hAnsi="宋体" w:cs="宋体"/>
                <w:szCs w:val="21"/>
                <w:lang w:bidi="ar"/>
              </w:rPr>
              <w:t xml:space="preserve">套</w:t>
            </w:r>
            <w:bookmarkEnd w:id="204"/>
            <w:r>
              <w:rPr>
                <w:rFonts w:hint="eastAsia" w:ascii="宋体" w:hAnsi="宋体" w:cs="宋体"/>
                <w:szCs w:val="21"/>
                <w:lang w:bidi="ar"/>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5" w:name="OLE_LINK101"/>
            <w:r>
              <w:rPr>
                <w:rFonts w:hint="eastAsia" w:ascii="宋体" w:hAnsi="宋体" w:cs="宋体"/>
                <w:szCs w:val="21"/>
                <w:lang w:bidi="ar"/>
              </w:rPr>
              <w:t xml:space="preserve">MR一体机</w:t>
            </w:r>
            <w:bookmarkEnd w:id="205"/>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861" w:type="dxa"/>
            <w:vAlign w:val="center"/>
            <w:textDirection w:val="lrTb"/>
            <w:noWrap/>
          </w:tcPr>
          <w:p>
            <w:pPr>
              <w:pStyle w:val="836"/>
              <w:jc w:val="center"/>
              <w:rPr>
                <w:rFonts w:hint="eastAsia" w:ascii="宋体" w:hAnsi="宋体" w:cs="宋体"/>
                <w:szCs w:val="21"/>
                <w:lang w:bidi="ar"/>
              </w:rPr>
            </w:pPr>
            <w:r/>
            <w:bookmarkStart w:id="206" w:name="OLE_LINK3"/>
            <w:r>
              <w:rPr>
                <w:rFonts w:hint="eastAsia" w:ascii="宋体" w:hAnsi="宋体" w:cs="宋体"/>
                <w:szCs w:val="21"/>
                <w:lang w:bidi="ar"/>
              </w:rPr>
              <w:t xml:space="preserve">套</w:t>
            </w:r>
            <w:bookmarkEnd w:id="206"/>
            <w:r>
              <w:rPr>
                <w:rFonts w:hint="eastAsia" w:ascii="宋体" w:hAnsi="宋体" w:cs="宋体"/>
                <w:szCs w:val="21"/>
                <w:lang w:bidi="ar"/>
              </w:rPr>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lang w:bidi="ar"/>
              </w:rPr>
            </w:pPr>
            <w:r/>
            <w:bookmarkStart w:id="207" w:name="OLE_LINK9"/>
            <w:r>
              <w:rPr>
                <w:rFonts w:hint="eastAsia" w:ascii="宋体" w:hAnsi="宋体" w:cs="宋体"/>
                <w:szCs w:val="21"/>
                <w:lang w:bidi="ar"/>
              </w:rPr>
              <w:t xml:space="preserve">投影仪及幕布</w:t>
            </w:r>
            <w:bookmarkEnd w:id="207"/>
            <w:r>
              <w:rPr>
                <w:rFonts w:hint="eastAsia" w:ascii="宋体" w:hAnsi="宋体" w:cs="宋体"/>
                <w:szCs w:val="21"/>
                <w:lang w:bidi="ar"/>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bookmarkStart w:id="208" w:name="OLE_LINK35"/>
            <w:r/>
            <w:bookmarkStart w:id="209" w:name="OLE_LINK34"/>
            <w:r/>
            <w:bookmarkStart w:id="210" w:name="_Hlk234795752"/>
            <w:r/>
            <w:bookmarkStart w:id="211" w:name="_Hlk235871623"/>
            <w:r/>
            <w:bookmarkStart w:id="212" w:name="OLE_LINK2"/>
            <w:r/>
            <w:bookmarkStart w:id="213" w:name="OLE_LINK1"/>
            <w:r>
              <w:rPr>
                <w:rFonts w:hint="eastAsia" w:ascii="宋体" w:hAnsi="宋体" w:cs="宋体"/>
                <w:szCs w:val="21"/>
              </w:rPr>
              <w:t xml:space="preserve">8</w:t>
            </w:r>
            <w:r/>
          </w:p>
        </w:tc>
        <w:tc>
          <w:tcPr>
            <w:tcW w:w="2156" w:type="dxa"/>
            <w:vAlign w:val="center"/>
            <w:vMerge w:val="restart"/>
            <w:textDirection w:val="lrTb"/>
            <w:noWrap w:val="false"/>
          </w:tcPr>
          <w:p>
            <w:pPr>
              <w:pStyle w:val="836"/>
              <w:jc w:val="center"/>
              <w:rPr>
                <w:rFonts w:hint="eastAsia" w:ascii="宋体" w:hAnsi="宋体" w:cs="宋体"/>
                <w:szCs w:val="21"/>
              </w:rPr>
            </w:pPr>
            <w:r/>
            <w:bookmarkStart w:id="214" w:name="OLE_LINK36"/>
            <w:r/>
            <w:bookmarkStart w:id="215" w:name="OLE_LINK58"/>
            <w:r>
              <w:rPr>
                <w:rFonts w:hint="eastAsia" w:ascii="宋体" w:hAnsi="宋体" w:cs="宋体"/>
                <w:szCs w:val="21"/>
              </w:rPr>
              <w:t xml:space="preserve">云端共享课程平台</w:t>
            </w:r>
            <w:bookmarkEnd w:id="214"/>
            <w:r>
              <w:rPr>
                <w:rFonts w:hint="eastAsia" w:ascii="宋体" w:hAnsi="宋体" w:cs="宋体"/>
                <w:szCs w:val="21"/>
              </w:rPr>
              <w:t xml:space="preserve">及</w:t>
            </w:r>
            <w:bookmarkStart w:id="216" w:name="OLE_LINK91"/>
            <w:r>
              <w:rPr>
                <w:rFonts w:hint="eastAsia" w:ascii="宋体" w:hAnsi="宋体" w:cs="宋体"/>
                <w:szCs w:val="21"/>
              </w:rPr>
              <w:t xml:space="preserve">虚拟仿真实训课程</w:t>
            </w:r>
            <w:bookmarkEnd w:id="215"/>
            <w:r/>
            <w:bookmarkEnd w:id="216"/>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7" w:name="OLE_LINK103"/>
            <w:r>
              <w:rPr>
                <w:rFonts w:hint="eastAsia" w:ascii="宋体" w:hAnsi="宋体" w:cs="宋体"/>
                <w:szCs w:val="21"/>
              </w:rPr>
              <w:t xml:space="preserve">云端共享课程平台</w:t>
            </w:r>
            <w:bookmarkEnd w:id="217"/>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套</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bookmarkEnd w:id="208"/>
            <w:r/>
            <w:bookmarkEnd w:id="209"/>
            <w:r/>
            <w:bookmarkEnd w:id="210"/>
            <w:r>
              <w:rPr>
                <w:rFonts w:hint="eastAsia" w:ascii="宋体" w:hAnsi="宋体" w:cs="宋体"/>
                <w:szCs w:val="21"/>
              </w:rPr>
              <w:t xml:space="preserve">9</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8" w:name="OLE_LINK106"/>
            <w:r>
              <w:rPr>
                <w:rFonts w:hint="eastAsia" w:ascii="宋体" w:hAnsi="宋体" w:cs="宋体"/>
                <w:szCs w:val="21"/>
              </w:rPr>
              <w:t xml:space="preserve">船体焊接MR场景课堂（含焊接系统升级）</w:t>
            </w:r>
            <w:bookmarkEnd w:id="218"/>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19" w:name="OLE_LINK108"/>
            <w:r>
              <w:rPr>
                <w:rFonts w:hint="eastAsia" w:ascii="宋体" w:hAnsi="宋体" w:cs="宋体"/>
                <w:szCs w:val="21"/>
              </w:rPr>
              <w:t xml:space="preserve">船舶管系安装与检验MR场景课堂</w:t>
            </w:r>
            <w:bookmarkEnd w:id="219"/>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0" w:name="OLE_LINK109"/>
            <w:r>
              <w:rPr>
                <w:rFonts w:hint="eastAsia" w:ascii="宋体" w:hAnsi="宋体" w:cs="宋体"/>
                <w:szCs w:val="21"/>
              </w:rPr>
              <w:t xml:space="preserve">船体精度检验MR场景课堂</w:t>
            </w:r>
            <w:bookmarkEnd w:id="220"/>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1" w:name="OLE_LINK110"/>
            <w:r>
              <w:rPr>
                <w:rFonts w:hint="eastAsia" w:ascii="宋体" w:hAnsi="宋体" w:cs="宋体"/>
                <w:szCs w:val="21"/>
              </w:rPr>
              <w:t xml:space="preserve">船舶轴系安装与校中MR场景课堂</w:t>
            </w:r>
            <w:bookmarkEnd w:id="221"/>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2" w:name="OLE_LINK112"/>
            <w:r>
              <w:rPr>
                <w:rFonts w:hint="eastAsia" w:ascii="宋体" w:hAnsi="宋体" w:cs="宋体"/>
                <w:szCs w:val="21"/>
              </w:rPr>
              <w:t xml:space="preserve">船舶系泊试验MR场景课堂</w:t>
            </w:r>
            <w:bookmarkEnd w:id="222"/>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3" w:name="OLE_LINK114"/>
            <w:r>
              <w:rPr>
                <w:rFonts w:hint="eastAsia" w:ascii="宋体" w:hAnsi="宋体" w:cs="宋体"/>
                <w:szCs w:val="21"/>
              </w:rPr>
              <w:t xml:space="preserve">船体总段合拢MR场景课堂</w:t>
            </w:r>
            <w:bookmarkEnd w:id="223"/>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r>
      <w:tr>
        <w:trPr>
          <w:cantSplit/>
          <w:trHeight w:val="510"/>
        </w:trPr>
        <w:tc>
          <w:tcPr>
            <w:tcW w:w="747"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2156"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3904" w:type="dxa"/>
            <w:vAlign w:val="center"/>
            <w:textDirection w:val="lrTb"/>
            <w:noWrap w:val="false"/>
          </w:tcPr>
          <w:p>
            <w:pPr>
              <w:pStyle w:val="836"/>
              <w:jc w:val="left"/>
              <w:rPr>
                <w:rFonts w:hint="eastAsia" w:ascii="宋体" w:hAnsi="宋体" w:cs="宋体"/>
                <w:szCs w:val="21"/>
              </w:rPr>
            </w:pPr>
            <w:r/>
            <w:bookmarkStart w:id="224" w:name="OLE_LINK115"/>
            <w:r>
              <w:rPr>
                <w:rFonts w:hint="eastAsia" w:ascii="宋体" w:hAnsi="宋体" w:cs="宋体"/>
                <w:szCs w:val="21"/>
              </w:rPr>
              <w:t xml:space="preserve">船舶下水作业MR场景课堂</w:t>
            </w:r>
            <w:bookmarkEnd w:id="224"/>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r>
      <w:tr>
        <w:trPr>
          <w:trHeight w:val="510"/>
        </w:trPr>
        <w:tc>
          <w:tcPr>
            <w:tcW w:w="747" w:type="dxa"/>
            <w:vAlign w:val="center"/>
            <w:textDirection w:val="lrTb"/>
            <w:noWrap w:val="false"/>
          </w:tcPr>
          <w:p>
            <w:pPr>
              <w:pStyle w:val="836"/>
              <w:jc w:val="center"/>
              <w:rPr>
                <w:rFonts w:hint="eastAsia" w:ascii="宋体" w:hAnsi="宋体" w:cs="宋体"/>
                <w:szCs w:val="21"/>
              </w:rPr>
            </w:pPr>
            <w:r/>
            <w:bookmarkEnd w:id="211"/>
            <w:r/>
            <w:bookmarkEnd w:id="212"/>
            <w:r/>
            <w:bookmarkEnd w:id="213"/>
            <w:r/>
            <w:bookmarkStart w:id="225" w:name="OLE_LINK43"/>
            <w:r/>
            <w:bookmarkStart w:id="226" w:name="_Hlk235952905"/>
            <w:r/>
            <w:bookmarkStart w:id="227" w:name="OLE_LINK42"/>
            <w:r>
              <w:rPr>
                <w:rFonts w:hint="eastAsia" w:ascii="宋体" w:hAnsi="宋体" w:cs="宋体"/>
                <w:szCs w:val="21"/>
              </w:rPr>
              <w:t xml:space="preserve">17</w:t>
            </w:r>
            <w:r/>
          </w:p>
        </w:tc>
        <w:tc>
          <w:tcPr>
            <w:tcW w:w="2156" w:type="dxa"/>
            <w:vAlign w:val="center"/>
            <w:textDirection w:val="lrTb"/>
            <w:noWrap w:val="false"/>
          </w:tcPr>
          <w:p>
            <w:pPr>
              <w:pStyle w:val="836"/>
              <w:jc w:val="center"/>
              <w:rPr>
                <w:rFonts w:hint="eastAsia" w:ascii="宋体" w:hAnsi="宋体" w:cs="宋体"/>
                <w:szCs w:val="21"/>
                <w:lang w:bidi="ar"/>
              </w:rPr>
            </w:pPr>
            <w:r/>
            <w:bookmarkStart w:id="228" w:name="OLE_LINK59"/>
            <w:r>
              <w:rPr>
                <w:rFonts w:hint="eastAsia" w:ascii="宋体" w:hAnsi="宋体" w:cs="宋体"/>
                <w:szCs w:val="21"/>
                <w:lang w:bidi="ar"/>
              </w:rPr>
              <w:t xml:space="preserve">实训室环境建设</w:t>
            </w:r>
            <w:bookmarkEnd w:id="228"/>
            <w:r>
              <w:rPr>
                <w:rFonts w:hint="eastAsia" w:ascii="宋体" w:hAnsi="宋体" w:cs="宋体"/>
                <w:szCs w:val="21"/>
                <w:lang w:bidi="ar"/>
              </w:rPr>
            </w:r>
            <w:r/>
          </w:p>
          <w:p>
            <w:pPr>
              <w:pStyle w:val="836"/>
              <w:jc w:val="center"/>
              <w:rPr>
                <w:rFonts w:hint="eastAsia" w:ascii="宋体" w:hAnsi="宋体" w:cs="宋体"/>
                <w:szCs w:val="21"/>
                <w:lang w:bidi="ar"/>
              </w:rPr>
            </w:pPr>
            <w:r>
              <w:rPr>
                <w:rFonts w:hint="eastAsia" w:ascii="宋体" w:hAnsi="宋体" w:cs="宋体"/>
                <w:szCs w:val="21"/>
                <w:lang w:bidi="ar"/>
              </w:rPr>
              <w:t xml:space="preserve">（最高限价：9.341405万元）</w:t>
            </w:r>
            <w:r/>
          </w:p>
        </w:tc>
        <w:tc>
          <w:tcPr>
            <w:tcW w:w="3904" w:type="dxa"/>
            <w:vAlign w:val="center"/>
            <w:textDirection w:val="lrTb"/>
            <w:noWrap w:val="false"/>
          </w:tcPr>
          <w:p>
            <w:pPr>
              <w:pStyle w:val="836"/>
              <w:jc w:val="left"/>
              <w:rPr>
                <w:rFonts w:hint="eastAsia" w:ascii="宋体" w:hAnsi="宋体" w:cs="宋体"/>
                <w:szCs w:val="21"/>
              </w:rPr>
            </w:pPr>
            <w:r/>
            <w:bookmarkStart w:id="229" w:name="OLE_LINK151"/>
            <w:r>
              <w:rPr>
                <w:rFonts w:hint="eastAsia" w:ascii="宋体" w:hAnsi="宋体" w:cs="宋体"/>
                <w:szCs w:val="21"/>
              </w:rPr>
              <w:t xml:space="preserve">实训室地板铺设及环境升级</w:t>
            </w:r>
            <w:bookmarkEnd w:id="229"/>
            <w:r>
              <w:rPr>
                <w:rFonts w:hint="eastAsia" w:ascii="宋体" w:hAnsi="宋体" w:cs="宋体"/>
                <w:szCs w:val="21"/>
              </w:rPr>
            </w:r>
            <w:r/>
          </w:p>
        </w:tc>
        <w:tc>
          <w:tcPr>
            <w:tcW w:w="860"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861"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r>
    </w:tbl>
    <w:p>
      <w:pPr>
        <w:pStyle w:val="836"/>
        <w:ind w:firstLine="480"/>
        <w:jc w:val="left"/>
        <w:spacing w:line="360" w:lineRule="auto"/>
        <w:widowControl/>
        <w:rPr>
          <w:rFonts w:hint="eastAsia" w:ascii="宋体" w:hAnsi="宋体" w:cs="宋体"/>
          <w:sz w:val="24"/>
        </w:rPr>
      </w:pPr>
      <w:r/>
      <w:bookmarkEnd w:id="189"/>
      <w:r/>
      <w:bookmarkEnd w:id="190"/>
      <w:r/>
      <w:bookmarkEnd w:id="191"/>
      <w:r/>
      <w:bookmarkEnd w:id="192"/>
      <w:r/>
      <w:bookmarkEnd w:id="193"/>
      <w:r/>
      <w:bookmarkEnd w:id="194"/>
      <w:r/>
      <w:bookmarkEnd w:id="225"/>
      <w:r/>
      <w:bookmarkEnd w:id="226"/>
      <w:r/>
      <w:bookmarkEnd w:id="227"/>
      <w:r>
        <w:rPr>
          <w:rFonts w:hint="eastAsia" w:ascii="宋体" w:hAnsi="宋体" w:cs="宋体"/>
          <w:sz w:val="24"/>
        </w:rPr>
        <w:t xml:space="preserve">2.</w:t>
      </w:r>
      <w:bookmarkStart w:id="230" w:name="OLE_LINK202"/>
      <w:r>
        <w:rPr>
          <w:rFonts w:hint="eastAsia" w:ascii="宋体" w:hAnsi="宋体" w:cs="宋体"/>
          <w:sz w:val="24"/>
        </w:rPr>
        <w:t xml:space="preserve">采购项目交付时间：</w:t>
      </w:r>
      <w:bookmarkStart w:id="231" w:name="OLE_LINK206"/>
      <w:r>
        <w:rPr>
          <w:rFonts w:hint="eastAsia" w:ascii="宋体" w:hAnsi="宋体" w:cs="宋体"/>
          <w:sz w:val="24"/>
          <w:u w:val="single"/>
        </w:rPr>
        <w:t xml:space="preserve">自合同签订起630天内，完成供货、安装、调试、检验、试运行、正式验收及交付使用等全部工作。本项目供货期间实行分期供货、分段验收，具体安排以采购人通知为准</w:t>
      </w:r>
      <w:r>
        <w:rPr>
          <w:rFonts w:hint="eastAsia" w:ascii="宋体" w:hAnsi="宋体" w:cs="宋体"/>
          <w:sz w:val="24"/>
        </w:rPr>
        <w:t xml:space="preserve">。</w:t>
      </w:r>
      <w:bookmarkEnd w:id="230"/>
      <w:r/>
      <w:bookmarkEnd w:id="231"/>
      <w:r>
        <w:rPr>
          <w:rFonts w:hint="eastAsia" w:ascii="宋体" w:hAnsi="宋体" w:cs="宋体"/>
          <w:sz w:val="24"/>
        </w:rPr>
      </w:r>
      <w:r/>
    </w:p>
    <w:p>
      <w:pPr>
        <w:pStyle w:val="836"/>
        <w:ind w:firstLine="480"/>
        <w:jc w:val="left"/>
        <w:spacing w:line="360" w:lineRule="auto"/>
        <w:widowControl/>
        <w:rPr>
          <w:rFonts w:hint="eastAsia" w:ascii="宋体" w:hAnsi="宋体" w:cs="宋体"/>
          <w:b/>
          <w:sz w:val="24"/>
        </w:rPr>
      </w:pPr>
      <w:r>
        <w:rPr>
          <w:rFonts w:hint="eastAsia" w:ascii="宋体" w:hAnsi="宋体" w:cs="宋体"/>
          <w:sz w:val="24"/>
        </w:rPr>
        <w:t xml:space="preserve">3.采购项目交付地点：</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江苏航运职业技术学院   </w:t>
      </w:r>
      <w:r>
        <w:rPr>
          <w:rFonts w:hint="eastAsia" w:ascii="宋体" w:hAnsi="宋体" w:cs="宋体"/>
          <w:sz w:val="24"/>
        </w:rPr>
        <w:t xml:space="preserve">。</w:t>
      </w:r>
      <w:r>
        <w:rPr>
          <w:rFonts w:hint="eastAsia" w:ascii="宋体" w:hAnsi="宋体" w:cs="宋体"/>
          <w:b/>
          <w:sz w:val="24"/>
        </w:rPr>
      </w:r>
      <w:r/>
    </w:p>
    <w:p>
      <w:pPr>
        <w:pStyle w:val="838"/>
        <w:ind w:firstLine="482"/>
        <w:spacing w:before="0" w:after="0" w:line="360" w:lineRule="auto"/>
        <w:rPr>
          <w:rFonts w:hint="eastAsia" w:ascii="宋体" w:hAnsi="宋体" w:eastAsia="宋体" w:cs="宋体"/>
          <w:sz w:val="24"/>
        </w:rPr>
      </w:pPr>
      <w:r/>
      <w:bookmarkStart w:id="232" w:name="OLE_LINK152"/>
      <w:r>
        <w:rPr>
          <w:rFonts w:hint="eastAsia" w:ascii="宋体" w:hAnsi="宋体" w:eastAsia="宋体" w:cs="宋体"/>
          <w:sz w:val="24"/>
        </w:rPr>
        <w:t xml:space="preserve">四、采购标的需满足的服务标准、期限、效率等要求</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1.质保期：</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1.2 投标产品中软件部分终身免费升级维护。其他按有关规定执行（国际标准、国家标准、行业标准或企业标准）。</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1.2 所购全部硬件设备质保期五年，产品符合国家或行业标准相关要求。</w:t>
      </w:r>
      <w:r/>
    </w:p>
    <w:p>
      <w:pPr>
        <w:pStyle w:val="836"/>
        <w:ind w:firstLine="480"/>
        <w:spacing w:line="360" w:lineRule="auto"/>
        <w:widowControl/>
        <w:rPr>
          <w:rFonts w:ascii="宋体" w:hAnsi="宋体" w:cs="宋体"/>
          <w:b/>
          <w:bCs/>
          <w:sz w:val="24"/>
        </w:rPr>
      </w:pPr>
      <w:r>
        <w:rPr>
          <w:rFonts w:hint="eastAsia" w:ascii="宋体" w:hAnsi="宋体" w:cs="宋体"/>
          <w:sz w:val="24"/>
        </w:rPr>
        <w:t xml:space="preserve">1.3 中标人在本项目“实训室地板铺设及环境升级”子项（质保期</w:t>
      </w:r>
      <w:r>
        <w:rPr>
          <w:rFonts w:ascii="宋体" w:hAnsi="宋体" w:cs="宋体"/>
          <w:sz w:val="24"/>
        </w:rPr>
        <w:t xml:space="preserve">5</w:t>
      </w:r>
      <w:r>
        <w:rPr>
          <w:rFonts w:hint="eastAsia" w:ascii="宋体" w:hAnsi="宋体" w:cs="宋体"/>
          <w:sz w:val="24"/>
        </w:rPr>
        <w:t xml:space="preserve">年）验收前需提交竣工图（含CAD格式电子档）、隐蔽工程验收记录及图片、质量验收资料等（包括但不限于施工现场质量管理检查记录、工程材料质量记录、施工过程作业活动质量记录资料），且符合《建设工程文件归档整理规范》及相关规定。</w:t>
      </w:r>
      <w:r>
        <w:rPr>
          <w:rFonts w:ascii="宋体" w:hAnsi="宋体" w:cs="宋体"/>
          <w:b/>
          <w:bCs/>
          <w:sz w:val="24"/>
        </w:rPr>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2.产品使用中，接到招标人电话通知后，在一小时内提供技术指导或远程维护，如招标人需要在接到招标人通知5小时（省外单位8小时）内派出技术人员到达用户现场进行相关服务。</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3.安装、调试、培训要求：项目实施阶段安排专业技术人员现场实施，中标人对招标人进行现场至少两次免费使用培训。验收合格后进行一次使用、简单维护、维修培训，确保招标人了解全套设备使用、维护方法和进行简单的维修操作。使用1-2月后，中标人再提供一次培训。</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五、采购标的包装、运输、交货、验收标准</w:t>
      </w:r>
      <w:r/>
    </w:p>
    <w:p>
      <w:pPr>
        <w:pStyle w:val="878"/>
        <w:ind w:firstLine="482"/>
        <w:spacing w:before="120" w:after="120" w:line="360" w:lineRule="auto"/>
        <w:tabs>
          <w:tab w:val="left" w:pos="0" w:leader="none"/>
        </w:tabs>
        <w:rPr>
          <w:rFonts w:hint="eastAsia" w:hAnsi="宋体" w:cs="宋体"/>
          <w:sz w:val="24"/>
          <w:szCs w:val="24"/>
        </w:rPr>
      </w:pPr>
      <w:r>
        <w:rPr>
          <w:rFonts w:hint="eastAsia" w:hAnsi="宋体" w:cs="宋体"/>
          <w:b/>
          <w:bCs/>
          <w:sz w:val="24"/>
          <w:szCs w:val="24"/>
        </w:rPr>
        <w:t xml:space="preserve">（一）商品包装环保要求：</w:t>
      </w:r>
      <w:r>
        <w:rPr>
          <w:rFonts w:hint="eastAsia" w:hAnsi="宋体" w:cs="宋体"/>
          <w:sz w:val="24"/>
          <w:szCs w:val="24"/>
        </w:rPr>
        <w:t xml:space="preserve">应当按《关于印发〈商品包装政府采购需求标准（试行）〉、〈快递包装政府采购需求标准（试行）〉的通知》（财办库〔2020〕123号）文件执行。</w:t>
      </w:r>
      <w:r/>
    </w:p>
    <w:p>
      <w:pPr>
        <w:pStyle w:val="878"/>
        <w:ind w:firstLine="480"/>
        <w:spacing w:before="120" w:after="120" w:line="360" w:lineRule="auto"/>
        <w:tabs>
          <w:tab w:val="left" w:pos="0" w:leader="none"/>
        </w:tabs>
        <w:rPr>
          <w:rFonts w:hint="eastAsia" w:hAnsi="宋体" w:cs="宋体"/>
          <w:sz w:val="24"/>
          <w:szCs w:val="24"/>
        </w:rPr>
      </w:pPr>
      <w:r>
        <w:rPr>
          <w:rFonts w:hint="eastAsia" w:hAnsi="宋体" w:cs="宋体"/>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36"/>
        <w:ind w:firstLine="482"/>
        <w:spacing w:line="500" w:lineRule="exact"/>
        <w:rPr>
          <w:rFonts w:hint="eastAsia" w:ascii="宋体" w:hAnsi="宋体" w:cs="宋体"/>
          <w:sz w:val="24"/>
        </w:rPr>
        <w:outlineLvl w:val="2"/>
      </w:pPr>
      <w:r>
        <w:rPr>
          <w:rFonts w:hint="eastAsia" w:ascii="宋体" w:hAnsi="宋体" w:cs="宋体"/>
          <w:b/>
          <w:bCs/>
          <w:sz w:val="24"/>
        </w:rPr>
        <w:t xml:space="preserve">（二）运输：</w:t>
      </w:r>
      <w:r>
        <w:rPr>
          <w:rFonts w:hint="eastAsia" w:ascii="宋体" w:hAnsi="宋体" w:cs="宋体"/>
          <w:sz w:val="24"/>
        </w:rPr>
        <w:t xml:space="preserve">货物的运输及风险由中标人负责，运输费用及运输保险费用包含在合同价款中，采购人对此不负任何责任。</w:t>
      </w:r>
      <w:r/>
    </w:p>
    <w:p>
      <w:pPr>
        <w:pStyle w:val="836"/>
        <w:ind w:firstLine="482"/>
        <w:spacing w:line="500" w:lineRule="exact"/>
        <w:rPr>
          <w:rFonts w:hint="eastAsia" w:ascii="宋体" w:hAnsi="宋体" w:cs="宋体"/>
          <w:sz w:val="24"/>
        </w:rPr>
        <w:outlineLvl w:val="2"/>
      </w:pPr>
      <w:r>
        <w:rPr>
          <w:rFonts w:hint="eastAsia" w:ascii="宋体" w:hAnsi="宋体" w:cs="宋体"/>
          <w:b/>
          <w:bCs/>
          <w:sz w:val="24"/>
        </w:rPr>
        <w:t xml:space="preserve">（三）交货、安装：</w:t>
      </w:r>
      <w:r>
        <w:rPr>
          <w:rFonts w:hint="eastAsia" w:ascii="宋体" w:hAnsi="宋体" w:cs="宋体"/>
          <w:sz w:val="24"/>
        </w:rPr>
        <w:t xml:space="preserve">交货方式为中标人送货至采购人指定地点，除不可抗力因素外，中标人必须按合同规定的时间、地点安排交货并安装。</w:t>
      </w:r>
      <w:r/>
    </w:p>
    <w:p>
      <w:pPr>
        <w:pStyle w:val="836"/>
        <w:ind w:firstLine="482"/>
        <w:spacing w:line="500" w:lineRule="exact"/>
        <w:rPr>
          <w:rFonts w:hint="eastAsia" w:ascii="宋体" w:hAnsi="宋体" w:cs="宋体"/>
          <w:b/>
          <w:bCs/>
          <w:sz w:val="24"/>
        </w:rPr>
        <w:outlineLvl w:val="2"/>
      </w:pPr>
      <w:r>
        <w:rPr>
          <w:rFonts w:hint="eastAsia" w:ascii="宋体" w:hAnsi="宋体" w:cs="宋体"/>
          <w:b/>
          <w:bCs/>
          <w:sz w:val="24"/>
        </w:rPr>
        <w:t xml:space="preserve">（四）验收</w:t>
      </w:r>
      <w:r/>
    </w:p>
    <w:p>
      <w:pPr>
        <w:pStyle w:val="836"/>
        <w:ind w:firstLine="482"/>
        <w:spacing w:line="360" w:lineRule="auto"/>
        <w:rPr>
          <w:rFonts w:hint="eastAsia" w:ascii="宋体" w:hAnsi="宋体" w:cs="宋体"/>
          <w:b/>
          <w:bCs/>
          <w:sz w:val="24"/>
        </w:rPr>
      </w:pPr>
      <w:r/>
      <w:bookmarkStart w:id="233" w:name="OLE_LINK169"/>
      <w:r>
        <w:rPr>
          <w:rFonts w:hint="eastAsia" w:ascii="宋体" w:hAnsi="宋体" w:cs="宋体"/>
          <w:b/>
          <w:bCs/>
          <w:sz w:val="24"/>
        </w:rPr>
        <w:t xml:space="preserve">1. 硬件设备验收标准</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外观与资质：所有设备为全新原厂正品，外观无破损、划痕、变形，附带原厂产品合格证、防伪标识；进口设备提供合法合规的报关与商检凭证。</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参数符合性：核心硬件配置（处理器、内存、显卡、屏幕参数、核心元器件规格等）与投标响应完全一致，抽检设备参数检测合格率 100%。</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功能与性能：通电运行稳定，基础功能与专项功能全部正常，满足对应教学实训场景性能要求，无卡顿、死机、异响、漏液等异常问题。</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兼容适配性：与项目内其他软硬件设备互联互通，适配现有教室供电、网络、布线环境，无驱动冲突、接口不匹配等问题。</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安装与布线：设备安装牢固合规，线缆隐蔽收纳、规整有序，符合用电安全与教学场景整洁要求。</w:t>
      </w:r>
      <w:r/>
    </w:p>
    <w:p>
      <w:pPr>
        <w:pStyle w:val="836"/>
        <w:numPr>
          <w:ilvl w:val="0"/>
          <w:numId w:val="18"/>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资料交付：同步交付原厂使用说明书、质保函、驱动安装包、配件清单等全套资料。</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2. 软件系统验收标准</w:t>
      </w:r>
      <w:r>
        <w:rPr>
          <w:rFonts w:hint="eastAsia" w:ascii="宋体" w:hAnsi="宋体" w:cs="宋体"/>
          <w:sz w:val="24"/>
        </w:rPr>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部署验收：完成本地终端私有化部署与校园网在线访问双环境搭建，全部授权节点激活正常，无授权数量不足、过期、限制功能等问题。</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功能符合性：软件核心功能、带“☆”的关键参数全部满足招标要求；实训工艺流程、模型结构、专业内容无知识性错误，符合船舶行业规范与船级社标准。</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性能指标：满足约定并发数同时在线实训，三维模型加载速度、交互响应延迟达标；连续满负荷运行无闪退、崩溃、数据丢失等异常。</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管理与安全：三级用户权限体系运行正常，成绩统计、数据备份、操作日志功能有效；教学数据加密存储，符合校园网络安全管理要求。</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文档交付：每套软件同步交付纸质版 + 可检索电子版使用手册，手册附招标技术参数-手册页码对照表；同时提供部署手册、运维指南、故障排查手册。</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知识产权：提供完整的软件正版授权证明、对应软件著作权证书，无版权纠纷，覆盖校方全教学场景使用授权。</w:t>
      </w:r>
      <w:r/>
    </w:p>
    <w:p>
      <w:pPr>
        <w:pStyle w:val="836"/>
        <w:numPr>
          <w:ilvl w:val="0"/>
          <w:numId w:val="19"/>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试运行验证：15 天试用期内全功能、全负荷运行无重大故障；问题响应与整改时效符合服务要求。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3.环境建设验收标准</w:t>
      </w:r>
      <w:r>
        <w:rPr>
          <w:rFonts w:hint="eastAsia" w:ascii="宋体" w:hAnsi="宋体" w:cs="宋体"/>
          <w:sz w:val="24"/>
        </w:rPr>
      </w:r>
      <w:r/>
    </w:p>
    <w:p>
      <w:pPr>
        <w:pStyle w:val="836"/>
        <w:numPr>
          <w:ilvl w:val="0"/>
          <w:numId w:val="20"/>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施工资料：环境建设项目提交竣工图（CAD 电子档）、隐蔽工程验收记录、质量验收资料，符合《建设工程文件归档整理规范》要求。</w:t>
      </w:r>
      <w:r/>
    </w:p>
    <w:p>
      <w:pPr>
        <w:pStyle w:val="836"/>
        <w:ind w:firstLine="482"/>
        <w:spacing w:line="360" w:lineRule="auto"/>
        <w:rPr>
          <w:rFonts w:hint="eastAsia" w:ascii="宋体" w:hAnsi="宋体" w:cs="宋体"/>
          <w:sz w:val="24"/>
        </w:rPr>
      </w:pPr>
      <w:r>
        <w:rPr>
          <w:rFonts w:hint="eastAsia" w:ascii="宋体" w:hAnsi="宋体" w:cs="宋体"/>
          <w:b/>
          <w:bCs/>
          <w:sz w:val="24"/>
        </w:rPr>
        <w:t xml:space="preserve">4. 项目整体验收要求</w:t>
      </w:r>
      <w:r>
        <w:rPr>
          <w:rFonts w:hint="eastAsia" w:ascii="宋体" w:hAnsi="宋体" w:cs="宋体"/>
          <w:sz w:val="24"/>
        </w:rPr>
      </w:r>
      <w:r/>
    </w:p>
    <w:p>
      <w:pPr>
        <w:pStyle w:val="836"/>
        <w:ind w:firstLine="480"/>
        <w:spacing w:line="360" w:lineRule="auto"/>
        <w:rPr>
          <w:rFonts w:hint="eastAsia" w:ascii="宋体" w:hAnsi="宋体" w:cs="宋体"/>
          <w:sz w:val="24"/>
        </w:rPr>
      </w:pPr>
      <w:r/>
      <w:bookmarkStart w:id="234" w:name="OLE_LINK207"/>
      <w:r>
        <w:rPr>
          <w:rFonts w:hint="eastAsia" w:ascii="宋体" w:hAnsi="宋体" w:cs="宋体"/>
          <w:sz w:val="24"/>
        </w:rPr>
        <w:t xml:space="preserve">分阶段验收：按照招标文件约定的分段交付节点同步开展阶段验收，阶段验收合格后方可进入下一实施环节</w:t>
      </w:r>
      <w:bookmarkStart w:id="235" w:name="OLE_LINK177"/>
      <w:r/>
      <w:bookmarkStart w:id="236" w:name="OLE_LINK37"/>
      <w:r>
        <w:rPr>
          <w:rFonts w:hint="eastAsia" w:ascii="宋体" w:hAnsi="宋体" w:cs="宋体"/>
          <w:sz w:val="24"/>
        </w:rPr>
        <w:t xml:space="preserve">。</w:t>
      </w:r>
      <w:r/>
    </w:p>
    <w:p>
      <w:pPr>
        <w:pStyle w:val="836"/>
        <w:ind w:firstLine="480"/>
        <w:spacing w:line="360" w:lineRule="auto"/>
        <w:rPr>
          <w:rFonts w:hint="eastAsia" w:ascii="宋体" w:hAnsi="宋体" w:cs="宋体"/>
          <w:sz w:val="24"/>
        </w:rPr>
      </w:pPr>
      <w:r/>
      <w:bookmarkStart w:id="237" w:name="OLE_LINK90"/>
      <w:r/>
      <w:bookmarkStart w:id="238" w:name="OLE_LINK92"/>
      <w:r/>
      <w:bookmarkStart w:id="239" w:name="OLE_LINK94"/>
      <w:r>
        <w:rPr>
          <w:rFonts w:hint="eastAsia" w:ascii="宋体" w:hAnsi="宋体" w:cs="宋体"/>
          <w:sz w:val="24"/>
        </w:rPr>
        <w:t xml:space="preserve">（1）第一阶段：货物1-10、17签订合同起</w:t>
      </w:r>
      <w:r>
        <w:rPr>
          <w:rFonts w:ascii="宋体" w:hAnsi="宋体" w:cs="宋体"/>
          <w:sz w:val="24"/>
        </w:rPr>
        <w:t xml:space="preserve">90</w:t>
      </w:r>
      <w:r>
        <w:rPr>
          <w:rFonts w:hint="eastAsia" w:ascii="宋体" w:hAnsi="宋体" w:cs="宋体"/>
          <w:sz w:val="24"/>
        </w:rPr>
        <w:t xml:space="preserve">天内供货，试用15天，合格后进行验收；</w:t>
      </w:r>
      <w:bookmarkEnd w:id="235"/>
      <w:r/>
      <w:bookmarkStart w:id="240" w:name="OLE_LINK176"/>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）第二阶段：</w:t>
      </w:r>
      <w:bookmarkStart w:id="241" w:name="OLE_LINK205"/>
      <w:r>
        <w:rPr>
          <w:rFonts w:hint="eastAsia" w:ascii="宋体" w:hAnsi="宋体" w:cs="宋体"/>
          <w:sz w:val="24"/>
        </w:rPr>
        <w:t xml:space="preserve">货物11-13</w:t>
      </w:r>
      <w:bookmarkEnd w:id="241"/>
      <w:r/>
      <w:bookmarkStart w:id="242" w:name="OLE_LINK63"/>
      <w:r>
        <w:rPr>
          <w:rFonts w:hint="eastAsia" w:ascii="宋体" w:hAnsi="宋体" w:cs="宋体"/>
          <w:sz w:val="24"/>
        </w:rPr>
        <w:t xml:space="preserve">签订合同起</w:t>
      </w:r>
      <w:bookmarkEnd w:id="242"/>
      <w:r>
        <w:rPr>
          <w:rFonts w:hint="eastAsia" w:ascii="宋体" w:hAnsi="宋体" w:cs="宋体"/>
          <w:sz w:val="24"/>
        </w:rPr>
        <w:t xml:space="preserve">360天内供货，试用15天，合格后进行验收；</w:t>
      </w:r>
      <w:bookmarkEnd w:id="240"/>
      <w:r>
        <w:rPr>
          <w:rFonts w:hint="eastAsia" w:ascii="宋体" w:hAnsi="宋体" w:cs="宋体"/>
          <w:sz w:val="24"/>
        </w:rPr>
      </w:r>
      <w:r/>
    </w:p>
    <w:p>
      <w:pPr>
        <w:pStyle w:val="836"/>
        <w:ind w:firstLine="480"/>
        <w:spacing w:line="360" w:lineRule="auto"/>
        <w:rPr>
          <w:rFonts w:ascii="宋体" w:hAnsi="宋体" w:cs="宋体"/>
          <w:sz w:val="24"/>
        </w:rPr>
      </w:pPr>
      <w:r/>
      <w:bookmarkStart w:id="243" w:name="OLE_LINK204"/>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）第三阶段（最终验收）：项目全部货物、系统、环境建设签订合同起630天内供货，试用15天，进行最终验收；</w:t>
      </w:r>
      <w:bookmarkEnd w:id="243"/>
      <w:r>
        <w:rPr>
          <w:rFonts w:ascii="宋体" w:hAnsi="宋体" w:cs="宋体"/>
          <w:sz w:val="24"/>
        </w:rPr>
      </w:r>
      <w:r/>
    </w:p>
    <w:p>
      <w:pPr>
        <w:pStyle w:val="836"/>
        <w:ind w:firstLine="480"/>
        <w:spacing w:line="360" w:lineRule="auto"/>
        <w:rPr>
          <w:rFonts w:hint="eastAsia" w:ascii="宋体" w:hAnsi="宋体" w:cs="宋体"/>
          <w:sz w:val="24"/>
        </w:rPr>
      </w:pPr>
      <w:r/>
      <w:bookmarkEnd w:id="234"/>
      <w:r/>
      <w:bookmarkEnd w:id="237"/>
      <w:r>
        <w:rPr>
          <w:rFonts w:hint="eastAsia" w:ascii="宋体" w:hAnsi="宋体" w:cs="宋体"/>
          <w:sz w:val="24"/>
        </w:rPr>
        <w:t xml:space="preserve">以上环节试用不合格，需在24小时内响应并提交整改方案，15天内完成整改。</w:t>
      </w:r>
      <w:bookmarkEnd w:id="236"/>
      <w:r/>
      <w:bookmarkEnd w:id="238"/>
      <w:r>
        <w:rPr>
          <w:rFonts w:hint="eastAsia" w:ascii="宋体" w:hAnsi="宋体" w:cs="宋体"/>
          <w:sz w:val="24"/>
        </w:rPr>
      </w:r>
      <w:r/>
    </w:p>
    <w:p>
      <w:pPr>
        <w:pStyle w:val="836"/>
        <w:numPr>
          <w:ilvl w:val="0"/>
          <w:numId w:val="21"/>
        </w:numPr>
        <w:ind w:left="0" w:firstLine="480"/>
        <w:spacing w:line="360" w:lineRule="auto"/>
        <w:widowControl/>
        <w:tabs>
          <w:tab w:val="left" w:pos="720" w:leader="none"/>
        </w:tabs>
        <w:rPr>
          <w:rFonts w:hint="eastAsia" w:ascii="宋体" w:hAnsi="宋体" w:cs="宋体"/>
          <w:sz w:val="24"/>
        </w:rPr>
      </w:pPr>
      <w:r/>
      <w:bookmarkEnd w:id="239"/>
      <w:r>
        <w:rPr>
          <w:rFonts w:hint="eastAsia" w:ascii="宋体" w:hAnsi="宋体" w:cs="宋体"/>
          <w:sz w:val="24"/>
        </w:rPr>
        <w:t xml:space="preserve">验收资料：供应商提交完整验收资料，包括供货清单、产品合格证、授权文件、检测报告、施工记录、试运行报告、运维手册、使用手册等。</w:t>
      </w:r>
      <w:r/>
    </w:p>
    <w:p>
      <w:pPr>
        <w:pStyle w:val="836"/>
        <w:numPr>
          <w:ilvl w:val="0"/>
          <w:numId w:val="21"/>
        </w:numPr>
        <w:ind w:left="0" w:firstLine="480"/>
        <w:spacing w:line="360" w:lineRule="auto"/>
        <w:widowControl/>
        <w:tabs>
          <w:tab w:val="left" w:pos="720" w:leader="none"/>
        </w:tabs>
        <w:rPr>
          <w:rFonts w:hint="eastAsia" w:ascii="宋体" w:hAnsi="宋体" w:cs="宋体"/>
          <w:sz w:val="24"/>
        </w:rPr>
      </w:pPr>
      <w:r>
        <w:rPr>
          <w:rFonts w:hint="eastAsia" w:ascii="宋体" w:hAnsi="宋体" w:cs="宋体"/>
          <w:sz w:val="24"/>
        </w:rPr>
        <w:t xml:space="preserve">验收方式：校方组建验收小组，通过现场实测、功能演示、资料核查、抽检测试等方式开展验收；关键参数与核心功能逐项核验。</w:t>
      </w:r>
      <w:r/>
    </w:p>
    <w:p>
      <w:pPr>
        <w:pStyle w:val="836"/>
        <w:numPr>
          <w:ilvl w:val="0"/>
          <w:numId w:val="21"/>
        </w:numPr>
        <w:ind w:left="0" w:firstLine="480"/>
        <w:spacing w:line="360" w:lineRule="auto"/>
        <w:widowControl/>
        <w:tabs>
          <w:tab w:val="left" w:pos="720" w:leader="none"/>
        </w:tabs>
        <w:rPr>
          <w:rFonts w:hint="eastAsia" w:ascii="宋体" w:hAnsi="宋体" w:cs="宋体"/>
          <w:b/>
          <w:bCs/>
          <w:sz w:val="24"/>
        </w:rPr>
      </w:pPr>
      <w:r>
        <w:rPr>
          <w:rFonts w:hint="eastAsia" w:ascii="宋体" w:hAnsi="宋体" w:cs="宋体"/>
          <w:sz w:val="24"/>
        </w:rPr>
        <w:t xml:space="preserve">整改机制：验收不合格项，供应商须在约定期限内完成整改并申请复检，整改产生的全部费用由供应商承担；逾期未整改按违约处理。</w:t>
      </w:r>
      <w:r>
        <w:rPr>
          <w:rFonts w:hint="eastAsia" w:ascii="宋体" w:hAnsi="宋体" w:cs="宋体"/>
          <w:b/>
          <w:bCs/>
          <w:sz w:val="24"/>
        </w:rPr>
      </w:r>
      <w:r/>
    </w:p>
    <w:p>
      <w:pPr>
        <w:pStyle w:val="836"/>
        <w:numPr>
          <w:ilvl w:val="0"/>
          <w:numId w:val="21"/>
        </w:numPr>
        <w:ind w:left="0" w:firstLine="480"/>
        <w:spacing w:line="360" w:lineRule="auto"/>
        <w:widowControl/>
        <w:tabs>
          <w:tab w:val="left" w:pos="720" w:leader="none"/>
        </w:tabs>
        <w:rPr>
          <w:rFonts w:hint="eastAsia" w:ascii="宋体" w:hAnsi="宋体" w:cs="宋体"/>
          <w:b/>
          <w:bCs/>
          <w:sz w:val="24"/>
        </w:rPr>
      </w:pPr>
      <w:r>
        <w:rPr>
          <w:rFonts w:hint="eastAsia" w:ascii="宋体" w:hAnsi="宋体" w:cs="宋体"/>
          <w:sz w:val="24"/>
        </w:rPr>
        <w:t xml:space="preserve">验收结论：全部货物、软件、配套服务均符合要求，资料齐全且试运行正常，由双方共同签署项目终验收合格证书。</w:t>
      </w:r>
      <w:bookmarkEnd w:id="232"/>
      <w:r/>
      <w:bookmarkEnd w:id="233"/>
      <w:r>
        <w:rPr>
          <w:rFonts w:hint="eastAsia" w:ascii="宋体" w:hAnsi="宋体" w:cs="宋体"/>
          <w:b/>
          <w:bCs/>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六、采购标的的其他技术、服务等要求</w:t>
      </w:r>
      <w:r/>
    </w:p>
    <w:p>
      <w:pPr>
        <w:pStyle w:val="836"/>
        <w:ind w:firstLine="480"/>
        <w:spacing w:line="360" w:lineRule="auto"/>
        <w:rPr>
          <w:rFonts w:hint="eastAsia" w:ascii="宋体" w:hAnsi="宋体" w:cs="宋体"/>
          <w:sz w:val="24"/>
        </w:rPr>
      </w:pPr>
      <w:r>
        <w:rPr>
          <w:rFonts w:hint="eastAsia" w:ascii="宋体" w:hAnsi="宋体" w:cs="宋体"/>
          <w:sz w:val="24"/>
        </w:rPr>
        <w:t xml:space="preserve">中标后签订合同前，中标人须提供己方盖章后的正版软件授权承诺函。</w:t>
      </w:r>
      <w:r/>
    </w:p>
    <w:p>
      <w:pPr>
        <w:pStyle w:val="838"/>
        <w:ind w:firstLine="482"/>
        <w:spacing w:before="0" w:after="0" w:line="360" w:lineRule="auto"/>
        <w:rPr>
          <w:rFonts w:ascii="宋体" w:hAnsi="宋体" w:eastAsia="宋体" w:cs="宋体"/>
          <w:sz w:val="24"/>
        </w:rPr>
      </w:pPr>
      <w:r>
        <w:rPr>
          <w:rFonts w:hint="eastAsia" w:ascii="宋体" w:hAnsi="宋体" w:eastAsia="宋体" w:cs="宋体"/>
          <w:sz w:val="24"/>
        </w:rPr>
        <w:t xml:space="preserve">七、非单一产品采购项目，采购标的中的</w:t>
      </w:r>
      <w:bookmarkStart w:id="244" w:name="OLE_LINK82"/>
      <w:r>
        <w:rPr>
          <w:rFonts w:hint="eastAsia" w:ascii="宋体" w:hAnsi="宋体" w:eastAsia="宋体" w:cs="宋体"/>
          <w:sz w:val="24"/>
        </w:rPr>
        <w:t xml:space="preserve">核心产品</w:t>
      </w:r>
      <w:bookmarkEnd w:id="244"/>
      <w:r>
        <w:rPr>
          <w:rFonts w:ascii="宋体" w:hAnsi="宋体" w:eastAsia="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w:t>
      </w:r>
      <w:r>
        <w:rPr>
          <w:rFonts w:hint="eastAsia" w:ascii="宋体" w:hAnsi="宋体" w:cs="宋体"/>
          <w:sz w:val="24"/>
        </w:rPr>
        <w:t xml:space="preserve">教师数据管控终端</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学生实训专用终端</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MR一体机</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投影仪及幕布</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八、</w:t>
      </w:r>
      <w:bookmarkStart w:id="245" w:name="OLE_LINK83"/>
      <w:r>
        <w:rPr>
          <w:rFonts w:hint="eastAsia" w:ascii="宋体" w:hAnsi="宋体" w:eastAsia="宋体" w:cs="宋体"/>
          <w:sz w:val="24"/>
        </w:rPr>
        <w:t xml:space="preserve">采购需求中必须满足的</w:t>
      </w:r>
      <w:bookmarkStart w:id="246" w:name="OLE_LINK84"/>
      <w:r>
        <w:rPr>
          <w:rFonts w:hint="eastAsia" w:ascii="宋体" w:hAnsi="宋体" w:eastAsia="宋体" w:cs="宋体"/>
          <w:sz w:val="24"/>
        </w:rPr>
        <w:t xml:space="preserve">实质性要求</w:t>
      </w:r>
      <w:bookmarkEnd w:id="246"/>
      <w:r>
        <w:rPr>
          <w:rFonts w:hint="eastAsia" w:ascii="宋体" w:hAnsi="宋体" w:eastAsia="宋体" w:cs="宋体"/>
          <w:sz w:val="24"/>
        </w:rPr>
        <w:t xml:space="preserve">（请单独列出）</w:t>
      </w:r>
      <w:bookmarkEnd w:id="245"/>
      <w:r>
        <w:rPr>
          <w:rFonts w:hint="eastAsia" w:ascii="宋体" w:hAnsi="宋体" w:eastAsia="宋体" w:cs="宋体"/>
          <w:sz w:val="24"/>
        </w:rPr>
      </w:r>
      <w:r/>
    </w:p>
    <w:p>
      <w:pPr>
        <w:pStyle w:val="836"/>
        <w:contextualSpacing/>
        <w:ind w:firstLine="482"/>
        <w:jc w:val="left"/>
        <w:spacing w:line="360" w:lineRule="auto"/>
        <w:rPr>
          <w:rFonts w:hint="eastAsia" w:cs="宋体"/>
          <w:b/>
          <w:bCs/>
          <w:sz w:val="24"/>
        </w:rPr>
      </w:pPr>
      <w:r>
        <w:rPr>
          <w:rFonts w:hint="eastAsia" w:cs="宋体"/>
          <w:b/>
          <w:bCs/>
          <w:sz w:val="24"/>
        </w:rPr>
        <w:t xml:space="preserve">1.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权威机构出具的检测报告、盖有投标人公章的承诺书等。</w:t>
      </w:r>
      <w:r/>
    </w:p>
    <w:p>
      <w:pPr>
        <w:pStyle w:val="836"/>
        <w:contextualSpacing/>
        <w:ind w:firstLine="482"/>
        <w:jc w:val="left"/>
        <w:spacing w:line="360" w:lineRule="auto"/>
        <w:rPr>
          <w:rFonts w:hint="eastAsia" w:cs="宋体"/>
          <w:b/>
          <w:bCs/>
          <w:sz w:val="24"/>
        </w:rPr>
      </w:pPr>
      <w:r>
        <w:rPr>
          <w:rFonts w:hint="eastAsia" w:cs="宋体"/>
          <w:b/>
          <w:bCs/>
          <w:sz w:val="24"/>
        </w:rPr>
        <w:t xml:space="preserve">2.商务部分实质性要求：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各供应商应在投标文件中承诺：</w:t>
      </w:r>
      <w:r/>
    </w:p>
    <w:p>
      <w:pPr>
        <w:pStyle w:val="836"/>
        <w:contextualSpacing/>
        <w:ind w:firstLine="482"/>
        <w:jc w:val="left"/>
        <w:spacing w:line="360" w:lineRule="auto"/>
        <w:rPr>
          <w:rFonts w:hint="eastAsia" w:cs="宋体"/>
          <w:b/>
          <w:bCs/>
          <w:sz w:val="24"/>
        </w:rPr>
      </w:pPr>
      <w:r>
        <w:rPr>
          <w:rFonts w:hint="eastAsia" w:cs="宋体"/>
          <w:b/>
          <w:bCs/>
          <w:sz w:val="24"/>
        </w:rPr>
        <w:t xml:space="preserve">（1）投标产品中软件部分终身免费升级维护。</w:t>
      </w:r>
      <w:r/>
    </w:p>
    <w:p>
      <w:pPr>
        <w:pStyle w:val="836"/>
        <w:contextualSpacing/>
        <w:ind w:firstLine="482"/>
        <w:jc w:val="left"/>
        <w:spacing w:line="360" w:lineRule="auto"/>
        <w:rPr>
          <w:rFonts w:hint="eastAsia" w:cs="宋体"/>
          <w:b/>
          <w:bCs/>
          <w:sz w:val="24"/>
        </w:rPr>
      </w:pPr>
      <w:r>
        <w:rPr>
          <w:rFonts w:hint="eastAsia" w:cs="宋体"/>
          <w:b/>
          <w:bCs/>
          <w:sz w:val="24"/>
        </w:rPr>
        <w:t xml:space="preserve">（2）全部硬件设备质保期五年，产品符合国家或行业标准相关要求。</w:t>
      </w:r>
      <w:r/>
    </w:p>
    <w:p>
      <w:pPr>
        <w:pStyle w:val="836"/>
        <w:contextualSpacing/>
        <w:ind w:firstLine="482"/>
        <w:jc w:val="left"/>
        <w:spacing w:line="360" w:lineRule="auto"/>
        <w:rPr>
          <w:rFonts w:hint="eastAsia" w:cs="宋体"/>
          <w:b/>
          <w:bCs/>
          <w:sz w:val="24"/>
        </w:rPr>
      </w:pPr>
      <w:r>
        <w:rPr>
          <w:rFonts w:hint="eastAsia" w:cs="宋体"/>
          <w:b/>
          <w:bCs/>
          <w:sz w:val="24"/>
        </w:rPr>
        <w:t xml:space="preserve">时间从项目验收通过、采购单位接受并签字认可之日算起。证明材料为承诺书（格式自拟），未提供或承诺不符合以上两点要求作无效投标处理。</w:t>
      </w:r>
      <w:r/>
    </w:p>
    <w:p>
      <w:pPr>
        <w:pStyle w:val="838"/>
        <w:numPr>
          <w:ilvl w:val="0"/>
          <w:numId w:val="22"/>
        </w:numPr>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采购标的付款方式</w:t>
      </w:r>
      <w:r/>
    </w:p>
    <w:p>
      <w:pPr>
        <w:pStyle w:val="836"/>
        <w:ind w:firstLine="482"/>
        <w:spacing w:line="360" w:lineRule="auto"/>
        <w:widowControl/>
        <w:rPr>
          <w:rFonts w:hint="eastAsia" w:ascii="宋体" w:hAnsi="宋体" w:cs="宋体"/>
          <w:sz w:val="24"/>
        </w:rPr>
      </w:pPr>
      <w:r>
        <w:rPr>
          <w:rFonts w:hint="eastAsia" w:ascii="宋体" w:hAnsi="宋体" w:cs="宋体"/>
          <w:b/>
          <w:bCs/>
          <w:sz w:val="24"/>
        </w:rPr>
        <w:t xml:space="preserve">1.阶段付款</w:t>
      </w:r>
      <w:r>
        <w:rPr>
          <w:rFonts w:hint="eastAsia" w:ascii="宋体" w:hAnsi="宋体" w:cs="宋体"/>
          <w:sz w:val="24"/>
        </w:rPr>
      </w:r>
      <w:r/>
    </w:p>
    <w:p>
      <w:pPr>
        <w:pStyle w:val="836"/>
        <w:ind w:firstLine="480"/>
        <w:spacing w:line="360" w:lineRule="auto"/>
        <w:tabs>
          <w:tab w:val="left" w:pos="720" w:leader="none"/>
        </w:tabs>
        <w:rPr>
          <w:rFonts w:ascii="宋体" w:hAnsi="宋体" w:cs="宋体"/>
          <w:bCs/>
          <w:sz w:val="24"/>
        </w:rPr>
      </w:pPr>
      <w:r/>
      <w:bookmarkStart w:id="247" w:name="OLE_LINK170"/>
      <w:r/>
      <w:bookmarkStart w:id="248" w:name="OLE_LINK25"/>
      <w:r>
        <w:rPr>
          <w:rFonts w:hint="eastAsia" w:ascii="宋体" w:hAnsi="宋体" w:cs="宋体"/>
          <w:bCs/>
          <w:sz w:val="24"/>
        </w:rPr>
        <w:t xml:space="preserve">第一阶段：货物清单第1-10项、第17项全部供货安装调试完成，通过第一阶段验收且乙方提交增值税专用发票后15个工作日内，甲方向乙方支付合同总价的22%。</w:t>
      </w:r>
      <w:r>
        <w:rPr>
          <w:rFonts w:ascii="宋体" w:hAnsi="宋体" w:cs="宋体"/>
          <w:bCs/>
          <w:sz w:val="24"/>
        </w:rPr>
      </w:r>
      <w:r/>
    </w:p>
    <w:p>
      <w:pPr>
        <w:pStyle w:val="836"/>
        <w:ind w:firstLine="480"/>
        <w:spacing w:line="360" w:lineRule="auto"/>
        <w:tabs>
          <w:tab w:val="left" w:pos="720" w:leader="none"/>
        </w:tabs>
        <w:rPr>
          <w:rFonts w:hint="eastAsia" w:ascii="宋体" w:hAnsi="宋体" w:cs="宋体"/>
          <w:bCs/>
          <w:sz w:val="24"/>
        </w:rPr>
      </w:pPr>
      <w:r>
        <w:rPr>
          <w:rFonts w:hint="eastAsia" w:ascii="宋体" w:hAnsi="宋体" w:cs="宋体"/>
          <w:bCs/>
          <w:sz w:val="24"/>
        </w:rPr>
        <w:t xml:space="preserve">第二阶段：</w:t>
      </w:r>
      <w:bookmarkStart w:id="249" w:name="OLE_LINK66"/>
      <w:r>
        <w:rPr>
          <w:rFonts w:hint="eastAsia" w:ascii="宋体" w:hAnsi="宋体" w:cs="宋体"/>
          <w:bCs/>
          <w:sz w:val="24"/>
        </w:rPr>
        <w:t xml:space="preserve">货物清单第11-13项全部供货</w:t>
      </w:r>
      <w:bookmarkEnd w:id="249"/>
      <w:r>
        <w:rPr>
          <w:rFonts w:hint="eastAsia" w:ascii="宋体" w:hAnsi="宋体" w:cs="宋体"/>
          <w:bCs/>
          <w:sz w:val="24"/>
        </w:rPr>
        <w:t xml:space="preserve">安装调试完成，通过第二阶段验收且乙方提交增值税专用发票后15个工作日内，甲方向乙方支付合同总价的38%。</w:t>
      </w:r>
      <w:r/>
    </w:p>
    <w:p>
      <w:pPr>
        <w:pStyle w:val="836"/>
        <w:ind w:firstLine="480"/>
        <w:spacing w:line="360" w:lineRule="auto"/>
        <w:tabs>
          <w:tab w:val="left" w:pos="720" w:leader="none"/>
        </w:tabs>
        <w:rPr>
          <w:rFonts w:hint="eastAsia" w:ascii="宋体" w:hAnsi="宋体" w:cs="宋体"/>
          <w:bCs/>
          <w:sz w:val="24"/>
        </w:rPr>
      </w:pPr>
      <w:r>
        <w:rPr>
          <w:rFonts w:hint="eastAsia" w:ascii="宋体" w:hAnsi="宋体" w:cs="宋体"/>
          <w:bCs/>
          <w:sz w:val="24"/>
        </w:rPr>
        <w:t xml:space="preserve">第三阶段（最终阶段）：</w:t>
      </w:r>
      <w:bookmarkStart w:id="250" w:name="OLE_LINK203"/>
      <w:r>
        <w:rPr>
          <w:rFonts w:hint="eastAsia" w:ascii="宋体" w:hAnsi="宋体" w:cs="宋体"/>
          <w:bCs/>
          <w:sz w:val="24"/>
        </w:rPr>
        <w:t xml:space="preserve">项目全部货物、系统、环境建设实施完成</w:t>
      </w:r>
      <w:bookmarkEnd w:id="250"/>
      <w:r>
        <w:rPr>
          <w:rFonts w:hint="eastAsia" w:ascii="宋体" w:hAnsi="宋体" w:cs="宋体"/>
          <w:bCs/>
          <w:sz w:val="24"/>
        </w:rPr>
        <w:t xml:space="preserve">，通过最终验收且乙方提交增值税专用发票后15个工作日内，甲方向乙方支付合同总价的40%。</w:t>
      </w:r>
      <w:bookmarkEnd w:id="247"/>
      <w:r>
        <w:rPr>
          <w:rFonts w:hint="eastAsia" w:ascii="宋体" w:hAnsi="宋体" w:cs="宋体"/>
          <w:bCs/>
          <w:sz w:val="24"/>
        </w:rPr>
      </w:r>
      <w:r/>
    </w:p>
    <w:p>
      <w:pPr>
        <w:pStyle w:val="836"/>
        <w:ind w:firstLine="482"/>
        <w:spacing w:line="360" w:lineRule="auto"/>
        <w:rPr>
          <w:rFonts w:hint="eastAsia" w:ascii="宋体" w:hAnsi="宋体" w:cs="宋体"/>
          <w:b/>
          <w:bCs/>
          <w:sz w:val="24"/>
        </w:rPr>
        <w:outlineLvl w:val="3"/>
      </w:pPr>
      <w:r/>
      <w:bookmarkEnd w:id="248"/>
      <w:r>
        <w:rPr>
          <w:rFonts w:hint="eastAsia" w:ascii="宋体" w:hAnsi="宋体" w:cs="宋体"/>
          <w:b/>
          <w:bCs/>
          <w:sz w:val="24"/>
        </w:rPr>
        <w:t xml:space="preserve">2.中标人凭以下文件资料申请支付合同款 </w:t>
      </w:r>
      <w:r/>
    </w:p>
    <w:p>
      <w:pPr>
        <w:pStyle w:val="836"/>
        <w:ind w:firstLine="480"/>
        <w:spacing w:line="360" w:lineRule="auto"/>
        <w:rPr>
          <w:rFonts w:hint="eastAsia" w:ascii="宋体" w:hAnsi="宋体" w:cs="宋体"/>
          <w:sz w:val="24"/>
        </w:rPr>
      </w:pPr>
      <w:r>
        <w:rPr>
          <w:rFonts w:hint="eastAsia" w:ascii="宋体" w:hAnsi="宋体" w:cs="宋体"/>
          <w:sz w:val="24"/>
        </w:rPr>
        <w:t xml:space="preserve">（1）采购合同；</w:t>
      </w:r>
      <w:r/>
    </w:p>
    <w:p>
      <w:pPr>
        <w:pStyle w:val="836"/>
        <w:ind w:firstLine="480"/>
        <w:spacing w:line="360" w:lineRule="auto"/>
        <w:rPr>
          <w:rFonts w:hint="eastAsia" w:ascii="宋体" w:hAnsi="宋体" w:cs="宋体"/>
          <w:sz w:val="24"/>
        </w:rPr>
      </w:pPr>
      <w:r>
        <w:rPr>
          <w:rFonts w:hint="eastAsia" w:ascii="宋体" w:hAnsi="宋体" w:cs="宋体"/>
          <w:sz w:val="24"/>
        </w:rPr>
        <w:t xml:space="preserve">（2）中标通知书复印件或扫描件；</w:t>
      </w:r>
      <w:r/>
    </w:p>
    <w:p>
      <w:pPr>
        <w:pStyle w:val="836"/>
        <w:ind w:firstLine="480"/>
        <w:spacing w:line="360" w:lineRule="auto"/>
        <w:rPr>
          <w:rFonts w:hint="eastAsia" w:ascii="宋体" w:hAnsi="宋体" w:cs="宋体"/>
          <w:sz w:val="24"/>
        </w:rPr>
      </w:pPr>
      <w:r>
        <w:rPr>
          <w:rFonts w:hint="eastAsia" w:ascii="宋体" w:hAnsi="宋体" w:cs="宋体"/>
          <w:sz w:val="24"/>
        </w:rPr>
        <w:t xml:space="preserve">（3）中标人开具的国家税务机关监制的正式增值税发票；</w:t>
      </w:r>
      <w:r/>
    </w:p>
    <w:p>
      <w:pPr>
        <w:pStyle w:val="836"/>
        <w:ind w:firstLine="480"/>
        <w:spacing w:line="360" w:lineRule="auto"/>
        <w:rPr>
          <w:rFonts w:hint="eastAsia" w:ascii="宋体" w:hAnsi="宋体" w:cs="宋体"/>
          <w:sz w:val="24"/>
        </w:rPr>
      </w:pPr>
      <w:r>
        <w:rPr>
          <w:rFonts w:hint="eastAsia" w:ascii="宋体" w:hAnsi="宋体" w:cs="宋体"/>
          <w:sz w:val="24"/>
        </w:rPr>
        <w:t xml:space="preserve">（4）采购人已收讫货物的验收凭证；</w:t>
      </w:r>
      <w:r/>
    </w:p>
    <w:p>
      <w:pPr>
        <w:pStyle w:val="836"/>
        <w:ind w:firstLine="480"/>
        <w:spacing w:line="360" w:lineRule="auto"/>
        <w:rPr>
          <w:rFonts w:hint="eastAsia" w:ascii="宋体" w:hAnsi="宋体" w:cs="宋体"/>
          <w:sz w:val="24"/>
        </w:rPr>
      </w:pPr>
      <w:r>
        <w:rPr>
          <w:rFonts w:hint="eastAsia" w:ascii="宋体" w:hAnsi="宋体" w:cs="宋体"/>
          <w:sz w:val="24"/>
        </w:rPr>
        <w:t xml:space="preserve">（5）采购人签发的验收合格文件。</w:t>
      </w:r>
      <w:r/>
    </w:p>
    <w:p>
      <w:pPr>
        <w:pStyle w:val="836"/>
        <w:ind w:firstLine="480"/>
        <w:spacing w:line="360" w:lineRule="auto"/>
        <w:widowControl/>
        <w:rPr>
          <w:rFonts w:hint="eastAsia" w:ascii="宋体" w:hAnsi="宋体" w:cs="宋体"/>
          <w:sz w:val="24"/>
        </w:rPr>
      </w:pPr>
      <w:r>
        <w:rPr>
          <w:rFonts w:hint="eastAsia" w:ascii="宋体" w:hAnsi="宋体" w:cs="宋体"/>
          <w:sz w:val="24"/>
        </w:rPr>
        <w:t xml:space="preserve">3.因采购人使用的是财政资金，采购人在前款规定的付款时间为向政府采购支付部门提出办理财政支付申请手续的时间（不含政府财政支付部门审核的时间），在规定时间内提出支付申请手续后即视为采购人是按期支付。 </w:t>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十、履约保证金</w:t>
      </w:r>
      <w:r/>
    </w:p>
    <w:p>
      <w:pPr>
        <w:pStyle w:val="836"/>
        <w:ind w:firstLine="480"/>
        <w:spacing w:line="360" w:lineRule="auto"/>
        <w:rPr>
          <w:rFonts w:hint="eastAsia" w:ascii="宋体" w:hAnsi="宋体" w:cs="宋体"/>
          <w:sz w:val="24"/>
          <w:u w:val="single"/>
        </w:rPr>
      </w:pPr>
      <w:r>
        <w:rPr>
          <w:rFonts w:hint="eastAsia" w:ascii="宋体" w:hAnsi="宋体" w:cs="宋体"/>
          <w:sz w:val="24"/>
        </w:rPr>
        <w:t xml:space="preserve">1.履约保证金是否收取：</w:t>
      </w:r>
      <w:r>
        <w:rPr>
          <w:rFonts w:hint="eastAsia" w:ascii="宋体" w:hAnsi="宋体" w:cs="宋体"/>
          <w:sz w:val="24"/>
          <w:u w:val="single"/>
        </w:rPr>
        <w:t xml:space="preserve">是</w:t>
      </w:r>
      <w:r/>
    </w:p>
    <w:p>
      <w:pPr>
        <w:pStyle w:val="836"/>
        <w:ind w:firstLine="480"/>
        <w:spacing w:line="360" w:lineRule="auto"/>
        <w:rPr>
          <w:rFonts w:hint="eastAsia" w:ascii="宋体" w:hAnsi="宋体" w:cs="宋体"/>
          <w:sz w:val="24"/>
        </w:rPr>
      </w:pPr>
      <w:r>
        <w:rPr>
          <w:rFonts w:hint="eastAsia" w:ascii="宋体" w:hAnsi="宋体" w:cs="宋体"/>
          <w:sz w:val="24"/>
        </w:rPr>
        <w:t xml:space="preserve">2.履约保证金的数额：本项目中标后的履约保证金为项目中标价的</w:t>
      </w:r>
      <w:r>
        <w:rPr>
          <w:rFonts w:hint="eastAsia" w:ascii="宋体" w:hAnsi="宋体" w:cs="宋体"/>
          <w:sz w:val="24"/>
          <w:u w:val="single"/>
        </w:rPr>
        <w:t xml:space="preserve"> 10%</w:t>
      </w:r>
      <w:r>
        <w:rPr>
          <w:rFonts w:hint="eastAsia" w:ascii="宋体" w:hAnsi="宋体" w:cs="宋体"/>
          <w:sz w:val="24"/>
        </w:rPr>
        <w:t xml:space="preserve">。</w:t>
      </w:r>
      <w:r/>
    </w:p>
    <w:p>
      <w:pPr>
        <w:pStyle w:val="836"/>
        <w:ind w:firstLine="480"/>
        <w:spacing w:line="360" w:lineRule="auto"/>
        <w:rPr>
          <w:rFonts w:hint="eastAsia" w:ascii="宋体" w:hAnsi="宋体" w:cs="宋体"/>
          <w:sz w:val="24"/>
          <w:shd w:val="clear" w:color="auto" w:fill="ffff00"/>
        </w:rPr>
      </w:pPr>
      <w:r>
        <w:rPr>
          <w:rFonts w:hint="eastAsia" w:ascii="宋体" w:hAnsi="宋体" w:cs="宋体"/>
          <w:sz w:val="24"/>
        </w:rPr>
        <w:t xml:space="preserve">3.缴纳履约保证金时间：中标供应商在中标通知书发出之日起</w:t>
      </w:r>
      <w:r>
        <w:rPr>
          <w:rFonts w:hint="eastAsia" w:ascii="宋体" w:hAnsi="宋体" w:cs="宋体"/>
          <w:sz w:val="24"/>
          <w:u w:val="single"/>
        </w:rPr>
        <w:t xml:space="preserve">10</w:t>
      </w:r>
      <w:r>
        <w:rPr>
          <w:rFonts w:hint="eastAsia" w:ascii="宋体" w:hAnsi="宋体" w:cs="宋体"/>
          <w:sz w:val="24"/>
        </w:rPr>
        <w:t xml:space="preserve">日内。</w:t>
      </w:r>
      <w:r>
        <w:rPr>
          <w:rFonts w:hint="eastAsia" w:ascii="宋体" w:hAnsi="宋体" w:cs="宋体"/>
          <w:sz w:val="24"/>
          <w:shd w:val="clear" w:color="auto" w:fill="ffff00"/>
        </w:rPr>
      </w:r>
      <w:r/>
    </w:p>
    <w:p>
      <w:pPr>
        <w:pStyle w:val="836"/>
        <w:ind w:firstLine="480"/>
        <w:spacing w:line="360" w:lineRule="auto"/>
        <w:rPr>
          <w:rFonts w:hint="eastAsia" w:ascii="宋体" w:hAnsi="宋体" w:cs="宋体"/>
          <w:sz w:val="24"/>
        </w:rPr>
      </w:pPr>
      <w:r>
        <w:rPr>
          <w:rFonts w:hint="eastAsia" w:ascii="宋体" w:hAnsi="宋体" w:cs="宋体"/>
          <w:sz w:val="24"/>
        </w:rPr>
        <w:t xml:space="preserve">4.缴纳履约保证金形式：</w:t>
      </w:r>
      <w:r>
        <w:rPr>
          <w:rFonts w:hint="eastAsia" w:ascii="宋体" w:hAnsi="宋体" w:cs="宋体"/>
          <w:sz w:val="24"/>
          <w:u w:val="single"/>
        </w:rPr>
        <w:t xml:space="preserve">支票、汇票、本票或者金融机构、担保机构出具的保函、履约保证金保险</w:t>
      </w:r>
      <w:r>
        <w:rPr>
          <w:rFonts w:hint="eastAsia" w:ascii="宋体" w:hAnsi="宋体" w:cs="宋体"/>
          <w:sz w:val="24"/>
        </w:rPr>
        <w:t xml:space="preserve">等非现金形式。如选择担保机构出具的保函、履约保证金保险等形式，有效期须与履约时间一致。</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采购人的账户：</w:t>
      </w:r>
      <w:r/>
    </w:p>
    <w:p>
      <w:pPr>
        <w:pStyle w:val="836"/>
        <w:ind w:firstLine="480"/>
        <w:spacing w:line="360" w:lineRule="auto"/>
        <w:rPr>
          <w:rFonts w:hint="eastAsia" w:ascii="宋体" w:hAnsi="宋体" w:cs="宋体"/>
          <w:sz w:val="24"/>
        </w:rPr>
      </w:pPr>
      <w:r>
        <w:rPr>
          <w:rFonts w:hint="eastAsia" w:ascii="宋体" w:hAnsi="宋体" w:cs="宋体"/>
          <w:sz w:val="24"/>
        </w:rPr>
        <w:t xml:space="preserve">单位名称：江苏航运职业技术学院；</w:t>
      </w:r>
      <w:r/>
    </w:p>
    <w:p>
      <w:pPr>
        <w:pStyle w:val="836"/>
        <w:ind w:firstLine="480"/>
        <w:spacing w:line="360" w:lineRule="auto"/>
        <w:rPr>
          <w:rFonts w:hint="eastAsia" w:ascii="宋体" w:hAnsi="宋体" w:cs="宋体"/>
          <w:sz w:val="24"/>
        </w:rPr>
      </w:pPr>
      <w:r>
        <w:rPr>
          <w:rFonts w:hint="eastAsia" w:ascii="宋体" w:hAnsi="宋体" w:cs="宋体"/>
          <w:sz w:val="24"/>
        </w:rPr>
        <w:t xml:space="preserve">开户行：中国建设银行南通经济技术开发区支行；</w:t>
      </w:r>
      <w:r/>
    </w:p>
    <w:p>
      <w:pPr>
        <w:pStyle w:val="836"/>
        <w:ind w:firstLine="480"/>
        <w:spacing w:line="360" w:lineRule="auto"/>
        <w:rPr>
          <w:rFonts w:hint="eastAsia" w:ascii="宋体" w:hAnsi="宋体" w:cs="宋体"/>
          <w:sz w:val="24"/>
        </w:rPr>
      </w:pPr>
      <w:r>
        <w:rPr>
          <w:rFonts w:hint="eastAsia" w:ascii="宋体" w:hAnsi="宋体" w:cs="宋体"/>
          <w:sz w:val="24"/>
        </w:rPr>
        <w:t xml:space="preserve">账号：32001642336052515609；</w:t>
      </w:r>
      <w:r/>
    </w:p>
    <w:p>
      <w:pPr>
        <w:pStyle w:val="836"/>
        <w:ind w:firstLine="480"/>
        <w:spacing w:line="360" w:lineRule="auto"/>
        <w:rPr>
          <w:rFonts w:hint="eastAsia" w:ascii="宋体" w:hAnsi="宋体" w:cs="宋体"/>
          <w:sz w:val="24"/>
        </w:rPr>
      </w:pPr>
      <w:r>
        <w:rPr>
          <w:rFonts w:hint="eastAsia" w:ascii="宋体" w:hAnsi="宋体" w:cs="宋体"/>
          <w:sz w:val="24"/>
        </w:rPr>
        <w:t xml:space="preserve">统一社会信用代码：123200004660042577。</w:t>
      </w:r>
      <w:r/>
    </w:p>
    <w:p>
      <w:pPr>
        <w:pStyle w:val="836"/>
        <w:ind w:firstLine="480"/>
        <w:spacing w:line="360" w:lineRule="auto"/>
        <w:rPr>
          <w:rFonts w:hint="eastAsia" w:ascii="宋体" w:hAnsi="宋体" w:cs="宋体"/>
          <w:sz w:val="24"/>
        </w:rPr>
      </w:pPr>
      <w:r>
        <w:rPr>
          <w:rFonts w:hint="eastAsia" w:ascii="宋体" w:hAnsi="宋体" w:cs="宋体"/>
          <w:sz w:val="24"/>
        </w:rPr>
        <w:t xml:space="preserve">5.退还履约保证金时间：中标供应商全部履约合同义务，质保期满后无质量、进度等问题的，采购人凭中标供应商提交的申请，在</w:t>
      </w:r>
      <w:bookmarkStart w:id="251" w:name="OLE_LINK171"/>
      <w:r>
        <w:rPr>
          <w:rFonts w:hint="eastAsia" w:ascii="宋体" w:hAnsi="宋体" w:cs="宋体"/>
          <w:sz w:val="24"/>
        </w:rPr>
        <w:t xml:space="preserve">三十个工作日</w:t>
      </w:r>
      <w:bookmarkEnd w:id="251"/>
      <w:r>
        <w:rPr>
          <w:rFonts w:hint="eastAsia" w:ascii="宋体" w:hAnsi="宋体" w:cs="宋体"/>
          <w:sz w:val="24"/>
        </w:rPr>
        <w:t xml:space="preserve">内一次性退还履约保证金（不计息）或者退还履约保证金保函，采购人若逾期退还履约保证金的，按照逾期部分的每日</w:t>
      </w:r>
      <w:r>
        <w:rPr>
          <w:rFonts w:hint="eastAsia" w:ascii="宋体" w:hAnsi="宋体" w:cs="宋体"/>
          <w:sz w:val="24"/>
          <w:u w:val="single"/>
        </w:rPr>
        <w:t xml:space="preserve">0.05%</w:t>
      </w:r>
      <w:r>
        <w:rPr>
          <w:rFonts w:hint="eastAsia" w:ascii="宋体" w:hAnsi="宋体" w:cs="宋体"/>
          <w:sz w:val="24"/>
        </w:rPr>
        <w:t xml:space="preserve">支付违约金。   </w:t>
      </w:r>
      <w:r/>
    </w:p>
    <w:p>
      <w:pPr>
        <w:pStyle w:val="836"/>
        <w:ind w:firstLine="480"/>
        <w:spacing w:line="360" w:lineRule="auto"/>
        <w:rPr>
          <w:rFonts w:hint="eastAsia" w:ascii="宋体" w:hAnsi="宋体" w:cs="宋体"/>
          <w:sz w:val="24"/>
        </w:rPr>
      </w:pPr>
      <w:r>
        <w:rPr>
          <w:rFonts w:hint="eastAsia" w:ascii="宋体" w:hAnsi="宋体" w:cs="宋体"/>
          <w:sz w:val="24"/>
        </w:rPr>
        <w:t xml:space="preserve">6.退还履约保证金方式：同缴纳方式。   </w:t>
      </w:r>
      <w:r/>
    </w:p>
    <w:p>
      <w:pPr>
        <w:pStyle w:val="836"/>
        <w:ind w:firstLine="480"/>
        <w:spacing w:line="360" w:lineRule="auto"/>
        <w:rPr>
          <w:rFonts w:hint="eastAsia" w:ascii="宋体" w:hAnsi="宋体" w:cs="宋体"/>
          <w:sz w:val="24"/>
        </w:rPr>
      </w:pPr>
      <w:r>
        <w:rPr>
          <w:rFonts w:hint="eastAsia" w:ascii="宋体" w:hAnsi="宋体" w:cs="宋体"/>
          <w:sz w:val="24"/>
        </w:rPr>
        <w:t xml:space="preserve">7.退还履约保证金条件：中标供应商全部履约合同义务，质保期满后无质量、进度等问题的，采购人凭中标供应商提交的申请，在三十个工作日内一次性退还履约保证金（不计息）或者退还履约保证金保函。 </w:t>
      </w:r>
      <w:r/>
    </w:p>
    <w:p>
      <w:pPr>
        <w:pStyle w:val="836"/>
        <w:ind w:firstLine="480"/>
        <w:spacing w:line="360" w:lineRule="auto"/>
        <w:rPr>
          <w:rFonts w:hint="eastAsia" w:ascii="宋体" w:hAnsi="宋体" w:cs="宋体"/>
          <w:sz w:val="24"/>
        </w:rPr>
      </w:pPr>
      <w:r>
        <w:rPr>
          <w:rFonts w:hint="eastAsia" w:ascii="宋体" w:hAnsi="宋体" w:cs="宋体"/>
          <w:sz w:val="24"/>
        </w:rPr>
        <w:t xml:space="preserve">8.不予退还履约保证金的情形：</w:t>
      </w:r>
      <w:r/>
    </w:p>
    <w:p>
      <w:pPr>
        <w:pStyle w:val="836"/>
        <w:ind w:firstLine="480"/>
        <w:spacing w:line="360" w:lineRule="auto"/>
        <w:rPr>
          <w:rFonts w:hint="eastAsia" w:ascii="宋体" w:hAnsi="宋体" w:cs="宋体"/>
          <w:sz w:val="24"/>
        </w:rPr>
      </w:pPr>
      <w:r>
        <w:rPr>
          <w:rFonts w:hint="eastAsia" w:ascii="宋体" w:hAnsi="宋体" w:cs="宋体"/>
          <w:sz w:val="24"/>
        </w:rPr>
        <w:t xml:space="preserve">a.签订合同后，中标人不履行合同义务的，采购单位有权全额扣除履约保证金，全额不予退还，同时采购单位亦有权终止合同，中标人还须承担相应的法律赔偿责任。</w:t>
      </w:r>
      <w:r/>
    </w:p>
    <w:p>
      <w:pPr>
        <w:pStyle w:val="836"/>
        <w:ind w:firstLine="480"/>
        <w:spacing w:line="360" w:lineRule="auto"/>
        <w:rPr>
          <w:rFonts w:hint="eastAsia" w:ascii="宋体" w:hAnsi="宋体" w:cs="宋体"/>
          <w:sz w:val="24"/>
        </w:rPr>
      </w:pPr>
      <w:r>
        <w:rPr>
          <w:rFonts w:hint="eastAsia" w:ascii="宋体" w:hAnsi="宋体" w:cs="宋体"/>
          <w:sz w:val="24"/>
        </w:rPr>
        <w:t xml:space="preserve">b.中标人在履约过程中发生违约行为，给采购人造成损失的，采购人有权在中标人缴纳的履约保证金中予以扣款，以弥补采购人经济损失，不足的部分中标人另外补齐。</w:t>
      </w:r>
      <w:r/>
    </w:p>
    <w:p>
      <w:pPr>
        <w:pStyle w:val="836"/>
        <w:ind w:firstLine="480"/>
        <w:spacing w:line="360" w:lineRule="auto"/>
        <w:widowControl/>
        <w:rPr>
          <w:rFonts w:hint="eastAsia"/>
          <w:b/>
          <w:bCs/>
          <w:sz w:val="24"/>
        </w:rPr>
      </w:pPr>
      <w:r>
        <w:rPr>
          <w:rFonts w:hint="eastAsia" w:ascii="宋体" w:hAnsi="宋体" w:cs="宋体"/>
          <w:sz w:val="24"/>
        </w:rPr>
        <w:t xml:space="preserve">c.因中标人违约应向采购人支付违约金或承担损失超过履约保函额度，或者提供履约保函的担保人未在30日内完成相关款项支付的，中标人负有先行垫付义务，且采购人保留扣除中标人合同款、向中标人追偿不予支付超过保函额度以外的款项的权利。</w:t>
      </w:r>
      <w:r>
        <w:rPr>
          <w:rFonts w:hint="eastAsia"/>
          <w:b/>
          <w:bCs/>
          <w:sz w:val="24"/>
        </w:rPr>
      </w:r>
      <w:r/>
    </w:p>
    <w:p>
      <w:pPr>
        <w:pStyle w:val="836"/>
        <w:ind w:firstLine="482"/>
        <w:spacing w:line="360" w:lineRule="auto"/>
        <w:widowControl/>
        <w:rPr>
          <w:rFonts w:hint="eastAsia" w:ascii="宋体" w:hAnsi="宋体" w:cs="宋体"/>
          <w:sz w:val="24"/>
        </w:rPr>
      </w:pPr>
      <w:r>
        <w:rPr>
          <w:rFonts w:hint="eastAsia"/>
          <w:b/>
          <w:bCs/>
          <w:sz w:val="24"/>
        </w:rPr>
        <w:t xml:space="preserve">9.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宋体" w:hAnsi="宋体" w:cs="宋体"/>
          <w:sz w:val="24"/>
        </w:rPr>
      </w:r>
      <w:r/>
    </w:p>
    <w:p>
      <w:pPr>
        <w:pStyle w:val="838"/>
        <w:ind w:firstLine="482"/>
        <w:spacing w:before="0" w:after="0" w:line="360" w:lineRule="auto"/>
        <w:rPr>
          <w:rFonts w:hint="eastAsia" w:ascii="宋体" w:hAnsi="宋体" w:eastAsia="宋体" w:cs="宋体"/>
          <w:sz w:val="24"/>
        </w:rPr>
      </w:pPr>
      <w:r>
        <w:rPr>
          <w:rFonts w:hint="eastAsia" w:ascii="宋体" w:hAnsi="宋体" w:eastAsia="宋体" w:cs="宋体"/>
          <w:sz w:val="24"/>
        </w:rPr>
        <w:t xml:space="preserve">十一、</w:t>
      </w:r>
      <w:bookmarkStart w:id="252" w:name="OLE_LINK178"/>
      <w:r>
        <w:rPr>
          <w:rFonts w:hint="eastAsia" w:ascii="宋体" w:hAnsi="宋体" w:eastAsia="宋体" w:cs="宋体"/>
          <w:sz w:val="24"/>
        </w:rPr>
        <w:t xml:space="preserve">演示讲解</w:t>
      </w:r>
      <w:bookmarkEnd w:id="252"/>
      <w:r>
        <w:rPr>
          <w:rFonts w:hint="eastAsia" w:ascii="宋体" w:hAnsi="宋体" w:eastAsia="宋体" w:cs="宋体"/>
          <w:sz w:val="24"/>
        </w:rPr>
      </w:r>
      <w:r/>
    </w:p>
    <w:p>
      <w:pPr>
        <w:pStyle w:val="836"/>
        <w:ind w:firstLine="482"/>
        <w:spacing w:line="360" w:lineRule="auto"/>
        <w:rPr>
          <w:rFonts w:ascii="宋体" w:hAnsi="宋体" w:cs="宋体"/>
          <w:b/>
          <w:bCs/>
          <w:sz w:val="24"/>
        </w:rPr>
        <w:outlineLvl w:val="3"/>
      </w:pPr>
      <w:r/>
      <w:bookmarkStart w:id="253" w:name="_Hlk236903360"/>
      <w:r>
        <w:rPr>
          <w:rFonts w:hint="eastAsia" w:ascii="宋体" w:hAnsi="宋体" w:cs="宋体"/>
          <w:b/>
          <w:bCs/>
          <w:sz w:val="24"/>
        </w:rPr>
        <w:t xml:space="preserve">1.演示内容</w:t>
      </w:r>
      <w:bookmarkEnd w:id="253"/>
      <w:r>
        <w:rPr>
          <w:rFonts w:ascii="宋体" w:hAnsi="宋体" w:cs="宋体"/>
          <w:b/>
          <w:bCs/>
          <w:sz w:val="24"/>
        </w:rPr>
      </w:r>
      <w:r/>
    </w:p>
    <w:tbl>
      <w:tblPr>
        <w:tblW w:w="500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21"/>
        <w:gridCol w:w="1281"/>
        <w:gridCol w:w="6538"/>
      </w:tblGrid>
      <w:tr>
        <w:trPr>
          <w:trHeight w:val="539"/>
          <w:tblHeader/>
        </w:trPr>
        <w:tc>
          <w:tcPr>
            <w:shd w:val="clear" w:color="auto" w:fill="d9d9d9"/>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序号</w:t>
            </w:r>
            <w:r>
              <w:rPr>
                <w:rFonts w:hint="eastAsia" w:ascii="宋体" w:hAnsi="宋体" w:cs="宋体"/>
                <w:b/>
                <w:bCs/>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货物名称</w:t>
            </w:r>
            <w:r>
              <w:rPr>
                <w:rFonts w:hint="eastAsia" w:ascii="宋体" w:hAnsi="宋体" w:cs="宋体"/>
                <w:b/>
                <w:bCs/>
                <w:szCs w:val="21"/>
              </w:rPr>
            </w:r>
            <w:r/>
          </w:p>
        </w:tc>
        <w:tc>
          <w:tcPr>
            <w:shd w:val="clear" w:color="auto" w:fill="d9d9d9"/>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jc w:val="center"/>
              <w:rPr>
                <w:rFonts w:hint="eastAsia" w:ascii="宋体" w:hAnsi="宋体" w:cs="宋体"/>
                <w:b/>
                <w:bCs/>
                <w:szCs w:val="21"/>
              </w:rPr>
            </w:pPr>
            <w:r>
              <w:rPr>
                <w:rFonts w:hint="eastAsia" w:ascii="宋体" w:hAnsi="宋体" w:cs="宋体"/>
                <w:b/>
                <w:bCs/>
                <w:szCs w:val="21"/>
                <w:lang w:bidi="ar"/>
              </w:rPr>
              <w:t xml:space="preserve">详细参数</w:t>
            </w:r>
            <w:r>
              <w:rPr>
                <w:rFonts w:hint="eastAsia" w:ascii="宋体" w:hAnsi="宋体" w:cs="宋体"/>
                <w:b/>
                <w:bCs/>
                <w:szCs w:val="21"/>
              </w:rPr>
            </w:r>
            <w:r/>
          </w:p>
        </w:tc>
      </w:tr>
      <w:tr>
        <w:trPr>
          <w:trHeight w:val="632"/>
        </w:trPr>
        <w:tc>
          <w:tcPr>
            <w:gridSpan w:val="3"/>
            <w:tcBorders>
              <w:top w:val="single" w:color="000000" w:sz="4" w:space="0"/>
              <w:left w:val="single" w:color="000000" w:sz="4" w:space="0"/>
              <w:bottom w:val="single" w:color="000000" w:sz="4" w:space="0"/>
              <w:right w:val="single" w:color="000000" w:sz="4" w:space="0"/>
            </w:tcBorders>
            <w:tcW w:w="8540"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二、云端共享课程平台及虚拟仿真实训课程</w:t>
            </w:r>
            <w:r/>
          </w:p>
        </w:tc>
      </w:tr>
      <w:tr>
        <w:trPr>
          <w:trHeight w:val="42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bookmarkStart w:id="254" w:name="OLE_LINK97"/>
            <w:r>
              <w:rPr>
                <w:rFonts w:hint="eastAsia" w:ascii="宋体" w:hAnsi="宋体" w:cs="宋体"/>
                <w:b/>
                <w:bCs/>
                <w:szCs w:val="21"/>
                <w:lang w:bidi="ar"/>
              </w:rPr>
              <w:t xml:space="preserve">云端共享课程平台</w:t>
            </w:r>
            <w:bookmarkEnd w:id="254"/>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ind w:left="420"/>
              <w:widowControl/>
              <w:rPr>
                <w:rFonts w:hint="eastAsia" w:ascii="宋体" w:hAnsi="宋体" w:cs="宋体"/>
                <w:b/>
                <w:bCs/>
                <w:szCs w:val="21"/>
              </w:rPr>
            </w:pPr>
            <w:r>
              <w:rPr>
                <w:rFonts w:hint="eastAsia" w:ascii="宋体" w:hAnsi="宋体" w:cs="宋体"/>
                <w:b/>
                <w:bCs/>
                <w:szCs w:val="21"/>
              </w:rPr>
              <w:t xml:space="preserve">1. 基础功能要求</w:t>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4</w:t>
            </w:r>
            <w:r>
              <w:rPr>
                <w:rFonts w:ascii="宋体" w:hAnsi="宋体" w:cs="宋体"/>
                <w:szCs w:val="21"/>
              </w:rPr>
              <w:t xml:space="preserve">)</w:t>
            </w:r>
            <w:r>
              <w:rPr>
                <w:rFonts w:hint="eastAsia" w:ascii="宋体" w:hAnsi="宋体" w:cs="宋体"/>
                <w:szCs w:val="21"/>
              </w:rPr>
              <w:t xml:space="preserve">独立课程页管理：每个虚拟仿真课程应具备独立课程页，可根据教师后台设置内容展示课程基本信息，包括项目介绍、师资介绍、实训指南、实训资源、考核要求、学习记录、数据分析等内容。</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10</w:t>
            </w:r>
            <w:r>
              <w:rPr>
                <w:rFonts w:ascii="宋体" w:hAnsi="宋体" w:cs="宋体"/>
                <w:szCs w:val="21"/>
              </w:rPr>
              <w:t xml:space="preserve">)</w:t>
            </w:r>
            <w:r>
              <w:rPr>
                <w:rFonts w:hint="eastAsia" w:ascii="宋体" w:hAnsi="宋体" w:cs="宋体"/>
                <w:szCs w:val="21"/>
              </w:rPr>
              <w:t xml:space="preserve">在线课程资源联动：支持虚拟仿真项目与采购单位已有在线课程结合，可实现虚拟仿真项目免登录跳转至对应共享课，也可从共享课免登录跳转至对应虚拟仿真项目，实现理论学习与实践操作结合。</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14</w:t>
            </w:r>
            <w:r>
              <w:rPr>
                <w:rFonts w:ascii="宋体" w:hAnsi="宋体" w:cs="宋体"/>
                <w:szCs w:val="21"/>
              </w:rPr>
              <w:t xml:space="preserve">)</w:t>
            </w:r>
            <w:r>
              <w:rPr>
                <w:rFonts w:hint="eastAsia" w:ascii="宋体" w:hAnsi="宋体" w:cs="宋体"/>
                <w:szCs w:val="21"/>
              </w:rPr>
              <w:t xml:space="preserve">新建实训：平台应支持新建实训功能，可进行基本信息、实训资源、实训设置等配置。基本信息包括实训标题、实训描述；实训资源支持我的虚仿实训添加、虚仿资源库添加、虚仿实训链接添加、线下实训任务添加；实训设置支持关联学习资源，支持选择是否允许重复实训、允许迟交、选择实训班级及运行时间。</w:t>
            </w:r>
            <w:r>
              <w:rPr>
                <w:rFonts w:hint="eastAsia" w:ascii="宋体" w:hAnsi="宋体" w:cs="宋体"/>
                <w:b/>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15</w:t>
            </w:r>
            <w:r>
              <w:rPr>
                <w:rFonts w:ascii="宋体" w:hAnsi="宋体" w:cs="宋体"/>
                <w:szCs w:val="21"/>
              </w:rPr>
              <w:t xml:space="preserve">)</w:t>
            </w:r>
            <w:r>
              <w:rPr>
                <w:rFonts w:hint="eastAsia" w:ascii="宋体" w:hAnsi="宋体" w:cs="宋体"/>
                <w:szCs w:val="21"/>
              </w:rPr>
              <w:t xml:space="preserve">知识图谱融合：平台应支持虚拟仿真课程与知识图谱深度融合，虚拟仿真实训能够以实训图谱形式在知识图谱主页中呈现。用户可通过实训图谱了解实训步骤、实训子阶段、阶段及考核占比、相关知识点，并可通过实训图谱快速进入对应虚拟仿真实训。实训报告也应在知识图谱主页呈现，支持在线预览和下载。</w:t>
            </w:r>
            <w:r>
              <w:rPr>
                <w:rFonts w:hint="eastAsia" w:ascii="宋体" w:hAnsi="宋体" w:cs="宋体"/>
                <w:b/>
                <w:bCs/>
                <w:szCs w:val="21"/>
              </w:rPr>
              <w:t xml:space="preserve">（提供功能演示）</w:t>
            </w:r>
            <w:r>
              <w:rPr>
                <w:rFonts w:hint="eastAsia" w:ascii="宋体" w:hAnsi="宋体" w:cs="宋体"/>
                <w:szCs w:val="21"/>
              </w:rPr>
            </w:r>
            <w:r/>
          </w:p>
          <w:p>
            <w:pPr>
              <w:pStyle w:val="836"/>
              <w:ind w:firstLine="420"/>
              <w:widowControl/>
              <w:rPr>
                <w:rFonts w:hint="eastAsia" w:ascii="宋体" w:hAnsi="宋体" w:cs="宋体"/>
                <w:szCs w:val="21"/>
              </w:rPr>
            </w:pPr>
            <w:r>
              <w:rPr>
                <w:rFonts w:ascii="宋体" w:hAnsi="宋体" w:cs="宋体"/>
                <w:szCs w:val="21"/>
              </w:rPr>
              <w:t xml:space="preserve">(</w:t>
            </w:r>
            <w:r>
              <w:rPr>
                <w:rFonts w:hint="eastAsia" w:ascii="宋体" w:hAnsi="宋体" w:cs="宋体"/>
                <w:szCs w:val="21"/>
              </w:rPr>
              <w:t xml:space="preserve">16</w:t>
            </w:r>
            <w:r>
              <w:rPr>
                <w:rFonts w:ascii="宋体" w:hAnsi="宋体" w:cs="宋体"/>
                <w:szCs w:val="21"/>
              </w:rPr>
              <w:t xml:space="preserve">)</w:t>
            </w:r>
            <w:r>
              <w:rPr>
                <w:rFonts w:hint="eastAsia" w:ascii="宋体" w:hAnsi="宋体" w:cs="宋体"/>
                <w:szCs w:val="21"/>
              </w:rPr>
              <w:t xml:space="preserve">教学周报统计与分析功能：自动汇总教师AI指令与工具使用频率、课堂互动及任务执行情况。系统可生成教学行为分析报告，指出课堂互动薄弱环节，并提供优化建议，支持往期周报检索与对比分析，提升教学质量与学生参与度。</w:t>
            </w:r>
            <w:r>
              <w:rPr>
                <w:rFonts w:hint="eastAsia" w:ascii="宋体" w:hAnsi="宋体" w:cs="宋体"/>
                <w:b/>
                <w:bCs/>
                <w:szCs w:val="21"/>
              </w:rPr>
              <w:t xml:space="preserve">（提供功能演示）</w:t>
            </w:r>
            <w:r>
              <w:rPr>
                <w:rFonts w:hint="eastAsia" w:ascii="宋体" w:hAnsi="宋体" w:cs="宋体"/>
                <w:szCs w:val="21"/>
              </w:rPr>
            </w:r>
            <w:r/>
          </w:p>
          <w:p>
            <w:pPr>
              <w:pStyle w:val="836"/>
              <w:ind w:left="420"/>
              <w:widowControl/>
              <w:rPr>
                <w:rFonts w:hint="eastAsia" w:ascii="宋体" w:hAnsi="宋体" w:cs="宋体"/>
                <w:b/>
                <w:bCs/>
                <w:szCs w:val="21"/>
              </w:rPr>
            </w:pPr>
            <w:r>
              <w:rPr>
                <w:rFonts w:hint="eastAsia" w:ascii="宋体" w:hAnsi="宋体" w:cs="宋体"/>
                <w:b/>
                <w:bCs/>
                <w:szCs w:val="21"/>
              </w:rPr>
              <w:t xml:space="preserve">2. AI赋能要求</w:t>
            </w:r>
            <w:r/>
          </w:p>
          <w:p>
            <w:pPr>
              <w:pStyle w:val="836"/>
              <w:ind w:firstLine="420"/>
              <w:widowControl/>
              <w:rPr>
                <w:rFonts w:hint="eastAsia" w:ascii="宋体" w:hAnsi="宋体" w:cs="宋体"/>
                <w:szCs w:val="21"/>
                <w:lang w:bidi="ar"/>
              </w:rPr>
            </w:pPr>
            <w:r>
              <w:rPr>
                <w:rFonts w:ascii="宋体" w:hAnsi="宋体" w:cs="宋体"/>
                <w:szCs w:val="21"/>
              </w:rPr>
              <w:t xml:space="preserve">(</w:t>
            </w: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AI纠错与操作反馈：系统应支持AI纠错功能，在实训过程中如果出现错误AI能及时进行干预，并给出对应的错误分析，用户可重新进行选择。</w:t>
            </w:r>
            <w:r>
              <w:rPr>
                <w:rFonts w:hint="eastAsia" w:ascii="宋体" w:hAnsi="宋体" w:cs="宋体"/>
                <w:b/>
                <w:bCs/>
                <w:szCs w:val="21"/>
              </w:rPr>
              <w:t xml:space="preserve">（提供功能演示）</w:t>
            </w:r>
            <w:r>
              <w:rPr>
                <w:rFonts w:hint="eastAsia" w:ascii="宋体" w:hAnsi="宋体" w:cs="宋体"/>
                <w:szCs w:val="21"/>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ascii="宋体" w:hAnsi="宋体" w:cs="宋体"/>
                <w:b/>
                <w:bCs/>
                <w:szCs w:val="21"/>
                <w:lang w:bidi="ar"/>
              </w:rPr>
              <w:t xml:space="preserve">9</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船体焊接MR场景课堂（含焊接系统升级）</w:t>
            </w:r>
            <w:r/>
          </w:p>
        </w:tc>
        <w:tc>
          <w:tcPr>
            <w:tcBorders>
              <w:top w:val="single" w:color="000000" w:sz="4" w:space="0"/>
              <w:left w:val="single" w:color="000000" w:sz="4" w:space="0"/>
              <w:bottom w:val="single" w:color="000000" w:sz="4" w:space="0"/>
              <w:right w:val="single" w:color="000000" w:sz="4" w:space="0"/>
            </w:tcBorders>
            <w:tcW w:w="6538" w:type="dxa"/>
            <w:vAlign w:val="bottom"/>
            <w:textDirection w:val="lrTb"/>
            <w:noWrap w:val="false"/>
          </w:tcPr>
          <w:p>
            <w:pPr>
              <w:pStyle w:val="836"/>
              <w:ind w:left="420"/>
              <w:widowControl/>
              <w:rPr>
                <w:rStyle w:val="1198"/>
                <w:bCs/>
                <w:color w:val="000000"/>
                <w:sz w:val="21"/>
                <w:szCs w:val="21"/>
                <w:lang w:bidi="ar"/>
              </w:rPr>
            </w:pPr>
            <w:r>
              <w:rPr>
                <w:rStyle w:val="1198"/>
                <w:bCs/>
                <w:color w:val="000000"/>
                <w:sz w:val="21"/>
                <w:szCs w:val="21"/>
                <w:lang w:bidi="ar"/>
              </w:rPr>
              <w:t xml:space="preserve">1.</w:t>
            </w:r>
            <w:r>
              <w:rPr>
                <w:rFonts w:hint="eastAsia" w:ascii="宋体" w:hAnsi="宋体" w:cs="宋体"/>
                <w:szCs w:val="21"/>
              </w:rPr>
              <w:t xml:space="preserve"> </w:t>
            </w:r>
            <w:r>
              <w:rPr>
                <w:rStyle w:val="1198"/>
                <w:bCs/>
                <w:color w:val="000000"/>
                <w:sz w:val="21"/>
                <w:szCs w:val="21"/>
                <w:lang w:bidi="ar"/>
              </w:rPr>
              <w:t xml:space="preserve">船体焊接MR场景课堂</w:t>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2</w:t>
            </w:r>
            <w:r>
              <w:rPr>
                <w:rFonts w:ascii="宋体" w:hAnsi="宋体" w:cs="宋体"/>
                <w:szCs w:val="21"/>
                <w:lang w:bidi="ar"/>
              </w:rPr>
              <w:t xml:space="preserve">)</w:t>
            </w:r>
            <w:r>
              <w:rPr>
                <w:rStyle w:val="1198"/>
                <w:b w:val="0"/>
                <w:color w:val="000000"/>
                <w:sz w:val="21"/>
                <w:szCs w:val="21"/>
                <w:lang w:bidi="ar"/>
              </w:rPr>
              <w:t xml:space="preserve">图纸识读环节，系统内置船体双层底分段三维结构图、分段组立图、焊缝布置图、焊缝编号明细表、焊接工艺卡、坡口标准图、焊接顺序工艺图、船体焊缝质量验收规范等资料，学生通过了解船体主板、横向肋板、纵向加强筋、补强扁钢、连接肘板等核心构件的结构与装配关系；系统能够高亮显示目标焊缝，学生需要标注焊缝长度、板厚、焊缝类型、焊接位置和质量要求。</w:t>
            </w:r>
            <w:r/>
          </w:p>
          <w:p>
            <w:pPr>
              <w:pStyle w:val="836"/>
              <w:widowControl/>
              <w:rPr>
                <w:rStyle w:val="1198"/>
                <w:bCs/>
                <w:color w:val="000000"/>
                <w:sz w:val="21"/>
                <w:szCs w:val="21"/>
                <w:lang w:bidi="ar"/>
              </w:rPr>
            </w:pPr>
            <w:r>
              <w:rPr>
                <w:rFonts w:hint="eastAsia" w:ascii="宋体" w:hAnsi="宋体" w:cs="宋体"/>
                <w:b/>
                <w:bCs/>
                <w:szCs w:val="21"/>
              </w:rPr>
              <w:t xml:space="preserve">（提供功能演示）</w:t>
            </w:r>
            <w:r>
              <w:rPr>
                <w:rStyle w:val="1198"/>
                <w:bCs/>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3</w:t>
            </w:r>
            <w:r>
              <w:rPr>
                <w:rFonts w:ascii="宋体" w:hAnsi="宋体" w:cs="宋体"/>
                <w:szCs w:val="21"/>
                <w:lang w:bidi="ar"/>
              </w:rPr>
              <w:t xml:space="preserve">)</w:t>
            </w:r>
            <w:r>
              <w:rPr>
                <w:rStyle w:val="1198"/>
                <w:b w:val="0"/>
                <w:color w:val="000000"/>
                <w:sz w:val="21"/>
                <w:szCs w:val="21"/>
                <w:lang w:bidi="ar"/>
              </w:rPr>
              <w:t xml:space="preserve">工艺选择环节，系统内置船体结构常用焊接工艺数据库，主要包含母材、板厚、焊缝类型、焊接方法、坡口形式、焊材型号、焊接电流、电压、焊接速度、焊脚尺寸、层道数、预热温度和层间温度等参数，学生通过点击场景中对应的施焊焊缝，选择对应的焊接方法、坡口形式、焊材型号，输入焊接电流、电压、焊接速度、层道数等核心参数。</w:t>
            </w:r>
            <w:r>
              <w:rPr>
                <w:rFonts w:hint="eastAsia" w:ascii="宋体" w:hAnsi="宋体" w:cs="宋体"/>
                <w:b/>
                <w:bCs/>
                <w:szCs w:val="21"/>
              </w:rPr>
              <w:t xml:space="preserve">（提供功能演示）</w:t>
            </w:r>
            <w:r>
              <w:rPr>
                <w:rStyle w:val="1198"/>
                <w:b w:val="0"/>
                <w:color w:val="000000"/>
                <w:sz w:val="21"/>
                <w:szCs w:val="21"/>
                <w:lang w:bidi="ar"/>
              </w:rPr>
            </w:r>
            <w:r/>
          </w:p>
          <w:p>
            <w:pPr>
              <w:pStyle w:val="836"/>
              <w:ind w:firstLine="420"/>
              <w:widowControl/>
              <w:rPr>
                <w:rStyle w:val="1198"/>
                <w:b w:val="0"/>
                <w:color w:val="000000"/>
                <w:sz w:val="21"/>
                <w:szCs w:val="21"/>
                <w:lang w:bidi="ar"/>
              </w:rPr>
            </w:pPr>
            <w:r>
              <w:rPr>
                <w:rFonts w:ascii="宋体" w:hAnsi="宋体" w:cs="宋体"/>
                <w:szCs w:val="21"/>
                <w:lang w:bidi="ar"/>
              </w:rPr>
              <w:t xml:space="preserve">(</w:t>
            </w:r>
            <w:r>
              <w:rPr>
                <w:rFonts w:hint="eastAsia" w:ascii="宋体" w:hAnsi="宋体" w:cs="宋体"/>
                <w:szCs w:val="21"/>
                <w:lang w:bidi="ar"/>
              </w:rPr>
              <w:t xml:space="preserve">5</w:t>
            </w:r>
            <w:r>
              <w:rPr>
                <w:rFonts w:ascii="宋体" w:hAnsi="宋体" w:cs="宋体"/>
                <w:szCs w:val="21"/>
                <w:lang w:bidi="ar"/>
              </w:rPr>
              <w:t xml:space="preserve">)</w:t>
            </w:r>
            <w:r>
              <w:rPr>
                <w:rStyle w:val="1198"/>
                <w:b w:val="0"/>
                <w:color w:val="000000"/>
                <w:sz w:val="21"/>
                <w:szCs w:val="21"/>
                <w:lang w:bidi="ar"/>
              </w:rPr>
              <w:t xml:space="preserve">构件定位环节，系统内置船体分段基准线、胎架、中心线、肋位线、构件安装线、夹具、压码和定位块等模型；学生拖拽船体底板、横向肋板、纵向加强筋、连接肘板等构件到指定的位置，对齐中心线、肋位线和安装线，通过测量工具测量构件间距、垂直度、水平度和装配间隙，并选择夹具、压码或定位块完成临时固定。</w:t>
            </w:r>
            <w:r/>
          </w:p>
          <w:p>
            <w:pPr>
              <w:pStyle w:val="836"/>
              <w:widowControl/>
              <w:rPr>
                <w:rFonts w:hint="eastAsia" w:ascii="宋体" w:hAnsi="宋体" w:cs="宋体"/>
                <w:szCs w:val="21"/>
                <w:lang w:bidi="ar"/>
              </w:rPr>
            </w:pPr>
            <w:r>
              <w:rPr>
                <w:rFonts w:hint="eastAsia" w:ascii="宋体" w:hAnsi="宋体" w:cs="宋体"/>
                <w:b/>
                <w:bCs/>
                <w:szCs w:val="21"/>
              </w:rPr>
              <w:t xml:space="preserve">（提供功能演示）</w:t>
            </w:r>
            <w:r>
              <w:rPr>
                <w:rFonts w:hint="eastAsia" w:ascii="宋体" w:hAnsi="宋体" w:cs="宋体"/>
                <w:szCs w:val="21"/>
                <w:lang w:bidi="ar"/>
              </w:rPr>
            </w:r>
            <w:r/>
          </w:p>
        </w:tc>
      </w:tr>
      <w:tr>
        <w:trPr>
          <w:trHeight w:val="107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1</w:t>
            </w:r>
            <w:r>
              <w:rPr>
                <w:rFonts w:ascii="宋体" w:hAnsi="宋体" w:cs="宋体"/>
                <w:b/>
                <w:bCs/>
                <w:szCs w:val="21"/>
                <w:lang w:bidi="ar"/>
              </w:rPr>
              <w:t xml:space="preserve">0</w:t>
            </w:r>
            <w:r>
              <w:rPr>
                <w:rFonts w:hint="eastAsia" w:ascii="宋体" w:hAnsi="宋体" w:cs="宋体"/>
                <w:b/>
                <w:bCs/>
                <w:szCs w:val="21"/>
                <w:lang w:bidi="ar"/>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船体装配MR场景课堂</w:t>
            </w:r>
            <w:r/>
          </w:p>
        </w:tc>
        <w:tc>
          <w:tcPr>
            <w:tcBorders>
              <w:top w:val="single" w:color="000000" w:sz="4" w:space="0"/>
              <w:left w:val="single" w:color="000000" w:sz="4" w:space="0"/>
              <w:bottom w:val="single" w:color="000000" w:sz="4" w:space="0"/>
              <w:right w:val="single" w:color="000000" w:sz="4" w:space="0"/>
            </w:tcBorders>
            <w:tcW w:w="6538" w:type="dxa"/>
            <w:vAlign w:val="center"/>
            <w:textDirection w:val="lrTb"/>
            <w:noWrap w:val="false"/>
          </w:tcPr>
          <w:p>
            <w:pPr>
              <w:pStyle w:val="836"/>
              <w:ind w:firstLine="420"/>
              <w:jc w:val="left"/>
              <w:rPr>
                <w:rFonts w:hint="eastAsia" w:ascii="宋体" w:hAnsi="宋体" w:cs="宋体"/>
                <w:b/>
                <w:szCs w:val="21"/>
                <w:lang w:bidi="ar"/>
              </w:rPr>
            </w:pPr>
            <w:r>
              <w:rPr>
                <w:rFonts w:ascii="宋体" w:hAnsi="宋体" w:cs="宋体"/>
                <w:bCs/>
                <w:szCs w:val="21"/>
                <w:lang w:bidi="ar"/>
              </w:rPr>
              <w:t xml:space="preserve">(2)</w:t>
            </w:r>
            <w:r>
              <w:rPr>
                <w:rFonts w:hint="eastAsia" w:ascii="宋体" w:hAnsi="宋体" w:cs="宋体"/>
                <w:bCs/>
                <w:szCs w:val="21"/>
                <w:lang w:bidi="ar"/>
              </w:rPr>
              <w:t xml:space="preserve">图纸识读环节，系统内置船体双层底分段三维结构图、分段装配图、装配顺序图、零件清单、构件编号表、胎架布置图、装配精度控制表等资料。学生需要了解双层底分段的基本组成，包括外底板、内底板、纵骨、横向肋板、中桁材、旁桁材、加强筋、补强板、肘板和人孔加强结构等。学生通过点击三维模型，切换查看各类图纸与零件清单，检索构件编号，识别各构件的安装位置、装配方向、连接关系与装配顺序。</w:t>
            </w:r>
            <w:r>
              <w:rPr>
                <w:rFonts w:hint="eastAsia" w:ascii="宋体" w:hAnsi="宋体" w:cs="宋体"/>
                <w:b/>
                <w:szCs w:val="21"/>
                <w:lang w:bidi="ar"/>
              </w:rPr>
              <w:t xml:space="preserve">（提供功能演示）</w:t>
            </w:r>
            <w:r/>
          </w:p>
          <w:p>
            <w:pPr>
              <w:pStyle w:val="836"/>
              <w:ind w:firstLine="420"/>
              <w:jc w:val="left"/>
              <w:rPr>
                <w:rFonts w:hint="eastAsia" w:ascii="宋体" w:hAnsi="宋体" w:cs="宋体"/>
                <w:bCs/>
                <w:szCs w:val="21"/>
                <w:lang w:bidi="ar"/>
              </w:rPr>
            </w:pPr>
            <w:r>
              <w:rPr>
                <w:rFonts w:ascii="宋体" w:hAnsi="宋体" w:cs="宋体"/>
                <w:bCs/>
                <w:szCs w:val="21"/>
                <w:lang w:bidi="ar"/>
              </w:rPr>
              <w:t xml:space="preserve">(8)</w:t>
            </w:r>
            <w:r>
              <w:rPr>
                <w:rFonts w:hint="eastAsia" w:ascii="宋体" w:hAnsi="宋体" w:cs="宋体"/>
                <w:bCs/>
                <w:szCs w:val="21"/>
                <w:lang w:bidi="ar"/>
              </w:rPr>
              <w:t xml:space="preserve">精度复核环节，系统内置全站仪、激光扫描仪、虚拟卷尺、水平仪、三维测点采集工具和装配偏差云图。学生选用对应检测工具，按规范顺序采集各关键部位测点数据；结合系统数据表、偏差云图，核对尺寸、精度指标，判定各装配部位是否存在超差问题。</w:t>
            </w:r>
            <w:r>
              <w:rPr>
                <w:rFonts w:hint="eastAsia" w:ascii="宋体" w:hAnsi="宋体" w:cs="宋体"/>
                <w:b/>
                <w:szCs w:val="21"/>
                <w:lang w:bidi="ar"/>
              </w:rPr>
              <w:t xml:space="preserve">（提供功能演示）</w:t>
            </w:r>
            <w:r>
              <w:rPr>
                <w:rFonts w:hint="eastAsia" w:ascii="宋体" w:hAnsi="宋体" w:cs="宋体"/>
                <w:bCs/>
                <w:szCs w:val="21"/>
                <w:lang w:bidi="ar"/>
              </w:rPr>
            </w:r>
            <w:r/>
          </w:p>
          <w:p>
            <w:pPr>
              <w:pStyle w:val="836"/>
              <w:ind w:firstLine="420"/>
              <w:jc w:val="left"/>
              <w:rPr>
                <w:rFonts w:hint="eastAsia" w:ascii="宋体" w:hAnsi="宋体" w:cs="宋体"/>
                <w:szCs w:val="21"/>
                <w:lang w:bidi="ar"/>
              </w:rPr>
            </w:pPr>
            <w:r>
              <w:rPr>
                <w:rFonts w:ascii="宋体" w:hAnsi="宋体" w:cs="宋体"/>
                <w:bCs/>
                <w:szCs w:val="21"/>
                <w:lang w:bidi="ar"/>
              </w:rPr>
              <w:t xml:space="preserve">(9)</w:t>
            </w:r>
            <w:r>
              <w:rPr>
                <w:rFonts w:hint="eastAsia" w:ascii="宋体" w:hAnsi="宋体" w:cs="宋体"/>
                <w:bCs/>
                <w:szCs w:val="21"/>
                <w:lang w:bidi="ar"/>
              </w:rPr>
              <w:t xml:space="preserve">问题处置环节，系统提供装配缺陷高亮提示、偏差原因分析和整改方案选择功能。学生需要了解船体双层底装配中常见问题，在模型高亮问题区域，学生点后查看偏差数据和可能原因，并在表单中选择重新定位、调整胎架高度、增加支撑、压紧校正、拆除重装、切割修整、更换构件、调整装配顺序等整改方案。</w:t>
            </w:r>
            <w:r>
              <w:rPr>
                <w:rFonts w:hint="eastAsia" w:ascii="宋体" w:hAnsi="宋体" w:cs="宋体"/>
                <w:b/>
                <w:szCs w:val="21"/>
                <w:lang w:bidi="ar"/>
              </w:rPr>
              <w:t xml:space="preserve">（提供功能演示）</w:t>
            </w:r>
            <w:r>
              <w:rPr>
                <w:rFonts w:hint="eastAsia" w:ascii="宋体" w:hAnsi="宋体" w:cs="宋体"/>
                <w:szCs w:val="21"/>
                <w:lang w:bidi="ar"/>
              </w:rPr>
            </w:r>
            <w:r/>
          </w:p>
        </w:tc>
      </w:tr>
    </w:tbl>
    <w:p>
      <w:pPr>
        <w:pStyle w:val="836"/>
        <w:numPr>
          <w:ilvl w:val="0"/>
          <w:numId w:val="23"/>
        </w:numPr>
        <w:ind w:firstLine="482"/>
        <w:spacing w:line="360" w:lineRule="auto"/>
        <w:tabs>
          <w:tab w:val="left" w:pos="312" w:leader="none"/>
        </w:tabs>
        <w:rPr>
          <w:rFonts w:hint="eastAsia" w:ascii="宋体" w:hAnsi="宋体" w:cs="宋体"/>
          <w:b/>
          <w:bCs/>
          <w:sz w:val="24"/>
        </w:rPr>
        <w:outlineLvl w:val="3"/>
      </w:pPr>
      <w:r/>
      <w:bookmarkStart w:id="255" w:name="OLE_LINK175"/>
      <w:r/>
      <w:bookmarkStart w:id="256" w:name="OLE_LINK179"/>
      <w:r>
        <w:rPr>
          <w:rFonts w:hint="eastAsia" w:ascii="宋体" w:hAnsi="宋体" w:cs="宋体"/>
          <w:b/>
          <w:bCs/>
          <w:sz w:val="24"/>
        </w:rPr>
        <w:t xml:space="preserve">投标供应商需按照以上要求的演示内容制作演示视频文件</w:t>
      </w:r>
      <w:bookmarkEnd w:id="255"/>
      <w:r>
        <w:rPr>
          <w:rFonts w:hint="eastAsia" w:ascii="宋体" w:hAnsi="宋体" w:cs="宋体"/>
          <w:b/>
          <w:bCs/>
          <w:sz w:val="24"/>
        </w:rPr>
        <w:t xml:space="preserve">，视频文件的格式为*.mp4或*.avi，供应商须将视频文件分段压缩为*.zip文件上传（单个文件不得大于150M，所有文件总共不得大于1G）。文件上传方式见《江苏省政府采购管理交易系统（苏采云）供应商操作手册》规定，上传的演示视频将作为投标文件的组成部分。</w:t>
      </w:r>
      <w:r/>
    </w:p>
    <w:p>
      <w:pPr>
        <w:pStyle w:val="836"/>
        <w:ind w:left="482"/>
        <w:spacing w:line="360" w:lineRule="auto"/>
        <w:tabs>
          <w:tab w:val="left" w:pos="312" w:leader="none"/>
        </w:tabs>
        <w:rPr>
          <w:rFonts w:hint="eastAsia" w:ascii="宋体" w:hAnsi="宋体" w:cs="宋体"/>
          <w:b/>
          <w:bCs/>
          <w:sz w:val="24"/>
        </w:rPr>
        <w:outlineLvl w:val="3"/>
      </w:pPr>
      <w:r>
        <w:rPr>
          <w:rFonts w:hint="eastAsia" w:ascii="宋体" w:hAnsi="宋体" w:cs="宋体"/>
          <w:b/>
          <w:bCs/>
          <w:sz w:val="24"/>
        </w:rPr>
        <w:t xml:space="preserve">3.</w:t>
      </w:r>
      <w:bookmarkStart w:id="257" w:name="OLE_LINK174"/>
      <w:r>
        <w:rPr>
          <w:rFonts w:hint="eastAsia" w:ascii="宋体" w:hAnsi="宋体" w:cs="宋体"/>
          <w:b/>
          <w:bCs/>
          <w:sz w:val="24"/>
        </w:rPr>
        <w:t xml:space="preserve">现场演示要求：</w:t>
      </w:r>
      <w:bookmarkEnd w:id="257"/>
      <w:r>
        <w:rPr>
          <w:rFonts w:hint="eastAsia" w:ascii="宋体" w:hAnsi="宋体" w:cs="宋体"/>
          <w:b/>
          <w:bCs/>
          <w:sz w:val="24"/>
        </w:rPr>
      </w:r>
      <w:r/>
    </w:p>
    <w:p>
      <w:pPr>
        <w:pStyle w:val="836"/>
        <w:ind w:firstLine="482"/>
        <w:spacing w:line="360" w:lineRule="auto"/>
        <w:widowControl/>
        <w:rPr>
          <w:rFonts w:hint="eastAsia"/>
          <w:b/>
          <w:bCs/>
          <w:sz w:val="24"/>
        </w:rPr>
      </w:pPr>
      <w:r>
        <w:rPr>
          <w:rFonts w:hint="eastAsia"/>
          <w:b/>
          <w:bCs/>
          <w:sz w:val="24"/>
        </w:rPr>
        <w:t xml:space="preserve">（1）项目现场演示负责人于</w:t>
      </w:r>
      <w:r>
        <w:rPr>
          <w:rFonts w:hint="eastAsia"/>
          <w:b/>
          <w:bCs/>
          <w:sz w:val="24"/>
          <w:u w:val="single"/>
        </w:rPr>
        <w:t xml:space="preserve">2026年</w:t>
      </w:r>
      <w:r>
        <w:rPr>
          <w:rFonts w:hint="eastAsia"/>
          <w:b/>
          <w:bCs/>
          <w:sz w:val="24"/>
          <w:u w:val="single"/>
        </w:rPr>
        <w:t xml:space="preserve">09</w:t>
      </w:r>
      <w:r>
        <w:rPr>
          <w:rFonts w:hint="eastAsia"/>
          <w:b/>
          <w:bCs/>
          <w:sz w:val="24"/>
          <w:u w:val="single"/>
        </w:rPr>
        <w:t xml:space="preserve">月</w:t>
      </w:r>
      <w:r>
        <w:rPr>
          <w:rFonts w:hint="eastAsia"/>
          <w:b/>
          <w:bCs/>
          <w:sz w:val="24"/>
          <w:u w:val="single"/>
        </w:rPr>
        <w:t xml:space="preserve">24</w:t>
      </w:r>
      <w:r>
        <w:rPr>
          <w:rFonts w:hint="eastAsia"/>
          <w:b/>
          <w:bCs/>
          <w:sz w:val="24"/>
          <w:u w:val="single"/>
        </w:rPr>
        <w:t xml:space="preserve">日10时00分至10时30分</w:t>
      </w:r>
      <w:r>
        <w:rPr>
          <w:rFonts w:hint="eastAsia"/>
          <w:b/>
          <w:bCs/>
          <w:sz w:val="24"/>
        </w:rPr>
        <w:t xml:space="preserve">（北京时间），携带本人身份证原件及授权委托书原件（以便核验），到</w:t>
      </w:r>
      <w:r>
        <w:rPr>
          <w:rFonts w:hint="eastAsia"/>
          <w:b/>
          <w:bCs/>
          <w:sz w:val="24"/>
          <w:u w:val="single"/>
        </w:rPr>
        <w:t xml:space="preserve">南通市经济技术开发区宏兴路9号能达大厦东裙楼五楼（504）</w:t>
      </w:r>
      <w:r>
        <w:rPr>
          <w:rFonts w:hint="eastAsia"/>
          <w:b/>
          <w:bCs/>
          <w:sz w:val="24"/>
        </w:rPr>
        <w:t xml:space="preserve">现场签到并等候演示。</w:t>
      </w:r>
      <w:r>
        <w:rPr>
          <w:rFonts w:hint="eastAsia"/>
          <w:b/>
          <w:bCs/>
          <w:sz w:val="24"/>
        </w:rPr>
      </w:r>
      <w:r/>
    </w:p>
    <w:p>
      <w:pPr>
        <w:pStyle w:val="836"/>
        <w:ind w:firstLine="482"/>
        <w:spacing w:line="360" w:lineRule="auto"/>
        <w:widowControl/>
        <w:rPr>
          <w:rFonts w:hint="eastAsia"/>
          <w:b/>
          <w:bCs/>
          <w:sz w:val="24"/>
        </w:rPr>
      </w:pPr>
      <w:r>
        <w:rPr>
          <w:rFonts w:hint="eastAsia"/>
          <w:b/>
          <w:bCs/>
          <w:sz w:val="24"/>
        </w:rPr>
        <w:t xml:space="preserve">（2）投标文件中须提供项目现场演示负责人，身份证扫描件并加盖公章，否则评委会不予计分。</w:t>
      </w:r>
      <w:r/>
    </w:p>
    <w:p>
      <w:pPr>
        <w:pStyle w:val="836"/>
        <w:ind w:firstLine="482"/>
        <w:spacing w:line="360" w:lineRule="auto"/>
        <w:widowControl/>
        <w:rPr>
          <w:rFonts w:hint="eastAsia"/>
          <w:b/>
          <w:bCs/>
          <w:sz w:val="24"/>
        </w:rPr>
      </w:pPr>
      <w:r>
        <w:rPr>
          <w:rFonts w:hint="eastAsia"/>
          <w:b/>
          <w:bCs/>
          <w:sz w:val="24"/>
        </w:rPr>
        <w:t xml:space="preserve">（3）投标供应商自行准备电脑、网络等所需的全部设备，必须是基于该项目将投入使用的真实系统操作，演示技术参数要求内容。并与苏采云系统内上传的视频内容一致。评标委员会以现场演示内容为准进行打分，苏采云系统中上传的视频作为参考。</w:t>
      </w:r>
      <w:r/>
    </w:p>
    <w:p>
      <w:pPr>
        <w:pStyle w:val="836"/>
        <w:ind w:firstLine="482"/>
        <w:spacing w:line="360" w:lineRule="auto"/>
        <w:widowControl/>
        <w:rPr>
          <w:rFonts w:hint="eastAsia"/>
          <w:b/>
          <w:bCs/>
          <w:sz w:val="24"/>
        </w:rPr>
      </w:pPr>
      <w:r>
        <w:rPr>
          <w:rFonts w:hint="eastAsia"/>
          <w:b/>
          <w:bCs/>
          <w:sz w:val="24"/>
        </w:rPr>
        <w:t xml:space="preserve">（4）项目现场演示负责人演示讲解，时间控制在25分钟以内，超过时间停止演示。由评委根据演示情况进行评定。</w:t>
      </w:r>
      <w:r/>
    </w:p>
    <w:p>
      <w:pPr>
        <w:pStyle w:val="836"/>
        <w:ind w:firstLine="482"/>
        <w:spacing w:line="360" w:lineRule="auto"/>
        <w:widowControl/>
        <w:rPr>
          <w:rFonts w:hint="eastAsia"/>
          <w:b/>
          <w:bCs/>
          <w:sz w:val="24"/>
        </w:rPr>
      </w:pPr>
      <w:r>
        <w:rPr>
          <w:rFonts w:hint="eastAsia"/>
          <w:b/>
          <w:bCs/>
          <w:sz w:val="24"/>
        </w:rPr>
        <w:t xml:space="preserve">（5）未携带身份证原件或未按上述规定时间、地点参加演示的，作无效标处理。</w:t>
      </w:r>
      <w:bookmarkEnd w:id="256"/>
      <w:r>
        <w:rPr>
          <w:rFonts w:hint="eastAsia"/>
          <w:b/>
          <w:bCs/>
          <w:sz w:val="24"/>
        </w:rPr>
      </w:r>
      <w:r/>
    </w:p>
    <w:p>
      <w:pPr>
        <w:pStyle w:val="836"/>
        <w:jc w:val="center"/>
        <w:spacing w:line="360" w:lineRule="auto"/>
        <w:rPr>
          <w:rFonts w:hint="eastAsia" w:ascii="宋体" w:hAnsi="宋体" w:cs="宋体"/>
          <w:b/>
          <w:sz w:val="36"/>
          <w:szCs w:val="36"/>
        </w:rPr>
        <w:outlineLvl w:val="0"/>
      </w:pPr>
      <w:r/>
      <w:bookmarkEnd w:id="1"/>
      <w:r/>
      <w:bookmarkEnd w:id="2"/>
      <w:r/>
      <w:bookmarkEnd w:id="3"/>
      <w:r>
        <w:rPr>
          <w:rFonts w:eastAsia="方正小标宋_GBK"/>
          <w:bCs/>
          <w:sz w:val="36"/>
          <w:szCs w:val="36"/>
        </w:rPr>
        <w:br w:type="page" w:clear="all"/>
      </w:r>
      <w:r>
        <w:rPr>
          <w:rFonts w:hint="eastAsia" w:ascii="宋体" w:hAnsi="宋体" w:cs="宋体"/>
          <w:b/>
          <w:sz w:val="36"/>
          <w:szCs w:val="36"/>
        </w:rPr>
        <w:t xml:space="preserve">第四部分  合同文本</w:t>
      </w:r>
      <w:bookmarkStart w:id="258" w:name="_Toc8219"/>
      <w:r>
        <w:rPr>
          <w:rFonts w:hint="eastAsia" w:ascii="宋体" w:hAnsi="宋体" w:cs="宋体"/>
          <w:b/>
          <w:sz w:val="36"/>
          <w:szCs w:val="36"/>
        </w:rPr>
      </w:r>
      <w:r/>
    </w:p>
    <w:p>
      <w:pPr>
        <w:pStyle w:val="836"/>
        <w:jc w:val="center"/>
        <w:spacing w:line="360" w:lineRule="auto"/>
        <w:rPr>
          <w:rFonts w:ascii="宋体" w:hAnsi="宋体" w:cs="宋体"/>
          <w:b/>
          <w:sz w:val="32"/>
          <w:szCs w:val="32"/>
        </w:rPr>
        <w:outlineLvl w:val="0"/>
      </w:pPr>
      <w:r>
        <w:rPr>
          <w:rFonts w:hint="eastAsia" w:ascii="宋体" w:hAnsi="宋体" w:cs="宋体"/>
          <w:b/>
          <w:sz w:val="32"/>
          <w:szCs w:val="32"/>
        </w:rPr>
        <w:t xml:space="preserve">江苏省政府采购合同（货物）</w:t>
      </w:r>
      <w:r>
        <w:rPr>
          <w:rFonts w:ascii="宋体" w:hAnsi="宋体" w:cs="宋体"/>
          <w:b/>
          <w:sz w:val="32"/>
          <w:szCs w:val="32"/>
        </w:rPr>
      </w:r>
      <w:r/>
    </w:p>
    <w:p>
      <w:pPr>
        <w:pStyle w:val="836"/>
        <w:jc w:val="center"/>
        <w:rPr>
          <w:rFonts w:hint="eastAsia" w:ascii="宋体" w:hAnsi="宋体" w:cs="宋体"/>
          <w:bCs/>
          <w:sz w:val="24"/>
        </w:rPr>
      </w:pPr>
      <w:r>
        <w:rPr>
          <w:rFonts w:hint="eastAsia" w:ascii="宋体" w:hAnsi="宋体" w:cs="宋体"/>
          <w:b/>
          <w:sz w:val="24"/>
        </w:rPr>
        <w:t xml:space="preserve">（合同编号：         </w:t>
      </w:r>
      <w:bookmarkEnd w:id="258"/>
      <w:r>
        <w:rPr>
          <w:rFonts w:hint="eastAsia" w:ascii="宋体" w:hAnsi="宋体" w:cs="宋体"/>
          <w:b/>
          <w:sz w:val="24"/>
        </w:rPr>
        <w:t xml:space="preserve">）</w:t>
      </w:r>
      <w:r>
        <w:rPr>
          <w:rFonts w:hint="eastAsia" w:ascii="宋体" w:hAnsi="宋体" w:cs="宋体"/>
          <w:bCs/>
          <w:sz w:val="24"/>
        </w:rPr>
      </w:r>
      <w:r/>
    </w:p>
    <w:p>
      <w:pPr>
        <w:pStyle w:val="836"/>
        <w:spacing w:line="360" w:lineRule="auto"/>
        <w:rPr>
          <w:rFonts w:ascii="宋体" w:hAnsi="宋体" w:cs="宋体"/>
          <w:sz w:val="24"/>
        </w:rPr>
      </w:pPr>
      <w:r>
        <w:rPr>
          <w:rFonts w:hint="eastAsia" w:ascii="宋体" w:hAnsi="宋体" w:cs="宋体"/>
          <w:sz w:val="24"/>
        </w:rPr>
        <w:t xml:space="preserve">项目名称：船舶工程技术专业群MR场景课堂采购项目</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甲方（采购人）：</w:t>
      </w:r>
      <w:r>
        <w:rPr>
          <w:rFonts w:hint="eastAsia" w:ascii="宋体" w:hAnsi="宋体" w:cs="宋体"/>
          <w:sz w:val="24"/>
          <w:u w:val="single"/>
        </w:rPr>
        <w:t xml:space="preserve">江苏航运职业技术学院</w:t>
      </w: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乙方（中标人）：</w:t>
      </w:r>
      <w:r>
        <w:rPr>
          <w:rFonts w:ascii="宋体" w:hAnsi="宋体" w:cs="宋体"/>
          <w:sz w:val="24"/>
        </w:rPr>
      </w:r>
      <w:r/>
    </w:p>
    <w:p>
      <w:pPr>
        <w:pStyle w:val="836"/>
        <w:ind w:firstLine="480"/>
        <w:spacing w:line="360" w:lineRule="auto"/>
        <w:rPr>
          <w:rFonts w:ascii="宋体" w:hAnsi="宋体" w:cs="宋体"/>
          <w:b/>
          <w:sz w:val="24"/>
        </w:rPr>
      </w:pPr>
      <w:r>
        <w:rPr>
          <w:rFonts w:hint="eastAsia" w:ascii="宋体" w:hAnsi="宋体" w:cs="宋体"/>
          <w:sz w:val="24"/>
        </w:rPr>
        <w:t xml:space="preserve">甲、乙双方根据</w:t>
      </w:r>
      <w:r>
        <w:rPr>
          <w:rFonts w:hint="eastAsia" w:ascii="宋体" w:hAnsi="宋体" w:cs="宋体"/>
          <w:sz w:val="24"/>
          <w:u w:val="single"/>
        </w:rPr>
        <w:t xml:space="preserve">船舶工程技术专业群MR场景课堂采购项目</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）公开招标的结果，签署本合同。</w:t>
      </w:r>
      <w:r>
        <w:rPr>
          <w:rFonts w:ascii="宋体" w:hAnsi="宋体" w:cs="宋体"/>
          <w:b/>
          <w:sz w:val="24"/>
        </w:rPr>
      </w:r>
      <w:r/>
    </w:p>
    <w:p>
      <w:pPr>
        <w:pStyle w:val="836"/>
        <w:ind w:firstLine="482"/>
        <w:spacing w:line="360" w:lineRule="auto"/>
        <w:rPr>
          <w:rFonts w:hint="eastAsia" w:ascii="宋体" w:hAnsi="宋体" w:cs="宋体"/>
          <w:b/>
          <w:sz w:val="24"/>
        </w:rPr>
      </w:pPr>
      <w:r>
        <w:rPr>
          <w:rFonts w:hint="eastAsia" w:ascii="宋体" w:hAnsi="宋体" w:cs="宋体"/>
          <w:b/>
          <w:sz w:val="24"/>
        </w:rPr>
        <w:t xml:space="preserve">一、合同内容</w:t>
      </w:r>
      <w:r/>
    </w:p>
    <w:p>
      <w:pPr>
        <w:pStyle w:val="836"/>
        <w:ind w:firstLine="480"/>
        <w:spacing w:line="360" w:lineRule="auto"/>
        <w:rPr>
          <w:rFonts w:ascii="宋体" w:hAnsi="宋体" w:cs="宋体"/>
          <w:sz w:val="24"/>
        </w:rPr>
      </w:pPr>
      <w:r>
        <w:rPr>
          <w:rFonts w:hint="eastAsia" w:ascii="宋体" w:hAnsi="宋体" w:cs="宋体"/>
          <w:sz w:val="24"/>
        </w:rPr>
        <w:t xml:space="preserve">1.1 标的名称：船舶工程技术专业群MR场景课堂采购项目</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1.2 标的质量：合格</w:t>
      </w:r>
      <w:r/>
    </w:p>
    <w:p>
      <w:pPr>
        <w:pStyle w:val="836"/>
        <w:ind w:firstLine="480"/>
        <w:spacing w:line="360" w:lineRule="auto"/>
        <w:rPr>
          <w:rFonts w:hint="eastAsia" w:ascii="宋体" w:hAnsi="宋体" w:cs="宋体"/>
          <w:sz w:val="24"/>
        </w:rPr>
      </w:pPr>
      <w:r>
        <w:rPr>
          <w:rFonts w:hint="eastAsia" w:ascii="宋体" w:hAnsi="宋体" w:cs="宋体"/>
          <w:sz w:val="24"/>
        </w:rPr>
        <w:t xml:space="preserve">1.3 标的数量（规模）：</w:t>
      </w:r>
      <w:r/>
    </w:p>
    <w:tbl>
      <w:tblPr>
        <w:tblW w:w="548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148"/>
        <w:gridCol w:w="1813"/>
        <w:gridCol w:w="1049"/>
        <w:gridCol w:w="1049"/>
        <w:gridCol w:w="765"/>
        <w:gridCol w:w="765"/>
        <w:gridCol w:w="765"/>
        <w:gridCol w:w="765"/>
        <w:gridCol w:w="765"/>
      </w:tblGrid>
      <w:tr>
        <w:trPr>
          <w:trHeight w:val="441"/>
          <w:tblHeader/>
        </w:trPr>
        <w:tc>
          <w:tcPr>
            <w:shd w:val="clear" w:color="auto" w:fill="d9d9d9"/>
            <w:tcW w:w="46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序号</w:t>
            </w:r>
            <w:r/>
          </w:p>
        </w:tc>
        <w:tc>
          <w:tcPr>
            <w:shd w:val="clear" w:color="auto" w:fill="d9d9d9"/>
            <w:tcW w:w="1148"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181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规格型号</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品牌</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合价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备注</w:t>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教学设备及管控系统</w:t>
            </w: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教师数据管控终端</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8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1148"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教学管理软件（含教师端和客户端）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专用教师操作台</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学生实训专用终端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学生实训桌椅</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495"/>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MR一体机</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投影仪及幕布</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8</w:t>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rPr>
              <w:t xml:space="preserve">云端共享课程平台及虚拟仿真实训课程</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云端共享课程平台</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946"/>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9</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船体焊接MR场景课堂（含焊接系统升级）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636"/>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船舶管系安装与检验MR场景课堂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15"/>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船体精度检验MR场景课堂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船舶轴系安装与校中MR场景课堂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2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船舶系泊试验MR场景课堂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49"/>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船体总段合拢MR场景课堂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4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船舶下水作业MR场景课堂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56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17</w:t>
            </w:r>
            <w:r/>
          </w:p>
        </w:tc>
        <w:tc>
          <w:tcPr>
            <w:tcW w:w="1148"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实训室环境建设</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实训室地板铺设及环境升级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639"/>
        </w:trPr>
        <w:tc>
          <w:tcPr>
            <w:tcW w:w="463"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18</w:t>
            </w:r>
            <w:r>
              <w:rPr>
                <w:rFonts w:ascii="宋体" w:hAnsi="宋体" w:cs="宋体"/>
                <w:szCs w:val="21"/>
              </w:rPr>
            </w:r>
            <w:r/>
          </w:p>
        </w:tc>
        <w:tc>
          <w:tcPr>
            <w:gridSpan w:val="2"/>
            <w:tcW w:w="2961"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合计</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bl>
    <w:p>
      <w:pPr>
        <w:pStyle w:val="836"/>
        <w:ind w:firstLine="480"/>
        <w:spacing w:line="360" w:lineRule="auto"/>
        <w:rPr>
          <w:rFonts w:ascii="宋体" w:hAnsi="宋体" w:cs="宋体"/>
          <w:sz w:val="24"/>
        </w:rPr>
      </w:pPr>
      <w:r>
        <w:rPr>
          <w:rFonts w:hint="eastAsia" w:ascii="宋体" w:hAnsi="宋体" w:cs="宋体"/>
          <w:sz w:val="24"/>
        </w:rPr>
        <w:t xml:space="preserve">1.4 设备交货期：合同签订后</w:t>
      </w:r>
      <w:r>
        <w:rPr>
          <w:rFonts w:hint="eastAsia" w:ascii="宋体" w:hAnsi="宋体" w:cs="宋体"/>
          <w:sz w:val="24"/>
          <w:u w:val="single"/>
        </w:rPr>
        <w:t xml:space="preserve">    </w:t>
      </w:r>
      <w:r>
        <w:rPr>
          <w:rFonts w:hint="eastAsia" w:ascii="宋体" w:hAnsi="宋体" w:cs="宋体"/>
          <w:sz w:val="24"/>
        </w:rPr>
        <w:t xml:space="preserve">个日历日内完成交货。</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1.5 </w:t>
      </w:r>
      <w:r>
        <w:rPr>
          <w:rFonts w:hint="eastAsia" w:ascii="宋体" w:hAnsi="宋体" w:cs="宋体"/>
          <w:spacing w:val="7"/>
          <w:sz w:val="24"/>
          <w:shd w:val="clear" w:color="auto" w:fill="ffffff"/>
        </w:rPr>
        <w:t xml:space="preserve">项目交付时间：</w:t>
      </w:r>
      <w:r>
        <w:rPr>
          <w:rFonts w:hint="eastAsia" w:ascii="宋体" w:hAnsi="宋体" w:cs="宋体"/>
          <w:spacing w:val="7"/>
          <w:sz w:val="24"/>
          <w:u w:val="single"/>
          <w:shd w:val="clear" w:color="auto" w:fill="ffffff"/>
        </w:rPr>
        <w:t xml:space="preserve">                  </w:t>
      </w:r>
      <w:r>
        <w:rPr>
          <w:rFonts w:hint="eastAsia" w:ascii="宋体" w:hAnsi="宋体" w:cs="宋体"/>
          <w:spacing w:val="7"/>
          <w:sz w:val="24"/>
          <w:shd w:val="clear" w:color="auto" w:fill="ffffff"/>
        </w:rPr>
        <w:t xml:space="preserve">完成交付。</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 履行地点：江苏航运职业技术学院，具体按甲方指定地点送货安装并提供服务。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1.7 履行方式：同招标文件要求。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1.8 包装方式：同招标文件要求。</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二、合同金额</w:t>
      </w:r>
      <w:r>
        <w:rPr>
          <w:rFonts w:ascii="宋体" w:hAnsi="宋体" w:cs="宋体"/>
          <w:b/>
          <w:sz w:val="24"/>
        </w:rPr>
      </w:r>
      <w:r/>
    </w:p>
    <w:p>
      <w:pPr>
        <w:pStyle w:val="836"/>
        <w:ind w:firstLine="480"/>
        <w:jc w:val="left"/>
        <w:spacing w:line="360" w:lineRule="auto"/>
        <w:widowControl/>
        <w:rPr>
          <w:rFonts w:ascii="宋体" w:hAnsi="宋体" w:cs="宋体"/>
          <w:sz w:val="24"/>
        </w:rPr>
      </w:pPr>
      <w:r>
        <w:rPr>
          <w:rFonts w:hint="eastAsia" w:ascii="宋体" w:hAnsi="宋体" w:cs="宋体"/>
          <w:sz w:val="24"/>
        </w:rPr>
        <w:t xml:space="preserve">2.1 本合同金额为（大写）：人民币</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u w:val="single"/>
        </w:rPr>
        <w:t xml:space="preserve">          </w:t>
      </w:r>
      <w:r>
        <w:rPr>
          <w:rFonts w:hint="eastAsia" w:ascii="宋体" w:hAnsi="宋体" w:cs="宋体"/>
          <w:sz w:val="24"/>
        </w:rPr>
        <w:t xml:space="preserve">元）。已包含但不限于本项目所有设备费、劳务费、管理费、材料费、机械费、包装费、运输费、装卸费（含上下力资费）、安装费、云服务费、升级维护费、服务费（包括调试、安装完毕后对相关人员的技术指导、培训、服务等）、措施费、风险费（政策性文件规定及本合同包含的所有风险）、售后服务费等利润和税金、质保期内的维护保养费等。</w:t>
      </w:r>
      <w:r>
        <w:rPr>
          <w:rFonts w:ascii="宋体" w:hAnsi="宋体" w:cs="宋体"/>
          <w:sz w:val="24"/>
        </w:rPr>
      </w:r>
      <w:r/>
    </w:p>
    <w:p>
      <w:pPr>
        <w:pStyle w:val="836"/>
        <w:ind w:firstLine="480"/>
        <w:jc w:val="left"/>
        <w:spacing w:line="360" w:lineRule="auto"/>
        <w:widowControl/>
        <w:rPr>
          <w:rFonts w:ascii="宋体" w:hAnsi="宋体" w:cs="宋体"/>
          <w:sz w:val="24"/>
        </w:rPr>
      </w:pPr>
      <w:r>
        <w:rPr>
          <w:rFonts w:hint="eastAsia" w:ascii="宋体" w:hAnsi="宋体" w:cs="宋体"/>
          <w:sz w:val="24"/>
        </w:rPr>
        <w:t xml:space="preserve">2.2 本合同价格形式为固定单价合同，该固定单价在合同履行过程中不因市场变化、政策调整等各种因素而变动。</w:t>
      </w:r>
      <w:r>
        <w:rPr>
          <w:rFonts w:ascii="宋体" w:hAnsi="宋体" w:cs="宋体"/>
          <w:sz w:val="24"/>
        </w:rPr>
      </w:r>
      <w:r/>
    </w:p>
    <w:p>
      <w:pPr>
        <w:pStyle w:val="836"/>
        <w:ind w:firstLine="482"/>
        <w:jc w:val="left"/>
        <w:spacing w:line="360" w:lineRule="auto"/>
        <w:widowControl/>
        <w:rPr>
          <w:rFonts w:ascii="宋体" w:hAnsi="宋体" w:cs="宋体"/>
          <w:b/>
          <w:sz w:val="24"/>
        </w:rPr>
      </w:pPr>
      <w:r>
        <w:rPr>
          <w:rFonts w:hint="eastAsia" w:ascii="宋体" w:hAnsi="宋体" w:cs="宋体"/>
          <w:b/>
          <w:sz w:val="24"/>
        </w:rPr>
        <w:t xml:space="preserve">三、技术资料</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3.1 乙方应按招标文件规定的时间向甲方提供使用货物（包含与货物相关的服务）的有关技术资料。乙方在签订本合同前对本项目的全部技术要求及说明、质量标准、招标文件、合同条件、现场条件及周围环境、交通道路、现场管理要求等已详细研究并完全明确，在合同价款中已予以充分考虑。</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四、知识产权</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4.1 乙方应保证甲方在使用、接受本合同货物（包含与货物相关的服务）或其任何一部分时不受第三方提出侵犯其专利权、版权、商标权、著作权和工业设计权等知识产权的起诉。一旦出现侵权，由乙方负全部责任。</w:t>
      </w:r>
      <w:r>
        <w:rPr>
          <w:rFonts w:ascii="宋体" w:hAnsi="宋体" w:cs="宋体"/>
          <w:sz w:val="24"/>
        </w:rPr>
      </w:r>
      <w:r/>
    </w:p>
    <w:p>
      <w:pPr>
        <w:pStyle w:val="836"/>
        <w:ind w:firstLine="482"/>
        <w:spacing w:line="360" w:lineRule="auto"/>
        <w:rPr>
          <w:rFonts w:ascii="宋体" w:hAnsi="宋体" w:cs="宋体"/>
          <w:sz w:val="24"/>
          <w:u w:val="single"/>
        </w:rPr>
      </w:pPr>
      <w:r>
        <w:rPr>
          <w:rFonts w:hint="eastAsia" w:ascii="宋体" w:hAnsi="宋体" w:cs="宋体"/>
          <w:b/>
          <w:sz w:val="24"/>
        </w:rPr>
        <w:t xml:space="preserve">五、产权担保</w:t>
      </w:r>
      <w:r>
        <w:rPr>
          <w:rFonts w:ascii="宋体" w:hAnsi="宋体" w:cs="宋体"/>
          <w:sz w:val="24"/>
          <w:u w:val="single"/>
        </w:rPr>
      </w:r>
      <w:r/>
    </w:p>
    <w:p>
      <w:pPr>
        <w:pStyle w:val="836"/>
        <w:ind w:firstLine="480"/>
        <w:spacing w:line="360" w:lineRule="auto"/>
        <w:rPr>
          <w:rFonts w:ascii="宋体" w:hAnsi="宋体" w:cs="宋体"/>
          <w:sz w:val="24"/>
        </w:rPr>
      </w:pPr>
      <w:r>
        <w:rPr>
          <w:rFonts w:hint="eastAsia" w:ascii="宋体" w:hAnsi="宋体" w:cs="宋体"/>
          <w:sz w:val="24"/>
        </w:rPr>
        <w:t xml:space="preserve">5.1 乙方保证所交付的货物（包含与货物相关的服务）的所有权完全属于乙方且无任何抵押、查封等产权瑕疵。乙方应具有所交付软件的软件著作权证明材料或提供软件授权证明材料。</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六、履约保证金</w:t>
      </w:r>
      <w:r>
        <w:rPr>
          <w:rFonts w:ascii="宋体" w:hAnsi="宋体" w:cs="宋体"/>
          <w:b/>
          <w:sz w:val="24"/>
        </w:rPr>
      </w:r>
      <w:r/>
    </w:p>
    <w:p>
      <w:pPr>
        <w:pStyle w:val="836"/>
        <w:ind w:left="386"/>
        <w:spacing w:line="360" w:lineRule="auto"/>
        <w:rPr>
          <w:rFonts w:ascii="宋体" w:hAnsi="宋体" w:cs="宋体"/>
          <w:sz w:val="24"/>
        </w:rPr>
      </w:pPr>
      <w:r>
        <w:rPr>
          <w:rFonts w:hint="eastAsia" w:ascii="宋体" w:hAnsi="宋体" w:cs="宋体"/>
          <w:sz w:val="24"/>
        </w:rPr>
        <w:t xml:space="preserve">6.1 乙方提供的履约保证金额为合同价的10%，本合同履约保证金为：</w:t>
      </w:r>
      <w:r>
        <w:rPr>
          <w:rFonts w:hint="eastAsia" w:ascii="宋体" w:hAnsi="宋体" w:cs="宋体"/>
          <w:bCs/>
          <w:sz w:val="24"/>
          <w:u w:val="single"/>
        </w:rPr>
        <w:t xml:space="preserve">人民币 元     （¥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6.2 缴纳履约保证金时间：乙方在中标通知书发出之日起15日内。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6.3 缴纳履约保证金形式：</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甲方的账户：</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单位名称：江苏航运职业技术学院</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开户行：中国建设银行南通经济技术开发区支行；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账号：32001642336052515609；</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统一社会信用代码：123200004660042577。</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合同全部履行结束后，甲方应及时退还交纳的履约保证金。</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6.4 退还履约保证金时间：乙方全部履约合同义务，质保期满后无质量、进度等问题的，采购人凭乙方提交的申请，在三十个工作日内一次性退还履约保证金（不计息）或者退还履约保证金保函，采购人若逾期退还履约保证金的，按照逾期部分的每日</w:t>
      </w:r>
      <w:r>
        <w:rPr>
          <w:rFonts w:hint="eastAsia" w:ascii="宋体" w:hAnsi="宋体" w:cs="宋体"/>
          <w:sz w:val="24"/>
          <w:u w:val="single"/>
        </w:rPr>
        <w:t xml:space="preserve">0.05%</w:t>
      </w:r>
      <w:r>
        <w:rPr>
          <w:rFonts w:hint="eastAsia" w:ascii="宋体" w:hAnsi="宋体" w:cs="宋体"/>
          <w:sz w:val="24"/>
        </w:rPr>
        <w:t xml:space="preserve">支付违约金。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6.5 退还履约保证金方式：同缴纳方式。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6.6 退还履约保证金条件：乙方全部履约合同义务，质保期满后无质量、进度等问题的，采购人凭乙方提交的申请，在三十个工作日内一次性退还履约保证金（不计息）或者退还履约保证金保函。</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6.7 履约保证金不予退还的情形：</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a.签订合同后，乙方不履行合同义务的，甲方有权全额扣除履约保证金，全额不予退还，同时甲方亦有权终止合同，乙方还须承担相应的法律赔偿责任。</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b.乙方在履约过程中发生违约行为，给甲方造成损失或者应承担违约金的，甲方有权在乙方缴纳的履约保证金中予以扣款或要求担保人按照保函约定向甲方无条件付款，不足的部分乙方另外补齐。因乙方违约导致甲方解除本合同的，甲方有权没收全部履约保证金或要求担保人按照保函约定向甲方无条件付款。并且，乙方还应承担本合同其他条款约定的违约责任。</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c.若乙方以保函形式提供担保的，乙方需将保函正本提交给甲方。乙方在履约过程中发生违约行为，甲方有权要求担保人按照保函约定向甲方无条件付款。满足本合同第6.6约定的条件时，甲方将保函正本退还给乙方。</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七、合同转包等事项</w:t>
      </w:r>
      <w:r>
        <w:rPr>
          <w:rFonts w:ascii="宋体" w:hAnsi="宋体" w:cs="宋体"/>
          <w:b/>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7.1 乙方不得将合同标的转包给他人履行。乙方如有转包，甲方视为乙方根本违约，有权给予解除合同。</w:t>
      </w:r>
      <w:r>
        <w:rPr>
          <w:rFonts w:ascii="宋体" w:hAnsi="宋体" w:cs="宋体"/>
          <w:sz w:val="24"/>
        </w:rPr>
      </w:r>
      <w:r/>
    </w:p>
    <w:p>
      <w:pPr>
        <w:pStyle w:val="836"/>
        <w:ind w:firstLine="480"/>
        <w:jc w:val="left"/>
        <w:spacing w:line="360" w:lineRule="auto"/>
        <w:rPr>
          <w:rFonts w:ascii="宋体" w:hAnsi="宋体" w:cs="宋体"/>
          <w:sz w:val="24"/>
        </w:rPr>
      </w:pPr>
      <w:r>
        <w:rPr>
          <w:rFonts w:hint="eastAsia" w:ascii="宋体" w:hAnsi="宋体" w:cs="宋体"/>
          <w:sz w:val="24"/>
        </w:rPr>
        <w:t xml:space="preserve">7.2 乙方保证提供的产品不得侵犯第三方专利权、商标权和设计权、版权等。否则，乙方负全部责任，并承担由此引起的一切后果。</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7.3 乙方应保证其货物在正确安装、正常使用下，在其使用寿命期内应具有满意的性能。</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7.4 乙方应采取必要的安全措施保证货物的运输及安装的安全，并承担货物的运输及安装过程中产生的风险。</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7.5 乙方提供的所有货物必须满足招标文件要求，须与分项报价明细表注明规格型号、价格、数量等相符，否则乙方承担违约责任。货物到货后，需报甲方后方可进场，对于不合格的货物严禁使用到本项目，否则一切损失及后果由乙方自行承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7.6 乙方提供详细的生产供货及安装计划，并标明主要时间节点。</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发货前乙方均应通知甲方进行验收（但甲方的验收对于乙方应按本合同承担的质量担保责任不予任何减轻或免除）。</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八、合同款项支付</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8.1 合同款项的支付方式及进度安排</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8.1.1 乙方按要求完成第一阶段工作，甲方组织验收，验收通过后，乙方提交申请，甲方在收到申请后1</w:t>
      </w:r>
      <w:r>
        <w:rPr>
          <w:rFonts w:ascii="宋体" w:hAnsi="宋体" w:cs="宋体"/>
          <w:sz w:val="24"/>
        </w:rPr>
        <w:t xml:space="preserve">5</w:t>
      </w:r>
      <w:r>
        <w:rPr>
          <w:rFonts w:hint="eastAsia" w:ascii="宋体" w:hAnsi="宋体" w:cs="宋体"/>
          <w:sz w:val="24"/>
        </w:rPr>
        <w:t xml:space="preserve">个工作日内付至合同价的</w:t>
      </w:r>
      <w:r>
        <w:rPr>
          <w:rFonts w:ascii="宋体" w:hAnsi="宋体" w:cs="宋体"/>
          <w:sz w:val="24"/>
        </w:rPr>
        <w:t xml:space="preserve">22</w:t>
      </w:r>
      <w:r>
        <w:rPr>
          <w:rFonts w:hint="eastAsia" w:ascii="宋体" w:hAnsi="宋体" w:cs="宋体"/>
          <w:sz w:val="24"/>
        </w:rPr>
        <w:t xml:space="preserve">%；</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8.1.</w:t>
      </w:r>
      <w:r>
        <w:rPr>
          <w:rFonts w:ascii="宋体" w:hAnsi="宋体" w:cs="宋体"/>
          <w:sz w:val="24"/>
        </w:rPr>
        <w:t xml:space="preserve">2</w:t>
      </w:r>
      <w:r>
        <w:rPr>
          <w:rFonts w:hint="eastAsia" w:ascii="宋体" w:hAnsi="宋体" w:cs="宋体"/>
          <w:sz w:val="24"/>
        </w:rPr>
        <w:t xml:space="preserve"> 乙方按要求完成第二阶段工作，甲方组织预验收，预验收通过后，乙方提交申请，甲方在收到申请后14个工作日内付合同价的</w:t>
      </w:r>
      <w:r>
        <w:rPr>
          <w:rFonts w:ascii="宋体" w:hAnsi="宋体" w:cs="宋体"/>
          <w:sz w:val="24"/>
        </w:rPr>
        <w:t xml:space="preserve">38</w:t>
      </w:r>
      <w:r>
        <w:rPr>
          <w:rFonts w:hint="eastAsia" w:ascii="宋体" w:hAnsi="宋体" w:cs="宋体"/>
          <w:sz w:val="24"/>
        </w:rPr>
        <w:t xml:space="preserve">%；</w:t>
      </w:r>
      <w:r/>
    </w:p>
    <w:p>
      <w:pPr>
        <w:pStyle w:val="836"/>
        <w:ind w:firstLine="480"/>
        <w:spacing w:line="360" w:lineRule="auto"/>
        <w:rPr>
          <w:rFonts w:ascii="宋体" w:hAnsi="宋体" w:cs="宋体"/>
          <w:sz w:val="24"/>
        </w:rPr>
      </w:pPr>
      <w:r>
        <w:rPr>
          <w:rFonts w:hint="eastAsia" w:ascii="宋体" w:hAnsi="宋体" w:cs="宋体"/>
          <w:sz w:val="24"/>
        </w:rPr>
        <w:t xml:space="preserve">8.1.</w:t>
      </w:r>
      <w:r>
        <w:rPr>
          <w:rFonts w:ascii="宋体" w:hAnsi="宋体" w:cs="宋体"/>
          <w:sz w:val="24"/>
        </w:rPr>
        <w:t xml:space="preserve">3</w:t>
      </w:r>
      <w:r>
        <w:rPr>
          <w:rFonts w:hint="eastAsia" w:ascii="宋体" w:hAnsi="宋体" w:cs="宋体"/>
          <w:sz w:val="24"/>
        </w:rPr>
        <w:t xml:space="preserve"> 乙方按要求完成第三阶段工作，正式验收合格（以甲方正式验收报告为准）并审计，审计结束后甲方付合同价的</w:t>
      </w:r>
      <w:r>
        <w:rPr>
          <w:rFonts w:ascii="宋体" w:hAnsi="宋体" w:cs="宋体"/>
          <w:sz w:val="24"/>
        </w:rPr>
        <w:t xml:space="preserve">40</w:t>
      </w:r>
      <w:r>
        <w:rPr>
          <w:rFonts w:hint="eastAsia" w:ascii="宋体" w:hAnsi="宋体" w:cs="宋体"/>
          <w:sz w:val="24"/>
        </w:rPr>
        <w:t xml:space="preserve">%。</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 乙方凭以下文件资料申请支付合同款</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8.2.1 采购合同；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8.2.2 中标通知书复印件或扫描件；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8.2.3 乙方开具的国家税务机关监制的增值税专用发票；</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8.2.4 甲方已收讫货物的验收凭证；</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8.2.5 甲方签发的验收合格文件。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8.3 因甲方使用的是财政资金，甲方在前款规定的付款时间为向政府采购支付部门提出办理财政支付申请手续的时间（不含政府财政支付部门审核的时间），在规定时间内提出支付申请手续后即视为甲方是按期支付。</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九、税费</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9.1 本合同执行中相关的一切税费均由乙方负担。</w:t>
      </w:r>
      <w:r>
        <w:rPr>
          <w:rFonts w:ascii="宋体" w:hAnsi="宋体" w:cs="宋体"/>
          <w:sz w:val="24"/>
        </w:rPr>
      </w:r>
      <w:r/>
    </w:p>
    <w:p>
      <w:pPr>
        <w:pStyle w:val="836"/>
        <w:ind w:firstLine="482"/>
        <w:spacing w:line="360" w:lineRule="auto"/>
        <w:rPr>
          <w:rFonts w:ascii="宋体" w:hAnsi="宋体" w:cs="宋体"/>
          <w:sz w:val="24"/>
        </w:rPr>
      </w:pPr>
      <w:r>
        <w:rPr>
          <w:rFonts w:hint="eastAsia" w:ascii="宋体" w:hAnsi="宋体" w:cs="宋体"/>
          <w:b/>
          <w:sz w:val="24"/>
        </w:rPr>
        <w:t xml:space="preserve">十、质量保修范围和保修期及售后服务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10.1 乙方应按招标文件规定的货物性能、技术要求、质量标准向甲方提供产品，并不低于投标文件的质量、规格和参数的要求。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10.2 乙方提供的货物在质量期内因货物本身的质量问题发生故障，乙方应负责免费更换。对达不到技术要求者，根据实际情况，经双方协商，可按以下办法处理：</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（1）更换：由乙方承担所发生的全部费用。</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（2）贬值处理：由甲乙双方合议定价。</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（3）退货处理：乙方应退还甲方支付的合同款，同时应承担该货物的直接费用（运输、保险、检验、货款利息及银行手续费等）。</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 售后服务要求：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10.3.1 </w:t>
      </w:r>
      <w:r>
        <w:rPr>
          <w:rFonts w:hint="eastAsia" w:ascii="宋体" w:hAnsi="宋体" w:cs="宋体"/>
          <w:sz w:val="24"/>
        </w:rPr>
        <w:t xml:space="preserve">五</w:t>
      </w:r>
      <w:r>
        <w:rPr>
          <w:rFonts w:hint="eastAsia" w:ascii="宋体" w:hAnsi="宋体" w:cs="宋体"/>
          <w:sz w:val="24"/>
        </w:rPr>
        <w:t xml:space="preserve">年质保，终身维修；所有软件提供终身免费升级。其他按有关规定执行（国际标准、国家标准、行业标准或企业标准）。</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10.3.2 产品使用中，接到甲方电话通知后，在一小时内提供技术指导或远程维护。如需要，在24小时（省外单位48小时）内派出技术人员到达用户现场进行相关服务。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10.3.3安装、调试、培训要求：项目实施阶段安排专业技术人员现场实施，乙方对使用方进行所有设备的免费使用培训。</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10.4 上述的货物免费质保期为自项目验收合格之日起，36个月。（自交货验收合格之日起计）。</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十一、项目验收</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11.1 甲方依法组织履约验收工作。</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11.2 如有必要，甲方邀请参加本项目的其他供应商或第三方专业机构及专家参与验收，相关意见将作为验收书的参考资料。</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11.3 甲方成立验收小组，按照采购合同的约定对乙方的履约情况进行验收。验收时间、验收标准见招标文件验收内容。验收时，甲方按照采购合同的约定对每一项技术、商务要求的履约情况进行确认。验收结束后，验收小组出具验收报告，列明验收结果。验收结果与采购合同约定的资金支付及履约保证金返还条件挂钩。</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11.4 交货、安装：交货方式为乙方送货至甲方指定地点，除不可抗力因素外，中标人必须按合同规定的时间、地点安排交货并安装。</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（1）第一阶段：货物1-10、17签订合同起90天内供货，试用15天，合格后进行验收；</w:t>
      </w:r>
      <w:r/>
    </w:p>
    <w:p>
      <w:pPr>
        <w:pStyle w:val="836"/>
        <w:ind w:firstLine="480"/>
        <w:spacing w:line="360" w:lineRule="auto"/>
        <w:rPr>
          <w:rFonts w:hint="eastAsia" w:ascii="宋体" w:hAnsi="宋体" w:cs="宋体"/>
          <w:sz w:val="24"/>
        </w:rPr>
      </w:pPr>
      <w:r>
        <w:rPr>
          <w:rFonts w:hint="eastAsia" w:ascii="宋体" w:hAnsi="宋体" w:cs="宋体"/>
          <w:sz w:val="24"/>
        </w:rPr>
        <w:t xml:space="preserve">（2）第二阶段：货物11-13签订合同起360天内供货，试用15天，合格后进行验收；</w:t>
      </w:r>
      <w:r/>
    </w:p>
    <w:p>
      <w:pPr>
        <w:pStyle w:val="836"/>
        <w:ind w:firstLine="480"/>
        <w:spacing w:line="360" w:lineRule="auto"/>
        <w:rPr>
          <w:rFonts w:ascii="宋体" w:hAnsi="宋体" w:cs="宋体"/>
          <w:sz w:val="24"/>
        </w:rPr>
      </w:pPr>
      <w:r>
        <w:rPr>
          <w:rFonts w:hint="eastAsia" w:ascii="宋体" w:hAnsi="宋体" w:cs="宋体"/>
          <w:sz w:val="24"/>
        </w:rPr>
        <w:t xml:space="preserve">（3）第三阶段（最终验收）：项目全部货物、系统、环境建设签订合同起630天内供货，试用15天，进行最终验收；</w:t>
      </w:r>
      <w:r>
        <w:rPr>
          <w:rFonts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以上环节试用不合格，需在24小时内响应并提交整改方案，15天内完成整改。</w:t>
      </w:r>
      <w:r/>
    </w:p>
    <w:p>
      <w:pPr>
        <w:pStyle w:val="836"/>
        <w:ind w:firstLine="480"/>
        <w:spacing w:line="360" w:lineRule="auto"/>
        <w:rPr>
          <w:rFonts w:ascii="宋体" w:hAnsi="宋体" w:cs="宋体"/>
          <w:sz w:val="24"/>
        </w:rPr>
      </w:pPr>
      <w:r>
        <w:rPr>
          <w:rFonts w:hint="eastAsia" w:ascii="宋体" w:hAnsi="宋体" w:cs="宋体"/>
          <w:sz w:val="24"/>
        </w:rPr>
        <w:t xml:space="preserve">11.5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十二、货物的包装、发运及运输</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12.2 使用说明书、质量检验证明书、随配附件和工具以及清单一并附于货物内。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12.3 货物在交付甲方前发生的风险均由乙方负责。</w:t>
      </w:r>
      <w:r>
        <w:rPr>
          <w:rFonts w:ascii="宋体" w:hAnsi="宋体" w:cs="宋体"/>
          <w:sz w:val="24"/>
        </w:rPr>
      </w:r>
      <w:r/>
    </w:p>
    <w:p>
      <w:pPr>
        <w:pStyle w:val="836"/>
        <w:ind w:right="26" w:firstLine="480"/>
        <w:spacing w:line="360" w:lineRule="auto"/>
        <w:rPr>
          <w:rFonts w:ascii="宋体" w:hAnsi="宋体" w:cs="宋体"/>
          <w:sz w:val="24"/>
        </w:rPr>
      </w:pPr>
      <w:r>
        <w:rPr>
          <w:rFonts w:hint="eastAsia" w:ascii="宋体" w:hAnsi="宋体" w:cs="宋体"/>
          <w:sz w:val="24"/>
        </w:rPr>
        <w:t xml:space="preserve">12.4 货物在规定的交付期限内由乙方送达甲方指定的地点视为交付，乙方同时需通知甲方货物已送达。</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12.5 乙方提供的货物必须达到或优于招标文件“采购清单”技术需求中各项指标参数。</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乙方交付的货物质量不得低于投标样品及投标响应文件中产品生产工艺方案要求，否则甲方有权拒收、部分拒收、退货、部分退货直至解除本合同，同时甲方有权保留使用该产品直至乙方提供合格产品替换，并要求乙方支付因此造成的所有损失。</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12.6 商品包装环保要求：应当按《关于印发〈商品包装政府采购需求标准（试行）〉、〈快递包装政府采购需求标准（试行）〉的通知》（财办库〔2020〕123号）文件执行。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（1）商品包装层数不得超过 3 层，空隙率不大于 40%；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（2）商品包装尽可能使用单一材质的包装材料，如因功能需求必需使用不同材质，不同材质间应便于分离；</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（3）商品包装中铅、汞、镉、六价铬的总含量应不大于100mg/kg；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（4）商品包装印刷使用的油墨中挥发性有机化合物（VOCs）含量应不大于 5%（以重量计）；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（5）塑料材质商品包装上呈现的印刷颜色不得超过6色；</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（6）纸质商品包装应使用 75%以上的可再生纤维原料生产；</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（7）木质商品包装的原料应来源于可持续性森林。</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12.7 快递包装环保要求：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（1）快递包装中重金属（铅、汞、镉、六价铬）总量应不大于 100mg/kg；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（2）快递包装印刷使用的油墨中不应添加邻苯二甲酸酯，其挥发性有机化合物（VOCs）含量应不大于5%（以重量计）；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（3）快递包装中使用纸基材的包装材料，纸基材中的有机氯的含量应不大于 150 mg/kg；</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（5）快递中使用的塑料包装袋不得使用聚氯乙烯作为原料，且原料应为单一材质制成，生物分解率大于60%；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（6）快递中使用的充气类填充物不得使用聚氯乙烯作为 原料，且原料为单一材质制成，生物分解率大于60%；</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（7）快递中使用的集装袋应为单一材质制成，其重复使用次数应不小于 80 次；</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（8）快递中应使用幅宽不大于45mm 的生物降解胶带；</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（9）快递包装中不得使用溶剂型胶粘剂；</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（10）快递应使用电子面单；</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（11）直接使用商品包装作为快递包装的商品，其商品包装满足《商品包装政府采购需求标准（试行）》即可；</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（12）快递包装产品质量和封装方式应符合相关国家或行业标准技术指标要求。</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十三、违约责任</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13.1 甲方无正当理由未按合同规定的期限向乙方支付货款的，每逾期1天甲方向乙方支付该批次货款总额的0.04%滞纳金，批次累计滞纳金总额不超过批次欠款总额的0.6%。</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13.2 乙方逾期交付货物的，每逾期1天，乙方向甲方偿付支付该批次货款总额的0.04%滞纳金，批次累计滞纳金总额不超过批次总额的0.6%。</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13.3 乙方所交付的货物</w:t>
      </w:r>
      <w:r>
        <w:rPr>
          <w:rFonts w:hint="eastAsia" w:ascii="宋体" w:hAnsi="宋体" w:cs="宋体"/>
          <w:sz w:val="24"/>
        </w:rPr>
        <w:t xml:space="preserve">品种、型号、规格不符合合同规定，乙方需在收到书面通知15日内解决退换货问题，因退换货造成逾期交付的，乙方需交纳逾期滞纳金，逾期滞纳金按原收货截止日次日起计至合格货物收到之日止，每逾期1天，按本批次货款总额的0.04%计算。若乙方在15日退换货期限内不能完成供货，除每日按本批次货款总额的0.04%计算滞纳金外，还应支付每日1万元罚款，直至供货日止。若乙方在以上合计60天期限内仍不能完成供货，将被处以此批货款30%的罚款，同时处罚履约保证金的50%，甲方可采取必要的补救措施，但由此引发的风险和费用将由乙方承担。</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13.4 乙方未按合同规定的和“服务承诺”提供的售后服务的，应按合同总价款的8%向甲方承担违约责任。</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十四、不可抗力事件处理</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14.1 在合同有效期内，任何一方因不可抗力事件导致不能履行合同，则合同履行期可延长，其延长期与不可抗力影响期相同。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14.2 不可抗力事件发生后，应立即通知对方，并寄送有关权威机构出具的证明。</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14.3 不可抗力事件延续120天以上，双方应通过友好协商，确定是否继续履行合同。</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十五、解决争议的方法</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15.1 甲乙双方因合同签订、履行而发生的一切争议，应通过友好协商解决。如协商不成由甲方所地人民法院管辖。</w:t>
      </w:r>
      <w:r>
        <w:rPr>
          <w:rFonts w:ascii="宋体" w:hAnsi="宋体" w:cs="宋体"/>
          <w:sz w:val="24"/>
        </w:rPr>
      </w:r>
      <w:r/>
    </w:p>
    <w:p>
      <w:pPr>
        <w:pStyle w:val="836"/>
        <w:ind w:firstLine="482"/>
        <w:spacing w:line="360" w:lineRule="auto"/>
        <w:rPr>
          <w:rFonts w:ascii="宋体" w:hAnsi="宋体" w:cs="宋体"/>
          <w:b/>
          <w:sz w:val="24"/>
        </w:rPr>
      </w:pPr>
      <w:r>
        <w:rPr>
          <w:rFonts w:hint="eastAsia" w:ascii="宋体" w:hAnsi="宋体" w:cs="宋体"/>
          <w:b/>
          <w:sz w:val="24"/>
        </w:rPr>
        <w:t xml:space="preserve">十六、合同生效及其它</w:t>
      </w:r>
      <w:r>
        <w:rPr>
          <w:rFonts w:ascii="宋体" w:hAnsi="宋体" w:cs="宋体"/>
          <w:b/>
          <w:sz w:val="24"/>
        </w:rPr>
      </w:r>
      <w:r/>
    </w:p>
    <w:p>
      <w:pPr>
        <w:pStyle w:val="836"/>
        <w:ind w:firstLine="480"/>
        <w:spacing w:line="360" w:lineRule="auto"/>
        <w:rPr>
          <w:rFonts w:ascii="宋体" w:hAnsi="宋体" w:cs="宋体"/>
          <w:sz w:val="24"/>
        </w:rPr>
      </w:pPr>
      <w:r>
        <w:rPr>
          <w:rFonts w:hint="eastAsia" w:ascii="宋体" w:hAnsi="宋体" w:cs="宋体"/>
          <w:sz w:val="24"/>
        </w:rPr>
        <w:t xml:space="preserve">16.1 合同经双方法定代表人或授权委托代表人签字并加盖单位公章后生效。</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16.2 本合同未尽事宜，遵照中华人民共和国现行法律法规有关条文执行。</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16.3 本合同正本一式捌份，具有同等法律效力，甲方、乙方各执肆份。</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rPr>
        <w:t xml:space="preserve">16.4 </w:t>
      </w:r>
      <w:r>
        <w:rPr>
          <w:rFonts w:hint="eastAsia" w:ascii="宋体" w:hAnsi="宋体" w:cs="宋体"/>
          <w:sz w:val="24"/>
          <w:lang w:val="zh-CN"/>
        </w:rPr>
        <w:t xml:space="preserve">组成本合同的有关文件</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组成合同的各项文件应互相解释，互为说明。除专用合同条款另有约定外，解释合同文件的优先顺序如下：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（1）合同协议书；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（2）中标通知书；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（3）投标文件； </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招标文件；</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）相关服务计划；</w:t>
      </w: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）其他合同文件。</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甲方：                             乙方： </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地址：                             地址： </w:t>
      </w:r>
      <w:r>
        <w:rPr>
          <w:rFonts w:ascii="宋体" w:hAnsi="宋体" w:cs="宋体"/>
          <w:sz w:val="24"/>
        </w:rPr>
      </w:r>
      <w:r/>
    </w:p>
    <w:p>
      <w:pPr>
        <w:pStyle w:val="836"/>
        <w:ind w:firstLine="480"/>
        <w:spacing w:line="360" w:lineRule="auto"/>
        <w:rPr>
          <w:rFonts w:ascii="宋体" w:hAnsi="宋体" w:cs="宋体"/>
          <w:sz w:val="24"/>
        </w:rPr>
      </w:pPr>
      <w:r>
        <w:rPr>
          <w:rFonts w:ascii="宋体" w:hAnsi="宋体" w:cs="宋体"/>
          <w:sz w:val="24"/>
        </w:rPr>
      </w:r>
      <w:r/>
    </w:p>
    <w:p>
      <w:pPr>
        <w:pStyle w:val="836"/>
        <w:spacing w:line="360" w:lineRule="auto"/>
        <w:rPr>
          <w:rFonts w:ascii="宋体" w:hAnsi="宋体" w:cs="宋体"/>
          <w:sz w:val="24"/>
        </w:rPr>
      </w:pPr>
      <w:r>
        <w:rPr>
          <w:rFonts w:hint="eastAsia" w:ascii="宋体" w:hAnsi="宋体" w:cs="宋体"/>
          <w:sz w:val="24"/>
        </w:rPr>
        <w:t xml:space="preserve">法定代表人或授权代表：             法定代表人或授权代表：</w:t>
      </w:r>
      <w:r>
        <w:rPr>
          <w:rFonts w:ascii="宋体" w:hAnsi="宋体" w:cs="宋体"/>
          <w:sz w:val="24"/>
        </w:rPr>
      </w:r>
      <w:r/>
    </w:p>
    <w:p>
      <w:pPr>
        <w:pStyle w:val="836"/>
        <w:jc w:val="left"/>
        <w:spacing w:line="360" w:lineRule="auto"/>
        <w:rPr>
          <w:rFonts w:ascii="宋体" w:hAnsi="宋体" w:cs="宋体"/>
          <w:sz w:val="24"/>
        </w:rPr>
      </w:pPr>
      <w:r>
        <w:rPr>
          <w:rFonts w:ascii="宋体" w:hAnsi="宋体" w:cs="宋体"/>
          <w:sz w:val="24"/>
        </w:rPr>
      </w:r>
      <w:r/>
    </w:p>
    <w:p>
      <w:pPr>
        <w:pStyle w:val="836"/>
        <w:jc w:val="left"/>
        <w:spacing w:line="360" w:lineRule="auto"/>
        <w:rPr>
          <w:rFonts w:ascii="宋体" w:hAnsi="宋体" w:cs="宋体"/>
          <w:sz w:val="24"/>
        </w:rPr>
      </w:pPr>
      <w:r>
        <w:rPr>
          <w:rFonts w:hint="eastAsia" w:ascii="宋体" w:hAnsi="宋体" w:cs="宋体"/>
          <w:sz w:val="24"/>
        </w:rPr>
        <w:t xml:space="preserve">联系电话：                         联系电话：     </w:t>
      </w:r>
      <w:r>
        <w:rPr>
          <w:rFonts w:ascii="宋体" w:hAnsi="宋体" w:cs="宋体"/>
          <w:sz w:val="24"/>
        </w:rPr>
      </w:r>
      <w:r/>
    </w:p>
    <w:p>
      <w:pPr>
        <w:pStyle w:val="836"/>
        <w:ind w:firstLine="480"/>
        <w:jc w:val="left"/>
        <w:spacing w:line="360" w:lineRule="auto"/>
        <w:rPr>
          <w:rFonts w:ascii="宋体" w:hAnsi="宋体" w:cs="宋体"/>
          <w:sz w:val="24"/>
        </w:rPr>
      </w:pPr>
      <w:r>
        <w:rPr>
          <w:rFonts w:ascii="宋体" w:hAnsi="宋体" w:cs="宋体"/>
          <w:sz w:val="24"/>
        </w:rPr>
      </w:r>
      <w:r/>
    </w:p>
    <w:p>
      <w:pPr>
        <w:pStyle w:val="836"/>
        <w:spacing w:line="360" w:lineRule="auto"/>
        <w:rPr>
          <w:b/>
          <w:sz w:val="28"/>
          <w:szCs w:val="28"/>
        </w:rPr>
      </w:pPr>
      <w:r>
        <w:rPr>
          <w:rFonts w:hint="eastAsia" w:ascii="宋体" w:hAnsi="宋体" w:cs="宋体"/>
          <w:sz w:val="24"/>
        </w:rPr>
        <w:t xml:space="preserve">签订日期：2026年  月  日</w:t>
      </w:r>
      <w:bookmarkStart w:id="259" w:name="_Hlt16619369"/>
      <w:r/>
      <w:bookmarkEnd w:id="259"/>
      <w:r>
        <w:rPr>
          <w:rFonts w:hint="eastAsia" w:ascii="宋体" w:hAnsi="宋体" w:cs="宋体"/>
          <w:sz w:val="24"/>
        </w:rPr>
        <w:t xml:space="preserve">          签订日期：2026年  月  日</w:t>
      </w: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b/>
          <w:sz w:val="28"/>
          <w:szCs w:val="28"/>
        </w:rPr>
      </w:pPr>
      <w:r>
        <w:rPr>
          <w:b/>
          <w:sz w:val="28"/>
          <w:szCs w:val="28"/>
        </w:rPr>
      </w:r>
      <w:r/>
    </w:p>
    <w:p>
      <w:pPr>
        <w:pStyle w:val="836"/>
        <w:spacing w:line="500" w:lineRule="exact"/>
        <w:rPr>
          <w:rFonts w:hint="eastAsia"/>
          <w:b/>
          <w:sz w:val="28"/>
          <w:szCs w:val="28"/>
        </w:rPr>
      </w:pPr>
      <w:r>
        <w:rPr>
          <w:rFonts w:hint="eastAsia"/>
          <w:b/>
          <w:sz w:val="28"/>
          <w:szCs w:val="28"/>
        </w:rPr>
      </w:r>
      <w:r/>
    </w:p>
    <w:p>
      <w:pPr>
        <w:pStyle w:val="836"/>
        <w:jc w:val="center"/>
        <w:spacing w:line="360" w:lineRule="auto"/>
        <w:rPr>
          <w:rFonts w:hint="eastAsia" w:ascii="宋体" w:hAnsi="宋体" w:cs="宋体"/>
          <w:b/>
          <w:sz w:val="36"/>
          <w:szCs w:val="36"/>
        </w:rPr>
        <w:outlineLvl w:val="0"/>
      </w:pPr>
      <w:r>
        <w:rPr>
          <w:rFonts w:eastAsia="方正小标宋_GBK"/>
          <w:bCs/>
          <w:sz w:val="36"/>
          <w:szCs w:val="36"/>
        </w:rPr>
        <w:br w:type="page" w:clear="all"/>
      </w:r>
      <w:r>
        <w:rPr>
          <w:rFonts w:hint="eastAsia" w:ascii="宋体" w:hAnsi="宋体" w:cs="宋体"/>
          <w:b/>
          <w:sz w:val="36"/>
          <w:szCs w:val="36"/>
        </w:rPr>
        <w:t xml:space="preserve">第五部分 开标和评标</w:t>
      </w:r>
      <w:r/>
    </w:p>
    <w:p>
      <w:pPr>
        <w:pStyle w:val="948"/>
        <w:ind w:left="0" w:right="0" w:firstLine="482"/>
        <w:jc w:val="left"/>
        <w:spacing w:before="0" w:after="0"/>
        <w:rPr>
          <w:rFonts w:hint="eastAsia" w:ascii="宋体" w:hAnsi="宋体" w:cs="宋体"/>
          <w:b/>
        </w:rPr>
      </w:pPr>
      <w:r>
        <w:rPr>
          <w:rFonts w:hint="eastAsia" w:ascii="宋体" w:hAnsi="宋体" w:cs="宋体"/>
          <w:b/>
        </w:rPr>
      </w:r>
      <w:r/>
    </w:p>
    <w:p>
      <w:pPr>
        <w:pStyle w:val="948"/>
        <w:ind w:left="0" w:right="0" w:firstLine="482"/>
        <w:jc w:val="left"/>
        <w:spacing w:before="0" w:after="0"/>
        <w:rPr>
          <w:rFonts w:hint="eastAsia" w:ascii="宋体" w:hAnsi="宋体" w:cs="宋体"/>
          <w:b/>
        </w:rPr>
        <w:outlineLvl w:val="2"/>
      </w:pPr>
      <w:r>
        <w:rPr>
          <w:rFonts w:hint="eastAsia" w:ascii="宋体" w:hAnsi="宋体" w:cs="宋体"/>
          <w:b/>
        </w:rPr>
        <w:t xml:space="preserve">一、开标</w:t>
      </w:r>
      <w:r/>
    </w:p>
    <w:p>
      <w:pPr>
        <w:pStyle w:val="948"/>
        <w:ind w:left="0" w:right="0"/>
        <w:jc w:val="left"/>
        <w:spacing w:before="0" w:after="0"/>
        <w:rPr>
          <w:rFonts w:hint="eastAsia" w:ascii="宋体" w:hAnsi="宋体" w:cs="宋体"/>
        </w:rPr>
      </w:pPr>
      <w:r>
        <w:rPr>
          <w:rFonts w:hint="eastAsia" w:ascii="宋体" w:hAnsi="宋体" w:cs="宋体"/>
        </w:rPr>
        <w:t xml:space="preserve">交易中心将在招标公告中规定的时间和地点组织公开开标。投标人应当按照《操作手册》规定，参加开标活动和在“苏采云”系统规定的时间内对投标文件进行解密。</w:t>
      </w:r>
      <w:r/>
    </w:p>
    <w:p>
      <w:pPr>
        <w:pStyle w:val="948"/>
        <w:ind w:left="0" w:right="0" w:firstLine="482"/>
        <w:jc w:val="left"/>
        <w:spacing w:before="0" w:after="0"/>
        <w:rPr>
          <w:rFonts w:hint="eastAsia" w:ascii="宋体" w:hAnsi="宋体" w:cs="宋体"/>
          <w:b/>
        </w:rPr>
        <w:outlineLvl w:val="2"/>
      </w:pPr>
      <w:r>
        <w:rPr>
          <w:rFonts w:hint="eastAsia" w:ascii="宋体" w:hAnsi="宋体" w:cs="宋体"/>
          <w:b/>
        </w:rPr>
        <w:t xml:space="preserve">二、评标流程和评标标准</w:t>
      </w:r>
      <w:r/>
    </w:p>
    <w:p>
      <w:pPr>
        <w:pStyle w:val="836"/>
        <w:ind w:firstLine="480"/>
        <w:spacing w:line="360" w:lineRule="auto"/>
        <w:rPr>
          <w:rFonts w:hint="eastAsia" w:ascii="宋体" w:hAnsi="宋体" w:cs="宋体"/>
          <w:sz w:val="24"/>
        </w:rPr>
      </w:pPr>
      <w:r>
        <w:rPr>
          <w:rFonts w:hint="eastAsia" w:ascii="宋体" w:hAnsi="宋体" w:cs="宋体"/>
          <w:sz w:val="24"/>
        </w:rPr>
        <w:t xml:space="preserve">采用综合评分法。分资格审查、商务技术标、价格标、三部分评审，总分值为100分，加分和减分因素除外。</w:t>
      </w:r>
      <w:r/>
    </w:p>
    <w:p>
      <w:pPr>
        <w:pStyle w:val="836"/>
        <w:ind w:firstLine="480"/>
        <w:spacing w:line="360" w:lineRule="auto"/>
        <w:rPr>
          <w:rFonts w:hint="eastAsia" w:ascii="宋体" w:hAnsi="宋体" w:cs="宋体"/>
          <w:sz w:val="24"/>
        </w:rPr>
      </w:pPr>
      <w:r>
        <w:rPr>
          <w:rFonts w:hint="eastAsia" w:ascii="宋体" w:hAnsi="宋体" w:cs="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pStyle w:val="836"/>
        <w:ind w:firstLine="480"/>
        <w:spacing w:line="360" w:lineRule="auto"/>
        <w:rPr>
          <w:rFonts w:hint="eastAsia" w:ascii="宋体" w:hAnsi="宋体" w:cs="宋体"/>
          <w:sz w:val="24"/>
        </w:rPr>
      </w:pP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pStyle w:val="836"/>
        <w:ind w:firstLine="480"/>
        <w:spacing w:line="360" w:lineRule="auto"/>
        <w:rPr>
          <w:rFonts w:hint="eastAsia"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（一）采购人（代表）对投标人资格进行审查。</w:t>
      </w:r>
      <w:r/>
    </w:p>
    <w:p>
      <w:pPr>
        <w:pStyle w:val="952"/>
        <w:ind w:firstLine="480"/>
        <w:spacing w:line="360" w:lineRule="auto"/>
        <w:rPr>
          <w:rFonts w:hint="eastAsia" w:ascii="宋体" w:eastAsia="宋体" w:cs="宋体"/>
          <w:sz w:val="24"/>
          <w:szCs w:val="24"/>
        </w:rPr>
      </w:pPr>
      <w:r>
        <w:rPr>
          <w:rFonts w:hint="eastAsia" w:ascii="宋体" w:eastAsia="宋体" w:cs="宋体"/>
          <w:sz w:val="24"/>
          <w:szCs w:val="24"/>
        </w:rPr>
        <w:t xml:space="preserve">投标人资格不合格的，其投标文件判定为无效投标文件。</w:t>
      </w:r>
      <w:r/>
    </w:p>
    <w:p>
      <w:pPr>
        <w:pStyle w:val="836"/>
        <w:ind w:firstLine="482"/>
        <w:jc w:val="left"/>
        <w:spacing w:line="360" w:lineRule="auto"/>
        <w:rPr>
          <w:rFonts w:hint="eastAsia" w:ascii="宋体" w:hAnsi="宋体" w:cs="宋体"/>
          <w:b/>
          <w:sz w:val="24"/>
        </w:rPr>
      </w:pPr>
      <w:r>
        <w:rPr>
          <w:rFonts w:hint="eastAsia" w:ascii="宋体" w:hAnsi="宋体" w:cs="宋体"/>
          <w:b/>
          <w:sz w:val="24"/>
        </w:rPr>
        <w:t xml:space="preserve">（二）评标委员会对符合资格投标人的投标文件进行符合性审</w:t>
      </w:r>
      <w:r/>
    </w:p>
    <w:p>
      <w:pPr>
        <w:pStyle w:val="836"/>
        <w:ind w:firstLine="482"/>
        <w:jc w:val="left"/>
        <w:spacing w:line="360" w:lineRule="auto"/>
        <w:rPr>
          <w:rFonts w:hint="eastAsia" w:ascii="宋体" w:hAnsi="宋体" w:cs="宋体"/>
          <w:b/>
          <w:sz w:val="24"/>
        </w:rPr>
      </w:pPr>
      <w:r>
        <w:rPr>
          <w:rFonts w:hint="eastAsia" w:ascii="宋体" w:hAnsi="宋体" w:cs="宋体"/>
          <w:b/>
          <w:sz w:val="24"/>
        </w:rPr>
        <w:t xml:space="preserve">查。</w:t>
      </w:r>
      <w:r/>
    </w:p>
    <w:p>
      <w:pPr>
        <w:pStyle w:val="952"/>
        <w:ind w:firstLine="480"/>
        <w:spacing w:line="360" w:lineRule="auto"/>
        <w:rPr>
          <w:rFonts w:hint="eastAsia" w:ascii="宋体" w:eastAsia="宋体" w:cs="宋体"/>
          <w:sz w:val="24"/>
          <w:szCs w:val="24"/>
        </w:rPr>
      </w:pPr>
      <w:r>
        <w:rPr>
          <w:rFonts w:hint="eastAsia" w:ascii="宋体" w:eastAsia="宋体" w:cs="宋体"/>
          <w:sz w:val="24"/>
          <w:szCs w:val="24"/>
        </w:rPr>
        <w:t xml:space="preserve">未通过符合性审查的投标文件，将被判为不满足招标文件实质性要求。</w:t>
      </w:r>
      <w:r/>
    </w:p>
    <w:p>
      <w:pPr>
        <w:pStyle w:val="836"/>
        <w:ind w:firstLine="482"/>
        <w:jc w:val="left"/>
        <w:spacing w:line="360" w:lineRule="auto"/>
        <w:rPr>
          <w:rFonts w:hint="eastAsia" w:ascii="宋体" w:hAnsi="宋体" w:cs="宋体"/>
          <w:b/>
          <w:sz w:val="24"/>
          <w:lang w:val="zh-CN"/>
        </w:rPr>
      </w:pPr>
      <w:r>
        <w:rPr>
          <w:rFonts w:hint="eastAsia" w:ascii="宋体" w:hAnsi="宋体" w:cs="宋体"/>
          <w:b/>
          <w:sz w:val="24"/>
        </w:rPr>
        <w:t xml:space="preserve">（</w:t>
      </w:r>
      <w:r>
        <w:rPr>
          <w:rFonts w:hint="eastAsia" w:ascii="宋体" w:hAnsi="宋体" w:cs="宋体"/>
          <w:b/>
          <w:sz w:val="24"/>
          <w:lang w:val="zh-CN"/>
        </w:rPr>
        <w:t xml:space="preserve">三</w:t>
      </w:r>
      <w:r>
        <w:rPr>
          <w:rFonts w:hint="eastAsia" w:ascii="宋体" w:hAnsi="宋体" w:cs="宋体"/>
          <w:b/>
          <w:sz w:val="24"/>
        </w:rPr>
        <w:t xml:space="preserve">）</w:t>
      </w:r>
      <w:bookmarkStart w:id="260" w:name="OLE_LINK86"/>
      <w:r>
        <w:rPr>
          <w:rFonts w:hint="eastAsia" w:ascii="宋体" w:hAnsi="宋体" w:cs="宋体"/>
          <w:b/>
          <w:sz w:val="24"/>
          <w:lang w:val="zh-CN"/>
        </w:rPr>
        <w:t xml:space="preserve">商务技术分</w:t>
      </w:r>
      <w:bookmarkEnd w:id="260"/>
      <w:r>
        <w:rPr>
          <w:rFonts w:hint="eastAsia" w:ascii="宋体" w:hAnsi="宋体" w:cs="宋体"/>
          <w:b/>
          <w:sz w:val="24"/>
          <w:lang w:val="zh-CN"/>
        </w:rPr>
        <w:t xml:space="preserve">：</w:t>
      </w:r>
      <w:r>
        <w:rPr>
          <w:rFonts w:ascii="宋体" w:hAnsi="宋体" w:cs="宋体"/>
          <w:b/>
          <w:sz w:val="24"/>
        </w:rPr>
        <w:t xml:space="preserve">7</w:t>
      </w:r>
      <w:r>
        <w:rPr>
          <w:rFonts w:hint="eastAsia" w:ascii="宋体" w:hAnsi="宋体" w:cs="宋体"/>
          <w:b/>
          <w:sz w:val="24"/>
        </w:rPr>
        <w:t xml:space="preserve">0.00</w:t>
      </w:r>
      <w:r>
        <w:rPr>
          <w:rFonts w:hint="eastAsia" w:ascii="宋体" w:hAnsi="宋体" w:cs="宋体"/>
          <w:b/>
          <w:sz w:val="24"/>
          <w:lang w:val="zh-CN"/>
        </w:rPr>
        <w:t xml:space="preserve">分</w:t>
      </w:r>
      <w:r/>
    </w:p>
    <w:p>
      <w:pPr>
        <w:pStyle w:val="836"/>
        <w:ind w:firstLine="480"/>
        <w:jc w:val="left"/>
        <w:spacing w:line="360" w:lineRule="auto"/>
        <w:rPr>
          <w:rFonts w:hint="eastAsia" w:ascii="宋体" w:hAnsi="宋体" w:cs="宋体"/>
          <w:sz w:val="24"/>
        </w:rPr>
      </w:pPr>
      <w:r>
        <w:rPr>
          <w:rFonts w:hint="eastAsia" w:ascii="宋体" w:hAnsi="宋体" w:cs="宋体"/>
          <w:sz w:val="24"/>
        </w:rPr>
        <w:t xml:space="preserve">各投标人得分为评委会成员评分的算术平均分，分值保留小数点后两位。</w:t>
      </w:r>
      <w:r/>
    </w:p>
    <w:tbl>
      <w:tblPr>
        <w:tblW w:w="9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
        <w:gridCol w:w="1302"/>
        <w:gridCol w:w="6594"/>
        <w:gridCol w:w="720"/>
        <w:gridCol w:w="761"/>
      </w:tblGrid>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61" w:name="OLE_LINK88"/>
            <w:r>
              <w:rPr>
                <w:rFonts w:hint="eastAsia" w:ascii="宋体" w:hAnsi="宋体" w:cs="宋体"/>
                <w:b/>
                <w:bCs/>
                <w:szCs w:val="21"/>
              </w:rPr>
              <w:t xml:space="preserve">序号</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评分点</w:t>
            </w:r>
            <w:r/>
          </w:p>
        </w:tc>
        <w:tc>
          <w:tcPr>
            <w:tcW w:w="6594"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评分标准</w:t>
            </w:r>
            <w:r/>
          </w:p>
        </w:tc>
        <w:tc>
          <w:tcPr>
            <w:tcW w:w="720"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分值</w:t>
            </w:r>
            <w:r/>
          </w:p>
        </w:tc>
        <w:tc>
          <w:tcPr>
            <w:tcW w:w="761"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szCs w:val="21"/>
              </w:rPr>
              <w:t xml:space="preserve">主/客观分</w:t>
            </w:r>
            <w:r>
              <w:rPr>
                <w:rFonts w:hint="eastAsia" w:ascii="宋体" w:hAnsi="宋体" w:cs="宋体"/>
                <w:b/>
                <w:bCs/>
                <w:szCs w:val="21"/>
              </w:rPr>
            </w:r>
            <w:r/>
          </w:p>
        </w:tc>
      </w:tr>
      <w:tr>
        <w:trPr/>
        <w:tc>
          <w:tcPr>
            <w:gridSpan w:val="5"/>
            <w:tcW w:w="9913" w:type="dxa"/>
            <w:vAlign w:val="center"/>
            <w:textDirection w:val="lrTb"/>
            <w:noWrap w:val="false"/>
          </w:tcPr>
          <w:p>
            <w:pPr>
              <w:pStyle w:val="836"/>
              <w:jc w:val="center"/>
              <w:spacing w:line="360" w:lineRule="exact"/>
              <w:rPr>
                <w:rFonts w:hint="eastAsia" w:ascii="宋体" w:hAnsi="宋体" w:cs="宋体"/>
                <w:b/>
                <w:szCs w:val="21"/>
              </w:rPr>
            </w:pPr>
            <w:r>
              <w:rPr>
                <w:rFonts w:hint="eastAsia" w:ascii="宋体" w:hAnsi="宋体" w:cs="宋体"/>
                <w:b/>
                <w:szCs w:val="21"/>
              </w:rPr>
              <w:t xml:space="preserve">一、技术分（</w:t>
            </w:r>
            <w:r>
              <w:rPr>
                <w:rFonts w:ascii="宋体" w:hAnsi="宋体" w:cs="宋体"/>
                <w:b/>
                <w:szCs w:val="21"/>
              </w:rPr>
              <w:t xml:space="preserve">40</w:t>
            </w:r>
            <w:r>
              <w:rPr>
                <w:rFonts w:hint="eastAsia" w:ascii="宋体" w:hAnsi="宋体" w:cs="宋体"/>
                <w:b/>
                <w:szCs w:val="21"/>
              </w:rPr>
              <w:t xml:space="preserve">分）</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62" w:name="OLE_LINK155"/>
            <w:r/>
            <w:bookmarkStart w:id="263" w:name="_Hlk236837368"/>
            <w:r/>
            <w:bookmarkStart w:id="264" w:name="OLE_LINK156"/>
            <w:r>
              <w:rPr>
                <w:rFonts w:hint="eastAsia" w:ascii="宋体" w:hAnsi="宋体" w:cs="宋体"/>
                <w:b/>
                <w:bCs/>
                <w:szCs w:val="21"/>
              </w:rPr>
              <w:t xml:space="preserve">1</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5" w:name="OLE_LINK154"/>
            <w:r>
              <w:rPr>
                <w:rFonts w:hint="eastAsia" w:ascii="宋体" w:hAnsi="宋体" w:cs="宋体"/>
                <w:b/>
                <w:bCs/>
                <w:szCs w:val="21"/>
              </w:rPr>
              <w:t xml:space="preserve">技术响应</w:t>
            </w:r>
            <w:bookmarkEnd w:id="265"/>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66" w:name="OLE_LINK181"/>
            <w:r>
              <w:rPr>
                <w:rFonts w:hint="eastAsia" w:ascii="宋体" w:hAnsi="宋体" w:cs="宋体"/>
                <w:szCs w:val="21"/>
              </w:rPr>
              <w:t xml:space="preserve">根据投标人响应招标文件项目需求“第三部分 技术要求”的情况进行评审，全部满足招标文件的服务内容及要求得1</w:t>
            </w:r>
            <w:r>
              <w:rPr>
                <w:rFonts w:ascii="宋体" w:hAnsi="宋体" w:cs="宋体"/>
                <w:szCs w:val="21"/>
              </w:rPr>
              <w:t xml:space="preserve">6</w:t>
            </w:r>
            <w:r>
              <w:rPr>
                <w:rFonts w:hint="eastAsia" w:ascii="宋体" w:hAnsi="宋体" w:cs="宋体"/>
                <w:szCs w:val="21"/>
              </w:rPr>
              <w:t xml:space="preserve">分。</w:t>
            </w:r>
            <w:r/>
          </w:p>
          <w:p>
            <w:pPr>
              <w:pStyle w:val="836"/>
              <w:ind w:firstLine="420"/>
              <w:spacing w:line="3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“▲”参数为重要项参数，</w:t>
            </w:r>
            <w:r>
              <w:rPr>
                <w:rFonts w:hint="eastAsia" w:ascii="宋体" w:hAnsi="宋体" w:cs="宋体"/>
                <w:b/>
                <w:bCs/>
                <w:szCs w:val="21"/>
              </w:rPr>
              <w:t xml:space="preserve">共</w:t>
            </w:r>
            <w:r>
              <w:rPr>
                <w:rFonts w:ascii="宋体" w:hAnsi="宋体" w:cs="宋体"/>
                <w:b/>
                <w:bCs/>
                <w:szCs w:val="21"/>
              </w:rPr>
              <w:t xml:space="preserve">8</w:t>
            </w:r>
            <w:r>
              <w:rPr>
                <w:rFonts w:hint="eastAsia" w:ascii="宋体" w:hAnsi="宋体" w:cs="宋体"/>
                <w:b/>
                <w:bCs/>
                <w:szCs w:val="21"/>
              </w:rPr>
              <w:t xml:space="preserve">项</w:t>
            </w:r>
            <w:r>
              <w:rPr>
                <w:rFonts w:hint="eastAsia" w:ascii="宋体" w:hAnsi="宋体" w:cs="宋体"/>
                <w:szCs w:val="21"/>
              </w:rPr>
              <w:t xml:space="preserve">，每有一项负偏离扣0.5分，扣完为止。</w:t>
            </w:r>
            <w:r>
              <w:rPr>
                <w:rFonts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技术参数为一般技术参数，每有一项负偏离扣0.2分（精确到最小层级），扣完为止。</w:t>
            </w:r>
            <w:r/>
          </w:p>
          <w:p>
            <w:pPr>
              <w:pStyle w:val="836"/>
              <w:ind w:firstLine="422"/>
              <w:jc w:val="left"/>
              <w:spacing w:line="300" w:lineRule="exact"/>
              <w:rPr>
                <w:rFonts w:hint="eastAsia" w:ascii="宋体" w:hAnsi="宋体" w:cs="宋体"/>
                <w:b/>
                <w:bCs/>
                <w:szCs w:val="21"/>
                <w:lang w:val="zh-CN"/>
              </w:rPr>
            </w:pPr>
            <w:r>
              <w:rPr>
                <w:rFonts w:hint="eastAsia" w:ascii="宋体" w:hAnsi="宋体" w:cs="宋体"/>
                <w:b/>
                <w:bCs/>
                <w:szCs w:val="21"/>
                <w:lang w:val="zh-CN"/>
              </w:rPr>
              <w:t xml:space="preserve">注：</w:t>
            </w:r>
            <w:r/>
          </w:p>
          <w:p>
            <w:pPr>
              <w:pStyle w:val="836"/>
              <w:ind w:firstLine="422"/>
              <w:jc w:val="left"/>
              <w:spacing w:line="300" w:lineRule="exact"/>
              <w:rPr>
                <w:rFonts w:hint="eastAsia" w:ascii="宋体" w:hAnsi="宋体" w:cs="宋体"/>
                <w:b/>
                <w:bCs/>
                <w:szCs w:val="21"/>
                <w:lang w:val="zh-CN"/>
              </w:rPr>
            </w:pPr>
            <w:r>
              <w:rPr>
                <w:rFonts w:hint="eastAsia" w:ascii="宋体" w:hAnsi="宋体" w:cs="宋体"/>
                <w:b/>
                <w:bCs/>
                <w:szCs w:val="21"/>
                <w:lang w:val="zh-CN"/>
              </w:rPr>
              <w:t xml:space="preserve">①</w:t>
            </w:r>
            <w:r>
              <w:rPr>
                <w:rFonts w:hint="eastAsia" w:ascii="宋体" w:hAnsi="宋体" w:cs="宋体"/>
                <w:b/>
                <w:bCs/>
                <w:szCs w:val="21"/>
                <w:lang w:val="zh-CN"/>
              </w:rPr>
              <w:t xml:space="preserve">带“★”的为实质性参数要求不参与评分，任意1条不满足即视为投标无效。</w:t>
            </w:r>
            <w:r/>
          </w:p>
          <w:p>
            <w:pPr>
              <w:pStyle w:val="836"/>
              <w:ind w:firstLine="422"/>
              <w:jc w:val="left"/>
              <w:spacing w:line="300" w:lineRule="exact"/>
              <w:rPr>
                <w:rFonts w:hint="eastAsia" w:ascii="宋体" w:hAnsi="宋体" w:cs="宋体"/>
                <w:szCs w:val="21"/>
              </w:rPr>
            </w:pPr>
            <w:r>
              <w:rPr>
                <w:rFonts w:hint="eastAsia" w:ascii="宋体" w:hAnsi="宋体" w:cs="宋体"/>
                <w:b/>
                <w:bCs/>
                <w:szCs w:val="21"/>
                <w:lang w:val="zh-CN"/>
              </w:rPr>
              <w:t xml:space="preserve">②</w:t>
            </w:r>
            <w:r>
              <w:rPr>
                <w:rFonts w:hint="eastAsia" w:ascii="宋体" w:hAnsi="宋体" w:cs="宋体"/>
                <w:b/>
                <w:bCs/>
                <w:szCs w:val="21"/>
                <w:lang w:val="zh-CN"/>
              </w:rPr>
              <w:t xml:space="preserve">如采购需求中有明确提供证明资料，则以采购需求要求为准，未按要求提供证明材料，或证明材料不满足参数要求则不得分；如采购需求中无明确证明材料的，以投标人的投标文件《技术条款响应正负偏离表》中的响应情况填写内容为准，未填写或不满足的视为负偏离。</w:t>
            </w:r>
            <w:bookmarkEnd w:id="266"/>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6</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End w:id="262"/>
            <w:r/>
            <w:bookmarkEnd w:id="263"/>
            <w:r/>
            <w:bookmarkEnd w:id="264"/>
            <w:r>
              <w:rPr>
                <w:rFonts w:hint="eastAsia" w:ascii="宋体" w:hAnsi="宋体" w:cs="宋体"/>
                <w:b/>
                <w:bCs/>
                <w:szCs w:val="21"/>
              </w:rPr>
              <w:t xml:space="preserve">2</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7" w:name="OLE_LINK158"/>
            <w:r>
              <w:rPr>
                <w:rFonts w:hint="eastAsia" w:ascii="宋体" w:hAnsi="宋体" w:cs="宋体"/>
                <w:b/>
                <w:bCs/>
                <w:szCs w:val="21"/>
              </w:rPr>
              <w:t xml:space="preserve">产品功能演示（上传至苏采云系统）</w:t>
            </w:r>
            <w:bookmarkEnd w:id="267"/>
            <w:r>
              <w:rPr>
                <w:rFonts w:hint="eastAsia" w:ascii="宋体" w:hAnsi="宋体" w:cs="宋体"/>
                <w:b/>
                <w:bCs/>
                <w:szCs w:val="21"/>
              </w:rPr>
            </w:r>
            <w:r/>
          </w:p>
        </w:tc>
        <w:tc>
          <w:tcPr>
            <w:tcW w:w="6594" w:type="dxa"/>
            <w:vAlign w:val="center"/>
            <w:textDirection w:val="lrTb"/>
            <w:noWrap w:val="false"/>
          </w:tcPr>
          <w:p>
            <w:pPr>
              <w:pStyle w:val="836"/>
              <w:ind w:firstLine="422"/>
              <w:spacing w:line="300" w:lineRule="exact"/>
              <w:rPr>
                <w:rFonts w:hint="eastAsia" w:ascii="宋体" w:hAnsi="宋体" w:cs="宋体"/>
                <w:szCs w:val="21"/>
              </w:rPr>
            </w:pPr>
            <w:r/>
            <w:bookmarkStart w:id="268" w:name="OLE_LINK157"/>
            <w:r>
              <w:rPr>
                <w:rFonts w:hint="eastAsia" w:ascii="宋体" w:hAnsi="宋体" w:cs="宋体"/>
                <w:b/>
                <w:bCs/>
                <w:szCs w:val="21"/>
              </w:rPr>
              <w:t xml:space="preserve">演示评审：投标供应商现场演示，演示时长不超过25分钟。并提供承诺书，承诺演示的为拟投入本项目，且符合建设需求系统。如不提供演示或采用 demo、PPT、截图无演示视频及无承诺书者作无效标处理。</w:t>
            </w:r>
            <w:r>
              <w:rPr>
                <w:rFonts w:hint="eastAsia"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投标供应商提供系统演示，完成招标文件项目需求</w:t>
            </w:r>
            <w:r>
              <w:rPr>
                <w:rFonts w:hint="eastAsia" w:ascii="宋体" w:hAnsi="宋体" w:cs="宋体"/>
                <w:b/>
                <w:bCs/>
                <w:szCs w:val="21"/>
              </w:rPr>
              <w:t xml:space="preserve">“第三部分 技术要求”</w:t>
            </w:r>
            <w:r>
              <w:rPr>
                <w:rFonts w:hint="eastAsia" w:ascii="宋体" w:hAnsi="宋体" w:cs="宋体"/>
                <w:szCs w:val="21"/>
              </w:rPr>
              <w:t xml:space="preserve">中</w:t>
            </w:r>
            <w:r>
              <w:rPr>
                <w:rFonts w:hint="eastAsia" w:ascii="宋体" w:hAnsi="宋体" w:cs="宋体"/>
                <w:b/>
                <w:bCs/>
                <w:szCs w:val="21"/>
              </w:rPr>
              <w:t xml:space="preserve">“十二、演示讲解”</w:t>
            </w:r>
            <w:r>
              <w:rPr>
                <w:rFonts w:hint="eastAsia" w:ascii="宋体" w:hAnsi="宋体" w:cs="宋体"/>
                <w:szCs w:val="21"/>
              </w:rPr>
              <w:t xml:space="preserve">的参数为演示项参数，共12项。投标人须对所投产品相关功能进行演示，演示系统须为可运行的真实系统环境，评标委员会根据演示内容与采购需求的吻合程度进行评分。每完整、准确演示成功1项2分，最高得24分；未演示、演示不完整或演示内容不满足采购需求的，该项不得分。</w:t>
            </w:r>
            <w:r>
              <w:rPr>
                <w:rFonts w:hint="eastAsia" w:ascii="宋体" w:hAnsi="宋体" w:cs="宋体"/>
                <w:b/>
                <w:bCs/>
                <w:szCs w:val="21"/>
              </w:rPr>
              <w:t xml:space="preserve">演示时仅支持倍速播放、添加字幕讲解剪辑手段，采用违规剪辑或AI生成手段演示视为未实质性响应。</w:t>
            </w:r>
            <w:r>
              <w:rPr>
                <w:rFonts w:hint="eastAsia" w:ascii="宋体" w:hAnsi="宋体" w:cs="宋体"/>
                <w:szCs w:val="21"/>
              </w:rPr>
            </w:r>
            <w:r/>
          </w:p>
          <w:p>
            <w:pPr>
              <w:pStyle w:val="836"/>
              <w:ind w:firstLine="422"/>
              <w:spacing w:line="320" w:lineRule="exact"/>
              <w:widowControl/>
              <w:rPr>
                <w:rFonts w:hint="eastAsia" w:ascii="宋体" w:hAnsi="宋体" w:cs="宋体"/>
                <w:b/>
                <w:bCs/>
                <w:szCs w:val="21"/>
              </w:rPr>
            </w:pPr>
            <w:r>
              <w:rPr>
                <w:rFonts w:hint="eastAsia" w:ascii="宋体" w:hAnsi="宋体" w:cs="宋体"/>
                <w:b/>
                <w:bCs/>
                <w:szCs w:val="21"/>
              </w:rPr>
              <w:t xml:space="preserve">证明材料：</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投标人将演示视频上传到苏采云系统、盖有投标人公章的承诺书、现场演示负责人身份证扫描件及授权委托书等。</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注：</w:t>
            </w:r>
            <w:r/>
          </w:p>
          <w:p>
            <w:pPr>
              <w:pStyle w:val="836"/>
              <w:ind w:firstLine="422"/>
              <w:spacing w:line="320" w:lineRule="exact"/>
              <w:widowControl/>
              <w:rPr>
                <w:rFonts w:hint="eastAsia" w:ascii="宋体" w:hAnsi="宋体" w:cs="宋体"/>
                <w:b/>
                <w:bCs/>
                <w:szCs w:val="21"/>
              </w:rPr>
            </w:pPr>
            <w:r>
              <w:rPr>
                <w:rFonts w:hint="eastAsia" w:ascii="宋体" w:hAnsi="宋体" w:cs="宋体"/>
                <w:b/>
                <w:bCs/>
                <w:szCs w:val="21"/>
              </w:rPr>
              <w:t xml:space="preserve">①评标委员会以现场演示内容为准进行打分，苏采云系统中上传的视频作为参考。</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②因投标人原因，造成的视频不清晰、不能正常播放、现场自备设备故障等，影响评委评审，后果由投标人自行承担。</w:t>
            </w:r>
            <w:r/>
          </w:p>
          <w:p>
            <w:pPr>
              <w:pStyle w:val="836"/>
              <w:ind w:firstLine="422"/>
              <w:spacing w:line="300" w:lineRule="exact"/>
              <w:rPr>
                <w:rFonts w:hint="eastAsia" w:ascii="宋体" w:hAnsi="宋体" w:cs="宋体"/>
                <w:b/>
                <w:bCs/>
                <w:szCs w:val="21"/>
              </w:rPr>
            </w:pPr>
            <w:r>
              <w:rPr>
                <w:rFonts w:hint="eastAsia" w:ascii="宋体" w:hAnsi="宋体" w:cs="宋体"/>
                <w:b/>
                <w:bCs/>
                <w:szCs w:val="21"/>
              </w:rPr>
              <w:t xml:space="preserve">③投标人需按照招标文件规定的演示内容制作演示视频文件，视频文件的格式为*.mp4或*.avi，供应商须将视频文件分段压缩为*.zip文件上传（单个文件不得大于150M，所有文件总共不得大于1G），文件上传方式见《江苏省政府采购管理交易系统（苏采云）供应商操作手册》规定，上传的演示视频将作为投标文件的组成部分。</w:t>
            </w:r>
            <w:bookmarkEnd w:id="268"/>
            <w:r>
              <w:rPr>
                <w:rFonts w:hint="eastAsia" w:ascii="宋体" w:hAnsi="宋体" w:cs="宋体"/>
                <w:b/>
                <w:bCs/>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24</w:t>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rHeight w:val="550"/>
        </w:trPr>
        <w:tc>
          <w:tcPr>
            <w:gridSpan w:val="5"/>
            <w:tcW w:w="9913"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b/>
                <w:szCs w:val="21"/>
              </w:rPr>
              <w:t xml:space="preserve">二、商务分（</w:t>
            </w:r>
            <w:r>
              <w:rPr>
                <w:rFonts w:ascii="宋体" w:hAnsi="宋体" w:cs="宋体"/>
                <w:b/>
                <w:szCs w:val="21"/>
              </w:rPr>
              <w:t xml:space="preserve">30</w:t>
            </w:r>
            <w:r>
              <w:rPr>
                <w:rFonts w:hint="eastAsia" w:ascii="宋体" w:hAnsi="宋体" w:cs="宋体"/>
                <w:b/>
                <w:szCs w:val="21"/>
              </w:rPr>
              <w:t xml:space="preserve">分）</w:t>
            </w:r>
            <w:r>
              <w:rPr>
                <w:rFonts w:hint="eastAsia" w:ascii="宋体" w:hAnsi="宋体" w:cs="宋体"/>
                <w:szCs w:val="21"/>
              </w:rPr>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1</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69" w:name="OLE_LINK159"/>
            <w:r>
              <w:rPr>
                <w:rFonts w:hint="eastAsia" w:ascii="宋体" w:hAnsi="宋体" w:cs="宋体"/>
                <w:b/>
                <w:bCs/>
                <w:szCs w:val="21"/>
              </w:rPr>
              <w:t xml:space="preserve">业绩证明</w:t>
            </w:r>
            <w:bookmarkEnd w:id="269"/>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70" w:name="OLE_LINK160"/>
            <w:r>
              <w:rPr>
                <w:rFonts w:hint="eastAsia" w:ascii="宋体" w:hAnsi="宋体" w:cs="宋体"/>
                <w:szCs w:val="21"/>
              </w:rPr>
              <w:t xml:space="preserve">投标人提供202</w:t>
            </w:r>
            <w:r>
              <w:rPr>
                <w:rFonts w:ascii="宋体" w:hAnsi="宋体" w:cs="宋体"/>
                <w:szCs w:val="21"/>
              </w:rPr>
              <w:t xml:space="preserve">3</w:t>
            </w:r>
            <w:r>
              <w:rPr>
                <w:rFonts w:hint="eastAsia" w:ascii="宋体" w:hAnsi="宋体" w:cs="宋体"/>
                <w:szCs w:val="21"/>
              </w:rPr>
              <w:t xml:space="preserve">年1月1日起（以合同签订日期为准）、最终用户为高校的虚拟仿真课程类似业绩，每有一个得1分，最高得3分；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证明材料：需同时提供业绩合同及验收单，提供不全或者提供无效证明材料的不得分，同一业绩包含以上多条内容的不可重复计分。</w:t>
            </w:r>
            <w:bookmarkEnd w:id="270"/>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2</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71" w:name="OLE_LINK161"/>
            <w:r>
              <w:rPr>
                <w:rFonts w:hint="eastAsia" w:ascii="宋体" w:hAnsi="宋体" w:cs="宋体"/>
                <w:b/>
                <w:bCs/>
                <w:szCs w:val="21"/>
              </w:rPr>
              <w:t xml:space="preserve">团队人员</w:t>
            </w:r>
            <w:bookmarkEnd w:id="271"/>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rPr>
                <w:rFonts w:hint="eastAsia" w:ascii="宋体" w:hAnsi="宋体" w:cs="宋体"/>
                <w:szCs w:val="21"/>
              </w:rPr>
              <w:t xml:space="preserve">1.投标人为本项目配备的团队人员不少于10人（包括团队负责人、项目团队人员等），应具有本科或以上学历，其中项目团队负责人和技术人员主修专业应包含软件开发与测试类或软件工程类或计算机科学与技术类，满足以上要求的得2分。</w:t>
            </w:r>
            <w:r/>
          </w:p>
          <w:p>
            <w:pPr>
              <w:pStyle w:val="836"/>
              <w:ind w:firstLine="420"/>
              <w:spacing w:line="300" w:lineRule="exact"/>
              <w:rPr>
                <w:rFonts w:hint="eastAsia" w:ascii="宋体" w:hAnsi="宋体" w:cs="宋体"/>
                <w:szCs w:val="21"/>
              </w:rPr>
            </w:pPr>
            <w:r>
              <w:rPr>
                <w:rFonts w:hint="eastAsia" w:ascii="宋体" w:hAnsi="宋体" w:cs="宋体"/>
                <w:szCs w:val="21"/>
              </w:rPr>
              <w:t xml:space="preserve">2.团队成员中（除团队负责人和技术人员）如另有船舶与海洋工程、轮机工程、工业设计等相关船舶类或机械类本科或以上学历毕业人员，每提供1人得0.5分，最多得3分。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证明材料：提供人员名单及相应证书扫描件（或电子证书扫描件），以及该人员自投标截止日前3个月内任意一个月由投标人为其缴纳养老保险的证明材料，并加盖投标人公章，证明材料不全不得分。</w:t>
            </w:r>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Start w:id="272" w:name="OLE_LINK162"/>
            <w:r/>
            <w:bookmarkStart w:id="273" w:name="OLE_LINK163"/>
            <w:r/>
            <w:bookmarkStart w:id="274" w:name="_Hlk236837463"/>
            <w:r>
              <w:rPr>
                <w:rFonts w:hint="eastAsia" w:ascii="宋体" w:hAnsi="宋体" w:cs="宋体"/>
                <w:b/>
                <w:bCs/>
                <w:szCs w:val="21"/>
              </w:rPr>
              <w:t xml:space="preserve">3</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项目实施方案</w:t>
            </w:r>
            <w:r/>
          </w:p>
        </w:tc>
        <w:tc>
          <w:tcPr>
            <w:tcW w:w="6594" w:type="dxa"/>
            <w:vAlign w:val="center"/>
            <w:textDirection w:val="lrTb"/>
            <w:noWrap w:val="false"/>
          </w:tcPr>
          <w:p>
            <w:pPr>
              <w:pStyle w:val="836"/>
              <w:ind w:firstLine="422"/>
              <w:spacing w:line="300" w:lineRule="exact"/>
              <w:rPr>
                <w:rFonts w:hint="eastAsia" w:ascii="宋体" w:hAnsi="宋体" w:cs="宋体"/>
                <w:b/>
                <w:szCs w:val="21"/>
              </w:rPr>
            </w:pPr>
            <w:r/>
            <w:bookmarkStart w:id="275" w:name="OLE_LINK164"/>
            <w:r>
              <w:rPr>
                <w:rFonts w:hint="eastAsia" w:ascii="宋体" w:hAnsi="宋体" w:cs="宋体"/>
                <w:b/>
                <w:szCs w:val="21"/>
              </w:rPr>
              <w:t xml:space="preserve">项目</w:t>
            </w:r>
            <w:bookmarkStart w:id="276" w:name="OLE_LINK74"/>
            <w:r>
              <w:rPr>
                <w:rFonts w:hint="eastAsia" w:ascii="宋体" w:hAnsi="宋体" w:cs="宋体"/>
                <w:b/>
                <w:szCs w:val="21"/>
              </w:rPr>
              <w:t xml:space="preserve">实施</w:t>
            </w:r>
            <w:bookmarkEnd w:id="276"/>
            <w:r>
              <w:rPr>
                <w:rFonts w:hint="eastAsia" w:ascii="宋体" w:hAnsi="宋体" w:cs="宋体"/>
                <w:b/>
                <w:szCs w:val="21"/>
              </w:rPr>
              <w:t xml:space="preserve">方案内容包括：①项目实施计划与进度管控、②虚拟仿真课程建设方案、③平台上线与部署方案、④风险管控与应急保障这四方面内容，评标委员会根据投标人提供的方案进行综合评分</w:t>
            </w:r>
            <w:r>
              <w:rPr>
                <w:rFonts w:hint="eastAsia" w:ascii="宋体" w:hAnsi="宋体" w:cs="宋体"/>
                <w:b/>
                <w:szCs w:val="21"/>
              </w:rPr>
              <w:t xml:space="preserve">：</w:t>
            </w:r>
            <w:r>
              <w:rPr>
                <w:rFonts w:hint="eastAsia" w:ascii="宋体" w:hAnsi="宋体" w:cs="宋体"/>
                <w:b/>
                <w:szCs w:val="21"/>
              </w:rPr>
            </w:r>
            <w:r/>
          </w:p>
          <w:p>
            <w:pPr>
              <w:pStyle w:val="836"/>
              <w:ind w:firstLine="420"/>
              <w:spacing w:line="300" w:lineRule="exact"/>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每项</w:t>
            </w:r>
            <w:bookmarkStart w:id="277" w:name="OLE_LINK75"/>
            <w:r>
              <w:rPr>
                <w:rFonts w:hint="eastAsia" w:ascii="宋体" w:hAnsi="宋体" w:cs="宋体"/>
                <w:szCs w:val="21"/>
              </w:rPr>
              <w:t xml:space="preserve">实施方案科学合理、完整切实可行的，得2分；</w:t>
            </w:r>
            <w:bookmarkEnd w:id="277"/>
            <w:r>
              <w:rPr>
                <w:rFonts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每项实施方案完整，但科学合理性及可行性存在缺陷，得</w:t>
            </w:r>
            <w:r>
              <w:rPr>
                <w:rFonts w:ascii="宋体" w:hAnsi="宋体" w:cs="宋体"/>
                <w:szCs w:val="21"/>
              </w:rPr>
              <w:t xml:space="preserve">1</w:t>
            </w:r>
            <w:r>
              <w:rPr>
                <w:rFonts w:hint="eastAsia" w:ascii="宋体" w:hAnsi="宋体" w:cs="宋体"/>
                <w:szCs w:val="21"/>
              </w:rPr>
              <w:t xml:space="preserve">分；</w:t>
            </w:r>
            <w:r/>
          </w:p>
          <w:p>
            <w:pPr>
              <w:pStyle w:val="836"/>
              <w:ind w:firstLine="420"/>
              <w:spacing w:line="300" w:lineRule="exact"/>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每项实施方案存在缺陷或不提供的，不得分。</w:t>
            </w:r>
            <w:r>
              <w:rPr>
                <w:rFonts w:ascii="宋体" w:hAnsi="宋体" w:cs="宋体"/>
                <w:szCs w:val="21"/>
              </w:rPr>
            </w:r>
            <w:r/>
          </w:p>
          <w:p>
            <w:pPr>
              <w:pStyle w:val="836"/>
              <w:ind w:firstLine="422"/>
              <w:spacing w:line="300" w:lineRule="exact"/>
              <w:rPr>
                <w:rFonts w:hint="eastAsia" w:ascii="宋体" w:hAnsi="宋体" w:cs="宋体"/>
                <w:b/>
                <w:szCs w:val="21"/>
              </w:rPr>
            </w:pPr>
            <w:r>
              <w:rPr>
                <w:rFonts w:hint="eastAsia" w:ascii="宋体" w:hAnsi="宋体" w:cs="宋体"/>
                <w:b/>
                <w:szCs w:val="21"/>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bookmarkEnd w:id="275"/>
            <w:r>
              <w:rPr>
                <w:rFonts w:hint="eastAsia" w:ascii="宋体" w:hAnsi="宋体" w:cs="宋体"/>
                <w:b/>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主</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bookmarkEnd w:id="272"/>
            <w:r/>
            <w:bookmarkEnd w:id="273"/>
            <w:r/>
            <w:bookmarkEnd w:id="274"/>
            <w:r>
              <w:rPr>
                <w:rFonts w:hint="eastAsia" w:ascii="宋体" w:hAnsi="宋体" w:cs="宋体"/>
                <w:b/>
                <w:bCs/>
                <w:szCs w:val="21"/>
              </w:rPr>
              <w:t xml:space="preserve">4</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78" w:name="OLE_LINK165"/>
            <w:r>
              <w:rPr>
                <w:rFonts w:hint="eastAsia" w:ascii="宋体" w:hAnsi="宋体" w:cs="宋体"/>
                <w:b/>
                <w:bCs/>
                <w:szCs w:val="21"/>
              </w:rPr>
              <w:t xml:space="preserve">售后服务</w:t>
            </w:r>
            <w:bookmarkEnd w:id="278"/>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79" w:name="OLE_LINK166"/>
            <w:r>
              <w:rPr>
                <w:rFonts w:hint="eastAsia" w:ascii="宋体" w:hAnsi="宋体" w:cs="宋体"/>
                <w:szCs w:val="21"/>
              </w:rPr>
              <w:t xml:space="preserve">1.本项目硬件设备质保期最低要求为</w:t>
            </w:r>
            <w:r>
              <w:rPr>
                <w:rFonts w:hint="eastAsia" w:ascii="宋体" w:hAnsi="宋体" w:cs="宋体"/>
                <w:szCs w:val="21"/>
              </w:rPr>
              <w:t xml:space="preserve">五</w:t>
            </w:r>
            <w:r>
              <w:rPr>
                <w:rFonts w:hint="eastAsia" w:ascii="宋体" w:hAnsi="宋体" w:cs="宋体"/>
                <w:szCs w:val="21"/>
              </w:rPr>
              <w:t xml:space="preserve">年，每多提供一年质保，得1分，最高得</w:t>
            </w:r>
            <w:r>
              <w:rPr>
                <w:rFonts w:ascii="宋体" w:hAnsi="宋体" w:cs="宋体"/>
                <w:szCs w:val="21"/>
              </w:rPr>
              <w:t xml:space="preserve">2</w:t>
            </w:r>
            <w:r>
              <w:rPr>
                <w:rFonts w:hint="eastAsia" w:ascii="宋体" w:hAnsi="宋体" w:cs="宋体"/>
                <w:szCs w:val="21"/>
              </w:rPr>
              <w:t xml:space="preserve">分（提供质保承诺）。</w:t>
            </w:r>
            <w:r/>
          </w:p>
          <w:p>
            <w:pPr>
              <w:pStyle w:val="836"/>
              <w:ind w:firstLine="420"/>
              <w:spacing w:line="300" w:lineRule="exact"/>
              <w:rPr>
                <w:rFonts w:hint="eastAsia" w:ascii="宋体" w:hAnsi="宋体" w:cs="宋体"/>
                <w:szCs w:val="21"/>
              </w:rPr>
            </w:pPr>
            <w:r>
              <w:rPr>
                <w:rFonts w:hint="eastAsia" w:ascii="宋体" w:hAnsi="宋体" w:cs="宋体"/>
                <w:szCs w:val="21"/>
              </w:rPr>
              <w:t xml:space="preserve">2.软件内容更新机制：</w:t>
            </w:r>
            <w:r/>
          </w:p>
          <w:p>
            <w:pPr>
              <w:pStyle w:val="836"/>
              <w:ind w:firstLine="420"/>
              <w:spacing w:line="300" w:lineRule="exact"/>
              <w:rPr>
                <w:rFonts w:hint="eastAsia" w:ascii="宋体" w:hAnsi="宋体" w:cs="宋体"/>
                <w:szCs w:val="21"/>
              </w:rPr>
            </w:pPr>
            <w:r>
              <w:rPr>
                <w:rFonts w:hint="eastAsia" w:ascii="宋体" w:hAnsi="宋体" w:cs="宋体"/>
                <w:szCs w:val="21"/>
              </w:rPr>
              <w:t xml:space="preserve">（1）本项目软件及数字化资源因IMO、IACS、CCS、行业主管部门等发布强制性新规/新标准/新规范等，涉及课程教学内容或具体模型等内容，</w:t>
            </w:r>
            <w:r>
              <w:rPr>
                <w:rFonts w:hint="eastAsia" w:ascii="宋体" w:hAnsi="宋体" w:cs="宋体"/>
                <w:szCs w:val="21"/>
              </w:rPr>
              <w:t xml:space="preserve">五</w:t>
            </w:r>
            <w:r>
              <w:rPr>
                <w:rFonts w:hint="eastAsia" w:ascii="宋体" w:hAnsi="宋体" w:cs="宋体"/>
                <w:szCs w:val="21"/>
              </w:rPr>
              <w:t xml:space="preserve">年内必须免费更新，每延长</w:t>
            </w:r>
            <w:r>
              <w:rPr>
                <w:rFonts w:hint="eastAsia" w:ascii="宋体" w:hAnsi="宋体" w:cs="宋体"/>
                <w:szCs w:val="21"/>
              </w:rPr>
              <w:t xml:space="preserve">一</w:t>
            </w:r>
            <w:r>
              <w:rPr>
                <w:rFonts w:hint="eastAsia" w:ascii="宋体" w:hAnsi="宋体" w:cs="宋体"/>
                <w:szCs w:val="21"/>
              </w:rPr>
              <w:t xml:space="preserve">年得1.5分，最多3分。要求在新规发布后3个月内完成更新并交付。</w:t>
            </w:r>
            <w:r/>
          </w:p>
          <w:p>
            <w:pPr>
              <w:pStyle w:val="836"/>
              <w:ind w:firstLine="420"/>
              <w:spacing w:line="300" w:lineRule="exact"/>
              <w:rPr>
                <w:rFonts w:hint="eastAsia" w:ascii="宋体" w:hAnsi="宋体" w:cs="宋体"/>
                <w:szCs w:val="21"/>
              </w:rPr>
            </w:pPr>
            <w:r>
              <w:rPr>
                <w:rFonts w:hint="eastAsia" w:ascii="宋体" w:hAnsi="宋体" w:cs="宋体"/>
                <w:szCs w:val="21"/>
              </w:rPr>
              <w:t xml:space="preserve">（2）本项目软件及数字化资源因适配行业技术发展、绿色造船、智能制造或具体船型主流工艺迭代等变化，</w:t>
            </w:r>
            <w:r>
              <w:rPr>
                <w:rFonts w:hint="eastAsia" w:ascii="宋体" w:hAnsi="宋体" w:cs="宋体"/>
                <w:szCs w:val="21"/>
              </w:rPr>
              <w:t xml:space="preserve">五</w:t>
            </w:r>
            <w:r>
              <w:rPr>
                <w:rFonts w:hint="eastAsia" w:ascii="宋体" w:hAnsi="宋体" w:cs="宋体"/>
                <w:szCs w:val="21"/>
              </w:rPr>
              <w:t xml:space="preserve">年内提供1次免费版本更新，更新数量≥50%，更新内容包含模型、场景、工艺流程、考核题库等。</w:t>
            </w:r>
            <w:r>
              <w:rPr>
                <w:rFonts w:hint="eastAsia" w:ascii="宋体" w:hAnsi="宋体" w:cs="宋体"/>
                <w:szCs w:val="21"/>
              </w:rPr>
              <w:t xml:space="preserve">五</w:t>
            </w:r>
            <w:r>
              <w:rPr>
                <w:rFonts w:hint="eastAsia" w:ascii="宋体" w:hAnsi="宋体" w:cs="宋体"/>
                <w:szCs w:val="21"/>
              </w:rPr>
              <w:t xml:space="preserve">年后每提供1次得1.5分，最多3分。每次更新在每年9月开学前完成交付，不影响教学。</w:t>
            </w:r>
            <w:r/>
          </w:p>
          <w:p>
            <w:pPr>
              <w:pStyle w:val="836"/>
              <w:ind w:firstLine="420"/>
              <w:spacing w:line="300" w:lineRule="exact"/>
              <w:rPr>
                <w:rFonts w:hint="eastAsia" w:ascii="宋体" w:hAnsi="宋体" w:cs="宋体"/>
                <w:szCs w:val="21"/>
              </w:rPr>
            </w:pPr>
            <w:r>
              <w:rPr>
                <w:rFonts w:hint="eastAsia" w:ascii="宋体" w:hAnsi="宋体" w:cs="宋体"/>
                <w:szCs w:val="21"/>
              </w:rPr>
              <w:t xml:space="preserve">（3）本项目软件因教材更新、实训大纲调整，</w:t>
            </w:r>
            <w:r>
              <w:rPr>
                <w:rFonts w:hint="eastAsia" w:ascii="宋体" w:hAnsi="宋体" w:cs="宋体"/>
                <w:szCs w:val="21"/>
              </w:rPr>
              <w:t xml:space="preserve">五</w:t>
            </w:r>
            <w:r>
              <w:rPr>
                <w:rFonts w:hint="eastAsia" w:ascii="宋体" w:hAnsi="宋体" w:cs="宋体"/>
                <w:szCs w:val="21"/>
              </w:rPr>
              <w:t xml:space="preserve">年内需按校方需求免费提供1次优化实训流程、考核模块、交互逻辑等。每次更新后提供更新说明、操作手册，经校方测试无 bug、符合行业规范、满足实训要求，视为验收通过。</w:t>
            </w:r>
            <w:r>
              <w:rPr>
                <w:rFonts w:hint="eastAsia" w:ascii="宋体" w:hAnsi="宋体" w:cs="宋体"/>
                <w:szCs w:val="21"/>
              </w:rPr>
              <w:t xml:space="preserve">五</w:t>
            </w:r>
            <w:r>
              <w:rPr>
                <w:rFonts w:hint="eastAsia" w:ascii="宋体" w:hAnsi="宋体" w:cs="宋体"/>
                <w:szCs w:val="21"/>
              </w:rPr>
              <w:t xml:space="preserve">年后每多提供1次得1分，最多2分。校方提出后3个月内完成并交付。</w:t>
            </w:r>
            <w:bookmarkEnd w:id="279"/>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10</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r>
        <w:trPr/>
        <w:tc>
          <w:tcPr>
            <w:tcW w:w="536" w:type="dxa"/>
            <w:vAlign w:val="center"/>
            <w:textDirection w:val="lrTb"/>
            <w:noWrap w:val="false"/>
          </w:tcPr>
          <w:p>
            <w:pPr>
              <w:pStyle w:val="836"/>
              <w:jc w:val="center"/>
              <w:spacing w:line="360" w:lineRule="exact"/>
              <w:rPr>
                <w:rFonts w:hint="eastAsia" w:ascii="宋体" w:hAnsi="宋体" w:cs="宋体"/>
                <w:b/>
                <w:bCs/>
                <w:szCs w:val="21"/>
              </w:rPr>
            </w:pPr>
            <w:r>
              <w:rPr>
                <w:rFonts w:hint="eastAsia" w:ascii="宋体" w:hAnsi="宋体" w:cs="宋体"/>
                <w:b/>
                <w:bCs/>
                <w:szCs w:val="21"/>
              </w:rPr>
              <w:t xml:space="preserve">5</w:t>
            </w:r>
            <w:r/>
          </w:p>
        </w:tc>
        <w:tc>
          <w:tcPr>
            <w:tcW w:w="1302" w:type="dxa"/>
            <w:vAlign w:val="center"/>
            <w:textDirection w:val="lrTb"/>
            <w:noWrap w:val="false"/>
          </w:tcPr>
          <w:p>
            <w:pPr>
              <w:pStyle w:val="836"/>
              <w:jc w:val="center"/>
              <w:spacing w:line="360" w:lineRule="exact"/>
              <w:rPr>
                <w:rFonts w:hint="eastAsia" w:ascii="宋体" w:hAnsi="宋体" w:cs="宋体"/>
                <w:b/>
                <w:bCs/>
                <w:szCs w:val="21"/>
              </w:rPr>
            </w:pPr>
            <w:r/>
            <w:bookmarkStart w:id="280" w:name="OLE_LINK167"/>
            <w:r>
              <w:rPr>
                <w:rFonts w:hint="eastAsia" w:ascii="宋体" w:hAnsi="宋体" w:cs="宋体"/>
                <w:b/>
                <w:bCs/>
                <w:szCs w:val="21"/>
              </w:rPr>
              <w:t xml:space="preserve">履约能力</w:t>
            </w:r>
            <w:bookmarkEnd w:id="280"/>
            <w:r>
              <w:rPr>
                <w:rFonts w:hint="eastAsia" w:ascii="宋体" w:hAnsi="宋体" w:cs="宋体"/>
                <w:b/>
                <w:bCs/>
                <w:szCs w:val="21"/>
              </w:rPr>
            </w:r>
            <w:r/>
          </w:p>
        </w:tc>
        <w:tc>
          <w:tcPr>
            <w:tcW w:w="6594" w:type="dxa"/>
            <w:vAlign w:val="center"/>
            <w:textDirection w:val="lrTb"/>
            <w:noWrap w:val="false"/>
          </w:tcPr>
          <w:p>
            <w:pPr>
              <w:pStyle w:val="836"/>
              <w:ind w:firstLine="420"/>
              <w:spacing w:line="300" w:lineRule="exact"/>
              <w:rPr>
                <w:rFonts w:hint="eastAsia" w:ascii="宋体" w:hAnsi="宋体" w:cs="宋体"/>
                <w:szCs w:val="21"/>
              </w:rPr>
            </w:pPr>
            <w:r/>
            <w:bookmarkStart w:id="281" w:name="OLE_LINK168"/>
            <w:r>
              <w:rPr>
                <w:rFonts w:hint="eastAsia" w:ascii="宋体" w:hAnsi="宋体" w:cs="宋体"/>
                <w:szCs w:val="21"/>
              </w:rPr>
              <w:t xml:space="preserve">1.</w:t>
            </w:r>
            <w:bookmarkStart w:id="282" w:name="OLE_LINK87"/>
            <w:r>
              <w:rPr>
                <w:rFonts w:hint="eastAsia" w:ascii="宋体" w:hAnsi="宋体" w:cs="宋体"/>
                <w:szCs w:val="21"/>
              </w:rPr>
              <w:t xml:space="preserve">投标人所提供的课程平台须具备平台自建虚拟仿真资源，虚拟仿真课程资源不得少于200门，提供截图证明并加盖投标人公章得2分，不提供不得分。</w:t>
            </w:r>
            <w:bookmarkEnd w:id="282"/>
            <w:r>
              <w:rPr>
                <w:rFonts w:hint="eastAsia" w:ascii="宋体" w:hAnsi="宋体" w:cs="宋体"/>
                <w:szCs w:val="21"/>
              </w:rPr>
            </w:r>
            <w:r/>
          </w:p>
          <w:p>
            <w:pPr>
              <w:pStyle w:val="836"/>
              <w:ind w:firstLine="420"/>
              <w:spacing w:line="300" w:lineRule="exact"/>
              <w:rPr>
                <w:rFonts w:hint="eastAsia" w:ascii="宋体" w:hAnsi="宋体" w:cs="宋体"/>
                <w:szCs w:val="21"/>
              </w:rPr>
            </w:pPr>
            <w:r>
              <w:rPr>
                <w:rFonts w:hint="eastAsia" w:ascii="宋体" w:hAnsi="宋体" w:cs="宋体"/>
                <w:szCs w:val="21"/>
              </w:rPr>
              <w:t xml:space="preserve">2.课程建设、教学需要丰富、优质资源作支撑，且要服务于课程申报和评审。</w:t>
            </w:r>
            <w:bookmarkStart w:id="283" w:name="OLE_LINK89"/>
            <w:r>
              <w:rPr>
                <w:rFonts w:hint="eastAsia" w:ascii="宋体" w:hAnsi="宋体" w:cs="宋体"/>
                <w:szCs w:val="21"/>
              </w:rPr>
              <w:t xml:space="preserve">供应商提供的课程平台上申报成功且运行的国家精品课程和国家级线上一流本科课程</w:t>
            </w:r>
            <w:bookmarkEnd w:id="283"/>
            <w:r>
              <w:rPr>
                <w:rFonts w:hint="eastAsia" w:ascii="宋体" w:hAnsi="宋体" w:cs="宋体"/>
                <w:szCs w:val="21"/>
              </w:rPr>
              <w:t xml:space="preserve">，课程数量在50-299的得1分，数量为</w:t>
            </w:r>
            <w:r>
              <w:rPr>
                <w:rFonts w:ascii="宋体" w:hAnsi="宋体" w:cs="宋体"/>
                <w:szCs w:val="21"/>
              </w:rPr>
              <w:t xml:space="preserve">3</w:t>
            </w:r>
            <w:r>
              <w:rPr>
                <w:rFonts w:hint="eastAsia" w:ascii="宋体" w:hAnsi="宋体" w:cs="宋体"/>
                <w:szCs w:val="21"/>
              </w:rPr>
              <w:t xml:space="preserve">00门及以上的得</w:t>
            </w:r>
            <w:r>
              <w:rPr>
                <w:rFonts w:ascii="宋体" w:hAnsi="宋体" w:cs="宋体"/>
                <w:szCs w:val="21"/>
              </w:rPr>
              <w:t xml:space="preserve">2</w:t>
            </w:r>
            <w:r>
              <w:rPr>
                <w:rFonts w:hint="eastAsia" w:ascii="宋体" w:hAnsi="宋体" w:cs="宋体"/>
                <w:szCs w:val="21"/>
              </w:rPr>
              <w:t xml:space="preserve">分，本项最多得</w:t>
            </w:r>
            <w:r>
              <w:rPr>
                <w:rFonts w:ascii="宋体" w:hAnsi="宋体" w:cs="宋体"/>
                <w:szCs w:val="21"/>
              </w:rPr>
              <w:t xml:space="preserve">2</w:t>
            </w:r>
            <w:r>
              <w:rPr>
                <w:rFonts w:hint="eastAsia" w:ascii="宋体" w:hAnsi="宋体" w:cs="宋体"/>
                <w:szCs w:val="21"/>
              </w:rPr>
              <w:t xml:space="preserve">分。</w:t>
            </w:r>
            <w:r/>
          </w:p>
          <w:p>
            <w:pPr>
              <w:pStyle w:val="836"/>
              <w:ind w:firstLine="422"/>
              <w:spacing w:line="300" w:lineRule="exact"/>
              <w:rPr>
                <w:rFonts w:hint="eastAsia" w:ascii="宋体" w:hAnsi="宋体" w:cs="宋体"/>
                <w:szCs w:val="21"/>
              </w:rPr>
            </w:pPr>
            <w:r>
              <w:rPr>
                <w:rFonts w:hint="eastAsia" w:ascii="宋体" w:hAnsi="宋体" w:cs="宋体"/>
                <w:b/>
                <w:bCs/>
                <w:szCs w:val="21"/>
              </w:rPr>
              <w:t xml:space="preserve">证明材料：须提供ICP/IP地址/域名信息备案管理系统查询截图以及教育部公布的国家精品在线开放课程和本科线上一流课程公示截图（公示截图须包括：课程名称、课程负责人、主要建设单位、主要开课平台4个维度）和对应的课程链接清单并加盖投标人公章。教育部公布的清单没有主要开课平台纬度无法验证平台不得分，未提供或提供不全不得分。教育部公示信息备查。</w:t>
            </w:r>
            <w:bookmarkEnd w:id="281"/>
            <w:r>
              <w:rPr>
                <w:rFonts w:hint="eastAsia" w:ascii="宋体" w:hAnsi="宋体" w:cs="宋体"/>
                <w:szCs w:val="21"/>
              </w:rPr>
            </w:r>
            <w:r/>
          </w:p>
        </w:tc>
        <w:tc>
          <w:tcPr>
            <w:tcW w:w="720" w:type="dxa"/>
            <w:vAlign w:val="center"/>
            <w:textDirection w:val="lrTb"/>
            <w:noWrap w:val="false"/>
          </w:tcPr>
          <w:p>
            <w:pPr>
              <w:pStyle w:val="836"/>
              <w:jc w:val="center"/>
              <w:spacing w:line="36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c>
          <w:tcPr>
            <w:tcW w:w="761" w:type="dxa"/>
            <w:vAlign w:val="center"/>
            <w:textDirection w:val="lrTb"/>
            <w:noWrap w:val="false"/>
          </w:tcPr>
          <w:p>
            <w:pPr>
              <w:pStyle w:val="836"/>
              <w:jc w:val="center"/>
              <w:spacing w:line="360" w:lineRule="exact"/>
              <w:rPr>
                <w:rFonts w:hint="eastAsia" w:ascii="宋体" w:hAnsi="宋体" w:cs="宋体"/>
                <w:szCs w:val="21"/>
              </w:rPr>
            </w:pPr>
            <w:r>
              <w:rPr>
                <w:rFonts w:hint="eastAsia" w:ascii="宋体" w:hAnsi="宋体" w:cs="宋体"/>
                <w:szCs w:val="21"/>
              </w:rPr>
              <w:t xml:space="preserve">客</w:t>
            </w:r>
            <w:r/>
          </w:p>
        </w:tc>
      </w:tr>
    </w:tbl>
    <w:p>
      <w:pPr>
        <w:pStyle w:val="836"/>
        <w:ind w:firstLine="482"/>
        <w:spacing w:line="360" w:lineRule="auto"/>
        <w:rPr>
          <w:rFonts w:hint="eastAsia" w:ascii="宋体" w:hAnsi="宋体" w:cs="宋体"/>
          <w:b/>
          <w:bCs/>
          <w:sz w:val="24"/>
        </w:rPr>
      </w:pPr>
      <w:r/>
      <w:bookmarkEnd w:id="261"/>
      <w:r>
        <w:rPr>
          <w:rFonts w:hint="eastAsia" w:ascii="宋体" w:hAnsi="宋体" w:cs="宋体"/>
          <w:b/>
          <w:bCs/>
          <w:sz w:val="24"/>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p>
    <w:p>
      <w:pPr>
        <w:pStyle w:val="836"/>
        <w:ind w:firstLine="482"/>
        <w:spacing w:line="360" w:lineRule="auto"/>
        <w:rPr>
          <w:rFonts w:hint="eastAsia" w:ascii="宋体" w:hAnsi="宋体" w:cs="宋体"/>
          <w:b/>
          <w:bCs/>
          <w:sz w:val="24"/>
        </w:rPr>
      </w:pPr>
      <w:r>
        <w:rPr>
          <w:rFonts w:hint="eastAsia" w:ascii="宋体" w:hAnsi="宋体" w:cs="宋体"/>
          <w:b/>
          <w:bCs/>
          <w:sz w:val="24"/>
        </w:rPr>
        <w:t xml:space="preserve">2.投标文件商务技术标得分低于本采购文件商务技术标评分分值（70分）的50%时，视为未实质性响应采购文件要求，作为无效投标处理。</w:t>
      </w:r>
      <w:r/>
    </w:p>
    <w:p>
      <w:pPr>
        <w:pStyle w:val="836"/>
        <w:ind w:firstLine="482"/>
        <w:spacing w:line="360" w:lineRule="auto"/>
        <w:rPr>
          <w:rFonts w:hint="eastAsia" w:ascii="宋体" w:hAnsi="宋体" w:cs="宋体"/>
          <w:sz w:val="24"/>
          <w:shd w:val="clear" w:color="auto" w:fill="00b0f0"/>
        </w:rPr>
      </w:pPr>
      <w:r>
        <w:rPr>
          <w:rFonts w:hint="eastAsia" w:ascii="宋体" w:hAnsi="宋体" w:cs="宋体"/>
          <w:b/>
          <w:bCs/>
          <w:sz w:val="24"/>
        </w:rPr>
        <w:t xml:space="preserve">（四）</w:t>
      </w:r>
      <w:r>
        <w:rPr>
          <w:rFonts w:hint="eastAsia" w:ascii="宋体" w:hAnsi="宋体" w:cs="宋体"/>
          <w:b/>
          <w:bCs/>
          <w:sz w:val="24"/>
          <w:lang w:val="zh-CN"/>
        </w:rPr>
        <w:t xml:space="preserve">价格分</w:t>
      </w:r>
      <w:r>
        <w:rPr>
          <w:rFonts w:hint="eastAsia" w:ascii="宋体" w:hAnsi="宋体" w:cs="宋体"/>
          <w:b/>
          <w:bCs/>
          <w:sz w:val="24"/>
        </w:rPr>
        <w:t xml:space="preserve">：</w:t>
      </w:r>
      <w:r>
        <w:rPr>
          <w:rFonts w:ascii="宋体" w:hAnsi="宋体" w:cs="宋体"/>
          <w:b/>
          <w:bCs/>
          <w:sz w:val="24"/>
        </w:rPr>
        <w:t xml:space="preserve">3</w:t>
      </w:r>
      <w:r>
        <w:rPr>
          <w:rFonts w:hint="eastAsia" w:ascii="宋体" w:hAnsi="宋体" w:cs="宋体"/>
          <w:b/>
          <w:bCs/>
          <w:sz w:val="24"/>
        </w:rPr>
        <w:t xml:space="preserve">0.00</w:t>
      </w:r>
      <w:r>
        <w:rPr>
          <w:rFonts w:hint="eastAsia" w:ascii="宋体" w:hAnsi="宋体" w:cs="宋体"/>
          <w:b/>
          <w:bCs/>
          <w:sz w:val="24"/>
          <w:lang w:val="zh-CN"/>
        </w:rPr>
        <w:t xml:space="preserve">分</w:t>
      </w:r>
      <w:r>
        <w:rPr>
          <w:rFonts w:hint="eastAsia" w:ascii="宋体" w:hAnsi="宋体" w:cs="宋体"/>
          <w:sz w:val="24"/>
          <w:shd w:val="clear" w:color="auto" w:fill="00b0f0"/>
        </w:rPr>
      </w:r>
      <w:r/>
    </w:p>
    <w:p>
      <w:pPr>
        <w:pStyle w:val="836"/>
        <w:ind w:firstLine="480"/>
        <w:spacing w:line="360" w:lineRule="auto"/>
        <w:rPr>
          <w:rFonts w:hint="eastAsia"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w:t>
      </w:r>
      <w:r/>
    </w:p>
    <w:p>
      <w:pPr>
        <w:pStyle w:val="836"/>
        <w:ind w:firstLine="480"/>
        <w:spacing w:line="360" w:lineRule="auto"/>
        <w:rPr>
          <w:rFonts w:hint="eastAsia" w:ascii="宋体" w:hAnsi="宋体" w:cs="宋体"/>
          <w:sz w:val="24"/>
        </w:rPr>
      </w:pPr>
      <w:r>
        <w:rPr>
          <w:rFonts w:hint="eastAsia" w:ascii="宋体" w:hAnsi="宋体" w:cs="宋体"/>
          <w:sz w:val="24"/>
        </w:rPr>
        <w:t xml:space="preserve">投标报价得分=（评标基准价/投标报价）×30×100%</w:t>
      </w:r>
      <w:r/>
    </w:p>
    <w:p>
      <w:pPr>
        <w:pStyle w:val="948"/>
        <w:ind w:left="0" w:right="0" w:firstLine="482"/>
        <w:jc w:val="both"/>
        <w:spacing w:before="0" w:after="0"/>
        <w:rPr>
          <w:rFonts w:hint="eastAsia" w:ascii="宋体" w:hAnsi="宋体" w:cs="宋体"/>
          <w:b/>
          <w:bCs/>
        </w:rPr>
      </w:pPr>
      <w:r>
        <w:rPr>
          <w:rFonts w:hint="eastAsia" w:ascii="宋体" w:hAnsi="宋体" w:cs="宋体"/>
          <w:b/>
        </w:rPr>
        <w:t xml:space="preserve">（</w:t>
      </w:r>
      <w:r>
        <w:rPr>
          <w:rFonts w:hint="eastAsia" w:ascii="宋体" w:hAnsi="宋体" w:cs="宋体"/>
          <w:b/>
          <w:bCs/>
        </w:rPr>
        <w:t xml:space="preserve">五</w:t>
      </w:r>
      <w:r>
        <w:rPr>
          <w:rFonts w:hint="eastAsia" w:ascii="宋体" w:hAnsi="宋体" w:cs="宋体"/>
          <w:b/>
        </w:rPr>
        <w:t xml:space="preserve">）</w:t>
      </w:r>
      <w:r>
        <w:rPr>
          <w:rFonts w:hint="eastAsia" w:ascii="宋体" w:hAnsi="宋体" w:cs="宋体"/>
          <w:b/>
          <w:bCs/>
        </w:rPr>
        <w:t xml:space="preserve">政府采购政策功能落实</w:t>
      </w:r>
      <w:r/>
    </w:p>
    <w:p>
      <w:pPr>
        <w:pStyle w:val="836"/>
        <w:ind w:firstLine="480"/>
        <w:spacing w:line="360" w:lineRule="auto"/>
        <w:rPr>
          <w:rFonts w:hint="eastAsia" w:ascii="宋体" w:hAnsi="宋体" w:cs="宋体"/>
          <w:b/>
          <w:bCs/>
          <w:sz w:val="24"/>
          <w:u w:val="single"/>
        </w:rPr>
      </w:pPr>
      <w:r>
        <w:rPr>
          <w:rFonts w:hint="eastAsia" w:ascii="宋体" w:hAnsi="宋体" w:cs="宋体"/>
          <w:bCs/>
          <w:sz w:val="24"/>
        </w:rPr>
        <w:t xml:space="preserve">1.</w:t>
      </w:r>
      <w:r>
        <w:rPr>
          <w:rFonts w:hint="eastAsia" w:ascii="宋体" w:hAnsi="宋体" w:cs="宋体"/>
          <w:sz w:val="24"/>
        </w:rPr>
        <w:t xml:space="preserve">本项目标的需求明确的所属行业为：</w:t>
      </w:r>
      <w:r>
        <w:rPr>
          <w:rFonts w:hint="eastAsia" w:ascii="宋体" w:hAnsi="宋体" w:cs="宋体"/>
          <w:b/>
          <w:bCs/>
          <w:sz w:val="24"/>
          <w:u w:val="single"/>
        </w:rPr>
        <w:t xml:space="preserve">建设清单中，1-16货物部分为工业，17.实训室地板铺设及环境升级部分为建筑业。</w:t>
      </w:r>
      <w:r/>
    </w:p>
    <w:p>
      <w:pPr>
        <w:pStyle w:val="836"/>
        <w:ind w:firstLine="480"/>
        <w:spacing w:line="360" w:lineRule="auto"/>
        <w:rPr>
          <w:rFonts w:hint="eastAsia" w:ascii="宋体" w:hAnsi="宋体" w:cs="宋体"/>
          <w:bCs/>
          <w:sz w:val="24"/>
        </w:rPr>
      </w:pPr>
      <w:r>
        <w:rPr>
          <w:rFonts w:hint="eastAsia" w:ascii="宋体" w:hAnsi="宋体" w:cs="宋体"/>
          <w:bCs/>
          <w:sz w:val="24"/>
        </w:rPr>
        <w:t xml:space="preserve">2.专门面向中小企业采购的项目或者采购包，不再执行价格评审优惠的扶持政策。</w:t>
      </w:r>
      <w:r/>
    </w:p>
    <w:p>
      <w:pPr>
        <w:pStyle w:val="836"/>
        <w:ind w:firstLine="482"/>
        <w:spacing w:line="360" w:lineRule="auto"/>
        <w:rPr>
          <w:rFonts w:hint="eastAsia" w:ascii="宋体" w:hAnsi="宋体" w:cs="宋体"/>
          <w:bCs/>
          <w:sz w:val="24"/>
        </w:rPr>
      </w:pPr>
      <w:r>
        <w:rPr>
          <w:rFonts w:hint="eastAsia" w:ascii="宋体" w:hAnsi="宋体" w:cs="宋体"/>
          <w:b/>
          <w:sz w:val="24"/>
        </w:rPr>
        <w:t xml:space="preserve">（六）中标人的确定</w:t>
      </w:r>
      <w:r>
        <w:rPr>
          <w:rFonts w:hint="eastAsia" w:ascii="宋体" w:hAnsi="宋体" w:cs="宋体"/>
          <w:bCs/>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p>
    <w:p>
      <w:pPr>
        <w:pStyle w:val="836"/>
        <w:ind w:firstLine="480"/>
        <w:spacing w:line="360" w:lineRule="auto"/>
        <w:rPr>
          <w:rFonts w:hint="eastAsia" w:ascii="宋体" w:hAnsi="宋体" w:cs="宋体"/>
          <w:sz w:val="24"/>
        </w:rPr>
      </w:pPr>
      <w:r>
        <w:rPr>
          <w:rFonts w:hint="eastAsia" w:ascii="宋体" w:hAnsi="宋体" w:cs="宋体"/>
          <w:sz w:val="24"/>
        </w:rPr>
        <w:t xml:space="preserve">采购人委托评标委员会直接确定排名第一的中标候选人为中标人。</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（七）采购人代表宣布评标结果。</w:t>
      </w:r>
      <w:r/>
    </w:p>
    <w:p>
      <w:pPr>
        <w:pStyle w:val="836"/>
        <w:ind w:firstLine="482"/>
        <w:spacing w:line="360" w:lineRule="auto"/>
        <w:rPr>
          <w:rFonts w:hint="eastAsia" w:ascii="宋体" w:hAnsi="宋体" w:cs="宋体"/>
          <w:b/>
          <w:sz w:val="24"/>
        </w:rPr>
      </w:pPr>
      <w:r>
        <w:rPr>
          <w:rFonts w:hint="eastAsia" w:ascii="宋体" w:hAnsi="宋体" w:cs="宋体"/>
          <w:b/>
          <w:sz w:val="24"/>
        </w:rPr>
        <w:t xml:space="preserve">（八）公告中标结果</w:t>
      </w:r>
      <w:r/>
    </w:p>
    <w:p>
      <w:pPr>
        <w:pStyle w:val="836"/>
        <w:ind w:firstLine="480"/>
        <w:spacing w:line="360" w:lineRule="auto"/>
        <w:rPr>
          <w:rFonts w:hint="eastAsia" w:ascii="宋体" w:hAnsi="宋体" w:cs="宋体"/>
          <w:sz w:val="24"/>
        </w:rPr>
      </w:pPr>
      <w:r>
        <w:rPr>
          <w:rFonts w:hint="eastAsia" w:ascii="宋体" w:hAnsi="宋体" w:cs="宋体"/>
          <w:sz w:val="24"/>
        </w:rPr>
        <w:t xml:space="preserve">交易中心将在“江苏政府采购网”发布中标公告，公告期限为1个工作日。</w:t>
      </w:r>
      <w:r/>
    </w:p>
    <w:p>
      <w:pPr>
        <w:pStyle w:val="836"/>
        <w:ind w:firstLine="482"/>
        <w:spacing w:line="360" w:lineRule="auto"/>
        <w:rPr>
          <w:rFonts w:hint="eastAsia" w:ascii="宋体" w:hAnsi="宋体" w:cs="宋体"/>
          <w:b/>
          <w:bCs/>
          <w:sz w:val="24"/>
        </w:rPr>
      </w:pPr>
      <w:r>
        <w:rPr>
          <w:rFonts w:hint="eastAsia" w:ascii="宋体" w:hAnsi="宋体" w:cs="宋体"/>
          <w:b/>
          <w:sz w:val="24"/>
        </w:rPr>
        <w:t xml:space="preserve">（</w:t>
      </w:r>
      <w:r>
        <w:rPr>
          <w:rFonts w:hint="eastAsia" w:ascii="宋体" w:hAnsi="宋体" w:cs="宋体"/>
          <w:b/>
          <w:bCs/>
          <w:sz w:val="24"/>
        </w:rPr>
        <w:t xml:space="preserve">九</w:t>
      </w:r>
      <w:r>
        <w:rPr>
          <w:rFonts w:hint="eastAsia" w:ascii="宋体" w:hAnsi="宋体" w:cs="宋体"/>
          <w:b/>
          <w:sz w:val="24"/>
        </w:rPr>
        <w:t xml:space="preserve">）</w:t>
      </w:r>
      <w:r>
        <w:rPr>
          <w:rFonts w:hint="eastAsia" w:ascii="宋体" w:hAnsi="宋体" w:cs="宋体"/>
          <w:b/>
          <w:bCs/>
          <w:sz w:val="24"/>
        </w:rPr>
        <w:t xml:space="preserve">发放中标通知书</w:t>
      </w:r>
      <w:r/>
    </w:p>
    <w:p>
      <w:pPr>
        <w:pStyle w:val="836"/>
        <w:ind w:firstLine="480"/>
        <w:spacing w:line="360" w:lineRule="auto"/>
        <w:rPr>
          <w:rFonts w:hint="eastAsia" w:ascii="宋体" w:hAnsi="宋体" w:cs="宋体"/>
          <w:sz w:val="24"/>
        </w:rPr>
      </w:pPr>
      <w:r>
        <w:rPr>
          <w:rFonts w:hint="eastAsia" w:ascii="宋体" w:hAnsi="宋体" w:cs="宋体"/>
          <w:sz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36"/>
        <w:ind w:firstLine="480"/>
        <w:spacing w:line="360" w:lineRule="auto"/>
        <w:rPr>
          <w:rFonts w:hint="eastAsia" w:ascii="宋体" w:hAnsi="宋体" w:cs="宋体"/>
          <w:sz w:val="24"/>
        </w:rPr>
      </w:pPr>
      <w:r>
        <w:rPr>
          <w:rFonts w:hint="eastAsia" w:ascii="宋体" w:hAnsi="宋体" w:cs="宋体"/>
          <w:sz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36"/>
        <w:ind w:firstLine="482"/>
        <w:spacing w:line="360" w:lineRule="auto"/>
        <w:rPr>
          <w:rFonts w:hint="eastAsia" w:ascii="宋体" w:hAnsi="宋体" w:cs="宋体"/>
          <w:b/>
          <w:sz w:val="24"/>
        </w:rPr>
      </w:pPr>
      <w:r>
        <w:rPr>
          <w:rFonts w:hint="eastAsia" w:ascii="宋体" w:hAnsi="宋体" w:cs="宋体"/>
          <w:b/>
          <w:sz w:val="24"/>
        </w:rPr>
        <w:t xml:space="preserve">中标供应商须提供一份纸质版投标文件正本至采购人处，否则不予签订合同。</w:t>
      </w:r>
      <w:r/>
    </w:p>
    <w:p>
      <w:pPr>
        <w:pStyle w:val="836"/>
        <w:jc w:val="center"/>
        <w:spacing w:line="360" w:lineRule="auto"/>
        <w:rPr>
          <w:rFonts w:hint="eastAsia" w:ascii="宋体" w:hAnsi="宋体" w:cs="宋体"/>
          <w:b/>
          <w:sz w:val="36"/>
          <w:szCs w:val="36"/>
        </w:rPr>
        <w:outlineLvl w:val="0"/>
      </w:pPr>
      <w:r>
        <w:rPr>
          <w:rFonts w:eastAsia="仿宋_GB2312"/>
          <w:b/>
          <w:sz w:val="36"/>
          <w:szCs w:val="36"/>
        </w:rPr>
        <w:br w:type="page" w:clear="all"/>
      </w:r>
      <w:r>
        <w:rPr>
          <w:rFonts w:hint="eastAsia" w:ascii="宋体" w:hAnsi="宋体" w:cs="宋体"/>
          <w:b/>
          <w:sz w:val="36"/>
          <w:szCs w:val="36"/>
        </w:rPr>
        <w:t xml:space="preserve">第六部分  投标文件组成</w:t>
      </w:r>
      <w:r/>
    </w:p>
    <w:p>
      <w:pPr>
        <w:pStyle w:val="836"/>
        <w:ind w:firstLine="555"/>
        <w:jc w:val="left"/>
        <w:spacing w:line="500" w:lineRule="exact"/>
        <w:rPr>
          <w:rFonts w:eastAsia="方正仿宋_GBK"/>
          <w:b/>
          <w:sz w:val="28"/>
          <w:szCs w:val="28"/>
        </w:rPr>
      </w:pPr>
      <w:r>
        <w:rPr>
          <w:rFonts w:eastAsia="方正仿宋_GBK"/>
          <w:b/>
          <w:sz w:val="28"/>
          <w:szCs w:val="28"/>
        </w:rPr>
      </w:r>
      <w:r/>
    </w:p>
    <w:p>
      <w:pPr>
        <w:pStyle w:val="836"/>
        <w:contextualSpacing/>
        <w:ind w:firstLine="482"/>
        <w:jc w:val="left"/>
        <w:spacing w:line="360" w:lineRule="auto"/>
        <w:rPr>
          <w:rFonts w:hint="eastAsia" w:cs="宋体"/>
          <w:b/>
          <w:sz w:val="24"/>
          <w:szCs w:val="21"/>
        </w:rPr>
      </w:pPr>
      <w:r>
        <w:rPr>
          <w:rFonts w:hint="eastAsia" w:cs="宋体"/>
          <w:b/>
          <w:sz w:val="24"/>
          <w:szCs w:val="21"/>
        </w:rPr>
        <w:t xml:space="preserve">一、基本目录</w:t>
      </w:r>
      <w:r/>
    </w:p>
    <w:p>
      <w:pPr>
        <w:pStyle w:val="836"/>
        <w:contextualSpacing/>
        <w:ind w:firstLine="480"/>
        <w:spacing w:line="360" w:lineRule="auto"/>
        <w:rPr>
          <w:rFonts w:hint="eastAsia" w:cs="宋体"/>
          <w:bCs/>
          <w:sz w:val="24"/>
        </w:rPr>
      </w:pPr>
      <w:r>
        <w:rPr>
          <w:rFonts w:hint="eastAsia" w:cs="宋体"/>
          <w:bCs/>
          <w:sz w:val="24"/>
        </w:rPr>
        <w:t xml:space="preserve">1.目录。</w:t>
      </w:r>
      <w:r/>
    </w:p>
    <w:p>
      <w:pPr>
        <w:pStyle w:val="836"/>
        <w:contextualSpacing/>
        <w:ind w:firstLine="480"/>
        <w:spacing w:line="360" w:lineRule="auto"/>
        <w:rPr>
          <w:rFonts w:hint="eastAsia" w:cs="宋体"/>
          <w:bCs/>
          <w:sz w:val="24"/>
        </w:rPr>
      </w:pPr>
      <w:r>
        <w:rPr>
          <w:rFonts w:hint="eastAsia" w:cs="宋体"/>
          <w:bCs/>
          <w:sz w:val="24"/>
        </w:rPr>
        <w:t xml:space="preserve">2.开标一览表</w:t>
      </w:r>
      <w:r>
        <w:rPr>
          <w:bCs/>
          <w:sz w:val="24"/>
        </w:rPr>
        <w:t xml:space="preserve">（苏采云系统固定格式）</w:t>
      </w:r>
      <w:r>
        <w:rPr>
          <w:rFonts w:hint="eastAsia" w:cs="宋体"/>
          <w:bCs/>
          <w:sz w:val="24"/>
        </w:rPr>
        <w:t xml:space="preserve">。</w:t>
      </w:r>
      <w:r/>
    </w:p>
    <w:p>
      <w:pPr>
        <w:pStyle w:val="836"/>
        <w:contextualSpacing/>
        <w:ind w:firstLine="480"/>
        <w:spacing w:line="360" w:lineRule="auto"/>
        <w:rPr>
          <w:rFonts w:hint="eastAsia" w:cs="宋体"/>
          <w:bCs/>
          <w:sz w:val="24"/>
        </w:rPr>
      </w:pPr>
      <w:r>
        <w:rPr>
          <w:rFonts w:hint="eastAsia" w:cs="宋体"/>
          <w:bCs/>
          <w:sz w:val="24"/>
        </w:rPr>
        <w:t xml:space="preserve">3.投标分项报价表（格式参见附件）。</w:t>
      </w:r>
      <w:r/>
    </w:p>
    <w:p>
      <w:pPr>
        <w:pStyle w:val="836"/>
        <w:contextualSpacing/>
        <w:ind w:firstLine="480"/>
        <w:spacing w:line="360" w:lineRule="auto"/>
        <w:rPr>
          <w:rFonts w:hint="eastAsia" w:cs="宋体"/>
          <w:bCs/>
          <w:sz w:val="24"/>
        </w:rPr>
      </w:pPr>
      <w:r>
        <w:rPr>
          <w:rFonts w:hint="eastAsia" w:cs="宋体"/>
          <w:bCs/>
          <w:sz w:val="24"/>
        </w:rPr>
        <w:t xml:space="preserve">4.供应商信用承诺书（格式参见附件）。</w:t>
      </w:r>
      <w:r>
        <w:rPr>
          <w:rFonts w:hint="eastAsia" w:cs="宋体"/>
          <w:b/>
          <w:sz w:val="24"/>
        </w:rPr>
        <w:t xml:space="preserve">（如是联合体投标，联合体各成员单位均须提供。）</w:t>
      </w:r>
      <w:r>
        <w:rPr>
          <w:rFonts w:hint="eastAsia" w:cs="宋体"/>
          <w:bCs/>
          <w:sz w:val="24"/>
        </w:rPr>
      </w:r>
      <w:r/>
    </w:p>
    <w:p>
      <w:pPr>
        <w:pStyle w:val="836"/>
        <w:contextualSpacing/>
        <w:ind w:firstLine="480"/>
        <w:spacing w:line="360" w:lineRule="auto"/>
        <w:rPr>
          <w:rFonts w:cs="宋体"/>
          <w:b/>
          <w:sz w:val="24"/>
        </w:rPr>
      </w:pPr>
      <w:r>
        <w:rPr>
          <w:rFonts w:hint="eastAsia" w:cs="宋体"/>
          <w:bCs/>
          <w:sz w:val="24"/>
        </w:rPr>
        <w:t xml:space="preserve">5.供应商情况表（格式参见附件）。</w:t>
      </w:r>
      <w:r>
        <w:rPr>
          <w:rFonts w:hint="eastAsia" w:cs="宋体"/>
          <w:b/>
          <w:sz w:val="24"/>
        </w:rPr>
        <w:t xml:space="preserve">（如是联合体投标，联合体各成员单位均须提供。）</w:t>
      </w:r>
      <w:r>
        <w:rPr>
          <w:rFonts w:cs="宋体"/>
          <w:b/>
          <w:sz w:val="24"/>
        </w:rPr>
      </w:r>
      <w:r/>
    </w:p>
    <w:p>
      <w:pPr>
        <w:pStyle w:val="836"/>
        <w:contextualSpacing/>
        <w:ind w:firstLine="482"/>
        <w:jc w:val="left"/>
        <w:spacing w:line="360" w:lineRule="auto"/>
        <w:rPr>
          <w:rFonts w:hint="eastAsia" w:cs="宋体"/>
          <w:b/>
          <w:sz w:val="24"/>
          <w:szCs w:val="21"/>
        </w:rPr>
      </w:pPr>
      <w:r>
        <w:rPr>
          <w:rFonts w:hint="eastAsia" w:cs="宋体"/>
          <w:b/>
          <w:sz w:val="24"/>
          <w:szCs w:val="21"/>
        </w:rPr>
        <w:t xml:space="preserve">二、资格审查文件</w:t>
      </w:r>
      <w:r/>
    </w:p>
    <w:p>
      <w:pPr>
        <w:pStyle w:val="836"/>
        <w:contextualSpacing/>
        <w:ind w:firstLine="480"/>
        <w:spacing w:line="360" w:lineRule="auto"/>
        <w:rPr>
          <w:rFonts w:hint="eastAsia" w:cs="宋体"/>
          <w:b/>
          <w:sz w:val="24"/>
        </w:rPr>
      </w:pPr>
      <w:r/>
      <w:bookmarkStart w:id="284" w:name="OLE_LINK182"/>
      <w:r>
        <w:rPr>
          <w:rFonts w:hint="eastAsia" w:cs="宋体"/>
          <w:bCs/>
          <w:sz w:val="24"/>
        </w:rPr>
        <w:t xml:space="preserve">1.投标人符合《中华人民共和国政府采购法》第二十二条规定条件的声明函（格式参见附件）。</w:t>
      </w:r>
      <w:r>
        <w:rPr>
          <w:rFonts w:hint="eastAsia" w:cs="宋体"/>
          <w:b/>
          <w:sz w:val="24"/>
        </w:rPr>
        <w:t xml:space="preserve">（如是联合体投标，联合体各成员单位均须提供。）</w:t>
      </w:r>
      <w:r/>
    </w:p>
    <w:p>
      <w:pPr>
        <w:pStyle w:val="836"/>
        <w:contextualSpacing/>
        <w:ind w:firstLine="480"/>
        <w:spacing w:line="360" w:lineRule="auto"/>
        <w:rPr>
          <w:rFonts w:hint="eastAsia" w:cs="宋体"/>
          <w:b/>
          <w:sz w:val="24"/>
        </w:rPr>
      </w:pPr>
      <w:r>
        <w:rPr>
          <w:rFonts w:hint="eastAsia" w:cs="宋体"/>
          <w:bCs/>
          <w:sz w:val="24"/>
        </w:rPr>
        <w:t xml:space="preserve">2.提供法人或者其他组织的营业执照等证明文件</w:t>
      </w:r>
      <w:r>
        <w:rPr>
          <w:rFonts w:hint="eastAsia" w:ascii="宋体" w:hAnsi="宋体" w:cs="宋体"/>
          <w:bCs/>
          <w:sz w:val="24"/>
        </w:rPr>
        <w:t xml:space="preserve">【</w:t>
      </w:r>
      <w:r>
        <w:rPr>
          <w:rFonts w:hint="eastAsia" w:ascii="宋体" w:hAnsi="宋体" w:cs="宋体"/>
          <w:sz w:val="24"/>
        </w:rPr>
        <w:t xml:space="preserve">有效的企业法人营业执照（副本）扫描件及税务登记证（副本）扫描件，或者是三证合一的营业执照（副本）扫描件</w:t>
      </w:r>
      <w:r>
        <w:rPr>
          <w:rFonts w:hint="eastAsia" w:ascii="宋体" w:hAnsi="宋体" w:cs="宋体"/>
          <w:bCs/>
          <w:sz w:val="24"/>
        </w:rPr>
        <w:t xml:space="preserve">】</w:t>
      </w:r>
      <w:r>
        <w:rPr>
          <w:rFonts w:hint="eastAsia" w:cs="宋体"/>
          <w:bCs/>
          <w:sz w:val="24"/>
        </w:rPr>
        <w:t xml:space="preserve">，如供应商为自然人的，提供其身份证明。</w:t>
      </w:r>
      <w:r>
        <w:rPr>
          <w:rFonts w:hint="eastAsia" w:cs="宋体"/>
          <w:b/>
          <w:sz w:val="24"/>
        </w:rPr>
        <w:t xml:space="preserve">（如是联合体投标，联合体各成员单位均须提供。）</w:t>
      </w:r>
      <w:r/>
    </w:p>
    <w:p>
      <w:pPr>
        <w:pStyle w:val="836"/>
        <w:contextualSpacing/>
        <w:ind w:firstLine="480"/>
        <w:spacing w:line="360" w:lineRule="auto"/>
        <w:rPr>
          <w:rFonts w:hint="eastAsia" w:cs="宋体"/>
          <w:b/>
          <w:sz w:val="24"/>
        </w:rPr>
      </w:pPr>
      <w:r>
        <w:rPr>
          <w:rFonts w:hint="eastAsia" w:cs="宋体"/>
          <w:bCs/>
          <w:sz w:val="24"/>
        </w:rPr>
        <w:t xml:space="preserve">3.如为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格式参见附件）。</w:t>
      </w:r>
      <w:r>
        <w:rPr>
          <w:rFonts w:hint="eastAsia" w:cs="宋体"/>
          <w:b/>
          <w:sz w:val="24"/>
        </w:rPr>
        <w:t xml:space="preserve">（如是联合体投标，联合体牵头单位提供。）</w:t>
      </w:r>
      <w:r/>
    </w:p>
    <w:p>
      <w:pPr>
        <w:pStyle w:val="836"/>
        <w:contextualSpacing/>
        <w:ind w:firstLine="480"/>
        <w:spacing w:line="360" w:lineRule="auto"/>
        <w:rPr>
          <w:rFonts w:hint="eastAsia" w:cs="宋体"/>
          <w:bCs/>
          <w:sz w:val="24"/>
        </w:rPr>
      </w:pPr>
      <w:r>
        <w:rPr>
          <w:rFonts w:hint="eastAsia" w:ascii="宋体" w:hAnsi="宋体" w:cs="宋体"/>
          <w:bCs/>
          <w:sz w:val="24"/>
        </w:rPr>
        <w:t xml:space="preserve">4.</w:t>
      </w:r>
      <w:r>
        <w:rPr>
          <w:rFonts w:hint="eastAsia" w:cs="宋体"/>
          <w:sz w:val="24"/>
        </w:rPr>
        <w:t xml:space="preserve">未被“信用中国”网站（www.creditchina.gov.cn）列入失信被执行人、重大税收违法案件当事人名单、政府采购严重失信行为记录名单</w:t>
      </w:r>
      <w:r>
        <w:rPr>
          <w:rFonts w:hint="eastAsia" w:ascii="宋体" w:hAnsi="宋体" w:cs="宋体"/>
          <w:bCs/>
          <w:sz w:val="24"/>
        </w:rPr>
        <w:t xml:space="preserve">。</w:t>
      </w:r>
      <w:r>
        <w:rPr>
          <w:rFonts w:hint="eastAsia" w:cs="宋体"/>
          <w:b/>
          <w:sz w:val="24"/>
        </w:rPr>
        <w:t xml:space="preserve">（代理机构现场查询，如是联合体投标，两家均查询，并截图留存并归档）</w:t>
      </w:r>
      <w:r>
        <w:rPr>
          <w:rFonts w:hint="eastAsia" w:cs="宋体"/>
          <w:bCs/>
          <w:sz w:val="24"/>
        </w:rPr>
      </w:r>
      <w:r/>
    </w:p>
    <w:p>
      <w:pPr>
        <w:pStyle w:val="836"/>
        <w:contextualSpacing/>
        <w:ind w:firstLine="480"/>
        <w:spacing w:line="360" w:lineRule="auto"/>
        <w:rPr>
          <w:rFonts w:hint="eastAsia" w:cs="宋体"/>
          <w:bCs/>
          <w:sz w:val="24"/>
        </w:rPr>
      </w:pPr>
      <w:r>
        <w:rPr>
          <w:rFonts w:hint="eastAsia" w:cs="宋体"/>
          <w:bCs/>
          <w:sz w:val="24"/>
        </w:rPr>
        <w:t xml:space="preserve">5.联合体协议书（如有）（格式参见附件）。</w:t>
      </w:r>
      <w:r/>
    </w:p>
    <w:p>
      <w:pPr>
        <w:pStyle w:val="836"/>
        <w:contextualSpacing/>
        <w:ind w:firstLine="480"/>
        <w:spacing w:line="360" w:lineRule="auto"/>
        <w:rPr>
          <w:rFonts w:hint="eastAsia" w:cs="宋体"/>
          <w:bCs/>
          <w:sz w:val="24"/>
        </w:rPr>
      </w:pPr>
      <w:r>
        <w:rPr>
          <w:rFonts w:hint="eastAsia" w:cs="宋体"/>
          <w:bCs/>
          <w:sz w:val="24"/>
        </w:rPr>
        <w:t xml:space="preserve">6.其它需要提交的资格审查证明材料（以下满足其一即可）（格式见附件）：</w:t>
      </w:r>
      <w:r/>
    </w:p>
    <w:p>
      <w:pPr>
        <w:pStyle w:val="836"/>
        <w:contextualSpacing/>
        <w:ind w:firstLine="480"/>
        <w:spacing w:line="360" w:lineRule="auto"/>
        <w:rPr>
          <w:rFonts w:hint="eastAsia" w:cs="宋体"/>
          <w:bCs/>
          <w:sz w:val="24"/>
        </w:rPr>
      </w:pPr>
      <w:r>
        <w:rPr>
          <w:rFonts w:hint="eastAsia" w:cs="宋体"/>
          <w:bCs/>
          <w:sz w:val="24"/>
        </w:rPr>
        <w:t xml:space="preserve">6.1 中小企业声明函（货物）、中小企业声明函（服务、工程）；</w:t>
      </w:r>
      <w:r/>
    </w:p>
    <w:p>
      <w:pPr>
        <w:pStyle w:val="836"/>
        <w:contextualSpacing/>
        <w:ind w:firstLine="480"/>
        <w:spacing w:line="360" w:lineRule="auto"/>
        <w:rPr>
          <w:rFonts w:hint="eastAsia" w:cs="宋体"/>
          <w:bCs/>
          <w:sz w:val="24"/>
        </w:rPr>
      </w:pPr>
      <w:r>
        <w:rPr>
          <w:rFonts w:hint="eastAsia" w:cs="宋体"/>
          <w:bCs/>
          <w:sz w:val="24"/>
        </w:rPr>
        <w:t xml:space="preserve">6.2 残疾人福利性单位声明函；</w:t>
      </w:r>
      <w:r/>
    </w:p>
    <w:p>
      <w:pPr>
        <w:pStyle w:val="836"/>
        <w:contextualSpacing/>
        <w:ind w:firstLine="480"/>
        <w:spacing w:line="360" w:lineRule="auto"/>
        <w:rPr>
          <w:rFonts w:hint="eastAsia" w:cs="宋体"/>
          <w:bCs/>
          <w:sz w:val="24"/>
        </w:rPr>
      </w:pPr>
      <w:r>
        <w:rPr>
          <w:rFonts w:hint="eastAsia" w:cs="宋体"/>
          <w:bCs/>
          <w:sz w:val="24"/>
        </w:rPr>
        <w:t xml:space="preserve">6.3 监狱和戒毒企业证明材料；</w:t>
      </w:r>
      <w:r/>
    </w:p>
    <w:p>
      <w:pPr>
        <w:pStyle w:val="836"/>
        <w:contextualSpacing/>
        <w:ind w:firstLine="480"/>
        <w:spacing w:line="360" w:lineRule="auto"/>
        <w:rPr>
          <w:rFonts w:hint="eastAsia" w:cs="宋体"/>
          <w:bCs/>
          <w:sz w:val="24"/>
        </w:rPr>
      </w:pPr>
      <w:r>
        <w:rPr>
          <w:rFonts w:hint="eastAsia" w:cs="宋体"/>
          <w:bCs/>
          <w:sz w:val="24"/>
        </w:rPr>
        <w:t xml:space="preserve">7.供应商认为需提供的其他材料。</w:t>
      </w:r>
      <w:r/>
    </w:p>
    <w:p>
      <w:pPr>
        <w:pStyle w:val="836"/>
        <w:contextualSpacing/>
        <w:ind w:firstLine="482"/>
        <w:jc w:val="left"/>
        <w:spacing w:line="360" w:lineRule="auto"/>
        <w:rPr>
          <w:rFonts w:hint="eastAsia" w:cs="宋体"/>
          <w:b/>
          <w:sz w:val="24"/>
          <w:lang w:val="zh-CN"/>
        </w:rPr>
      </w:pPr>
      <w:r>
        <w:rPr>
          <w:rFonts w:hint="eastAsia" w:cs="宋体"/>
          <w:b/>
          <w:sz w:val="24"/>
          <w:lang w:val="zh-CN"/>
        </w:rPr>
        <w:t xml:space="preserve">注：以上所有资格要求条件必须在资格审查材料中逐条提供有效证明材料及相关承诺书并加盖公章，否则投标无效。</w:t>
      </w:r>
      <w:bookmarkEnd w:id="284"/>
      <w:r>
        <w:rPr>
          <w:rFonts w:hint="eastAsia" w:cs="宋体"/>
          <w:b/>
          <w:sz w:val="24"/>
          <w:lang w:val="zh-CN"/>
        </w:rPr>
      </w:r>
      <w:r/>
    </w:p>
    <w:p>
      <w:pPr>
        <w:pStyle w:val="836"/>
        <w:contextualSpacing/>
        <w:ind w:firstLine="482"/>
        <w:jc w:val="left"/>
        <w:spacing w:line="360" w:lineRule="auto"/>
        <w:rPr>
          <w:rFonts w:cs="宋体"/>
          <w:b/>
          <w:sz w:val="24"/>
          <w:szCs w:val="21"/>
        </w:rPr>
      </w:pPr>
      <w:r>
        <w:rPr>
          <w:rFonts w:hint="eastAsia" w:cs="宋体"/>
          <w:b/>
          <w:sz w:val="24"/>
          <w:szCs w:val="21"/>
        </w:rPr>
        <w:t xml:space="preserve">三、符合性审查文件</w:t>
      </w:r>
      <w:r>
        <w:rPr>
          <w:rFonts w:cs="宋体"/>
          <w:b/>
          <w:sz w:val="24"/>
          <w:szCs w:val="21"/>
        </w:rPr>
      </w:r>
      <w:r/>
    </w:p>
    <w:p>
      <w:pPr>
        <w:pStyle w:val="836"/>
        <w:contextualSpacing/>
        <w:ind w:firstLine="480"/>
        <w:spacing w:line="360" w:lineRule="auto"/>
        <w:rPr>
          <w:rFonts w:hint="eastAsia" w:cs="宋体"/>
          <w:bCs/>
          <w:sz w:val="24"/>
        </w:rPr>
      </w:pPr>
      <w:r>
        <w:rPr>
          <w:rFonts w:hint="eastAsia" w:cs="宋体"/>
          <w:bCs/>
          <w:sz w:val="24"/>
        </w:rPr>
        <w:t xml:space="preserve">1.投标声明函（格式参见附件）。</w:t>
      </w:r>
      <w:r/>
    </w:p>
    <w:p>
      <w:pPr>
        <w:pStyle w:val="836"/>
        <w:contextualSpacing/>
        <w:ind w:firstLine="480"/>
        <w:spacing w:line="360" w:lineRule="auto"/>
        <w:rPr>
          <w:rFonts w:hint="eastAsia" w:cs="宋体"/>
          <w:bCs/>
          <w:sz w:val="24"/>
        </w:rPr>
      </w:pPr>
      <w:r>
        <w:rPr>
          <w:rFonts w:hint="eastAsia" w:cs="宋体"/>
          <w:bCs/>
          <w:sz w:val="24"/>
        </w:rPr>
        <w:t xml:space="preserve">2.投标响应函（格式参见附件）。</w:t>
      </w:r>
      <w:r/>
    </w:p>
    <w:p>
      <w:pPr>
        <w:pStyle w:val="836"/>
        <w:contextualSpacing/>
        <w:ind w:firstLine="480"/>
        <w:spacing w:line="360" w:lineRule="auto"/>
        <w:rPr>
          <w:rFonts w:hint="eastAsia" w:cs="宋体"/>
          <w:bCs/>
          <w:sz w:val="24"/>
        </w:rPr>
      </w:pPr>
      <w:r>
        <w:rPr>
          <w:rFonts w:hint="eastAsia" w:cs="宋体"/>
          <w:bCs/>
          <w:sz w:val="24"/>
        </w:rPr>
        <w:t xml:space="preserve">3.商务条款正负偏离表（格式参见附件）。</w:t>
      </w:r>
      <w:r/>
    </w:p>
    <w:p>
      <w:pPr>
        <w:pStyle w:val="836"/>
        <w:ind w:firstLine="482"/>
        <w:spacing w:line="360" w:lineRule="auto"/>
        <w:rPr>
          <w:rFonts w:hint="eastAsia" w:cs="宋体"/>
          <w:b/>
          <w:bCs/>
          <w:sz w:val="24"/>
        </w:rPr>
        <w:outlineLvl w:val="1"/>
      </w:pPr>
      <w:r>
        <w:rPr>
          <w:rFonts w:hint="eastAsia" w:cs="宋体"/>
          <w:b/>
          <w:bCs/>
          <w:sz w:val="24"/>
        </w:rPr>
        <w:t xml:space="preserve">4.采购需求中必须满足的实质性要求：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4.1 投标人拟投本项目所有标注“☆”的为设备技术参数须实质性响应本采购文件技术参数要求，不接受负偏离产品应标。提供《☆技术条款响应正负偏离表》，须根据清单中“☆”的技术参数要求逐条进行应答；未提供或有遗漏或有负偏离均视为未实质性响应，作废标处理。对本项目能够作为技术参数证明材料的文件如：权威机构出具的检测报告、盖有投标人公章的承诺书等。</w:t>
      </w:r>
      <w:r/>
    </w:p>
    <w:p>
      <w:pPr>
        <w:pStyle w:val="836"/>
        <w:contextualSpacing/>
        <w:ind w:firstLine="482"/>
        <w:jc w:val="left"/>
        <w:spacing w:line="360" w:lineRule="auto"/>
        <w:rPr>
          <w:rFonts w:hint="eastAsia" w:cs="宋体"/>
          <w:b/>
          <w:bCs/>
          <w:sz w:val="24"/>
        </w:rPr>
      </w:pPr>
      <w:r>
        <w:rPr>
          <w:rFonts w:hint="eastAsia" w:cs="宋体"/>
          <w:b/>
          <w:bCs/>
          <w:sz w:val="24"/>
        </w:rPr>
        <w:t xml:space="preserve">4.2</w:t>
      </w:r>
      <w:r>
        <w:rPr>
          <w:rFonts w:hint="eastAsia" w:cs="宋体"/>
          <w:b/>
          <w:bCs/>
          <w:sz w:val="24"/>
        </w:rPr>
        <w:t xml:space="preserve"> 商务部分实质性要求：</w:t>
      </w:r>
      <w:r/>
    </w:p>
    <w:p>
      <w:pPr>
        <w:pStyle w:val="836"/>
        <w:contextualSpacing/>
        <w:ind w:firstLine="482"/>
        <w:jc w:val="left"/>
        <w:spacing w:line="360" w:lineRule="auto"/>
        <w:rPr>
          <w:rFonts w:hint="eastAsia" w:cs="宋体"/>
          <w:b/>
          <w:bCs/>
          <w:sz w:val="24"/>
        </w:rPr>
      </w:pPr>
      <w:r>
        <w:rPr>
          <w:rFonts w:hint="eastAsia" w:cs="宋体"/>
          <w:b/>
          <w:bCs/>
          <w:sz w:val="24"/>
        </w:rPr>
        <w:t xml:space="preserve">各供应商应在投标文件中承诺：</w:t>
      </w:r>
      <w:r/>
    </w:p>
    <w:p>
      <w:pPr>
        <w:pStyle w:val="836"/>
        <w:contextualSpacing/>
        <w:ind w:firstLine="482"/>
        <w:jc w:val="left"/>
        <w:spacing w:line="360" w:lineRule="auto"/>
        <w:rPr>
          <w:rFonts w:hint="eastAsia" w:cs="宋体"/>
          <w:b/>
          <w:bCs/>
          <w:sz w:val="24"/>
        </w:rPr>
      </w:pPr>
      <w:r>
        <w:rPr>
          <w:rFonts w:hint="eastAsia" w:cs="宋体"/>
          <w:b/>
          <w:bCs/>
          <w:sz w:val="24"/>
        </w:rPr>
        <w:t xml:space="preserve">（1）投标产品中软件部分终身免费升级维护。</w:t>
      </w:r>
      <w:r/>
    </w:p>
    <w:p>
      <w:pPr>
        <w:pStyle w:val="836"/>
        <w:contextualSpacing/>
        <w:ind w:firstLine="482"/>
        <w:jc w:val="left"/>
        <w:spacing w:line="360" w:lineRule="auto"/>
        <w:rPr>
          <w:rFonts w:hint="eastAsia" w:cs="宋体"/>
          <w:b/>
          <w:bCs/>
          <w:sz w:val="24"/>
        </w:rPr>
      </w:pPr>
      <w:r>
        <w:rPr>
          <w:rFonts w:hint="eastAsia" w:cs="宋体"/>
          <w:b/>
          <w:bCs/>
          <w:sz w:val="24"/>
        </w:rPr>
        <w:t xml:space="preserve">（2）全部硬件设备质保期五年，产品符合国家或行业标准相关要求。</w:t>
      </w:r>
      <w:r/>
    </w:p>
    <w:p>
      <w:pPr>
        <w:pStyle w:val="836"/>
        <w:contextualSpacing/>
        <w:ind w:firstLine="482"/>
        <w:spacing w:line="360" w:lineRule="auto"/>
        <w:rPr>
          <w:rFonts w:hint="eastAsia" w:cs="宋体"/>
          <w:bCs/>
          <w:sz w:val="24"/>
        </w:rPr>
      </w:pPr>
      <w:r>
        <w:rPr>
          <w:rFonts w:hint="eastAsia" w:cs="宋体"/>
          <w:b/>
          <w:bCs/>
          <w:sz w:val="24"/>
        </w:rPr>
        <w:t xml:space="preserve">时间从项目验收通过、采购单位接受并签字认可之日算起。证明材料为承诺书（格式自拟），未提供或承诺不符合以上两点要求作无效投标处理。</w:t>
      </w:r>
      <w:r>
        <w:rPr>
          <w:rFonts w:hint="eastAsia" w:cs="宋体"/>
          <w:bCs/>
          <w:sz w:val="24"/>
        </w:rPr>
      </w:r>
      <w:r/>
    </w:p>
    <w:p>
      <w:pPr>
        <w:pStyle w:val="836"/>
        <w:contextualSpacing/>
        <w:ind w:firstLine="480"/>
        <w:spacing w:line="360" w:lineRule="auto"/>
        <w:rPr>
          <w:rFonts w:hint="eastAsia" w:cs="宋体"/>
          <w:bCs/>
          <w:sz w:val="24"/>
        </w:rPr>
      </w:pPr>
      <w:r>
        <w:rPr>
          <w:rFonts w:hint="eastAsia" w:cs="宋体"/>
          <w:bCs/>
          <w:sz w:val="24"/>
        </w:rPr>
        <w:t xml:space="preserve">5.已标价工程量清单，包括：投标总价封面、投标总价扉页、工程里清单计算规则说明、工程项目汇总表、单项工程汇总表、单位工程汇总表、分部分项工程项目清单计价表、分部分项工程项目清单综合单价分析表、措施项目清单计价表、其他项目清单计价表、暂列金额明细表、增值税计价表、承包人供应材料一览表等。</w:t>
      </w:r>
      <w:r>
        <w:rPr>
          <w:rFonts w:hint="eastAsia" w:cs="宋体"/>
          <w:b/>
          <w:sz w:val="24"/>
          <w:u w:val="single"/>
        </w:rPr>
        <w:t xml:space="preserve">（应使用造价软件编制并上传。）</w:t>
      </w:r>
      <w:r>
        <w:rPr>
          <w:rFonts w:hint="eastAsia" w:cs="宋体"/>
          <w:bCs/>
          <w:sz w:val="24"/>
        </w:rPr>
      </w:r>
      <w:r/>
    </w:p>
    <w:p>
      <w:pPr>
        <w:pStyle w:val="836"/>
        <w:contextualSpacing/>
        <w:ind w:firstLine="480"/>
        <w:spacing w:line="360" w:lineRule="auto"/>
        <w:rPr>
          <w:rFonts w:cs="宋体"/>
          <w:bCs/>
          <w:sz w:val="24"/>
        </w:rPr>
      </w:pPr>
      <w:r>
        <w:rPr>
          <w:rFonts w:hint="eastAsia" w:cs="宋体"/>
          <w:bCs/>
          <w:sz w:val="24"/>
        </w:rPr>
        <w:t xml:space="preserve">6.投标人认为需要提交的其他资料。</w:t>
      </w:r>
      <w:r>
        <w:rPr>
          <w:rFonts w:cs="宋体"/>
          <w:bCs/>
          <w:sz w:val="24"/>
        </w:rPr>
      </w:r>
      <w:r/>
    </w:p>
    <w:p>
      <w:pPr>
        <w:pStyle w:val="836"/>
        <w:contextualSpacing/>
        <w:ind w:firstLine="482"/>
        <w:spacing w:line="360" w:lineRule="auto"/>
        <w:rPr>
          <w:rFonts w:cs="宋体"/>
          <w:b/>
          <w:bCs/>
          <w:sz w:val="24"/>
        </w:rPr>
      </w:pPr>
      <w:r>
        <w:rPr>
          <w:rFonts w:hint="eastAsia" w:cs="宋体"/>
          <w:b/>
          <w:bCs/>
          <w:sz w:val="24"/>
        </w:rPr>
        <w:t xml:space="preserve">四、商务技术标文件</w:t>
      </w:r>
      <w:r>
        <w:rPr>
          <w:rFonts w:cs="宋体"/>
          <w:b/>
          <w:bCs/>
          <w:sz w:val="24"/>
        </w:rPr>
      </w:r>
      <w:r/>
    </w:p>
    <w:p>
      <w:pPr>
        <w:pStyle w:val="836"/>
        <w:contextualSpacing/>
        <w:ind w:firstLine="480"/>
        <w:spacing w:line="360" w:lineRule="auto"/>
        <w:rPr>
          <w:rFonts w:cs="宋体"/>
          <w:bCs/>
          <w:sz w:val="24"/>
        </w:rPr>
      </w:pPr>
      <w:r>
        <w:rPr>
          <w:rFonts w:hint="eastAsia" w:cs="宋体"/>
          <w:bCs/>
          <w:sz w:val="24"/>
        </w:rPr>
        <w:t xml:space="preserve">1.评标办法中所涉及的事项需提供的所有资料。</w:t>
      </w:r>
      <w:r>
        <w:rPr>
          <w:rFonts w:cs="宋体"/>
          <w:bCs/>
          <w:sz w:val="24"/>
        </w:rPr>
      </w:r>
      <w:r/>
    </w:p>
    <w:p>
      <w:pPr>
        <w:pStyle w:val="836"/>
        <w:contextualSpacing/>
        <w:ind w:firstLine="480"/>
        <w:spacing w:line="360" w:lineRule="auto"/>
        <w:rPr>
          <w:rFonts w:cs="宋体"/>
          <w:bCs/>
          <w:sz w:val="24"/>
        </w:rPr>
      </w:pPr>
      <w:r>
        <w:rPr>
          <w:rFonts w:hint="eastAsia" w:cs="宋体"/>
          <w:bCs/>
          <w:sz w:val="24"/>
        </w:rPr>
        <w:t xml:space="preserve">2.项目需求中涉及需要投标人提交的材料。</w:t>
      </w:r>
      <w:r>
        <w:rPr>
          <w:rFonts w:cs="宋体"/>
          <w:bCs/>
          <w:sz w:val="24"/>
        </w:rPr>
      </w:r>
      <w:r/>
    </w:p>
    <w:p>
      <w:pPr>
        <w:pStyle w:val="836"/>
        <w:contextualSpacing/>
        <w:ind w:firstLine="480"/>
        <w:spacing w:line="360" w:lineRule="auto"/>
        <w:rPr>
          <w:rFonts w:hint="eastAsia" w:cs="宋体"/>
          <w:bCs/>
          <w:sz w:val="24"/>
        </w:rPr>
      </w:pPr>
      <w:r>
        <w:rPr>
          <w:rFonts w:hint="eastAsia" w:cs="宋体"/>
          <w:bCs/>
          <w:sz w:val="24"/>
        </w:rPr>
        <w:t xml:space="preserve">3.技术条款响应正负偏离表（格式参见附件）。</w:t>
      </w:r>
      <w:r/>
    </w:p>
    <w:p>
      <w:pPr>
        <w:pStyle w:val="836"/>
        <w:contextualSpacing/>
        <w:ind w:firstLine="480"/>
        <w:spacing w:line="360" w:lineRule="auto"/>
        <w:rPr>
          <w:rFonts w:cs="宋体"/>
          <w:bCs/>
          <w:sz w:val="24"/>
        </w:rPr>
      </w:pPr>
      <w:r>
        <w:rPr>
          <w:rFonts w:hint="eastAsia" w:cs="宋体"/>
          <w:bCs/>
          <w:sz w:val="24"/>
        </w:rPr>
        <w:t xml:space="preserve">4.招标文件中未涉及的事项，投标人认为需要提交的其他资料。</w:t>
      </w:r>
      <w:r>
        <w:rPr>
          <w:rFonts w:cs="宋体"/>
          <w:bCs/>
          <w:sz w:val="24"/>
        </w:rPr>
      </w:r>
      <w:r/>
    </w:p>
    <w:p>
      <w:pPr>
        <w:pStyle w:val="836"/>
        <w:contextualSpacing/>
        <w:ind w:firstLine="480"/>
        <w:jc w:val="left"/>
        <w:spacing w:line="360" w:lineRule="auto"/>
        <w:rPr>
          <w:rFonts w:hint="eastAsia" w:cs="宋体"/>
          <w:bCs/>
          <w:sz w:val="24"/>
        </w:rPr>
      </w:pPr>
      <w:r>
        <w:rPr>
          <w:rFonts w:hint="eastAsia" w:cs="宋体"/>
          <w:bCs/>
          <w:sz w:val="24"/>
        </w:rPr>
        <w:t xml:space="preserve">注：为方便评委评审，请投标人按评标办法中所涉及的事项顺序进行编制，可以补充相关材料。</w:t>
      </w:r>
      <w:r/>
    </w:p>
    <w:p>
      <w:pPr>
        <w:pStyle w:val="836"/>
        <w:contextualSpacing/>
        <w:ind w:firstLine="482"/>
        <w:spacing w:line="360" w:lineRule="auto"/>
        <w:rPr>
          <w:rFonts w:hint="eastAsia" w:cs="宋体"/>
          <w:b/>
          <w:bCs/>
          <w:sz w:val="24"/>
        </w:rPr>
      </w:pPr>
      <w:r>
        <w:rPr>
          <w:rFonts w:hint="eastAsia" w:cs="宋体"/>
          <w:b/>
          <w:bCs/>
          <w:sz w:val="24"/>
        </w:rPr>
        <w:t xml:space="preserve">五、价格折扣文件格式</w:t>
      </w:r>
      <w:r/>
    </w:p>
    <w:p>
      <w:pPr>
        <w:pStyle w:val="836"/>
        <w:contextualSpacing/>
        <w:ind w:firstLine="480"/>
        <w:spacing w:line="360" w:lineRule="auto"/>
        <w:rPr>
          <w:rFonts w:cs="宋体"/>
          <w:bCs/>
          <w:sz w:val="24"/>
        </w:rPr>
      </w:pPr>
      <w:r>
        <w:rPr>
          <w:rFonts w:hint="eastAsia" w:cs="宋体"/>
          <w:bCs/>
          <w:sz w:val="24"/>
        </w:rPr>
        <w:t xml:space="preserve">1.关于符合本国产品标准的声明函</w:t>
      </w:r>
      <w:r>
        <w:rPr>
          <w:bCs/>
          <w:sz w:val="24"/>
        </w:rPr>
        <w:t xml:space="preserve">（苏采云系统固定格式）</w:t>
      </w:r>
      <w:r>
        <w:rPr>
          <w:rFonts w:hint="eastAsia" w:cs="宋体"/>
          <w:bCs/>
          <w:sz w:val="24"/>
        </w:rPr>
        <w:t xml:space="preserve">。</w:t>
      </w:r>
      <w:r>
        <w:rPr>
          <w:rFonts w:cs="宋体"/>
          <w:bCs/>
          <w:sz w:val="24"/>
        </w:rPr>
      </w:r>
      <w:r/>
    </w:p>
    <w:p>
      <w:pPr>
        <w:pStyle w:val="836"/>
        <w:contextualSpacing/>
        <w:ind w:firstLine="540"/>
        <w:spacing w:line="400" w:lineRule="exact"/>
        <w:rPr>
          <w:b/>
          <w:sz w:val="28"/>
          <w:szCs w:val="28"/>
          <w:lang w:val="zh-CN"/>
        </w:rPr>
      </w:pPr>
      <w:r>
        <w:rPr>
          <w:b/>
          <w:sz w:val="28"/>
          <w:szCs w:val="28"/>
          <w:lang w:val="zh-CN"/>
        </w:rPr>
      </w:r>
      <w:r/>
    </w:p>
    <w:p>
      <w:pPr>
        <w:pStyle w:val="836"/>
        <w:contextualSpacing/>
        <w:ind w:firstLine="540"/>
        <w:spacing w:line="400" w:lineRule="exact"/>
        <w:rPr>
          <w:b/>
          <w:sz w:val="28"/>
          <w:szCs w:val="28"/>
          <w:lang w:val="zh-CN"/>
        </w:rPr>
      </w:pPr>
      <w:r>
        <w:rPr>
          <w:b/>
          <w:sz w:val="28"/>
          <w:szCs w:val="28"/>
          <w:lang w:val="zh-CN"/>
        </w:rPr>
      </w:r>
      <w:r/>
    </w:p>
    <w:p>
      <w:pPr>
        <w:pStyle w:val="836"/>
        <w:contextualSpacing/>
        <w:ind w:firstLine="540"/>
        <w:spacing w:line="400" w:lineRule="exact"/>
        <w:rPr>
          <w:rFonts w:hint="eastAsia"/>
          <w:b/>
          <w:sz w:val="28"/>
          <w:szCs w:val="28"/>
          <w:lang w:val="zh-CN"/>
        </w:rPr>
      </w:pPr>
      <w:r>
        <w:rPr>
          <w:rFonts w:hint="eastAsia"/>
          <w:b/>
          <w:sz w:val="28"/>
          <w:szCs w:val="28"/>
          <w:lang w:val="zh-CN"/>
        </w:rPr>
      </w:r>
      <w:r/>
    </w:p>
    <w:p>
      <w:pPr>
        <w:pStyle w:val="836"/>
        <w:jc w:val="left"/>
        <w:spacing w:line="360" w:lineRule="auto"/>
        <w:rPr>
          <w:rFonts w:ascii="宋体" w:hAnsi="宋体" w:cs="宋体"/>
          <w:b/>
          <w:sz w:val="30"/>
          <w:szCs w:val="30"/>
        </w:rPr>
        <w:outlineLvl w:val="3"/>
      </w:pPr>
      <w:r>
        <w:rPr>
          <w:rFonts w:eastAsia="方正黑体_GBK"/>
          <w:sz w:val="32"/>
          <w:szCs w:val="32"/>
          <w:lang w:val="zh-CN"/>
        </w:rPr>
        <w:br w:type="page" w:clear="all"/>
      </w:r>
      <w:r>
        <w:rPr>
          <w:rFonts w:ascii="宋体" w:hAnsi="宋体" w:cs="宋体"/>
          <w:b/>
          <w:sz w:val="30"/>
          <w:szCs w:val="30"/>
          <w:lang w:val="zh-CN"/>
        </w:rPr>
        <w:t xml:space="preserve">附件</w:t>
      </w:r>
      <w:r>
        <w:rPr>
          <w:rFonts w:ascii="宋体" w:hAnsi="宋体" w:cs="宋体"/>
          <w:b/>
          <w:sz w:val="30"/>
          <w:szCs w:val="30"/>
        </w:rPr>
        <w:t xml:space="preserve">1</w:t>
      </w:r>
      <w:r>
        <w:rPr>
          <w:rFonts w:hint="eastAsia" w:ascii="宋体" w:hAnsi="宋体" w:cs="宋体"/>
          <w:b/>
          <w:sz w:val="30"/>
          <w:szCs w:val="30"/>
        </w:rPr>
        <w:t xml:space="preserve">：</w:t>
      </w:r>
      <w:r>
        <w:rPr>
          <w:rFonts w:ascii="宋体" w:hAnsi="宋体" w:cs="宋体"/>
          <w:b/>
          <w:sz w:val="30"/>
          <w:szCs w:val="30"/>
        </w:rPr>
      </w:r>
      <w:r/>
    </w:p>
    <w:p>
      <w:pPr>
        <w:pStyle w:val="836"/>
        <w:jc w:val="center"/>
        <w:spacing w:line="360" w:lineRule="auto"/>
        <w:rPr>
          <w:rFonts w:hint="eastAsia" w:ascii="宋体" w:hAnsi="宋体" w:cs="宋体"/>
          <w:b/>
          <w:bCs/>
          <w:sz w:val="28"/>
          <w:szCs w:val="28"/>
          <w:shd w:val="clear" w:color="auto" w:fill="00b0f0"/>
        </w:rPr>
        <w:outlineLvl w:val="3"/>
      </w:pPr>
      <w:r>
        <w:rPr>
          <w:rFonts w:hint="eastAsia" w:ascii="宋体" w:hAnsi="宋体" w:cs="宋体"/>
          <w:b/>
          <w:bCs/>
          <w:sz w:val="30"/>
          <w:szCs w:val="30"/>
        </w:rPr>
        <w:t xml:space="preserve">分项报价明细表</w:t>
      </w:r>
      <w:r>
        <w:rPr>
          <w:rFonts w:hint="eastAsia" w:ascii="宋体" w:hAnsi="宋体" w:cs="宋体"/>
          <w:b/>
          <w:bCs/>
          <w:sz w:val="28"/>
          <w:szCs w:val="28"/>
          <w:shd w:val="clear" w:color="auto" w:fill="00b0f0"/>
        </w:rPr>
      </w:r>
      <w:r/>
    </w:p>
    <w:p>
      <w:pPr>
        <w:pStyle w:val="836"/>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u w:val="single"/>
        </w:rPr>
      </w:r>
      <w:r/>
    </w:p>
    <w:p>
      <w:pPr>
        <w:pStyle w:val="836"/>
        <w:rPr>
          <w:rFonts w:hint="eastAsia" w:ascii="宋体" w:hAnsi="宋体" w:cs="宋体"/>
          <w:b/>
          <w:bCs/>
          <w:sz w:val="28"/>
          <w:szCs w:val="28"/>
          <w:shd w:val="clear" w:color="auto" w:fill="00b0f0"/>
          <w:lang w:val="zh-CN"/>
        </w:rPr>
      </w:pPr>
      <w:r>
        <w:rPr>
          <w:rFonts w:hint="eastAsia" w:ascii="宋体" w:hAnsi="宋体" w:cs="宋体"/>
          <w:sz w:val="24"/>
        </w:rPr>
        <w:t xml:space="preserve">项目编号：</w:t>
      </w:r>
      <w:r>
        <w:rPr>
          <w:rFonts w:hint="eastAsia" w:ascii="宋体" w:hAnsi="宋体" w:cs="宋体"/>
          <w:b/>
          <w:bCs/>
          <w:sz w:val="28"/>
          <w:szCs w:val="28"/>
          <w:shd w:val="clear" w:color="auto" w:fill="00b0f0"/>
          <w:lang w:val="zh-CN"/>
        </w:rPr>
      </w:r>
      <w:r/>
    </w:p>
    <w:tbl>
      <w:tblPr>
        <w:tblW w:w="548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148"/>
        <w:gridCol w:w="1813"/>
        <w:gridCol w:w="1049"/>
        <w:gridCol w:w="1049"/>
        <w:gridCol w:w="765"/>
        <w:gridCol w:w="765"/>
        <w:gridCol w:w="765"/>
        <w:gridCol w:w="765"/>
        <w:gridCol w:w="765"/>
      </w:tblGrid>
      <w:tr>
        <w:trPr>
          <w:trHeight w:val="441"/>
          <w:tblHeader/>
        </w:trPr>
        <w:tc>
          <w:tcPr>
            <w:shd w:val="clear" w:color="auto" w:fill="d9d9d9"/>
            <w:tcW w:w="46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序号</w:t>
            </w:r>
            <w:r/>
          </w:p>
        </w:tc>
        <w:tc>
          <w:tcPr>
            <w:shd w:val="clear" w:color="auto" w:fill="d9d9d9"/>
            <w:tcW w:w="1148"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类型</w:t>
            </w:r>
            <w:r/>
          </w:p>
        </w:tc>
        <w:tc>
          <w:tcPr>
            <w:shd w:val="clear" w:color="auto" w:fill="d9d9d9"/>
            <w:tcW w:w="1813" w:type="dxa"/>
            <w:vAlign w:val="center"/>
            <w:textDirection w:val="lrTb"/>
            <w:noWrap w:val="false"/>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名称</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规格型号</w:t>
            </w:r>
            <w:r/>
          </w:p>
        </w:tc>
        <w:tc>
          <w:tcPr>
            <w:shd w:val="clear" w:color="auto" w:fill="d9d9d9"/>
            <w:tcW w:w="1049"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品牌</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数量</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单位</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单价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合价</w:t>
            </w:r>
            <w:r/>
          </w:p>
          <w:p>
            <w:pPr>
              <w:pStyle w:val="836"/>
              <w:jc w:val="center"/>
              <w:rPr>
                <w:rFonts w:hint="eastAsia" w:ascii="宋体" w:hAnsi="宋体" w:cs="宋体"/>
                <w:b/>
                <w:bCs/>
                <w:szCs w:val="21"/>
                <w:lang w:bidi="ar"/>
              </w:rPr>
            </w:pPr>
            <w:r>
              <w:rPr>
                <w:rFonts w:hint="eastAsia" w:ascii="宋体" w:hAnsi="宋体" w:cs="宋体"/>
                <w:b/>
                <w:bCs/>
                <w:szCs w:val="21"/>
                <w:lang w:bidi="ar"/>
              </w:rPr>
              <w:t xml:space="preserve">（元）</w:t>
            </w:r>
            <w:r/>
          </w:p>
        </w:tc>
        <w:tc>
          <w:tcPr>
            <w:shd w:val="clear" w:color="auto" w:fill="d9d9d9"/>
            <w:tcW w:w="765" w:type="dxa"/>
            <w:vAlign w:val="center"/>
            <w:textDirection w:val="lrTb"/>
            <w:noWrap/>
          </w:tcPr>
          <w:p>
            <w:pPr>
              <w:pStyle w:val="836"/>
              <w:jc w:val="center"/>
              <w:rPr>
                <w:rFonts w:hint="eastAsia" w:ascii="宋体" w:hAnsi="宋体" w:cs="宋体"/>
                <w:b/>
                <w:bCs/>
                <w:szCs w:val="21"/>
                <w:lang w:bidi="ar"/>
              </w:rPr>
            </w:pPr>
            <w:r>
              <w:rPr>
                <w:rFonts w:hint="eastAsia" w:ascii="宋体" w:hAnsi="宋体" w:cs="宋体"/>
                <w:b/>
                <w:bCs/>
                <w:szCs w:val="21"/>
                <w:lang w:bidi="ar"/>
              </w:rPr>
              <w:t xml:space="preserve">备注</w:t>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教学设备及管控系统</w:t>
            </w: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教师数据管控终端</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8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2</w:t>
            </w:r>
            <w:r/>
          </w:p>
        </w:tc>
        <w:tc>
          <w:tcPr>
            <w:tcW w:w="1148" w:type="dxa"/>
            <w:vAlign w:val="center"/>
            <w:vMerge w:val="continue"/>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教学管理软件（含教师端和客户端）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lang w:bidi="ar"/>
              </w:rPr>
              <w:t xml:space="preserve">专用教师操作台</w:t>
            </w: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学生实训专用终端</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48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5</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学生实训桌椅</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8</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495"/>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MR一体机</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9</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7</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lang w:bidi="ar"/>
              </w:rPr>
            </w:pPr>
            <w:r>
              <w:rPr>
                <w:rFonts w:hint="eastAsia" w:ascii="宋体" w:hAnsi="宋体" w:cs="宋体"/>
                <w:szCs w:val="21"/>
                <w:lang w:bidi="ar"/>
              </w:rPr>
              <w:t xml:space="preserve">投影仪及幕布</w:t>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1049" w:type="dxa"/>
            <w:vAlign w:val="center"/>
            <w:textDirection w:val="lrTb"/>
            <w:noWrap/>
          </w:tcPr>
          <w:p>
            <w:pPr>
              <w:pStyle w:val="836"/>
              <w:jc w:val="left"/>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套</w:t>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cantSplit/>
          <w:trHeight w:val="60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8</w:t>
            </w:r>
            <w:r/>
          </w:p>
        </w:tc>
        <w:tc>
          <w:tcPr>
            <w:tcW w:w="1148" w:type="dxa"/>
            <w:vAlign w:val="center"/>
            <w:vMerge w:val="restart"/>
            <w:textDirection w:val="lrTb"/>
            <w:noWrap w:val="false"/>
          </w:tcPr>
          <w:p>
            <w:pPr>
              <w:pStyle w:val="836"/>
              <w:jc w:val="center"/>
              <w:rPr>
                <w:rFonts w:hint="eastAsia" w:ascii="宋体" w:hAnsi="宋体" w:cs="宋体"/>
                <w:szCs w:val="21"/>
              </w:rPr>
            </w:pPr>
            <w:r>
              <w:rPr>
                <w:rFonts w:hint="eastAsia" w:ascii="宋体" w:hAnsi="宋体" w:cs="宋体"/>
                <w:szCs w:val="21"/>
              </w:rPr>
              <w:t xml:space="preserve">云端共享课程平台及虚拟仿真实训课程</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云端共享课程平台</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套</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946"/>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9</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船体焊接MR场景课堂（含焊接系统升级）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636"/>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10</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船体装配MR场景课堂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11</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船舶管系安装与检验MR场景课堂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15"/>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12</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船体精度检验MR场景课堂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9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13</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船舶轴系安装与校中MR场景课堂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22"/>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14</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船舶系泊试验MR场景课堂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449"/>
        </w:trPr>
        <w:tc>
          <w:tcPr>
            <w:tcW w:w="463"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rPr>
              <w:t xml:space="preserve">15</w:t>
            </w:r>
            <w:r>
              <w:rPr>
                <w:rFonts w:hint="eastAsia" w:ascii="宋体" w:hAnsi="宋体" w:cs="宋体"/>
                <w:szCs w:val="21"/>
                <w:lang w:bidi="ar"/>
              </w:rPr>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船体总段合拢MR场景课堂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t xml:space="preserve">1</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t xml:space="preserve">个</w:t>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rPr>
            </w:r>
            <w:r/>
          </w:p>
        </w:tc>
      </w:tr>
      <w:tr>
        <w:trPr>
          <w:cantSplit/>
          <w:trHeight w:val="54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16</w:t>
            </w:r>
            <w:r/>
          </w:p>
        </w:tc>
        <w:tc>
          <w:tcPr>
            <w:tcW w:w="1148" w:type="dxa"/>
            <w:vAlign w:val="center"/>
            <w:vMerge w:val="continue"/>
            <w:textDirection w:val="lrTb"/>
            <w:noWrap w:val="false"/>
          </w:tcPr>
          <w:p>
            <w:pPr>
              <w:pStyle w:val="836"/>
              <w:jc w:val="center"/>
              <w:rPr>
                <w:rFonts w:hint="eastAsia" w:ascii="宋体" w:hAnsi="宋体" w:cs="宋体"/>
                <w:szCs w:val="21"/>
              </w:rPr>
            </w:pPr>
            <w:r>
              <w:rPr>
                <w:rFonts w:hint="eastAsia" w:ascii="宋体" w:hAnsi="宋体" w:cs="宋体"/>
                <w:szCs w:val="21"/>
              </w:rPr>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船舶下水作业MR场景课堂</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563"/>
        </w:trPr>
        <w:tc>
          <w:tcPr>
            <w:tcW w:w="463"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17</w:t>
            </w:r>
            <w:r/>
          </w:p>
        </w:tc>
        <w:tc>
          <w:tcPr>
            <w:tcW w:w="1148" w:type="dxa"/>
            <w:vAlign w:val="center"/>
            <w:textDirection w:val="lrTb"/>
            <w:noWrap w:val="false"/>
          </w:tcPr>
          <w:p>
            <w:pPr>
              <w:pStyle w:val="836"/>
              <w:jc w:val="center"/>
              <w:rPr>
                <w:rFonts w:hint="eastAsia" w:ascii="宋体" w:hAnsi="宋体" w:cs="宋体"/>
                <w:szCs w:val="21"/>
                <w:lang w:bidi="ar"/>
              </w:rPr>
            </w:pPr>
            <w:r>
              <w:rPr>
                <w:rFonts w:hint="eastAsia" w:ascii="宋体" w:hAnsi="宋体" w:cs="宋体"/>
                <w:szCs w:val="21"/>
                <w:lang w:bidi="ar"/>
              </w:rPr>
              <w:t xml:space="preserve">实训室环境建设</w:t>
            </w:r>
            <w:r/>
          </w:p>
        </w:tc>
        <w:tc>
          <w:tcPr>
            <w:tcW w:w="1813" w:type="dxa"/>
            <w:vAlign w:val="center"/>
            <w:textDirection w:val="lrTb"/>
            <w:noWrap w:val="false"/>
          </w:tcPr>
          <w:p>
            <w:pPr>
              <w:pStyle w:val="836"/>
              <w:jc w:val="left"/>
              <w:rPr>
                <w:rFonts w:hint="eastAsia" w:ascii="宋体" w:hAnsi="宋体" w:cs="宋体"/>
                <w:szCs w:val="21"/>
              </w:rPr>
            </w:pPr>
            <w:r>
              <w:rPr>
                <w:rFonts w:hint="eastAsia" w:ascii="宋体" w:hAnsi="宋体" w:cs="宋体"/>
                <w:szCs w:val="21"/>
              </w:rPr>
              <w:t xml:space="preserve">实训室地板铺设及环境升级</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r>
        <w:trPr>
          <w:trHeight w:val="639"/>
        </w:trPr>
        <w:tc>
          <w:tcPr>
            <w:tcW w:w="463" w:type="dxa"/>
            <w:vAlign w:val="center"/>
            <w:textDirection w:val="lrTb"/>
            <w:noWrap w:val="false"/>
          </w:tcPr>
          <w:p>
            <w:pPr>
              <w:pStyle w:val="836"/>
              <w:jc w:val="center"/>
              <w:rPr>
                <w:rFonts w:ascii="宋体" w:hAnsi="宋体" w:cs="宋体"/>
                <w:szCs w:val="21"/>
              </w:rPr>
            </w:pPr>
            <w:r>
              <w:rPr>
                <w:rFonts w:hint="eastAsia" w:ascii="宋体" w:hAnsi="宋体" w:cs="宋体"/>
                <w:szCs w:val="21"/>
              </w:rPr>
              <w:t xml:space="preserve">18</w:t>
            </w:r>
            <w:r>
              <w:rPr>
                <w:rFonts w:ascii="宋体" w:hAnsi="宋体" w:cs="宋体"/>
                <w:szCs w:val="21"/>
              </w:rPr>
            </w:r>
            <w:r/>
          </w:p>
        </w:tc>
        <w:tc>
          <w:tcPr>
            <w:gridSpan w:val="2"/>
            <w:tcW w:w="2961" w:type="dxa"/>
            <w:vAlign w:val="center"/>
            <w:textDirection w:val="lrTb"/>
            <w:noWrap w:val="false"/>
          </w:tcPr>
          <w:p>
            <w:pPr>
              <w:pStyle w:val="836"/>
              <w:jc w:val="center"/>
              <w:rPr>
                <w:rFonts w:hint="eastAsia" w:ascii="宋体" w:hAnsi="宋体" w:cs="宋体"/>
                <w:szCs w:val="21"/>
              </w:rPr>
            </w:pPr>
            <w:r>
              <w:rPr>
                <w:rFonts w:hint="eastAsia" w:ascii="宋体" w:hAnsi="宋体" w:cs="宋体"/>
                <w:szCs w:val="21"/>
              </w:rPr>
              <w:t xml:space="preserve">合计</w:t>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1049" w:type="dxa"/>
            <w:vAlign w:val="center"/>
            <w:textDirection w:val="lrTb"/>
            <w:noWrap/>
          </w:tcPr>
          <w:p>
            <w:pPr>
              <w:pStyle w:val="836"/>
              <w:jc w:val="left"/>
              <w:rPr>
                <w:rFonts w:hint="eastAsia" w:ascii="宋体" w:hAnsi="宋体" w:cs="宋体"/>
                <w:szCs w:val="21"/>
              </w:rPr>
            </w:pPr>
            <w:r>
              <w:rPr>
                <w:rFonts w:hint="eastAsia" w:ascii="宋体" w:hAnsi="宋体" w:cs="宋体"/>
                <w:szCs w:val="21"/>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c>
          <w:tcPr>
            <w:tcW w:w="765" w:type="dxa"/>
            <w:vAlign w:val="center"/>
            <w:textDirection w:val="lrTb"/>
            <w:noWrap/>
          </w:tcPr>
          <w:p>
            <w:pPr>
              <w:pStyle w:val="836"/>
              <w:jc w:val="center"/>
              <w:rPr>
                <w:rFonts w:hint="eastAsia" w:ascii="宋体" w:hAnsi="宋体" w:cs="宋体"/>
                <w:szCs w:val="21"/>
                <w:lang w:bidi="ar"/>
              </w:rPr>
            </w:pPr>
            <w:r>
              <w:rPr>
                <w:rFonts w:hint="eastAsia" w:ascii="宋体" w:hAnsi="宋体" w:cs="宋体"/>
                <w:szCs w:val="21"/>
                <w:lang w:bidi="ar"/>
              </w:rPr>
            </w:r>
            <w:r/>
          </w:p>
        </w:tc>
      </w:tr>
    </w:tbl>
    <w:p>
      <w:pPr>
        <w:pStyle w:val="836"/>
        <w:rPr>
          <w:rFonts w:hint="eastAsia" w:ascii="宋体" w:hAnsi="宋体" w:cs="宋体"/>
          <w:b/>
          <w:sz w:val="24"/>
          <w:lang w:val="zh-CN"/>
        </w:rPr>
      </w:pPr>
      <w:r>
        <w:rPr>
          <w:rFonts w:hint="eastAsia" w:ascii="宋体" w:hAnsi="宋体" w:cs="宋体"/>
          <w:b/>
          <w:sz w:val="24"/>
          <w:lang w:val="zh-CN"/>
        </w:rPr>
      </w:r>
      <w:r/>
    </w:p>
    <w:p>
      <w:pPr>
        <w:pStyle w:val="836"/>
        <w:rPr>
          <w:rFonts w:hint="eastAsia" w:ascii="宋体" w:hAnsi="宋体" w:cs="宋体"/>
          <w:b/>
          <w:sz w:val="24"/>
          <w:lang w:val="zh-CN"/>
        </w:rPr>
      </w:pPr>
      <w:r>
        <w:rPr>
          <w:rFonts w:hint="eastAsia" w:ascii="宋体" w:hAnsi="宋体" w:cs="宋体"/>
          <w:b/>
          <w:sz w:val="24"/>
          <w:lang w:val="zh-CN"/>
        </w:rPr>
        <w:t xml:space="preserve">注：投标人必须详细报出采购清单中各个子项的名称、品牌、规格型号、数量、单价。本表各分项报价合计应当与投标报价总表报价合计相等。请各供应商务必按照以上要求填报，否则作为无效投标处理。</w:t>
      </w:r>
      <w:r/>
    </w:p>
    <w:p>
      <w:pPr>
        <w:pStyle w:val="836"/>
        <w:rPr>
          <w:rFonts w:hint="eastAsia" w:ascii="宋体" w:hAnsi="宋体" w:cs="宋体"/>
          <w:bCs/>
          <w:sz w:val="24"/>
        </w:rPr>
      </w:pPr>
      <w:r>
        <w:rPr>
          <w:rFonts w:hint="eastAsia" w:ascii="宋体" w:hAnsi="宋体" w:cs="宋体"/>
          <w:bCs/>
          <w:sz w:val="24"/>
        </w:rPr>
        <w:t xml:space="preserve">投标人（加盖CA电子签章）： </w:t>
      </w:r>
      <w:r/>
    </w:p>
    <w:p>
      <w:pPr>
        <w:pStyle w:val="836"/>
        <w:rPr>
          <w:rFonts w:hint="eastAsia" w:ascii="宋体" w:hAnsi="宋体" w:cs="宋体"/>
          <w:bCs/>
          <w:sz w:val="24"/>
        </w:rPr>
      </w:pPr>
      <w:r>
        <w:rPr>
          <w:rFonts w:hint="eastAsia" w:ascii="宋体" w:hAnsi="宋体" w:cs="宋体"/>
          <w:bCs/>
          <w:sz w:val="24"/>
        </w:rPr>
        <w:t xml:space="preserve">法定代表人或被授权人（签字或加盖CA电子签章）： </w:t>
      </w:r>
      <w:r/>
    </w:p>
    <w:p>
      <w:pPr>
        <w:pStyle w:val="836"/>
        <w:rPr>
          <w:rFonts w:hint="eastAsia" w:ascii="宋体" w:hAnsi="宋体" w:cs="宋体"/>
          <w:bCs/>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bCs/>
          <w:sz w:val="24"/>
        </w:rPr>
      </w:r>
      <w:r/>
    </w:p>
    <w:p>
      <w:pPr>
        <w:pStyle w:val="836"/>
        <w:spacing w:line="360" w:lineRule="auto"/>
        <w:rPr>
          <w:rFonts w:hint="eastAsia" w:ascii="宋体" w:hAnsi="宋体" w:cs="宋体"/>
          <w:bCs/>
          <w:sz w:val="24"/>
        </w:rPr>
      </w:pPr>
      <w:r>
        <w:rPr>
          <w:rFonts w:hint="eastAsia" w:ascii="宋体" w:hAnsi="宋体" w:cs="宋体"/>
          <w:bCs/>
          <w:sz w:val="24"/>
        </w:rPr>
        <w:t xml:space="preserve">注：①如果按单价计算的结果与总价不一致，以单价为准，修正总价。</w:t>
      </w:r>
      <w:r/>
    </w:p>
    <w:p>
      <w:pPr>
        <w:pStyle w:val="836"/>
        <w:jc w:val="center"/>
        <w:spacing w:before="240" w:line="312" w:lineRule="auto"/>
        <w:rPr>
          <w:rFonts w:hint="eastAsia" w:ascii="宋体" w:hAnsi="宋体" w:cs="宋体"/>
          <w:b/>
          <w:bCs/>
          <w:sz w:val="30"/>
          <w:szCs w:val="30"/>
        </w:rPr>
      </w:pPr>
      <w:r>
        <w:rPr>
          <w:rFonts w:hint="eastAsia" w:ascii="宋体" w:hAnsi="宋体" w:cs="宋体"/>
          <w:bCs/>
          <w:sz w:val="24"/>
        </w:rPr>
        <w:t xml:space="preserve">②如果不提供详细分项报价将视为未实质性响应招标文件。</w:t>
      </w:r>
      <w:r>
        <w:rPr>
          <w:rFonts w:hint="eastAsia" w:ascii="宋体" w:hAnsi="宋体" w:cs="宋体"/>
          <w:sz w:val="32"/>
          <w:szCs w:val="32"/>
          <w:lang w:val="zh-CN"/>
        </w:rPr>
        <w:br w:type="page" w:clear="all"/>
      </w:r>
      <w:r>
        <w:rPr>
          <w:rFonts w:hint="eastAsia" w:ascii="宋体" w:hAnsi="宋体" w:cs="宋体"/>
          <w:b/>
          <w:bCs/>
          <w:sz w:val="30"/>
          <w:szCs w:val="30"/>
        </w:rPr>
        <w:t xml:space="preserve">实训室环境建设</w:t>
      </w:r>
      <w:r/>
    </w:p>
    <w:p>
      <w:pPr>
        <w:pStyle w:val="836"/>
        <w:jc w:val="center"/>
        <w:spacing w:before="240" w:line="312" w:lineRule="auto"/>
        <w:rPr>
          <w:rFonts w:hint="eastAsia" w:ascii="宋体" w:hAnsi="宋体" w:cs="宋体"/>
          <w:b/>
          <w:bCs/>
          <w:sz w:val="24"/>
          <w:u w:val="single"/>
          <w:lang w:val="zh-CN"/>
        </w:rPr>
      </w:pPr>
      <w:r>
        <w:rPr>
          <w:rFonts w:hint="eastAsia" w:ascii="宋体" w:hAnsi="宋体" w:cs="宋体"/>
          <w:b/>
          <w:bCs/>
          <w:sz w:val="24"/>
          <w:u w:val="single"/>
        </w:rPr>
        <w:t xml:space="preserve">（最高限价：9.341405万元）</w:t>
      </w:r>
      <w:r>
        <w:rPr>
          <w:rFonts w:hint="eastAsia" w:ascii="宋体" w:hAnsi="宋体" w:cs="宋体"/>
          <w:b/>
          <w:bCs/>
          <w:sz w:val="24"/>
          <w:u w:val="single"/>
          <w:lang w:val="zh-CN"/>
        </w:rPr>
      </w:r>
      <w:r/>
    </w:p>
    <w:p>
      <w:pPr>
        <w:pStyle w:val="836"/>
        <w:ind w:firstLine="480"/>
        <w:jc w:val="left"/>
        <w:spacing w:before="240" w:line="360" w:lineRule="auto"/>
        <w:rPr>
          <w:rFonts w:hint="eastAsia" w:ascii="宋体" w:hAnsi="宋体" w:cs="宋体"/>
          <w:bCs/>
          <w:sz w:val="24"/>
          <w:lang w:val="zh-CN"/>
        </w:rPr>
      </w:pPr>
      <w:r>
        <w:rPr>
          <w:rFonts w:hint="eastAsia" w:ascii="宋体" w:hAnsi="宋体" w:cs="宋体"/>
          <w:bCs/>
          <w:sz w:val="24"/>
        </w:rPr>
        <w:t xml:space="preserve">已标价工程量清单，包括：投标总价封面、投标总价扉页、工程里清单计算规则说明、工程项目汇总表、单项工程汇总表、单位工程汇总表、分部分项工程项目清单计价表、分部分项工程项目清单综合单价分析表、措施项目清单计价表、其他项目清单计价表、暂列金额明细表、增值税计价表、承包人供应材料一览表</w:t>
      </w:r>
      <w:r>
        <w:rPr>
          <w:rFonts w:hint="eastAsia" w:ascii="宋体" w:hAnsi="宋体" w:cs="宋体"/>
          <w:bCs/>
          <w:sz w:val="24"/>
          <w:lang w:val="zh-CN"/>
        </w:rPr>
        <w:t xml:space="preserve">等。</w:t>
      </w:r>
      <w:r/>
    </w:p>
    <w:p>
      <w:pPr>
        <w:pStyle w:val="836"/>
        <w:ind w:firstLine="562"/>
        <w:jc w:val="left"/>
        <w:spacing w:before="240" w:line="360" w:lineRule="auto"/>
        <w:rPr>
          <w:rFonts w:hint="eastAsia" w:ascii="宋体" w:hAnsi="宋体" w:cs="宋体"/>
          <w:b/>
          <w:sz w:val="30"/>
          <w:szCs w:val="30"/>
          <w:lang w:val="zh-CN"/>
        </w:rPr>
      </w:pPr>
      <w:r>
        <w:rPr>
          <w:rFonts w:hint="eastAsia" w:ascii="宋体" w:hAnsi="宋体" w:cs="宋体"/>
          <w:b/>
          <w:sz w:val="28"/>
          <w:szCs w:val="28"/>
          <w:u w:val="single"/>
        </w:rPr>
        <w:t xml:space="preserve">（应使用造价软件编制并上传。）</w:t>
      </w:r>
      <w:r>
        <w:rPr>
          <w:rFonts w:hint="eastAsia" w:ascii="宋体" w:hAnsi="宋体" w:cs="宋体"/>
          <w:bCs/>
          <w:sz w:val="24"/>
          <w:lang w:val="zh-CN"/>
        </w:rPr>
        <w:br w:type="page" w:clear="all"/>
      </w:r>
      <w:r>
        <w:rPr>
          <w:rFonts w:ascii="宋体" w:hAnsi="宋体" w:cs="宋体"/>
          <w:b/>
          <w:sz w:val="30"/>
          <w:szCs w:val="30"/>
          <w:lang w:val="zh-CN"/>
        </w:rPr>
        <w:t xml:space="preserve">附件</w:t>
      </w:r>
      <w:r>
        <w:rPr>
          <w:rFonts w:ascii="宋体" w:hAnsi="宋体" w:cs="宋体"/>
          <w:b/>
          <w:sz w:val="30"/>
          <w:szCs w:val="30"/>
        </w:rPr>
        <w:t xml:space="preserve">2</w:t>
      </w:r>
      <w:r>
        <w:rPr>
          <w:rFonts w:hint="eastAsia" w:ascii="宋体" w:hAnsi="宋体" w:cs="宋体"/>
          <w:b/>
          <w:sz w:val="30"/>
          <w:szCs w:val="30"/>
        </w:rPr>
        <w:t xml:space="preserve">：</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供应商信用承诺书</w:t>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hint="eastAsia" w:ascii="宋体" w:hAnsi="宋体" w:cs="宋体"/>
          <w:sz w:val="24"/>
          <w:lang w:val="zh-CN"/>
        </w:rPr>
      </w:r>
      <w:r/>
    </w:p>
    <w:p>
      <w:pPr>
        <w:pStyle w:val="836"/>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rPr>
          <w:rFonts w:hint="eastAsia" w:ascii="宋体" w:hAnsi="宋体" w:cs="宋体"/>
          <w:sz w:val="24"/>
          <w:lang w:val="zh-CN"/>
        </w:rPr>
      </w:r>
      <w:r/>
    </w:p>
    <w:p>
      <w:pPr>
        <w:pStyle w:val="836"/>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hint="eastAsia" w:ascii="宋体" w:hAnsi="宋体" w:cs="宋体"/>
          <w:b/>
          <w:sz w:val="24"/>
          <w:lang w:val="zh-CN"/>
        </w:rPr>
      </w:r>
      <w:r/>
    </w:p>
    <w:p>
      <w:pPr>
        <w:pStyle w:val="836"/>
        <w:spacing w:line="360" w:lineRule="auto"/>
        <w:rPr>
          <w:rFonts w:hint="eastAsia" w:ascii="宋体" w:hAnsi="宋体" w:cs="宋体"/>
          <w:sz w:val="24"/>
          <w:lang w:val="zh-CN"/>
        </w:rPr>
      </w:pPr>
      <w:r>
        <w:rPr>
          <w:rFonts w:hint="eastAsia" w:ascii="宋体" w:hAnsi="宋体" w:cs="宋体"/>
          <w:sz w:val="24"/>
          <w:lang w:val="zh-CN"/>
        </w:rPr>
      </w:r>
      <w:r/>
    </w:p>
    <w:p>
      <w:pPr>
        <w:pStyle w:val="836"/>
        <w:jc w:val="right"/>
        <w:rPr>
          <w:rFonts w:hint="eastAsia" w:ascii="宋体" w:hAnsi="宋体" w:cs="宋体"/>
          <w:bCs/>
          <w:sz w:val="24"/>
        </w:rPr>
      </w:pPr>
      <w:r>
        <w:rPr>
          <w:rFonts w:hint="eastAsia" w:ascii="宋体" w:hAnsi="宋体" w:cs="宋体"/>
          <w:bCs/>
          <w:sz w:val="24"/>
        </w:rPr>
      </w:r>
      <w:r/>
    </w:p>
    <w:p>
      <w:pPr>
        <w:pStyle w:val="836"/>
        <w:jc w:val="right"/>
        <w:rPr>
          <w:rFonts w:hint="eastAsia" w:ascii="宋体" w:hAnsi="宋体" w:cs="宋体"/>
          <w:bCs/>
          <w:sz w:val="24"/>
        </w:rPr>
      </w:pPr>
      <w:r>
        <w:rPr>
          <w:rFonts w:hint="eastAsia" w:ascii="宋体" w:hAnsi="宋体" w:cs="宋体"/>
          <w:bCs/>
          <w:sz w:val="24"/>
        </w:rPr>
        <w:t xml:space="preserve"> 投标人（加盖CA电子签章）： </w:t>
      </w:r>
      <w:r/>
    </w:p>
    <w:p>
      <w:pPr>
        <w:pStyle w:val="836"/>
        <w:ind w:firstLine="566"/>
        <w:jc w:val="right"/>
        <w:spacing w:line="360" w:lineRule="auto"/>
        <w:rPr>
          <w:rFonts w:hint="eastAsia" w:ascii="宋体" w:hAnsi="宋体" w:cs="宋体"/>
          <w:bCs/>
          <w:sz w:val="24"/>
        </w:rPr>
      </w:pPr>
      <w:r>
        <w:rPr>
          <w:rFonts w:hint="eastAsia" w:ascii="宋体" w:hAnsi="宋体" w:cs="宋体"/>
          <w:bCs/>
          <w:sz w:val="24"/>
        </w:rPr>
        <w:t xml:space="preserve">                   法定代表人或被授权人（签字或加盖CA电子签章）： </w:t>
      </w:r>
      <w:r/>
    </w:p>
    <w:p>
      <w:pPr>
        <w:pStyle w:val="836"/>
        <w:ind w:firstLine="2640"/>
        <w:jc w:val="right"/>
        <w:spacing w:line="360" w:lineRule="auto"/>
        <w:rPr>
          <w:rFonts w:hint="eastAsia" w:ascii="宋体" w:hAnsi="宋体" w:cs="宋体"/>
          <w:sz w:val="28"/>
          <w:szCs w:val="28"/>
          <w:lang w:val="zh-CN"/>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sz w:val="28"/>
          <w:szCs w:val="28"/>
          <w:lang w:val="zh-CN"/>
        </w:rPr>
      </w:r>
      <w:r/>
    </w:p>
    <w:p>
      <w:pPr>
        <w:pStyle w:val="836"/>
        <w:jc w:val="left"/>
        <w:spacing w:before="240" w:line="312" w:lineRule="auto"/>
        <w:rPr>
          <w:rFonts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3</w:t>
      </w:r>
      <w:r>
        <w:rPr>
          <w:rFonts w:hint="eastAsia" w:ascii="宋体" w:hAnsi="宋体" w:cs="宋体"/>
          <w:b/>
          <w:sz w:val="30"/>
          <w:szCs w:val="30"/>
          <w:lang w:val="zh-CN"/>
        </w:rPr>
        <w:t xml:space="preserve">：</w:t>
      </w:r>
      <w:r>
        <w:rPr>
          <w:rFonts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投标人情况一览表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000000" w:sz="4" w:space="0"/>
              <w:left w:val="single" w:color="000000" w:sz="4" w:space="0"/>
            </w:tcBorders>
            <w:tcW w:w="1242"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单位名称</w:t>
            </w:r>
            <w:r/>
          </w:p>
        </w:tc>
        <w:tc>
          <w:tcPr>
            <w:gridSpan w:val="10"/>
            <w:tcBorders>
              <w:top w:val="single" w:color="000000" w:sz="4" w:space="0"/>
              <w:right w:val="single" w:color="000000" w:sz="4" w:space="0"/>
            </w:tcBorders>
            <w:tcW w:w="792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trHeight w:val="397"/>
        </w:trPr>
        <w:tc>
          <w:tcPr>
            <w:gridSpan w:val="3"/>
            <w:tcBorders>
              <w:left w:val="single" w:color="000000" w:sz="4" w:space="0"/>
              <w:right w:val="single" w:color="000000" w:sz="4" w:space="0"/>
            </w:tcBorders>
            <w:tcW w:w="209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单位优势及特长</w:t>
            </w:r>
            <w:r/>
          </w:p>
        </w:tc>
        <w:tc>
          <w:tcPr>
            <w:gridSpan w:val="9"/>
            <w:tcBorders>
              <w:left w:val="single" w:color="000000" w:sz="4" w:space="0"/>
              <w:right w:val="single" w:color="000000" w:sz="4" w:space="0"/>
            </w:tcBorders>
            <w:tcW w:w="707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restart"/>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单位</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概况</w:t>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职工总数</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人</w:t>
            </w:r>
            <w:r/>
          </w:p>
        </w:tc>
        <w:tc>
          <w:tcPr>
            <w:tcW w:w="567" w:type="dxa"/>
            <w:vAlign w:val="center"/>
            <w:vMerge w:val="restart"/>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上一年主要经济指标</w:t>
            </w:r>
            <w:r/>
          </w:p>
        </w:tc>
        <w:tc>
          <w:tcPr>
            <w:tcW w:w="94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营业额</w:t>
            </w:r>
            <w:r/>
          </w:p>
        </w:tc>
        <w:tc>
          <w:tcPr>
            <w:gridSpan w:val="2"/>
            <w:tcW w:w="1414"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184"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实现利润</w:t>
            </w:r>
            <w:r/>
          </w:p>
        </w:tc>
        <w:tc>
          <w:tcPr>
            <w:tcBorders>
              <w:right w:val="single" w:color="000000" w:sz="4" w:space="0"/>
            </w:tcBorders>
            <w:tcW w:w="1544"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流动资金</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万元</w:t>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restart"/>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主要</w:t>
            </w:r>
            <w:r/>
          </w:p>
          <w:p>
            <w:pPr>
              <w:pStyle w:val="836"/>
              <w:jc w:val="center"/>
              <w:tabs>
                <w:tab w:val="left" w:pos="4320" w:leader="none"/>
              </w:tabs>
              <w:rPr>
                <w:rFonts w:hint="eastAsia" w:ascii="宋体" w:hAnsi="宋体" w:cs="宋体"/>
                <w:sz w:val="24"/>
              </w:rPr>
            </w:pPr>
            <w:r>
              <w:rPr>
                <w:rFonts w:hint="eastAsia" w:ascii="宋体" w:hAnsi="宋体" w:cs="宋体"/>
                <w:sz w:val="24"/>
              </w:rPr>
              <w:t xml:space="preserve">产品</w:t>
            </w:r>
            <w:r/>
          </w:p>
        </w:tc>
        <w:tc>
          <w:tcPr>
            <w:gridSpan w:val="5"/>
            <w:tcBorders>
              <w:right w:val="single" w:color="000000" w:sz="4" w:space="0"/>
            </w:tcBorders>
            <w:tcW w:w="4142" w:type="dxa"/>
            <w:vAlign w:val="center"/>
            <w:textDirection w:val="lrTb"/>
            <w:noWrap w:val="false"/>
          </w:tcPr>
          <w:p>
            <w:pPr>
              <w:pStyle w:val="836"/>
              <w:spacing w:before="120" w:after="120"/>
              <w:tabs>
                <w:tab w:val="left" w:pos="4320" w:leader="none"/>
              </w:tabs>
              <w:rPr>
                <w:rFonts w:hint="eastAsia" w:ascii="宋体" w:hAnsi="宋体" w:cs="宋体"/>
                <w:sz w:val="24"/>
              </w:rPr>
            </w:pPr>
            <w:r>
              <w:rPr>
                <w:rFonts w:hint="eastAsia" w:ascii="宋体" w:hAnsi="宋体" w:cs="宋体"/>
                <w:sz w:val="24"/>
              </w:rPr>
              <w:t xml:space="preserve">1.</w:t>
            </w:r>
            <w:r/>
          </w:p>
        </w:tc>
      </w:tr>
      <w:tr>
        <w:trPr>
          <w:cantSplit/>
          <w:trHeight w:val="1116"/>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固定资产</w:t>
            </w:r>
            <w:r/>
          </w:p>
          <w:p>
            <w:pPr>
              <w:pStyle w:val="836"/>
              <w:jc w:val="center"/>
              <w:tabs>
                <w:tab w:val="left" w:pos="4320" w:leader="none"/>
              </w:tabs>
              <w:rPr>
                <w:rFonts w:hint="eastAsia" w:ascii="宋体" w:hAnsi="宋体" w:cs="宋体"/>
                <w:sz w:val="24"/>
              </w:rPr>
            </w:pPr>
            <w:r>
              <w:rPr>
                <w:rFonts w:hint="eastAsia" w:ascii="宋体" w:hAnsi="宋体" w:cs="宋体"/>
                <w:sz w:val="24"/>
              </w:rPr>
              <w:t xml:space="preserve">（万元）</w:t>
            </w:r>
            <w:r/>
          </w:p>
        </w:tc>
        <w:tc>
          <w:tcPr>
            <w:gridSpan w:val="2"/>
            <w:tcW w:w="1417" w:type="dxa"/>
            <w:vAlign w:val="center"/>
            <w:textDirection w:val="lrTb"/>
            <w:noWrap w:val="false"/>
          </w:tcPr>
          <w:p>
            <w:pPr>
              <w:pStyle w:val="836"/>
              <w:ind w:right="-133" w:hanging="48"/>
              <w:tabs>
                <w:tab w:val="left" w:pos="-48" w:leader="none"/>
                <w:tab w:val="left" w:pos="4320" w:leader="none"/>
              </w:tabs>
              <w:rPr>
                <w:rFonts w:hint="eastAsia" w:ascii="宋体" w:hAnsi="宋体" w:cs="宋体"/>
                <w:sz w:val="24"/>
              </w:rPr>
            </w:pPr>
            <w:r>
              <w:rPr>
                <w:rFonts w:hint="eastAsia" w:ascii="宋体" w:hAnsi="宋体" w:cs="宋体"/>
                <w:sz w:val="24"/>
              </w:rPr>
              <w:t xml:space="preserve">原值：</w:t>
            </w:r>
            <w:r/>
          </w:p>
          <w:p>
            <w:pPr>
              <w:pStyle w:val="836"/>
              <w:ind w:hanging="48"/>
              <w:jc w:val="right"/>
              <w:tabs>
                <w:tab w:val="left" w:pos="-48" w:leader="none"/>
                <w:tab w:val="left" w:pos="4320" w:leader="none"/>
              </w:tabs>
              <w:rPr>
                <w:rFonts w:hint="eastAsia" w:ascii="宋体" w:hAnsi="宋体" w:cs="宋体"/>
                <w:sz w:val="24"/>
              </w:rPr>
            </w:pPr>
            <w:r>
              <w:rPr>
                <w:rFonts w:hint="eastAsia" w:ascii="宋体" w:hAnsi="宋体" w:cs="宋体"/>
                <w:sz w:val="24"/>
              </w:rPr>
            </w:r>
            <w:r/>
          </w:p>
          <w:p>
            <w:pPr>
              <w:pStyle w:val="836"/>
              <w:ind w:right="-133" w:hanging="48"/>
              <w:tabs>
                <w:tab w:val="left" w:pos="-48" w:leader="none"/>
                <w:tab w:val="left" w:pos="4320" w:leader="none"/>
              </w:tabs>
              <w:rPr>
                <w:rFonts w:hint="eastAsia" w:ascii="宋体" w:hAnsi="宋体" w:cs="宋体"/>
                <w:sz w:val="24"/>
              </w:rPr>
            </w:pPr>
            <w:r>
              <w:rPr>
                <w:rFonts w:hint="eastAsia" w:ascii="宋体" w:hAnsi="宋体" w:cs="宋体"/>
                <w:sz w:val="24"/>
              </w:rPr>
              <w:t xml:space="preserve">净值：</w:t>
            </w:r>
            <w:r/>
          </w:p>
          <w:p>
            <w:pPr>
              <w:pStyle w:val="836"/>
              <w:ind w:hanging="48"/>
              <w:jc w:val="right"/>
              <w:tabs>
                <w:tab w:val="left" w:pos="-48" w:leader="none"/>
                <w:tab w:val="left" w:pos="4320" w:leader="none"/>
              </w:tabs>
              <w:rPr>
                <w:rFonts w:hint="eastAsia" w:ascii="宋体" w:hAnsi="宋体" w:cs="宋体"/>
                <w:sz w:val="24"/>
              </w:rPr>
            </w:pPr>
            <w:r>
              <w:rPr>
                <w:rFonts w:hint="eastAsia" w:ascii="宋体" w:hAnsi="宋体" w:cs="宋体"/>
                <w:sz w:val="24"/>
              </w:rPr>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continue"/>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r>
            <w:r/>
          </w:p>
        </w:tc>
        <w:tc>
          <w:tcPr>
            <w:gridSpan w:val="5"/>
            <w:tcBorders>
              <w:right w:val="single" w:color="000000" w:sz="4" w:space="0"/>
            </w:tcBorders>
            <w:tcW w:w="414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2.</w:t>
            </w:r>
            <w:r/>
          </w:p>
        </w:tc>
      </w:tr>
      <w:tr>
        <w:trPr>
          <w:cantSplit/>
          <w:trHeight w:val="397"/>
        </w:trPr>
        <w:tc>
          <w:tcPr>
            <w:tcBorders>
              <w:left w:val="single" w:color="000000" w:sz="4" w:space="0"/>
            </w:tcBorders>
            <w:tcW w:w="817" w:type="dxa"/>
            <w:vAlign w:val="center"/>
            <w:vMerge w:val="continue"/>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r>
            <w:r/>
          </w:p>
        </w:tc>
        <w:tc>
          <w:tcPr>
            <w:gridSpan w:val="2"/>
            <w:tcW w:w="1276" w:type="dxa"/>
            <w:vAlign w:val="center"/>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t xml:space="preserve">占地面积</w:t>
            </w:r>
            <w:r/>
          </w:p>
        </w:tc>
        <w:tc>
          <w:tcPr>
            <w:gridSpan w:val="2"/>
            <w:tcW w:w="1417" w:type="dxa"/>
            <w:vAlign w:val="center"/>
            <w:textDirection w:val="lrTb"/>
            <w:noWrap w:val="false"/>
          </w:tcPr>
          <w:p>
            <w:pPr>
              <w:pStyle w:val="836"/>
              <w:jc w:val="right"/>
              <w:tabs>
                <w:tab w:val="left" w:pos="4320" w:leader="none"/>
              </w:tabs>
              <w:rPr>
                <w:rFonts w:hint="eastAsia" w:ascii="宋体" w:hAnsi="宋体" w:cs="宋体"/>
                <w:sz w:val="24"/>
              </w:rPr>
            </w:pPr>
            <w:r>
              <w:rPr>
                <w:rFonts w:hint="eastAsia" w:ascii="宋体" w:hAnsi="宋体" w:cs="宋体"/>
                <w:sz w:val="24"/>
              </w:rPr>
              <w:t xml:space="preserve">M</w:t>
            </w:r>
            <w:r>
              <w:rPr>
                <w:rFonts w:hint="eastAsia" w:ascii="宋体" w:hAnsi="宋体" w:cs="宋体"/>
                <w:sz w:val="24"/>
                <w:vertAlign w:val="superscript"/>
              </w:rPr>
              <w:t xml:space="preserve">2</w:t>
            </w:r>
            <w:r>
              <w:rPr>
                <w:rFonts w:hint="eastAsia" w:ascii="宋体" w:hAnsi="宋体" w:cs="宋体"/>
                <w:sz w:val="24"/>
              </w:rPr>
            </w:r>
            <w:r/>
          </w:p>
        </w:tc>
        <w:tc>
          <w:tcPr>
            <w:tcW w:w="56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vMerge w:val="continue"/>
            <w:textDirection w:val="lrTb"/>
            <w:noWrap w:val="false"/>
          </w:tcPr>
          <w:p>
            <w:pPr>
              <w:pStyle w:val="836"/>
              <w:jc w:val="center"/>
              <w:tabs>
                <w:tab w:val="left" w:pos="4320" w:leader="none"/>
              </w:tabs>
              <w:rPr>
                <w:rFonts w:hint="eastAsia" w:ascii="宋体" w:hAnsi="宋体" w:cs="宋体"/>
                <w:sz w:val="24"/>
              </w:rPr>
            </w:pPr>
            <w:r>
              <w:rPr>
                <w:rFonts w:hint="eastAsia" w:ascii="宋体" w:hAnsi="宋体" w:cs="宋体"/>
                <w:sz w:val="24"/>
              </w:rPr>
            </w:r>
            <w:r/>
          </w:p>
        </w:tc>
        <w:tc>
          <w:tcPr>
            <w:gridSpan w:val="5"/>
            <w:tcBorders>
              <w:right w:val="single" w:color="000000" w:sz="4" w:space="0"/>
            </w:tcBorders>
            <w:tcW w:w="4142" w:type="dxa"/>
            <w:vAlign w:val="center"/>
            <w:textDirection w:val="lrTb"/>
            <w:noWrap w:val="false"/>
          </w:tcPr>
          <w:p>
            <w:pPr>
              <w:pStyle w:val="836"/>
              <w:spacing w:before="120" w:after="120"/>
              <w:tabs>
                <w:tab w:val="left" w:pos="4320" w:leader="none"/>
              </w:tabs>
              <w:rPr>
                <w:rFonts w:hint="eastAsia" w:ascii="宋体" w:hAnsi="宋体" w:cs="宋体"/>
                <w:sz w:val="24"/>
              </w:rPr>
            </w:pPr>
            <w:r>
              <w:rPr>
                <w:rFonts w:hint="eastAsia" w:ascii="宋体" w:hAnsi="宋体" w:cs="宋体"/>
                <w:sz w:val="24"/>
              </w:rPr>
              <w:t xml:space="preserve">3.</w:t>
            </w:r>
            <w:r/>
          </w:p>
        </w:tc>
      </w:tr>
      <w:tr>
        <w:trPr>
          <w:cantSplit/>
          <w:trHeight w:val="397"/>
        </w:trPr>
        <w:tc>
          <w:tcPr>
            <w:tcBorders>
              <w:left w:val="single" w:color="000000" w:sz="4" w:space="0"/>
            </w:tcBorders>
            <w:tcW w:w="817" w:type="dxa"/>
            <w:vAlign w:val="center"/>
            <w:vMerge w:val="restart"/>
            <w:textDirection w:val="lrTb"/>
            <w:noWrap w:val="false"/>
          </w:tcPr>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本次</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投标</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产品</w:t>
            </w:r>
            <w:r/>
          </w:p>
          <w:p>
            <w:pPr>
              <w:pStyle w:val="836"/>
              <w:ind w:left="266" w:hanging="266"/>
              <w:tabs>
                <w:tab w:val="left" w:pos="4320" w:leader="none"/>
              </w:tabs>
              <w:rPr>
                <w:rFonts w:hint="eastAsia" w:ascii="宋体" w:hAnsi="宋体" w:cs="宋体"/>
                <w:sz w:val="24"/>
              </w:rPr>
            </w:pPr>
            <w:r>
              <w:rPr>
                <w:rFonts w:hint="eastAsia" w:ascii="宋体" w:hAnsi="宋体" w:cs="宋体"/>
                <w:sz w:val="24"/>
              </w:rPr>
              <w:t xml:space="preserve">情况</w:t>
            </w:r>
            <w:r/>
          </w:p>
        </w:tc>
        <w:tc>
          <w:tcPr>
            <w:gridSpan w:val="3"/>
            <w:tcW w:w="164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本次投标</w:t>
              <w:br w:type="textWrapping" w:clear="all"/>
              <w:t xml:space="preserve">产品名称</w:t>
            </w:r>
            <w:r/>
          </w:p>
        </w:tc>
        <w:tc>
          <w:tcPr>
            <w:gridSpan w:val="2"/>
            <w:tcW w:w="1617"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型    号</w:t>
            </w:r>
            <w:r/>
          </w:p>
        </w:tc>
        <w:tc>
          <w:tcPr>
            <w:tcW w:w="946"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上年</w:t>
              <w:br w:type="textWrapping" w:clear="all"/>
              <w:t xml:space="preserve">产销量</w:t>
            </w:r>
            <w:r/>
          </w:p>
        </w:tc>
        <w:tc>
          <w:tcPr>
            <w:tcW w:w="126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产品技术</w:t>
            </w:r>
            <w:r/>
          </w:p>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先进水平</w:t>
            </w:r>
            <w:r/>
          </w:p>
        </w:tc>
        <w:tc>
          <w:tcPr>
            <w:gridSpan w:val="2"/>
            <w:tcW w:w="1273"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曾获何级</w:t>
            </w:r>
            <w:r/>
          </w:p>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何种奖励</w:t>
            </w:r>
            <w:r/>
          </w:p>
        </w:tc>
        <w:tc>
          <w:tcPr>
            <w:gridSpan w:val="2"/>
            <w:tcBorders>
              <w:right w:val="single" w:color="000000" w:sz="4" w:space="0"/>
            </w:tcBorders>
            <w:tcW w:w="1606" w:type="dxa"/>
            <w:vAlign w:val="center"/>
            <w:textDirection w:val="lrTb"/>
            <w:noWrap w:val="false"/>
          </w:tcPr>
          <w:p>
            <w:pPr>
              <w:pStyle w:val="836"/>
              <w:jc w:val="center"/>
              <w:spacing w:before="60" w:after="60"/>
              <w:tabs>
                <w:tab w:val="left" w:pos="4320" w:leader="none"/>
              </w:tabs>
              <w:rPr>
                <w:rFonts w:hint="eastAsia" w:ascii="宋体" w:hAnsi="宋体" w:cs="宋体"/>
                <w:sz w:val="24"/>
              </w:rPr>
            </w:pPr>
            <w:r>
              <w:rPr>
                <w:rFonts w:hint="eastAsia" w:ascii="宋体" w:hAnsi="宋体" w:cs="宋体"/>
                <w:sz w:val="24"/>
              </w:rPr>
              <w:t xml:space="preserve">主要用户</w:t>
              <w:br w:type="textWrapping" w:clear="all"/>
              <w:t xml:space="preserve">名称</w:t>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3"/>
            <w:tcW w:w="164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617"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94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tcW w:w="126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W w:w="1273"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2"/>
            <w:tcBorders>
              <w:right w:val="single" w:color="000000" w:sz="4" w:space="0"/>
            </w:tcBorders>
            <w:tcW w:w="16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r>
        <w:trPr>
          <w:cantSplit/>
          <w:trHeight w:val="397"/>
        </w:trPr>
        <w:tc>
          <w:tcPr>
            <w:tcBorders>
              <w:left w:val="single" w:color="000000" w:sz="4" w:space="0"/>
            </w:tcBorders>
            <w:tcW w:w="817" w:type="dxa"/>
            <w:vAlign w:val="center"/>
            <w:vMerge w:val="restart"/>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t xml:space="preserve">其它</w:t>
            </w:r>
            <w:r/>
          </w:p>
        </w:tc>
        <w:tc>
          <w:tcPr>
            <w:gridSpan w:val="6"/>
            <w:tcW w:w="4206" w:type="dxa"/>
            <w:vAlign w:val="center"/>
            <w:textDirection w:val="lrTb"/>
            <w:noWrap w:val="false"/>
          </w:tcPr>
          <w:p>
            <w:pPr>
              <w:pStyle w:val="836"/>
              <w:spacing w:before="60" w:after="60"/>
              <w:tabs>
                <w:tab w:val="left" w:pos="4320" w:leader="none"/>
              </w:tabs>
              <w:rPr>
                <w:rFonts w:hint="eastAsia" w:ascii="宋体" w:hAnsi="宋体" w:cs="宋体"/>
                <w:sz w:val="24"/>
              </w:rPr>
            </w:pPr>
            <w:r>
              <w:rPr>
                <w:rFonts w:hint="eastAsia" w:ascii="宋体" w:hAnsi="宋体" w:cs="宋体"/>
                <w:sz w:val="24"/>
              </w:rPr>
              <w:t xml:space="preserve">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r/>
          </w:p>
        </w:tc>
        <w:tc>
          <w:tcPr>
            <w:gridSpan w:val="5"/>
            <w:tcBorders>
              <w:right w:val="single" w:color="000000" w:sz="4" w:space="0"/>
            </w:tcBorders>
            <w:tcW w:w="4142" w:type="dxa"/>
            <w:vAlign w:val="center"/>
            <w:textDirection w:val="lrTb"/>
            <w:noWrap w:val="false"/>
          </w:tcPr>
          <w:p>
            <w:pPr>
              <w:pStyle w:val="836"/>
              <w:spacing w:before="60" w:after="60"/>
              <w:tabs>
                <w:tab w:val="left" w:pos="4320" w:leader="none"/>
              </w:tabs>
              <w:rPr>
                <w:rFonts w:hint="eastAsia" w:ascii="宋体" w:hAnsi="宋体" w:cs="宋体"/>
                <w:sz w:val="24"/>
              </w:rPr>
            </w:pPr>
            <w:r>
              <w:rPr>
                <w:rFonts w:hint="eastAsia" w:ascii="宋体" w:hAnsi="宋体" w:cs="宋体"/>
                <w:sz w:val="24"/>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3250"/>
        </w:trPr>
        <w:tc>
          <w:tcPr>
            <w:tcBorders>
              <w:left w:val="single" w:color="000000" w:sz="4" w:space="0"/>
              <w:bottom w:val="single" w:color="000000" w:sz="4" w:space="0"/>
            </w:tcBorders>
            <w:tcW w:w="817" w:type="dxa"/>
            <w:vAlign w:val="center"/>
            <w:vMerge w:val="continue"/>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6"/>
            <w:tcBorders>
              <w:bottom w:val="single" w:color="000000" w:sz="4" w:space="0"/>
            </w:tcBorders>
            <w:tcW w:w="4206"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c>
          <w:tcPr>
            <w:gridSpan w:val="5"/>
            <w:tcBorders>
              <w:bottom w:val="single" w:color="000000" w:sz="4" w:space="0"/>
              <w:right w:val="single" w:color="000000" w:sz="4" w:space="0"/>
            </w:tcBorders>
            <w:tcW w:w="4142" w:type="dxa"/>
            <w:vAlign w:val="center"/>
            <w:textDirection w:val="lrTb"/>
            <w:noWrap w:val="false"/>
          </w:tcPr>
          <w:p>
            <w:pPr>
              <w:pStyle w:val="836"/>
              <w:tabs>
                <w:tab w:val="left" w:pos="4320" w:leader="none"/>
              </w:tabs>
              <w:rPr>
                <w:rFonts w:hint="eastAsia" w:ascii="宋体" w:hAnsi="宋体" w:cs="宋体"/>
                <w:sz w:val="24"/>
              </w:rPr>
            </w:pPr>
            <w:r>
              <w:rPr>
                <w:rFonts w:hint="eastAsia" w:ascii="宋体" w:hAnsi="宋体" w:cs="宋体"/>
                <w:sz w:val="24"/>
              </w:rPr>
            </w:r>
            <w:r/>
          </w:p>
        </w:tc>
      </w:tr>
    </w:tbl>
    <w:p>
      <w:pPr>
        <w:pStyle w:val="836"/>
        <w:jc w:val="left"/>
        <w:spacing w:before="240" w:line="312" w:lineRule="auto"/>
        <w:rPr>
          <w:rFonts w:hint="eastAsia" w:ascii="宋体" w:hAnsi="宋体" w:cs="宋体"/>
          <w:b/>
          <w:sz w:val="30"/>
          <w:szCs w:val="30"/>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4：</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投标人符合《政府采购法》第二十二条规定条件的声明函</w:t>
      </w:r>
      <w:r/>
    </w:p>
    <w:p>
      <w:pPr>
        <w:pStyle w:val="836"/>
        <w:ind w:firstLine="480"/>
        <w:spacing w:line="520" w:lineRule="exact"/>
        <w:rPr>
          <w:rFonts w:hint="eastAsia" w:ascii="宋体" w:hAnsi="宋体" w:cs="宋体"/>
          <w:bCs/>
          <w:sz w:val="24"/>
        </w:rPr>
      </w:pPr>
      <w:r>
        <w:rPr>
          <w:rFonts w:hint="eastAsia" w:ascii="宋体" w:hAnsi="宋体" w:cs="宋体"/>
          <w:bCs/>
          <w:sz w:val="24"/>
        </w:rPr>
      </w:r>
      <w:r/>
    </w:p>
    <w:p>
      <w:pPr>
        <w:pStyle w:val="836"/>
        <w:ind w:firstLine="480"/>
        <w:spacing w:line="520" w:lineRule="exact"/>
        <w:rPr>
          <w:rFonts w:hint="eastAsia"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                    </w:t>
      </w:r>
      <w:r>
        <w:rPr>
          <w:rFonts w:hint="eastAsia" w:ascii="宋体" w:hAnsi="宋体" w:cs="宋体"/>
          <w:bCs/>
          <w:sz w:val="24"/>
          <w:szCs w:val="21"/>
        </w:rPr>
        <w:t xml:space="preserve">（项目名称），</w:t>
      </w:r>
      <w:r>
        <w:rPr>
          <w:rFonts w:hint="eastAsia"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rPr>
          <w:rFonts w:hint="eastAsia" w:ascii="宋体" w:hAnsi="宋体" w:cs="宋体"/>
          <w:b/>
          <w:bCs/>
          <w:sz w:val="24"/>
        </w:rPr>
      </w:r>
      <w:r/>
    </w:p>
    <w:p>
      <w:pPr>
        <w:pStyle w:val="836"/>
        <w:ind w:firstLine="482"/>
        <w:spacing w:line="520" w:lineRule="exact"/>
        <w:rPr>
          <w:rFonts w:hint="eastAsia" w:ascii="宋体" w:hAnsi="宋体" w:cs="宋体"/>
          <w:sz w:val="24"/>
        </w:rPr>
      </w:pPr>
      <w:r>
        <w:rPr>
          <w:rFonts w:hint="eastAsia" w:ascii="宋体" w:hAnsi="宋体" w:cs="宋体"/>
          <w:bCs/>
          <w:sz w:val="24"/>
          <w:szCs w:val="21"/>
        </w:rPr>
        <w:t xml:space="preserve">1.我单位具有独立承担民事责任的能力；</w:t>
      </w:r>
      <w:r>
        <w:rPr>
          <w:rFonts w:hint="eastAsia" w:ascii="宋体" w:hAnsi="宋体" w:cs="宋体"/>
          <w:sz w:val="24"/>
        </w:rPr>
      </w:r>
      <w:r/>
    </w:p>
    <w:p>
      <w:pPr>
        <w:pStyle w:val="836"/>
        <w:ind w:firstLine="482"/>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pStyle w:val="836"/>
        <w:ind w:firstLine="482"/>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pStyle w:val="836"/>
        <w:ind w:firstLine="482"/>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pStyle w:val="836"/>
        <w:ind w:firstLine="482"/>
        <w:spacing w:line="520" w:lineRule="exact"/>
        <w:rPr>
          <w:rFonts w:hint="eastAsia"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36"/>
        <w:ind w:firstLine="482"/>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836"/>
        <w:ind w:firstLine="482"/>
        <w:spacing w:line="500" w:lineRule="exact"/>
        <w:rPr>
          <w:rFonts w:hint="eastAsia" w:ascii="宋体" w:hAnsi="宋体" w:cs="宋体"/>
          <w:sz w:val="24"/>
        </w:rPr>
      </w:pPr>
      <w:r>
        <w:rPr>
          <w:rFonts w:hint="eastAsia" w:ascii="宋体" w:hAnsi="宋体" w:cs="宋体"/>
          <w:sz w:val="24"/>
        </w:rPr>
      </w:r>
      <w:r/>
    </w:p>
    <w:p>
      <w:pPr>
        <w:pStyle w:val="836"/>
        <w:spacing w:line="500" w:lineRule="exact"/>
        <w:rPr>
          <w:rFonts w:hint="eastAsia" w:ascii="宋体" w:hAnsi="宋体" w:cs="宋体"/>
          <w:bCs/>
          <w:sz w:val="24"/>
          <w:szCs w:val="21"/>
        </w:rPr>
      </w:pPr>
      <w:r>
        <w:rPr>
          <w:rFonts w:hint="eastAsia" w:ascii="宋体" w:hAnsi="宋体" w:cs="宋体"/>
          <w:bCs/>
          <w:sz w:val="24"/>
          <w:szCs w:val="21"/>
        </w:rPr>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承诺人名称（公章）：</w:t>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w:t>
      </w:r>
      <w:r/>
    </w:p>
    <w:p>
      <w:pPr>
        <w:pStyle w:val="836"/>
        <w:jc w:val="right"/>
        <w:spacing w:line="460" w:lineRule="exact"/>
        <w:rPr>
          <w:rFonts w:hint="eastAsia"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2026</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pStyle w:val="836"/>
        <w:rPr>
          <w:rFonts w:hint="eastAsia" w:ascii="宋体" w:hAnsi="宋体" w:cs="宋体"/>
          <w:szCs w:val="21"/>
        </w:rPr>
      </w:pPr>
      <w:r>
        <w:rPr>
          <w:rFonts w:hint="eastAsia" w:ascii="宋体" w:hAnsi="宋体" w:cs="宋体"/>
          <w:szCs w:val="21"/>
        </w:rPr>
      </w:r>
      <w:r/>
    </w:p>
    <w:p>
      <w:pPr>
        <w:pStyle w:val="83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5：</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法定代表人身份证明</w:t>
      </w:r>
      <w:r/>
    </w:p>
    <w:p>
      <w:pPr>
        <w:pStyle w:val="836"/>
        <w:jc w:val="center"/>
        <w:spacing w:line="360" w:lineRule="auto"/>
        <w:rPr>
          <w:rFonts w:cs="宋体"/>
          <w:sz w:val="24"/>
          <w:szCs w:val="21"/>
          <w:u w:val="single"/>
        </w:rPr>
      </w:pPr>
      <w:r>
        <w:rPr>
          <w:rFonts w:hint="eastAsia" w:cs="宋体"/>
          <w:sz w:val="24"/>
          <w:szCs w:val="21"/>
          <w:u w:val="single"/>
        </w:rPr>
        <w:t xml:space="preserve">（法定代表人参加投标时，须出示此证明）</w:t>
      </w:r>
      <w:r>
        <w:rPr>
          <w:rFonts w:cs="宋体"/>
          <w:sz w:val="24"/>
          <w:szCs w:val="21"/>
          <w:u w:val="single"/>
        </w:rPr>
      </w:r>
      <w:r/>
    </w:p>
    <w:p>
      <w:pPr>
        <w:pStyle w:val="836"/>
        <w:jc w:val="center"/>
        <w:spacing w:line="360" w:lineRule="auto"/>
        <w:rPr>
          <w:rFonts w:cs="宋体"/>
          <w:sz w:val="24"/>
          <w:szCs w:val="21"/>
        </w:rPr>
      </w:pPr>
      <w:r>
        <w:rPr>
          <w:rFonts w:cs="宋体"/>
          <w:sz w:val="24"/>
          <w:szCs w:val="21"/>
        </w:rPr>
      </w:r>
      <w:r/>
    </w:p>
    <w:p>
      <w:pPr>
        <w:pStyle w:val="836"/>
        <w:spacing w:line="360" w:lineRule="auto"/>
        <w:rPr>
          <w:rFonts w:ascii="宋体" w:hAnsi="宋体" w:cs="宋体"/>
          <w:sz w:val="24"/>
        </w:rPr>
      </w:pPr>
      <w:r>
        <w:rPr>
          <w:rFonts w:ascii="宋体" w:hAnsi="宋体" w:cs="宋体"/>
          <w:sz w:val="24"/>
        </w:rPr>
      </w:r>
      <w:r/>
    </w:p>
    <w:p>
      <w:pPr>
        <w:pStyle w:val="836"/>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 现任我单位</w:t>
      </w:r>
      <w:r>
        <w:rPr>
          <w:rFonts w:hint="eastAsia" w:ascii="宋体" w:hAnsi="宋体" w:cs="宋体"/>
          <w:sz w:val="24"/>
          <w:u w:val="single"/>
        </w:rPr>
        <w:t xml:space="preserve">        </w:t>
      </w:r>
      <w:r>
        <w:rPr>
          <w:rFonts w:hint="eastAsia" w:ascii="宋体" w:hAnsi="宋体" w:cs="宋体"/>
          <w:sz w:val="24"/>
        </w:rPr>
        <w:t xml:space="preserve">职务，为法定代表人，特此证明。</w:t>
      </w:r>
      <w:r>
        <w:rPr>
          <w:rFonts w:ascii="宋体" w:hAnsi="宋体" w:cs="宋体"/>
          <w:sz w:val="24"/>
        </w:rPr>
      </w:r>
      <w:r/>
    </w:p>
    <w:p>
      <w:pPr>
        <w:pStyle w:val="836"/>
        <w:spacing w:line="360" w:lineRule="auto"/>
        <w:rPr>
          <w:rFonts w:cs="宋体"/>
          <w:sz w:val="24"/>
          <w:szCs w:val="21"/>
        </w:rPr>
      </w:pPr>
      <w:r>
        <w:rPr>
          <w:rFonts w:cs="宋体"/>
          <w:sz w:val="24"/>
          <w:szCs w:val="21"/>
        </w:rPr>
      </w:r>
      <w:r/>
    </w:p>
    <w:p>
      <w:pPr>
        <w:pStyle w:val="836"/>
        <w:ind w:firstLine="480"/>
        <w:spacing w:line="360" w:lineRule="auto"/>
        <w:rPr>
          <w:rFonts w:cs="宋体"/>
          <w:sz w:val="24"/>
          <w:szCs w:val="21"/>
        </w:rPr>
      </w:pPr>
      <w:r>
        <w:rPr>
          <w:rFonts w:hint="eastAsia" w:cs="宋体"/>
          <w:sz w:val="24"/>
          <w:szCs w:val="21"/>
        </w:rPr>
        <w:t xml:space="preserve">附：法定代表人情况：</w:t>
      </w:r>
      <w:r>
        <w:rPr>
          <w:rFonts w:cs="宋体"/>
          <w:sz w:val="24"/>
          <w:szCs w:val="21"/>
        </w:rPr>
      </w:r>
      <w:r/>
    </w:p>
    <w:p>
      <w:pPr>
        <w:pStyle w:val="836"/>
        <w:ind w:firstLine="480"/>
        <w:spacing w:line="360" w:lineRule="auto"/>
        <w:rPr>
          <w:rFonts w:cs="宋体"/>
          <w:sz w:val="24"/>
          <w:szCs w:val="21"/>
          <w:u w:val="single"/>
        </w:rPr>
      </w:pPr>
      <w:r>
        <w:rPr>
          <w:rFonts w:hint="eastAsia" w:cs="宋体"/>
          <w:sz w:val="24"/>
          <w:szCs w:val="21"/>
        </w:rPr>
        <w:t xml:space="preserve">姓名：</w:t>
      </w:r>
      <w:r>
        <w:rPr>
          <w:rFonts w:hint="eastAsia" w:cs="宋体"/>
          <w:sz w:val="24"/>
          <w:szCs w:val="21"/>
          <w:u w:val="single"/>
        </w:rPr>
        <w:t xml:space="preserve">         </w:t>
      </w:r>
      <w:r>
        <w:rPr>
          <w:rFonts w:hint="eastAsia" w:cs="宋体"/>
          <w:sz w:val="24"/>
          <w:szCs w:val="21"/>
        </w:rPr>
        <w:t xml:space="preserve">性别：</w:t>
      </w:r>
      <w:r>
        <w:rPr>
          <w:rFonts w:hint="eastAsia" w:cs="宋体"/>
          <w:sz w:val="24"/>
          <w:szCs w:val="21"/>
          <w:u w:val="single"/>
        </w:rPr>
        <w:t xml:space="preserve">    </w:t>
      </w:r>
      <w:r>
        <w:rPr>
          <w:rFonts w:hint="eastAsia" w:cs="宋体"/>
          <w:sz w:val="24"/>
          <w:szCs w:val="21"/>
        </w:rPr>
        <w:t xml:space="preserve">年龄：</w:t>
      </w:r>
      <w:r>
        <w:rPr>
          <w:rFonts w:hint="eastAsia" w:cs="宋体"/>
          <w:sz w:val="24"/>
          <w:szCs w:val="21"/>
          <w:u w:val="single"/>
        </w:rPr>
        <w:t xml:space="preserve">      </w:t>
      </w:r>
      <w:r>
        <w:rPr>
          <w:rFonts w:hint="eastAsia" w:cs="宋体"/>
          <w:sz w:val="24"/>
          <w:szCs w:val="21"/>
        </w:rPr>
        <w:t xml:space="preserve">职务：</w:t>
      </w:r>
      <w:r>
        <w:rPr>
          <w:rFonts w:hint="eastAsia" w:cs="宋体"/>
          <w:sz w:val="24"/>
          <w:szCs w:val="21"/>
          <w:u w:val="single"/>
        </w:rPr>
        <w:t xml:space="preserve">          </w:t>
      </w:r>
      <w:r>
        <w:rPr>
          <w:rFonts w:cs="宋体"/>
          <w:sz w:val="24"/>
          <w:szCs w:val="21"/>
          <w:u w:val="single"/>
        </w:rPr>
      </w:r>
      <w:r/>
    </w:p>
    <w:p>
      <w:pPr>
        <w:pStyle w:val="836"/>
        <w:ind w:firstLine="480"/>
        <w:spacing w:line="360" w:lineRule="auto"/>
        <w:rPr>
          <w:rFonts w:cs="宋体"/>
          <w:sz w:val="24"/>
          <w:szCs w:val="21"/>
        </w:rPr>
      </w:pPr>
      <w:r>
        <w:rPr>
          <w:rFonts w:hint="eastAsia" w:cs="宋体"/>
          <w:sz w:val="24"/>
          <w:szCs w:val="21"/>
        </w:rPr>
        <w:t xml:space="preserve">身份证号码：</w:t>
      </w:r>
      <w:r>
        <w:rPr>
          <w:rFonts w:hint="eastAsia" w:cs="宋体"/>
          <w:sz w:val="24"/>
          <w:szCs w:val="21"/>
          <w:u w:val="single"/>
        </w:rPr>
        <w:t xml:space="preserve">                                         </w:t>
      </w:r>
      <w:r>
        <w:rPr>
          <w:rFonts w:cs="宋体"/>
          <w:sz w:val="24"/>
          <w:szCs w:val="21"/>
        </w:rPr>
      </w:r>
      <w:r/>
    </w:p>
    <w:p>
      <w:pPr>
        <w:pStyle w:val="836"/>
        <w:ind w:firstLine="480"/>
        <w:spacing w:line="360" w:lineRule="auto"/>
        <w:rPr>
          <w:rFonts w:cs="宋体"/>
          <w:sz w:val="24"/>
          <w:szCs w:val="21"/>
        </w:rPr>
      </w:pPr>
      <w:r>
        <w:rPr>
          <w:rFonts w:hint="eastAsia" w:cs="宋体"/>
          <w:sz w:val="24"/>
          <w:szCs w:val="21"/>
        </w:rPr>
        <w:t xml:space="preserve">手机：</w:t>
      </w:r>
      <w:r>
        <w:rPr>
          <w:rFonts w:hint="eastAsia" w:cs="宋体"/>
          <w:sz w:val="24"/>
          <w:szCs w:val="21"/>
          <w:u w:val="single"/>
        </w:rPr>
        <w:t xml:space="preserve">                  </w:t>
      </w:r>
      <w:r>
        <w:rPr>
          <w:rFonts w:hint="eastAsia" w:cs="宋体"/>
          <w:sz w:val="24"/>
          <w:szCs w:val="21"/>
        </w:rPr>
        <w:t xml:space="preserve">传真：</w:t>
      </w:r>
      <w:r>
        <w:rPr>
          <w:rFonts w:hint="eastAsia" w:cs="宋体"/>
          <w:sz w:val="24"/>
          <w:szCs w:val="21"/>
          <w:u w:val="single"/>
        </w:rPr>
        <w:t xml:space="preserve">                       </w:t>
      </w:r>
      <w:r>
        <w:rPr>
          <w:rFonts w:cs="宋体"/>
          <w:sz w:val="24"/>
          <w:szCs w:val="21"/>
        </w:rPr>
      </w:r>
      <w:r/>
    </w:p>
    <w:p>
      <w:pPr>
        <w:pStyle w:val="836"/>
        <w:spacing w:line="360" w:lineRule="auto"/>
        <w:rPr>
          <w:rFonts w:cs="宋体"/>
          <w:b/>
          <w:bCs/>
          <w:sz w:val="24"/>
          <w:szCs w:val="21"/>
        </w:rPr>
      </w:pPr>
      <w:r>
        <w:rPr>
          <w:rFonts w:cs="宋体"/>
          <w:b/>
          <w:bCs/>
          <w:sz w:val="24"/>
          <w:szCs w:val="21"/>
        </w:rPr>
      </w:r>
      <w:r/>
    </w:p>
    <w:p>
      <w:pPr>
        <w:pStyle w:val="836"/>
        <w:spacing w:line="360" w:lineRule="auto"/>
        <w:rPr>
          <w:rFonts w:cs="宋体"/>
          <w:sz w:val="24"/>
          <w:szCs w:val="21"/>
        </w:rPr>
      </w:pPr>
      <w:r>
        <w:rPr>
          <w:rFonts w:hint="eastAsia" w:cs="宋体"/>
          <w:b/>
          <w:bCs/>
          <w:sz w:val="24"/>
          <w:szCs w:val="21"/>
        </w:rPr>
        <w:t xml:space="preserve"> 注：提供法定代表人的身份证复印件盖公章</w:t>
      </w:r>
      <w:r>
        <w:rPr>
          <w:rFonts w:cs="宋体"/>
          <w:sz w:val="24"/>
          <w:szCs w:val="21"/>
        </w:rPr>
      </w:r>
      <w:r/>
    </w:p>
    <w:p>
      <w:pPr>
        <w:pStyle w:val="836"/>
        <w:spacing w:line="360" w:lineRule="auto"/>
        <w:rPr>
          <w:rFonts w:cs="宋体"/>
          <w:sz w:val="24"/>
          <w:szCs w:val="21"/>
        </w:rPr>
      </w:pPr>
      <w:r>
        <w:rPr>
          <w:rFonts w:cs="宋体"/>
          <w:sz w:val="24"/>
          <w:szCs w:val="21"/>
        </w:rPr>
      </w:r>
      <w:r/>
    </w:p>
    <w:p>
      <w:pPr>
        <w:pStyle w:val="836"/>
        <w:ind w:firstLine="2921"/>
        <w:spacing w:line="360" w:lineRule="auto"/>
        <w:rPr>
          <w:rFonts w:hint="eastAsia" w:ascii="宋体" w:hAnsi="宋体" w:cs="宋体"/>
          <w:bCs/>
          <w:sz w:val="24"/>
        </w:rPr>
      </w:pPr>
      <w:r>
        <w:rPr>
          <w:rFonts w:hint="eastAsia" w:ascii="宋体" w:hAnsi="宋体" w:cs="宋体"/>
          <w:bCs/>
          <w:sz w:val="24"/>
        </w:rPr>
      </w:r>
      <w:r/>
    </w:p>
    <w:p>
      <w:pPr>
        <w:pStyle w:val="836"/>
        <w:ind w:firstLine="2921"/>
        <w:spacing w:line="360" w:lineRule="auto"/>
        <w:rPr>
          <w:rFonts w:hint="eastAsia" w:ascii="宋体" w:hAnsi="宋体" w:cs="宋体"/>
          <w:bCs/>
          <w:sz w:val="24"/>
        </w:rPr>
      </w:pPr>
      <w:r>
        <w:rPr>
          <w:rFonts w:hint="eastAsia" w:ascii="宋体" w:hAnsi="宋体" w:cs="宋体"/>
          <w:bCs/>
          <w:sz w:val="24"/>
        </w:rPr>
        <w:t xml:space="preserve">投标人（加盖CA电子签章）：</w:t>
      </w:r>
      <w:r/>
    </w:p>
    <w:p>
      <w:pPr>
        <w:pStyle w:val="836"/>
        <w:ind w:firstLine="2921"/>
        <w:spacing w:line="360" w:lineRule="auto"/>
        <w:rPr>
          <w:rFonts w:hint="eastAsia" w:ascii="宋体" w:hAnsi="宋体" w:cs="宋体"/>
          <w:bCs/>
          <w:sz w:val="24"/>
        </w:rPr>
      </w:pPr>
      <w:r>
        <w:rPr>
          <w:rFonts w:hint="eastAsia" w:cs="宋体"/>
          <w:sz w:val="24"/>
          <w:szCs w:val="21"/>
        </w:rPr>
        <w:t xml:space="preserve">法定代表人（签字或加盖CA电子签章）</w:t>
      </w:r>
      <w:r>
        <w:rPr>
          <w:rFonts w:hint="eastAsia" w:ascii="宋体" w:hAnsi="宋体" w:cs="宋体"/>
          <w:bCs/>
          <w:sz w:val="24"/>
        </w:rPr>
      </w:r>
      <w:r/>
    </w:p>
    <w:p>
      <w:pPr>
        <w:pStyle w:val="836"/>
        <w:ind w:firstLine="2921"/>
        <w:spacing w:line="360" w:lineRule="auto"/>
        <w:rPr>
          <w:rFonts w:cs="宋体"/>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cs="宋体"/>
          <w:sz w:val="24"/>
        </w:rPr>
      </w:r>
      <w:r/>
    </w:p>
    <w:p>
      <w:pPr>
        <w:pStyle w:val="836"/>
        <w:rPr>
          <w:rFonts w:hint="eastAsia" w:ascii="宋体" w:hAnsi="宋体" w:cs="宋体"/>
        </w:rPr>
      </w:pPr>
      <w:r>
        <w:rPr>
          <w:rFonts w:hint="eastAsia" w:ascii="宋体" w:hAnsi="宋体" w:cs="宋体"/>
        </w:rPr>
        <w:t xml:space="preserve">     </w:t>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w:t>
      </w:r>
      <w:r>
        <w:rPr>
          <w:rFonts w:hint="eastAsia" w:ascii="宋体" w:hAnsi="宋体" w:cs="宋体"/>
          <w:b/>
          <w:sz w:val="30"/>
          <w:szCs w:val="30"/>
        </w:rPr>
        <w:t xml:space="preserve">6：</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授权委托书</w:t>
      </w:r>
      <w:r/>
    </w:p>
    <w:p>
      <w:pPr>
        <w:pStyle w:val="836"/>
        <w:jc w:val="center"/>
        <w:spacing w:line="360" w:lineRule="auto"/>
        <w:rPr>
          <w:rFonts w:cs="宋体"/>
          <w:sz w:val="24"/>
          <w:szCs w:val="21"/>
          <w:u w:val="single"/>
        </w:rPr>
      </w:pPr>
      <w:r>
        <w:rPr>
          <w:rFonts w:hint="eastAsia" w:cs="宋体"/>
          <w:sz w:val="24"/>
          <w:szCs w:val="21"/>
          <w:u w:val="single"/>
        </w:rPr>
        <w:t xml:space="preserve">（被授权人参加投标时，须出示此证明）</w:t>
      </w:r>
      <w:r>
        <w:rPr>
          <w:rFonts w:cs="宋体"/>
          <w:sz w:val="24"/>
          <w:szCs w:val="21"/>
          <w:u w:val="single"/>
        </w:rPr>
      </w:r>
      <w:r/>
    </w:p>
    <w:p>
      <w:pPr>
        <w:pStyle w:val="836"/>
        <w:ind w:firstLine="480"/>
        <w:spacing w:line="360" w:lineRule="auto"/>
        <w:rPr>
          <w:rFonts w:ascii="宋体" w:hAnsi="宋体"/>
          <w:sz w:val="24"/>
        </w:rPr>
      </w:pPr>
      <w:r>
        <w:rPr>
          <w:rFonts w:ascii="宋体" w:hAnsi="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（授权单位名称）的法定代表人，现委托</w:t>
      </w:r>
      <w:r>
        <w:rPr>
          <w:rFonts w:hint="eastAsia" w:ascii="宋体" w:hAnsi="宋体" w:cs="宋体"/>
          <w:sz w:val="24"/>
          <w:u w:val="single"/>
        </w:rPr>
        <w:t xml:space="preserve">    </w:t>
      </w:r>
      <w:r>
        <w:rPr>
          <w:rFonts w:hint="eastAsia" w:ascii="宋体" w:hAnsi="宋体" w:cs="宋体"/>
          <w:sz w:val="24"/>
        </w:rPr>
        <w:t xml:space="preserve">（姓名）（身份证号：</w:t>
      </w:r>
      <w:r>
        <w:rPr>
          <w:rFonts w:hint="eastAsia" w:ascii="宋体" w:hAnsi="宋体" w:cs="宋体"/>
          <w:sz w:val="24"/>
          <w:u w:val="single"/>
        </w:rPr>
        <w:t xml:space="preserve">          </w:t>
      </w:r>
      <w:r>
        <w:rPr>
          <w:rFonts w:hint="eastAsia" w:ascii="宋体" w:hAnsi="宋体" w:cs="宋体"/>
          <w:sz w:val="24"/>
        </w:rPr>
        <w:t xml:space="preserve">）为我方代理人，以我方名义全权处理与本次采购项目</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）有关的一切事务，其法律后果由我方承担。</w:t>
      </w:r>
      <w:r/>
    </w:p>
    <w:p>
      <w:pPr>
        <w:pStyle w:val="836"/>
        <w:ind w:firstLine="480"/>
        <w:spacing w:line="360" w:lineRule="auto"/>
        <w:rPr>
          <w:rFonts w:hint="eastAsia" w:ascii="宋体" w:hAnsi="宋体" w:cs="宋体"/>
          <w:sz w:val="24"/>
        </w:rPr>
      </w:pPr>
      <w:r>
        <w:rPr>
          <w:rFonts w:hint="eastAsia" w:ascii="宋体" w:hAnsi="宋体" w:cs="宋体"/>
          <w:sz w:val="24"/>
        </w:rPr>
        <w:t xml:space="preserve">本授权书于2026年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日起生效。代理人无转委托权。</w:t>
      </w:r>
      <w:r/>
    </w:p>
    <w:p>
      <w:pPr>
        <w:pStyle w:val="836"/>
        <w:ind w:firstLine="360"/>
        <w:spacing w:line="360" w:lineRule="auto"/>
        <w:rPr>
          <w:rFonts w:hint="eastAsia" w:ascii="宋体" w:hAnsi="宋体" w:cs="宋体"/>
          <w:sz w:val="24"/>
        </w:rPr>
      </w:pPr>
      <w:r>
        <w:rPr>
          <w:rFonts w:hint="eastAsia" w:ascii="宋体" w:hAnsi="宋体" w:cs="宋体"/>
          <w:sz w:val="24"/>
        </w:rPr>
        <w:t xml:space="preserve">代理人（被授权人）：</w:t>
      </w:r>
      <w:r/>
    </w:p>
    <w:p>
      <w:pPr>
        <w:pStyle w:val="836"/>
        <w:ind w:firstLine="360"/>
        <w:spacing w:line="360" w:lineRule="auto"/>
        <w:rPr>
          <w:rFonts w:hint="eastAsia" w:ascii="宋体" w:hAnsi="宋体" w:cs="宋体"/>
          <w:sz w:val="24"/>
        </w:rPr>
      </w:pPr>
      <w:r>
        <w:rPr>
          <w:rFonts w:hint="eastAsia" w:ascii="宋体" w:hAnsi="宋体" w:cs="宋体"/>
          <w:sz w:val="24"/>
        </w:rPr>
        <w:t xml:space="preserve">授权单位名称（加盖CA电子签章）：</w:t>
      </w:r>
      <w:r/>
    </w:p>
    <w:p>
      <w:pPr>
        <w:pStyle w:val="836"/>
        <w:ind w:firstLine="360"/>
        <w:spacing w:line="360" w:lineRule="auto"/>
        <w:rPr>
          <w:rFonts w:hint="eastAsia" w:ascii="宋体" w:hAnsi="宋体" w:cs="宋体"/>
          <w:sz w:val="24"/>
        </w:rPr>
      </w:pPr>
      <w:r>
        <w:rPr>
          <w:rFonts w:hint="eastAsia" w:ascii="宋体" w:hAnsi="宋体" w:cs="宋体"/>
          <w:sz w:val="24"/>
        </w:rPr>
        <w:t xml:space="preserve">授权单位法定代表人（签字或加盖CA电子签章）：</w:t>
      </w:r>
      <w:r/>
    </w:p>
    <w:p>
      <w:pPr>
        <w:pStyle w:val="836"/>
        <w:jc w:val="right"/>
        <w:spacing w:line="360" w:lineRule="auto"/>
        <w:rPr>
          <w:rFonts w:hint="eastAsia" w:ascii="宋体" w:hAnsi="宋体" w:cs="宋体"/>
          <w:sz w:val="24"/>
        </w:rPr>
      </w:pPr>
      <w:r>
        <w:rPr>
          <w:rFonts w:hint="eastAsia" w:ascii="宋体" w:hAnsi="宋体" w:cs="宋体"/>
          <w:sz w:val="24"/>
        </w:rPr>
      </w:r>
      <w:r/>
    </w:p>
    <w:p>
      <w:pPr>
        <w:pStyle w:val="836"/>
        <w:jc w:val="right"/>
        <w:spacing w:line="360" w:lineRule="auto"/>
        <w:rPr>
          <w:rFonts w:hint="eastAsia" w:ascii="宋体" w:hAnsi="宋体" w:cs="宋体"/>
          <w:sz w:val="24"/>
        </w:rPr>
      </w:pPr>
      <w:r>
        <w:rPr>
          <w:rFonts w:hint="eastAsia" w:ascii="宋体" w:hAnsi="宋体" w:cs="宋体"/>
          <w:sz w:val="24"/>
          <w:lang w:val="zh-CN" w:bidi="ar"/>
        </w:rPr>
        <w:t xml:space="preserve">日期：</w:t>
      </w:r>
      <w:r>
        <w:rPr>
          <w:rFonts w:hint="eastAsia" w:ascii="宋体" w:hAnsi="宋体" w:cs="宋体"/>
          <w:sz w:val="24"/>
          <w:lang w:bidi="ar"/>
        </w:rPr>
        <w:t xml:space="preserve">2026年</w:t>
      </w:r>
      <w:r>
        <w:rPr>
          <w:rFonts w:hint="eastAsia" w:ascii="宋体" w:hAnsi="宋体" w:cs="宋体"/>
          <w:sz w:val="24"/>
          <w:lang w:val="zh-CN" w:bidi="ar"/>
        </w:rPr>
        <w:t xml:space="preserve">  月   日</w:t>
      </w:r>
      <w:r>
        <w:rPr>
          <w:rFonts w:hint="eastAsia" w:ascii="宋体" w:hAnsi="宋体" w:cs="宋体"/>
          <w:sz w:val="24"/>
        </w:rPr>
      </w:r>
      <w:r/>
    </w:p>
    <w:p>
      <w:pPr>
        <w:pStyle w:val="836"/>
        <w:contextualSpacing/>
        <w:ind w:firstLine="463"/>
        <w:spacing w:line="360" w:lineRule="auto"/>
        <w:rPr>
          <w:rFonts w:hint="eastAsia" w:ascii="宋体" w:hAnsi="宋体" w:cs="宋体"/>
          <w:b/>
          <w:sz w:val="24"/>
        </w:rPr>
      </w:pPr>
      <w:r>
        <w:rPr>
          <w:rFonts w:hint="eastAsia" w:ascii="宋体" w:hAnsi="宋体" w:cs="宋体"/>
          <w:b/>
          <w:sz w:val="24"/>
        </w:rPr>
      </w:r>
      <w:r/>
    </w:p>
    <w:p>
      <w:pPr>
        <w:pStyle w:val="836"/>
        <w:contextualSpacing/>
        <w:ind w:firstLine="463"/>
        <w:spacing w:line="360" w:lineRule="auto"/>
        <w:rPr>
          <w:rFonts w:hint="eastAsia" w:ascii="宋体" w:hAnsi="宋体" w:cs="宋体"/>
          <w:b/>
          <w:sz w:val="24"/>
        </w:rPr>
      </w:pPr>
      <w:r>
        <w:rPr>
          <w:rFonts w:hint="eastAsia" w:ascii="宋体" w:hAnsi="宋体" w:cs="宋体"/>
          <w:b/>
          <w:sz w:val="24"/>
        </w:rPr>
        <w:t xml:space="preserve">注：法定代表人本人身份证复印件及被授权人本人身份证复印件盖公章</w:t>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36"/>
        <w:jc w:val="left"/>
        <w:spacing w:before="240" w:line="312" w:lineRule="auto"/>
        <w:rPr>
          <w:rFonts w:hint="eastAsia" w:ascii="宋体" w:hAnsi="宋体" w:cs="宋体"/>
          <w:b/>
          <w:sz w:val="30"/>
          <w:szCs w:val="30"/>
          <w:lang w:val="zh-CN"/>
        </w:rPr>
      </w:pPr>
      <w:r>
        <w:rPr>
          <w:rFonts w:hint="eastAsia" w:ascii="宋体" w:hAnsi="宋体" w:cs="宋体"/>
          <w:sz w:val="32"/>
          <w:szCs w:val="32"/>
          <w:lang w:val="zh-CN"/>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7：</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联合体协议书（如有）</w:t>
      </w:r>
      <w:r/>
    </w:p>
    <w:p>
      <w:pPr>
        <w:pStyle w:val="836"/>
        <w:ind w:firstLine="480"/>
        <w:keepLines/>
        <w:spacing w:line="360" w:lineRule="auto"/>
        <w:widowControl/>
        <w:rPr>
          <w:rFonts w:hint="eastAsia" w:ascii="宋体" w:hAnsi="宋体" w:cs="宋体"/>
          <w:sz w:val="24"/>
          <w:u w:val="single"/>
        </w:rPr>
      </w:pPr>
      <w:r>
        <w:rPr>
          <w:rFonts w:hint="eastAsia" w:ascii="宋体" w:hAnsi="宋体" w:cs="宋体"/>
          <w:sz w:val="24"/>
          <w:u w:val="single"/>
        </w:rPr>
      </w:r>
      <w:r/>
    </w:p>
    <w:p>
      <w:pPr>
        <w:pStyle w:val="836"/>
        <w:ind w:firstLine="480"/>
        <w:keepLines/>
        <w:spacing w:line="360" w:lineRule="auto"/>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（所有成员单位名称）自愿组成</w:t>
      </w:r>
      <w:r>
        <w:rPr>
          <w:rFonts w:hint="eastAsia" w:ascii="宋体" w:hAnsi="宋体" w:cs="宋体"/>
          <w:sz w:val="24"/>
          <w:u w:val="single"/>
        </w:rPr>
        <w:t xml:space="preserve">                </w:t>
      </w:r>
      <w:r>
        <w:rPr>
          <w:rFonts w:hint="eastAsia" w:ascii="宋体" w:hAnsi="宋体" w:cs="宋体"/>
          <w:sz w:val="24"/>
        </w:rPr>
        <w:t xml:space="preserve">（联合体名称）联合体，共同参加</w:t>
      </w:r>
      <w:r>
        <w:rPr>
          <w:rFonts w:hint="eastAsia" w:ascii="宋体" w:hAnsi="宋体" w:cs="宋体"/>
          <w:sz w:val="24"/>
          <w:u w:val="single"/>
        </w:rPr>
        <w:t xml:space="preserve">                       </w:t>
      </w:r>
      <w:r>
        <w:rPr>
          <w:rFonts w:hint="eastAsia" w:ascii="宋体" w:hAnsi="宋体" w:cs="宋体"/>
          <w:sz w:val="24"/>
        </w:rPr>
        <w:t xml:space="preserve">（项目名称）项目投标。现就联合体投标事宜订立如下协议。</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w:t>
      </w:r>
      <w:r>
        <w:rPr>
          <w:rFonts w:hint="eastAsia" w:ascii="宋体" w:hAnsi="宋体" w:cs="宋体"/>
          <w:sz w:val="24"/>
        </w:rPr>
        <w:t xml:space="preserve">（某成员单位名称）为</w:t>
      </w:r>
      <w:r>
        <w:rPr>
          <w:rFonts w:hint="eastAsia" w:ascii="宋体" w:hAnsi="宋体" w:cs="宋体"/>
          <w:sz w:val="24"/>
          <w:u w:val="single"/>
        </w:rPr>
        <w:t xml:space="preserve">               </w:t>
      </w:r>
      <w:r>
        <w:rPr>
          <w:rFonts w:hint="eastAsia" w:ascii="宋体" w:hAnsi="宋体" w:cs="宋体"/>
          <w:sz w:val="24"/>
        </w:rPr>
        <w:t xml:space="preserve">（联合体名称）牵头人。</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2. 联合体各成员授权牵头人代表联合体参加投标活动，签署文件，提交和接收相关的资料、信息及指示，进行合同谈判活动，负责合同实施阶段的组织和协调工作，以及处理与本招标项目有关的一切事宜。</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3. 联合体牵头人在本项目中签署的一切文件和处理的一切事宜，联合体各成员均予以承认。联合体各成员将严格按照招标文件、投标文件和合同的要求全面履行义务，并向招标人承担连带责任。</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4. 联合体各成员单位内部的职责分工如下：</w:t>
      </w:r>
      <w:r>
        <w:rPr>
          <w:rFonts w:hint="eastAsia" w:ascii="宋体" w:hAnsi="宋体" w:cs="宋体"/>
          <w:sz w:val="24"/>
          <w:u w:val="single"/>
        </w:rPr>
        <w:t xml:space="preserve">                               </w:t>
      </w:r>
      <w:r>
        <w:rPr>
          <w:rFonts w:hint="eastAsia" w:ascii="宋体" w:hAnsi="宋体" w:cs="宋体"/>
          <w:sz w:val="24"/>
        </w:rPr>
        <w:t xml:space="preserve">。</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5. 本协议书自所有成员单位法定代表人或其委托代理人签字或盖单位章之日起生效，合同履行完毕后自动失效。</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6. 本协议书一式</w:t>
      </w:r>
      <w:r>
        <w:rPr>
          <w:rFonts w:hint="eastAsia" w:ascii="宋体" w:hAnsi="宋体" w:cs="宋体"/>
          <w:sz w:val="24"/>
          <w:u w:val="single"/>
        </w:rPr>
        <w:t xml:space="preserve">  三  </w:t>
      </w:r>
      <w:r>
        <w:rPr>
          <w:rFonts w:hint="eastAsia" w:ascii="宋体" w:hAnsi="宋体" w:cs="宋体"/>
          <w:sz w:val="24"/>
        </w:rPr>
        <w:t xml:space="preserve">份，联合体成员和招标人各执一份。</w:t>
      </w:r>
      <w:r/>
    </w:p>
    <w:p>
      <w:pPr>
        <w:pStyle w:val="836"/>
        <w:ind w:firstLine="480"/>
        <w:keepLines/>
        <w:spacing w:line="360" w:lineRule="auto"/>
        <w:widowControl/>
        <w:rPr>
          <w:rFonts w:hint="eastAsia" w:ascii="宋体" w:hAnsi="宋体" w:cs="宋体"/>
          <w:sz w:val="24"/>
        </w:rPr>
      </w:pPr>
      <w:r>
        <w:rPr>
          <w:rFonts w:hint="eastAsia" w:ascii="宋体" w:hAnsi="宋体" w:cs="宋体"/>
          <w:sz w:val="24"/>
        </w:rPr>
        <w:t xml:space="preserve">注：本协议书由法定代表人签字的，应附法定代表人身份证明；由委托代理人签字的，应附授权委托书。</w:t>
      </w:r>
      <w:r/>
    </w:p>
    <w:p>
      <w:pPr>
        <w:pStyle w:val="836"/>
        <w:keepLines/>
        <w:spacing w:line="360" w:lineRule="auto"/>
        <w:widowControl/>
        <w:rPr>
          <w:rFonts w:hint="eastAsia" w:ascii="宋体" w:hAnsi="宋体" w:cs="宋体"/>
          <w:sz w:val="24"/>
        </w:rPr>
      </w:pPr>
      <w:r>
        <w:rPr>
          <w:rFonts w:hint="eastAsia" w:ascii="宋体" w:hAnsi="宋体" w:cs="宋体"/>
          <w:sz w:val="24"/>
        </w:rPr>
      </w:r>
      <w:r/>
    </w:p>
    <w:p>
      <w:pPr>
        <w:pStyle w:val="836"/>
        <w:ind w:firstLine="480"/>
        <w:jc w:val="left"/>
        <w:keepLines/>
        <w:spacing w:line="360" w:lineRule="auto"/>
        <w:widowControl/>
        <w:rPr>
          <w:rFonts w:hint="eastAsia" w:ascii="宋体" w:hAnsi="宋体" w:cs="宋体"/>
          <w:sz w:val="24"/>
          <w:u w:val="single"/>
        </w:rPr>
      </w:pPr>
      <w:r>
        <w:rPr>
          <w:rFonts w:hint="eastAsia" w:ascii="宋体" w:hAnsi="宋体" w:cs="宋体"/>
          <w:sz w:val="24"/>
        </w:rPr>
        <w:t xml:space="preserve">联合体牵头人名称：  </w:t>
      </w:r>
      <w:r>
        <w:rPr>
          <w:rFonts w:hint="eastAsia" w:ascii="宋体" w:hAnsi="宋体" w:cs="宋体"/>
          <w:sz w:val="24"/>
          <w:u w:val="single"/>
        </w:rPr>
        <w:t xml:space="preserve">             （盖单位章）</w:t>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法定代表人或其委托代理人：</w:t>
      </w:r>
      <w:r>
        <w:rPr>
          <w:rFonts w:hint="eastAsia" w:ascii="宋体" w:hAnsi="宋体" w:cs="宋体"/>
          <w:sz w:val="24"/>
          <w:u w:val="single"/>
        </w:rPr>
        <w:t xml:space="preserve">         </w:t>
        <w:tab/>
      </w:r>
      <w:r>
        <w:rPr>
          <w:rFonts w:hint="eastAsia" w:ascii="宋体" w:hAnsi="宋体" w:cs="宋体"/>
          <w:sz w:val="24"/>
        </w:rPr>
        <w:t xml:space="preserve">（签字或印鉴）</w:t>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联合体成员名称： </w:t>
      </w:r>
      <w:r>
        <w:rPr>
          <w:rFonts w:hint="eastAsia" w:ascii="宋体" w:hAnsi="宋体" w:cs="宋体"/>
          <w:sz w:val="24"/>
          <w:u w:val="single"/>
        </w:rPr>
        <w:t xml:space="preserve">       （盖单位章）</w:t>
      </w:r>
      <w:r>
        <w:rPr>
          <w:rFonts w:hint="eastAsia" w:ascii="宋体" w:hAnsi="宋体" w:cs="宋体"/>
          <w:sz w:val="24"/>
        </w:rPr>
      </w:r>
      <w:r/>
    </w:p>
    <w:p>
      <w:pPr>
        <w:pStyle w:val="836"/>
        <w:ind w:firstLine="480"/>
        <w:jc w:val="left"/>
        <w:keepLines/>
        <w:spacing w:line="360" w:lineRule="auto"/>
        <w:widowControl/>
        <w:rPr>
          <w:rFonts w:hint="eastAsia" w:ascii="宋体" w:hAnsi="宋体" w:cs="宋体"/>
          <w:sz w:val="24"/>
        </w:rPr>
      </w:pPr>
      <w:r>
        <w:rPr>
          <w:rFonts w:hint="eastAsia" w:ascii="宋体" w:hAnsi="宋体" w:cs="宋体"/>
          <w:sz w:val="24"/>
        </w:rPr>
        <w:t xml:space="preserve">法定代表人或其委托代理人：</w:t>
      </w:r>
      <w:r>
        <w:rPr>
          <w:rFonts w:hint="eastAsia" w:ascii="宋体" w:hAnsi="宋体" w:cs="宋体"/>
          <w:sz w:val="24"/>
          <w:u w:val="single"/>
        </w:rPr>
        <w:t xml:space="preserve">         </w:t>
      </w:r>
      <w:r>
        <w:rPr>
          <w:rFonts w:hint="eastAsia" w:ascii="宋体" w:hAnsi="宋体" w:cs="宋体"/>
          <w:sz w:val="24"/>
        </w:rPr>
        <w:t xml:space="preserve">（签字或印鉴）</w:t>
      </w:r>
      <w:r/>
    </w:p>
    <w:p>
      <w:pPr>
        <w:pStyle w:val="836"/>
        <w:jc w:val="right"/>
        <w:keepLines/>
        <w:spacing w:line="360" w:lineRule="auto"/>
        <w:widowControl/>
        <w:rPr>
          <w:rFonts w:hint="eastAsia" w:ascii="宋体" w:hAnsi="宋体" w:cs="宋体"/>
          <w:bCs/>
          <w:sz w:val="24"/>
          <w:lang w:val="zh-CN"/>
        </w:rPr>
      </w:pPr>
      <w:r>
        <w:rPr>
          <w:rFonts w:hint="eastAsia" w:ascii="宋体" w:hAnsi="宋体" w:cs="宋体"/>
          <w:bCs/>
          <w:sz w:val="24"/>
        </w:rPr>
        <w:t xml:space="preserve">日期：</w:t>
      </w:r>
      <w:r>
        <w:rPr>
          <w:rFonts w:hint="eastAsia" w:ascii="宋体" w:hAnsi="宋体" w:cs="宋体"/>
          <w:sz w:val="24"/>
        </w:rPr>
        <w:t xml:space="preserve">2026</w:t>
      </w:r>
      <w:r>
        <w:rPr>
          <w:rFonts w:hint="eastAsia" w:ascii="宋体" w:hAnsi="宋体" w:cs="宋体"/>
          <w:bCs/>
          <w:sz w:val="24"/>
        </w:rPr>
        <w:t xml:space="preserve">年</w:t>
      </w:r>
      <w:r>
        <w:rPr>
          <w:rFonts w:hint="eastAsia" w:ascii="宋体" w:hAnsi="宋体" w:cs="宋体"/>
          <w:bCs/>
          <w:sz w:val="24"/>
          <w:lang w:val="zh-CN"/>
        </w:rPr>
        <w:t xml:space="preserve">  月   日</w:t>
      </w:r>
      <w:r/>
    </w:p>
    <w:p>
      <w:pPr>
        <w:pStyle w:val="836"/>
        <w:jc w:val="left"/>
        <w:spacing w:before="240" w:line="360" w:lineRule="auto"/>
        <w:rPr>
          <w:rFonts w:hint="eastAsia" w:ascii="宋体" w:hAnsi="宋体" w:cs="宋体"/>
          <w:b/>
          <w:sz w:val="30"/>
          <w:szCs w:val="30"/>
        </w:rPr>
      </w:pPr>
      <w:r>
        <w:rPr>
          <w:rFonts w:hint="eastAsia" w:ascii="宋体" w:hAnsi="宋体" w:cs="宋体"/>
          <w:b/>
          <w:sz w:val="30"/>
          <w:szCs w:val="30"/>
          <w:lang w:val="zh-CN"/>
        </w:rPr>
        <w:br w:type="page" w:clear="all"/>
        <w:t xml:space="preserve">附件</w:t>
      </w:r>
      <w:r>
        <w:rPr>
          <w:rFonts w:hint="eastAsia" w:ascii="宋体" w:hAnsi="宋体" w:cs="宋体"/>
          <w:b/>
          <w:sz w:val="30"/>
          <w:szCs w:val="30"/>
        </w:rPr>
        <w:t xml:space="preserve">8：</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中小企业声明函（货物）</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本公司（联合体）郑重声明，根据《政府采购促进中小企业发展管理办法》（财库﹝2020﹞46 号）的规定，本公司（联合体）参加</w:t>
      </w:r>
      <w:r>
        <w:rPr>
          <w:rFonts w:hint="eastAsia" w:ascii="宋体" w:hAnsi="宋体" w:cs="宋体"/>
          <w:sz w:val="24"/>
          <w:u w:val="single"/>
          <w:lang w:bidi="zh-CN"/>
        </w:rPr>
        <w:t xml:space="preserve">（单位名称）</w:t>
      </w:r>
      <w:r>
        <w:rPr>
          <w:rFonts w:hint="eastAsia" w:ascii="宋体" w:hAnsi="宋体" w:cs="宋体"/>
          <w:sz w:val="24"/>
          <w:lang w:bidi="zh-CN"/>
        </w:rPr>
        <w:t xml:space="preserve">的</w:t>
      </w:r>
      <w:r>
        <w:rPr>
          <w:rFonts w:hint="eastAsia" w:ascii="宋体" w:hAnsi="宋体" w:cs="宋体"/>
          <w:sz w:val="24"/>
          <w:u w:val="single"/>
          <w:lang w:bidi="zh-CN"/>
        </w:rPr>
        <w:t xml:space="preserve">（项目名称）</w:t>
      </w:r>
      <w:r>
        <w:rPr>
          <w:rFonts w:hint="eastAsia" w:ascii="宋体" w:hAnsi="宋体" w:cs="宋体"/>
          <w:sz w:val="24"/>
          <w:lang w:bidi="zh-CN"/>
        </w:rPr>
        <w:t xml:space="preserve">采购活动，提供的货物全部由符合政策要求的中小企业制造。相关企业（含联合体中的中小企业、签订分包意向协议的中小企业） 的具体情况如下：</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u w:val="single"/>
          <w:lang w:bidi="zh-CN"/>
        </w:rPr>
        <w:t xml:space="preserve"> （标的名称）</w:t>
      </w:r>
      <w:r>
        <w:rPr>
          <w:rFonts w:hint="eastAsia" w:ascii="宋体" w:hAnsi="宋体" w:cs="宋体"/>
          <w:sz w:val="24"/>
          <w:lang w:bidi="zh-CN"/>
        </w:rPr>
        <w:t xml:space="preserve"> ，属于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w:t>
      </w:r>
      <w:r>
        <w:rPr>
          <w:rFonts w:hint="eastAsia" w:ascii="宋体" w:hAnsi="宋体" w:cs="宋体"/>
          <w:i/>
          <w:sz w:val="24"/>
          <w:u w:val="single"/>
          <w:lang w:bidi="zh-CN"/>
        </w:rPr>
        <w:t xml:space="preserve"> </w:t>
      </w:r>
      <w:r>
        <w:rPr>
          <w:rFonts w:hint="eastAsia" w:ascii="宋体" w:hAnsi="宋体" w:cs="宋体"/>
          <w:sz w:val="24"/>
          <w:u w:val="single"/>
          <w:lang w:bidi="zh-CN"/>
        </w:rPr>
        <w:t xml:space="preserve">（标的名称） </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行业；制造商为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注：1.如项目属性为“货物”，请按本表填写。</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2.从业人员、营业收入、资产总额填报上一年度数据，无上一年度数据的新成立企业可不填报。</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3.投标供应商须根据上述要求，详细列明货物清单中所有产品制造商的具体情况，否则不能享受中小企业扶持政策。</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pStyle w:val="836"/>
        <w:spacing w:line="360" w:lineRule="auto"/>
        <w:rPr>
          <w:rFonts w:hint="eastAsia" w:ascii="宋体" w:hAnsi="宋体" w:cs="宋体"/>
          <w:sz w:val="24"/>
          <w:lang w:bidi="zh-CN"/>
        </w:rPr>
      </w:pPr>
      <w:r>
        <w:rPr>
          <w:rFonts w:hint="eastAsia" w:ascii="宋体" w:hAnsi="宋体" w:cs="宋体"/>
          <w:sz w:val="24"/>
          <w:lang w:bidi="zh-CN"/>
        </w:rPr>
      </w:r>
      <w:r/>
    </w:p>
    <w:p>
      <w:pPr>
        <w:pStyle w:val="836"/>
        <w:jc w:val="right"/>
        <w:spacing w:line="360" w:lineRule="auto"/>
        <w:rPr>
          <w:rFonts w:cs="宋体"/>
          <w:sz w:val="24"/>
          <w:szCs w:val="28"/>
        </w:rPr>
      </w:pPr>
      <w:r>
        <w:rPr>
          <w:rFonts w:hint="eastAsia" w:cs="宋体"/>
          <w:sz w:val="24"/>
          <w:szCs w:val="28"/>
          <w:lang w:bidi="zh-CN"/>
        </w:rPr>
        <w:t xml:space="preserve">企业名称（</w:t>
      </w:r>
      <w:r>
        <w:rPr>
          <w:rFonts w:hint="eastAsia" w:ascii="宋体" w:hAnsi="宋体" w:cs="宋体"/>
          <w:bCs/>
          <w:sz w:val="24"/>
        </w:rPr>
        <w:t xml:space="preserve">加盖CA电子签章</w:t>
      </w:r>
      <w:r>
        <w:rPr>
          <w:rFonts w:hint="eastAsia" w:cs="宋体"/>
          <w:sz w:val="24"/>
          <w:szCs w:val="28"/>
          <w:lang w:bidi="zh-CN"/>
        </w:rPr>
        <w:t xml:space="preserve">）：</w:t>
      </w:r>
      <w:r>
        <w:rPr>
          <w:rFonts w:cs="宋体"/>
          <w:sz w:val="24"/>
          <w:szCs w:val="28"/>
        </w:rPr>
      </w:r>
      <w:r/>
    </w:p>
    <w:p>
      <w:pPr>
        <w:pStyle w:val="836"/>
        <w:jc w:val="right"/>
        <w:spacing w:line="360" w:lineRule="auto"/>
        <w:rPr>
          <w:rFonts w:hint="eastAsia" w:ascii="宋体" w:hAnsi="宋体" w:cs="宋体"/>
          <w:sz w:val="28"/>
          <w:szCs w:val="28"/>
        </w:rPr>
      </w:pPr>
      <w:r>
        <w:rPr>
          <w:rFonts w:hint="eastAsia" w:cs="宋体"/>
          <w:sz w:val="24"/>
          <w:szCs w:val="28"/>
          <w:lang w:bidi="zh-CN"/>
        </w:rPr>
        <w:t xml:space="preserve">日 期：</w:t>
      </w:r>
      <w:r>
        <w:rPr>
          <w:rFonts w:hint="eastAsia" w:ascii="宋体" w:hAnsi="宋体" w:cs="宋体"/>
          <w:sz w:val="28"/>
          <w:szCs w:val="28"/>
        </w:rPr>
      </w:r>
      <w:r/>
    </w:p>
    <w:p>
      <w:pPr>
        <w:pStyle w:val="836"/>
        <w:jc w:val="center"/>
        <w:spacing w:line="360" w:lineRule="auto"/>
        <w:rPr>
          <w:rFonts w:hint="eastAsia" w:ascii="宋体" w:hAnsi="宋体"/>
          <w:b/>
          <w:sz w:val="30"/>
          <w:szCs w:val="30"/>
        </w:rPr>
      </w:pPr>
      <w:r>
        <w:rPr>
          <w:rFonts w:hint="eastAsia" w:ascii="宋体" w:hAnsi="宋体" w:cs="宋体"/>
          <w:b/>
          <w:bCs/>
          <w:sz w:val="28"/>
          <w:szCs w:val="28"/>
          <w:lang w:bidi="zh-CN"/>
        </w:rPr>
        <w:br w:type="page" w:clear="all"/>
      </w:r>
      <w:r>
        <w:rPr>
          <w:rFonts w:hint="eastAsia" w:ascii="宋体" w:hAnsi="宋体"/>
          <w:b/>
          <w:sz w:val="30"/>
          <w:szCs w:val="30"/>
        </w:rPr>
        <w:t xml:space="preserve">中小企业声明函（工程、服务）</w:t>
      </w:r>
      <w:r/>
    </w:p>
    <w:p>
      <w:pPr>
        <w:pStyle w:val="836"/>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本公司（联合体）郑重声明，根据《政府采购促进中小企业发展管理办法》（财库﹝2020﹞46 号）的规定，本公司（联合体）参加</w:t>
      </w:r>
      <w:r>
        <w:rPr>
          <w:rFonts w:hint="eastAsia" w:ascii="宋体" w:hAnsi="宋体" w:cs="宋体"/>
          <w:sz w:val="24"/>
          <w:u w:val="single"/>
          <w:lang w:bidi="zh-CN"/>
        </w:rPr>
        <w:t xml:space="preserve">（单位名称）</w:t>
      </w:r>
      <w:r>
        <w:rPr>
          <w:rFonts w:hint="eastAsia" w:ascii="宋体" w:hAnsi="宋体" w:cs="宋体"/>
          <w:sz w:val="24"/>
          <w:lang w:bidi="zh-CN"/>
        </w:rPr>
        <w:t xml:space="preserve">的</w:t>
      </w:r>
      <w:r>
        <w:rPr>
          <w:rFonts w:hint="eastAsia" w:ascii="宋体" w:hAnsi="宋体" w:cs="宋体"/>
          <w:sz w:val="24"/>
          <w:u w:val="single"/>
          <w:lang w:bidi="zh-CN"/>
        </w:rPr>
        <w:t xml:space="preserve">（项目名称）</w:t>
      </w:r>
      <w:r>
        <w:rPr>
          <w:rFonts w:hint="eastAsia" w:ascii="宋体" w:hAnsi="宋体" w:cs="宋体"/>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w:t>
      </w:r>
      <w:r>
        <w:rPr>
          <w:rFonts w:hint="eastAsia" w:ascii="宋体" w:hAnsi="宋体" w:cs="宋体"/>
          <w:sz w:val="24"/>
          <w:u w:val="single"/>
          <w:lang w:bidi="zh-CN"/>
        </w:rPr>
        <w:t xml:space="preserve">（标的名称）</w:t>
      </w:r>
      <w:r>
        <w:rPr>
          <w:rFonts w:hint="eastAsia" w:ascii="宋体" w:hAnsi="宋体" w:cs="宋体"/>
          <w:sz w:val="24"/>
          <w:lang w:bidi="zh-CN"/>
        </w:rPr>
        <w:t xml:space="preserve">，属于（</w:t>
      </w:r>
      <w:r>
        <w:rPr>
          <w:rFonts w:hint="eastAsia" w:ascii="宋体" w:hAnsi="宋体" w:cs="宋体"/>
          <w:sz w:val="24"/>
          <w:u w:val="single"/>
          <w:lang w:bidi="zh-CN"/>
        </w:rPr>
        <w:t xml:space="preserve">采购文件中明确的所属行业）</w:t>
      </w:r>
      <w:r>
        <w:rPr>
          <w:rFonts w:hint="eastAsia" w:ascii="宋体" w:hAnsi="宋体" w:cs="宋体"/>
          <w:sz w:val="24"/>
          <w:lang w:bidi="zh-CN"/>
        </w:rPr>
        <w:t xml:space="preserve">；承建（承接）企业为</w:t>
      </w:r>
      <w:r>
        <w:rPr>
          <w:rFonts w:hint="eastAsia" w:ascii="宋体" w:hAnsi="宋体" w:cs="宋体"/>
          <w:sz w:val="24"/>
          <w:u w:val="single"/>
          <w:lang w:bidi="zh-CN"/>
        </w:rPr>
        <w:t xml:space="preserve">（企业名称）</w:t>
      </w:r>
      <w:r>
        <w:rPr>
          <w:rFonts w:hint="eastAsia" w:ascii="宋体" w:hAnsi="宋体" w:cs="宋体"/>
          <w:sz w:val="24"/>
          <w:lang w:bidi="zh-CN"/>
        </w:rPr>
        <w:t xml:space="preserve">，从业人员</w:t>
      </w:r>
      <w:r>
        <w:rPr>
          <w:rFonts w:hint="eastAsia" w:ascii="宋体" w:hAnsi="宋体" w:cs="宋体"/>
          <w:sz w:val="24"/>
          <w:u w:val="single"/>
          <w:lang w:bidi="zh-CN"/>
        </w:rPr>
        <w:t xml:space="preserve"> </w:t>
        <w:tab/>
      </w:r>
      <w:r>
        <w:rPr>
          <w:rFonts w:hint="eastAsia" w:ascii="宋体" w:hAnsi="宋体" w:cs="宋体"/>
          <w:sz w:val="24"/>
          <w:lang w:bidi="zh-CN"/>
        </w:rPr>
        <w:t xml:space="preserve">人，营业收入为</w:t>
      </w:r>
      <w:r>
        <w:rPr>
          <w:rFonts w:hint="eastAsia" w:ascii="宋体" w:hAnsi="宋体" w:cs="宋体"/>
          <w:sz w:val="24"/>
          <w:u w:val="single"/>
          <w:lang w:bidi="zh-CN"/>
        </w:rPr>
        <w:t xml:space="preserve"> </w:t>
        <w:tab/>
      </w:r>
      <w:r>
        <w:rPr>
          <w:rFonts w:hint="eastAsia" w:ascii="宋体" w:hAnsi="宋体" w:cs="宋体"/>
          <w:sz w:val="24"/>
          <w:lang w:bidi="zh-CN"/>
        </w:rPr>
        <w:t xml:space="preserve">万元，资产总额为</w:t>
      </w:r>
      <w:r>
        <w:rPr>
          <w:rFonts w:hint="eastAsia" w:ascii="宋体" w:hAnsi="宋体" w:cs="宋体"/>
          <w:sz w:val="24"/>
          <w:u w:val="single"/>
          <w:lang w:bidi="zh-CN"/>
        </w:rPr>
        <w:t xml:space="preserve"> </w:t>
        <w:tab/>
      </w:r>
      <w:r>
        <w:rPr>
          <w:rFonts w:hint="eastAsia" w:ascii="宋体" w:hAnsi="宋体" w:cs="宋体"/>
          <w:sz w:val="24"/>
          <w:lang w:bidi="zh-CN"/>
        </w:rPr>
        <w:t xml:space="preserve">万元，属于</w:t>
      </w:r>
      <w:r>
        <w:rPr>
          <w:rFonts w:hint="eastAsia" w:ascii="宋体" w:hAnsi="宋体" w:cs="宋体"/>
          <w:sz w:val="24"/>
          <w:u w:val="single"/>
          <w:lang w:bidi="zh-CN"/>
        </w:rPr>
        <w:t xml:space="preserve">（中型企业、小型企业、微型企业）</w:t>
      </w: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以上企业，不属于大企业的分支机构，不存在控股股东为大企业的情形，也不存在与大企业的负责人为同一人的情形。</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本企业对上述声明内容的真实性负责。如有虚假，将依法承担相应责任。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注：1.如项目属性为“服务”或“工程”，请按本表填写。</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2.从业人员、营业收入、资产总额填报上一年度数据，无上一年度数据的新成立企业可不填报。</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pStyle w:val="836"/>
        <w:ind w:firstLine="480"/>
        <w:spacing w:line="360" w:lineRule="auto"/>
        <w:rPr>
          <w:rFonts w:hint="eastAsia" w:ascii="宋体" w:hAnsi="宋体" w:cs="宋体"/>
          <w:sz w:val="24"/>
          <w:lang w:bidi="zh-CN"/>
        </w:rPr>
      </w:pPr>
      <w:r>
        <w:rPr>
          <w:rFonts w:hint="eastAsia" w:ascii="宋体" w:hAnsi="宋体" w:cs="宋体"/>
          <w:sz w:val="24"/>
          <w:lang w:bidi="zh-CN"/>
        </w:rPr>
      </w:r>
      <w:r/>
    </w:p>
    <w:p>
      <w:pPr>
        <w:pStyle w:val="836"/>
        <w:ind w:firstLine="480"/>
        <w:jc w:val="right"/>
        <w:spacing w:line="360" w:lineRule="auto"/>
        <w:rPr>
          <w:rFonts w:cs="宋体"/>
          <w:sz w:val="24"/>
        </w:rPr>
      </w:pPr>
      <w:r>
        <w:rPr>
          <w:rFonts w:hint="eastAsia" w:cs="宋体"/>
          <w:sz w:val="24"/>
          <w:lang w:bidi="zh-CN"/>
        </w:rPr>
        <w:t xml:space="preserve">企业名称（</w:t>
      </w:r>
      <w:r>
        <w:rPr>
          <w:rFonts w:hint="eastAsia" w:ascii="宋体" w:hAnsi="宋体" w:cs="宋体"/>
          <w:bCs/>
          <w:sz w:val="24"/>
        </w:rPr>
        <w:t xml:space="preserve">加盖CA电子签章</w:t>
      </w:r>
      <w:r>
        <w:rPr>
          <w:rFonts w:hint="eastAsia" w:cs="宋体"/>
          <w:sz w:val="24"/>
          <w:lang w:bidi="zh-CN"/>
        </w:rPr>
        <w:t xml:space="preserve">）：</w:t>
      </w:r>
      <w:r>
        <w:rPr>
          <w:rFonts w:cs="宋体"/>
          <w:sz w:val="24"/>
        </w:rPr>
      </w:r>
      <w:r/>
    </w:p>
    <w:p>
      <w:pPr>
        <w:pStyle w:val="836"/>
        <w:ind w:firstLine="480"/>
        <w:jc w:val="right"/>
        <w:spacing w:line="360" w:lineRule="auto"/>
        <w:rPr>
          <w:rFonts w:hint="eastAsia" w:cs="宋体"/>
          <w:sz w:val="24"/>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cs="宋体"/>
          <w:sz w:val="24"/>
        </w:rPr>
      </w:r>
      <w:r/>
    </w:p>
    <w:p>
      <w:pPr>
        <w:pStyle w:val="836"/>
        <w:jc w:val="left"/>
        <w:spacing w:before="240" w:line="312" w:lineRule="auto"/>
        <w:rPr>
          <w:rFonts w:hint="eastAsia" w:ascii="宋体" w:hAnsi="宋体" w:cs="宋体"/>
          <w:b/>
          <w:sz w:val="30"/>
          <w:szCs w:val="30"/>
        </w:rPr>
      </w:pPr>
      <w:r>
        <w:rPr>
          <w:rFonts w:hint="eastAsia" w:ascii="宋体" w:hAnsi="宋体" w:cs="宋体"/>
          <w:sz w:val="32"/>
          <w:szCs w:val="32"/>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9：</w:t>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残疾人福利性单位声明函</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pStyle w:val="836"/>
        <w:ind w:firstLine="560"/>
        <w:spacing w:line="588" w:lineRule="exact"/>
        <w:rPr>
          <w:rFonts w:hint="eastAsia" w:ascii="宋体" w:hAnsi="宋体" w:cs="宋体"/>
          <w:sz w:val="28"/>
          <w:szCs w:val="28"/>
        </w:rPr>
      </w:pPr>
      <w:r>
        <w:rPr>
          <w:rFonts w:hint="eastAsia" w:ascii="宋体" w:hAnsi="宋体" w:cs="宋体"/>
          <w:sz w:val="28"/>
          <w:szCs w:val="28"/>
        </w:rPr>
        <w:t xml:space="preserve">（备注：1、供应商如不提供此声明函，价格将不做相应扣除。2、中标供应商为残疾人福利单位的，此声明函将随中标结果同时公告，接受社会监督）</w:t>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pStyle w:val="836"/>
        <w:ind w:right="1560" w:firstLine="584"/>
        <w:jc w:val="center"/>
        <w:spacing w:line="588" w:lineRule="exact"/>
        <w:tabs>
          <w:tab w:val="left" w:pos="4860" w:leader="none"/>
        </w:tabs>
        <w:rPr>
          <w:rFonts w:hint="eastAsia"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pStyle w:val="836"/>
        <w:ind w:right="1560" w:firstLine="560"/>
        <w:jc w:val="center"/>
        <w:spacing w:line="588" w:lineRule="exact"/>
        <w:tabs>
          <w:tab w:val="left" w:pos="4860" w:leader="none"/>
        </w:tabs>
        <w:rPr>
          <w:rFonts w:hint="eastAsia" w:ascii="宋体" w:hAnsi="宋体" w:cs="宋体"/>
          <w:sz w:val="28"/>
          <w:szCs w:val="28"/>
        </w:rPr>
      </w:pPr>
      <w:r>
        <w:rPr>
          <w:rFonts w:hint="eastAsia" w:ascii="宋体" w:hAnsi="宋体" w:cs="宋体"/>
          <w:sz w:val="28"/>
          <w:szCs w:val="28"/>
        </w:rPr>
        <w:t xml:space="preserve">              日  期：</w:t>
      </w:r>
      <w:r/>
    </w:p>
    <w:p>
      <w:pPr>
        <w:pStyle w:val="836"/>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spacing w:line="300" w:lineRule="auto"/>
        <w:rPr>
          <w:rFonts w:hint="eastAsia" w:ascii="宋体" w:hAnsi="宋体" w:cs="宋体"/>
          <w:sz w:val="28"/>
          <w:szCs w:val="28"/>
        </w:rPr>
      </w:pPr>
      <w:r>
        <w:rPr>
          <w:rFonts w:hint="eastAsia" w:ascii="宋体" w:hAnsi="宋体" w:cs="宋体"/>
          <w:sz w:val="28"/>
          <w:szCs w:val="28"/>
        </w:rPr>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附件1</w:t>
      </w:r>
      <w:r>
        <w:rPr>
          <w:rFonts w:hint="eastAsia" w:ascii="宋体" w:hAnsi="宋体" w:cs="宋体"/>
          <w:b/>
          <w:sz w:val="30"/>
          <w:szCs w:val="30"/>
        </w:rPr>
        <w:t xml:space="preserve">0：</w:t>
      </w:r>
      <w:r>
        <w:rPr>
          <w:rFonts w:hint="eastAsia" w:ascii="宋体" w:hAnsi="宋体" w:cs="宋体"/>
          <w:b/>
          <w:sz w:val="30"/>
          <w:szCs w:val="30"/>
          <w:lang w:val="zh-CN"/>
        </w:rPr>
      </w:r>
      <w:r/>
    </w:p>
    <w:p>
      <w:pPr>
        <w:pStyle w:val="836"/>
        <w:jc w:val="center"/>
        <w:spacing w:line="360" w:lineRule="auto"/>
        <w:rPr>
          <w:rFonts w:hint="eastAsia" w:ascii="宋体" w:hAnsi="宋体" w:cs="宋体"/>
          <w:b/>
          <w:bCs/>
          <w:sz w:val="30"/>
          <w:szCs w:val="30"/>
        </w:rPr>
        <w:outlineLvl w:val="3"/>
      </w:pPr>
      <w:r>
        <w:rPr>
          <w:rFonts w:hint="eastAsia" w:ascii="宋体" w:hAnsi="宋体" w:cs="宋体"/>
          <w:b/>
          <w:bCs/>
          <w:sz w:val="30"/>
          <w:szCs w:val="30"/>
        </w:rPr>
        <w:t xml:space="preserve">监狱和戒毒企业证明材料</w:t>
      </w:r>
      <w:r/>
    </w:p>
    <w:p>
      <w:pPr>
        <w:pStyle w:val="836"/>
        <w:ind w:firstLine="496"/>
        <w:spacing w:line="420" w:lineRule="exact"/>
        <w:rPr>
          <w:rFonts w:hint="eastAsia" w:ascii="宋体" w:hAnsi="宋体" w:cs="宋体"/>
          <w:sz w:val="28"/>
          <w:szCs w:val="28"/>
        </w:rPr>
      </w:pPr>
      <w:r>
        <w:rPr>
          <w:rFonts w:hint="eastAsia" w:ascii="宋体" w:hAnsi="宋体" w:cs="宋体"/>
          <w:sz w:val="28"/>
          <w:szCs w:val="28"/>
        </w:rPr>
      </w:r>
      <w:r/>
    </w:p>
    <w:p>
      <w:pPr>
        <w:pStyle w:val="836"/>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p>
    <w:p>
      <w:pPr>
        <w:pStyle w:val="836"/>
        <w:ind w:firstLine="496"/>
        <w:spacing w:line="420" w:lineRule="exact"/>
        <w:rPr>
          <w:rFonts w:hint="eastAsia" w:ascii="宋体" w:hAnsi="宋体" w:cs="宋体"/>
          <w:sz w:val="28"/>
          <w:szCs w:val="28"/>
        </w:rPr>
      </w:pPr>
      <w:r>
        <w:rPr>
          <w:rFonts w:hint="eastAsia" w:ascii="宋体" w:hAnsi="宋体" w:cs="宋体"/>
          <w:sz w:val="28"/>
          <w:szCs w:val="28"/>
        </w:rPr>
      </w:r>
      <w:r/>
    </w:p>
    <w:p>
      <w:pPr>
        <w:pStyle w:val="836"/>
        <w:ind w:firstLine="661"/>
        <w:spacing w:line="420" w:lineRule="exact"/>
        <w:rPr>
          <w:rFonts w:hint="eastAsia"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2"/>
          <w:szCs w:val="32"/>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1：</w:t>
      </w:r>
      <w:r>
        <w:rPr>
          <w:rFonts w:hint="eastAsia" w:ascii="宋体" w:hAnsi="宋体" w:cs="宋体"/>
          <w:b/>
          <w:sz w:val="30"/>
          <w:szCs w:val="30"/>
          <w:lang w:val="zh-CN"/>
        </w:rPr>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商务条款正负偏离表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1320"/>
        <w:spacing w:line="360" w:lineRule="auto"/>
        <w:rPr>
          <w:rFonts w:eastAsia="宋体" w:cs="宋体"/>
          <w:szCs w:val="24"/>
        </w:rPr>
      </w:pPr>
      <w:r>
        <w:rPr>
          <w:rFonts w:hint="eastAsia" w:eastAsia="宋体" w:cs="宋体"/>
          <w:szCs w:val="24"/>
        </w:rPr>
        <w:t xml:space="preserve">项目编号：</w:t>
      </w:r>
      <w:r>
        <w:rPr>
          <w:rFonts w:eastAsia="宋体" w:cs="宋体"/>
          <w:szCs w:val="24"/>
        </w:rPr>
      </w:r>
      <w:r/>
    </w:p>
    <w:tbl>
      <w:tblPr>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89"/>
        <w:gridCol w:w="1927"/>
        <w:gridCol w:w="1771"/>
        <w:gridCol w:w="1189"/>
        <w:gridCol w:w="930"/>
      </w:tblGrid>
      <w:tr>
        <w:trPr>
          <w:trHeight w:val="847"/>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序号</w:t>
            </w:r>
            <w:r>
              <w:rPr>
                <w:rFonts w:cs="宋体"/>
                <w:sz w:val="24"/>
              </w:rPr>
            </w:r>
            <w:r/>
          </w:p>
        </w:tc>
        <w:tc>
          <w:tcPr>
            <w:tcW w:w="1989" w:type="dxa"/>
            <w:vAlign w:val="center"/>
            <w:textDirection w:val="lrTb"/>
            <w:noWrap w:val="false"/>
          </w:tcPr>
          <w:p>
            <w:pPr>
              <w:pStyle w:val="836"/>
              <w:jc w:val="center"/>
              <w:spacing w:line="360" w:lineRule="auto"/>
              <w:rPr>
                <w:rFonts w:hint="eastAsia" w:cs="宋体"/>
                <w:sz w:val="24"/>
              </w:rPr>
            </w:pPr>
            <w:r>
              <w:rPr>
                <w:rFonts w:hint="eastAsia" w:ascii="宋体" w:hAnsi="宋体" w:cs="宋体"/>
                <w:sz w:val="24"/>
              </w:rPr>
              <w:t xml:space="preserve">货物或服务名称</w:t>
            </w:r>
            <w:r>
              <w:rPr>
                <w:rFonts w:hint="eastAsia" w:cs="宋体"/>
                <w:sz w:val="24"/>
              </w:rPr>
            </w:r>
            <w:r/>
          </w:p>
        </w:tc>
        <w:tc>
          <w:tcPr>
            <w:tcW w:w="1927" w:type="dxa"/>
            <w:vAlign w:val="center"/>
            <w:textDirection w:val="lrTb"/>
            <w:noWrap w:val="false"/>
          </w:tcPr>
          <w:p>
            <w:pPr>
              <w:pStyle w:val="836"/>
              <w:jc w:val="center"/>
              <w:spacing w:line="360" w:lineRule="auto"/>
              <w:rPr>
                <w:rFonts w:cs="宋体"/>
                <w:sz w:val="24"/>
              </w:rPr>
            </w:pPr>
            <w:r>
              <w:rPr>
                <w:rFonts w:hint="eastAsia" w:cs="宋体"/>
                <w:sz w:val="24"/>
              </w:rPr>
              <w:t xml:space="preserve">招标文件要求的商务条款</w:t>
            </w:r>
            <w:r>
              <w:rPr>
                <w:rFonts w:cs="宋体"/>
                <w:sz w:val="24"/>
              </w:rPr>
            </w:r>
            <w:r/>
          </w:p>
        </w:tc>
        <w:tc>
          <w:tcPr>
            <w:tcW w:w="1771" w:type="dxa"/>
            <w:vAlign w:val="center"/>
            <w:textDirection w:val="lrTb"/>
            <w:noWrap w:val="false"/>
          </w:tcPr>
          <w:p>
            <w:pPr>
              <w:pStyle w:val="836"/>
              <w:jc w:val="center"/>
              <w:spacing w:line="360" w:lineRule="auto"/>
              <w:rPr>
                <w:rFonts w:cs="宋体"/>
                <w:sz w:val="24"/>
              </w:rPr>
            </w:pPr>
            <w:r>
              <w:rPr>
                <w:rFonts w:hint="eastAsia" w:cs="宋体"/>
                <w:sz w:val="24"/>
              </w:rPr>
              <w:t xml:space="preserve">投标文件响应情况</w:t>
            </w:r>
            <w:r>
              <w:rPr>
                <w:rFonts w:cs="宋体"/>
                <w:sz w:val="24"/>
              </w:rPr>
            </w:r>
            <w:r/>
          </w:p>
        </w:tc>
        <w:tc>
          <w:tcPr>
            <w:tcW w:w="1189" w:type="dxa"/>
            <w:vAlign w:val="center"/>
            <w:textDirection w:val="lrTb"/>
            <w:noWrap w:val="false"/>
          </w:tcPr>
          <w:p>
            <w:pPr>
              <w:pStyle w:val="836"/>
              <w:jc w:val="center"/>
              <w:spacing w:line="360" w:lineRule="auto"/>
              <w:rPr>
                <w:rFonts w:cs="宋体"/>
                <w:sz w:val="24"/>
              </w:rPr>
            </w:pPr>
            <w:r>
              <w:rPr>
                <w:rFonts w:hint="eastAsia" w:cs="宋体"/>
                <w:sz w:val="24"/>
              </w:rPr>
              <w:t xml:space="preserve">偏离说明</w:t>
            </w:r>
            <w:r>
              <w:rPr>
                <w:rFonts w:cs="宋体"/>
                <w:sz w:val="24"/>
              </w:rPr>
            </w:r>
            <w:r/>
          </w:p>
        </w:tc>
        <w:tc>
          <w:tcPr>
            <w:tcW w:w="930" w:type="dxa"/>
            <w:vAlign w:val="center"/>
            <w:textDirection w:val="lrTb"/>
            <w:noWrap w:val="false"/>
          </w:tcPr>
          <w:p>
            <w:pPr>
              <w:pStyle w:val="836"/>
              <w:jc w:val="center"/>
              <w:spacing w:line="360" w:lineRule="auto"/>
              <w:rPr>
                <w:rFonts w:cs="宋体"/>
                <w:sz w:val="24"/>
              </w:rPr>
            </w:pPr>
            <w:r>
              <w:rPr>
                <w:rFonts w:hint="eastAsia" w:cs="宋体"/>
                <w:sz w:val="24"/>
              </w:rPr>
              <w:t xml:space="preserve">备注</w:t>
            </w: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1</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2</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3</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cs="宋体"/>
                <w:sz w:val="24"/>
              </w:rPr>
            </w:pPr>
            <w:r>
              <w:rPr>
                <w:rFonts w:hint="eastAsia" w:cs="宋体"/>
                <w:sz w:val="24"/>
              </w:rPr>
              <w:t xml:space="preserve">4</w:t>
            </w:r>
            <w:r>
              <w:rPr>
                <w:rFonts w:cs="宋体"/>
                <w:sz w:val="24"/>
              </w:rPr>
            </w:r>
            <w:r/>
          </w:p>
        </w:tc>
        <w:tc>
          <w:tcPr>
            <w:tcW w:w="1989" w:type="dxa"/>
            <w:vAlign w:val="center"/>
            <w:textDirection w:val="lrTb"/>
            <w:noWrap w:val="false"/>
          </w:tcPr>
          <w:p>
            <w:pPr>
              <w:pStyle w:val="836"/>
              <w:jc w:val="left"/>
              <w:spacing w:line="360" w:lineRule="auto"/>
              <w:rPr>
                <w:rFonts w:cs="宋体"/>
                <w:sz w:val="24"/>
              </w:rPr>
            </w:pP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r>
        <w:trPr>
          <w:trHeight w:val="441"/>
        </w:trPr>
        <w:tc>
          <w:tcPr>
            <w:tcW w:w="823" w:type="dxa"/>
            <w:vAlign w:val="center"/>
            <w:textDirection w:val="lrTb"/>
            <w:noWrap w:val="false"/>
          </w:tcPr>
          <w:p>
            <w:pPr>
              <w:pStyle w:val="836"/>
              <w:jc w:val="center"/>
              <w:spacing w:line="360" w:lineRule="auto"/>
              <w:rPr>
                <w:rFonts w:hint="eastAsia" w:cs="宋体"/>
                <w:sz w:val="24"/>
              </w:rPr>
            </w:pPr>
            <w:r>
              <w:rPr>
                <w:rFonts w:hint="eastAsia" w:cs="宋体"/>
                <w:sz w:val="24"/>
              </w:rPr>
            </w:r>
            <w:r/>
          </w:p>
        </w:tc>
        <w:tc>
          <w:tcPr>
            <w:tcW w:w="1989" w:type="dxa"/>
            <w:vAlign w:val="center"/>
            <w:textDirection w:val="lrTb"/>
            <w:noWrap w:val="false"/>
          </w:tcPr>
          <w:p>
            <w:pPr>
              <w:pStyle w:val="836"/>
              <w:jc w:val="left"/>
              <w:spacing w:line="360" w:lineRule="auto"/>
              <w:rPr>
                <w:rFonts w:cs="宋体"/>
                <w:sz w:val="24"/>
              </w:rPr>
            </w:pPr>
            <w:r>
              <w:rPr>
                <w:rFonts w:hint="eastAsia" w:cs="宋体"/>
                <w:sz w:val="24"/>
              </w:rPr>
              <w:t xml:space="preserve">...</w:t>
            </w:r>
            <w:r>
              <w:rPr>
                <w:rFonts w:cs="宋体"/>
                <w:sz w:val="24"/>
              </w:rPr>
            </w:r>
            <w:r/>
          </w:p>
        </w:tc>
        <w:tc>
          <w:tcPr>
            <w:tcW w:w="1927" w:type="dxa"/>
            <w:vAlign w:val="center"/>
            <w:textDirection w:val="lrTb"/>
            <w:noWrap w:val="false"/>
          </w:tcPr>
          <w:p>
            <w:pPr>
              <w:pStyle w:val="836"/>
              <w:jc w:val="left"/>
              <w:spacing w:line="360" w:lineRule="auto"/>
              <w:rPr>
                <w:rFonts w:cs="宋体"/>
                <w:sz w:val="24"/>
              </w:rPr>
            </w:pPr>
            <w:r>
              <w:rPr>
                <w:rFonts w:cs="宋体"/>
                <w:sz w:val="24"/>
              </w:rPr>
            </w:r>
            <w:r/>
          </w:p>
        </w:tc>
        <w:tc>
          <w:tcPr>
            <w:tcW w:w="1771" w:type="dxa"/>
            <w:vAlign w:val="center"/>
            <w:textDirection w:val="lrTb"/>
            <w:noWrap w:val="false"/>
          </w:tcPr>
          <w:p>
            <w:pPr>
              <w:pStyle w:val="836"/>
              <w:jc w:val="left"/>
              <w:spacing w:line="360" w:lineRule="auto"/>
              <w:rPr>
                <w:rFonts w:cs="宋体"/>
                <w:sz w:val="24"/>
              </w:rPr>
            </w:pPr>
            <w:r>
              <w:rPr>
                <w:rFonts w:cs="宋体"/>
                <w:sz w:val="24"/>
              </w:rPr>
            </w:r>
            <w:r/>
          </w:p>
        </w:tc>
        <w:tc>
          <w:tcPr>
            <w:tcW w:w="1189" w:type="dxa"/>
            <w:vAlign w:val="center"/>
            <w:textDirection w:val="lrTb"/>
            <w:noWrap w:val="false"/>
          </w:tcPr>
          <w:p>
            <w:pPr>
              <w:pStyle w:val="836"/>
              <w:jc w:val="left"/>
              <w:spacing w:line="360" w:lineRule="auto"/>
              <w:rPr>
                <w:rFonts w:cs="宋体"/>
                <w:sz w:val="24"/>
              </w:rPr>
            </w:pPr>
            <w:r>
              <w:rPr>
                <w:rFonts w:cs="宋体"/>
                <w:sz w:val="24"/>
              </w:rPr>
            </w:r>
            <w:r/>
          </w:p>
        </w:tc>
        <w:tc>
          <w:tcPr>
            <w:tcW w:w="930" w:type="dxa"/>
            <w:vAlign w:val="top"/>
            <w:textDirection w:val="lrTb"/>
            <w:noWrap w:val="false"/>
          </w:tcPr>
          <w:p>
            <w:pPr>
              <w:pStyle w:val="836"/>
              <w:jc w:val="left"/>
              <w:spacing w:line="360" w:lineRule="auto"/>
              <w:rPr>
                <w:rFonts w:cs="宋体"/>
                <w:sz w:val="24"/>
              </w:rPr>
            </w:pPr>
            <w:r>
              <w:rPr>
                <w:rFonts w:cs="宋体"/>
                <w:sz w:val="24"/>
              </w:rPr>
            </w:r>
            <w:r/>
          </w:p>
        </w:tc>
      </w:tr>
    </w:tbl>
    <w:p>
      <w:pPr>
        <w:pStyle w:val="836"/>
        <w:spacing w:line="360" w:lineRule="auto"/>
        <w:rPr>
          <w:rFonts w:cs="宋体"/>
          <w:sz w:val="24"/>
        </w:rPr>
      </w:pPr>
      <w:r>
        <w:rPr>
          <w:rFonts w:cs="宋体"/>
          <w:sz w:val="24"/>
        </w:rPr>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1320"/>
        <w:spacing w:line="360" w:lineRule="auto"/>
        <w:rPr>
          <w:rFonts w:eastAsia="宋体" w:cs="宋体"/>
          <w:szCs w:val="24"/>
        </w:rPr>
      </w:pPr>
      <w:r>
        <w:rPr>
          <w:rFonts w:hint="eastAsia" w:ascii="宋体" w:hAnsi="宋体" w:eastAsia="宋体" w:cs="宋体"/>
          <w:bCs/>
          <w:lang w:val="zh-CN"/>
        </w:rPr>
        <w:t xml:space="preserve">日期：</w:t>
      </w:r>
      <w:r>
        <w:rPr>
          <w:rFonts w:hint="eastAsia" w:ascii="宋体" w:hAnsi="宋体" w:eastAsia="宋体" w:cs="宋体"/>
          <w:bCs/>
        </w:rPr>
        <w:t xml:space="preserve">2026年</w:t>
      </w:r>
      <w:r>
        <w:rPr>
          <w:rFonts w:hint="eastAsia" w:ascii="宋体" w:hAnsi="宋体" w:eastAsia="宋体" w:cs="宋体"/>
          <w:bCs/>
          <w:lang w:val="zh-CN"/>
        </w:rPr>
        <w:t xml:space="preserve">  月   日</w:t>
      </w:r>
      <w:r>
        <w:rPr>
          <w:rFonts w:eastAsia="宋体" w:cs="宋体"/>
          <w:szCs w:val="24"/>
        </w:rPr>
      </w:r>
      <w:r/>
    </w:p>
    <w:p>
      <w:pPr>
        <w:pStyle w:val="1320"/>
        <w:spacing w:line="360" w:lineRule="auto"/>
        <w:rPr>
          <w:rFonts w:eastAsia="宋体" w:cs="宋体"/>
          <w:szCs w:val="24"/>
        </w:rPr>
      </w:pPr>
      <w:r>
        <w:rPr>
          <w:rFonts w:eastAsia="宋体" w:cs="宋体"/>
          <w:szCs w:val="24"/>
        </w:rPr>
      </w:r>
      <w:r/>
    </w:p>
    <w:p>
      <w:pPr>
        <w:pStyle w:val="836"/>
        <w:ind w:firstLine="480"/>
        <w:spacing w:line="360" w:lineRule="auto"/>
        <w:rPr>
          <w:rFonts w:hint="eastAsia" w:cs="宋体"/>
          <w:sz w:val="24"/>
          <w:lang w:val="zh-CN"/>
        </w:rPr>
      </w:pPr>
      <w:r>
        <w:rPr>
          <w:rFonts w:hint="eastAsia" w:cs="宋体"/>
          <w:sz w:val="24"/>
          <w:lang w:val="zh-CN"/>
        </w:rPr>
        <w:t xml:space="preserve">注：</w:t>
      </w:r>
      <w:r/>
    </w:p>
    <w:p>
      <w:pPr>
        <w:pStyle w:val="836"/>
        <w:ind w:firstLine="480"/>
        <w:spacing w:line="360" w:lineRule="auto"/>
        <w:rPr>
          <w:rFonts w:cs="宋体"/>
          <w:sz w:val="24"/>
        </w:rPr>
      </w:pPr>
      <w:r>
        <w:rPr>
          <w:rFonts w:hint="eastAsia" w:cs="宋体"/>
          <w:sz w:val="24"/>
          <w:lang w:val="zh-CN"/>
        </w:rPr>
        <w:t xml:space="preserve">1</w:t>
      </w:r>
      <w:r>
        <w:rPr>
          <w:rFonts w:hint="eastAsia" w:cs="宋体"/>
          <w:sz w:val="24"/>
        </w:rPr>
        <w:t xml:space="preserve">.</w:t>
      </w:r>
      <w:r>
        <w:rPr>
          <w:rFonts w:hint="eastAsia" w:cs="宋体"/>
          <w:sz w:val="24"/>
          <w:lang w:val="zh-CN"/>
        </w:rPr>
        <w:t xml:space="preserve">供应商提交的响应文件中与招标文件第三部分“项目需求”中的</w:t>
      </w:r>
      <w:r>
        <w:rPr>
          <w:rFonts w:hint="eastAsia" w:cs="宋体"/>
          <w:b/>
          <w:bCs/>
          <w:sz w:val="24"/>
          <w:lang w:val="zh-CN"/>
        </w:rPr>
        <w:t xml:space="preserve">商务</w:t>
      </w:r>
      <w:r>
        <w:rPr>
          <w:rFonts w:hint="eastAsia" w:cs="宋体"/>
          <w:sz w:val="24"/>
          <w:lang w:val="zh-CN"/>
        </w:rPr>
        <w:t xml:space="preserve">要求，应逐条填列在偏离表中。也可以提供经签署、盖章的空白表格，招标人将视为供应商完全接受第三部分“项目需求”中的商务部分的条款内容。</w:t>
      </w:r>
      <w:r>
        <w:rPr>
          <w:rFonts w:cs="宋体"/>
          <w:sz w:val="24"/>
        </w:rPr>
      </w:r>
      <w:r/>
    </w:p>
    <w:p>
      <w:pPr>
        <w:pStyle w:val="836"/>
        <w:ind w:firstLine="480"/>
        <w:spacing w:line="360" w:lineRule="auto"/>
        <w:rPr>
          <w:rFonts w:hint="eastAsia" w:cs="宋体"/>
          <w:sz w:val="24"/>
          <w:lang w:val="zh-CN"/>
        </w:rPr>
      </w:pPr>
      <w:r>
        <w:rPr>
          <w:rFonts w:hint="eastAsia" w:cs="宋体"/>
          <w:sz w:val="24"/>
          <w:lang w:val="zh-CN"/>
        </w:rPr>
        <w:t xml:space="preserve">2</w:t>
      </w:r>
      <w:r>
        <w:rPr>
          <w:rFonts w:hint="eastAsia" w:cs="宋体"/>
          <w:sz w:val="24"/>
        </w:rPr>
        <w:t xml:space="preserve">.</w:t>
      </w:r>
      <w:r>
        <w:rPr>
          <w:rFonts w:hint="eastAsia" w:cs="宋体"/>
          <w:sz w:val="24"/>
          <w:lang w:val="zh-CN"/>
        </w:rPr>
        <w:t xml:space="preserve">“偏离说明”一栏选择“正偏离”、“负偏离”进行填写。正偏离的确认和负偏离的是否响应采购文件，经三分之二评委认定。</w:t>
      </w:r>
      <w:r/>
    </w:p>
    <w:p>
      <w:pPr>
        <w:pStyle w:val="836"/>
        <w:ind w:firstLine="480"/>
        <w:spacing w:line="360" w:lineRule="auto"/>
        <w:rPr>
          <w:rFonts w:hint="eastAsia" w:cs="宋体"/>
          <w:sz w:val="24"/>
          <w:lang w:val="zh-CN"/>
        </w:rPr>
      </w:pPr>
      <w:r>
        <w:rPr>
          <w:rFonts w:hint="eastAsia" w:cs="宋体"/>
          <w:sz w:val="24"/>
          <w:lang w:val="zh-CN"/>
        </w:rPr>
        <w:t xml:space="preserve">3</w:t>
      </w:r>
      <w:r>
        <w:rPr>
          <w:rFonts w:hint="eastAsia" w:cs="宋体"/>
          <w:sz w:val="24"/>
        </w:rPr>
        <w:t xml:space="preserve">.</w:t>
      </w:r>
      <w:r>
        <w:rPr>
          <w:rFonts w:hint="eastAsia" w:cs="宋体"/>
          <w:sz w:val="24"/>
          <w:lang w:val="zh-CN"/>
        </w:rPr>
        <w:t xml:space="preserve">供应商如果虚假响应，将承担被暂停参加招标人招标活动的风险。</w:t>
      </w:r>
      <w:r/>
    </w:p>
    <w:p>
      <w:pPr>
        <w:pStyle w:val="836"/>
        <w:ind w:firstLine="480"/>
        <w:spacing w:line="360" w:lineRule="auto"/>
        <w:rPr>
          <w:rFonts w:hint="eastAsia" w:cs="宋体"/>
          <w:sz w:val="24"/>
          <w:lang w:val="zh-CN"/>
        </w:rPr>
      </w:pPr>
      <w:r>
        <w:rPr>
          <w:rFonts w:hint="eastAsia" w:cs="宋体"/>
          <w:sz w:val="24"/>
          <w:lang w:val="zh-CN"/>
        </w:rPr>
        <w:t xml:space="preserve">4</w:t>
      </w:r>
      <w:r>
        <w:rPr>
          <w:rFonts w:hint="eastAsia" w:cs="宋体"/>
          <w:sz w:val="24"/>
        </w:rPr>
        <w:t xml:space="preserve">.</w:t>
      </w:r>
      <w:r>
        <w:rPr>
          <w:rFonts w:hint="eastAsia" w:cs="宋体"/>
          <w:sz w:val="24"/>
          <w:lang w:val="zh-CN"/>
        </w:rPr>
        <w:t xml:space="preserve">供应商若提供其他增值服务，可以在表中自行据实填写。</w:t>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36"/>
        <w:jc w:val="left"/>
        <w:spacing w:before="240" w:line="312" w:lineRule="auto"/>
        <w:rPr>
          <w:rFonts w:ascii="宋体" w:hAnsi="宋体" w:cs="宋体"/>
          <w:b/>
          <w:sz w:val="30"/>
          <w:szCs w:val="30"/>
        </w:rPr>
      </w:pPr>
      <w:r>
        <w:rPr>
          <w:rFonts w:hint="eastAsia" w:ascii="宋体" w:hAnsi="宋体" w:cs="宋体"/>
          <w:sz w:val="32"/>
          <w:szCs w:val="32"/>
        </w:rPr>
        <w:br w:type="page" w:clear="all"/>
      </w:r>
      <w:r>
        <w:rPr>
          <w:rFonts w:hint="eastAsia" w:ascii="宋体" w:hAnsi="宋体" w:cs="宋体"/>
          <w:b/>
          <w:sz w:val="30"/>
          <w:szCs w:val="30"/>
          <w:lang w:val="zh-CN"/>
        </w:rPr>
        <w:t xml:space="preserve">附件</w:t>
      </w:r>
      <w:r>
        <w:rPr>
          <w:rFonts w:hint="eastAsia" w:ascii="宋体" w:hAnsi="宋体" w:cs="宋体"/>
          <w:b/>
          <w:sz w:val="30"/>
          <w:szCs w:val="30"/>
        </w:rPr>
        <w:t xml:space="preserve">12：</w:t>
      </w:r>
      <w:r>
        <w:rPr>
          <w:rFonts w:ascii="宋体" w:hAnsi="宋体" w:cs="宋体"/>
          <w:b/>
          <w:sz w:val="30"/>
          <w:szCs w:val="30"/>
        </w:rPr>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☆技术条款响应正负偏离表</w:t>
      </w:r>
      <w:r/>
    </w:p>
    <w:p>
      <w:pPr>
        <w:pStyle w:val="836"/>
        <w:ind w:firstLine="480"/>
        <w:jc w:val="left"/>
        <w:spacing w:line="420" w:lineRule="exact"/>
        <w:rPr>
          <w:rFonts w:cs="宋体"/>
          <w:sz w:val="24"/>
        </w:rPr>
      </w:pPr>
      <w:r>
        <w:rPr>
          <w:rFonts w:hint="eastAsia" w:cs="宋体"/>
          <w:sz w:val="24"/>
        </w:rPr>
        <w:t xml:space="preserve">1.供应商必须满足响应文件中</w:t>
      </w:r>
      <w:r>
        <w:rPr>
          <w:rFonts w:hint="eastAsia" w:ascii="宋体" w:hAnsi="宋体" w:cs="宋体"/>
          <w:b/>
          <w:bCs/>
          <w:sz w:val="24"/>
        </w:rPr>
        <w:t xml:space="preserve">“☆”</w:t>
      </w:r>
      <w:r>
        <w:rPr>
          <w:rFonts w:hint="eastAsia" w:cs="宋体"/>
          <w:sz w:val="24"/>
        </w:rPr>
        <w:t xml:space="preserve">针对产品设备提出的全部技术规格与要求，逐一逐条响应填写《</w:t>
      </w:r>
      <w:r>
        <w:rPr>
          <w:rFonts w:hint="eastAsia" w:ascii="宋体" w:hAnsi="宋体" w:cs="宋体"/>
          <w:b/>
          <w:bCs/>
          <w:sz w:val="24"/>
        </w:rPr>
        <w:t xml:space="preserve">☆</w:t>
      </w:r>
      <w:r>
        <w:rPr>
          <w:rFonts w:hint="eastAsia" w:cs="宋体"/>
          <w:sz w:val="24"/>
        </w:rPr>
        <w:t xml:space="preserve">技术条款响应正负偏离表》；</w:t>
      </w:r>
      <w:r>
        <w:rPr>
          <w:rFonts w:cs="宋体"/>
          <w:sz w:val="24"/>
        </w:rPr>
      </w:r>
      <w:r/>
    </w:p>
    <w:p>
      <w:pPr>
        <w:pStyle w:val="836"/>
        <w:jc w:val="center"/>
        <w:spacing w:line="420" w:lineRule="exact"/>
        <w:tabs>
          <w:tab w:val="left" w:pos="720" w:leader="none"/>
        </w:tabs>
        <w:rPr>
          <w:rFonts w:hint="eastAsia" w:cs="宋体"/>
          <w:b/>
          <w:bCs/>
          <w:sz w:val="28"/>
          <w:szCs w:val="28"/>
        </w:rPr>
      </w:pPr>
      <w:r>
        <w:rPr>
          <w:rFonts w:hint="eastAsia" w:cs="宋体"/>
          <w:b/>
          <w:bCs/>
          <w:sz w:val="28"/>
          <w:szCs w:val="28"/>
        </w:rPr>
        <w:t xml:space="preserve">☆技术条款响应正负偏离表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836"/>
        <w:jc w:val="left"/>
        <w:spacing w:line="420" w:lineRule="exact"/>
        <w:tabs>
          <w:tab w:val="left" w:pos="720" w:leader="none"/>
        </w:tabs>
        <w:rPr>
          <w:rFonts w:hint="eastAsia" w:cs="宋体"/>
          <w:sz w:val="24"/>
        </w:rPr>
      </w:pPr>
      <w:r>
        <w:rPr>
          <w:rFonts w:hint="eastAsia" w:cs="宋体"/>
        </w:rPr>
        <w:t xml:space="preserve">项目编号：</w:t>
      </w:r>
      <w:r>
        <w:rPr>
          <w:rFonts w:hint="eastAsia"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序号</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hint="eastAsia" w:cs="宋体"/>
                <w:sz w:val="24"/>
              </w:rPr>
              <w:t xml:space="preserve">项目名称</w:t>
            </w: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hint="eastAsia" w:cs="宋体"/>
                <w:sz w:val="24"/>
              </w:rPr>
              <w:t xml:space="preserve">品牌型号</w:t>
            </w: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hint="eastAsia" w:cs="宋体"/>
                <w:sz w:val="24"/>
              </w:rPr>
              <w:t xml:space="preserve">公开招标文件设备参数要求</w:t>
            </w: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hint="eastAsia" w:cs="宋体"/>
                <w:sz w:val="24"/>
              </w:rPr>
              <w:t xml:space="preserve">所投设备</w:t>
            </w:r>
            <w:r>
              <w:rPr>
                <w:rFonts w:cs="宋体"/>
                <w:sz w:val="24"/>
              </w:rPr>
            </w:r>
            <w:r/>
          </w:p>
          <w:p>
            <w:pPr>
              <w:pStyle w:val="836"/>
              <w:jc w:val="center"/>
              <w:spacing w:line="420" w:lineRule="exact"/>
              <w:rPr>
                <w:rFonts w:cs="宋体"/>
                <w:sz w:val="24"/>
              </w:rPr>
            </w:pPr>
            <w:r>
              <w:rPr>
                <w:rFonts w:hint="eastAsia" w:cs="宋体"/>
                <w:sz w:val="24"/>
              </w:rPr>
              <w:t xml:space="preserve">技术响应参数</w:t>
            </w: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hint="eastAsia" w:cs="宋体"/>
                <w:sz w:val="24"/>
              </w:rPr>
              <w:t xml:space="preserve">偏离/响应</w:t>
            </w: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hint="eastAsia" w:cs="宋体"/>
                <w:sz w:val="24"/>
              </w:rPr>
              <w:t xml:space="preserve">说明</w:t>
            </w: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1</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bl>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836"/>
        <w:contextualSpacing/>
        <w:jc w:val="left"/>
        <w:spacing w:line="400" w:lineRule="exact"/>
        <w:rPr>
          <w:rFonts w:hint="eastAsia" w:ascii="宋体" w:hAnsi="宋体" w:cs="宋体"/>
          <w:b/>
          <w:sz w:val="28"/>
          <w:szCs w:val="28"/>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hint="eastAsia" w:ascii="宋体" w:hAnsi="宋体" w:cs="宋体"/>
          <w:b/>
          <w:sz w:val="28"/>
          <w:szCs w:val="28"/>
        </w:rPr>
      </w:r>
      <w:r/>
    </w:p>
    <w:p>
      <w:pPr>
        <w:pStyle w:val="836"/>
        <w:ind w:firstLine="480"/>
        <w:spacing w:line="360" w:lineRule="auto"/>
        <w:rPr>
          <w:rFonts w:hint="eastAsia" w:cs="宋体"/>
          <w:sz w:val="24"/>
          <w:lang w:val="zh-CN"/>
        </w:rPr>
      </w:pPr>
      <w:r>
        <w:rPr>
          <w:rFonts w:hint="eastAsia" w:cs="宋体"/>
          <w:sz w:val="24"/>
          <w:lang w:val="zh-CN"/>
        </w:rPr>
      </w:r>
      <w:r/>
    </w:p>
    <w:p>
      <w:pPr>
        <w:pStyle w:val="836"/>
        <w:ind w:firstLine="480"/>
        <w:spacing w:line="360" w:lineRule="auto"/>
        <w:rPr>
          <w:rFonts w:hint="eastAsia" w:cs="宋体"/>
          <w:sz w:val="24"/>
          <w:lang w:val="zh-CN"/>
        </w:rPr>
      </w:pPr>
      <w:r>
        <w:rPr>
          <w:rFonts w:hint="eastAsia" w:cs="宋体"/>
          <w:sz w:val="24"/>
          <w:lang w:val="zh-CN"/>
        </w:rPr>
        <w:t xml:space="preserve">注：</w:t>
      </w:r>
      <w:r/>
    </w:p>
    <w:p>
      <w:pPr>
        <w:pStyle w:val="836"/>
        <w:ind w:firstLine="480"/>
        <w:spacing w:line="360" w:lineRule="auto"/>
        <w:rPr>
          <w:rFonts w:hint="eastAsia" w:cs="宋体"/>
          <w:sz w:val="24"/>
          <w:lang w:val="zh-CN"/>
        </w:rPr>
      </w:pPr>
      <w:r>
        <w:rPr>
          <w:rFonts w:hint="eastAsia" w:cs="宋体"/>
          <w:sz w:val="24"/>
          <w:lang w:val="zh-CN"/>
        </w:rPr>
        <w:t xml:space="preserve">①公开招标响应供应商应对照公开招标文件第三章项目需求内的要求，逐一填写。</w:t>
      </w:r>
      <w:r/>
    </w:p>
    <w:p>
      <w:pPr>
        <w:pStyle w:val="836"/>
        <w:ind w:firstLine="480"/>
        <w:spacing w:line="360" w:lineRule="auto"/>
        <w:rPr>
          <w:rFonts w:hint="eastAsia" w:cs="宋体"/>
          <w:sz w:val="24"/>
          <w:lang w:val="zh-CN"/>
        </w:rPr>
      </w:pPr>
      <w:r>
        <w:rPr>
          <w:rFonts w:hint="eastAsia" w:cs="宋体"/>
          <w:sz w:val="24"/>
          <w:lang w:val="zh-CN"/>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pStyle w:val="836"/>
        <w:ind w:firstLine="480"/>
        <w:spacing w:line="360" w:lineRule="auto"/>
        <w:rPr>
          <w:rFonts w:hint="eastAsia" w:cs="宋体"/>
          <w:sz w:val="24"/>
          <w:lang w:val="zh-CN"/>
        </w:rPr>
      </w:pPr>
      <w:r>
        <w:rPr>
          <w:rFonts w:hint="eastAsia" w:cs="宋体"/>
          <w:sz w:val="24"/>
          <w:lang w:val="zh-CN"/>
        </w:rPr>
        <w:t xml:space="preserve">③本项目“</w:t>
      </w:r>
      <w:r>
        <w:rPr>
          <w:rFonts w:hint="eastAsia" w:cs="宋体"/>
          <w:b/>
          <w:bCs/>
          <w:sz w:val="24"/>
          <w:lang w:val="zh-CN"/>
        </w:rPr>
        <w:t xml:space="preserve">☆</w:t>
      </w:r>
      <w:r>
        <w:rPr>
          <w:rFonts w:hint="eastAsia" w:cs="宋体"/>
          <w:sz w:val="24"/>
          <w:lang w:val="zh-CN"/>
        </w:rPr>
        <w:t xml:space="preserve">”需求产品所有技术规格参数要求，须实质性响应不接受负偏离。</w:t>
      </w:r>
      <w:r/>
    </w:p>
    <w:p>
      <w:pPr>
        <w:pStyle w:val="836"/>
        <w:ind w:firstLine="480"/>
        <w:spacing w:line="360" w:lineRule="auto"/>
        <w:rPr>
          <w:rFonts w:hint="eastAsia" w:cs="宋体"/>
          <w:sz w:val="24"/>
          <w:lang w:val="zh-CN"/>
        </w:rPr>
      </w:pPr>
      <w:r>
        <w:rPr>
          <w:rFonts w:hint="eastAsia" w:cs="宋体"/>
          <w:sz w:val="24"/>
          <w:lang w:val="zh-CN"/>
        </w:rPr>
        <w:t xml:space="preserve">④该表不作为公开招标响应供应商对项目需求产品技术要求等的详细描述和说明的替代。</w:t>
      </w:r>
      <w:r/>
    </w:p>
    <w:p>
      <w:pPr>
        <w:pStyle w:val="836"/>
        <w:ind w:firstLine="480"/>
        <w:spacing w:line="360" w:lineRule="auto"/>
        <w:rPr>
          <w:rFonts w:hint="eastAsia" w:cs="宋体"/>
          <w:sz w:val="24"/>
          <w:lang w:val="zh-CN"/>
        </w:rPr>
      </w:pPr>
      <w:r>
        <w:rPr>
          <w:rFonts w:hint="eastAsia" w:cs="宋体"/>
          <w:sz w:val="24"/>
          <w:lang w:val="zh-CN"/>
        </w:rPr>
        <w:t xml:space="preserve">⑤公开招标响应供应商如果虚假响应，将承担一切可能的风险。</w:t>
      </w:r>
      <w:r/>
    </w:p>
    <w:p>
      <w:pPr>
        <w:pStyle w:val="836"/>
        <w:ind w:firstLine="480"/>
        <w:spacing w:line="360" w:lineRule="auto"/>
        <w:rPr>
          <w:rFonts w:hint="eastAsia" w:cs="宋体"/>
          <w:sz w:val="24"/>
          <w:lang w:val="zh-CN"/>
        </w:rPr>
      </w:pPr>
      <w:r>
        <w:rPr>
          <w:rFonts w:hint="eastAsia" w:cs="宋体"/>
          <w:sz w:val="24"/>
          <w:lang w:val="zh-CN"/>
        </w:rPr>
        <w:t xml:space="preserve">⑥所投品牌型号，必须确定、唯一。</w:t>
      </w:r>
      <w:r/>
    </w:p>
    <w:p>
      <w:pPr>
        <w:pStyle w:val="836"/>
        <w:jc w:val="left"/>
        <w:spacing w:before="240" w:line="312" w:lineRule="auto"/>
        <w:rPr>
          <w:rFonts w:hint="eastAsia" w:ascii="宋体" w:hAnsi="宋体" w:cs="宋体"/>
          <w:b/>
          <w:sz w:val="30"/>
          <w:szCs w:val="30"/>
          <w:lang w:val="zh-CN"/>
        </w:rPr>
      </w:pPr>
      <w:r>
        <w:rPr>
          <w:rFonts w:hint="eastAsia" w:ascii="宋体" w:hAnsi="宋体" w:cs="宋体"/>
          <w:b/>
          <w:sz w:val="30"/>
          <w:szCs w:val="30"/>
          <w:lang w:val="zh-CN"/>
        </w:rPr>
        <w:t xml:space="preserve">附件1</w:t>
      </w:r>
      <w:r>
        <w:rPr>
          <w:rFonts w:hint="eastAsia" w:ascii="宋体" w:hAnsi="宋体" w:cs="宋体"/>
          <w:b/>
          <w:sz w:val="30"/>
          <w:szCs w:val="30"/>
        </w:rPr>
        <w:t xml:space="preserve">3</w:t>
      </w:r>
      <w:r>
        <w:rPr>
          <w:rFonts w:hint="eastAsia" w:ascii="宋体" w:hAnsi="宋体" w:cs="宋体"/>
          <w:b/>
          <w:sz w:val="30"/>
          <w:szCs w:val="30"/>
          <w:lang w:val="zh-CN"/>
        </w:rPr>
        <w:t xml:space="preserve">：</w:t>
      </w:r>
      <w:r/>
    </w:p>
    <w:p>
      <w:pPr>
        <w:pStyle w:val="836"/>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技术条款响应正负偏离表</w:t>
      </w:r>
      <w:r/>
    </w:p>
    <w:p>
      <w:pPr>
        <w:pStyle w:val="836"/>
        <w:ind w:firstLine="480"/>
        <w:jc w:val="left"/>
        <w:spacing w:line="420" w:lineRule="exact"/>
        <w:rPr>
          <w:rFonts w:cs="宋体"/>
          <w:sz w:val="24"/>
        </w:rPr>
      </w:pPr>
      <w:r>
        <w:rPr>
          <w:rFonts w:hint="eastAsia" w:cs="宋体"/>
          <w:sz w:val="24"/>
        </w:rPr>
        <w:t xml:space="preserve">1.供应商必须满足响应文件中针对产品设备提出的全部技术规格与要求，逐一逐条响应填写《技术条款响应正负偏离表》；</w:t>
      </w:r>
      <w:r>
        <w:rPr>
          <w:rFonts w:cs="宋体"/>
          <w:sz w:val="24"/>
        </w:rPr>
      </w:r>
      <w:r/>
    </w:p>
    <w:p>
      <w:pPr>
        <w:pStyle w:val="836"/>
        <w:ind w:firstLine="480"/>
        <w:jc w:val="left"/>
        <w:spacing w:line="420" w:lineRule="exact"/>
        <w:rPr>
          <w:rFonts w:cs="宋体"/>
          <w:sz w:val="24"/>
        </w:rPr>
      </w:pPr>
      <w:r>
        <w:rPr>
          <w:rFonts w:hint="eastAsia" w:cs="宋体"/>
          <w:sz w:val="24"/>
        </w:rPr>
        <w:t xml:space="preserve">2.供应商提供的货物和服务与采购人提出的项目需求说明中的技术要求不同，必须在逐一逐条填写响应的《技术条款响应正负偏离表》上明示偏离的部分。</w:t>
      </w:r>
      <w:r>
        <w:rPr>
          <w:rFonts w:cs="宋体"/>
          <w:sz w:val="24"/>
        </w:rPr>
      </w:r>
      <w:r/>
    </w:p>
    <w:p>
      <w:pPr>
        <w:pStyle w:val="836"/>
        <w:jc w:val="center"/>
        <w:spacing w:line="420" w:lineRule="exact"/>
        <w:tabs>
          <w:tab w:val="left" w:pos="720" w:leader="none"/>
        </w:tabs>
        <w:rPr>
          <w:rFonts w:hint="eastAsia" w:cs="宋体"/>
          <w:b/>
          <w:bCs/>
          <w:sz w:val="28"/>
          <w:szCs w:val="28"/>
        </w:rPr>
      </w:pPr>
      <w:r>
        <w:rPr>
          <w:rFonts w:hint="eastAsia" w:cs="宋体"/>
          <w:b/>
          <w:bCs/>
          <w:sz w:val="28"/>
          <w:szCs w:val="28"/>
        </w:rPr>
        <w:t xml:space="preserve">技术条款响应正负偏离表</w:t>
      </w:r>
      <w:r/>
    </w:p>
    <w:p>
      <w:pPr>
        <w:pStyle w:val="1320"/>
        <w:spacing w:line="360" w:lineRule="auto"/>
        <w:rPr>
          <w:rFonts w:hint="eastAsia" w:eastAsia="宋体" w:cs="宋体"/>
          <w:szCs w:val="24"/>
        </w:rPr>
      </w:pPr>
      <w:r>
        <w:rPr>
          <w:rFonts w:hint="eastAsia" w:eastAsia="宋体" w:cs="宋体"/>
          <w:szCs w:val="24"/>
        </w:rPr>
        <w:t xml:space="preserve">项目名称：</w:t>
      </w:r>
      <w:r/>
    </w:p>
    <w:p>
      <w:pPr>
        <w:pStyle w:val="836"/>
        <w:jc w:val="left"/>
        <w:spacing w:line="420" w:lineRule="exact"/>
        <w:tabs>
          <w:tab w:val="left" w:pos="720" w:leader="none"/>
        </w:tabs>
        <w:rPr>
          <w:rFonts w:hint="eastAsia" w:cs="宋体"/>
          <w:sz w:val="24"/>
        </w:rPr>
      </w:pPr>
      <w:r>
        <w:rPr>
          <w:rFonts w:hint="eastAsia" w:cs="宋体"/>
        </w:rPr>
        <w:t xml:space="preserve">项目编号：</w:t>
      </w:r>
      <w:r>
        <w:rPr>
          <w:rFonts w:hint="eastAsia" w:cs="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243"/>
        <w:gridCol w:w="1599"/>
        <w:gridCol w:w="1767"/>
        <w:gridCol w:w="2019"/>
        <w:gridCol w:w="1363"/>
        <w:gridCol w:w="809"/>
      </w:tblGrid>
      <w:tr>
        <w:trPr>
          <w:trHeight w:val="44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序号</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hint="eastAsia" w:cs="宋体"/>
                <w:sz w:val="24"/>
              </w:rPr>
              <w:t xml:space="preserve">项目名称</w:t>
            </w: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hint="eastAsia" w:cs="宋体"/>
                <w:sz w:val="24"/>
              </w:rPr>
              <w:t xml:space="preserve">品牌型号</w:t>
            </w: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hint="eastAsia" w:cs="宋体"/>
                <w:sz w:val="24"/>
              </w:rPr>
              <w:t xml:space="preserve">公开招标文件设备参数要求</w:t>
            </w: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hint="eastAsia" w:cs="宋体"/>
                <w:sz w:val="24"/>
              </w:rPr>
              <w:t xml:space="preserve">所投设备</w:t>
            </w:r>
            <w:r>
              <w:rPr>
                <w:rFonts w:cs="宋体"/>
                <w:sz w:val="24"/>
              </w:rPr>
            </w:r>
            <w:r/>
          </w:p>
          <w:p>
            <w:pPr>
              <w:pStyle w:val="836"/>
              <w:jc w:val="center"/>
              <w:spacing w:line="420" w:lineRule="exact"/>
              <w:rPr>
                <w:rFonts w:cs="宋体"/>
                <w:sz w:val="24"/>
              </w:rPr>
            </w:pPr>
            <w:r>
              <w:rPr>
                <w:rFonts w:hint="eastAsia" w:cs="宋体"/>
                <w:sz w:val="24"/>
              </w:rPr>
              <w:t xml:space="preserve">技术响应参数</w:t>
            </w: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hint="eastAsia" w:cs="宋体"/>
                <w:sz w:val="24"/>
              </w:rPr>
              <w:t xml:space="preserve">偏离/响应</w:t>
            </w: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hint="eastAsia" w:cs="宋体"/>
                <w:sz w:val="24"/>
              </w:rPr>
              <w:t xml:space="preserve">说明</w:t>
            </w: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1</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r>
        <w:trPr>
          <w:trHeight w:val="416"/>
        </w:trPr>
        <w:tc>
          <w:tcPr>
            <w:tcW w:w="743" w:type="dxa"/>
            <w:vAlign w:val="center"/>
            <w:textDirection w:val="lrTb"/>
            <w:noWrap w:val="false"/>
          </w:tcPr>
          <w:p>
            <w:pPr>
              <w:pStyle w:val="836"/>
              <w:jc w:val="center"/>
              <w:spacing w:line="420" w:lineRule="exact"/>
              <w:rPr>
                <w:rFonts w:cs="宋体"/>
                <w:sz w:val="24"/>
              </w:rPr>
            </w:pPr>
            <w:r>
              <w:rPr>
                <w:rFonts w:hint="eastAsia" w:cs="宋体"/>
                <w:sz w:val="24"/>
              </w:rPr>
              <w:t xml:space="preserve">……</w:t>
            </w:r>
            <w:r>
              <w:rPr>
                <w:rFonts w:cs="宋体"/>
                <w:sz w:val="24"/>
              </w:rPr>
            </w:r>
            <w:r/>
          </w:p>
        </w:tc>
        <w:tc>
          <w:tcPr>
            <w:tcW w:w="1243" w:type="dxa"/>
            <w:vAlign w:val="center"/>
            <w:textDirection w:val="lrTb"/>
            <w:noWrap w:val="false"/>
          </w:tcPr>
          <w:p>
            <w:pPr>
              <w:pStyle w:val="836"/>
              <w:jc w:val="center"/>
              <w:spacing w:line="420" w:lineRule="exact"/>
              <w:rPr>
                <w:rFonts w:cs="宋体"/>
                <w:sz w:val="24"/>
              </w:rPr>
            </w:pPr>
            <w:r>
              <w:rPr>
                <w:rFonts w:cs="宋体"/>
                <w:sz w:val="24"/>
              </w:rPr>
            </w:r>
            <w:r/>
          </w:p>
        </w:tc>
        <w:tc>
          <w:tcPr>
            <w:tcW w:w="1599" w:type="dxa"/>
            <w:vAlign w:val="center"/>
            <w:textDirection w:val="lrTb"/>
            <w:noWrap w:val="false"/>
          </w:tcPr>
          <w:p>
            <w:pPr>
              <w:pStyle w:val="836"/>
              <w:jc w:val="center"/>
              <w:spacing w:line="420" w:lineRule="exact"/>
              <w:rPr>
                <w:rFonts w:cs="宋体"/>
                <w:sz w:val="24"/>
              </w:rPr>
            </w:pPr>
            <w:r>
              <w:rPr>
                <w:rFonts w:cs="宋体"/>
                <w:sz w:val="24"/>
              </w:rPr>
            </w:r>
            <w:r/>
          </w:p>
        </w:tc>
        <w:tc>
          <w:tcPr>
            <w:tcW w:w="1767" w:type="dxa"/>
            <w:vAlign w:val="center"/>
            <w:textDirection w:val="lrTb"/>
            <w:noWrap w:val="false"/>
          </w:tcPr>
          <w:p>
            <w:pPr>
              <w:pStyle w:val="836"/>
              <w:jc w:val="center"/>
              <w:spacing w:line="420" w:lineRule="exact"/>
              <w:rPr>
                <w:rFonts w:cs="宋体"/>
                <w:sz w:val="24"/>
              </w:rPr>
            </w:pPr>
            <w:r>
              <w:rPr>
                <w:rFonts w:cs="宋体"/>
                <w:sz w:val="24"/>
              </w:rPr>
            </w:r>
            <w:r/>
          </w:p>
        </w:tc>
        <w:tc>
          <w:tcPr>
            <w:tcW w:w="2019" w:type="dxa"/>
            <w:vAlign w:val="center"/>
            <w:textDirection w:val="lrTb"/>
            <w:noWrap w:val="false"/>
          </w:tcPr>
          <w:p>
            <w:pPr>
              <w:pStyle w:val="836"/>
              <w:jc w:val="center"/>
              <w:spacing w:line="420" w:lineRule="exact"/>
              <w:rPr>
                <w:rFonts w:cs="宋体"/>
                <w:sz w:val="24"/>
              </w:rPr>
            </w:pPr>
            <w:r>
              <w:rPr>
                <w:rFonts w:cs="宋体"/>
                <w:sz w:val="24"/>
              </w:rPr>
            </w:r>
            <w:r/>
          </w:p>
        </w:tc>
        <w:tc>
          <w:tcPr>
            <w:tcW w:w="1363" w:type="dxa"/>
            <w:vAlign w:val="center"/>
            <w:textDirection w:val="lrTb"/>
            <w:noWrap w:val="false"/>
          </w:tcPr>
          <w:p>
            <w:pPr>
              <w:pStyle w:val="836"/>
              <w:jc w:val="center"/>
              <w:spacing w:line="420" w:lineRule="exact"/>
              <w:rPr>
                <w:rFonts w:cs="宋体"/>
                <w:sz w:val="24"/>
              </w:rPr>
            </w:pPr>
            <w:r>
              <w:rPr>
                <w:rFonts w:cs="宋体"/>
                <w:sz w:val="24"/>
              </w:rPr>
            </w:r>
            <w:r/>
          </w:p>
        </w:tc>
        <w:tc>
          <w:tcPr>
            <w:tcW w:w="809" w:type="dxa"/>
            <w:vAlign w:val="center"/>
            <w:textDirection w:val="lrTb"/>
            <w:noWrap w:val="false"/>
          </w:tcPr>
          <w:p>
            <w:pPr>
              <w:pStyle w:val="836"/>
              <w:jc w:val="center"/>
              <w:spacing w:line="420" w:lineRule="exact"/>
              <w:rPr>
                <w:rFonts w:cs="宋体"/>
                <w:sz w:val="24"/>
              </w:rPr>
            </w:pPr>
            <w:r>
              <w:rPr>
                <w:rFonts w:cs="宋体"/>
                <w:sz w:val="24"/>
              </w:rPr>
            </w:r>
            <w:r/>
          </w:p>
        </w:tc>
      </w:tr>
    </w:tbl>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投标人（加盖CA电子签章）： </w:t>
      </w:r>
      <w:r/>
    </w:p>
    <w:p>
      <w:pPr>
        <w:pStyle w:val="836"/>
        <w:jc w:val="left"/>
        <w:spacing w:line="360" w:lineRule="auto"/>
        <w:rPr>
          <w:rFonts w:hint="eastAsia" w:ascii="宋体" w:hAnsi="宋体" w:cs="宋体"/>
          <w:bCs/>
          <w:sz w:val="24"/>
        </w:rPr>
        <w:outlineLvl w:val="4"/>
      </w:pPr>
      <w:r>
        <w:rPr>
          <w:rFonts w:hint="eastAsia" w:ascii="宋体" w:hAnsi="宋体" w:cs="宋体"/>
          <w:bCs/>
          <w:sz w:val="24"/>
        </w:rPr>
        <w:t xml:space="preserve">法定代表人或被授权人（签字或加盖CA电子签章）： </w:t>
      </w:r>
      <w:r/>
    </w:p>
    <w:p>
      <w:pPr>
        <w:pStyle w:val="836"/>
        <w:jc w:val="left"/>
        <w:spacing w:line="420" w:lineRule="exact"/>
        <w:rPr>
          <w:rFonts w:cs="宋体"/>
          <w:sz w:val="30"/>
          <w:szCs w:val="30"/>
        </w:rPr>
      </w:pPr>
      <w:r>
        <w:rPr>
          <w:rFonts w:hint="eastAsia" w:ascii="宋体" w:hAnsi="宋体" w:cs="宋体"/>
          <w:bCs/>
          <w:sz w:val="24"/>
          <w:lang w:val="zh-CN"/>
        </w:rPr>
        <w:t xml:space="preserve">日期：</w:t>
      </w:r>
      <w:r>
        <w:rPr>
          <w:rFonts w:hint="eastAsia" w:ascii="宋体" w:hAnsi="宋体" w:cs="宋体"/>
          <w:bCs/>
          <w:sz w:val="24"/>
        </w:rPr>
        <w:t xml:space="preserve">2026年</w:t>
      </w:r>
      <w:r>
        <w:rPr>
          <w:rFonts w:hint="eastAsia" w:ascii="宋体" w:hAnsi="宋体" w:cs="宋体"/>
          <w:bCs/>
          <w:sz w:val="24"/>
          <w:lang w:val="zh-CN"/>
        </w:rPr>
        <w:t xml:space="preserve">  月   日</w:t>
      </w:r>
      <w:r>
        <w:rPr>
          <w:rFonts w:cs="宋体"/>
          <w:sz w:val="30"/>
          <w:szCs w:val="30"/>
        </w:rPr>
      </w:r>
      <w:r/>
    </w:p>
    <w:p>
      <w:pPr>
        <w:pStyle w:val="836"/>
        <w:ind w:firstLine="485"/>
        <w:spacing w:line="420" w:lineRule="exact"/>
        <w:rPr>
          <w:rFonts w:hint="eastAsia" w:cs="宋体"/>
          <w:sz w:val="24"/>
        </w:rPr>
      </w:pPr>
      <w:r>
        <w:rPr>
          <w:rFonts w:hint="eastAsia" w:cs="宋体"/>
          <w:sz w:val="24"/>
        </w:rPr>
      </w:r>
      <w:r/>
    </w:p>
    <w:p>
      <w:pPr>
        <w:pStyle w:val="836"/>
        <w:ind w:firstLine="485"/>
        <w:spacing w:line="420" w:lineRule="exact"/>
        <w:rPr>
          <w:rFonts w:hint="eastAsia" w:cs="宋体"/>
          <w:sz w:val="24"/>
        </w:rPr>
      </w:pPr>
      <w:r>
        <w:rPr>
          <w:rFonts w:hint="eastAsia" w:cs="宋体"/>
          <w:sz w:val="24"/>
        </w:rPr>
        <w:t xml:space="preserve">注：</w:t>
      </w:r>
      <w:r/>
    </w:p>
    <w:p>
      <w:pPr>
        <w:pStyle w:val="836"/>
        <w:ind w:firstLine="485"/>
        <w:spacing w:line="420" w:lineRule="exact"/>
        <w:rPr>
          <w:rFonts w:hint="eastAsia" w:cs="宋体"/>
          <w:sz w:val="24"/>
        </w:rPr>
      </w:pPr>
      <w:r>
        <w:rPr>
          <w:rFonts w:hint="eastAsia" w:cs="宋体"/>
          <w:sz w:val="24"/>
        </w:rPr>
        <w:t xml:space="preserve">①公开招标响应供应商应对照公开招标文件第三章项目需求内的要求，逐一填写。</w:t>
      </w:r>
      <w:r/>
    </w:p>
    <w:p>
      <w:pPr>
        <w:pStyle w:val="836"/>
        <w:ind w:firstLine="485"/>
        <w:spacing w:line="420" w:lineRule="exact"/>
        <w:rPr>
          <w:rFonts w:hint="eastAsia" w:cs="宋体"/>
          <w:sz w:val="24"/>
        </w:rPr>
      </w:pPr>
      <w:r>
        <w:rPr>
          <w:rFonts w:hint="eastAsia" w:cs="宋体"/>
          <w:sz w:val="24"/>
        </w:rPr>
        <w:t xml:space="preserve">②公开招标响应供应商不能简单照搬照抄采购单位项目需求说明中的技术要求，必须作实事求是的响应。如照搬照抄项目需求说明中的技术要求的，中标后供应商在同采购单位签订合同和履约环节中不得提出异议，一切后果和损失由中标供应商承担。如公开招标响应供应商提供的货物和服务同采购单位提出的项目需求说明中的技术要求不同的，必须在《技术响应一览表》上明示。</w:t>
      </w:r>
      <w:r/>
    </w:p>
    <w:p>
      <w:pPr>
        <w:pStyle w:val="836"/>
        <w:ind w:firstLine="485"/>
        <w:spacing w:line="420" w:lineRule="exact"/>
        <w:rPr>
          <w:rFonts w:hint="eastAsia" w:cs="宋体"/>
          <w:sz w:val="24"/>
        </w:rPr>
      </w:pPr>
      <w:r>
        <w:rPr>
          <w:rFonts w:hint="eastAsia" w:cs="宋体"/>
          <w:sz w:val="24"/>
        </w:rPr>
        <w:t xml:space="preserve">③该表不作为公开招标响应供应商对项目需求产品技术要求等的详细描述和说明的替代。</w:t>
      </w:r>
      <w:r/>
    </w:p>
    <w:p>
      <w:pPr>
        <w:pStyle w:val="836"/>
        <w:ind w:firstLine="485"/>
        <w:spacing w:line="420" w:lineRule="exact"/>
        <w:rPr>
          <w:rFonts w:hint="eastAsia" w:cs="宋体"/>
          <w:sz w:val="24"/>
        </w:rPr>
      </w:pPr>
      <w:r>
        <w:rPr>
          <w:rFonts w:hint="eastAsia" w:cs="宋体"/>
          <w:sz w:val="24"/>
        </w:rPr>
        <w:t xml:space="preserve">④公开招标响应供应商如果虚假响应，将承担一切可能的风险。</w:t>
      </w:r>
      <w:r/>
    </w:p>
    <w:p>
      <w:pPr>
        <w:pStyle w:val="836"/>
        <w:ind w:firstLine="485"/>
        <w:spacing w:line="420" w:lineRule="exact"/>
        <w:rPr>
          <w:rFonts w:cs="宋体"/>
          <w:sz w:val="24"/>
        </w:rPr>
      </w:pPr>
      <w:r>
        <w:rPr>
          <w:rFonts w:hint="eastAsia" w:cs="宋体"/>
          <w:sz w:val="24"/>
        </w:rPr>
        <w:t xml:space="preserve">⑤所投品牌型号，必须确定、唯一。</w:t>
      </w:r>
      <w:r>
        <w:rPr>
          <w:rFonts w:cs="宋体"/>
          <w:sz w:val="24"/>
        </w:rPr>
      </w:r>
      <w:r/>
    </w:p>
    <w:p>
      <w:pPr>
        <w:pStyle w:val="836"/>
        <w:ind w:firstLine="485"/>
        <w:spacing w:line="420" w:lineRule="exact"/>
        <w:rPr>
          <w:rFonts w:cs="宋体"/>
          <w:sz w:val="24"/>
        </w:rPr>
      </w:pPr>
      <w:r>
        <w:rPr>
          <w:rFonts w:cs="宋体"/>
          <w:sz w:val="24"/>
        </w:rPr>
      </w:r>
      <w:r/>
    </w:p>
    <w:p>
      <w:pPr>
        <w:pStyle w:val="836"/>
        <w:jc w:val="left"/>
        <w:spacing w:line="360" w:lineRule="auto"/>
        <w:rPr>
          <w:rFonts w:eastAsia="黑体"/>
          <w:bCs/>
          <w:sz w:val="44"/>
          <w:szCs w:val="44"/>
        </w:rPr>
        <w:outlineLvl w:val="3"/>
      </w:pPr>
      <w:r>
        <w:rPr>
          <w:rFonts w:eastAsia="黑体"/>
          <w:bCs/>
          <w:sz w:val="44"/>
          <w:szCs w:val="44"/>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4</w:t>
      </w:r>
      <w:r>
        <w:rPr>
          <w:rFonts w:hint="eastAsia" w:ascii="宋体" w:hAnsi="宋体" w:cs="宋体"/>
          <w:b/>
          <w:sz w:val="30"/>
          <w:szCs w:val="30"/>
          <w:lang w:val="zh-CN"/>
        </w:rPr>
        <w:t xml:space="preserve">：</w:t>
      </w:r>
      <w:r>
        <w:rPr>
          <w:rFonts w:eastAsia="黑体"/>
          <w:bCs/>
          <w:sz w:val="44"/>
          <w:szCs w:val="44"/>
        </w:rPr>
      </w:r>
      <w:r/>
    </w:p>
    <w:p>
      <w:pPr>
        <w:pStyle w:val="836"/>
        <w:jc w:val="center"/>
        <w:spacing w:line="360" w:lineRule="auto"/>
        <w:rPr>
          <w:rFonts w:hint="eastAsia" w:cs="宋体"/>
          <w:b/>
          <w:bCs/>
          <w:sz w:val="28"/>
          <w:szCs w:val="28"/>
        </w:rPr>
        <w:outlineLvl w:val="3"/>
      </w:pPr>
      <w:r>
        <w:rPr>
          <w:rFonts w:hint="eastAsia" w:cs="宋体"/>
          <w:b/>
          <w:bCs/>
          <w:sz w:val="28"/>
          <w:szCs w:val="28"/>
        </w:rPr>
        <w:t xml:space="preserve">关于符合本国产品标准的声明函</w:t>
      </w:r>
      <w:r/>
    </w:p>
    <w:p>
      <w:pPr>
        <w:pStyle w:val="836"/>
        <w:ind w:firstLine="480"/>
        <w:spacing w:line="380" w:lineRule="exact"/>
        <w:rPr>
          <w:shd w:val="clear" w:color="auto" w:fill="ffffff"/>
        </w:rPr>
      </w:pPr>
      <w:r>
        <w:rPr>
          <w:shd w:val="clear" w:color="auto" w:fill="ffffff"/>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w:t>
      </w:r>
      <w:r>
        <w:rPr>
          <w:rFonts w:hint="eastAsia"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1.</w:t>
      </w:r>
      <w:r>
        <w:rPr>
          <w:rFonts w:hint="eastAsia" w:ascii="宋体" w:hAnsi="宋体" w:cs="宋体"/>
          <w:sz w:val="24"/>
          <w:u w:val="single"/>
          <w:shd w:val="clear" w:color="auto" w:fill="ffffff"/>
        </w:rPr>
        <w:t xml:space="preserve">（产品名称1）</w:t>
      </w:r>
      <w:r>
        <w:rPr>
          <w:rFonts w:hint="eastAsia" w:ascii="宋体" w:hAnsi="宋体" w:cs="宋体"/>
          <w:sz w:val="24"/>
          <w:shd w:val="clear" w:color="auto" w:fill="ffffff"/>
          <w:vertAlign w:val="superscript"/>
        </w:rPr>
        <w:t xml:space="preserve">1</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vertAlign w:val="superscript"/>
        </w:rPr>
        <w:t xml:space="preserve">2</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3</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4</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vertAlign w:val="superscript"/>
        </w:rPr>
        <w:t xml:space="preserve">5</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2.</w:t>
      </w:r>
      <w:r>
        <w:rPr>
          <w:rFonts w:hint="eastAsia" w:ascii="宋体" w:hAnsi="宋体" w:cs="宋体"/>
          <w:sz w:val="24"/>
          <w:u w:val="single"/>
          <w:shd w:val="clear" w:color="auto" w:fill="ffffff"/>
        </w:rPr>
        <w:t xml:space="preserve">（产品名称2）</w:t>
      </w:r>
      <w:r>
        <w:rPr>
          <w:rFonts w:hint="eastAsia" w:ascii="宋体" w:hAnsi="宋体" w:cs="宋体"/>
          <w:sz w:val="24"/>
          <w:shd w:val="clear" w:color="auto" w:fill="ffffff"/>
        </w:rPr>
        <w:t xml:space="preserve">，生产厂为</w:t>
      </w:r>
      <w:r>
        <w:rPr>
          <w:rFonts w:hint="eastAsia" w:ascii="宋体" w:hAnsi="宋体" w:cs="宋体"/>
          <w:sz w:val="24"/>
          <w:u w:val="single"/>
          <w:shd w:val="clear" w:color="auto" w:fill="ffffff"/>
        </w:rPr>
        <w:t xml:space="preserve">（厂名）</w:t>
      </w:r>
      <w:r>
        <w:rPr>
          <w:rFonts w:hint="eastAsia" w:ascii="宋体" w:hAnsi="宋体" w:cs="宋体"/>
          <w:sz w:val="24"/>
          <w:shd w:val="clear" w:color="auto" w:fill="ffffff"/>
        </w:rPr>
        <w:t xml:space="preserve">，厂址为</w:t>
      </w:r>
      <w:r>
        <w:rPr>
          <w:rFonts w:hint="eastAsia" w:ascii="宋体" w:hAnsi="宋体" w:cs="宋体"/>
          <w:sz w:val="24"/>
          <w:u w:val="single"/>
          <w:shd w:val="clear" w:color="auto" w:fill="ffffff"/>
        </w:rPr>
        <w:t xml:space="preserve">（生产厂址）</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的中国境内生产的组件成本占比≥</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在中国境内生产。</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在中国境内完成。</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本公司（单位）对上述声明内容的真实性负责。如有虚假，愿承担相应法律责任。</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   公司（单位）名称（加盖CA电子公章）：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shd w:val="clear" w:color="auto" w:fill="ffffff"/>
        </w:rPr>
        <w:t xml:space="preserve">日期：      年   月   日         </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p>
    <w:p>
      <w:pPr>
        <w:pStyle w:val="836"/>
        <w:ind w:firstLine="480"/>
        <w:spacing w:line="360" w:lineRule="auto"/>
        <w:rPr>
          <w:rFonts w:hint="eastAsia" w:ascii="宋体" w:hAnsi="宋体" w:cs="宋体"/>
          <w:sz w:val="24"/>
        </w:rPr>
      </w:pPr>
      <w:r>
        <w:rPr>
          <w:rFonts w:hint="eastAsia" w:ascii="宋体" w:hAnsi="宋体" w:cs="宋体"/>
          <w:sz w:val="24"/>
        </w:rPr>
        <w:t xml:space="preserve"> </w:t>
      </w:r>
      <w:r>
        <w:rPr>
          <w:rFonts w:hint="eastAsia" w:ascii="宋体" w:hAnsi="宋体" w:cs="宋体"/>
          <w:sz w:val="24"/>
          <w:shd w:val="clear" w:color="auto" w:fill="ffffff"/>
        </w:rPr>
        <w:t xml:space="preserve">_________________</w:t>
      </w:r>
      <w:r>
        <w:rPr>
          <w:rFonts w:hint="eastAsia" w:ascii="宋体" w:hAnsi="宋体" w:cs="宋体"/>
          <w:sz w:val="24"/>
        </w:rPr>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1.产品如有型号，请在“产品名称”栏一并填写。</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2.生产厂名与厂址应与生产厂营业执照载明的相关信息保持一致。</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3.该产品的中国境内生产的组件成本占比相关要求实施前，“规定比例”栏可不填，下同。</w:t>
      </w:r>
      <w:r/>
    </w:p>
    <w:p>
      <w:pPr>
        <w:pStyle w:val="83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4.该产品的关键组件要求实施前，“关键组件”栏可不填，下同。</w:t>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5.该产品的关键工序要求实施前，“关键工序”栏可不填，下同。</w:t>
      </w:r>
      <w:r>
        <w:rPr>
          <w:rFonts w:hint="eastAsia" w:ascii="宋体" w:hAnsi="宋体" w:cs="宋体"/>
          <w:sz w:val="24"/>
        </w:rPr>
      </w:r>
      <w:r/>
    </w:p>
    <w:p>
      <w:pPr>
        <w:pStyle w:val="836"/>
        <w:ind w:firstLine="480"/>
        <w:spacing w:line="360" w:lineRule="auto"/>
        <w:rPr>
          <w:rFonts w:hint="eastAsia" w:ascii="宋体" w:hAnsi="宋体" w:cs="宋体"/>
          <w:sz w:val="24"/>
        </w:rPr>
      </w:pPr>
      <w:r>
        <w:rPr>
          <w:rFonts w:hint="eastAsia" w:ascii="宋体" w:hAnsi="宋体" w:cs="宋体"/>
          <w:sz w:val="24"/>
          <w:shd w:val="clear" w:color="auto" w:fill="ffffff"/>
        </w:rPr>
        <w:t xml:space="preserve">6.《声明函》中标注“</w:t>
      </w:r>
      <w:r>
        <w:rPr>
          <w:rFonts w:hint="eastAsia" w:ascii="宋体" w:hAnsi="宋体" w:cs="宋体"/>
          <w:sz w:val="24"/>
          <w:u w:val="single"/>
          <w:shd w:val="clear" w:color="auto" w:fill="ffffff"/>
        </w:rPr>
        <w:t xml:space="preserve">  /  </w:t>
      </w:r>
      <w:r>
        <w:rPr>
          <w:rFonts w:hint="eastAsia" w:ascii="宋体" w:hAnsi="宋体" w:cs="宋体"/>
          <w:sz w:val="24"/>
          <w:shd w:val="clear" w:color="auto" w:fill="ffffff"/>
        </w:rPr>
        <w:t xml:space="preserve">”的地方无需填写。</w:t>
      </w:r>
      <w:r>
        <w:rPr>
          <w:rFonts w:hint="eastAsia" w:ascii="宋体" w:hAnsi="宋体" w:cs="宋体"/>
          <w:sz w:val="24"/>
        </w:rPr>
      </w:r>
      <w:r/>
    </w:p>
    <w:p>
      <w:pPr>
        <w:pStyle w:val="836"/>
        <w:jc w:val="left"/>
        <w:rPr>
          <w:rFonts w:eastAsia="黑体"/>
          <w:bCs/>
          <w:sz w:val="44"/>
          <w:szCs w:val="44"/>
        </w:rPr>
      </w:pPr>
      <w:r>
        <w:rPr>
          <w:rFonts w:eastAsia="黑体"/>
          <w:bCs/>
          <w:sz w:val="44"/>
          <w:szCs w:val="44"/>
        </w:rPr>
        <w:br w:type="page" w:clear="all"/>
      </w:r>
      <w:r>
        <w:rPr>
          <w:rFonts w:hint="eastAsia" w:ascii="宋体" w:hAnsi="宋体" w:cs="宋体"/>
          <w:b/>
          <w:sz w:val="30"/>
          <w:szCs w:val="30"/>
          <w:lang w:val="zh-CN"/>
        </w:rPr>
        <w:t xml:space="preserve">附件1</w:t>
      </w:r>
      <w:r>
        <w:rPr>
          <w:rFonts w:hint="eastAsia" w:ascii="宋体" w:hAnsi="宋体" w:cs="宋体"/>
          <w:b/>
          <w:sz w:val="30"/>
          <w:szCs w:val="30"/>
        </w:rPr>
        <w:t xml:space="preserve">5</w:t>
      </w:r>
      <w:r>
        <w:rPr>
          <w:rFonts w:hint="eastAsia" w:ascii="宋体" w:hAnsi="宋体" w:cs="宋体"/>
          <w:b/>
          <w:sz w:val="30"/>
          <w:szCs w:val="30"/>
          <w:lang w:val="zh-CN"/>
        </w:rPr>
        <w:t xml:space="preserve">：</w:t>
      </w:r>
      <w:r>
        <w:rPr>
          <w:rFonts w:eastAsia="黑体"/>
          <w:bCs/>
          <w:sz w:val="44"/>
          <w:szCs w:val="44"/>
        </w:rPr>
      </w:r>
      <w:r/>
    </w:p>
    <w:p>
      <w:pPr>
        <w:pStyle w:val="836"/>
        <w:jc w:val="center"/>
        <w:rPr>
          <w:rFonts w:eastAsia="黑体"/>
          <w:bCs/>
          <w:sz w:val="44"/>
          <w:szCs w:val="44"/>
        </w:rPr>
      </w:pPr>
      <w:r>
        <w:rPr>
          <w:rFonts w:eastAsia="黑体"/>
          <w:bCs/>
          <w:sz w:val="44"/>
          <w:szCs w:val="44"/>
        </w:rPr>
        <w:t xml:space="preserve">质疑函范本</w:t>
      </w:r>
      <w:r/>
    </w:p>
    <w:p>
      <w:pPr>
        <w:pStyle w:val="836"/>
        <w:spacing w:before="312" w:line="360" w:lineRule="auto"/>
        <w:rPr>
          <w:rFonts w:eastAsia="黑体"/>
          <w:bCs/>
          <w:sz w:val="32"/>
          <w:szCs w:val="32"/>
        </w:rPr>
      </w:pPr>
      <w:r>
        <w:rPr>
          <w:rFonts w:eastAsia="黑体"/>
          <w:bCs/>
          <w:sz w:val="32"/>
          <w:szCs w:val="32"/>
        </w:rPr>
        <w:t xml:space="preserve">一、质疑供应商基本信息</w:t>
      </w:r>
      <w:r/>
    </w:p>
    <w:p>
      <w:pPr>
        <w:pStyle w:val="836"/>
        <w:spacing w:line="360" w:lineRule="auto"/>
        <w:rPr>
          <w:rFonts w:eastAsia="仿宋"/>
          <w:sz w:val="32"/>
          <w:szCs w:val="32"/>
          <w:u w:val="single"/>
        </w:rPr>
      </w:pPr>
      <w:r>
        <w:rPr>
          <w:rFonts w:eastAsia="仿宋"/>
          <w:sz w:val="32"/>
          <w:szCs w:val="32"/>
        </w:rPr>
        <w:t xml:space="preserve">质疑供应商：</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地址：邮编：</w:t>
      </w:r>
      <w:r/>
    </w:p>
    <w:p>
      <w:pPr>
        <w:pStyle w:val="836"/>
        <w:spacing w:line="360" w:lineRule="auto"/>
        <w:rPr>
          <w:rFonts w:eastAsia="仿宋"/>
          <w:sz w:val="32"/>
          <w:szCs w:val="32"/>
        </w:rPr>
      </w:pPr>
      <w:r>
        <w:rPr>
          <w:rFonts w:eastAsia="仿宋"/>
          <w:sz w:val="32"/>
          <w:szCs w:val="32"/>
        </w:rPr>
        <w:t xml:space="preserve">联系人：联系电话：</w:t>
      </w:r>
      <w:r/>
    </w:p>
    <w:p>
      <w:pPr>
        <w:pStyle w:val="836"/>
        <w:spacing w:line="360" w:lineRule="auto"/>
        <w:rPr>
          <w:rFonts w:eastAsia="仿宋"/>
          <w:sz w:val="32"/>
          <w:szCs w:val="32"/>
          <w:u w:val="single"/>
        </w:rPr>
      </w:pPr>
      <w:r>
        <w:rPr>
          <w:rFonts w:eastAsia="仿宋"/>
          <w:sz w:val="32"/>
          <w:szCs w:val="32"/>
        </w:rPr>
        <w:t xml:space="preserve">授权代表：</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联系电话：</w:t>
      </w:r>
      <w:r/>
    </w:p>
    <w:p>
      <w:pPr>
        <w:pStyle w:val="836"/>
        <w:spacing w:line="360" w:lineRule="auto"/>
        <w:rPr>
          <w:rFonts w:eastAsia="仿宋"/>
          <w:sz w:val="32"/>
          <w:szCs w:val="32"/>
        </w:rPr>
      </w:pPr>
      <w:r>
        <w:rPr>
          <w:rFonts w:eastAsia="仿宋"/>
          <w:sz w:val="32"/>
          <w:szCs w:val="32"/>
        </w:rPr>
        <w:t xml:space="preserve">地址：邮编：</w:t>
      </w:r>
      <w:r/>
    </w:p>
    <w:p>
      <w:pPr>
        <w:pStyle w:val="836"/>
        <w:spacing w:line="360" w:lineRule="auto"/>
        <w:rPr>
          <w:rFonts w:eastAsia="黑体"/>
          <w:bCs/>
          <w:sz w:val="32"/>
          <w:szCs w:val="32"/>
        </w:rPr>
      </w:pPr>
      <w:r>
        <w:rPr>
          <w:rFonts w:eastAsia="黑体"/>
          <w:bCs/>
          <w:sz w:val="32"/>
          <w:szCs w:val="32"/>
        </w:rPr>
        <w:t xml:space="preserve">二、质疑项目基本情况</w:t>
      </w:r>
      <w:r/>
    </w:p>
    <w:p>
      <w:pPr>
        <w:pStyle w:val="836"/>
        <w:spacing w:line="360" w:lineRule="auto"/>
        <w:rPr>
          <w:rFonts w:eastAsia="仿宋"/>
          <w:sz w:val="32"/>
          <w:szCs w:val="32"/>
        </w:rPr>
      </w:pPr>
      <w:r>
        <w:rPr>
          <w:rFonts w:eastAsia="仿宋"/>
          <w:sz w:val="32"/>
          <w:szCs w:val="32"/>
        </w:rPr>
        <w:t xml:space="preserve">质疑项目的名称：</w:t>
      </w:r>
      <w:r/>
    </w:p>
    <w:p>
      <w:pPr>
        <w:pStyle w:val="836"/>
        <w:spacing w:line="360" w:lineRule="auto"/>
        <w:rPr>
          <w:rFonts w:eastAsia="仿宋"/>
          <w:sz w:val="32"/>
          <w:szCs w:val="32"/>
        </w:rPr>
      </w:pPr>
      <w:r>
        <w:rPr>
          <w:rFonts w:eastAsia="仿宋"/>
          <w:sz w:val="32"/>
          <w:szCs w:val="32"/>
        </w:rPr>
        <w:t xml:space="preserve">质疑项目的编号：包号：</w:t>
      </w:r>
      <w:r/>
    </w:p>
    <w:p>
      <w:pPr>
        <w:pStyle w:val="836"/>
        <w:spacing w:line="360" w:lineRule="auto"/>
        <w:rPr>
          <w:rFonts w:eastAsia="仿宋"/>
          <w:sz w:val="32"/>
          <w:szCs w:val="32"/>
          <w:u w:val="single"/>
        </w:rPr>
      </w:pPr>
      <w:r>
        <w:rPr>
          <w:rFonts w:eastAsia="仿宋"/>
          <w:sz w:val="32"/>
          <w:szCs w:val="32"/>
        </w:rPr>
        <w:t xml:space="preserve">采购人名称：</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采购文件获取日期：</w:t>
      </w:r>
      <w:r/>
    </w:p>
    <w:p>
      <w:pPr>
        <w:pStyle w:val="836"/>
        <w:spacing w:line="360" w:lineRule="auto"/>
        <w:rPr>
          <w:rFonts w:eastAsia="黑体"/>
          <w:bCs/>
          <w:sz w:val="32"/>
          <w:szCs w:val="32"/>
        </w:rPr>
      </w:pPr>
      <w:r>
        <w:rPr>
          <w:rFonts w:eastAsia="黑体"/>
          <w:bCs/>
          <w:sz w:val="32"/>
          <w:szCs w:val="32"/>
        </w:rPr>
        <w:t xml:space="preserve">三、质疑事项具体内容</w:t>
      </w:r>
      <w:r/>
    </w:p>
    <w:p>
      <w:pPr>
        <w:pStyle w:val="836"/>
        <w:spacing w:line="360" w:lineRule="auto"/>
        <w:rPr>
          <w:rFonts w:eastAsia="仿宋"/>
          <w:sz w:val="32"/>
          <w:szCs w:val="32"/>
          <w:u w:val="single"/>
        </w:rPr>
      </w:pPr>
      <w:r>
        <w:rPr>
          <w:rFonts w:eastAsia="仿宋"/>
          <w:sz w:val="32"/>
          <w:szCs w:val="32"/>
        </w:rPr>
        <w:t xml:space="preserve">质疑事项1：</w:t>
      </w:r>
      <w:r>
        <w:rPr>
          <w:rFonts w:eastAsia="仿宋"/>
          <w:sz w:val="32"/>
          <w:szCs w:val="32"/>
          <w:u w:val="single"/>
        </w:rPr>
      </w:r>
      <w:r/>
    </w:p>
    <w:p>
      <w:pPr>
        <w:pStyle w:val="836"/>
        <w:spacing w:line="360" w:lineRule="auto"/>
        <w:rPr>
          <w:rFonts w:eastAsia="仿宋"/>
          <w:sz w:val="32"/>
          <w:szCs w:val="32"/>
          <w:u w:val="single"/>
        </w:rPr>
      </w:pPr>
      <w:r>
        <w:rPr>
          <w:rFonts w:eastAsia="仿宋"/>
          <w:sz w:val="32"/>
          <w:szCs w:val="32"/>
        </w:rPr>
        <w:t xml:space="preserve">事实依据：</w:t>
      </w:r>
      <w:r>
        <w:rPr>
          <w:rFonts w:eastAsia="仿宋"/>
          <w:sz w:val="32"/>
          <w:szCs w:val="32"/>
          <w:u w:val="single"/>
        </w:rPr>
      </w:r>
      <w:r/>
    </w:p>
    <w:p>
      <w:pPr>
        <w:pStyle w:val="836"/>
        <w:spacing w:line="360" w:lineRule="auto"/>
        <w:rPr>
          <w:rFonts w:eastAsia="仿宋"/>
          <w:sz w:val="32"/>
          <w:szCs w:val="32"/>
        </w:rPr>
      </w:pPr>
      <w:r>
        <w:rPr>
          <w:rFonts w:eastAsia="仿宋"/>
          <w:sz w:val="32"/>
          <w:szCs w:val="32"/>
        </w:rPr>
      </w:r>
      <w:r/>
    </w:p>
    <w:p>
      <w:pPr>
        <w:pStyle w:val="836"/>
        <w:spacing w:line="360" w:lineRule="auto"/>
        <w:rPr>
          <w:rFonts w:eastAsia="仿宋"/>
          <w:sz w:val="32"/>
          <w:szCs w:val="32"/>
          <w:u w:val="single"/>
        </w:rPr>
      </w:pPr>
      <w:r>
        <w:rPr>
          <w:rFonts w:eastAsia="仿宋"/>
          <w:sz w:val="32"/>
          <w:szCs w:val="32"/>
        </w:rPr>
        <w:t xml:space="preserve">法律依据：</w:t>
      </w:r>
      <w:r>
        <w:rPr>
          <w:rFonts w:eastAsia="仿宋"/>
          <w:sz w:val="32"/>
          <w:szCs w:val="32"/>
          <w:u w:val="single"/>
        </w:rPr>
      </w:r>
      <w:r/>
    </w:p>
    <w:p>
      <w:pPr>
        <w:pStyle w:val="836"/>
        <w:spacing w:line="360" w:lineRule="auto"/>
        <w:rPr>
          <w:rFonts w:eastAsia="仿宋"/>
          <w:sz w:val="32"/>
          <w:szCs w:val="32"/>
          <w:u w:val="single"/>
        </w:rPr>
      </w:pPr>
      <w:r>
        <w:rPr>
          <w:rFonts w:eastAsia="仿宋"/>
          <w:sz w:val="32"/>
          <w:szCs w:val="32"/>
          <w:u w:val="single"/>
        </w:rPr>
      </w:r>
      <w:r/>
    </w:p>
    <w:p>
      <w:pPr>
        <w:pStyle w:val="836"/>
        <w:spacing w:line="360" w:lineRule="auto"/>
        <w:rPr>
          <w:rFonts w:eastAsia="仿宋"/>
          <w:sz w:val="32"/>
          <w:szCs w:val="32"/>
          <w:u w:val="single"/>
        </w:rPr>
      </w:pPr>
      <w:r>
        <w:rPr>
          <w:rFonts w:eastAsia="仿宋"/>
          <w:sz w:val="32"/>
          <w:szCs w:val="32"/>
        </w:rPr>
        <w:t xml:space="preserve">质疑事项2</w:t>
      </w:r>
      <w:r>
        <w:rPr>
          <w:rFonts w:eastAsia="仿宋"/>
          <w:sz w:val="32"/>
          <w:szCs w:val="32"/>
          <w:u w:val="single"/>
        </w:rPr>
      </w:r>
      <w:r/>
    </w:p>
    <w:p>
      <w:pPr>
        <w:pStyle w:val="836"/>
        <w:spacing w:line="360" w:lineRule="auto"/>
        <w:rPr>
          <w:rFonts w:eastAsia="仿宋"/>
          <w:sz w:val="32"/>
          <w:szCs w:val="32"/>
        </w:rPr>
      </w:pPr>
      <w:r>
        <w:rPr>
          <w:rFonts w:eastAsia="仿宋"/>
          <w:sz w:val="32"/>
          <w:szCs w:val="32"/>
        </w:rPr>
        <w:t xml:space="preserve">……</w:t>
      </w:r>
      <w:r/>
    </w:p>
    <w:p>
      <w:pPr>
        <w:pStyle w:val="836"/>
        <w:spacing w:line="360" w:lineRule="auto"/>
        <w:rPr>
          <w:rFonts w:eastAsia="黑体"/>
          <w:bCs/>
          <w:sz w:val="32"/>
          <w:szCs w:val="32"/>
        </w:rPr>
      </w:pPr>
      <w:r>
        <w:rPr>
          <w:rFonts w:eastAsia="黑体"/>
          <w:bCs/>
          <w:sz w:val="32"/>
          <w:szCs w:val="32"/>
        </w:rPr>
        <w:t xml:space="preserve">四、与质疑事项相关的质疑请求</w:t>
      </w:r>
      <w:r/>
    </w:p>
    <w:p>
      <w:pPr>
        <w:pStyle w:val="836"/>
        <w:spacing w:line="360" w:lineRule="auto"/>
        <w:rPr>
          <w:rFonts w:eastAsia="仿宋"/>
          <w:sz w:val="32"/>
          <w:szCs w:val="32"/>
          <w:u w:val="single"/>
        </w:rPr>
      </w:pPr>
      <w:r>
        <w:rPr>
          <w:rFonts w:eastAsia="仿宋"/>
          <w:sz w:val="32"/>
          <w:szCs w:val="32"/>
        </w:rPr>
        <w:t xml:space="preserve">请求：</w:t>
      </w:r>
      <w:r>
        <w:rPr>
          <w:rFonts w:eastAsia="仿宋"/>
          <w:sz w:val="32"/>
          <w:szCs w:val="32"/>
          <w:u w:val="single"/>
        </w:rPr>
      </w:r>
      <w:r/>
    </w:p>
    <w:p>
      <w:pPr>
        <w:pStyle w:val="836"/>
        <w:rPr>
          <w:rFonts w:eastAsia="仿宋_GB2312"/>
          <w:sz w:val="30"/>
          <w:szCs w:val="30"/>
        </w:rPr>
      </w:pPr>
      <w:r>
        <w:rPr>
          <w:rFonts w:eastAsia="仿宋_GB2312"/>
          <w:sz w:val="30"/>
          <w:szCs w:val="30"/>
        </w:rPr>
        <w:t xml:space="preserve">签字</w:t>
      </w:r>
      <w:r>
        <w:rPr>
          <w:rFonts w:hint="eastAsia" w:eastAsia="仿宋_GB2312"/>
          <w:sz w:val="30"/>
          <w:szCs w:val="30"/>
        </w:rPr>
        <w:t xml:space="preserve">（</w:t>
      </w:r>
      <w:r>
        <w:rPr>
          <w:rFonts w:eastAsia="仿宋_GB2312"/>
          <w:sz w:val="30"/>
          <w:szCs w:val="30"/>
        </w:rPr>
        <w:t xml:space="preserve">签章</w:t>
      </w:r>
      <w:r>
        <w:rPr>
          <w:rFonts w:hint="eastAsia" w:eastAsia="仿宋_GB2312"/>
          <w:sz w:val="30"/>
          <w:szCs w:val="30"/>
        </w:rPr>
        <w:t xml:space="preserve">）</w:t>
      </w:r>
      <w:r>
        <w:rPr>
          <w:rFonts w:eastAsia="仿宋_GB2312"/>
          <w:sz w:val="30"/>
          <w:szCs w:val="30"/>
        </w:rPr>
        <w:t xml:space="preserve">：                   公章：                      </w:t>
      </w:r>
      <w:r/>
    </w:p>
    <w:p>
      <w:pPr>
        <w:pStyle w:val="836"/>
        <w:rPr>
          <w:rFonts w:eastAsia="仿宋_GB2312"/>
          <w:sz w:val="30"/>
          <w:szCs w:val="30"/>
        </w:rPr>
      </w:pPr>
      <w:r>
        <w:rPr>
          <w:rFonts w:eastAsia="仿宋_GB2312"/>
          <w:sz w:val="30"/>
          <w:szCs w:val="30"/>
        </w:rPr>
        <w:t xml:space="preserve">日期：    </w:t>
      </w:r>
      <w:r/>
    </w:p>
    <w:p>
      <w:pPr>
        <w:pStyle w:val="836"/>
        <w:spacing w:line="360" w:lineRule="auto"/>
        <w:rPr>
          <w:rFonts w:eastAsia="仿宋"/>
          <w:sz w:val="32"/>
          <w:szCs w:val="32"/>
        </w:rPr>
      </w:pPr>
      <w:r>
        <w:rPr>
          <w:rFonts w:eastAsia="仿宋"/>
          <w:sz w:val="32"/>
          <w:szCs w:val="32"/>
        </w:rPr>
      </w:r>
      <w:r/>
    </w:p>
    <w:p>
      <w:pPr>
        <w:pStyle w:val="836"/>
        <w:rPr>
          <w:rFonts w:eastAsia="黑体"/>
          <w:b/>
          <w:sz w:val="32"/>
          <w:szCs w:val="32"/>
        </w:rPr>
      </w:pPr>
      <w:r>
        <w:rPr>
          <w:rFonts w:eastAsia="黑体"/>
          <w:b/>
          <w:sz w:val="32"/>
          <w:szCs w:val="32"/>
        </w:rPr>
      </w:r>
      <w:r/>
    </w:p>
    <w:p>
      <w:pPr>
        <w:pStyle w:val="836"/>
        <w:rPr>
          <w:rFonts w:eastAsia="黑体"/>
          <w:b/>
          <w:sz w:val="32"/>
          <w:szCs w:val="32"/>
        </w:rPr>
      </w:pPr>
      <w:r>
        <w:rPr>
          <w:rFonts w:eastAsia="黑体"/>
          <w:b/>
          <w:sz w:val="32"/>
          <w:szCs w:val="32"/>
        </w:rPr>
        <w:t xml:space="preserve">质疑函制作说明：</w:t>
      </w:r>
      <w:r/>
    </w:p>
    <w:p>
      <w:pPr>
        <w:pStyle w:val="836"/>
        <w:ind w:firstLine="640"/>
        <w:jc w:val="left"/>
        <w:widowControl/>
        <w:rPr>
          <w:rFonts w:eastAsia="仿宋_GB2312"/>
          <w:sz w:val="32"/>
          <w:szCs w:val="32"/>
        </w:rPr>
      </w:pPr>
      <w:r>
        <w:rPr>
          <w:rFonts w:eastAsia="仿宋_GB2312"/>
          <w:sz w:val="32"/>
          <w:szCs w:val="32"/>
        </w:rPr>
        <w:t xml:space="preserve">1.供应商提出质疑时，应提交质疑函和必要的证明材料。</w:t>
      </w:r>
      <w:r/>
    </w:p>
    <w:p>
      <w:pPr>
        <w:pStyle w:val="836"/>
        <w:ind w:firstLine="640"/>
        <w:jc w:val="left"/>
        <w:widowControl/>
        <w:rPr>
          <w:rFonts w:eastAsia="仿宋_GB2312"/>
          <w:sz w:val="32"/>
          <w:szCs w:val="32"/>
        </w:rPr>
      </w:pPr>
      <w:r>
        <w:rPr>
          <w:rFonts w:eastAsia="仿宋_GB2312"/>
          <w:sz w:val="32"/>
          <w:szCs w:val="32"/>
        </w:rPr>
        <w:t xml:space="preserve">2.质疑供应商若委托代理人进行质疑的，质疑函应按要求列明“授权代表”的有关内容，并在附件中提交由质疑</w:t>
      </w:r>
      <w:r>
        <w:rPr>
          <w:rFonts w:eastAsia="仿宋_GB2312"/>
          <w:sz w:val="32"/>
          <w:szCs w:val="32"/>
        </w:rPr>
        <w:t xml:space="preserve">供应商签署的授权委托书。授权委托书应载明代理人的姓名或者名称、代理事项、具体权限、期限和相关事项。</w:t>
      </w:r>
      <w:r>
        <w:rPr>
          <w:rFonts w:eastAsia="仿宋_GB2312"/>
          <w:sz w:val="32"/>
          <w:szCs w:val="32"/>
        </w:rPr>
      </w:r>
      <w:r/>
    </w:p>
    <w:p>
      <w:pPr>
        <w:pStyle w:val="836"/>
        <w:ind w:firstLine="640"/>
        <w:jc w:val="left"/>
        <w:widowControl/>
        <w:rPr>
          <w:rFonts w:eastAsia="仿宋_GB2312"/>
          <w:sz w:val="32"/>
          <w:szCs w:val="32"/>
        </w:rPr>
      </w:pPr>
      <w:r>
        <w:rPr>
          <w:rFonts w:eastAsia="仿宋_GB2312"/>
          <w:sz w:val="32"/>
          <w:szCs w:val="32"/>
        </w:rPr>
        <w:t xml:space="preserve">3.质疑供应商若对项目的某一分包进行质疑，质疑函中应列明具体分包号。</w:t>
      </w:r>
      <w:r/>
    </w:p>
    <w:p>
      <w:pPr>
        <w:pStyle w:val="836"/>
        <w:ind w:firstLine="640"/>
        <w:jc w:val="left"/>
        <w:widowControl/>
        <w:rPr>
          <w:rFonts w:eastAsia="仿宋_GB2312"/>
          <w:sz w:val="32"/>
          <w:szCs w:val="32"/>
        </w:rPr>
      </w:pPr>
      <w:r>
        <w:rPr>
          <w:rFonts w:eastAsia="仿宋_GB2312"/>
          <w:sz w:val="32"/>
          <w:szCs w:val="32"/>
        </w:rPr>
        <w:t xml:space="preserve">4.质疑函的质疑事项应具体、明确，并有必要的事实依据和法律依据。</w:t>
      </w:r>
      <w:r/>
    </w:p>
    <w:p>
      <w:pPr>
        <w:pStyle w:val="836"/>
        <w:ind w:firstLine="640"/>
        <w:jc w:val="left"/>
        <w:widowControl/>
        <w:rPr>
          <w:rFonts w:eastAsia="仿宋_GB2312"/>
          <w:sz w:val="32"/>
          <w:szCs w:val="32"/>
        </w:rPr>
      </w:pPr>
      <w:r>
        <w:rPr>
          <w:rFonts w:eastAsia="仿宋_GB2312"/>
          <w:sz w:val="32"/>
          <w:szCs w:val="32"/>
        </w:rPr>
        <w:t xml:space="preserve">5.质疑函的质疑请求应与质疑事项相关。</w:t>
      </w:r>
      <w:r/>
    </w:p>
    <w:p>
      <w:pPr>
        <w:pStyle w:val="836"/>
        <w:ind w:firstLine="640"/>
        <w:jc w:val="left"/>
        <w:widowControl/>
        <w:rPr>
          <w:rFonts w:eastAsia="仿宋_GB2312"/>
          <w:sz w:val="32"/>
          <w:szCs w:val="32"/>
        </w:rPr>
      </w:pPr>
      <w:r>
        <w:rPr>
          <w:rFonts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836"/>
        <w:jc w:val="left"/>
        <w:spacing w:line="380" w:lineRule="exact"/>
        <w:rPr>
          <w:b/>
          <w:szCs w:val="22"/>
        </w:rPr>
      </w:pPr>
      <w:r>
        <w:rPr>
          <w:rFonts w:eastAsia="仿宋_GB2312"/>
          <w:sz w:val="32"/>
          <w:szCs w:val="32"/>
        </w:rPr>
        <w:br w:type="page" w:clear="all"/>
      </w:r>
      <w:r>
        <w:rPr>
          <w:rFonts w:hint="eastAsia" w:cs="宋体"/>
        </w:rPr>
        <w:t xml:space="preserve">附件：</w:t>
      </w:r>
      <w:r>
        <w:rPr>
          <w:b/>
          <w:szCs w:val="22"/>
        </w:rPr>
      </w:r>
      <w:r/>
    </w:p>
    <w:p>
      <w:pPr>
        <w:pStyle w:val="836"/>
        <w:ind w:right="561"/>
        <w:jc w:val="center"/>
        <w:spacing w:line="380" w:lineRule="exact"/>
        <w:rPr>
          <w:rFonts w:hint="eastAsia" w:cs="宋体"/>
          <w:b/>
          <w:sz w:val="28"/>
          <w:szCs w:val="28"/>
        </w:rPr>
      </w:pPr>
      <w:r>
        <w:rPr>
          <w:rFonts w:hint="eastAsia" w:cs="宋体"/>
          <w:b/>
          <w:sz w:val="28"/>
          <w:szCs w:val="28"/>
        </w:rPr>
        <w:t xml:space="preserve">中小企业划型标准规定</w:t>
      </w:r>
      <w:r/>
    </w:p>
    <w:p>
      <w:pPr>
        <w:pStyle w:val="836"/>
        <w:ind w:firstLine="482"/>
        <w:spacing w:line="360" w:lineRule="exact"/>
        <w:rPr>
          <w:rFonts w:cs="宋体"/>
          <w:szCs w:val="21"/>
        </w:rPr>
      </w:pPr>
      <w:r>
        <w:rPr>
          <w:rFonts w:hint="eastAsia"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cs="宋体"/>
          <w:szCs w:val="21"/>
        </w:rPr>
      </w:r>
      <w:r/>
    </w:p>
    <w:p>
      <w:pPr>
        <w:pStyle w:val="836"/>
        <w:ind w:firstLine="482"/>
        <w:spacing w:line="360" w:lineRule="exact"/>
        <w:rPr>
          <w:rFonts w:cs="宋体"/>
          <w:szCs w:val="21"/>
        </w:rPr>
      </w:pPr>
      <w:r>
        <w:rPr>
          <w:rFonts w:hint="eastAsia" w:cs="宋体"/>
          <w:szCs w:val="21"/>
        </w:rPr>
        <w:t xml:space="preserve">各行业划型标准为：</w:t>
      </w:r>
      <w:r>
        <w:rPr>
          <w:rFonts w:cs="宋体"/>
          <w:szCs w:val="21"/>
        </w:rPr>
      </w:r>
      <w:r/>
    </w:p>
    <w:p>
      <w:pPr>
        <w:pStyle w:val="836"/>
        <w:ind w:firstLine="482"/>
        <w:spacing w:line="360" w:lineRule="exact"/>
        <w:rPr>
          <w:rFonts w:cs="宋体"/>
          <w:szCs w:val="21"/>
        </w:rPr>
      </w:pPr>
      <w:r>
        <w:rPr>
          <w:rFonts w:hint="eastAsia"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cs="宋体"/>
          <w:szCs w:val="21"/>
        </w:rPr>
      </w:r>
      <w:r/>
    </w:p>
    <w:p>
      <w:pPr>
        <w:pStyle w:val="836"/>
        <w:ind w:firstLine="482"/>
        <w:spacing w:line="360" w:lineRule="exact"/>
        <w:rPr>
          <w:rFonts w:cs="宋体"/>
          <w:szCs w:val="21"/>
        </w:rPr>
      </w:pPr>
      <w:r>
        <w:rPr>
          <w:rFonts w:hint="eastAsia"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cs="宋体"/>
          <w:szCs w:val="21"/>
        </w:rPr>
      </w:r>
      <w:r/>
    </w:p>
    <w:p>
      <w:pPr>
        <w:pStyle w:val="836"/>
        <w:ind w:firstLine="482"/>
        <w:spacing w:line="360" w:lineRule="exact"/>
        <w:rPr>
          <w:rFonts w:hint="eastAsia" w:cs="宋体"/>
          <w:szCs w:val="21"/>
        </w:rPr>
      </w:pPr>
      <w:r>
        <w:rPr>
          <w:rFonts w:hint="eastAsia" w:cs="宋体"/>
          <w:szCs w:val="21"/>
        </w:rPr>
        <w:t xml:space="preserve">（十六）其他未列明行业。从业人员300人以下的为中小微型企业。其中，从业人员100人及以上的为中型企业；从业人员10人及以上的为小型企业；从业人员10人以下的为微型企业。</w:t>
      </w:r>
      <w:r/>
    </w:p>
    <w:sectPr>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Wingdings">
    <w:panose1 w:val="05000000000000000000"/>
  </w:font>
  <w:font w:name="Arial Unicode MS">
    <w:panose1 w:val="020B0604020202020204"/>
  </w:font>
  <w:font w:name="仿宋">
    <w:panose1 w:val="02010609060101010101"/>
  </w:font>
  <w:font w:name="等线">
    <w:panose1 w:val="0201060003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Menlo">
    <w:panose1 w:val="020B050302020202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t xml:space="preserve">第 </w:t>
                    </w:r>
                    <w:r>
                      <w:fldChar w:fldCharType="begin"/>
                    </w:r>
                    <w:r>
                      <w:instrText xml:space="preserve"> PAGE  \* MERGEFORMAT </w:instrText>
                    </w:r>
                    <w:r>
                      <w:fldChar w:fldCharType="separate"/>
                    </w:r>
                    <w:r>
                      <w:t xml:space="preserve">44</w:t>
                    </w:r>
                    <w:r>
                      <w:fldChar w:fldCharType="end"/>
                    </w:r>
                    <w:r>
                      <w:t xml:space="preserve"> 页 共 </w:t>
                    </w:r>
                    <w:r>
                      <w:fldChar w:fldCharType="begin"/>
                    </w:r>
                    <w:r>
                      <w:instrText xml:space="preserve"> NUMPAGES  \* MERGEFORMAT </w:instrText>
                    </w:r>
                    <w:r>
                      <w:fldChar w:fldCharType="separate"/>
                    </w:r>
                    <w:r>
                      <w:t xml:space="preserve">90</w:t>
                    </w:r>
                    <w:r>
                      <w:fldChar w:fldCharType="end"/>
                    </w:r>
                    <w:r>
                      <w:t xml:space="preserve"> 页</w:t>
                    </w:r>
                    <w:r/>
                  </w:p>
                  <w:p>
                    <w:pPr>
                      <w:pStyle w:val="8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pStyle w:val="8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36"/>
        <w:ind w:left="425" w:hanging="425"/>
      </w:pPr>
      <w:rPr>
        <w:b w:val="0"/>
        <w:bC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989"/>
      <w:isLgl w:val="false"/>
      <w:suff w:val="tab"/>
      <w:lvlText w:val=""/>
      <w:lvlJc w:val="left"/>
      <w:pPr>
        <w:pStyle w:val="836"/>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836"/>
        <w:ind w:left="960" w:hanging="480"/>
        <w:tabs>
          <w:tab w:val="num" w:pos="960" w:leader="none"/>
        </w:tabs>
      </w:pPr>
    </w:lvl>
    <w:lvl w:ilvl="2">
      <w:start w:val="1"/>
      <w:numFmt w:val="lowerRoman"/>
      <w:isLgl w:val="false"/>
      <w:suff w:val="tab"/>
      <w:lvlText w:val="%3."/>
      <w:lvlJc w:val="right"/>
      <w:pPr>
        <w:pStyle w:val="836"/>
        <w:ind w:left="1440" w:hanging="480"/>
        <w:tabs>
          <w:tab w:val="num" w:pos="1440" w:leader="none"/>
        </w:tabs>
      </w:pPr>
    </w:lvl>
    <w:lvl w:ilvl="3">
      <w:start w:val="1"/>
      <w:numFmt w:val="decimal"/>
      <w:isLgl w:val="false"/>
      <w:suff w:val="tab"/>
      <w:lvlText w:val="%4."/>
      <w:lvlJc w:val="left"/>
      <w:pPr>
        <w:pStyle w:val="836"/>
        <w:ind w:left="1920" w:hanging="480"/>
        <w:tabs>
          <w:tab w:val="num" w:pos="1920" w:leader="none"/>
        </w:tabs>
      </w:pPr>
    </w:lvl>
    <w:lvl w:ilvl="4">
      <w:start w:val="1"/>
      <w:numFmt w:val="ideographTraditional"/>
      <w:isLgl w:val="false"/>
      <w:suff w:val="tab"/>
      <w:lvlText w:val="%5、"/>
      <w:lvlJc w:val="left"/>
      <w:pPr>
        <w:pStyle w:val="836"/>
        <w:ind w:left="2400" w:hanging="480"/>
        <w:tabs>
          <w:tab w:val="num" w:pos="2400" w:leader="none"/>
        </w:tabs>
      </w:pPr>
    </w:lvl>
    <w:lvl w:ilvl="5">
      <w:start w:val="1"/>
      <w:numFmt w:val="lowerRoman"/>
      <w:isLgl w:val="false"/>
      <w:suff w:val="tab"/>
      <w:lvlText w:val="%6."/>
      <w:lvlJc w:val="right"/>
      <w:pPr>
        <w:pStyle w:val="836"/>
        <w:ind w:left="2880" w:hanging="480"/>
        <w:tabs>
          <w:tab w:val="num" w:pos="2880" w:leader="none"/>
        </w:tabs>
      </w:pPr>
    </w:lvl>
    <w:lvl w:ilvl="6">
      <w:start w:val="1"/>
      <w:numFmt w:val="decimal"/>
      <w:isLgl w:val="false"/>
      <w:suff w:val="tab"/>
      <w:lvlText w:val="%7."/>
      <w:lvlJc w:val="left"/>
      <w:pPr>
        <w:pStyle w:val="836"/>
        <w:ind w:left="3360" w:hanging="480"/>
        <w:tabs>
          <w:tab w:val="num" w:pos="3360" w:leader="none"/>
        </w:tabs>
      </w:pPr>
    </w:lvl>
    <w:lvl w:ilvl="7">
      <w:start w:val="1"/>
      <w:numFmt w:val="ideographTraditional"/>
      <w:isLgl w:val="false"/>
      <w:suff w:val="tab"/>
      <w:lvlText w:val="%8、"/>
      <w:lvlJc w:val="left"/>
      <w:pPr>
        <w:pStyle w:val="836"/>
        <w:ind w:left="3840" w:hanging="480"/>
        <w:tabs>
          <w:tab w:val="num" w:pos="3840" w:leader="none"/>
        </w:tabs>
      </w:pPr>
    </w:lvl>
    <w:lvl w:ilvl="8">
      <w:start w:val="1"/>
      <w:numFmt w:val="lowerRoman"/>
      <w:isLgl w:val="false"/>
      <w:suff w:val="tab"/>
      <w:lvlText w:val="%9."/>
      <w:lvlJc w:val="right"/>
      <w:pPr>
        <w:pStyle w:val="836"/>
        <w:ind w:left="4320" w:hanging="480"/>
        <w:tabs>
          <w:tab w:val="num" w:pos="4320" w:leader="none"/>
        </w:tabs>
      </w:pPr>
    </w:lvl>
  </w:abstractNum>
  <w:abstractNum w:abstractNumId="13">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5">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6">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7">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isLgl w:val="false"/>
      <w:suff w:val="tab"/>
      <w:lvlText w:val=""/>
      <w:lvlJc w:val="left"/>
      <w:pPr>
        <w:pStyle w:val="836"/>
        <w:ind w:left="720" w:hanging="360"/>
        <w:tabs>
          <w:tab w:val="num" w:pos="720" w:leader="none"/>
        </w:tabs>
      </w:pPr>
      <w:rPr>
        <w:rFonts w:ascii="Symbol" w:hAnsi="Symbol"/>
        <w:sz w:val="20"/>
      </w:rPr>
    </w:lvl>
    <w:lvl w:ilvl="1">
      <w:start w:val="1"/>
      <w:numFmt w:val="bullet"/>
      <w:isLgl w:val="false"/>
      <w:suff w:val="tab"/>
      <w:lvlText w:val="o"/>
      <w:lvlJc w:val="left"/>
      <w:pPr>
        <w:pStyle w:val="836"/>
        <w:ind w:left="1440" w:hanging="360"/>
        <w:tabs>
          <w:tab w:val="num" w:pos="1440" w:leader="none"/>
        </w:tabs>
      </w:pPr>
      <w:rPr>
        <w:rFonts w:ascii="Courier New" w:hAnsi="Courier New"/>
        <w:sz w:val="20"/>
      </w:rPr>
    </w:lvl>
    <w:lvl w:ilvl="2">
      <w:start w:val="1"/>
      <w:numFmt w:val="bullet"/>
      <w:isLgl w:val="false"/>
      <w:suff w:val="tab"/>
      <w:lvlText w:val=""/>
      <w:lvlJc w:val="left"/>
      <w:pPr>
        <w:pStyle w:val="836"/>
        <w:ind w:left="2160" w:hanging="360"/>
        <w:tabs>
          <w:tab w:val="num" w:pos="2160" w:leader="none"/>
        </w:tabs>
      </w:pPr>
      <w:rPr>
        <w:rFonts w:ascii="Wingdings" w:hAnsi="Wingdings"/>
        <w:sz w:val="20"/>
      </w:rPr>
    </w:lvl>
    <w:lvl w:ilvl="3">
      <w:start w:val="1"/>
      <w:numFmt w:val="bullet"/>
      <w:isLgl w:val="false"/>
      <w:suff w:val="tab"/>
      <w:lvlText w:val=""/>
      <w:lvlJc w:val="left"/>
      <w:pPr>
        <w:pStyle w:val="836"/>
        <w:ind w:left="2880" w:hanging="360"/>
        <w:tabs>
          <w:tab w:val="num" w:pos="2880" w:leader="none"/>
        </w:tabs>
      </w:pPr>
      <w:rPr>
        <w:rFonts w:ascii="Wingdings" w:hAnsi="Wingdings"/>
        <w:sz w:val="20"/>
      </w:rPr>
    </w:lvl>
    <w:lvl w:ilvl="4">
      <w:start w:val="1"/>
      <w:numFmt w:val="bullet"/>
      <w:isLgl w:val="false"/>
      <w:suff w:val="tab"/>
      <w:lvlText w:val=""/>
      <w:lvlJc w:val="left"/>
      <w:pPr>
        <w:pStyle w:val="836"/>
        <w:ind w:left="3600" w:hanging="360"/>
        <w:tabs>
          <w:tab w:val="num" w:pos="3600" w:leader="none"/>
        </w:tabs>
      </w:pPr>
      <w:rPr>
        <w:rFonts w:ascii="Wingdings" w:hAnsi="Wingdings"/>
        <w:sz w:val="20"/>
      </w:rPr>
    </w:lvl>
    <w:lvl w:ilvl="5">
      <w:start w:val="1"/>
      <w:numFmt w:val="bullet"/>
      <w:isLgl w:val="false"/>
      <w:suff w:val="tab"/>
      <w:lvlText w:val=""/>
      <w:lvlJc w:val="left"/>
      <w:pPr>
        <w:pStyle w:val="836"/>
        <w:ind w:left="4320" w:hanging="360"/>
        <w:tabs>
          <w:tab w:val="num" w:pos="4320" w:leader="none"/>
        </w:tabs>
      </w:pPr>
      <w:rPr>
        <w:rFonts w:ascii="Wingdings" w:hAnsi="Wingdings"/>
        <w:sz w:val="20"/>
      </w:rPr>
    </w:lvl>
    <w:lvl w:ilvl="6">
      <w:start w:val="1"/>
      <w:numFmt w:val="bullet"/>
      <w:isLgl w:val="false"/>
      <w:suff w:val="tab"/>
      <w:lvlText w:val=""/>
      <w:lvlJc w:val="left"/>
      <w:pPr>
        <w:pStyle w:val="836"/>
        <w:ind w:left="5040" w:hanging="360"/>
        <w:tabs>
          <w:tab w:val="num" w:pos="5040" w:leader="none"/>
        </w:tabs>
      </w:pPr>
      <w:rPr>
        <w:rFonts w:ascii="Wingdings" w:hAnsi="Wingdings"/>
        <w:sz w:val="20"/>
      </w:rPr>
    </w:lvl>
    <w:lvl w:ilvl="7">
      <w:start w:val="1"/>
      <w:numFmt w:val="bullet"/>
      <w:isLgl w:val="false"/>
      <w:suff w:val="tab"/>
      <w:lvlText w:val=""/>
      <w:lvlJc w:val="left"/>
      <w:pPr>
        <w:pStyle w:val="836"/>
        <w:ind w:left="5760" w:hanging="360"/>
        <w:tabs>
          <w:tab w:val="num" w:pos="5760" w:leader="none"/>
        </w:tabs>
      </w:pPr>
      <w:rPr>
        <w:rFonts w:ascii="Wingdings" w:hAnsi="Wingdings"/>
        <w:sz w:val="20"/>
      </w:rPr>
    </w:lvl>
    <w:lvl w:ilvl="8">
      <w:start w:val="1"/>
      <w:numFmt w:val="bullet"/>
      <w:isLgl w:val="false"/>
      <w:suff w:val="tab"/>
      <w:lvlText w:val=""/>
      <w:lvlJc w:val="left"/>
      <w:pPr>
        <w:pStyle w:val="836"/>
        <w:ind w:left="6480" w:hanging="360"/>
        <w:tabs>
          <w:tab w:val="num" w:pos="6480" w:leader="none"/>
        </w:tabs>
      </w:pPr>
      <w:rPr>
        <w:rFonts w:ascii="Wingdings" w:hAnsi="Wingdings"/>
        <w:sz w:val="20"/>
      </w:rPr>
    </w:lvl>
  </w:abstractNum>
  <w:abstractNum w:abstractNumId="19">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pStyle w:val="836"/>
        <w:ind w:left="425" w:hanging="425"/>
      </w:pPr>
      <w:rPr>
        <w:b w:val="0"/>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0"/>
  </w:num>
  <w:num w:numId="4">
    <w:abstractNumId w:val="7"/>
  </w:num>
  <w:num w:numId="5">
    <w:abstractNumId w:val="1"/>
  </w:num>
  <w:num w:numId="6">
    <w:abstractNumId w:val="2"/>
  </w:num>
  <w:num w:numId="7">
    <w:abstractNumId w:val="11"/>
  </w:num>
  <w:num w:numId="8">
    <w:abstractNumId w:val="6"/>
  </w:num>
  <w:num w:numId="9">
    <w:abstractNumId w:val="4"/>
  </w:num>
  <w:num w:numId="10">
    <w:abstractNumId w:val="13"/>
  </w:num>
  <w:num w:numId="11">
    <w:abstractNumId w:val="5"/>
  </w:num>
  <w:num w:numId="12">
    <w:abstractNumId w:val="19"/>
  </w:num>
  <w:num w:numId="13">
    <w:abstractNumId w:val="21"/>
  </w:num>
  <w:num w:numId="14">
    <w:abstractNumId w:val="22"/>
  </w:num>
  <w:num w:numId="15">
    <w:abstractNumId w:val="17"/>
  </w:num>
  <w:num w:numId="16">
    <w:abstractNumId w:val="20"/>
  </w:num>
  <w:num w:numId="17">
    <w:abstractNumId w:val="8"/>
  </w:num>
  <w:num w:numId="18">
    <w:abstractNumId w:val="14"/>
  </w:num>
  <w:num w:numId="19">
    <w:abstractNumId w:val="15"/>
  </w:num>
  <w:num w:numId="20">
    <w:abstractNumId w:val="16"/>
  </w:num>
  <w:num w:numId="21">
    <w:abstractNumId w:val="18"/>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name w:val="Heading 1"/>
    <w:basedOn w:val="836"/>
    <w:next w:val="836"/>
    <w:link w:val="1031"/>
    <w:uiPriority w:val="9"/>
    <w:qFormat/>
    <w:pPr>
      <w:keepLines/>
      <w:keepNext/>
      <w:spacing w:before="480" w:after="200"/>
      <w:outlineLvl w:val="0"/>
    </w:pPr>
    <w:rPr>
      <w:rFonts w:ascii="Arial" w:hAnsi="Arial" w:eastAsia="Arial" w:cs="Arial"/>
      <w:sz w:val="40"/>
      <w:szCs w:val="40"/>
    </w:rPr>
  </w:style>
  <w:style w:type="paragraph" w:styleId="783">
    <w:name w:val="Heading 2"/>
    <w:basedOn w:val="836"/>
    <w:next w:val="836"/>
    <w:link w:val="1032"/>
    <w:uiPriority w:val="9"/>
    <w:unhideWhenUsed/>
    <w:qFormat/>
    <w:pPr>
      <w:keepLines/>
      <w:keepNext/>
      <w:spacing w:before="360" w:after="200"/>
      <w:outlineLvl w:val="1"/>
    </w:pPr>
    <w:rPr>
      <w:rFonts w:ascii="Arial" w:hAnsi="Arial" w:eastAsia="Arial" w:cs="Arial"/>
      <w:sz w:val="34"/>
    </w:rPr>
  </w:style>
  <w:style w:type="paragraph" w:styleId="784">
    <w:name w:val="Heading 3"/>
    <w:basedOn w:val="836"/>
    <w:next w:val="836"/>
    <w:link w:val="1033"/>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836"/>
    <w:next w:val="836"/>
    <w:link w:val="1034"/>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836"/>
    <w:next w:val="836"/>
    <w:link w:val="1020"/>
    <w:uiPriority w:val="9"/>
    <w:unhideWhenUsed/>
    <w:qFormat/>
    <w:pPr>
      <w:keepLines/>
      <w:keepNext/>
      <w:spacing w:before="320" w:after="200"/>
      <w:outlineLvl w:val="4"/>
    </w:pPr>
    <w:rPr>
      <w:rFonts w:ascii="Arial" w:hAnsi="Arial" w:eastAsia="Arial" w:cs="Arial"/>
      <w:b/>
      <w:bCs/>
      <w:sz w:val="24"/>
      <w:szCs w:val="24"/>
    </w:rPr>
  </w:style>
  <w:style w:type="paragraph" w:styleId="787">
    <w:name w:val="Heading 6"/>
    <w:basedOn w:val="836"/>
    <w:next w:val="836"/>
    <w:link w:val="1021"/>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836"/>
    <w:next w:val="836"/>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836"/>
    <w:next w:val="836"/>
    <w:link w:val="1023"/>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836"/>
    <w:next w:val="836"/>
    <w:link w:val="1024"/>
    <w:uiPriority w:val="9"/>
    <w:unhideWhenUsed/>
    <w:qFormat/>
    <w:pPr>
      <w:keepLines/>
      <w:keepNext/>
      <w:spacing w:before="320" w:after="200"/>
      <w:outlineLvl w:val="8"/>
    </w:pPr>
    <w:rPr>
      <w:rFonts w:ascii="Arial" w:hAnsi="Arial" w:eastAsia="Arial" w:cs="Arial"/>
      <w:i/>
      <w:iCs/>
      <w:sz w:val="21"/>
      <w:szCs w:val="21"/>
    </w:rPr>
  </w:style>
  <w:style w:type="paragraph" w:styleId="791">
    <w:name w:val="List Paragraph"/>
    <w:basedOn w:val="836"/>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836"/>
    <w:next w:val="836"/>
    <w:link w:val="1025"/>
    <w:uiPriority w:val="10"/>
    <w:qFormat/>
    <w:pPr>
      <w:contextualSpacing/>
      <w:spacing w:before="300" w:after="200"/>
    </w:pPr>
    <w:rPr>
      <w:sz w:val="48"/>
      <w:szCs w:val="48"/>
    </w:rPr>
  </w:style>
  <w:style w:type="paragraph" w:styleId="794">
    <w:name w:val="Subtitle"/>
    <w:basedOn w:val="836"/>
    <w:next w:val="836"/>
    <w:link w:val="1026"/>
    <w:uiPriority w:val="11"/>
    <w:qFormat/>
    <w:pPr>
      <w:spacing w:before="200" w:after="200"/>
    </w:pPr>
    <w:rPr>
      <w:sz w:val="24"/>
      <w:szCs w:val="24"/>
    </w:rPr>
  </w:style>
  <w:style w:type="paragraph" w:styleId="795">
    <w:name w:val="Quote"/>
    <w:basedOn w:val="836"/>
    <w:next w:val="836"/>
    <w:link w:val="1027"/>
    <w:uiPriority w:val="29"/>
    <w:qFormat/>
    <w:pPr>
      <w:ind w:left="720" w:right="720"/>
    </w:pPr>
    <w:rPr>
      <w:i/>
    </w:rPr>
  </w:style>
  <w:style w:type="paragraph" w:styleId="796">
    <w:name w:val="Intense Quote"/>
    <w:basedOn w:val="836"/>
    <w:next w:val="836"/>
    <w:link w:val="10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7">
    <w:name w:val="Header"/>
    <w:basedOn w:val="836"/>
    <w:link w:val="1202"/>
    <w:uiPriority w:val="99"/>
    <w:unhideWhenUsed/>
    <w:pPr>
      <w:spacing w:after="0" w:line="240" w:lineRule="auto"/>
      <w:tabs>
        <w:tab w:val="center" w:pos="7143" w:leader="none"/>
        <w:tab w:val="right" w:pos="14287" w:leader="none"/>
      </w:tabs>
    </w:pPr>
  </w:style>
  <w:style w:type="paragraph" w:styleId="798">
    <w:name w:val="Footer"/>
    <w:basedOn w:val="836"/>
    <w:link w:val="1041"/>
    <w:uiPriority w:val="99"/>
    <w:unhideWhenUsed/>
    <w:pPr>
      <w:spacing w:after="0" w:line="240" w:lineRule="auto"/>
      <w:tabs>
        <w:tab w:val="center" w:pos="7143" w:leader="none"/>
        <w:tab w:val="right" w:pos="14287" w:leader="none"/>
      </w:tabs>
    </w:pPr>
  </w:style>
  <w:style w:type="paragraph" w:styleId="799">
    <w:name w:val="Caption"/>
    <w:basedOn w:val="836"/>
    <w:next w:val="836"/>
    <w:uiPriority w:val="35"/>
    <w:semiHidden/>
    <w:unhideWhenUsed/>
    <w:qFormat/>
    <w:pPr>
      <w:spacing w:line="276" w:lineRule="auto"/>
    </w:pPr>
    <w:rPr>
      <w:b/>
      <w:bCs/>
      <w:color w:val="4f81bd" w:themeColor="accent1"/>
      <w:sz w:val="18"/>
      <w:szCs w:val="18"/>
    </w:rPr>
  </w:style>
  <w:style w:type="table" w:styleId="8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0">
    <w:name w:val="Hyperlink"/>
    <w:uiPriority w:val="99"/>
    <w:unhideWhenUsed/>
    <w:rPr>
      <w:color w:val="0000ff" w:themeColor="hyperlink"/>
      <w:u w:val="single"/>
    </w:rPr>
  </w:style>
  <w:style w:type="paragraph" w:styleId="821">
    <w:name w:val="footnote text"/>
    <w:basedOn w:val="836"/>
    <w:link w:val="1029"/>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6"/>
    <w:link w:val="1030"/>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6"/>
    <w:next w:val="836"/>
    <w:uiPriority w:val="39"/>
    <w:unhideWhenUsed/>
    <w:pPr>
      <w:ind w:left="0" w:right="0" w:firstLine="0"/>
      <w:spacing w:after="57"/>
    </w:pPr>
  </w:style>
  <w:style w:type="paragraph" w:styleId="826">
    <w:name w:val="toc 2"/>
    <w:basedOn w:val="836"/>
    <w:next w:val="836"/>
    <w:uiPriority w:val="39"/>
    <w:unhideWhenUsed/>
    <w:pPr>
      <w:ind w:left="283" w:right="0" w:firstLine="0"/>
      <w:spacing w:after="57"/>
    </w:pPr>
  </w:style>
  <w:style w:type="paragraph" w:styleId="827">
    <w:name w:val="toc 3"/>
    <w:basedOn w:val="836"/>
    <w:next w:val="836"/>
    <w:uiPriority w:val="39"/>
    <w:unhideWhenUsed/>
    <w:pPr>
      <w:ind w:left="567" w:right="0" w:firstLine="0"/>
      <w:spacing w:after="57"/>
    </w:pPr>
  </w:style>
  <w:style w:type="paragraph" w:styleId="828">
    <w:name w:val="toc 4"/>
    <w:basedOn w:val="836"/>
    <w:next w:val="836"/>
    <w:uiPriority w:val="39"/>
    <w:unhideWhenUsed/>
    <w:pPr>
      <w:ind w:left="850" w:right="0" w:firstLine="0"/>
      <w:spacing w:after="57"/>
    </w:pPr>
  </w:style>
  <w:style w:type="paragraph" w:styleId="829">
    <w:name w:val="toc 5"/>
    <w:basedOn w:val="836"/>
    <w:next w:val="836"/>
    <w:uiPriority w:val="39"/>
    <w:unhideWhenUsed/>
    <w:pPr>
      <w:ind w:left="1134" w:right="0" w:firstLine="0"/>
      <w:spacing w:after="57"/>
    </w:pPr>
  </w:style>
  <w:style w:type="paragraph" w:styleId="830">
    <w:name w:val="toc 6"/>
    <w:basedOn w:val="836"/>
    <w:next w:val="836"/>
    <w:uiPriority w:val="39"/>
    <w:unhideWhenUsed/>
    <w:pPr>
      <w:ind w:left="1417" w:right="0" w:firstLine="0"/>
      <w:spacing w:after="57"/>
    </w:pPr>
  </w:style>
  <w:style w:type="paragraph" w:styleId="831">
    <w:name w:val="toc 7"/>
    <w:basedOn w:val="836"/>
    <w:next w:val="836"/>
    <w:uiPriority w:val="39"/>
    <w:unhideWhenUsed/>
    <w:pPr>
      <w:ind w:left="1701" w:right="0" w:firstLine="0"/>
      <w:spacing w:after="57"/>
    </w:pPr>
  </w:style>
  <w:style w:type="paragraph" w:styleId="832">
    <w:name w:val="toc 8"/>
    <w:basedOn w:val="836"/>
    <w:next w:val="836"/>
    <w:uiPriority w:val="39"/>
    <w:unhideWhenUsed/>
    <w:pPr>
      <w:ind w:left="1984" w:right="0" w:firstLine="0"/>
      <w:spacing w:after="57"/>
    </w:pPr>
  </w:style>
  <w:style w:type="paragraph" w:styleId="833">
    <w:name w:val="toc 9"/>
    <w:basedOn w:val="836"/>
    <w:next w:val="836"/>
    <w:uiPriority w:val="39"/>
    <w:unhideWhenUsed/>
    <w:pPr>
      <w:ind w:left="2268" w:right="0" w:firstLine="0"/>
      <w:spacing w:after="57"/>
    </w:pPr>
  </w:style>
  <w:style w:type="paragraph" w:styleId="834">
    <w:name w:val="TOC Heading"/>
    <w:uiPriority w:val="39"/>
    <w:unhideWhenUsed/>
  </w:style>
  <w:style w:type="paragraph" w:styleId="835">
    <w:name w:val="table of figures"/>
    <w:basedOn w:val="836"/>
    <w:next w:val="836"/>
    <w:uiPriority w:val="99"/>
    <w:unhideWhenUsed/>
    <w:pPr>
      <w:spacing w:after="0" w:afterAutospacing="0"/>
    </w:pPr>
  </w:style>
  <w:style w:type="paragraph" w:styleId="836" w:default="1">
    <w:name w:val="Normal"/>
    <w:next w:val="836"/>
    <w:link w:val="836"/>
    <w:qFormat/>
    <w:pPr>
      <w:jc w:val="both"/>
      <w:widowControl w:val="off"/>
    </w:pPr>
    <w:rPr>
      <w:sz w:val="21"/>
      <w:szCs w:val="24"/>
      <w:lang w:val="en-US" w:eastAsia="zh-CN" w:bidi="ar-SA"/>
    </w:rPr>
  </w:style>
  <w:style w:type="paragraph" w:styleId="837">
    <w:name w:val="标题 1"/>
    <w:basedOn w:val="836"/>
    <w:next w:val="836"/>
    <w:link w:val="849"/>
    <w:qFormat/>
    <w:pPr>
      <w:keepLines/>
      <w:keepNext/>
      <w:spacing w:before="340" w:after="330" w:line="578" w:lineRule="auto"/>
      <w:outlineLvl w:val="0"/>
    </w:pPr>
    <w:rPr>
      <w:b/>
      <w:bCs/>
      <w:sz w:val="44"/>
      <w:szCs w:val="44"/>
      <w:lang w:val="en-US" w:eastAsia="en-US"/>
    </w:rPr>
  </w:style>
  <w:style w:type="paragraph" w:styleId="838">
    <w:name w:val="标题 2"/>
    <w:basedOn w:val="836"/>
    <w:next w:val="836"/>
    <w:link w:val="850"/>
    <w:qFormat/>
    <w:pPr>
      <w:keepLines/>
      <w:keepNext/>
      <w:spacing w:before="260" w:after="260" w:line="416" w:lineRule="auto"/>
      <w:outlineLvl w:val="1"/>
    </w:pPr>
    <w:rPr>
      <w:rFonts w:ascii="Arial" w:hAnsi="Arial" w:eastAsia="黑体"/>
      <w:b/>
      <w:bCs/>
      <w:sz w:val="32"/>
      <w:szCs w:val="32"/>
      <w:lang w:val="en-US" w:eastAsia="en-US"/>
    </w:rPr>
  </w:style>
  <w:style w:type="paragraph" w:styleId="839">
    <w:name w:val="标题 3"/>
    <w:basedOn w:val="836"/>
    <w:next w:val="836"/>
    <w:link w:val="851"/>
    <w:uiPriority w:val="99"/>
    <w:qFormat/>
    <w:pPr>
      <w:keepLines/>
      <w:keepNext/>
      <w:spacing w:before="260" w:after="260" w:line="416" w:lineRule="auto"/>
      <w:outlineLvl w:val="2"/>
    </w:pPr>
    <w:rPr>
      <w:b/>
      <w:bCs/>
      <w:sz w:val="32"/>
      <w:szCs w:val="32"/>
      <w:lang w:val="en-US" w:eastAsia="en-US"/>
    </w:rPr>
  </w:style>
  <w:style w:type="paragraph" w:styleId="840">
    <w:name w:val="标题 4"/>
    <w:basedOn w:val="836"/>
    <w:next w:val="836"/>
    <w:link w:val="852"/>
    <w:qFormat/>
    <w:pPr>
      <w:jc w:val="center"/>
      <w:keepNext/>
      <w:outlineLvl w:val="3"/>
    </w:pPr>
    <w:rPr>
      <w:rFonts w:eastAsia="新宋体"/>
      <w:sz w:val="30"/>
      <w:szCs w:val="21"/>
      <w:lang w:val="en-US" w:eastAsia="en-US"/>
    </w:rPr>
  </w:style>
  <w:style w:type="paragraph" w:styleId="841">
    <w:name w:val="标题 5"/>
    <w:basedOn w:val="836"/>
    <w:next w:val="836"/>
    <w:link w:val="853"/>
    <w:qFormat/>
    <w:pPr>
      <w:keepLines/>
      <w:keepNext/>
      <w:spacing w:before="280" w:after="290" w:line="376" w:lineRule="auto"/>
      <w:outlineLvl w:val="4"/>
    </w:pPr>
    <w:rPr>
      <w:b/>
      <w:bCs/>
      <w:sz w:val="28"/>
      <w:szCs w:val="28"/>
      <w:lang w:val="en-US" w:eastAsia="en-US"/>
    </w:rPr>
  </w:style>
  <w:style w:type="paragraph" w:styleId="842">
    <w:name w:val="标题 6"/>
    <w:basedOn w:val="836"/>
    <w:next w:val="855"/>
    <w:link w:val="854"/>
    <w:qFormat/>
    <w:pPr>
      <w:jc w:val="center"/>
      <w:keepNext/>
      <w:outlineLvl w:val="5"/>
    </w:pPr>
    <w:rPr>
      <w:b/>
      <w:sz w:val="44"/>
      <w:szCs w:val="20"/>
      <w:lang w:val="en-US" w:eastAsia="en-US"/>
    </w:rPr>
  </w:style>
  <w:style w:type="paragraph" w:styleId="843">
    <w:name w:val="标题 7"/>
    <w:basedOn w:val="836"/>
    <w:next w:val="836"/>
    <w:link w:val="857"/>
    <w:qFormat/>
    <w:pPr>
      <w:keepLines/>
      <w:keepNext/>
      <w:spacing w:before="240" w:after="64" w:line="320" w:lineRule="auto"/>
      <w:outlineLvl w:val="6"/>
    </w:pPr>
    <w:rPr>
      <w:b/>
      <w:bCs/>
      <w:sz w:val="24"/>
      <w:lang w:val="en-US" w:eastAsia="en-US"/>
    </w:rPr>
  </w:style>
  <w:style w:type="paragraph" w:styleId="844">
    <w:name w:val="标题 8"/>
    <w:basedOn w:val="836"/>
    <w:next w:val="836"/>
    <w:link w:val="858"/>
    <w:qFormat/>
    <w:pPr>
      <w:keepLines/>
      <w:keepNext/>
      <w:spacing w:before="240" w:after="64" w:line="320" w:lineRule="auto"/>
      <w:outlineLvl w:val="7"/>
    </w:pPr>
    <w:rPr>
      <w:rFonts w:ascii="Arial" w:hAnsi="Arial" w:eastAsia="黑体"/>
      <w:sz w:val="24"/>
      <w:lang w:val="en-US" w:eastAsia="en-US"/>
    </w:rPr>
  </w:style>
  <w:style w:type="paragraph" w:styleId="845">
    <w:name w:val="标题 9"/>
    <w:basedOn w:val="836"/>
    <w:next w:val="836"/>
    <w:link w:val="859"/>
    <w:qFormat/>
    <w:pPr>
      <w:keepLines/>
      <w:keepNext/>
      <w:spacing w:before="240" w:after="64" w:line="320" w:lineRule="auto"/>
      <w:outlineLvl w:val="8"/>
    </w:pPr>
    <w:rPr>
      <w:rFonts w:ascii="Arial" w:hAnsi="Arial" w:eastAsia="黑体"/>
      <w:sz w:val="24"/>
      <w:szCs w:val="21"/>
      <w:lang w:val="en-US" w:eastAsia="en-US"/>
    </w:rPr>
  </w:style>
  <w:style w:type="character" w:styleId="846">
    <w:name w:val="默认段落字体"/>
    <w:next w:val="846"/>
    <w:link w:val="836"/>
    <w:uiPriority w:val="1"/>
    <w:unhideWhenUsed/>
  </w:style>
  <w:style w:type="table" w:styleId="847">
    <w:name w:val="普通表格"/>
    <w:next w:val="847"/>
    <w:link w:val="836"/>
    <w:uiPriority w:val="99"/>
    <w:unhideWhenUsed/>
    <w:qFormat/>
    <w:tblPr/>
  </w:style>
  <w:style w:type="numbering" w:styleId="848">
    <w:name w:val="无列表"/>
    <w:next w:val="848"/>
    <w:link w:val="836"/>
    <w:uiPriority w:val="99"/>
    <w:semiHidden/>
    <w:unhideWhenUsed/>
  </w:style>
  <w:style w:type="character" w:styleId="849">
    <w:name w:val="标题 1 Char"/>
    <w:next w:val="849"/>
    <w:link w:val="837"/>
    <w:qFormat/>
    <w:rPr>
      <w:rFonts w:ascii="Times New Roman" w:hAnsi="Times New Roman" w:eastAsia="宋体" w:cs="Times New Roman"/>
      <w:b/>
      <w:bCs/>
      <w:sz w:val="44"/>
      <w:szCs w:val="44"/>
    </w:rPr>
  </w:style>
  <w:style w:type="character" w:styleId="850">
    <w:name w:val="标题 2 Char"/>
    <w:next w:val="850"/>
    <w:link w:val="838"/>
    <w:qFormat/>
    <w:rPr>
      <w:rFonts w:ascii="Arial" w:hAnsi="Arial" w:eastAsia="黑体" w:cs="Times New Roman"/>
      <w:b/>
      <w:bCs/>
      <w:sz w:val="32"/>
      <w:szCs w:val="32"/>
    </w:rPr>
  </w:style>
  <w:style w:type="character" w:styleId="851">
    <w:name w:val="标题 3 Char"/>
    <w:next w:val="851"/>
    <w:link w:val="839"/>
    <w:uiPriority w:val="99"/>
    <w:qFormat/>
    <w:rPr>
      <w:rFonts w:ascii="Times New Roman" w:hAnsi="Times New Roman" w:eastAsia="宋体" w:cs="Times New Roman"/>
      <w:b/>
      <w:bCs/>
      <w:sz w:val="32"/>
      <w:szCs w:val="32"/>
    </w:rPr>
  </w:style>
  <w:style w:type="character" w:styleId="852">
    <w:name w:val="标题 4 Char"/>
    <w:next w:val="852"/>
    <w:link w:val="840"/>
    <w:qFormat/>
    <w:rPr>
      <w:rFonts w:ascii="Times New Roman" w:hAnsi="Times New Roman" w:eastAsia="新宋体" w:cs="Times New Roman"/>
      <w:sz w:val="30"/>
      <w:szCs w:val="21"/>
    </w:rPr>
  </w:style>
  <w:style w:type="character" w:styleId="853">
    <w:name w:val="标题 5 Char"/>
    <w:next w:val="853"/>
    <w:link w:val="841"/>
    <w:qFormat/>
    <w:rPr>
      <w:rFonts w:ascii="Times New Roman" w:hAnsi="Times New Roman" w:eastAsia="宋体" w:cs="Times New Roman"/>
      <w:b/>
      <w:bCs/>
      <w:sz w:val="28"/>
      <w:szCs w:val="28"/>
    </w:rPr>
  </w:style>
  <w:style w:type="character" w:styleId="854">
    <w:name w:val="标题 6 Char"/>
    <w:next w:val="854"/>
    <w:link w:val="842"/>
    <w:qFormat/>
    <w:rPr>
      <w:rFonts w:ascii="Times New Roman" w:hAnsi="Times New Roman" w:eastAsia="宋体" w:cs="Times New Roman"/>
      <w:b/>
      <w:sz w:val="44"/>
      <w:szCs w:val="20"/>
    </w:rPr>
  </w:style>
  <w:style w:type="paragraph" w:styleId="855">
    <w:name w:val="正文缩进"/>
    <w:basedOn w:val="836"/>
    <w:next w:val="855"/>
    <w:link w:val="856"/>
    <w:qFormat/>
    <w:pPr>
      <w:ind w:firstLine="420"/>
    </w:pPr>
    <w:rPr>
      <w:sz w:val="20"/>
      <w:szCs w:val="20"/>
      <w:lang w:val="en-US" w:eastAsia="en-US"/>
    </w:rPr>
  </w:style>
  <w:style w:type="character" w:styleId="856">
    <w:name w:val="正文缩进 Char"/>
    <w:next w:val="856"/>
    <w:link w:val="855"/>
    <w:qFormat/>
    <w:rPr>
      <w:rFonts w:ascii="Times New Roman" w:hAnsi="Times New Roman" w:eastAsia="宋体" w:cs="Times New Roman"/>
      <w:sz w:val="20"/>
      <w:szCs w:val="20"/>
    </w:rPr>
  </w:style>
  <w:style w:type="character" w:styleId="857">
    <w:name w:val="标题 7 Char"/>
    <w:next w:val="857"/>
    <w:link w:val="843"/>
    <w:qFormat/>
    <w:rPr>
      <w:rFonts w:ascii="Times New Roman" w:hAnsi="Times New Roman" w:eastAsia="宋体" w:cs="Times New Roman"/>
      <w:b/>
      <w:bCs/>
      <w:sz w:val="24"/>
      <w:szCs w:val="24"/>
    </w:rPr>
  </w:style>
  <w:style w:type="character" w:styleId="858">
    <w:name w:val="标题 8 Char"/>
    <w:next w:val="858"/>
    <w:link w:val="844"/>
    <w:qFormat/>
    <w:rPr>
      <w:rFonts w:ascii="Arial" w:hAnsi="Arial" w:eastAsia="黑体" w:cs="Times New Roman"/>
      <w:sz w:val="24"/>
      <w:szCs w:val="24"/>
    </w:rPr>
  </w:style>
  <w:style w:type="character" w:styleId="859">
    <w:name w:val="标题 9 Char"/>
    <w:next w:val="859"/>
    <w:link w:val="845"/>
    <w:qFormat/>
    <w:rPr>
      <w:rFonts w:ascii="Arial" w:hAnsi="Arial" w:eastAsia="黑体" w:cs="Times New Roman"/>
      <w:sz w:val="24"/>
      <w:szCs w:val="21"/>
    </w:rPr>
  </w:style>
  <w:style w:type="paragraph" w:styleId="860">
    <w:name w:val="目录 7"/>
    <w:basedOn w:val="836"/>
    <w:next w:val="836"/>
    <w:link w:val="836"/>
    <w:uiPriority w:val="39"/>
    <w:unhideWhenUsed/>
    <w:qFormat/>
    <w:pPr>
      <w:ind w:left="1701" w:firstLine="480"/>
      <w:spacing w:after="57" w:line="440" w:lineRule="exact"/>
      <w:widowControl/>
    </w:pPr>
    <w:rPr>
      <w:rFonts w:ascii="楷体_GB2312" w:hAnsi="楷体_GB2312" w:eastAsia="楷体_GB2312" w:cs="楷体_GB2312"/>
      <w:color w:val="000000"/>
      <w:sz w:val="24"/>
    </w:rPr>
  </w:style>
  <w:style w:type="paragraph" w:styleId="861">
    <w:name w:val="索引 8"/>
    <w:basedOn w:val="836"/>
    <w:next w:val="836"/>
    <w:link w:val="836"/>
    <w:qFormat/>
    <w:pPr>
      <w:ind w:left="2940" w:firstLine="480"/>
      <w:spacing w:line="440" w:lineRule="exact"/>
      <w:widowControl/>
    </w:pPr>
    <w:rPr>
      <w:rFonts w:ascii="楷体_GB2312" w:hAnsi="楷体_GB2312" w:eastAsia="楷体_GB2312" w:cs="楷体_GB2312"/>
      <w:color w:val="000000"/>
      <w:sz w:val="24"/>
    </w:rPr>
  </w:style>
  <w:style w:type="paragraph" w:styleId="862">
    <w:name w:val="题注"/>
    <w:basedOn w:val="836"/>
    <w:next w:val="836"/>
    <w:link w:val="836"/>
    <w:uiPriority w:val="35"/>
    <w:qFormat/>
    <w:pPr>
      <w:ind w:firstLine="480"/>
      <w:spacing w:line="276" w:lineRule="auto"/>
      <w:widowControl/>
    </w:pPr>
    <w:rPr>
      <w:rFonts w:ascii="楷体_GB2312" w:hAnsi="楷体_GB2312" w:eastAsia="楷体_GB2312" w:cs="楷体_GB2312"/>
      <w:b/>
      <w:bCs/>
      <w:color w:val="4f81bd"/>
      <w:sz w:val="18"/>
      <w:szCs w:val="18"/>
    </w:rPr>
  </w:style>
  <w:style w:type="paragraph" w:styleId="863">
    <w:name w:val="索引 5"/>
    <w:basedOn w:val="836"/>
    <w:next w:val="836"/>
    <w:link w:val="836"/>
    <w:qFormat/>
    <w:pPr>
      <w:ind w:left="1680" w:firstLine="480"/>
      <w:spacing w:line="440" w:lineRule="exact"/>
      <w:widowControl/>
    </w:pPr>
    <w:rPr>
      <w:rFonts w:ascii="楷体_GB2312" w:hAnsi="楷体_GB2312" w:eastAsia="楷体_GB2312" w:cs="楷体_GB2312"/>
      <w:color w:val="000000"/>
      <w:sz w:val="24"/>
    </w:rPr>
  </w:style>
  <w:style w:type="paragraph" w:styleId="864">
    <w:name w:val="文档结构图"/>
    <w:basedOn w:val="836"/>
    <w:next w:val="864"/>
    <w:link w:val="865"/>
    <w:qFormat/>
    <w:pPr>
      <w:shd w:val="clear" w:color="auto" w:fill="000080"/>
    </w:pPr>
    <w:rPr>
      <w:sz w:val="20"/>
      <w:lang w:val="en-US" w:eastAsia="en-US"/>
    </w:rPr>
  </w:style>
  <w:style w:type="character" w:styleId="865">
    <w:name w:val="文档结构图 Char"/>
    <w:next w:val="865"/>
    <w:link w:val="864"/>
    <w:qFormat/>
    <w:rPr>
      <w:szCs w:val="24"/>
      <w:shd w:val="clear" w:color="auto" w:fill="000080"/>
    </w:rPr>
  </w:style>
  <w:style w:type="paragraph" w:styleId="866">
    <w:name w:val="批注文字"/>
    <w:basedOn w:val="836"/>
    <w:next w:val="866"/>
    <w:link w:val="867"/>
    <w:unhideWhenUsed/>
    <w:qFormat/>
    <w:pPr>
      <w:jc w:val="left"/>
    </w:pPr>
    <w:rPr>
      <w:lang w:val="en-US" w:eastAsia="en-US"/>
    </w:rPr>
  </w:style>
  <w:style w:type="character" w:styleId="867">
    <w:name w:val="批注文字 Char"/>
    <w:next w:val="867"/>
    <w:link w:val="866"/>
    <w:qFormat/>
    <w:rPr>
      <w:sz w:val="21"/>
      <w:szCs w:val="24"/>
    </w:rPr>
  </w:style>
  <w:style w:type="paragraph" w:styleId="868">
    <w:name w:val="索引 6"/>
    <w:basedOn w:val="836"/>
    <w:next w:val="836"/>
    <w:link w:val="836"/>
    <w:qFormat/>
    <w:pPr>
      <w:ind w:left="2100" w:firstLine="480"/>
      <w:spacing w:line="440" w:lineRule="exact"/>
      <w:widowControl/>
    </w:pPr>
    <w:rPr>
      <w:rFonts w:ascii="楷体_GB2312" w:hAnsi="楷体_GB2312" w:eastAsia="楷体_GB2312" w:cs="楷体_GB2312"/>
      <w:color w:val="000000"/>
      <w:sz w:val="24"/>
    </w:rPr>
  </w:style>
  <w:style w:type="paragraph" w:styleId="869">
    <w:name w:val="正文文本 3"/>
    <w:basedOn w:val="836"/>
    <w:next w:val="869"/>
    <w:link w:val="870"/>
    <w:pPr>
      <w:spacing w:after="120"/>
    </w:pPr>
    <w:rPr>
      <w:sz w:val="16"/>
      <w:szCs w:val="16"/>
      <w:lang w:val="en-US" w:eastAsia="en-US"/>
    </w:rPr>
  </w:style>
  <w:style w:type="character" w:styleId="870">
    <w:name w:val="正文文本 3 Char"/>
    <w:next w:val="870"/>
    <w:link w:val="869"/>
    <w:rPr>
      <w:rFonts w:ascii="Times New Roman" w:hAnsi="Times New Roman" w:eastAsia="宋体" w:cs="Times New Roman"/>
      <w:sz w:val="16"/>
      <w:szCs w:val="16"/>
    </w:rPr>
  </w:style>
  <w:style w:type="paragraph" w:styleId="871">
    <w:name w:val="正文文本"/>
    <w:basedOn w:val="836"/>
    <w:next w:val="871"/>
    <w:link w:val="872"/>
    <w:qFormat/>
    <w:rPr>
      <w:rFonts w:ascii="仿宋_GB2312" w:eastAsia="仿宋_GB2312"/>
      <w:sz w:val="24"/>
      <w:szCs w:val="20"/>
      <w:lang w:val="en-US" w:eastAsia="en-US"/>
    </w:rPr>
  </w:style>
  <w:style w:type="character" w:styleId="872">
    <w:name w:val="正文文本 Char"/>
    <w:next w:val="872"/>
    <w:link w:val="871"/>
    <w:qFormat/>
    <w:rPr>
      <w:rFonts w:ascii="仿宋_GB2312" w:hAnsi="Times New Roman" w:eastAsia="仿宋_GB2312" w:cs="Times New Roman"/>
      <w:sz w:val="24"/>
      <w:szCs w:val="20"/>
    </w:rPr>
  </w:style>
  <w:style w:type="paragraph" w:styleId="873">
    <w:name w:val="正文文本缩进"/>
    <w:basedOn w:val="836"/>
    <w:next w:val="873"/>
    <w:link w:val="874"/>
    <w:qFormat/>
    <w:pPr>
      <w:ind w:left="765"/>
    </w:pPr>
    <w:rPr>
      <w:rFonts w:ascii="仿宋_GB2312" w:eastAsia="仿宋_GB2312"/>
      <w:sz w:val="28"/>
      <w:szCs w:val="20"/>
      <w:lang w:val="en-US" w:eastAsia="en-US"/>
    </w:rPr>
  </w:style>
  <w:style w:type="character" w:styleId="874">
    <w:name w:val="正文文本缩进 Char"/>
    <w:next w:val="874"/>
    <w:link w:val="873"/>
    <w:qFormat/>
    <w:rPr>
      <w:rFonts w:ascii="仿宋_GB2312" w:hAnsi="Times New Roman" w:eastAsia="仿宋_GB2312" w:cs="Times New Roman"/>
      <w:sz w:val="28"/>
      <w:szCs w:val="20"/>
    </w:rPr>
  </w:style>
  <w:style w:type="paragraph" w:styleId="875">
    <w:name w:val="索引 4"/>
    <w:basedOn w:val="836"/>
    <w:next w:val="836"/>
    <w:link w:val="836"/>
    <w:qFormat/>
    <w:pPr>
      <w:ind w:left="1260" w:firstLine="480"/>
      <w:spacing w:line="440" w:lineRule="exact"/>
      <w:widowControl/>
    </w:pPr>
    <w:rPr>
      <w:rFonts w:ascii="楷体_GB2312" w:hAnsi="楷体_GB2312" w:eastAsia="楷体_GB2312" w:cs="楷体_GB2312"/>
      <w:color w:val="000000"/>
      <w:sz w:val="24"/>
    </w:rPr>
  </w:style>
  <w:style w:type="paragraph" w:styleId="876">
    <w:name w:val="目录 5"/>
    <w:basedOn w:val="836"/>
    <w:next w:val="836"/>
    <w:link w:val="836"/>
    <w:uiPriority w:val="39"/>
    <w:unhideWhenUsed/>
    <w:qFormat/>
    <w:pPr>
      <w:ind w:left="1134" w:firstLine="480"/>
      <w:spacing w:after="57" w:line="440" w:lineRule="exact"/>
      <w:widowControl/>
    </w:pPr>
    <w:rPr>
      <w:rFonts w:ascii="楷体_GB2312" w:hAnsi="楷体_GB2312" w:eastAsia="楷体_GB2312" w:cs="楷体_GB2312"/>
      <w:color w:val="000000"/>
      <w:sz w:val="24"/>
    </w:rPr>
  </w:style>
  <w:style w:type="paragraph" w:styleId="877">
    <w:name w:val="目录 3"/>
    <w:basedOn w:val="836"/>
    <w:next w:val="836"/>
    <w:link w:val="836"/>
    <w:uiPriority w:val="39"/>
    <w:unhideWhenUsed/>
    <w:qFormat/>
    <w:pPr>
      <w:ind w:left="567" w:firstLine="480"/>
      <w:spacing w:after="57" w:line="440" w:lineRule="exact"/>
      <w:widowControl/>
    </w:pPr>
    <w:rPr>
      <w:rFonts w:ascii="楷体_GB2312" w:hAnsi="楷体_GB2312" w:eastAsia="楷体_GB2312" w:cs="楷体_GB2312"/>
      <w:color w:val="000000"/>
      <w:sz w:val="24"/>
    </w:rPr>
  </w:style>
  <w:style w:type="paragraph" w:styleId="878">
    <w:name w:val="纯文本"/>
    <w:basedOn w:val="836"/>
    <w:next w:val="878"/>
    <w:link w:val="879"/>
    <w:qFormat/>
    <w:rPr>
      <w:rFonts w:ascii="宋体" w:hAnsi="Courier New"/>
      <w:sz w:val="20"/>
      <w:szCs w:val="21"/>
      <w:lang w:val="en-US" w:eastAsia="en-US"/>
    </w:rPr>
  </w:style>
  <w:style w:type="character" w:styleId="879">
    <w:name w:val="纯文本 Char"/>
    <w:next w:val="879"/>
    <w:link w:val="878"/>
    <w:qFormat/>
    <w:rPr>
      <w:rFonts w:ascii="宋体" w:hAnsi="Courier New" w:eastAsia="宋体" w:cs="Courier New"/>
      <w:szCs w:val="21"/>
    </w:rPr>
  </w:style>
  <w:style w:type="paragraph" w:styleId="880">
    <w:name w:val="目录 8"/>
    <w:basedOn w:val="836"/>
    <w:next w:val="836"/>
    <w:link w:val="836"/>
    <w:uiPriority w:val="39"/>
    <w:unhideWhenUsed/>
    <w:qFormat/>
    <w:pPr>
      <w:ind w:left="1984" w:firstLine="480"/>
      <w:spacing w:after="57" w:line="440" w:lineRule="exact"/>
      <w:widowControl/>
    </w:pPr>
    <w:rPr>
      <w:rFonts w:ascii="楷体_GB2312" w:hAnsi="楷体_GB2312" w:eastAsia="楷体_GB2312" w:cs="楷体_GB2312"/>
      <w:color w:val="000000"/>
      <w:sz w:val="24"/>
    </w:rPr>
  </w:style>
  <w:style w:type="paragraph" w:styleId="881">
    <w:name w:val="索引 3"/>
    <w:basedOn w:val="836"/>
    <w:next w:val="836"/>
    <w:link w:val="836"/>
    <w:qFormat/>
    <w:pPr>
      <w:ind w:left="840" w:firstLine="480"/>
      <w:spacing w:line="440" w:lineRule="exact"/>
      <w:widowControl/>
    </w:pPr>
    <w:rPr>
      <w:rFonts w:ascii="楷体_GB2312" w:hAnsi="楷体_GB2312" w:eastAsia="楷体_GB2312" w:cs="楷体_GB2312"/>
      <w:color w:val="000000"/>
      <w:sz w:val="24"/>
    </w:rPr>
  </w:style>
  <w:style w:type="paragraph" w:styleId="882">
    <w:name w:val="日期"/>
    <w:basedOn w:val="836"/>
    <w:next w:val="836"/>
    <w:link w:val="883"/>
    <w:qFormat/>
    <w:rPr>
      <w:sz w:val="24"/>
      <w:szCs w:val="20"/>
      <w:lang w:val="en-US" w:eastAsia="en-US"/>
    </w:rPr>
  </w:style>
  <w:style w:type="character" w:styleId="883">
    <w:name w:val="日期 Char"/>
    <w:next w:val="883"/>
    <w:link w:val="882"/>
    <w:qFormat/>
    <w:rPr>
      <w:rFonts w:ascii="Times New Roman" w:hAnsi="Times New Roman" w:eastAsia="宋体" w:cs="Times New Roman"/>
      <w:sz w:val="24"/>
      <w:szCs w:val="20"/>
    </w:rPr>
  </w:style>
  <w:style w:type="paragraph" w:styleId="884">
    <w:name w:val="正文文本缩进 2"/>
    <w:basedOn w:val="836"/>
    <w:next w:val="884"/>
    <w:link w:val="885"/>
    <w:qFormat/>
    <w:pPr>
      <w:ind w:firstLine="560"/>
      <w:spacing w:line="500" w:lineRule="exact"/>
    </w:pPr>
    <w:rPr>
      <w:rFonts w:eastAsia="仿宋_GB2312"/>
      <w:sz w:val="28"/>
      <w:szCs w:val="20"/>
      <w:lang w:val="en-US" w:eastAsia="en-US"/>
    </w:rPr>
  </w:style>
  <w:style w:type="character" w:styleId="885">
    <w:name w:val="正文文本缩进 2 Char"/>
    <w:next w:val="885"/>
    <w:link w:val="884"/>
    <w:rPr>
      <w:rFonts w:ascii="Times New Roman" w:hAnsi="Times New Roman" w:eastAsia="仿宋_GB2312" w:cs="Times New Roman"/>
      <w:sz w:val="28"/>
      <w:szCs w:val="20"/>
    </w:rPr>
  </w:style>
  <w:style w:type="paragraph" w:styleId="886">
    <w:name w:val="尾注文本"/>
    <w:basedOn w:val="836"/>
    <w:next w:val="886"/>
    <w:link w:val="887"/>
    <w:uiPriority w:val="99"/>
    <w:unhideWhenUsed/>
    <w:qFormat/>
    <w:pPr>
      <w:ind w:firstLine="480"/>
      <w:spacing w:line="440" w:lineRule="exact"/>
      <w:widowControl/>
    </w:pPr>
    <w:rPr>
      <w:rFonts w:ascii="楷体_GB2312" w:hAnsi="楷体_GB2312" w:eastAsia="楷体_GB2312"/>
      <w:color w:val="000000"/>
      <w:sz w:val="20"/>
      <w:lang w:val="en-US" w:eastAsia="en-US"/>
    </w:rPr>
  </w:style>
  <w:style w:type="character" w:styleId="887">
    <w:name w:val="尾注文本 Char"/>
    <w:next w:val="887"/>
    <w:link w:val="886"/>
    <w:uiPriority w:val="99"/>
    <w:qFormat/>
    <w:rPr>
      <w:rFonts w:ascii="楷体_GB2312" w:hAnsi="楷体_GB2312" w:eastAsia="楷体_GB2312" w:cs="楷体_GB2312"/>
      <w:color w:val="000000"/>
      <w:szCs w:val="24"/>
    </w:rPr>
  </w:style>
  <w:style w:type="paragraph" w:styleId="888">
    <w:name w:val="批注框文本"/>
    <w:basedOn w:val="836"/>
    <w:next w:val="888"/>
    <w:link w:val="889"/>
    <w:qFormat/>
    <w:rPr>
      <w:sz w:val="18"/>
      <w:szCs w:val="18"/>
      <w:lang w:val="en-US" w:eastAsia="en-US"/>
    </w:rPr>
  </w:style>
  <w:style w:type="character" w:styleId="889">
    <w:name w:val="批注框文本 Char"/>
    <w:next w:val="889"/>
    <w:link w:val="888"/>
    <w:qFormat/>
    <w:rPr>
      <w:sz w:val="18"/>
      <w:szCs w:val="18"/>
    </w:rPr>
  </w:style>
  <w:style w:type="paragraph" w:styleId="890">
    <w:name w:val="页脚"/>
    <w:basedOn w:val="836"/>
    <w:next w:val="890"/>
    <w:link w:val="891"/>
    <w:uiPriority w:val="99"/>
    <w:qFormat/>
    <w:pPr>
      <w:jc w:val="left"/>
      <w:tabs>
        <w:tab w:val="center" w:pos="4153" w:leader="none"/>
        <w:tab w:val="right" w:pos="8306" w:leader="none"/>
      </w:tabs>
    </w:pPr>
    <w:rPr>
      <w:sz w:val="18"/>
      <w:szCs w:val="20"/>
      <w:lang w:val="en-US" w:eastAsia="en-US"/>
    </w:rPr>
  </w:style>
  <w:style w:type="character" w:styleId="891">
    <w:name w:val="页脚 Char"/>
    <w:next w:val="891"/>
    <w:link w:val="890"/>
    <w:uiPriority w:val="99"/>
    <w:qFormat/>
    <w:rPr>
      <w:rFonts w:ascii="Times New Roman" w:hAnsi="Times New Roman" w:eastAsia="宋体" w:cs="Times New Roman"/>
      <w:sz w:val="18"/>
      <w:szCs w:val="20"/>
    </w:rPr>
  </w:style>
  <w:style w:type="paragraph" w:styleId="892">
    <w:name w:val="寄信人地址"/>
    <w:basedOn w:val="836"/>
    <w:next w:val="892"/>
    <w:link w:val="836"/>
    <w:uiPriority w:val="99"/>
    <w:unhideWhenUsed/>
    <w:qFormat/>
    <w:pPr>
      <w:ind w:firstLine="480"/>
      <w:spacing w:line="440" w:lineRule="exact"/>
      <w:widowControl/>
    </w:pPr>
    <w:rPr>
      <w:rFonts w:ascii="Arial" w:hAnsi="Arial" w:eastAsia="楷体_GB2312" w:cs="楷体_GB2312"/>
      <w:color w:val="000000"/>
      <w:sz w:val="24"/>
    </w:rPr>
  </w:style>
  <w:style w:type="paragraph" w:styleId="893">
    <w:name w:val="页眉"/>
    <w:basedOn w:val="836"/>
    <w:next w:val="893"/>
    <w:link w:val="89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894">
    <w:name w:val="页眉 Char"/>
    <w:next w:val="894"/>
    <w:link w:val="893"/>
    <w:uiPriority w:val="99"/>
    <w:qFormat/>
    <w:rPr>
      <w:rFonts w:ascii="Times New Roman" w:hAnsi="Times New Roman" w:eastAsia="宋体" w:cs="Times New Roman"/>
      <w:sz w:val="18"/>
      <w:szCs w:val="18"/>
    </w:rPr>
  </w:style>
  <w:style w:type="paragraph" w:styleId="895">
    <w:name w:val="签名"/>
    <w:basedOn w:val="836"/>
    <w:next w:val="895"/>
    <w:link w:val="896"/>
    <w:qFormat/>
    <w:pPr>
      <w:ind w:firstLine="480"/>
      <w:jc w:val="center"/>
      <w:spacing w:after="600" w:line="312" w:lineRule="atLeast"/>
      <w:widowControl/>
    </w:pPr>
    <w:rPr>
      <w:rFonts w:ascii="楷体_GB2312" w:hAnsi="楷体_GB2312" w:eastAsia="仿宋_GB2312"/>
      <w:color w:val="000000"/>
      <w:sz w:val="24"/>
      <w:lang w:val="en-US" w:eastAsia="en-US"/>
    </w:rPr>
  </w:style>
  <w:style w:type="character" w:styleId="896">
    <w:name w:val="签名 Char"/>
    <w:next w:val="896"/>
    <w:link w:val="895"/>
    <w:rPr>
      <w:rFonts w:ascii="楷体_GB2312" w:hAnsi="楷体_GB2312" w:eastAsia="仿宋_GB2312" w:cs="楷体_GB2312"/>
      <w:color w:val="000000"/>
      <w:sz w:val="24"/>
      <w:szCs w:val="24"/>
    </w:rPr>
  </w:style>
  <w:style w:type="paragraph" w:styleId="897">
    <w:name w:val="目录 1"/>
    <w:basedOn w:val="836"/>
    <w:next w:val="836"/>
    <w:link w:val="836"/>
    <w:uiPriority w:val="39"/>
    <w:qFormat/>
    <w:rPr>
      <w:sz w:val="24"/>
    </w:rPr>
  </w:style>
  <w:style w:type="paragraph" w:styleId="898">
    <w:name w:val="目录 4"/>
    <w:basedOn w:val="836"/>
    <w:next w:val="836"/>
    <w:link w:val="836"/>
    <w:uiPriority w:val="39"/>
    <w:unhideWhenUsed/>
    <w:qFormat/>
    <w:pPr>
      <w:ind w:left="850" w:firstLine="480"/>
      <w:spacing w:after="57" w:line="440" w:lineRule="exact"/>
      <w:widowControl/>
    </w:pPr>
    <w:rPr>
      <w:rFonts w:ascii="楷体_GB2312" w:hAnsi="楷体_GB2312" w:eastAsia="楷体_GB2312" w:cs="楷体_GB2312"/>
      <w:color w:val="000000"/>
      <w:sz w:val="24"/>
    </w:rPr>
  </w:style>
  <w:style w:type="paragraph" w:styleId="899">
    <w:name w:val="索引标题"/>
    <w:basedOn w:val="836"/>
    <w:next w:val="900"/>
    <w:link w:val="836"/>
    <w:qFormat/>
    <w:pPr>
      <w:ind w:firstLine="480"/>
      <w:spacing w:line="440" w:lineRule="exact"/>
      <w:widowControl/>
    </w:pPr>
    <w:rPr>
      <w:rFonts w:ascii="楷体_GB2312" w:hAnsi="楷体_GB2312" w:eastAsia="楷体_GB2312" w:cs="楷体_GB2312"/>
      <w:color w:val="000000"/>
      <w:sz w:val="24"/>
    </w:rPr>
  </w:style>
  <w:style w:type="paragraph" w:styleId="900">
    <w:name w:val="索引 1"/>
    <w:basedOn w:val="836"/>
    <w:next w:val="836"/>
    <w:link w:val="836"/>
    <w:unhideWhenUsed/>
    <w:qFormat/>
  </w:style>
  <w:style w:type="paragraph" w:styleId="901">
    <w:name w:val="副标题"/>
    <w:basedOn w:val="836"/>
    <w:next w:val="836"/>
    <w:link w:val="902"/>
    <w:uiPriority w:val="11"/>
    <w:qFormat/>
    <w:pPr>
      <w:ind w:firstLine="480"/>
      <w:spacing w:before="200" w:after="200" w:line="440" w:lineRule="exact"/>
      <w:widowControl/>
    </w:pPr>
    <w:rPr>
      <w:rFonts w:ascii="楷体_GB2312" w:hAnsi="楷体_GB2312" w:eastAsia="楷体_GB2312"/>
      <w:color w:val="000000"/>
      <w:sz w:val="24"/>
      <w:lang w:val="en-US" w:eastAsia="en-US"/>
    </w:rPr>
  </w:style>
  <w:style w:type="character" w:styleId="902">
    <w:name w:val="副标题 Char"/>
    <w:next w:val="902"/>
    <w:link w:val="901"/>
    <w:uiPriority w:val="11"/>
    <w:qFormat/>
    <w:rPr>
      <w:rFonts w:ascii="楷体_GB2312" w:hAnsi="楷体_GB2312" w:eastAsia="楷体_GB2312" w:cs="楷体_GB2312"/>
      <w:color w:val="000000"/>
      <w:sz w:val="24"/>
      <w:szCs w:val="24"/>
    </w:rPr>
  </w:style>
  <w:style w:type="paragraph" w:styleId="903">
    <w:name w:val="列表"/>
    <w:basedOn w:val="836"/>
    <w:next w:val="903"/>
    <w:link w:val="836"/>
    <w:pPr>
      <w:ind w:left="200" w:hanging="200"/>
    </w:pPr>
  </w:style>
  <w:style w:type="paragraph" w:styleId="904">
    <w:name w:val="脚注文本"/>
    <w:basedOn w:val="836"/>
    <w:next w:val="904"/>
    <w:link w:val="905"/>
    <w:uiPriority w:val="99"/>
    <w:qFormat/>
    <w:pPr>
      <w:ind w:firstLine="480"/>
      <w:spacing w:line="440" w:lineRule="exact"/>
      <w:widowControl/>
    </w:pPr>
    <w:rPr>
      <w:rFonts w:ascii="楷体_GB2312" w:hAnsi="楷体_GB2312" w:eastAsia="楷体_GB2312"/>
      <w:color w:val="000000"/>
      <w:sz w:val="18"/>
      <w:lang w:val="en-US" w:eastAsia="en-US"/>
    </w:rPr>
  </w:style>
  <w:style w:type="character" w:styleId="905">
    <w:name w:val="脚注文本 Char"/>
    <w:next w:val="905"/>
    <w:link w:val="904"/>
    <w:uiPriority w:val="99"/>
    <w:qFormat/>
    <w:rPr>
      <w:rFonts w:ascii="楷体_GB2312" w:hAnsi="楷体_GB2312" w:eastAsia="楷体_GB2312" w:cs="楷体_GB2312"/>
      <w:color w:val="000000"/>
      <w:sz w:val="18"/>
      <w:szCs w:val="24"/>
    </w:rPr>
  </w:style>
  <w:style w:type="paragraph" w:styleId="906">
    <w:name w:val="目录 6"/>
    <w:basedOn w:val="836"/>
    <w:next w:val="836"/>
    <w:link w:val="836"/>
    <w:uiPriority w:val="39"/>
    <w:unhideWhenUsed/>
    <w:qFormat/>
    <w:pPr>
      <w:ind w:left="1417" w:firstLine="480"/>
      <w:spacing w:after="57" w:line="440" w:lineRule="exact"/>
      <w:widowControl/>
    </w:pPr>
    <w:rPr>
      <w:rFonts w:ascii="楷体_GB2312" w:hAnsi="楷体_GB2312" w:eastAsia="楷体_GB2312" w:cs="楷体_GB2312"/>
      <w:color w:val="000000"/>
      <w:sz w:val="24"/>
    </w:rPr>
  </w:style>
  <w:style w:type="paragraph" w:styleId="907">
    <w:name w:val="正文文本缩进 3"/>
    <w:basedOn w:val="836"/>
    <w:next w:val="907"/>
    <w:link w:val="908"/>
    <w:qFormat/>
    <w:pPr>
      <w:ind w:left="420"/>
      <w:spacing w:after="120"/>
    </w:pPr>
    <w:rPr>
      <w:sz w:val="16"/>
      <w:szCs w:val="16"/>
      <w:lang w:val="en-US" w:eastAsia="en-US"/>
    </w:rPr>
  </w:style>
  <w:style w:type="character" w:styleId="908">
    <w:name w:val="正文文本缩进 3 Char"/>
    <w:next w:val="908"/>
    <w:link w:val="907"/>
    <w:rPr>
      <w:rFonts w:ascii="Times New Roman" w:hAnsi="Times New Roman" w:eastAsia="宋体" w:cs="Times New Roman"/>
      <w:sz w:val="16"/>
      <w:szCs w:val="16"/>
    </w:rPr>
  </w:style>
  <w:style w:type="paragraph" w:styleId="909">
    <w:name w:val="索引 7"/>
    <w:basedOn w:val="836"/>
    <w:next w:val="836"/>
    <w:link w:val="836"/>
    <w:qFormat/>
    <w:pPr>
      <w:ind w:left="2520" w:firstLine="480"/>
      <w:spacing w:line="440" w:lineRule="exact"/>
      <w:widowControl/>
    </w:pPr>
    <w:rPr>
      <w:rFonts w:ascii="楷体_GB2312" w:hAnsi="楷体_GB2312" w:eastAsia="楷体_GB2312" w:cs="楷体_GB2312"/>
      <w:color w:val="000000"/>
      <w:sz w:val="24"/>
    </w:rPr>
  </w:style>
  <w:style w:type="paragraph" w:styleId="910">
    <w:name w:val="索引 9"/>
    <w:basedOn w:val="836"/>
    <w:next w:val="836"/>
    <w:link w:val="836"/>
    <w:qFormat/>
    <w:pPr>
      <w:ind w:left="3360" w:firstLine="480"/>
      <w:spacing w:line="440" w:lineRule="exact"/>
      <w:widowControl/>
    </w:pPr>
    <w:rPr>
      <w:rFonts w:ascii="楷体_GB2312" w:hAnsi="楷体_GB2312" w:eastAsia="楷体_GB2312" w:cs="楷体_GB2312"/>
      <w:color w:val="000000"/>
      <w:sz w:val="24"/>
    </w:rPr>
  </w:style>
  <w:style w:type="paragraph" w:styleId="911">
    <w:name w:val="图表目录"/>
    <w:basedOn w:val="836"/>
    <w:next w:val="836"/>
    <w:link w:val="836"/>
    <w:qFormat/>
    <w:pPr>
      <w:ind w:left="420" w:hanging="420"/>
      <w:spacing w:line="440" w:lineRule="exact"/>
      <w:widowControl/>
    </w:pPr>
    <w:rPr>
      <w:rFonts w:ascii="楷体_GB2312" w:hAnsi="楷体_GB2312" w:eastAsia="楷体_GB2312" w:cs="楷体_GB2312"/>
      <w:smallCaps/>
      <w:color w:val="000000"/>
      <w:sz w:val="24"/>
    </w:rPr>
  </w:style>
  <w:style w:type="paragraph" w:styleId="912">
    <w:name w:val="目录 2"/>
    <w:basedOn w:val="836"/>
    <w:next w:val="836"/>
    <w:link w:val="836"/>
    <w:uiPriority w:val="39"/>
    <w:unhideWhenUsed/>
    <w:qFormat/>
    <w:pPr>
      <w:ind w:left="283" w:firstLine="480"/>
      <w:spacing w:after="57" w:line="440" w:lineRule="exact"/>
      <w:widowControl/>
    </w:pPr>
    <w:rPr>
      <w:rFonts w:ascii="楷体_GB2312" w:hAnsi="楷体_GB2312" w:eastAsia="楷体_GB2312" w:cs="楷体_GB2312"/>
      <w:color w:val="000000"/>
      <w:sz w:val="24"/>
    </w:rPr>
  </w:style>
  <w:style w:type="paragraph" w:styleId="913">
    <w:name w:val="目录 9"/>
    <w:basedOn w:val="836"/>
    <w:next w:val="836"/>
    <w:link w:val="836"/>
    <w:uiPriority w:val="39"/>
    <w:unhideWhenUsed/>
    <w:qFormat/>
    <w:pPr>
      <w:ind w:left="2268" w:firstLine="480"/>
      <w:spacing w:after="57" w:line="440" w:lineRule="exact"/>
      <w:widowControl/>
    </w:pPr>
    <w:rPr>
      <w:rFonts w:ascii="楷体_GB2312" w:hAnsi="楷体_GB2312" w:eastAsia="楷体_GB2312" w:cs="楷体_GB2312"/>
      <w:color w:val="000000"/>
      <w:sz w:val="24"/>
    </w:rPr>
  </w:style>
  <w:style w:type="paragraph" w:styleId="914">
    <w:name w:val="正文文本 2"/>
    <w:basedOn w:val="836"/>
    <w:next w:val="914"/>
    <w:link w:val="915"/>
    <w:rPr>
      <w:b/>
      <w:bCs/>
      <w:sz w:val="18"/>
      <w:lang w:val="en-US" w:eastAsia="en-US"/>
    </w:rPr>
  </w:style>
  <w:style w:type="character" w:styleId="915">
    <w:name w:val="正文文本 2 Char"/>
    <w:next w:val="915"/>
    <w:link w:val="914"/>
    <w:rPr>
      <w:rFonts w:ascii="Times New Roman" w:hAnsi="Times New Roman" w:eastAsia="宋体" w:cs="Times New Roman"/>
      <w:b/>
      <w:bCs/>
      <w:sz w:val="18"/>
      <w:szCs w:val="24"/>
    </w:rPr>
  </w:style>
  <w:style w:type="paragraph" w:styleId="916">
    <w:name w:val="HTML 预设格式"/>
    <w:basedOn w:val="836"/>
    <w:next w:val="916"/>
    <w:link w:val="917"/>
    <w:qFormat/>
    <w:pPr>
      <w:ind w:firstLine="48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olor w:val="000000"/>
      <w:sz w:val="20"/>
      <w:lang w:val="en-US" w:eastAsia="en-US"/>
    </w:rPr>
  </w:style>
  <w:style w:type="character" w:styleId="917">
    <w:name w:val="HTML 预设格式 Char"/>
    <w:next w:val="917"/>
    <w:link w:val="916"/>
    <w:rPr>
      <w:rFonts w:ascii="黑体" w:hAnsi="Courier New" w:eastAsia="黑体" w:cs="楷体_GB2312"/>
      <w:color w:val="000000"/>
      <w:szCs w:val="24"/>
    </w:rPr>
  </w:style>
  <w:style w:type="paragraph" w:styleId="918">
    <w:name w:val="普通(网站)"/>
    <w:basedOn w:val="836"/>
    <w:next w:val="918"/>
    <w:link w:val="919"/>
    <w:qFormat/>
    <w:pPr>
      <w:jc w:val="left"/>
      <w:spacing w:before="100" w:beforeAutospacing="1" w:after="100" w:afterAutospacing="1"/>
      <w:widowControl/>
    </w:pPr>
    <w:rPr>
      <w:rFonts w:ascii="宋体" w:hAnsi="宋体"/>
      <w:color w:val="000000"/>
      <w:sz w:val="24"/>
      <w:lang w:val="en-US" w:eastAsia="en-US"/>
    </w:rPr>
  </w:style>
  <w:style w:type="character" w:styleId="919">
    <w:name w:val="普通(网站) Char"/>
    <w:next w:val="919"/>
    <w:link w:val="918"/>
    <w:qFormat/>
    <w:rPr>
      <w:rFonts w:ascii="宋体" w:hAnsi="宋体"/>
      <w:color w:val="000000"/>
      <w:sz w:val="24"/>
      <w:szCs w:val="24"/>
    </w:rPr>
  </w:style>
  <w:style w:type="paragraph" w:styleId="920">
    <w:name w:val="索引 2"/>
    <w:basedOn w:val="836"/>
    <w:next w:val="836"/>
    <w:link w:val="836"/>
    <w:qFormat/>
    <w:pPr>
      <w:ind w:left="420" w:firstLine="480"/>
      <w:spacing w:line="440" w:lineRule="exact"/>
      <w:widowControl/>
    </w:pPr>
    <w:rPr>
      <w:rFonts w:ascii="楷体_GB2312" w:hAnsi="楷体_GB2312" w:eastAsia="楷体_GB2312" w:cs="楷体_GB2312"/>
      <w:color w:val="000000"/>
      <w:sz w:val="24"/>
    </w:rPr>
  </w:style>
  <w:style w:type="paragraph" w:styleId="921">
    <w:name w:val="标题"/>
    <w:basedOn w:val="836"/>
    <w:next w:val="836"/>
    <w:link w:val="922"/>
    <w:uiPriority w:val="10"/>
    <w:qFormat/>
    <w:pPr>
      <w:contextualSpacing/>
      <w:ind w:firstLine="480"/>
      <w:spacing w:before="300" w:after="200" w:line="440" w:lineRule="exact"/>
      <w:widowControl/>
    </w:pPr>
    <w:rPr>
      <w:rFonts w:ascii="楷体_GB2312" w:hAnsi="楷体_GB2312" w:eastAsia="楷体_GB2312"/>
      <w:color w:val="000000"/>
      <w:sz w:val="48"/>
      <w:szCs w:val="48"/>
      <w:lang w:val="en-US" w:eastAsia="en-US"/>
    </w:rPr>
  </w:style>
  <w:style w:type="character" w:styleId="922">
    <w:name w:val="标题 Char"/>
    <w:next w:val="922"/>
    <w:link w:val="921"/>
    <w:uiPriority w:val="10"/>
    <w:qFormat/>
    <w:rPr>
      <w:rFonts w:ascii="楷体_GB2312" w:hAnsi="楷体_GB2312" w:eastAsia="楷体_GB2312" w:cs="楷体_GB2312"/>
      <w:color w:val="000000"/>
      <w:sz w:val="48"/>
      <w:szCs w:val="48"/>
    </w:rPr>
  </w:style>
  <w:style w:type="paragraph" w:styleId="923">
    <w:name w:val="批注主题"/>
    <w:basedOn w:val="866"/>
    <w:next w:val="866"/>
    <w:link w:val="924"/>
    <w:uiPriority w:val="99"/>
    <w:unhideWhenUsed/>
    <w:qFormat/>
    <w:rPr>
      <w:b/>
      <w:bCs/>
    </w:rPr>
  </w:style>
  <w:style w:type="character" w:styleId="924">
    <w:name w:val="批注主题 Char"/>
    <w:next w:val="924"/>
    <w:link w:val="923"/>
    <w:uiPriority w:val="99"/>
    <w:semiHidden/>
    <w:rPr>
      <w:b/>
      <w:bCs/>
      <w:sz w:val="21"/>
      <w:szCs w:val="24"/>
    </w:rPr>
  </w:style>
  <w:style w:type="paragraph" w:styleId="925">
    <w:name w:val="正文首行缩进"/>
    <w:basedOn w:val="871"/>
    <w:next w:val="925"/>
    <w:link w:val="926"/>
    <w:qFormat/>
    <w:pPr>
      <w:ind w:firstLine="420"/>
      <w:spacing w:after="120"/>
    </w:pPr>
    <w:rPr>
      <w:rFonts w:ascii="Times New Roman" w:eastAsia="宋体"/>
      <w:szCs w:val="24"/>
    </w:rPr>
  </w:style>
  <w:style w:type="character" w:styleId="926">
    <w:name w:val="正文首行缩进 Char1"/>
    <w:next w:val="926"/>
    <w:link w:val="925"/>
    <w:qFormat/>
    <w:rPr>
      <w:rFonts w:ascii="Times New Roman" w:hAnsi="Times New Roman" w:eastAsia="宋体" w:cs="Times New Roman"/>
      <w:sz w:val="24"/>
      <w:szCs w:val="24"/>
    </w:rPr>
  </w:style>
  <w:style w:type="paragraph" w:styleId="927">
    <w:name w:val="正文首行缩进 2"/>
    <w:basedOn w:val="873"/>
    <w:next w:val="927"/>
    <w:link w:val="928"/>
    <w:uiPriority w:val="99"/>
    <w:unhideWhenUsed/>
    <w:qFormat/>
    <w:pPr>
      <w:ind w:left="420" w:firstLine="420"/>
      <w:spacing w:after="120"/>
      <w:widowControl/>
    </w:pPr>
    <w:rPr>
      <w:rFonts w:hAnsi="楷体_GB2312" w:eastAsia="楷体_GB2312"/>
      <w:color w:val="000000"/>
      <w:sz w:val="24"/>
      <w:szCs w:val="24"/>
    </w:rPr>
  </w:style>
  <w:style w:type="character" w:styleId="928">
    <w:name w:val="正文首行缩进 2 Char1"/>
    <w:next w:val="928"/>
    <w:link w:val="927"/>
    <w:uiPriority w:val="99"/>
    <w:qFormat/>
    <w:rPr>
      <w:rFonts w:ascii="仿宋_GB2312" w:hAnsi="楷体_GB2312" w:eastAsia="楷体_GB2312" w:cs="楷体_GB2312"/>
      <w:color w:val="000000"/>
      <w:sz w:val="24"/>
      <w:szCs w:val="24"/>
    </w:rPr>
  </w:style>
  <w:style w:type="table" w:styleId="929">
    <w:name w:val="网格型"/>
    <w:basedOn w:val="847"/>
    <w:next w:val="929"/>
    <w:link w:val="836"/>
    <w:qFormat/>
    <w:tblPr/>
  </w:style>
  <w:style w:type="character" w:styleId="930">
    <w:name w:val="要点"/>
    <w:next w:val="930"/>
    <w:link w:val="836"/>
    <w:uiPriority w:val="22"/>
    <w:qFormat/>
    <w:rPr>
      <w:b/>
      <w:bCs/>
    </w:rPr>
  </w:style>
  <w:style w:type="character" w:styleId="931">
    <w:name w:val="尾注引用"/>
    <w:next w:val="931"/>
    <w:link w:val="836"/>
    <w:uiPriority w:val="99"/>
    <w:unhideWhenUsed/>
    <w:qFormat/>
    <w:rPr>
      <w:vertAlign w:val="superscript"/>
    </w:rPr>
  </w:style>
  <w:style w:type="character" w:styleId="932">
    <w:name w:val="页码"/>
    <w:next w:val="932"/>
    <w:link w:val="836"/>
    <w:qFormat/>
  </w:style>
  <w:style w:type="character" w:styleId="933">
    <w:name w:val="已访问的超链接"/>
    <w:next w:val="933"/>
    <w:link w:val="836"/>
    <w:rPr>
      <w:color w:val="800080"/>
      <w:u w:val="single"/>
    </w:rPr>
  </w:style>
  <w:style w:type="character" w:styleId="934">
    <w:name w:val="强调"/>
    <w:next w:val="934"/>
    <w:link w:val="836"/>
    <w:qFormat/>
    <w:rPr>
      <w:i/>
      <w:iCs/>
    </w:rPr>
  </w:style>
  <w:style w:type="character" w:styleId="935">
    <w:name w:val="行号"/>
    <w:next w:val="935"/>
    <w:link w:val="836"/>
    <w:qFormat/>
  </w:style>
  <w:style w:type="character" w:styleId="936">
    <w:name w:val="HTML 定义"/>
    <w:next w:val="936"/>
    <w:link w:val="836"/>
    <w:qFormat/>
    <w:rPr>
      <w:i/>
    </w:rPr>
  </w:style>
  <w:style w:type="character" w:styleId="937">
    <w:name w:val="超链接"/>
    <w:next w:val="937"/>
    <w:link w:val="836"/>
    <w:uiPriority w:val="99"/>
    <w:qFormat/>
    <w:rPr>
      <w:color w:val="0000ff"/>
      <w:u w:val="single"/>
    </w:rPr>
  </w:style>
  <w:style w:type="character" w:styleId="938">
    <w:name w:val="HTML 代码"/>
    <w:next w:val="938"/>
    <w:link w:val="836"/>
    <w:qFormat/>
    <w:rPr>
      <w:rFonts w:ascii="Menlo" w:hAnsi="Menlo" w:eastAsia="Menlo" w:cs="Menlo"/>
      <w:color w:val="c7254e"/>
      <w:sz w:val="21"/>
      <w:szCs w:val="21"/>
      <w:shd w:val="clear" w:color="auto" w:fill="f9f2f4"/>
    </w:rPr>
  </w:style>
  <w:style w:type="character" w:styleId="939">
    <w:name w:val="批注引用"/>
    <w:next w:val="939"/>
    <w:link w:val="836"/>
    <w:unhideWhenUsed/>
    <w:qFormat/>
    <w:rPr>
      <w:sz w:val="21"/>
      <w:szCs w:val="21"/>
    </w:rPr>
  </w:style>
  <w:style w:type="character" w:styleId="940">
    <w:name w:val="HTML 引文"/>
    <w:next w:val="940"/>
    <w:link w:val="836"/>
    <w:qFormat/>
  </w:style>
  <w:style w:type="character" w:styleId="941">
    <w:name w:val="脚注引用"/>
    <w:next w:val="941"/>
    <w:link w:val="836"/>
    <w:qFormat/>
    <w:rPr>
      <w:vertAlign w:val="superscript"/>
    </w:rPr>
  </w:style>
  <w:style w:type="character" w:styleId="942">
    <w:name w:val="HTML 键盘"/>
    <w:next w:val="942"/>
    <w:link w:val="836"/>
    <w:qFormat/>
    <w:rPr>
      <w:rFonts w:ascii="Menlo" w:hAnsi="Menlo" w:eastAsia="Menlo" w:cs="Menlo"/>
      <w:sz w:val="21"/>
      <w:szCs w:val="21"/>
    </w:rPr>
  </w:style>
  <w:style w:type="character" w:styleId="943">
    <w:name w:val="HTML 样本"/>
    <w:next w:val="943"/>
    <w:link w:val="836"/>
    <w:qFormat/>
    <w:rPr>
      <w:rFonts w:ascii="Menlo" w:hAnsi="Menlo" w:eastAsia="Menlo" w:cs="Menlo"/>
      <w:sz w:val="21"/>
      <w:szCs w:val="21"/>
    </w:rPr>
  </w:style>
  <w:style w:type="character" w:styleId="944">
    <w:name w:val="列出段落 Char1"/>
    <w:next w:val="944"/>
    <w:link w:val="945"/>
    <w:uiPriority w:val="99"/>
  </w:style>
  <w:style w:type="paragraph" w:styleId="945">
    <w:name w:val="列出段落"/>
    <w:basedOn w:val="836"/>
    <w:next w:val="945"/>
    <w:link w:val="944"/>
    <w:uiPriority w:val="99"/>
    <w:qFormat/>
    <w:pPr>
      <w:ind w:firstLine="420"/>
    </w:pPr>
    <w:rPr>
      <w:sz w:val="20"/>
      <w:szCs w:val="20"/>
    </w:rPr>
  </w:style>
  <w:style w:type="character" w:styleId="946">
    <w:name w:val="文档结构图 Char1"/>
    <w:next w:val="946"/>
    <w:link w:val="836"/>
    <w:uiPriority w:val="99"/>
    <w:semiHidden/>
    <w:rPr>
      <w:rFonts w:ascii="宋体" w:hAnsi="Times New Roman" w:eastAsia="宋体" w:cs="Times New Roman"/>
      <w:sz w:val="18"/>
      <w:szCs w:val="18"/>
    </w:rPr>
  </w:style>
  <w:style w:type="character" w:styleId="947">
    <w:name w:val="普通正文 Char"/>
    <w:next w:val="947"/>
    <w:link w:val="948"/>
    <w:qFormat/>
    <w:rPr>
      <w:rFonts w:ascii="Arial" w:hAnsi="Arial"/>
      <w:sz w:val="24"/>
      <w:szCs w:val="24"/>
    </w:rPr>
  </w:style>
  <w:style w:type="paragraph" w:styleId="948">
    <w:name w:val="普通正文"/>
    <w:basedOn w:val="836"/>
    <w:next w:val="948"/>
    <w:link w:val="947"/>
    <w:qFormat/>
    <w:pPr>
      <w:ind w:left="-2" w:right="120" w:firstLine="480"/>
      <w:jc w:val="center"/>
      <w:spacing w:before="120" w:after="120" w:line="360" w:lineRule="auto"/>
    </w:pPr>
    <w:rPr>
      <w:rFonts w:ascii="Arial" w:hAnsi="Arial"/>
      <w:sz w:val="24"/>
      <w:lang w:val="en-US" w:eastAsia="en-US"/>
    </w:rPr>
  </w:style>
  <w:style w:type="character" w:styleId="949">
    <w:name w:val="FA正文 Char"/>
    <w:next w:val="949"/>
    <w:link w:val="950"/>
    <w:rPr>
      <w:rFonts w:ascii="宋体" w:hAnsi="宋体" w:eastAsia="宋体" w:cs="Times New Roman"/>
      <w:sz w:val="28"/>
      <w:szCs w:val="28"/>
    </w:rPr>
  </w:style>
  <w:style w:type="paragraph" w:styleId="950">
    <w:name w:val="FA正文"/>
    <w:basedOn w:val="836"/>
    <w:next w:val="950"/>
    <w:link w:val="949"/>
    <w:pPr>
      <w:ind w:firstLine="538"/>
      <w:spacing w:line="440" w:lineRule="atLeast"/>
      <w:tabs>
        <w:tab w:val="left" w:pos="3375" w:leader="none"/>
      </w:tabs>
    </w:pPr>
    <w:rPr>
      <w:rFonts w:ascii="宋体" w:hAnsi="宋体"/>
      <w:sz w:val="28"/>
      <w:szCs w:val="28"/>
      <w:lang w:val="en-US" w:eastAsia="en-US"/>
    </w:rPr>
  </w:style>
  <w:style w:type="character" w:styleId="951">
    <w:name w:val="正文缩进2格 Char"/>
    <w:next w:val="951"/>
    <w:link w:val="952"/>
    <w:rPr>
      <w:rFonts w:ascii="仿宋_GB2312" w:hAnsi="宋体" w:eastAsia="仿宋_GB2312" w:cs="Times New Roman"/>
      <w:sz w:val="31"/>
      <w:szCs w:val="28"/>
    </w:rPr>
  </w:style>
  <w:style w:type="paragraph" w:styleId="952">
    <w:name w:val="正文缩进2格"/>
    <w:basedOn w:val="836"/>
    <w:next w:val="952"/>
    <w:link w:val="951"/>
    <w:qFormat/>
    <w:pPr>
      <w:ind w:firstLine="639"/>
      <w:spacing w:line="600" w:lineRule="exact"/>
    </w:pPr>
    <w:rPr>
      <w:rFonts w:ascii="仿宋_GB2312" w:hAnsi="宋体" w:eastAsia="仿宋_GB2312"/>
      <w:sz w:val="31"/>
      <w:szCs w:val="28"/>
      <w:lang w:val="en-US" w:eastAsia="en-US"/>
    </w:rPr>
  </w:style>
  <w:style w:type="character" w:styleId="953">
    <w:name w:val="cn_text1"/>
    <w:next w:val="953"/>
    <w:link w:val="836"/>
    <w:rPr>
      <w:rFonts w:ascii="ˎ̥" w:hAnsi="ˎ̥"/>
      <w:color w:val="003399"/>
      <w:spacing w:val="15"/>
      <w:sz w:val="18"/>
      <w:szCs w:val="18"/>
    </w:rPr>
  </w:style>
  <w:style w:type="character" w:styleId="954">
    <w:name w:val="ssss Char"/>
    <w:next w:val="954"/>
    <w:link w:val="836"/>
    <w:rPr>
      <w:rFonts w:eastAsia="宋体"/>
      <w:sz w:val="24"/>
      <w:szCs w:val="24"/>
      <w:lang w:val="en-US" w:eastAsia="zh-CN" w:bidi="ar-SA"/>
    </w:rPr>
  </w:style>
  <w:style w:type="character" w:styleId="955">
    <w:name w:val="ssss Char1"/>
    <w:next w:val="955"/>
    <w:link w:val="956"/>
    <w:rPr>
      <w:rFonts w:ascii="Times New Roman" w:hAnsi="Times New Roman" w:eastAsia="宋体" w:cs="Times New Roman"/>
      <w:sz w:val="24"/>
      <w:szCs w:val="24"/>
    </w:rPr>
  </w:style>
  <w:style w:type="paragraph" w:styleId="956">
    <w:name w:val="ssss"/>
    <w:basedOn w:val="836"/>
    <w:next w:val="956"/>
    <w:link w:val="955"/>
    <w:pPr>
      <w:ind w:firstLine="480"/>
      <w:spacing w:line="360" w:lineRule="auto"/>
    </w:pPr>
    <w:rPr>
      <w:sz w:val="24"/>
      <w:lang w:val="en-US" w:eastAsia="en-US"/>
    </w:rPr>
  </w:style>
  <w:style w:type="character" w:styleId="957">
    <w:name w:val="标题 4 Char1,H4 Char,heading 4 Char,h4 Char,PIM 4 Char,bullet Char,bl Char,bb Char,H41 Char,H42 Char,H43 Char,H44 Char,H45 Char,H46 Char,H47 Char,H48 Char,H49 Char,H410 Char,H411 Char,H421 Char,H431 Char,H441 Char,H451 Char,H461 Char,H471 Char,H481 Char"/>
    <w:next w:val="957"/>
    <w:link w:val="836"/>
    <w:rPr>
      <w:rFonts w:ascii="Arial" w:hAnsi="Arial" w:eastAsia="黑体"/>
      <w:b/>
      <w:bCs/>
      <w:sz w:val="28"/>
      <w:szCs w:val="28"/>
      <w:lang w:val="en-US" w:eastAsia="zh-CN" w:bidi="ar-SA"/>
    </w:rPr>
  </w:style>
  <w:style w:type="character" w:styleId="958">
    <w:name w:val="列表段落 字符,List 字符,List1 字符,表格段落 字符,lp1 字符,Use Case List Paragraph 字符,Bullet for no #'s 字符,Body Bullet 字符,List bullet 字符,List Paragraph 1 字符,Ref 字符,B1 字符,bu1 字符,bu1 + Before:  0 pt 字符,After:  6 pt 字符,List Paragraph Char Char 字符,Figure_name 字符,11 pt 字符"/>
    <w:next w:val="958"/>
    <w:link w:val="836"/>
    <w:uiPriority w:val="34"/>
    <w:qFormat/>
    <w:rPr>
      <w:rFonts w:ascii="Calibri" w:hAnsi="Calibri"/>
      <w:sz w:val="21"/>
      <w:szCs w:val="22"/>
    </w:rPr>
  </w:style>
  <w:style w:type="character" w:styleId="959">
    <w:name w:val="批注框文本 Char1"/>
    <w:next w:val="959"/>
    <w:link w:val="836"/>
    <w:uiPriority w:val="99"/>
    <w:semiHidden/>
    <w:rPr>
      <w:rFonts w:ascii="Times New Roman" w:hAnsi="Times New Roman" w:eastAsia="宋体" w:cs="Times New Roman"/>
      <w:sz w:val="18"/>
      <w:szCs w:val="18"/>
    </w:rPr>
  </w:style>
  <w:style w:type="character" w:styleId="960">
    <w:name w:val="样式 ssss + 宋体 五号1 Char"/>
    <w:next w:val="960"/>
    <w:link w:val="961"/>
    <w:rPr>
      <w:rFonts w:ascii="宋体" w:hAnsi="宋体" w:eastAsia="宋体" w:cs="Times New Roman"/>
      <w:sz w:val="24"/>
      <w:szCs w:val="24"/>
    </w:rPr>
  </w:style>
  <w:style w:type="paragraph" w:styleId="961">
    <w:name w:val="样式 ssss + 宋体 五号1"/>
    <w:basedOn w:val="956"/>
    <w:next w:val="961"/>
    <w:link w:val="960"/>
    <w:rPr>
      <w:rFonts w:ascii="宋体" w:hAnsi="宋体"/>
    </w:rPr>
  </w:style>
  <w:style w:type="character" w:styleId="962">
    <w:name w:val="point_normal1"/>
    <w:next w:val="962"/>
    <w:link w:val="836"/>
    <w:rPr>
      <w:rFonts w:ascii="Arial" w:hAnsi="Arial" w:cs="Arial"/>
      <w:sz w:val="16"/>
      <w:szCs w:val="16"/>
    </w:rPr>
  </w:style>
  <w:style w:type="paragraph" w:styleId="963">
    <w:name w:val="样式 正文文本缩进 3 + 四号"/>
    <w:basedOn w:val="907"/>
    <w:next w:val="963"/>
    <w:link w:val="836"/>
    <w:pPr>
      <w:ind w:left="0" w:firstLine="437"/>
      <w:spacing w:after="0" w:line="360" w:lineRule="auto"/>
    </w:pPr>
    <w:rPr>
      <w:sz w:val="24"/>
      <w:szCs w:val="21"/>
    </w:rPr>
  </w:style>
  <w:style w:type="paragraph" w:styleId="964">
    <w:name w:val="2cxsplast"/>
    <w:basedOn w:val="836"/>
    <w:next w:val="964"/>
    <w:link w:val="836"/>
    <w:pPr>
      <w:jc w:val="left"/>
      <w:spacing w:before="100" w:beforeAutospacing="1" w:after="100" w:afterAutospacing="1"/>
      <w:widowControl/>
    </w:pPr>
    <w:rPr>
      <w:rFonts w:ascii="宋体" w:hAnsi="宋体" w:cs="宋体"/>
      <w:sz w:val="24"/>
    </w:rPr>
  </w:style>
  <w:style w:type="paragraph" w:styleId="965">
    <w:name w:val="ec_msonormal"/>
    <w:basedOn w:val="836"/>
    <w:next w:val="965"/>
    <w:link w:val="836"/>
    <w:pPr>
      <w:jc w:val="left"/>
      <w:spacing w:before="100" w:beforeAutospacing="1" w:after="100" w:afterAutospacing="1"/>
      <w:widowControl/>
    </w:pPr>
    <w:rPr>
      <w:rFonts w:ascii="宋体" w:hAnsi="宋体"/>
      <w:sz w:val="24"/>
    </w:rPr>
  </w:style>
  <w:style w:type="paragraph" w:styleId="966">
    <w:name w:val=" Char Char Char Char"/>
    <w:basedOn w:val="836"/>
    <w:next w:val="966"/>
    <w:link w:val="836"/>
    <w:rPr>
      <w:rFonts w:ascii="Tahoma" w:hAnsi="Tahoma"/>
      <w:sz w:val="24"/>
      <w:szCs w:val="20"/>
    </w:rPr>
  </w:style>
  <w:style w:type="paragraph" w:styleId="967">
    <w:name w:val=" Char Char Char Char Char Char Char Char Char Char Char Char Char"/>
    <w:basedOn w:val="836"/>
    <w:next w:val="967"/>
    <w:link w:val="836"/>
  </w:style>
  <w:style w:type="paragraph" w:styleId="968">
    <w:name w:val="表格正文"/>
    <w:basedOn w:val="836"/>
    <w:next w:val="968"/>
    <w:link w:val="836"/>
    <w:pPr>
      <w:jc w:val="left"/>
      <w:spacing w:line="360" w:lineRule="auto"/>
    </w:pPr>
    <w:rPr>
      <w:rFonts w:ascii="Calibri" w:hAnsi="Calibri"/>
      <w:color w:val="000000"/>
      <w:szCs w:val="28"/>
    </w:rPr>
  </w:style>
  <w:style w:type="paragraph" w:styleId="969">
    <w:name w:val="Normal1"/>
    <w:next w:val="969"/>
    <w:link w:val="836"/>
    <w:pPr>
      <w:jc w:val="both"/>
      <w:spacing w:line="315" w:lineRule="atLeast"/>
      <w:widowControl w:val="off"/>
    </w:pPr>
    <w:rPr>
      <w:rFonts w:ascii="宋体"/>
      <w:sz w:val="24"/>
      <w:lang w:val="en-US" w:eastAsia="zh-CN" w:bidi="ar-SA"/>
    </w:rPr>
  </w:style>
  <w:style w:type="paragraph" w:styleId="970">
    <w:name w:val="Char Char Char Char"/>
    <w:basedOn w:val="836"/>
    <w:next w:val="970"/>
    <w:link w:val="836"/>
    <w:rPr>
      <w:rFonts w:ascii="Tahoma" w:hAnsi="Tahoma"/>
      <w:sz w:val="24"/>
      <w:szCs w:val="20"/>
    </w:rPr>
  </w:style>
  <w:style w:type="paragraph" w:styleId="971">
    <w:name w:val="Char Char Char"/>
    <w:basedOn w:val="836"/>
    <w:next w:val="971"/>
    <w:link w:val="836"/>
    <w:rPr>
      <w:rFonts w:ascii="Tahoma" w:hAnsi="Tahoma"/>
      <w:sz w:val="24"/>
      <w:szCs w:val="20"/>
    </w:rPr>
  </w:style>
  <w:style w:type="paragraph" w:styleId="972">
    <w:name w:val="标题-----3"/>
    <w:basedOn w:val="839"/>
    <w:next w:val="972"/>
    <w:link w:val="836"/>
    <w:pPr>
      <w:spacing w:before="0" w:after="0" w:line="240" w:lineRule="auto"/>
      <w:outlineLvl w:val="0"/>
    </w:pPr>
    <w:rPr>
      <w:rFonts w:ascii="宋体" w:hAnsi="宋体"/>
      <w:b w:val="0"/>
      <w:bCs w:val="0"/>
      <w:sz w:val="28"/>
      <w:szCs w:val="28"/>
    </w:rPr>
  </w:style>
  <w:style w:type="paragraph" w:styleId="973">
    <w:name w:val="样式 ssss + 居中"/>
    <w:basedOn w:val="956"/>
    <w:next w:val="973"/>
    <w:link w:val="836"/>
    <w:pPr>
      <w:jc w:val="center"/>
    </w:pPr>
    <w:rPr>
      <w:rFonts w:cs="宋体"/>
      <w:szCs w:val="20"/>
    </w:rPr>
  </w:style>
  <w:style w:type="paragraph" w:styleId="974">
    <w:name w:val="样式 宋体 四号 黑色 左侧:  0.74 厘米 首行缩进:  0.74 厘米 行距: 1.5 倍行距"/>
    <w:basedOn w:val="836"/>
    <w:next w:val="974"/>
    <w:link w:val="836"/>
    <w:pPr>
      <w:ind w:firstLine="420"/>
      <w:spacing w:line="360" w:lineRule="auto"/>
    </w:pPr>
    <w:rPr>
      <w:rFonts w:ascii="宋体"/>
      <w:color w:val="000000"/>
      <w:sz w:val="24"/>
      <w:szCs w:val="21"/>
    </w:rPr>
  </w:style>
  <w:style w:type="paragraph" w:styleId="975">
    <w:name w:val="样式 样式 ssss + 宋体 五号 + 首行缩进:  2 字符"/>
    <w:basedOn w:val="976"/>
    <w:next w:val="975"/>
    <w:link w:val="836"/>
    <w:pPr>
      <w:ind w:firstLine="480"/>
    </w:pPr>
  </w:style>
  <w:style w:type="paragraph" w:styleId="976">
    <w:name w:val="样式 ssss + 宋体 五号"/>
    <w:basedOn w:val="956"/>
    <w:next w:val="976"/>
    <w:link w:val="836"/>
    <w:pPr>
      <w:ind w:firstLine="420"/>
    </w:pPr>
    <w:rPr>
      <w:rFonts w:ascii="宋体" w:hAnsi="宋体" w:cs="宋体"/>
      <w:szCs w:val="20"/>
    </w:rPr>
  </w:style>
  <w:style w:type="paragraph" w:styleId="977">
    <w:name w:val="msonormalcxsplast"/>
    <w:basedOn w:val="836"/>
    <w:next w:val="977"/>
    <w:link w:val="836"/>
    <w:pPr>
      <w:jc w:val="left"/>
      <w:spacing w:before="100" w:beforeAutospacing="1" w:after="100" w:afterAutospacing="1"/>
      <w:widowControl/>
    </w:pPr>
    <w:rPr>
      <w:rFonts w:ascii="宋体" w:hAnsi="宋体" w:cs="宋体"/>
      <w:sz w:val="24"/>
    </w:rPr>
  </w:style>
  <w:style w:type="paragraph" w:styleId="978">
    <w:name w:val=" Char"/>
    <w:basedOn w:val="836"/>
    <w:next w:val="978"/>
    <w:link w:val="836"/>
    <w:rPr>
      <w:rFonts w:ascii="Tahoma" w:hAnsi="Tahoma"/>
      <w:sz w:val="24"/>
      <w:szCs w:val="20"/>
    </w:rPr>
  </w:style>
  <w:style w:type="paragraph" w:styleId="979">
    <w:name w:val="xl25"/>
    <w:basedOn w:val="836"/>
    <w:next w:val="979"/>
    <w:link w:val="836"/>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80">
    <w:name w:val="标题------4"/>
    <w:basedOn w:val="840"/>
    <w:next w:val="980"/>
    <w:link w:val="836"/>
    <w:pPr>
      <w:ind w:left="960" w:hanging="420"/>
      <w:jc w:val="both"/>
      <w:keepLines/>
      <w:spacing w:line="360" w:lineRule="auto"/>
    </w:pPr>
    <w:rPr>
      <w:rFonts w:ascii="仿宋_GB2312" w:hAnsi="宋体" w:eastAsia="仿宋_GB2312" w:cs="仿宋_GB2312"/>
      <w:b/>
      <w:sz w:val="28"/>
      <w:szCs w:val="28"/>
      <w:lang w:val="zh-CN"/>
    </w:rPr>
  </w:style>
  <w:style w:type="paragraph" w:styleId="981">
    <w:name w:val="msonormalcxspmiddle"/>
    <w:basedOn w:val="836"/>
    <w:next w:val="981"/>
    <w:link w:val="836"/>
    <w:pPr>
      <w:jc w:val="left"/>
      <w:spacing w:before="100" w:beforeAutospacing="1" w:after="100" w:afterAutospacing="1"/>
      <w:widowControl/>
    </w:pPr>
    <w:rPr>
      <w:rFonts w:ascii="宋体" w:hAnsi="宋体" w:cs="宋体"/>
      <w:sz w:val="24"/>
    </w:rPr>
  </w:style>
  <w:style w:type="paragraph" w:styleId="982">
    <w:name w:val="Char Char Char Char Char Char Char Char Char Char Char Char Char"/>
    <w:basedOn w:val="836"/>
    <w:next w:val="982"/>
    <w:link w:val="836"/>
    <w:rPr>
      <w:sz w:val="24"/>
    </w:rPr>
  </w:style>
  <w:style w:type="paragraph" w:styleId="983">
    <w:name w:val="表格"/>
    <w:basedOn w:val="836"/>
    <w:next w:val="983"/>
    <w:link w:val="836"/>
    <w:uiPriority w:val="1"/>
    <w:qFormat/>
    <w:rPr>
      <w:rFonts w:ascii="Arial" w:hAnsi="Arial"/>
      <w:sz w:val="24"/>
    </w:rPr>
  </w:style>
  <w:style w:type="paragraph" w:styleId="984">
    <w:name w:val="正文样式1"/>
    <w:basedOn w:val="836"/>
    <w:next w:val="984"/>
    <w:link w:val="836"/>
    <w:pPr>
      <w:ind w:firstLine="480"/>
      <w:spacing w:before="120" w:after="120" w:line="360" w:lineRule="auto"/>
    </w:pPr>
    <w:rPr>
      <w:sz w:val="24"/>
      <w:szCs w:val="20"/>
    </w:rPr>
  </w:style>
  <w:style w:type="paragraph" w:styleId="985">
    <w:name w:val=" Char Char1 Char Char Char Char Char Char"/>
    <w:basedOn w:val="836"/>
    <w:next w:val="985"/>
    <w:link w:val="836"/>
    <w:pPr>
      <w:jc w:val="left"/>
      <w:spacing w:after="160" w:line="240" w:lineRule="exact"/>
      <w:widowControl/>
    </w:pPr>
    <w:rPr>
      <w:rFonts w:ascii="Verdana" w:hAnsi="Verdana" w:eastAsia="仿宋_GB2312"/>
      <w:sz w:val="24"/>
      <w:szCs w:val="20"/>
      <w:lang w:eastAsia="en-US"/>
    </w:rPr>
  </w:style>
  <w:style w:type="paragraph" w:styleId="986">
    <w:name w:val="Char Char Char Char Char Char Char Char Char Char"/>
    <w:basedOn w:val="836"/>
    <w:next w:val="986"/>
    <w:link w:val="836"/>
    <w:rPr>
      <w:rFonts w:ascii="Tahoma" w:hAnsi="Tahoma"/>
      <w:sz w:val="24"/>
      <w:szCs w:val="20"/>
    </w:rPr>
  </w:style>
  <w:style w:type="paragraph" w:styleId="987">
    <w:name w:val="Char"/>
    <w:basedOn w:val="836"/>
    <w:next w:val="987"/>
    <w:link w:val="836"/>
    <w:qFormat/>
    <w:pPr>
      <w:tabs>
        <w:tab w:val="left" w:pos="360" w:leader="none"/>
      </w:tabs>
    </w:pPr>
    <w:rPr>
      <w:sz w:val="24"/>
    </w:rPr>
  </w:style>
  <w:style w:type="paragraph" w:styleId="988">
    <w:name w:val="标题1"/>
    <w:basedOn w:val="836"/>
    <w:next w:val="836"/>
    <w:link w:val="836"/>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Header2"/>
    <w:basedOn w:val="836"/>
    <w:next w:val="989"/>
    <w:link w:val="836"/>
    <w:pPr>
      <w:numPr>
        <w:ilvl w:val="0"/>
        <w:numId w:val="1"/>
      </w:numPr>
      <w:tabs>
        <w:tab w:val="left" w:pos="480" w:leader="none"/>
      </w:tabs>
    </w:pPr>
  </w:style>
  <w:style w:type="paragraph" w:styleId="990">
    <w:name w:val=" Char Char 字元 字元 字元 Char Char Char Char"/>
    <w:basedOn w:val="836"/>
    <w:next w:val="990"/>
    <w:link w:val="836"/>
    <w:pPr>
      <w:spacing w:line="360" w:lineRule="auto"/>
    </w:pPr>
    <w:rPr>
      <w:sz w:val="24"/>
      <w:szCs w:val="20"/>
    </w:rPr>
  </w:style>
  <w:style w:type="paragraph" w:styleId="991">
    <w:name w:val="2cxspmiddle"/>
    <w:basedOn w:val="836"/>
    <w:next w:val="991"/>
    <w:link w:val="836"/>
    <w:pPr>
      <w:jc w:val="left"/>
      <w:spacing w:before="100" w:beforeAutospacing="1" w:after="100" w:afterAutospacing="1"/>
      <w:widowControl/>
    </w:pPr>
    <w:rPr>
      <w:rFonts w:ascii="宋体" w:hAnsi="宋体" w:cs="宋体"/>
      <w:sz w:val="24"/>
    </w:rPr>
  </w:style>
  <w:style w:type="paragraph" w:styleId="992">
    <w:name w:val="正文_0_0"/>
    <w:next w:val="992"/>
    <w:link w:val="836"/>
    <w:qFormat/>
    <w:pPr>
      <w:jc w:val="both"/>
      <w:widowControl w:val="off"/>
    </w:pPr>
    <w:rPr>
      <w:sz w:val="21"/>
      <w:szCs w:val="24"/>
      <w:lang w:val="en-US" w:eastAsia="zh-CN" w:bidi="ar-SA"/>
    </w:rPr>
  </w:style>
  <w:style w:type="paragraph" w:styleId="993">
    <w:name w:val="正文_1_0"/>
    <w:next w:val="993"/>
    <w:link w:val="836"/>
    <w:qFormat/>
    <w:pPr>
      <w:jc w:val="both"/>
      <w:widowControl w:val="off"/>
    </w:pPr>
    <w:rPr>
      <w:sz w:val="21"/>
      <w:szCs w:val="24"/>
      <w:lang w:val="en-US" w:eastAsia="zh-CN" w:bidi="ar-SA"/>
    </w:rPr>
  </w:style>
  <w:style w:type="table" w:styleId="994">
    <w:name w:val="网格型1"/>
    <w:basedOn w:val="847"/>
    <w:next w:val="994"/>
    <w:link w:val="836"/>
    <w:qFormat/>
    <w:rPr>
      <w:rFonts w:ascii="等线" w:hAnsi="等线" w:eastAsia="等线" w:cs="Times New Roman"/>
      <w:sz w:val="21"/>
      <w:szCs w:val="22"/>
    </w:rPr>
    <w:tblPr/>
  </w:style>
  <w:style w:type="table" w:styleId="995">
    <w:name w:val="无格式表格 11"/>
    <w:basedOn w:val="847"/>
    <w:next w:val="995"/>
    <w:link w:val="836"/>
    <w:uiPriority w:val="59"/>
    <w:qFormat/>
    <w:tblPr/>
  </w:style>
  <w:style w:type="table" w:styleId="996">
    <w:name w:val="无格式表格 21"/>
    <w:basedOn w:val="847"/>
    <w:next w:val="996"/>
    <w:link w:val="836"/>
    <w:uiPriority w:val="59"/>
    <w:qFormat/>
    <w:tblPr/>
  </w:style>
  <w:style w:type="table" w:styleId="997">
    <w:name w:val="无格式表格 31"/>
    <w:basedOn w:val="847"/>
    <w:next w:val="997"/>
    <w:link w:val="836"/>
    <w:uiPriority w:val="99"/>
    <w:qFormat/>
    <w:tblPr/>
  </w:style>
  <w:style w:type="table" w:styleId="998">
    <w:name w:val="无格式表格 41"/>
    <w:basedOn w:val="847"/>
    <w:next w:val="998"/>
    <w:link w:val="836"/>
    <w:uiPriority w:val="99"/>
    <w:qFormat/>
    <w:tblPr/>
  </w:style>
  <w:style w:type="table" w:styleId="999">
    <w:name w:val="无格式表格 51"/>
    <w:basedOn w:val="847"/>
    <w:next w:val="999"/>
    <w:link w:val="836"/>
    <w:uiPriority w:val="99"/>
    <w:qFormat/>
    <w:tblPr/>
  </w:style>
  <w:style w:type="table" w:styleId="1000">
    <w:name w:val="网格表 1 浅色1"/>
    <w:basedOn w:val="847"/>
    <w:next w:val="1000"/>
    <w:link w:val="836"/>
    <w:uiPriority w:val="99"/>
    <w:qFormat/>
    <w:tblPr/>
  </w:style>
  <w:style w:type="table" w:styleId="1001">
    <w:name w:val="网格表 21"/>
    <w:basedOn w:val="847"/>
    <w:next w:val="1001"/>
    <w:link w:val="836"/>
    <w:uiPriority w:val="99"/>
    <w:qFormat/>
    <w:tblPr/>
  </w:style>
  <w:style w:type="table" w:styleId="1002">
    <w:name w:val="网格表 31"/>
    <w:basedOn w:val="847"/>
    <w:next w:val="1002"/>
    <w:link w:val="836"/>
    <w:uiPriority w:val="99"/>
    <w:qFormat/>
    <w:tblPr/>
  </w:style>
  <w:style w:type="table" w:styleId="1003">
    <w:name w:val="网格表 41"/>
    <w:basedOn w:val="847"/>
    <w:next w:val="1003"/>
    <w:link w:val="836"/>
    <w:uiPriority w:val="59"/>
    <w:qFormat/>
    <w:tblPr/>
  </w:style>
  <w:style w:type="table" w:styleId="1004">
    <w:name w:val="网格表 5 深色1"/>
    <w:basedOn w:val="847"/>
    <w:next w:val="1004"/>
    <w:link w:val="836"/>
    <w:uiPriority w:val="99"/>
    <w:qFormat/>
    <w:tblPr/>
  </w:style>
  <w:style w:type="table" w:styleId="1005">
    <w:name w:val="网格表 6 彩色1"/>
    <w:basedOn w:val="847"/>
    <w:next w:val="1005"/>
    <w:link w:val="836"/>
    <w:uiPriority w:val="99"/>
    <w:qFormat/>
    <w:tblPr/>
  </w:style>
  <w:style w:type="table" w:styleId="1006">
    <w:name w:val="网格表 7 彩色1"/>
    <w:basedOn w:val="847"/>
    <w:next w:val="1006"/>
    <w:link w:val="836"/>
    <w:uiPriority w:val="99"/>
    <w:qFormat/>
    <w:tblPr/>
  </w:style>
  <w:style w:type="table" w:styleId="1007">
    <w:name w:val="清单表 1 浅色1"/>
    <w:basedOn w:val="847"/>
    <w:next w:val="1007"/>
    <w:link w:val="836"/>
    <w:uiPriority w:val="99"/>
    <w:qFormat/>
    <w:tblPr/>
  </w:style>
  <w:style w:type="table" w:styleId="1008">
    <w:name w:val="清单表 21"/>
    <w:basedOn w:val="847"/>
    <w:next w:val="1008"/>
    <w:link w:val="836"/>
    <w:uiPriority w:val="99"/>
    <w:qFormat/>
    <w:tblPr/>
  </w:style>
  <w:style w:type="table" w:styleId="1009">
    <w:name w:val="清单表 31"/>
    <w:basedOn w:val="847"/>
    <w:next w:val="1009"/>
    <w:link w:val="836"/>
    <w:uiPriority w:val="99"/>
    <w:qFormat/>
    <w:tblPr/>
  </w:style>
  <w:style w:type="table" w:styleId="1010">
    <w:name w:val="清单表 41"/>
    <w:basedOn w:val="847"/>
    <w:next w:val="1010"/>
    <w:link w:val="836"/>
    <w:uiPriority w:val="99"/>
    <w:qFormat/>
    <w:tblPr/>
  </w:style>
  <w:style w:type="table" w:styleId="1011">
    <w:name w:val="清单表 5 深色1"/>
    <w:basedOn w:val="847"/>
    <w:next w:val="1011"/>
    <w:link w:val="836"/>
    <w:uiPriority w:val="99"/>
    <w:qFormat/>
    <w:tblPr/>
  </w:style>
  <w:style w:type="table" w:styleId="1012">
    <w:name w:val="清单表 6 彩色1"/>
    <w:basedOn w:val="847"/>
    <w:next w:val="1012"/>
    <w:link w:val="836"/>
    <w:uiPriority w:val="99"/>
    <w:qFormat/>
    <w:tblPr/>
  </w:style>
  <w:style w:type="table" w:styleId="1013">
    <w:name w:val="清单表 7 彩色1"/>
    <w:basedOn w:val="847"/>
    <w:next w:val="1013"/>
    <w:link w:val="836"/>
    <w:uiPriority w:val="99"/>
    <w:qFormat/>
    <w:tblPr/>
  </w:style>
  <w:style w:type="paragraph" w:styleId="1014">
    <w:name w:val="TOC 标题1"/>
    <w:next w:val="1014"/>
    <w:link w:val="836"/>
    <w:uiPriority w:val="39"/>
    <w:unhideWhenUsed/>
    <w:qFormat/>
    <w:rPr>
      <w:lang w:val="en-US" w:eastAsia="zh-CN" w:bidi="ar-SA"/>
    </w:rPr>
  </w:style>
  <w:style w:type="character" w:styleId="1015">
    <w:name w:val="正文文本 字符2"/>
    <w:next w:val="1015"/>
    <w:link w:val="836"/>
    <w:qFormat/>
    <w:rPr>
      <w:rFonts w:ascii="楷体_GB2312" w:eastAsia="楷体_GB2312"/>
      <w:sz w:val="28"/>
      <w:lang w:eastAsia="en-US"/>
    </w:rPr>
  </w:style>
  <w:style w:type="character" w:styleId="1016">
    <w:name w:val="正文文本首行缩进 字符1"/>
    <w:next w:val="1016"/>
    <w:link w:val="836"/>
    <w:qFormat/>
    <w:rPr>
      <w:rFonts w:ascii="Calibri" w:eastAsia="楷体_GB2312"/>
      <w:sz w:val="26"/>
    </w:rPr>
  </w:style>
  <w:style w:type="character" w:styleId="1017">
    <w:name w:val="纯文本 字符1"/>
    <w:next w:val="1017"/>
    <w:link w:val="836"/>
    <w:qFormat/>
    <w:rPr>
      <w:rFonts w:ascii="宋体" w:hAnsi="Courier New" w:eastAsia="楷体_GB2312"/>
      <w:sz w:val="26"/>
    </w:rPr>
  </w:style>
  <w:style w:type="paragraph" w:styleId="1018">
    <w:name w:val="Default"/>
    <w:next w:val="1019"/>
    <w:link w:val="836"/>
    <w:qFormat/>
    <w:pPr>
      <w:widowControl w:val="off"/>
    </w:pPr>
    <w:rPr>
      <w:rFonts w:ascii="仿宋" w:hAnsi="仿宋" w:cs="仿宋"/>
      <w:color w:val="000000"/>
      <w:sz w:val="24"/>
      <w:szCs w:val="24"/>
      <w:lang w:val="en-US" w:eastAsia="zh-CN" w:bidi="ar-SA"/>
    </w:rPr>
  </w:style>
  <w:style w:type="paragraph" w:styleId="1019">
    <w:name w:val="TOC 71"/>
    <w:basedOn w:val="836"/>
    <w:next w:val="836"/>
    <w:link w:val="836"/>
    <w:qFormat/>
    <w:pPr>
      <w:ind w:left="2550" w:firstLine="480"/>
      <w:spacing w:before="100" w:beforeAutospacing="1" w:after="100" w:afterAutospacing="1" w:line="440" w:lineRule="exact"/>
      <w:widowControl/>
    </w:pPr>
    <w:rPr>
      <w:rFonts w:ascii="楷体_GB2312" w:hAnsi="楷体_GB2312" w:eastAsia="楷体_GB2312" w:cs="楷体_GB2312"/>
      <w:color w:val="000000"/>
      <w:sz w:val="24"/>
      <w:szCs w:val="21"/>
    </w:rPr>
  </w:style>
  <w:style w:type="character" w:styleId="1020">
    <w:name w:val="Heading 5 Char"/>
    <w:next w:val="1020"/>
    <w:link w:val="836"/>
    <w:uiPriority w:val="9"/>
    <w:qFormat/>
    <w:rPr>
      <w:rFonts w:ascii="Arial" w:hAnsi="Arial" w:eastAsia="Arial" w:cs="Arial"/>
      <w:b/>
      <w:bCs/>
      <w:sz w:val="24"/>
      <w:szCs w:val="24"/>
    </w:rPr>
  </w:style>
  <w:style w:type="character" w:styleId="1021">
    <w:name w:val="Heading 6 Char"/>
    <w:next w:val="1021"/>
    <w:link w:val="836"/>
    <w:uiPriority w:val="9"/>
    <w:qFormat/>
    <w:rPr>
      <w:rFonts w:ascii="Arial" w:hAnsi="Arial" w:eastAsia="Arial" w:cs="Arial"/>
      <w:b/>
      <w:bCs/>
      <w:sz w:val="22"/>
      <w:szCs w:val="22"/>
    </w:rPr>
  </w:style>
  <w:style w:type="character" w:styleId="1022">
    <w:name w:val="Heading 7 Char"/>
    <w:next w:val="1022"/>
    <w:link w:val="836"/>
    <w:uiPriority w:val="9"/>
    <w:qFormat/>
    <w:rPr>
      <w:rFonts w:ascii="Arial" w:hAnsi="Arial" w:eastAsia="Arial" w:cs="Arial"/>
      <w:b/>
      <w:bCs/>
      <w:i/>
      <w:iCs/>
      <w:sz w:val="22"/>
      <w:szCs w:val="22"/>
    </w:rPr>
  </w:style>
  <w:style w:type="character" w:styleId="1023">
    <w:name w:val="Heading 8 Char"/>
    <w:next w:val="1023"/>
    <w:link w:val="836"/>
    <w:uiPriority w:val="9"/>
    <w:qFormat/>
    <w:rPr>
      <w:rFonts w:ascii="Arial" w:hAnsi="Arial" w:eastAsia="Arial" w:cs="Arial"/>
      <w:i/>
      <w:iCs/>
      <w:sz w:val="22"/>
      <w:szCs w:val="22"/>
    </w:rPr>
  </w:style>
  <w:style w:type="character" w:styleId="1024">
    <w:name w:val="Heading 9 Char"/>
    <w:next w:val="1024"/>
    <w:link w:val="836"/>
    <w:uiPriority w:val="9"/>
    <w:qFormat/>
    <w:rPr>
      <w:rFonts w:ascii="Arial" w:hAnsi="Arial" w:eastAsia="Arial" w:cs="Arial"/>
      <w:i/>
      <w:iCs/>
      <w:sz w:val="21"/>
      <w:szCs w:val="21"/>
    </w:rPr>
  </w:style>
  <w:style w:type="character" w:styleId="1025">
    <w:name w:val="Title Char"/>
    <w:next w:val="1025"/>
    <w:link w:val="836"/>
    <w:uiPriority w:val="10"/>
    <w:qFormat/>
    <w:rPr>
      <w:sz w:val="48"/>
      <w:szCs w:val="48"/>
    </w:rPr>
  </w:style>
  <w:style w:type="character" w:styleId="1026">
    <w:name w:val="Subtitle Char"/>
    <w:next w:val="1026"/>
    <w:link w:val="836"/>
    <w:uiPriority w:val="11"/>
    <w:qFormat/>
    <w:rPr>
      <w:sz w:val="24"/>
      <w:szCs w:val="24"/>
    </w:rPr>
  </w:style>
  <w:style w:type="character" w:styleId="1027">
    <w:name w:val="Quote Char"/>
    <w:next w:val="1027"/>
    <w:link w:val="836"/>
    <w:uiPriority w:val="29"/>
    <w:qFormat/>
    <w:rPr>
      <w:i/>
    </w:rPr>
  </w:style>
  <w:style w:type="character" w:styleId="1028">
    <w:name w:val="Intense Quote Char"/>
    <w:next w:val="1028"/>
    <w:link w:val="836"/>
    <w:uiPriority w:val="30"/>
    <w:qFormat/>
    <w:rPr>
      <w:i/>
    </w:rPr>
  </w:style>
  <w:style w:type="character" w:styleId="1029">
    <w:name w:val="Footnote Text Char"/>
    <w:next w:val="1029"/>
    <w:link w:val="836"/>
    <w:uiPriority w:val="99"/>
    <w:qFormat/>
    <w:rPr>
      <w:sz w:val="18"/>
    </w:rPr>
  </w:style>
  <w:style w:type="character" w:styleId="1030">
    <w:name w:val="Endnote Text Char"/>
    <w:next w:val="1030"/>
    <w:link w:val="836"/>
    <w:uiPriority w:val="99"/>
    <w:qFormat/>
    <w:rPr>
      <w:sz w:val="20"/>
    </w:rPr>
  </w:style>
  <w:style w:type="character" w:styleId="1031">
    <w:name w:val="Heading 1 Char"/>
    <w:next w:val="1031"/>
    <w:link w:val="836"/>
    <w:uiPriority w:val="9"/>
    <w:qFormat/>
    <w:rPr>
      <w:rFonts w:ascii="Arial" w:hAnsi="Arial" w:eastAsia="Arial" w:cs="Arial"/>
      <w:sz w:val="40"/>
      <w:szCs w:val="40"/>
    </w:rPr>
  </w:style>
  <w:style w:type="character" w:styleId="1032">
    <w:name w:val="Heading 2 Char"/>
    <w:next w:val="1032"/>
    <w:link w:val="836"/>
    <w:uiPriority w:val="9"/>
    <w:qFormat/>
    <w:rPr>
      <w:rFonts w:ascii="Arial" w:hAnsi="Arial" w:eastAsia="Arial" w:cs="Arial"/>
      <w:sz w:val="34"/>
    </w:rPr>
  </w:style>
  <w:style w:type="character" w:styleId="1033">
    <w:name w:val="Heading 3 Char"/>
    <w:next w:val="1033"/>
    <w:link w:val="836"/>
    <w:uiPriority w:val="9"/>
    <w:qFormat/>
    <w:rPr>
      <w:rFonts w:ascii="Arial" w:hAnsi="Arial" w:eastAsia="Arial" w:cs="Arial"/>
      <w:sz w:val="30"/>
      <w:szCs w:val="30"/>
    </w:rPr>
  </w:style>
  <w:style w:type="character" w:styleId="1034">
    <w:name w:val="Heading 4 Char"/>
    <w:next w:val="1034"/>
    <w:link w:val="836"/>
    <w:uiPriority w:val="9"/>
    <w:qFormat/>
    <w:rPr>
      <w:rFonts w:ascii="Arial" w:hAnsi="Arial" w:eastAsia="Arial" w:cs="Arial"/>
      <w:b/>
      <w:bCs/>
      <w:sz w:val="26"/>
      <w:szCs w:val="26"/>
    </w:rPr>
  </w:style>
  <w:style w:type="paragraph" w:styleId="1035">
    <w:name w:val="无间隔"/>
    <w:next w:val="1035"/>
    <w:link w:val="836"/>
    <w:uiPriority w:val="99"/>
    <w:qFormat/>
    <w:pPr>
      <w:jc w:val="both"/>
      <w:widowControl w:val="off"/>
    </w:pPr>
    <w:rPr>
      <w:rFonts w:eastAsia="楷体_GB2312"/>
      <w:sz w:val="26"/>
      <w:lang w:val="en-US" w:eastAsia="zh-CN" w:bidi="ar-SA"/>
    </w:rPr>
  </w:style>
  <w:style w:type="paragraph" w:styleId="1036">
    <w:name w:val="引用"/>
    <w:basedOn w:val="836"/>
    <w:next w:val="836"/>
    <w:link w:val="1037"/>
    <w:uiPriority w:val="29"/>
    <w:qFormat/>
    <w:pPr>
      <w:ind w:left="720" w:right="720" w:firstLine="480"/>
      <w:spacing w:line="440" w:lineRule="exact"/>
      <w:widowControl/>
    </w:pPr>
    <w:rPr>
      <w:rFonts w:ascii="楷体_GB2312" w:hAnsi="楷体_GB2312" w:eastAsia="楷体_GB2312"/>
      <w:i/>
      <w:color w:val="000000"/>
      <w:sz w:val="24"/>
      <w:lang w:val="en-US" w:eastAsia="en-US"/>
    </w:rPr>
  </w:style>
  <w:style w:type="character" w:styleId="1037">
    <w:name w:val="引用 Char"/>
    <w:next w:val="1037"/>
    <w:link w:val="1036"/>
    <w:uiPriority w:val="29"/>
    <w:qFormat/>
    <w:rPr>
      <w:rFonts w:ascii="楷体_GB2312" w:hAnsi="楷体_GB2312" w:eastAsia="楷体_GB2312" w:cs="楷体_GB2312"/>
      <w:i/>
      <w:color w:val="000000"/>
      <w:sz w:val="24"/>
      <w:szCs w:val="24"/>
    </w:rPr>
  </w:style>
  <w:style w:type="paragraph" w:styleId="1038">
    <w:name w:val="明显引用"/>
    <w:basedOn w:val="836"/>
    <w:next w:val="836"/>
    <w:link w:val="1039"/>
    <w:uiPriority w:val="30"/>
    <w:qFormat/>
    <w:pPr>
      <w:ind w:left="720" w:right="720" w:firstLine="480"/>
      <w:spacing w:line="440" w:lineRule="exact"/>
      <w:shd w:val="clear" w:color="auto" w:fill="f2f2f2"/>
      <w:widowControl/>
      <w:pBdr>
        <w:top w:val="single" w:color="FFFFFF" w:sz="4" w:space="5"/>
        <w:left w:val="single" w:color="FFFFFF" w:sz="4" w:space="10"/>
        <w:bottom w:val="single" w:color="FFFFFF" w:sz="4" w:space="5"/>
        <w:right w:val="single" w:color="FFFFFF" w:sz="4" w:space="10"/>
      </w:pBdr>
    </w:pPr>
    <w:rPr>
      <w:rFonts w:ascii="楷体_GB2312" w:hAnsi="楷体_GB2312" w:eastAsia="楷体_GB2312"/>
      <w:i/>
      <w:color w:val="000000"/>
      <w:sz w:val="24"/>
      <w:lang w:val="en-US" w:eastAsia="en-US"/>
    </w:rPr>
  </w:style>
  <w:style w:type="character" w:styleId="1039">
    <w:name w:val="明显引用 Char"/>
    <w:next w:val="1039"/>
    <w:link w:val="1038"/>
    <w:uiPriority w:val="30"/>
    <w:qFormat/>
    <w:rPr>
      <w:rFonts w:ascii="楷体_GB2312" w:hAnsi="楷体_GB2312" w:eastAsia="楷体_GB2312" w:cs="楷体_GB2312"/>
      <w:i/>
      <w:color w:val="000000"/>
      <w:sz w:val="24"/>
      <w:szCs w:val="24"/>
      <w:shd w:val="clear" w:color="auto" w:fill="f2f2f2"/>
    </w:rPr>
  </w:style>
  <w:style w:type="character" w:styleId="1040">
    <w:name w:val="Footer Char"/>
    <w:next w:val="1040"/>
    <w:link w:val="836"/>
    <w:uiPriority w:val="99"/>
    <w:qFormat/>
  </w:style>
  <w:style w:type="character" w:styleId="1041">
    <w:name w:val="Caption Char"/>
    <w:next w:val="1041"/>
    <w:link w:val="836"/>
    <w:uiPriority w:val="99"/>
    <w:qFormat/>
  </w:style>
  <w:style w:type="table" w:styleId="1042">
    <w:name w:val="Table Grid Light"/>
    <w:next w:val="1042"/>
    <w:link w:val="836"/>
    <w:uiPriority w:val="59"/>
    <w:qFormat/>
    <w:rPr>
      <w:lang w:val="en-US" w:eastAsia="zh-CN" w:bidi="ar-SA"/>
    </w:rPr>
    <w:tblPr/>
  </w:style>
  <w:style w:type="table" w:styleId="1043">
    <w:name w:val="Grid Table 1 Light - Accent 1"/>
    <w:next w:val="1043"/>
    <w:link w:val="836"/>
    <w:uiPriority w:val="99"/>
    <w:qFormat/>
    <w:rPr>
      <w:lang w:val="en-US" w:eastAsia="zh-CN" w:bidi="ar-SA"/>
    </w:rPr>
    <w:tblPr/>
  </w:style>
  <w:style w:type="table" w:styleId="1044">
    <w:name w:val="Grid Table 1 Light - Accent 2"/>
    <w:next w:val="1044"/>
    <w:link w:val="836"/>
    <w:uiPriority w:val="99"/>
    <w:qFormat/>
    <w:rPr>
      <w:lang w:val="en-US" w:eastAsia="zh-CN" w:bidi="ar-SA"/>
    </w:rPr>
    <w:tblPr/>
  </w:style>
  <w:style w:type="table" w:styleId="1045">
    <w:name w:val="Grid Table 1 Light - Accent 3"/>
    <w:next w:val="1045"/>
    <w:link w:val="836"/>
    <w:uiPriority w:val="99"/>
    <w:qFormat/>
    <w:rPr>
      <w:lang w:val="en-US" w:eastAsia="zh-CN" w:bidi="ar-SA"/>
    </w:rPr>
    <w:tblPr/>
  </w:style>
  <w:style w:type="table" w:styleId="1046">
    <w:name w:val="Grid Table 1 Light - Accent 4"/>
    <w:next w:val="1046"/>
    <w:link w:val="836"/>
    <w:uiPriority w:val="99"/>
    <w:qFormat/>
    <w:rPr>
      <w:lang w:val="en-US" w:eastAsia="zh-CN" w:bidi="ar-SA"/>
    </w:rPr>
    <w:tblPr/>
  </w:style>
  <w:style w:type="table" w:styleId="1047">
    <w:name w:val="Grid Table 1 Light - Accent 5"/>
    <w:next w:val="1047"/>
    <w:link w:val="836"/>
    <w:uiPriority w:val="99"/>
    <w:qFormat/>
    <w:rPr>
      <w:lang w:val="en-US" w:eastAsia="zh-CN" w:bidi="ar-SA"/>
    </w:rPr>
    <w:tblPr/>
  </w:style>
  <w:style w:type="table" w:styleId="1048">
    <w:name w:val="Grid Table 1 Light - Accent 6"/>
    <w:next w:val="1048"/>
    <w:link w:val="836"/>
    <w:uiPriority w:val="99"/>
    <w:qFormat/>
    <w:rPr>
      <w:lang w:val="en-US" w:eastAsia="zh-CN" w:bidi="ar-SA"/>
    </w:rPr>
    <w:tblPr/>
  </w:style>
  <w:style w:type="table" w:styleId="1049">
    <w:name w:val="Grid Table 2 - Accent 1"/>
    <w:next w:val="1049"/>
    <w:link w:val="836"/>
    <w:uiPriority w:val="99"/>
    <w:qFormat/>
    <w:rPr>
      <w:lang w:val="en-US" w:eastAsia="zh-CN" w:bidi="ar-SA"/>
    </w:rPr>
    <w:tblPr/>
  </w:style>
  <w:style w:type="table" w:styleId="1050">
    <w:name w:val="Grid Table 2 - Accent 2"/>
    <w:next w:val="1050"/>
    <w:link w:val="836"/>
    <w:uiPriority w:val="99"/>
    <w:qFormat/>
    <w:rPr>
      <w:lang w:val="en-US" w:eastAsia="zh-CN" w:bidi="ar-SA"/>
    </w:rPr>
    <w:tblPr/>
  </w:style>
  <w:style w:type="table" w:styleId="1051">
    <w:name w:val="Grid Table 2 - Accent 3"/>
    <w:next w:val="1051"/>
    <w:link w:val="836"/>
    <w:uiPriority w:val="99"/>
    <w:qFormat/>
    <w:rPr>
      <w:lang w:val="en-US" w:eastAsia="zh-CN" w:bidi="ar-SA"/>
    </w:rPr>
    <w:tblPr/>
  </w:style>
  <w:style w:type="table" w:styleId="1052">
    <w:name w:val="Grid Table 2 - Accent 4"/>
    <w:next w:val="1052"/>
    <w:link w:val="836"/>
    <w:uiPriority w:val="99"/>
    <w:qFormat/>
    <w:rPr>
      <w:lang w:val="en-US" w:eastAsia="zh-CN" w:bidi="ar-SA"/>
    </w:rPr>
    <w:tblPr/>
  </w:style>
  <w:style w:type="table" w:styleId="1053">
    <w:name w:val="Grid Table 2 - Accent 5"/>
    <w:next w:val="1053"/>
    <w:link w:val="836"/>
    <w:uiPriority w:val="99"/>
    <w:qFormat/>
    <w:rPr>
      <w:lang w:val="en-US" w:eastAsia="zh-CN" w:bidi="ar-SA"/>
    </w:rPr>
    <w:tblPr/>
  </w:style>
  <w:style w:type="table" w:styleId="1054">
    <w:name w:val="Grid Table 2 - Accent 6"/>
    <w:next w:val="1054"/>
    <w:link w:val="836"/>
    <w:uiPriority w:val="99"/>
    <w:qFormat/>
    <w:rPr>
      <w:lang w:val="en-US" w:eastAsia="zh-CN" w:bidi="ar-SA"/>
    </w:rPr>
    <w:tblPr/>
  </w:style>
  <w:style w:type="table" w:styleId="1055">
    <w:name w:val="Grid Table 3 - Accent 1"/>
    <w:next w:val="1055"/>
    <w:link w:val="836"/>
    <w:uiPriority w:val="99"/>
    <w:qFormat/>
    <w:rPr>
      <w:lang w:val="en-US" w:eastAsia="zh-CN" w:bidi="ar-SA"/>
    </w:rPr>
    <w:tblPr/>
  </w:style>
  <w:style w:type="table" w:styleId="1056">
    <w:name w:val="Grid Table 3 - Accent 2"/>
    <w:next w:val="1056"/>
    <w:link w:val="836"/>
    <w:uiPriority w:val="99"/>
    <w:qFormat/>
    <w:rPr>
      <w:lang w:val="en-US" w:eastAsia="zh-CN" w:bidi="ar-SA"/>
    </w:rPr>
    <w:tblPr/>
  </w:style>
  <w:style w:type="table" w:styleId="1057">
    <w:name w:val="Grid Table 3 - Accent 3"/>
    <w:next w:val="1057"/>
    <w:link w:val="836"/>
    <w:uiPriority w:val="99"/>
    <w:qFormat/>
    <w:rPr>
      <w:lang w:val="en-US" w:eastAsia="zh-CN" w:bidi="ar-SA"/>
    </w:rPr>
    <w:tblPr/>
  </w:style>
  <w:style w:type="table" w:styleId="1058">
    <w:name w:val="Grid Table 3 - Accent 4"/>
    <w:next w:val="1058"/>
    <w:link w:val="836"/>
    <w:uiPriority w:val="99"/>
    <w:qFormat/>
    <w:rPr>
      <w:lang w:val="en-US" w:eastAsia="zh-CN" w:bidi="ar-SA"/>
    </w:rPr>
    <w:tblPr/>
  </w:style>
  <w:style w:type="table" w:styleId="1059">
    <w:name w:val="Grid Table 3 - Accent 5"/>
    <w:next w:val="1059"/>
    <w:link w:val="836"/>
    <w:uiPriority w:val="99"/>
    <w:qFormat/>
    <w:rPr>
      <w:lang w:val="en-US" w:eastAsia="zh-CN" w:bidi="ar-SA"/>
    </w:rPr>
    <w:tblPr/>
  </w:style>
  <w:style w:type="table" w:styleId="1060">
    <w:name w:val="Grid Table 3 - Accent 6"/>
    <w:next w:val="1060"/>
    <w:link w:val="836"/>
    <w:uiPriority w:val="99"/>
    <w:qFormat/>
    <w:rPr>
      <w:lang w:val="en-US" w:eastAsia="zh-CN" w:bidi="ar-SA"/>
    </w:rPr>
    <w:tblPr/>
  </w:style>
  <w:style w:type="table" w:styleId="1061">
    <w:name w:val="Grid Table 4 - Accent 1"/>
    <w:next w:val="1061"/>
    <w:link w:val="836"/>
    <w:uiPriority w:val="59"/>
    <w:qFormat/>
    <w:rPr>
      <w:lang w:val="en-US" w:eastAsia="zh-CN" w:bidi="ar-SA"/>
    </w:rPr>
    <w:tblPr/>
  </w:style>
  <w:style w:type="table" w:styleId="1062">
    <w:name w:val="Grid Table 4 - Accent 2"/>
    <w:next w:val="1062"/>
    <w:link w:val="836"/>
    <w:uiPriority w:val="59"/>
    <w:qFormat/>
    <w:rPr>
      <w:lang w:val="en-US" w:eastAsia="zh-CN" w:bidi="ar-SA"/>
    </w:rPr>
    <w:tblPr/>
  </w:style>
  <w:style w:type="table" w:styleId="1063">
    <w:name w:val="Grid Table 4 - Accent 3"/>
    <w:next w:val="1063"/>
    <w:link w:val="836"/>
    <w:uiPriority w:val="59"/>
    <w:qFormat/>
    <w:rPr>
      <w:lang w:val="en-US" w:eastAsia="zh-CN" w:bidi="ar-SA"/>
    </w:rPr>
    <w:tblPr/>
  </w:style>
  <w:style w:type="table" w:styleId="1064">
    <w:name w:val="Grid Table 4 - Accent 4"/>
    <w:next w:val="1064"/>
    <w:link w:val="836"/>
    <w:uiPriority w:val="59"/>
    <w:qFormat/>
    <w:rPr>
      <w:lang w:val="en-US" w:eastAsia="zh-CN" w:bidi="ar-SA"/>
    </w:rPr>
    <w:tblPr/>
  </w:style>
  <w:style w:type="table" w:styleId="1065">
    <w:name w:val="Grid Table 4 - Accent 5"/>
    <w:next w:val="1065"/>
    <w:link w:val="836"/>
    <w:uiPriority w:val="59"/>
    <w:qFormat/>
    <w:rPr>
      <w:lang w:val="en-US" w:eastAsia="zh-CN" w:bidi="ar-SA"/>
    </w:rPr>
    <w:tblPr/>
  </w:style>
  <w:style w:type="table" w:styleId="1066">
    <w:name w:val="Grid Table 4 - Accent 6"/>
    <w:next w:val="1066"/>
    <w:link w:val="836"/>
    <w:uiPriority w:val="59"/>
    <w:qFormat/>
    <w:rPr>
      <w:lang w:val="en-US" w:eastAsia="zh-CN" w:bidi="ar-SA"/>
    </w:rPr>
    <w:tblPr/>
  </w:style>
  <w:style w:type="table" w:styleId="1067">
    <w:name w:val="Grid Table 5 Dark- Accent 1"/>
    <w:next w:val="1067"/>
    <w:link w:val="836"/>
    <w:uiPriority w:val="99"/>
    <w:qFormat/>
    <w:rPr>
      <w:lang w:val="en-US" w:eastAsia="zh-CN" w:bidi="ar-SA"/>
    </w:rPr>
    <w:tblPr/>
  </w:style>
  <w:style w:type="table" w:styleId="1068">
    <w:name w:val="Grid Table 5 Dark - Accent 2"/>
    <w:next w:val="1068"/>
    <w:link w:val="836"/>
    <w:uiPriority w:val="99"/>
    <w:qFormat/>
    <w:rPr>
      <w:lang w:val="en-US" w:eastAsia="zh-CN" w:bidi="ar-SA"/>
    </w:rPr>
    <w:tblPr/>
  </w:style>
  <w:style w:type="table" w:styleId="1069">
    <w:name w:val="Grid Table 5 Dark - Accent 3"/>
    <w:next w:val="1069"/>
    <w:link w:val="836"/>
    <w:uiPriority w:val="99"/>
    <w:qFormat/>
    <w:rPr>
      <w:lang w:val="en-US" w:eastAsia="zh-CN" w:bidi="ar-SA"/>
    </w:rPr>
    <w:tblPr/>
  </w:style>
  <w:style w:type="table" w:styleId="1070">
    <w:name w:val="Grid Table 5 Dark- Accent 4"/>
    <w:next w:val="1070"/>
    <w:link w:val="836"/>
    <w:uiPriority w:val="99"/>
    <w:qFormat/>
    <w:rPr>
      <w:lang w:val="en-US" w:eastAsia="zh-CN" w:bidi="ar-SA"/>
    </w:rPr>
    <w:tblPr/>
  </w:style>
  <w:style w:type="table" w:styleId="1071">
    <w:name w:val="Grid Table 5 Dark - Accent 5"/>
    <w:next w:val="1071"/>
    <w:link w:val="836"/>
    <w:uiPriority w:val="99"/>
    <w:qFormat/>
    <w:rPr>
      <w:lang w:val="en-US" w:eastAsia="zh-CN" w:bidi="ar-SA"/>
    </w:rPr>
    <w:tblPr/>
  </w:style>
  <w:style w:type="table" w:styleId="1072">
    <w:name w:val="Grid Table 5 Dark - Accent 6"/>
    <w:next w:val="1072"/>
    <w:link w:val="836"/>
    <w:uiPriority w:val="99"/>
    <w:qFormat/>
    <w:rPr>
      <w:lang w:val="en-US" w:eastAsia="zh-CN" w:bidi="ar-SA"/>
    </w:rPr>
    <w:tblPr/>
  </w:style>
  <w:style w:type="table" w:styleId="1073">
    <w:name w:val="Grid Table 6 Colorful - Accent 1"/>
    <w:next w:val="1073"/>
    <w:link w:val="836"/>
    <w:uiPriority w:val="99"/>
    <w:qFormat/>
    <w:rPr>
      <w:lang w:val="en-US" w:eastAsia="zh-CN" w:bidi="ar-SA"/>
    </w:rPr>
    <w:tblPr/>
  </w:style>
  <w:style w:type="table" w:styleId="1074">
    <w:name w:val="Grid Table 6 Colorful - Accent 2"/>
    <w:next w:val="1074"/>
    <w:link w:val="836"/>
    <w:uiPriority w:val="99"/>
    <w:qFormat/>
    <w:rPr>
      <w:lang w:val="en-US" w:eastAsia="zh-CN" w:bidi="ar-SA"/>
    </w:rPr>
    <w:tblPr/>
  </w:style>
  <w:style w:type="table" w:styleId="1075">
    <w:name w:val="Grid Table 6 Colorful - Accent 3"/>
    <w:next w:val="1075"/>
    <w:link w:val="836"/>
    <w:uiPriority w:val="99"/>
    <w:qFormat/>
    <w:rPr>
      <w:lang w:val="en-US" w:eastAsia="zh-CN" w:bidi="ar-SA"/>
    </w:rPr>
    <w:tblPr/>
  </w:style>
  <w:style w:type="table" w:styleId="1076">
    <w:name w:val="Grid Table 6 Colorful - Accent 4"/>
    <w:next w:val="1076"/>
    <w:link w:val="836"/>
    <w:uiPriority w:val="99"/>
    <w:qFormat/>
    <w:rPr>
      <w:lang w:val="en-US" w:eastAsia="zh-CN" w:bidi="ar-SA"/>
    </w:rPr>
    <w:tblPr/>
  </w:style>
  <w:style w:type="table" w:styleId="1077">
    <w:name w:val="Grid Table 6 Colorful - Accent 5"/>
    <w:next w:val="1077"/>
    <w:link w:val="836"/>
    <w:uiPriority w:val="99"/>
    <w:qFormat/>
    <w:rPr>
      <w:lang w:val="en-US" w:eastAsia="zh-CN" w:bidi="ar-SA"/>
    </w:rPr>
    <w:tblPr/>
  </w:style>
  <w:style w:type="table" w:styleId="1078">
    <w:name w:val="Grid Table 6 Colorful - Accent 6"/>
    <w:next w:val="1078"/>
    <w:link w:val="836"/>
    <w:uiPriority w:val="99"/>
    <w:qFormat/>
    <w:rPr>
      <w:lang w:val="en-US" w:eastAsia="zh-CN" w:bidi="ar-SA"/>
    </w:rPr>
    <w:tblPr/>
  </w:style>
  <w:style w:type="table" w:styleId="1079">
    <w:name w:val="Grid Table 7 Colorful - Accent 1"/>
    <w:next w:val="1079"/>
    <w:link w:val="836"/>
    <w:uiPriority w:val="99"/>
    <w:qFormat/>
    <w:rPr>
      <w:lang w:val="en-US" w:eastAsia="zh-CN" w:bidi="ar-SA"/>
    </w:rPr>
    <w:tblPr/>
  </w:style>
  <w:style w:type="table" w:styleId="1080">
    <w:name w:val="Grid Table 7 Colorful - Accent 2"/>
    <w:next w:val="1080"/>
    <w:link w:val="836"/>
    <w:uiPriority w:val="99"/>
    <w:qFormat/>
    <w:rPr>
      <w:lang w:val="en-US" w:eastAsia="zh-CN" w:bidi="ar-SA"/>
    </w:rPr>
    <w:tblPr/>
  </w:style>
  <w:style w:type="table" w:styleId="1081">
    <w:name w:val="Grid Table 7 Colorful - Accent 3"/>
    <w:next w:val="1081"/>
    <w:link w:val="836"/>
    <w:uiPriority w:val="99"/>
    <w:qFormat/>
    <w:rPr>
      <w:lang w:val="en-US" w:eastAsia="zh-CN" w:bidi="ar-SA"/>
    </w:rPr>
    <w:tblPr/>
  </w:style>
  <w:style w:type="table" w:styleId="1082">
    <w:name w:val="Grid Table 7 Colorful - Accent 4"/>
    <w:next w:val="1082"/>
    <w:link w:val="836"/>
    <w:uiPriority w:val="99"/>
    <w:qFormat/>
    <w:rPr>
      <w:lang w:val="en-US" w:eastAsia="zh-CN" w:bidi="ar-SA"/>
    </w:rPr>
    <w:tblPr/>
  </w:style>
  <w:style w:type="table" w:styleId="1083">
    <w:name w:val="Grid Table 7 Colorful - Accent 5"/>
    <w:next w:val="1083"/>
    <w:link w:val="836"/>
    <w:uiPriority w:val="99"/>
    <w:qFormat/>
    <w:rPr>
      <w:lang w:val="en-US" w:eastAsia="zh-CN" w:bidi="ar-SA"/>
    </w:rPr>
    <w:tblPr/>
  </w:style>
  <w:style w:type="table" w:styleId="1084">
    <w:name w:val="Grid Table 7 Colorful - Accent 6"/>
    <w:next w:val="1084"/>
    <w:link w:val="836"/>
    <w:uiPriority w:val="99"/>
    <w:qFormat/>
    <w:rPr>
      <w:lang w:val="en-US" w:eastAsia="zh-CN" w:bidi="ar-SA"/>
    </w:rPr>
    <w:tblPr/>
  </w:style>
  <w:style w:type="table" w:styleId="1085">
    <w:name w:val="List Table 1 Light - Accent 1"/>
    <w:next w:val="1085"/>
    <w:link w:val="836"/>
    <w:uiPriority w:val="99"/>
    <w:qFormat/>
    <w:rPr>
      <w:lang w:val="en-US" w:eastAsia="zh-CN" w:bidi="ar-SA"/>
    </w:rPr>
    <w:tblPr/>
  </w:style>
  <w:style w:type="table" w:styleId="1086">
    <w:name w:val="List Table 1 Light - Accent 2"/>
    <w:next w:val="1086"/>
    <w:link w:val="836"/>
    <w:uiPriority w:val="99"/>
    <w:qFormat/>
    <w:rPr>
      <w:lang w:val="en-US" w:eastAsia="zh-CN" w:bidi="ar-SA"/>
    </w:rPr>
    <w:tblPr/>
  </w:style>
  <w:style w:type="table" w:styleId="1087">
    <w:name w:val="List Table 1 Light - Accent 3"/>
    <w:next w:val="1087"/>
    <w:link w:val="836"/>
    <w:uiPriority w:val="99"/>
    <w:qFormat/>
    <w:rPr>
      <w:lang w:val="en-US" w:eastAsia="zh-CN" w:bidi="ar-SA"/>
    </w:rPr>
    <w:tblPr/>
  </w:style>
  <w:style w:type="table" w:styleId="1088">
    <w:name w:val="List Table 1 Light - Accent 4"/>
    <w:next w:val="1088"/>
    <w:link w:val="836"/>
    <w:uiPriority w:val="99"/>
    <w:qFormat/>
    <w:rPr>
      <w:lang w:val="en-US" w:eastAsia="zh-CN" w:bidi="ar-SA"/>
    </w:rPr>
    <w:tblPr/>
  </w:style>
  <w:style w:type="table" w:styleId="1089">
    <w:name w:val="List Table 1 Light - Accent 5"/>
    <w:next w:val="1089"/>
    <w:link w:val="836"/>
    <w:uiPriority w:val="99"/>
    <w:qFormat/>
    <w:rPr>
      <w:lang w:val="en-US" w:eastAsia="zh-CN" w:bidi="ar-SA"/>
    </w:rPr>
    <w:tblPr/>
  </w:style>
  <w:style w:type="table" w:styleId="1090">
    <w:name w:val="List Table 1 Light - Accent 6"/>
    <w:next w:val="1090"/>
    <w:link w:val="836"/>
    <w:uiPriority w:val="99"/>
    <w:qFormat/>
    <w:rPr>
      <w:lang w:val="en-US" w:eastAsia="zh-CN" w:bidi="ar-SA"/>
    </w:rPr>
    <w:tblPr/>
  </w:style>
  <w:style w:type="table" w:styleId="1091">
    <w:name w:val="List Table 2 - Accent 1"/>
    <w:next w:val="1091"/>
    <w:link w:val="836"/>
    <w:uiPriority w:val="99"/>
    <w:qFormat/>
    <w:rPr>
      <w:lang w:val="en-US" w:eastAsia="zh-CN" w:bidi="ar-SA"/>
    </w:rPr>
    <w:tblPr/>
  </w:style>
  <w:style w:type="table" w:styleId="1092">
    <w:name w:val="List Table 2 - Accent 2"/>
    <w:next w:val="1092"/>
    <w:link w:val="836"/>
    <w:uiPriority w:val="99"/>
    <w:qFormat/>
    <w:rPr>
      <w:lang w:val="en-US" w:eastAsia="zh-CN" w:bidi="ar-SA"/>
    </w:rPr>
    <w:tblPr/>
  </w:style>
  <w:style w:type="table" w:styleId="1093">
    <w:name w:val="List Table 2 - Accent 3"/>
    <w:next w:val="1093"/>
    <w:link w:val="836"/>
    <w:uiPriority w:val="99"/>
    <w:qFormat/>
    <w:rPr>
      <w:lang w:val="en-US" w:eastAsia="zh-CN" w:bidi="ar-SA"/>
    </w:rPr>
    <w:tblPr/>
  </w:style>
  <w:style w:type="table" w:styleId="1094">
    <w:name w:val="List Table 2 - Accent 4"/>
    <w:next w:val="1094"/>
    <w:link w:val="836"/>
    <w:uiPriority w:val="99"/>
    <w:qFormat/>
    <w:rPr>
      <w:lang w:val="en-US" w:eastAsia="zh-CN" w:bidi="ar-SA"/>
    </w:rPr>
    <w:tblPr/>
  </w:style>
  <w:style w:type="table" w:styleId="1095">
    <w:name w:val="List Table 2 - Accent 5"/>
    <w:next w:val="1095"/>
    <w:link w:val="836"/>
    <w:uiPriority w:val="99"/>
    <w:qFormat/>
    <w:rPr>
      <w:lang w:val="en-US" w:eastAsia="zh-CN" w:bidi="ar-SA"/>
    </w:rPr>
    <w:tblPr/>
  </w:style>
  <w:style w:type="table" w:styleId="1096">
    <w:name w:val="List Table 2 - Accent 6"/>
    <w:next w:val="1096"/>
    <w:link w:val="836"/>
    <w:uiPriority w:val="99"/>
    <w:qFormat/>
    <w:rPr>
      <w:lang w:val="en-US" w:eastAsia="zh-CN" w:bidi="ar-SA"/>
    </w:rPr>
    <w:tblPr/>
  </w:style>
  <w:style w:type="table" w:styleId="1097">
    <w:name w:val="List Table 3 - Accent 1"/>
    <w:next w:val="1097"/>
    <w:link w:val="836"/>
    <w:uiPriority w:val="99"/>
    <w:qFormat/>
    <w:rPr>
      <w:lang w:val="en-US" w:eastAsia="zh-CN" w:bidi="ar-SA"/>
    </w:rPr>
    <w:tblPr/>
  </w:style>
  <w:style w:type="table" w:styleId="1098">
    <w:name w:val="List Table 3 - Accent 2"/>
    <w:next w:val="1098"/>
    <w:link w:val="836"/>
    <w:uiPriority w:val="99"/>
    <w:qFormat/>
    <w:rPr>
      <w:lang w:val="en-US" w:eastAsia="zh-CN" w:bidi="ar-SA"/>
    </w:rPr>
    <w:tblPr/>
  </w:style>
  <w:style w:type="table" w:styleId="1099">
    <w:name w:val="List Table 3 - Accent 3"/>
    <w:next w:val="1099"/>
    <w:link w:val="836"/>
    <w:uiPriority w:val="99"/>
    <w:qFormat/>
    <w:rPr>
      <w:lang w:val="en-US" w:eastAsia="zh-CN" w:bidi="ar-SA"/>
    </w:rPr>
    <w:tblPr/>
  </w:style>
  <w:style w:type="table" w:styleId="1100">
    <w:name w:val="List Table 3 - Accent 4"/>
    <w:next w:val="1100"/>
    <w:link w:val="836"/>
    <w:uiPriority w:val="99"/>
    <w:qFormat/>
    <w:rPr>
      <w:lang w:val="en-US" w:eastAsia="zh-CN" w:bidi="ar-SA"/>
    </w:rPr>
    <w:tblPr/>
  </w:style>
  <w:style w:type="table" w:styleId="1101">
    <w:name w:val="List Table 3 - Accent 5"/>
    <w:next w:val="1101"/>
    <w:link w:val="836"/>
    <w:uiPriority w:val="99"/>
    <w:qFormat/>
    <w:rPr>
      <w:lang w:val="en-US" w:eastAsia="zh-CN" w:bidi="ar-SA"/>
    </w:rPr>
    <w:tblPr/>
  </w:style>
  <w:style w:type="table" w:styleId="1102">
    <w:name w:val="List Table 3 - Accent 6"/>
    <w:next w:val="1102"/>
    <w:link w:val="836"/>
    <w:uiPriority w:val="99"/>
    <w:qFormat/>
    <w:rPr>
      <w:lang w:val="en-US" w:eastAsia="zh-CN" w:bidi="ar-SA"/>
    </w:rPr>
    <w:tblPr/>
  </w:style>
  <w:style w:type="table" w:styleId="1103">
    <w:name w:val="List Table 4 - Accent 1"/>
    <w:next w:val="1103"/>
    <w:link w:val="836"/>
    <w:uiPriority w:val="99"/>
    <w:qFormat/>
    <w:rPr>
      <w:lang w:val="en-US" w:eastAsia="zh-CN" w:bidi="ar-SA"/>
    </w:rPr>
    <w:tblPr/>
  </w:style>
  <w:style w:type="table" w:styleId="1104">
    <w:name w:val="List Table 4 - Accent 2"/>
    <w:next w:val="1104"/>
    <w:link w:val="836"/>
    <w:uiPriority w:val="99"/>
    <w:qFormat/>
    <w:rPr>
      <w:lang w:val="en-US" w:eastAsia="zh-CN" w:bidi="ar-SA"/>
    </w:rPr>
    <w:tblPr/>
  </w:style>
  <w:style w:type="table" w:styleId="1105">
    <w:name w:val="List Table 4 - Accent 3"/>
    <w:next w:val="1105"/>
    <w:link w:val="836"/>
    <w:uiPriority w:val="99"/>
    <w:qFormat/>
    <w:rPr>
      <w:lang w:val="en-US" w:eastAsia="zh-CN" w:bidi="ar-SA"/>
    </w:rPr>
    <w:tblPr/>
  </w:style>
  <w:style w:type="table" w:styleId="1106">
    <w:name w:val="List Table 4 - Accent 4"/>
    <w:next w:val="1106"/>
    <w:link w:val="836"/>
    <w:uiPriority w:val="99"/>
    <w:qFormat/>
    <w:rPr>
      <w:lang w:val="en-US" w:eastAsia="zh-CN" w:bidi="ar-SA"/>
    </w:rPr>
    <w:tblPr/>
  </w:style>
  <w:style w:type="table" w:styleId="1107">
    <w:name w:val="List Table 4 - Accent 5"/>
    <w:next w:val="1107"/>
    <w:link w:val="836"/>
    <w:uiPriority w:val="99"/>
    <w:qFormat/>
    <w:rPr>
      <w:lang w:val="en-US" w:eastAsia="zh-CN" w:bidi="ar-SA"/>
    </w:rPr>
    <w:tblPr/>
  </w:style>
  <w:style w:type="table" w:styleId="1108">
    <w:name w:val="List Table 4 - Accent 6"/>
    <w:next w:val="1108"/>
    <w:link w:val="836"/>
    <w:uiPriority w:val="99"/>
    <w:qFormat/>
    <w:rPr>
      <w:lang w:val="en-US" w:eastAsia="zh-CN" w:bidi="ar-SA"/>
    </w:rPr>
    <w:tblPr/>
  </w:style>
  <w:style w:type="table" w:styleId="1109">
    <w:name w:val="List Table 5 Dark - Accent 1"/>
    <w:next w:val="1109"/>
    <w:link w:val="836"/>
    <w:uiPriority w:val="99"/>
    <w:qFormat/>
    <w:rPr>
      <w:lang w:val="en-US" w:eastAsia="zh-CN" w:bidi="ar-SA"/>
    </w:rPr>
    <w:tblPr/>
  </w:style>
  <w:style w:type="table" w:styleId="1110">
    <w:name w:val="List Table 5 Dark - Accent 2"/>
    <w:next w:val="1110"/>
    <w:link w:val="836"/>
    <w:uiPriority w:val="99"/>
    <w:qFormat/>
    <w:rPr>
      <w:lang w:val="en-US" w:eastAsia="zh-CN" w:bidi="ar-SA"/>
    </w:rPr>
    <w:tblPr/>
  </w:style>
  <w:style w:type="table" w:styleId="1111">
    <w:name w:val="List Table 5 Dark - Accent 3"/>
    <w:next w:val="1111"/>
    <w:link w:val="836"/>
    <w:uiPriority w:val="99"/>
    <w:qFormat/>
    <w:rPr>
      <w:lang w:val="en-US" w:eastAsia="zh-CN" w:bidi="ar-SA"/>
    </w:rPr>
    <w:tblPr/>
  </w:style>
  <w:style w:type="table" w:styleId="1112">
    <w:name w:val="List Table 5 Dark - Accent 4"/>
    <w:next w:val="1112"/>
    <w:link w:val="836"/>
    <w:uiPriority w:val="99"/>
    <w:qFormat/>
    <w:rPr>
      <w:lang w:val="en-US" w:eastAsia="zh-CN" w:bidi="ar-SA"/>
    </w:rPr>
    <w:tblPr/>
  </w:style>
  <w:style w:type="table" w:styleId="1113">
    <w:name w:val="List Table 5 Dark - Accent 5"/>
    <w:next w:val="1113"/>
    <w:link w:val="836"/>
    <w:uiPriority w:val="99"/>
    <w:qFormat/>
    <w:rPr>
      <w:lang w:val="en-US" w:eastAsia="zh-CN" w:bidi="ar-SA"/>
    </w:rPr>
    <w:tblPr/>
  </w:style>
  <w:style w:type="table" w:styleId="1114">
    <w:name w:val="List Table 5 Dark - Accent 6"/>
    <w:next w:val="1114"/>
    <w:link w:val="836"/>
    <w:uiPriority w:val="99"/>
    <w:qFormat/>
    <w:rPr>
      <w:lang w:val="en-US" w:eastAsia="zh-CN" w:bidi="ar-SA"/>
    </w:rPr>
    <w:tblPr/>
  </w:style>
  <w:style w:type="table" w:styleId="1115">
    <w:name w:val="List Table 6 Colorful - Accent 1"/>
    <w:next w:val="1115"/>
    <w:link w:val="836"/>
    <w:uiPriority w:val="99"/>
    <w:qFormat/>
    <w:rPr>
      <w:lang w:val="en-US" w:eastAsia="zh-CN" w:bidi="ar-SA"/>
    </w:rPr>
    <w:tblPr/>
  </w:style>
  <w:style w:type="table" w:styleId="1116">
    <w:name w:val="List Table 6 Colorful - Accent 2"/>
    <w:next w:val="1116"/>
    <w:link w:val="836"/>
    <w:uiPriority w:val="99"/>
    <w:qFormat/>
    <w:rPr>
      <w:lang w:val="en-US" w:eastAsia="zh-CN" w:bidi="ar-SA"/>
    </w:rPr>
    <w:tblPr/>
  </w:style>
  <w:style w:type="table" w:styleId="1117">
    <w:name w:val="List Table 6 Colorful - Accent 3"/>
    <w:next w:val="1117"/>
    <w:link w:val="836"/>
    <w:uiPriority w:val="99"/>
    <w:qFormat/>
    <w:rPr>
      <w:lang w:val="en-US" w:eastAsia="zh-CN" w:bidi="ar-SA"/>
    </w:rPr>
    <w:tblPr/>
  </w:style>
  <w:style w:type="table" w:styleId="1118">
    <w:name w:val="List Table 6 Colorful - Accent 4"/>
    <w:next w:val="1118"/>
    <w:link w:val="836"/>
    <w:uiPriority w:val="99"/>
    <w:qFormat/>
    <w:rPr>
      <w:lang w:val="en-US" w:eastAsia="zh-CN" w:bidi="ar-SA"/>
    </w:rPr>
    <w:tblPr/>
  </w:style>
  <w:style w:type="table" w:styleId="1119">
    <w:name w:val="List Table 6 Colorful - Accent 5"/>
    <w:next w:val="1119"/>
    <w:link w:val="836"/>
    <w:uiPriority w:val="99"/>
    <w:qFormat/>
    <w:rPr>
      <w:lang w:val="en-US" w:eastAsia="zh-CN" w:bidi="ar-SA"/>
    </w:rPr>
    <w:tblPr/>
  </w:style>
  <w:style w:type="table" w:styleId="1120">
    <w:name w:val="List Table 6 Colorful - Accent 6"/>
    <w:next w:val="1120"/>
    <w:link w:val="836"/>
    <w:uiPriority w:val="99"/>
    <w:qFormat/>
    <w:rPr>
      <w:lang w:val="en-US" w:eastAsia="zh-CN" w:bidi="ar-SA"/>
    </w:rPr>
    <w:tblPr/>
  </w:style>
  <w:style w:type="table" w:styleId="1121">
    <w:name w:val="List Table 7 Colorful - Accent 1"/>
    <w:next w:val="1121"/>
    <w:link w:val="836"/>
    <w:uiPriority w:val="99"/>
    <w:qFormat/>
    <w:rPr>
      <w:lang w:val="en-US" w:eastAsia="zh-CN" w:bidi="ar-SA"/>
    </w:rPr>
    <w:tblPr/>
  </w:style>
  <w:style w:type="table" w:styleId="1122">
    <w:name w:val="List Table 7 Colorful - Accent 2"/>
    <w:next w:val="1122"/>
    <w:link w:val="836"/>
    <w:uiPriority w:val="99"/>
    <w:qFormat/>
    <w:rPr>
      <w:lang w:val="en-US" w:eastAsia="zh-CN" w:bidi="ar-SA"/>
    </w:rPr>
    <w:tblPr/>
  </w:style>
  <w:style w:type="table" w:styleId="1123">
    <w:name w:val="List Table 7 Colorful - Accent 3"/>
    <w:next w:val="1123"/>
    <w:link w:val="836"/>
    <w:uiPriority w:val="99"/>
    <w:qFormat/>
    <w:rPr>
      <w:lang w:val="en-US" w:eastAsia="zh-CN" w:bidi="ar-SA"/>
    </w:rPr>
    <w:tblPr/>
  </w:style>
  <w:style w:type="table" w:styleId="1124">
    <w:name w:val="List Table 7 Colorful - Accent 4"/>
    <w:next w:val="1124"/>
    <w:link w:val="836"/>
    <w:uiPriority w:val="99"/>
    <w:qFormat/>
    <w:rPr>
      <w:lang w:val="en-US" w:eastAsia="zh-CN" w:bidi="ar-SA"/>
    </w:rPr>
    <w:tblPr/>
  </w:style>
  <w:style w:type="table" w:styleId="1125">
    <w:name w:val="List Table 7 Colorful - Accent 5"/>
    <w:next w:val="1125"/>
    <w:link w:val="836"/>
    <w:uiPriority w:val="99"/>
    <w:qFormat/>
    <w:rPr>
      <w:lang w:val="en-US" w:eastAsia="zh-CN" w:bidi="ar-SA"/>
    </w:rPr>
    <w:tblPr/>
  </w:style>
  <w:style w:type="table" w:styleId="1126">
    <w:name w:val="List Table 7 Colorful - Accent 6"/>
    <w:next w:val="1126"/>
    <w:link w:val="836"/>
    <w:uiPriority w:val="99"/>
    <w:qFormat/>
    <w:rPr>
      <w:lang w:val="en-US" w:eastAsia="zh-CN" w:bidi="ar-SA"/>
    </w:rPr>
    <w:tblPr/>
  </w:style>
  <w:style w:type="table" w:styleId="1127">
    <w:name w:val="Lined - Accent"/>
    <w:next w:val="1127"/>
    <w:link w:val="836"/>
    <w:uiPriority w:val="99"/>
    <w:qFormat/>
    <w:rPr>
      <w:color w:val="404040"/>
      <w:lang w:val="en-US" w:eastAsia="zh-CN" w:bidi="ar-SA"/>
    </w:rPr>
    <w:tblPr/>
  </w:style>
  <w:style w:type="table" w:styleId="1128">
    <w:name w:val="Lined - Accent 1"/>
    <w:next w:val="1128"/>
    <w:link w:val="836"/>
    <w:uiPriority w:val="99"/>
    <w:qFormat/>
    <w:rPr>
      <w:color w:val="404040"/>
      <w:lang w:val="en-US" w:eastAsia="zh-CN" w:bidi="ar-SA"/>
    </w:rPr>
    <w:tblPr/>
  </w:style>
  <w:style w:type="table" w:styleId="1129">
    <w:name w:val="Lined - Accent 2"/>
    <w:next w:val="1129"/>
    <w:link w:val="836"/>
    <w:uiPriority w:val="99"/>
    <w:qFormat/>
    <w:rPr>
      <w:color w:val="404040"/>
      <w:lang w:val="en-US" w:eastAsia="zh-CN" w:bidi="ar-SA"/>
    </w:rPr>
    <w:tblPr/>
  </w:style>
  <w:style w:type="table" w:styleId="1130">
    <w:name w:val="Lined - Accent 3"/>
    <w:next w:val="1130"/>
    <w:link w:val="836"/>
    <w:uiPriority w:val="99"/>
    <w:qFormat/>
    <w:rPr>
      <w:color w:val="404040"/>
      <w:lang w:val="en-US" w:eastAsia="zh-CN" w:bidi="ar-SA"/>
    </w:rPr>
    <w:tblPr/>
  </w:style>
  <w:style w:type="table" w:styleId="1131">
    <w:name w:val="Lined - Accent 4"/>
    <w:next w:val="1131"/>
    <w:link w:val="836"/>
    <w:uiPriority w:val="99"/>
    <w:qFormat/>
    <w:rPr>
      <w:color w:val="404040"/>
      <w:lang w:val="en-US" w:eastAsia="zh-CN" w:bidi="ar-SA"/>
    </w:rPr>
    <w:tblPr/>
  </w:style>
  <w:style w:type="table" w:styleId="1132">
    <w:name w:val="Lined - Accent 5"/>
    <w:next w:val="1132"/>
    <w:link w:val="836"/>
    <w:uiPriority w:val="99"/>
    <w:qFormat/>
    <w:rPr>
      <w:color w:val="404040"/>
      <w:lang w:val="en-US" w:eastAsia="zh-CN" w:bidi="ar-SA"/>
    </w:rPr>
    <w:tblPr/>
  </w:style>
  <w:style w:type="table" w:styleId="1133">
    <w:name w:val="Lined - Accent 6"/>
    <w:next w:val="1133"/>
    <w:link w:val="836"/>
    <w:uiPriority w:val="99"/>
    <w:qFormat/>
    <w:rPr>
      <w:color w:val="404040"/>
      <w:lang w:val="en-US" w:eastAsia="zh-CN" w:bidi="ar-SA"/>
    </w:rPr>
    <w:tblPr/>
  </w:style>
  <w:style w:type="table" w:styleId="1134">
    <w:name w:val="Bordered &amp; Lined - Accent"/>
    <w:next w:val="1134"/>
    <w:link w:val="836"/>
    <w:uiPriority w:val="99"/>
    <w:qFormat/>
    <w:rPr>
      <w:color w:val="404040"/>
      <w:lang w:val="en-US" w:eastAsia="zh-CN" w:bidi="ar-SA"/>
    </w:rPr>
    <w:tblPr/>
  </w:style>
  <w:style w:type="table" w:styleId="1135">
    <w:name w:val="Bordered &amp; Lined - Accent 1"/>
    <w:next w:val="1135"/>
    <w:link w:val="836"/>
    <w:uiPriority w:val="99"/>
    <w:qFormat/>
    <w:rPr>
      <w:color w:val="404040"/>
      <w:lang w:val="en-US" w:eastAsia="zh-CN" w:bidi="ar-SA"/>
    </w:rPr>
    <w:tblPr/>
  </w:style>
  <w:style w:type="table" w:styleId="1136">
    <w:name w:val="Bordered &amp; Lined - Accent 2"/>
    <w:next w:val="1136"/>
    <w:link w:val="836"/>
    <w:uiPriority w:val="99"/>
    <w:qFormat/>
    <w:rPr>
      <w:color w:val="404040"/>
      <w:lang w:val="en-US" w:eastAsia="zh-CN" w:bidi="ar-SA"/>
    </w:rPr>
    <w:tblPr/>
  </w:style>
  <w:style w:type="table" w:styleId="1137">
    <w:name w:val="Bordered &amp; Lined - Accent 3"/>
    <w:next w:val="1137"/>
    <w:link w:val="836"/>
    <w:uiPriority w:val="99"/>
    <w:qFormat/>
    <w:rPr>
      <w:color w:val="404040"/>
      <w:lang w:val="en-US" w:eastAsia="zh-CN" w:bidi="ar-SA"/>
    </w:rPr>
    <w:tblPr/>
  </w:style>
  <w:style w:type="table" w:styleId="1138">
    <w:name w:val="Bordered &amp; Lined - Accent 4"/>
    <w:next w:val="1138"/>
    <w:link w:val="836"/>
    <w:uiPriority w:val="99"/>
    <w:qFormat/>
    <w:rPr>
      <w:color w:val="404040"/>
      <w:lang w:val="en-US" w:eastAsia="zh-CN" w:bidi="ar-SA"/>
    </w:rPr>
    <w:tblPr/>
  </w:style>
  <w:style w:type="table" w:styleId="1139">
    <w:name w:val="Bordered &amp; Lined - Accent 5"/>
    <w:next w:val="1139"/>
    <w:link w:val="836"/>
    <w:uiPriority w:val="99"/>
    <w:qFormat/>
    <w:rPr>
      <w:color w:val="404040"/>
      <w:lang w:val="en-US" w:eastAsia="zh-CN" w:bidi="ar-SA"/>
    </w:rPr>
    <w:tblPr/>
  </w:style>
  <w:style w:type="table" w:styleId="1140">
    <w:name w:val="Bordered &amp; Lined - Accent 6"/>
    <w:next w:val="1140"/>
    <w:link w:val="836"/>
    <w:uiPriority w:val="99"/>
    <w:qFormat/>
    <w:rPr>
      <w:color w:val="404040"/>
      <w:lang w:val="en-US" w:eastAsia="zh-CN" w:bidi="ar-SA"/>
    </w:rPr>
    <w:tblPr/>
  </w:style>
  <w:style w:type="table" w:styleId="1141">
    <w:name w:val="Bordered"/>
    <w:next w:val="1141"/>
    <w:link w:val="836"/>
    <w:uiPriority w:val="99"/>
    <w:qFormat/>
    <w:rPr>
      <w:lang w:val="en-US" w:eastAsia="zh-CN" w:bidi="ar-SA"/>
    </w:rPr>
    <w:tblPr/>
  </w:style>
  <w:style w:type="table" w:styleId="1142">
    <w:name w:val="Bordered - Accent 1"/>
    <w:next w:val="1142"/>
    <w:link w:val="836"/>
    <w:uiPriority w:val="99"/>
    <w:qFormat/>
    <w:rPr>
      <w:lang w:val="en-US" w:eastAsia="zh-CN" w:bidi="ar-SA"/>
    </w:rPr>
    <w:tblPr/>
  </w:style>
  <w:style w:type="table" w:styleId="1143">
    <w:name w:val="Bordered - Accent 2"/>
    <w:next w:val="1143"/>
    <w:link w:val="836"/>
    <w:uiPriority w:val="99"/>
    <w:qFormat/>
    <w:rPr>
      <w:lang w:val="en-US" w:eastAsia="zh-CN" w:bidi="ar-SA"/>
    </w:rPr>
    <w:tblPr/>
  </w:style>
  <w:style w:type="table" w:styleId="1144">
    <w:name w:val="Bordered - Accent 3"/>
    <w:next w:val="1144"/>
    <w:link w:val="836"/>
    <w:uiPriority w:val="99"/>
    <w:qFormat/>
    <w:rPr>
      <w:lang w:val="en-US" w:eastAsia="zh-CN" w:bidi="ar-SA"/>
    </w:rPr>
    <w:tblPr/>
  </w:style>
  <w:style w:type="table" w:styleId="1145">
    <w:name w:val="Bordered - Accent 4"/>
    <w:next w:val="1145"/>
    <w:link w:val="836"/>
    <w:uiPriority w:val="99"/>
    <w:qFormat/>
    <w:rPr>
      <w:lang w:val="en-US" w:eastAsia="zh-CN" w:bidi="ar-SA"/>
    </w:rPr>
    <w:tblPr/>
  </w:style>
  <w:style w:type="table" w:styleId="1146">
    <w:name w:val="Bordered - Accent 5"/>
    <w:next w:val="1146"/>
    <w:link w:val="836"/>
    <w:uiPriority w:val="99"/>
    <w:qFormat/>
    <w:rPr>
      <w:lang w:val="en-US" w:eastAsia="zh-CN" w:bidi="ar-SA"/>
    </w:rPr>
    <w:tblPr/>
  </w:style>
  <w:style w:type="table" w:styleId="1147">
    <w:name w:val="Bordered - Accent 6"/>
    <w:next w:val="1147"/>
    <w:link w:val="836"/>
    <w:uiPriority w:val="99"/>
    <w:qFormat/>
    <w:rPr>
      <w:lang w:val="en-US" w:eastAsia="zh-CN" w:bidi="ar-SA"/>
    </w:rPr>
    <w:tblPr/>
  </w:style>
  <w:style w:type="paragraph" w:styleId="1148">
    <w:name w:val="TOC 标题11"/>
    <w:next w:val="1148"/>
    <w:link w:val="836"/>
    <w:uiPriority w:val="39"/>
    <w:unhideWhenUsed/>
    <w:qFormat/>
    <w:rPr>
      <w:lang w:val="en-US" w:eastAsia="zh-CN" w:bidi="ar-SA"/>
    </w:rPr>
  </w:style>
  <w:style w:type="paragraph" w:styleId="1149">
    <w:name w:val="目录 71"/>
    <w:basedOn w:val="836"/>
    <w:next w:val="836"/>
    <w:link w:val="836"/>
    <w:qFormat/>
    <w:pPr>
      <w:ind w:left="2520" w:firstLine="480"/>
      <w:spacing w:line="440" w:lineRule="exact"/>
      <w:widowControl/>
    </w:pPr>
    <w:rPr>
      <w:rFonts w:ascii="楷体_GB2312" w:hAnsi="楷体_GB2312" w:eastAsia="楷体_GB2312" w:cs="楷体_GB2312"/>
      <w:color w:val="000000"/>
      <w:sz w:val="24"/>
    </w:rPr>
  </w:style>
  <w:style w:type="paragraph" w:styleId="1150">
    <w:name w:val="目录 51"/>
    <w:basedOn w:val="836"/>
    <w:next w:val="836"/>
    <w:link w:val="836"/>
    <w:qFormat/>
    <w:pPr>
      <w:ind w:left="1680" w:firstLine="480"/>
      <w:spacing w:line="440" w:lineRule="exact"/>
      <w:widowControl/>
    </w:pPr>
    <w:rPr>
      <w:rFonts w:ascii="楷体_GB2312" w:hAnsi="楷体_GB2312" w:eastAsia="楷体_GB2312" w:cs="楷体_GB2312"/>
      <w:color w:val="000000"/>
      <w:sz w:val="24"/>
    </w:rPr>
  </w:style>
  <w:style w:type="paragraph" w:styleId="1151">
    <w:name w:val="目录 31"/>
    <w:basedOn w:val="836"/>
    <w:next w:val="836"/>
    <w:link w:val="1152"/>
    <w:qFormat/>
    <w:pPr>
      <w:ind w:left="840" w:firstLine="480"/>
      <w:spacing w:line="440" w:lineRule="exact"/>
      <w:widowControl/>
    </w:pPr>
    <w:rPr>
      <w:rFonts w:ascii="楷体_GB2312" w:hAnsi="楷体_GB2312" w:eastAsia="楷体_GB2312"/>
      <w:color w:val="000000"/>
      <w:sz w:val="24"/>
      <w:lang w:val="en-US" w:eastAsia="en-US"/>
    </w:rPr>
  </w:style>
  <w:style w:type="character" w:styleId="1152">
    <w:name w:val="目录 3 Char"/>
    <w:next w:val="1152"/>
    <w:link w:val="1151"/>
    <w:qFormat/>
    <w:rPr>
      <w:rFonts w:ascii="楷体_GB2312" w:hAnsi="楷体_GB2312" w:eastAsia="楷体_GB2312" w:cs="楷体_GB2312"/>
      <w:color w:val="000000"/>
      <w:sz w:val="24"/>
      <w:szCs w:val="24"/>
      <w:lang w:eastAsia="en-US"/>
    </w:rPr>
  </w:style>
  <w:style w:type="paragraph" w:styleId="1153">
    <w:name w:val="目录 81"/>
    <w:basedOn w:val="836"/>
    <w:next w:val="836"/>
    <w:link w:val="836"/>
    <w:qFormat/>
    <w:pPr>
      <w:ind w:left="2940" w:firstLine="480"/>
      <w:spacing w:line="440" w:lineRule="exact"/>
      <w:widowControl/>
    </w:pPr>
    <w:rPr>
      <w:rFonts w:ascii="楷体_GB2312" w:hAnsi="楷体_GB2312" w:eastAsia="楷体_GB2312" w:cs="楷体_GB2312"/>
      <w:color w:val="000000"/>
      <w:sz w:val="24"/>
    </w:rPr>
  </w:style>
  <w:style w:type="paragraph" w:styleId="1154">
    <w:name w:val="目录 11"/>
    <w:basedOn w:val="836"/>
    <w:next w:val="836"/>
    <w:link w:val="836"/>
    <w:qFormat/>
    <w:pPr>
      <w:ind w:firstLine="480"/>
      <w:spacing w:line="440" w:lineRule="exact"/>
      <w:widowControl/>
    </w:pPr>
    <w:rPr>
      <w:rFonts w:ascii="楷体_GB2312" w:hAnsi="楷体_GB2312" w:eastAsia="楷体_GB2312" w:cs="楷体_GB2312"/>
      <w:color w:val="000000"/>
      <w:sz w:val="24"/>
    </w:rPr>
  </w:style>
  <w:style w:type="paragraph" w:styleId="1155">
    <w:name w:val="目录 41"/>
    <w:basedOn w:val="836"/>
    <w:next w:val="836"/>
    <w:link w:val="836"/>
    <w:qFormat/>
    <w:pPr>
      <w:ind w:left="1260" w:firstLine="480"/>
      <w:spacing w:line="440" w:lineRule="exact"/>
      <w:widowControl/>
    </w:pPr>
    <w:rPr>
      <w:rFonts w:ascii="楷体_GB2312" w:hAnsi="楷体_GB2312" w:eastAsia="楷体_GB2312" w:cs="楷体_GB2312"/>
      <w:color w:val="000000"/>
      <w:sz w:val="24"/>
    </w:rPr>
  </w:style>
  <w:style w:type="paragraph" w:styleId="1156">
    <w:name w:val="目录 61"/>
    <w:basedOn w:val="836"/>
    <w:next w:val="836"/>
    <w:link w:val="836"/>
    <w:qFormat/>
    <w:pPr>
      <w:ind w:left="2100" w:firstLine="480"/>
      <w:spacing w:line="440" w:lineRule="exact"/>
      <w:widowControl/>
    </w:pPr>
    <w:rPr>
      <w:rFonts w:ascii="楷体_GB2312" w:hAnsi="楷体_GB2312" w:eastAsia="楷体_GB2312" w:cs="楷体_GB2312"/>
      <w:color w:val="000000"/>
      <w:sz w:val="24"/>
    </w:rPr>
  </w:style>
  <w:style w:type="paragraph" w:styleId="1157">
    <w:name w:val="目录 21"/>
    <w:basedOn w:val="836"/>
    <w:next w:val="836"/>
    <w:link w:val="836"/>
    <w:qFormat/>
    <w:pPr>
      <w:ind w:left="420" w:firstLine="480"/>
      <w:spacing w:line="440" w:lineRule="exact"/>
      <w:widowControl/>
    </w:pPr>
    <w:rPr>
      <w:rFonts w:ascii="楷体_GB2312" w:hAnsi="楷体_GB2312" w:eastAsia="楷体_GB2312" w:cs="楷体_GB2312"/>
      <w:color w:val="000000"/>
      <w:sz w:val="24"/>
    </w:rPr>
  </w:style>
  <w:style w:type="paragraph" w:styleId="1158">
    <w:name w:val="目录 91"/>
    <w:basedOn w:val="836"/>
    <w:next w:val="836"/>
    <w:link w:val="836"/>
    <w:qFormat/>
    <w:pPr>
      <w:ind w:left="3360" w:firstLine="480"/>
      <w:spacing w:line="440" w:lineRule="exact"/>
      <w:widowControl/>
    </w:pPr>
    <w:rPr>
      <w:rFonts w:ascii="楷体_GB2312" w:hAnsi="楷体_GB2312" w:eastAsia="楷体_GB2312" w:cs="楷体_GB2312"/>
      <w:color w:val="000000"/>
      <w:sz w:val="24"/>
    </w:rPr>
  </w:style>
  <w:style w:type="paragraph" w:styleId="1159">
    <w:name w:val="正文首行缩进1"/>
    <w:basedOn w:val="871"/>
    <w:next w:val="1159"/>
    <w:link w:val="1160"/>
    <w:qFormat/>
    <w:pPr>
      <w:ind w:firstLine="420"/>
      <w:spacing w:after="120"/>
      <w:widowControl/>
      <w:framePr w:hSpace="180" w:wrap="around" w:vAnchor="text" w:hAnchor="page" w:xAlign="center" w:y="388"/>
    </w:pPr>
    <w:rPr>
      <w:rFonts w:ascii="Calibri" w:hAnsi="楷体_GB2312" w:eastAsia="楷体_GB2312"/>
      <w:color w:val="000000"/>
      <w:sz w:val="26"/>
      <w:szCs w:val="24"/>
      <w:lang w:eastAsia="en-US"/>
    </w:rPr>
  </w:style>
  <w:style w:type="character" w:styleId="1160">
    <w:name w:val="正文首行缩进 Char"/>
    <w:next w:val="1160"/>
    <w:link w:val="1159"/>
    <w:qFormat/>
    <w:rPr>
      <w:rFonts w:ascii="Calibri" w:hAnsi="楷体_GB2312" w:eastAsia="楷体_GB2312" w:cs="楷体_GB2312"/>
      <w:color w:val="000000"/>
      <w:sz w:val="26"/>
      <w:szCs w:val="24"/>
      <w:lang w:eastAsia="en-US"/>
    </w:rPr>
  </w:style>
  <w:style w:type="paragraph" w:styleId="1161">
    <w:name w:val="正文首行缩进 21"/>
    <w:basedOn w:val="873"/>
    <w:next w:val="1161"/>
    <w:link w:val="1162"/>
    <w:unhideWhenUsed/>
    <w:qFormat/>
    <w:pPr>
      <w:ind w:left="570" w:firstLine="420"/>
      <w:spacing w:line="520" w:lineRule="exact"/>
      <w:widowControl/>
    </w:pPr>
    <w:rPr>
      <w:rFonts w:ascii="楷体_GB2312" w:hAnsi="楷体_GB2312" w:eastAsia="楷体_GB2312"/>
      <w:color w:val="000000"/>
      <w:sz w:val="24"/>
      <w:szCs w:val="24"/>
      <w:lang w:eastAsia="en-US"/>
    </w:rPr>
  </w:style>
  <w:style w:type="character" w:styleId="1162">
    <w:name w:val="正文首行缩进 2 Char"/>
    <w:next w:val="1162"/>
    <w:link w:val="1161"/>
    <w:qFormat/>
    <w:rPr>
      <w:rFonts w:ascii="楷体_GB2312" w:hAnsi="楷体_GB2312" w:eastAsia="楷体_GB2312" w:cs="楷体_GB2312"/>
      <w:color w:val="000000"/>
      <w:sz w:val="24"/>
      <w:szCs w:val="24"/>
      <w:lang w:eastAsia="en-US"/>
    </w:rPr>
  </w:style>
  <w:style w:type="character" w:styleId="1163">
    <w:name w:val="已访问的超链接1"/>
    <w:next w:val="1163"/>
    <w:link w:val="836"/>
    <w:uiPriority w:val="99"/>
    <w:qFormat/>
    <w:rPr>
      <w:color w:val="333333"/>
      <w:u w:val="none"/>
    </w:rPr>
  </w:style>
  <w:style w:type="character" w:styleId="1164">
    <w:name w:val="Char Char4"/>
    <w:next w:val="1164"/>
    <w:link w:val="836"/>
    <w:qFormat/>
    <w:rPr>
      <w:rFonts w:ascii="方正仿宋简体" w:hAnsi="创艺简仿宋" w:eastAsia="方正仿宋简体"/>
      <w:sz w:val="24"/>
      <w:lang w:val="en-US" w:eastAsia="zh-CN" w:bidi="ar-SA"/>
    </w:rPr>
  </w:style>
  <w:style w:type="character" w:styleId="1165">
    <w:name w:val="state"/>
    <w:next w:val="1165"/>
    <w:link w:val="836"/>
    <w:qFormat/>
    <w:rPr>
      <w:b/>
      <w:color w:val="ffffff"/>
      <w:sz w:val="19"/>
      <w:szCs w:val="19"/>
    </w:rPr>
  </w:style>
  <w:style w:type="character" w:styleId="1166">
    <w:name w:val="bds_more6"/>
    <w:next w:val="1166"/>
    <w:link w:val="836"/>
    <w:qFormat/>
  </w:style>
  <w:style w:type="character" w:styleId="1167">
    <w:name w:val="hilite"/>
    <w:next w:val="1167"/>
    <w:link w:val="836"/>
    <w:qFormat/>
    <w:rPr>
      <w:color w:val="ffffff"/>
      <w:shd w:val="clear" w:color="auto" w:fill="776666"/>
    </w:rPr>
  </w:style>
  <w:style w:type="character" w:styleId="1168">
    <w:name w:val="bds_nopic"/>
    <w:next w:val="1168"/>
    <w:link w:val="836"/>
    <w:qFormat/>
  </w:style>
  <w:style w:type="character" w:styleId="1169">
    <w:name w:val="Char Char2"/>
    <w:next w:val="1169"/>
    <w:link w:val="836"/>
    <w:qFormat/>
    <w:rPr>
      <w:rFonts w:ascii="宋体" w:hAnsi="宋体" w:eastAsia="楷体_GB2312"/>
      <w:b/>
      <w:sz w:val="26"/>
      <w:lang w:val="en-US" w:eastAsia="zh-CN" w:bidi="ar-SA"/>
    </w:rPr>
  </w:style>
  <w:style w:type="character" w:styleId="1170">
    <w:name w:val="hover61"/>
    <w:next w:val="1170"/>
    <w:link w:val="836"/>
    <w:qFormat/>
    <w:rPr>
      <w:shd w:val="clear" w:color="auto" w:fill="ff0000"/>
    </w:rPr>
  </w:style>
  <w:style w:type="character" w:styleId="1171">
    <w:name w:val="font51"/>
    <w:next w:val="1171"/>
    <w:link w:val="836"/>
    <w:uiPriority w:val="99"/>
    <w:qFormat/>
    <w:rPr>
      <w:rFonts w:hint="eastAsia" w:ascii="宋体" w:hAnsi="宋体" w:eastAsia="宋体" w:cs="宋体"/>
      <w:color w:val="ff0000"/>
      <w:sz w:val="20"/>
      <w:szCs w:val="20"/>
      <w:u w:val="none"/>
    </w:rPr>
  </w:style>
  <w:style w:type="character" w:styleId="1172">
    <w:name w:val="grid"/>
    <w:next w:val="1172"/>
    <w:link w:val="836"/>
    <w:qFormat/>
  </w:style>
  <w:style w:type="character" w:styleId="1173">
    <w:name w:val="bds_more7"/>
    <w:next w:val="1173"/>
    <w:link w:val="836"/>
    <w:qFormat/>
  </w:style>
  <w:style w:type="character" w:styleId="1174">
    <w:name w:val="bds_more8"/>
    <w:next w:val="1174"/>
    <w:link w:val="836"/>
    <w:qFormat/>
    <w:rPr>
      <w:rFonts w:hint="eastAsia" w:ascii="宋体" w:hAnsi="宋体" w:eastAsia="宋体" w:cs="宋体"/>
    </w:rPr>
  </w:style>
  <w:style w:type="character" w:styleId="1175">
    <w:name w:val="bds_more4"/>
    <w:next w:val="1175"/>
    <w:link w:val="836"/>
    <w:qFormat/>
    <w:rPr>
      <w:rFonts w:hint="eastAsia" w:ascii="宋体" w:hAnsi="宋体" w:eastAsia="宋体" w:cs="宋体"/>
    </w:rPr>
  </w:style>
  <w:style w:type="character" w:styleId="1176">
    <w:name w:val="bds_nopic1"/>
    <w:next w:val="1176"/>
    <w:link w:val="836"/>
    <w:qFormat/>
  </w:style>
  <w:style w:type="character" w:styleId="1177">
    <w:name w:val="hilite6"/>
    <w:next w:val="1177"/>
    <w:link w:val="836"/>
    <w:qFormat/>
    <w:rPr>
      <w:color w:val="ffffff"/>
      <w:shd w:val="clear" w:color="auto" w:fill="776666"/>
    </w:rPr>
  </w:style>
  <w:style w:type="character" w:styleId="1178">
    <w:name w:val="正文缩进2格 Char Char"/>
    <w:next w:val="1178"/>
    <w:link w:val="836"/>
    <w:qFormat/>
    <w:rPr>
      <w:rFonts w:ascii="仿宋_GB2312" w:hAnsi="宋体" w:eastAsia="仿宋_GB2312"/>
      <w:sz w:val="31"/>
      <w:szCs w:val="28"/>
    </w:rPr>
  </w:style>
  <w:style w:type="character" w:styleId="1179">
    <w:name w:val="grid2"/>
    <w:next w:val="1179"/>
    <w:link w:val="836"/>
    <w:qFormat/>
  </w:style>
  <w:style w:type="character" w:styleId="1180">
    <w:name w:val="other"/>
    <w:next w:val="1180"/>
    <w:link w:val="836"/>
    <w:qFormat/>
  </w:style>
  <w:style w:type="character" w:styleId="1181">
    <w:name w:val="font01"/>
    <w:next w:val="1181"/>
    <w:link w:val="836"/>
    <w:qFormat/>
    <w:rPr>
      <w:rFonts w:hint="eastAsia" w:ascii="宋体" w:hAnsi="宋体" w:eastAsia="宋体" w:cs="宋体"/>
      <w:b/>
      <w:color w:val="000000"/>
      <w:sz w:val="20"/>
      <w:szCs w:val="20"/>
      <w:u w:val="none"/>
    </w:rPr>
  </w:style>
  <w:style w:type="character" w:styleId="1182">
    <w:name w:val="noused"/>
    <w:next w:val="1182"/>
    <w:link w:val="836"/>
    <w:qFormat/>
    <w:rPr>
      <w:b/>
      <w:color w:val="ffffff"/>
      <w:sz w:val="21"/>
      <w:szCs w:val="21"/>
    </w:rPr>
  </w:style>
  <w:style w:type="character" w:styleId="1183">
    <w:name w:val="active8"/>
    <w:next w:val="1183"/>
    <w:link w:val="836"/>
    <w:qFormat/>
    <w:rPr>
      <w:color w:val="00ff00"/>
      <w:shd w:val="clear" w:color="auto" w:fill="000000"/>
    </w:rPr>
  </w:style>
  <w:style w:type="character" w:styleId="1184">
    <w:name w:val="font61"/>
    <w:next w:val="1184"/>
    <w:link w:val="836"/>
    <w:qFormat/>
    <w:rPr>
      <w:rFonts w:hint="eastAsia" w:ascii="宋体" w:hAnsi="宋体" w:eastAsia="宋体" w:cs="宋体"/>
      <w:color w:val="000000"/>
      <w:sz w:val="20"/>
      <w:szCs w:val="20"/>
      <w:u w:val="none"/>
    </w:rPr>
  </w:style>
  <w:style w:type="character" w:styleId="1185">
    <w:name w:val="bds_more5"/>
    <w:next w:val="1185"/>
    <w:link w:val="836"/>
    <w:qFormat/>
  </w:style>
  <w:style w:type="character" w:styleId="1186">
    <w:name w:val="bds_nopic2"/>
    <w:next w:val="1186"/>
    <w:link w:val="836"/>
    <w:qFormat/>
  </w:style>
  <w:style w:type="character" w:styleId="1187">
    <w:name w:val="active"/>
    <w:next w:val="1187"/>
    <w:link w:val="836"/>
    <w:qFormat/>
    <w:rPr>
      <w:color w:val="00ff00"/>
      <w:shd w:val="clear" w:color="auto" w:fill="000000"/>
    </w:rPr>
  </w:style>
  <w:style w:type="character" w:styleId="1188">
    <w:name w:val="列出段落 Char"/>
    <w:next w:val="1188"/>
    <w:link w:val="1189"/>
    <w:qFormat/>
    <w:rPr>
      <w:sz w:val="21"/>
      <w:szCs w:val="24"/>
    </w:rPr>
  </w:style>
  <w:style w:type="paragraph" w:styleId="1189">
    <w:name w:val="列出段落1"/>
    <w:basedOn w:val="836"/>
    <w:next w:val="1189"/>
    <w:link w:val="1188"/>
    <w:qFormat/>
    <w:pPr>
      <w:ind w:firstLine="420"/>
      <w:spacing w:line="440" w:lineRule="exact"/>
      <w:widowControl/>
    </w:pPr>
    <w:rPr>
      <w:lang w:val="en-US" w:eastAsia="en-US"/>
    </w:rPr>
  </w:style>
  <w:style w:type="character" w:styleId="1190">
    <w:name w:val="font41"/>
    <w:next w:val="1190"/>
    <w:link w:val="836"/>
    <w:qFormat/>
    <w:rPr>
      <w:rFonts w:hint="eastAsia" w:ascii="宋体" w:hAnsi="宋体" w:eastAsia="宋体" w:cs="宋体"/>
      <w:color w:val="000000"/>
      <w:sz w:val="20"/>
      <w:szCs w:val="20"/>
      <w:u w:val="none"/>
    </w:rPr>
  </w:style>
  <w:style w:type="character" w:styleId="1191">
    <w:name w:val="font11"/>
    <w:next w:val="1191"/>
    <w:link w:val="836"/>
    <w:qFormat/>
    <w:rPr>
      <w:rFonts w:ascii="宋体" w:hAnsi="宋体" w:eastAsia="宋体"/>
      <w:color w:val="000000"/>
      <w:sz w:val="28"/>
      <w:u w:val="none"/>
    </w:rPr>
  </w:style>
  <w:style w:type="character" w:styleId="1192">
    <w:name w:val="font81"/>
    <w:next w:val="1192"/>
    <w:link w:val="836"/>
    <w:qFormat/>
    <w:rPr>
      <w:rFonts w:ascii="宋体" w:hAnsi="宋体" w:eastAsia="宋体"/>
      <w:b/>
      <w:color w:val="000000"/>
      <w:sz w:val="18"/>
      <w:u w:val="none"/>
    </w:rPr>
  </w:style>
  <w:style w:type="character" w:styleId="1193">
    <w:name w:val="font71"/>
    <w:next w:val="1193"/>
    <w:link w:val="836"/>
    <w:qFormat/>
    <w:rPr>
      <w:rFonts w:hint="eastAsia" w:ascii="宋体" w:hAnsi="宋体" w:eastAsia="宋体" w:cs="宋体"/>
      <w:color w:val="000000"/>
      <w:sz w:val="20"/>
      <w:szCs w:val="20"/>
      <w:u w:val="none"/>
      <w:vertAlign w:val="superscript"/>
    </w:rPr>
  </w:style>
  <w:style w:type="character" w:styleId="1194">
    <w:name w:val="正文文本缩进 Char1"/>
    <w:next w:val="1194"/>
    <w:link w:val="836"/>
    <w:qFormat/>
    <w:rPr>
      <w:rFonts w:eastAsia="楷体_GB2312"/>
      <w:sz w:val="26"/>
    </w:rPr>
  </w:style>
  <w:style w:type="character" w:styleId="1195">
    <w:name w:val="font101"/>
    <w:next w:val="1195"/>
    <w:link w:val="836"/>
    <w:qFormat/>
    <w:rPr>
      <w:rFonts w:hint="eastAsia" w:ascii="微软雅黑" w:hAnsi="微软雅黑" w:eastAsia="微软雅黑" w:cs="微软雅黑"/>
      <w:color w:val="000000"/>
      <w:sz w:val="20"/>
      <w:szCs w:val="20"/>
      <w:u w:val="none"/>
      <w:vertAlign w:val="superscript"/>
    </w:rPr>
  </w:style>
  <w:style w:type="character" w:styleId="1196">
    <w:name w:val="日期 Char1"/>
    <w:next w:val="1196"/>
    <w:link w:val="836"/>
    <w:qFormat/>
    <w:rPr>
      <w:rFonts w:eastAsia="楷体_GB2312"/>
      <w:sz w:val="26"/>
      <w:szCs w:val="26"/>
    </w:rPr>
  </w:style>
  <w:style w:type="character" w:styleId="1197">
    <w:name w:val="Balloon Text Char"/>
    <w:next w:val="1197"/>
    <w:link w:val="836"/>
    <w:semiHidden/>
    <w:qFormat/>
    <w:rPr>
      <w:rFonts w:eastAsia="宋体"/>
      <w:sz w:val="18"/>
      <w:lang w:val="en-US" w:eastAsia="zh-CN"/>
    </w:rPr>
  </w:style>
  <w:style w:type="character" w:styleId="1198">
    <w:name w:val="font21"/>
    <w:next w:val="1198"/>
    <w:link w:val="836"/>
    <w:qFormat/>
    <w:rPr>
      <w:rFonts w:hint="eastAsia" w:ascii="宋体" w:hAnsi="宋体" w:eastAsia="宋体" w:cs="宋体"/>
      <w:b/>
      <w:color w:val="000000"/>
      <w:sz w:val="20"/>
      <w:szCs w:val="20"/>
      <w:u w:val="none"/>
    </w:rPr>
  </w:style>
  <w:style w:type="character" w:styleId="1199">
    <w:name w:val="font31"/>
    <w:next w:val="1199"/>
    <w:link w:val="836"/>
    <w:qFormat/>
    <w:rPr>
      <w:rFonts w:ascii="宋体" w:hAnsi="宋体" w:eastAsia="宋体"/>
      <w:color w:val="000000"/>
      <w:sz w:val="20"/>
      <w:u w:val="none"/>
    </w:rPr>
  </w:style>
  <w:style w:type="character" w:styleId="1200">
    <w:name w:val="Body Text Indent Char"/>
    <w:next w:val="1200"/>
    <w:link w:val="836"/>
    <w:qFormat/>
    <w:rPr>
      <w:rFonts w:ascii="方正仿宋简体" w:hAnsi="创艺简仿宋" w:eastAsia="方正仿宋简体"/>
      <w:sz w:val="24"/>
    </w:rPr>
  </w:style>
  <w:style w:type="character" w:styleId="1201">
    <w:name w:val="Header Char1"/>
    <w:next w:val="1201"/>
    <w:link w:val="836"/>
    <w:qFormat/>
    <w:rPr>
      <w:rFonts w:eastAsia="楷体_GB2312"/>
      <w:sz w:val="18"/>
    </w:rPr>
  </w:style>
  <w:style w:type="character" w:styleId="1202">
    <w:name w:val="Header Char"/>
    <w:next w:val="1202"/>
    <w:link w:val="836"/>
    <w:qFormat/>
    <w:rPr>
      <w:sz w:val="18"/>
    </w:rPr>
  </w:style>
  <w:style w:type="character" w:styleId="1203">
    <w:name w:val="正文文本缩进 Char2"/>
    <w:next w:val="1203"/>
    <w:link w:val="836"/>
    <w:qFormat/>
    <w:rPr>
      <w:rFonts w:eastAsia="楷体_GB2312"/>
      <w:sz w:val="26"/>
      <w:szCs w:val="26"/>
    </w:rPr>
  </w:style>
  <w:style w:type="character" w:styleId="1204">
    <w:name w:val="NormalCharacter1"/>
    <w:next w:val="1204"/>
    <w:link w:val="836"/>
    <w:qFormat/>
  </w:style>
  <w:style w:type="paragraph" w:styleId="1205">
    <w:name w:val="列出段落111"/>
    <w:basedOn w:val="836"/>
    <w:next w:val="1205"/>
    <w:link w:val="836"/>
    <w:qFormat/>
    <w:pPr>
      <w:ind w:firstLine="420"/>
      <w:spacing w:line="440" w:lineRule="exact"/>
      <w:widowControl/>
    </w:pPr>
    <w:rPr>
      <w:rFonts w:ascii="Calibri" w:hAnsi="Calibri" w:cs="黑体"/>
      <w:color w:val="000000"/>
      <w:sz w:val="24"/>
      <w:szCs w:val="22"/>
    </w:rPr>
  </w:style>
  <w:style w:type="paragraph" w:styleId="1206">
    <w:name w:val="p0"/>
    <w:basedOn w:val="836"/>
    <w:next w:val="1206"/>
    <w:link w:val="836"/>
    <w:qFormat/>
    <w:pPr>
      <w:ind w:firstLine="480"/>
      <w:spacing w:line="440" w:lineRule="exact"/>
      <w:widowControl/>
    </w:pPr>
    <w:rPr>
      <w:rFonts w:ascii="楷体_GB2312" w:hAnsi="楷体_GB2312" w:cs="楷体_GB2312"/>
      <w:color w:val="000000"/>
      <w:szCs w:val="21"/>
    </w:rPr>
  </w:style>
  <w:style w:type="paragraph" w:styleId="1207">
    <w:name w:val="纯文本1"/>
    <w:basedOn w:val="836"/>
    <w:next w:val="1207"/>
    <w:link w:val="836"/>
    <w:qFormat/>
    <w:pPr>
      <w:ind w:firstLine="480"/>
      <w:spacing w:line="440" w:lineRule="exact"/>
      <w:widowControl/>
    </w:pPr>
    <w:rPr>
      <w:rFonts w:ascii="宋体" w:hAnsi="Courier New" w:eastAsia="楷体_GB2312" w:cs="楷体_GB2312"/>
      <w:color w:val="000000"/>
      <w:sz w:val="28"/>
    </w:rPr>
  </w:style>
  <w:style w:type="paragraph" w:styleId="1208">
    <w:name w:val="Char Char1 Char Char Char Char"/>
    <w:basedOn w:val="864"/>
    <w:next w:val="1208"/>
    <w:link w:val="836"/>
    <w:qFormat/>
    <w:pPr>
      <w:ind w:firstLine="480"/>
      <w:spacing w:line="440" w:lineRule="exact"/>
      <w:widowControl/>
    </w:pPr>
    <w:rPr>
      <w:rFonts w:ascii="Tahoma" w:hAnsi="Tahoma" w:cs="楷体_GB2312"/>
      <w:color w:val="000000"/>
      <w:sz w:val="24"/>
      <w:lang w:eastAsia="en-US"/>
    </w:rPr>
  </w:style>
  <w:style w:type="paragraph" w:styleId="1209">
    <w:name w:val="Char Char1 Char Char Char Char Char Char Char"/>
    <w:basedOn w:val="836"/>
    <w:next w:val="1209"/>
    <w:link w:val="836"/>
    <w:qFormat/>
    <w:pPr>
      <w:ind w:firstLine="480"/>
      <w:spacing w:line="440" w:lineRule="exact"/>
      <w:widowControl/>
    </w:pPr>
    <w:rPr>
      <w:rFonts w:ascii="Tahoma" w:hAnsi="Tahoma" w:eastAsia="楷体_GB2312" w:cs="楷体_GB2312"/>
      <w:color w:val="000000"/>
      <w:sz w:val="24"/>
    </w:rPr>
  </w:style>
  <w:style w:type="paragraph" w:styleId="1210">
    <w:name w:val="Char1"/>
    <w:basedOn w:val="836"/>
    <w:next w:val="1210"/>
    <w:link w:val="836"/>
    <w:qFormat/>
    <w:pPr>
      <w:ind w:firstLine="480"/>
      <w:spacing w:line="440" w:lineRule="exact"/>
      <w:widowControl/>
    </w:pPr>
    <w:rPr>
      <w:rFonts w:ascii="Tahoma" w:hAnsi="Tahoma" w:cs="楷体_GB2312"/>
      <w:color w:val="000000"/>
      <w:sz w:val="24"/>
    </w:rPr>
  </w:style>
  <w:style w:type="paragraph" w:styleId="1211">
    <w:name w:val="图"/>
    <w:basedOn w:val="836"/>
    <w:next w:val="1211"/>
    <w:link w:val="836"/>
    <w:qFormat/>
    <w:pPr>
      <w:ind w:firstLine="480"/>
      <w:jc w:val="center"/>
      <w:keepNext/>
      <w:spacing w:before="60" w:after="60" w:line="300" w:lineRule="auto"/>
      <w:widowControl/>
    </w:pPr>
    <w:rPr>
      <w:rFonts w:ascii="楷体_GB2312" w:hAnsi="楷体_GB2312" w:cs="楷体_GB2312"/>
      <w:color w:val="000000"/>
      <w:spacing w:val="20"/>
      <w:sz w:val="24"/>
    </w:rPr>
  </w:style>
  <w:style w:type="paragraph" w:styleId="1212">
    <w:name w:val="纯文本2"/>
    <w:basedOn w:val="836"/>
    <w:next w:val="1212"/>
    <w:link w:val="836"/>
    <w:qFormat/>
    <w:pPr>
      <w:ind w:firstLine="480"/>
      <w:spacing w:line="440" w:lineRule="exact"/>
      <w:widowControl/>
    </w:pPr>
    <w:rPr>
      <w:rFonts w:ascii="宋体" w:hAnsi="Courier New" w:eastAsia="楷体_GB2312" w:cs="楷体_GB2312"/>
      <w:color w:val="000000"/>
      <w:sz w:val="24"/>
    </w:rPr>
  </w:style>
  <w:style w:type="paragraph" w:styleId="1213">
    <w:name w:val="Table Paragraph"/>
    <w:basedOn w:val="836"/>
    <w:next w:val="1213"/>
    <w:link w:val="836"/>
    <w:uiPriority w:val="1"/>
    <w:qFormat/>
    <w:pPr>
      <w:ind w:firstLine="480"/>
      <w:spacing w:line="440" w:lineRule="exact"/>
      <w:widowControl/>
    </w:pPr>
    <w:rPr>
      <w:rFonts w:ascii="仿宋" w:hAnsi="仿宋" w:eastAsia="仿宋" w:cs="仿宋"/>
      <w:color w:val="000000"/>
      <w:szCs w:val="22"/>
      <w:lang w:val="zh-CN" w:bidi="zh-CN"/>
    </w:rPr>
  </w:style>
  <w:style w:type="paragraph" w:styleId="1214">
    <w:name w:val="xl107"/>
    <w:basedOn w:val="836"/>
    <w:next w:val="1214"/>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15">
    <w:name w:val="font10"/>
    <w:basedOn w:val="836"/>
    <w:next w:val="1215"/>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16">
    <w:name w:val="xl108"/>
    <w:basedOn w:val="836"/>
    <w:next w:val="121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17">
    <w:name w:val="xl127"/>
    <w:basedOn w:val="836"/>
    <w:next w:val="121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8">
    <w:name w:val="xl124"/>
    <w:basedOn w:val="836"/>
    <w:next w:val="121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19">
    <w:name w:val="font7"/>
    <w:basedOn w:val="836"/>
    <w:next w:val="1219"/>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0">
    <w:name w:val="xl162"/>
    <w:basedOn w:val="836"/>
    <w:next w:val="1220"/>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221">
    <w:name w:val="xl123"/>
    <w:basedOn w:val="836"/>
    <w:next w:val="1221"/>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22">
    <w:name w:val="xl113"/>
    <w:basedOn w:val="836"/>
    <w:next w:val="122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3">
    <w:name w:val="font12"/>
    <w:basedOn w:val="836"/>
    <w:next w:val="1223"/>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4">
    <w:name w:val="xl145"/>
    <w:basedOn w:val="836"/>
    <w:next w:val="1224"/>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5">
    <w:name w:val="font22"/>
    <w:basedOn w:val="836"/>
    <w:next w:val="1225"/>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26">
    <w:name w:val="xl157"/>
    <w:basedOn w:val="836"/>
    <w:next w:val="1226"/>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27">
    <w:name w:val="xl156"/>
    <w:basedOn w:val="836"/>
    <w:next w:val="122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28">
    <w:name w:val="xl111"/>
    <w:basedOn w:val="836"/>
    <w:next w:val="122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29">
    <w:name w:val="xl143"/>
    <w:basedOn w:val="836"/>
    <w:next w:val="1229"/>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30">
    <w:name w:val="xl128"/>
    <w:basedOn w:val="836"/>
    <w:next w:val="1230"/>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1">
    <w:name w:val="xl138"/>
    <w:basedOn w:val="836"/>
    <w:next w:val="1231"/>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32">
    <w:name w:val="xl152"/>
    <w:basedOn w:val="836"/>
    <w:next w:val="1232"/>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3">
    <w:name w:val="xl117"/>
    <w:basedOn w:val="836"/>
    <w:next w:val="123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4">
    <w:name w:val="xl149"/>
    <w:basedOn w:val="836"/>
    <w:next w:val="1234"/>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5">
    <w:name w:val="xl154"/>
    <w:basedOn w:val="836"/>
    <w:next w:val="1235"/>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6">
    <w:name w:val="xl146"/>
    <w:basedOn w:val="836"/>
    <w:next w:val="1236"/>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7">
    <w:name w:val="xl122"/>
    <w:basedOn w:val="836"/>
    <w:next w:val="123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38">
    <w:name w:val="font8"/>
    <w:basedOn w:val="836"/>
    <w:next w:val="123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39">
    <w:name w:val="xl142"/>
    <w:basedOn w:val="836"/>
    <w:next w:val="123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0">
    <w:name w:val="xl125"/>
    <w:basedOn w:val="836"/>
    <w:next w:val="1240"/>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1">
    <w:name w:val="font6"/>
    <w:basedOn w:val="836"/>
    <w:next w:val="1241"/>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42">
    <w:name w:val="xl126"/>
    <w:basedOn w:val="836"/>
    <w:next w:val="124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3">
    <w:name w:val="xl105"/>
    <w:basedOn w:val="836"/>
    <w:next w:val="124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4">
    <w:name w:val="xl109"/>
    <w:basedOn w:val="836"/>
    <w:next w:val="1244"/>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45">
    <w:name w:val="xl136"/>
    <w:basedOn w:val="836"/>
    <w:next w:val="1245"/>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6">
    <w:name w:val="xl101"/>
    <w:basedOn w:val="836"/>
    <w:next w:val="124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47">
    <w:name w:val="列出段落11"/>
    <w:basedOn w:val="836"/>
    <w:next w:val="1247"/>
    <w:link w:val="836"/>
    <w:uiPriority w:val="34"/>
    <w:qFormat/>
    <w:pPr>
      <w:ind w:firstLine="420"/>
      <w:spacing w:line="440" w:lineRule="exact"/>
      <w:widowControl/>
    </w:pPr>
    <w:rPr>
      <w:rFonts w:ascii="Calibri" w:hAnsi="Calibri" w:cs="楷体_GB2312"/>
      <w:color w:val="000000"/>
      <w:sz w:val="24"/>
      <w:szCs w:val="26"/>
    </w:rPr>
  </w:style>
  <w:style w:type="paragraph" w:styleId="1248">
    <w:name w:val="font15"/>
    <w:basedOn w:val="836"/>
    <w:next w:val="124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49">
    <w:name w:val="xl161"/>
    <w:basedOn w:val="836"/>
    <w:next w:val="124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color w:val="000000"/>
      <w:sz w:val="20"/>
    </w:rPr>
  </w:style>
  <w:style w:type="paragraph" w:styleId="1250">
    <w:name w:val="xl141"/>
    <w:basedOn w:val="836"/>
    <w:next w:val="125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1">
    <w:name w:val="xl118"/>
    <w:basedOn w:val="836"/>
    <w:next w:val="1251"/>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2">
    <w:name w:val="xl153"/>
    <w:basedOn w:val="836"/>
    <w:next w:val="1252"/>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3">
    <w:name w:val="xl133"/>
    <w:basedOn w:val="836"/>
    <w:next w:val="1253"/>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4">
    <w:name w:val="font17"/>
    <w:basedOn w:val="836"/>
    <w:next w:val="1254"/>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55">
    <w:name w:val="xl140"/>
    <w:basedOn w:val="836"/>
    <w:next w:val="1255"/>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6">
    <w:name w:val="xl159"/>
    <w:basedOn w:val="836"/>
    <w:next w:val="125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7">
    <w:name w:val="xl103"/>
    <w:basedOn w:val="836"/>
    <w:next w:val="1257"/>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58">
    <w:name w:val="xl120"/>
    <w:basedOn w:val="836"/>
    <w:next w:val="1258"/>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9">
    <w:name w:val="xl148"/>
    <w:basedOn w:val="836"/>
    <w:next w:val="1259"/>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0">
    <w:name w:val="xl150"/>
    <w:basedOn w:val="836"/>
    <w:next w:val="126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1">
    <w:name w:val="xl110"/>
    <w:basedOn w:val="836"/>
    <w:next w:val="1261"/>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2">
    <w:name w:val="正文1"/>
    <w:next w:val="1262"/>
    <w:link w:val="836"/>
    <w:qFormat/>
    <w:pPr>
      <w:ind w:firstLine="200"/>
      <w:jc w:val="both"/>
      <w:spacing w:line="240" w:lineRule="atLeast"/>
    </w:pPr>
    <w:rPr>
      <w:sz w:val="21"/>
      <w:szCs w:val="21"/>
      <w:lang w:val="en-US" w:eastAsia="zh-CN" w:bidi="ar-SA"/>
    </w:rPr>
  </w:style>
  <w:style w:type="paragraph" w:styleId="1263">
    <w:name w:val="xl132"/>
    <w:basedOn w:val="836"/>
    <w:next w:val="1263"/>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4">
    <w:name w:val="font16"/>
    <w:basedOn w:val="836"/>
    <w:next w:val="1264"/>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65">
    <w:name w:val="Normal_20"/>
    <w:next w:val="1265"/>
    <w:link w:val="836"/>
    <w:qFormat/>
    <w:pPr>
      <w:jc w:val="both"/>
      <w:spacing w:before="120" w:after="240"/>
    </w:pPr>
    <w:rPr>
      <w:rFonts w:eastAsia="Calibri"/>
      <w:sz w:val="22"/>
      <w:szCs w:val="22"/>
      <w:lang w:val="ru-RU" w:eastAsia="en-US" w:bidi="ar-SA"/>
    </w:rPr>
  </w:style>
  <w:style w:type="paragraph" w:styleId="1266">
    <w:name w:val="xl114"/>
    <w:basedOn w:val="836"/>
    <w:next w:val="126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67">
    <w:name w:val="xl131"/>
    <w:basedOn w:val="836"/>
    <w:next w:val="126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8">
    <w:name w:val="_Style 7"/>
    <w:basedOn w:val="836"/>
    <w:next w:val="1268"/>
    <w:link w:val="836"/>
    <w:qFormat/>
    <w:pPr>
      <w:ind w:firstLine="420"/>
      <w:spacing w:line="440" w:lineRule="exact"/>
      <w:widowControl/>
    </w:pPr>
    <w:rPr>
      <w:rFonts w:ascii="楷体_GB2312" w:hAnsi="楷体_GB2312" w:cs="楷体_GB2312"/>
      <w:color w:val="000000"/>
      <w:sz w:val="24"/>
      <w:szCs w:val="26"/>
    </w:rPr>
  </w:style>
  <w:style w:type="paragraph" w:styleId="1269">
    <w:name w:val="xl106"/>
    <w:basedOn w:val="836"/>
    <w:next w:val="1269"/>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70">
    <w:name w:val="xl137"/>
    <w:basedOn w:val="836"/>
    <w:next w:val="1270"/>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71">
    <w:name w:val="font14"/>
    <w:basedOn w:val="836"/>
    <w:next w:val="1271"/>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72">
    <w:name w:val="xl100"/>
    <w:basedOn w:val="836"/>
    <w:next w:val="1272"/>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73">
    <w:name w:val="xl99"/>
    <w:basedOn w:val="836"/>
    <w:next w:val="1273"/>
    <w:link w:val="836"/>
    <w:qFormat/>
    <w:pPr>
      <w:ind w:firstLine="480"/>
      <w:jc w:val="center"/>
      <w:spacing w:before="100" w:beforeAutospacing="1" w:after="100" w:afterAutospacing="1" w:line="440" w:lineRule="exact"/>
      <w:widowControl/>
    </w:pPr>
    <w:rPr>
      <w:rFonts w:ascii="Courier New" w:hAnsi="Courier New" w:cs="Courier New"/>
      <w:color w:val="000000"/>
      <w:sz w:val="20"/>
    </w:rPr>
  </w:style>
  <w:style w:type="paragraph" w:styleId="1274">
    <w:name w:val="xl151"/>
    <w:basedOn w:val="836"/>
    <w:next w:val="1274"/>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75">
    <w:name w:val="_Style 26"/>
    <w:next w:val="836"/>
    <w:link w:val="836"/>
    <w:uiPriority w:val="99"/>
    <w:qFormat/>
    <w:pPr>
      <w:jc w:val="both"/>
      <w:widowControl w:val="off"/>
    </w:pPr>
    <w:rPr>
      <w:rFonts w:eastAsia="楷体_GB2312"/>
      <w:sz w:val="26"/>
      <w:szCs w:val="26"/>
      <w:lang w:val="en-US" w:eastAsia="zh-CN" w:bidi="ar-SA"/>
    </w:rPr>
  </w:style>
  <w:style w:type="paragraph" w:styleId="1276">
    <w:name w:val="样式 标题 1 + 宋体 段前: 0 磅 段后: 0 磅 行距: 单倍行距"/>
    <w:basedOn w:val="837"/>
    <w:next w:val="836"/>
    <w:link w:val="836"/>
    <w:qFormat/>
    <w:pPr>
      <w:ind w:firstLine="480"/>
      <w:jc w:val="center"/>
      <w:spacing w:line="240" w:lineRule="auto"/>
      <w:widowControl/>
    </w:pPr>
    <w:rPr>
      <w:rFonts w:ascii="仿宋_GB2312" w:hAnsi="宋体" w:eastAsia="仿宋_GB2312" w:cs="宋体"/>
      <w:color w:val="000000"/>
      <w:lang w:eastAsia="en-US"/>
    </w:rPr>
  </w:style>
  <w:style w:type="paragraph" w:styleId="1277">
    <w:name w:val="font9"/>
    <w:basedOn w:val="836"/>
    <w:next w:val="1277"/>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78">
    <w:name w:val="font20"/>
    <w:basedOn w:val="836"/>
    <w:next w:val="1278"/>
    <w:link w:val="83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279">
    <w:name w:val="font13"/>
    <w:basedOn w:val="836"/>
    <w:next w:val="1279"/>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0">
    <w:name w:val="xl102"/>
    <w:basedOn w:val="836"/>
    <w:next w:val="1280"/>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81">
    <w:name w:val="xl116"/>
    <w:basedOn w:val="836"/>
    <w:next w:val="1281"/>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82">
    <w:name w:val="xl134"/>
    <w:basedOn w:val="836"/>
    <w:next w:val="1282"/>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3">
    <w:name w:val="font18"/>
    <w:basedOn w:val="836"/>
    <w:next w:val="1283"/>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4">
    <w:name w:val="xl121"/>
    <w:basedOn w:val="836"/>
    <w:next w:val="1284"/>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5">
    <w:name w:val="xl158"/>
    <w:basedOn w:val="836"/>
    <w:next w:val="1285"/>
    <w:link w:val="836"/>
    <w:qFormat/>
    <w:pPr>
      <w:ind w:firstLine="480"/>
      <w:spacing w:before="100" w:beforeAutospacing="1" w:after="100" w:afterAutospacing="1" w:line="440" w:lineRule="exact"/>
      <w:widowControl/>
    </w:pPr>
    <w:rPr>
      <w:rFonts w:ascii="Courier New" w:hAnsi="Courier New" w:cs="Courier New"/>
      <w:color w:val="000000"/>
      <w:sz w:val="20"/>
    </w:rPr>
  </w:style>
  <w:style w:type="paragraph" w:styleId="1286">
    <w:name w:val="xl119"/>
    <w:basedOn w:val="836"/>
    <w:next w:val="1286"/>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7">
    <w:name w:val="xl135"/>
    <w:basedOn w:val="836"/>
    <w:next w:val="1287"/>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88">
    <w:name w:val="font5"/>
    <w:basedOn w:val="836"/>
    <w:next w:val="1288"/>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89">
    <w:name w:val="xl155"/>
    <w:basedOn w:val="836"/>
    <w:next w:val="1289"/>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0">
    <w:name w:val="font19"/>
    <w:basedOn w:val="836"/>
    <w:next w:val="1290"/>
    <w:link w:val="836"/>
    <w:qFormat/>
    <w:pPr>
      <w:ind w:firstLine="480"/>
      <w:spacing w:before="100" w:beforeAutospacing="1" w:after="100" w:afterAutospacing="1" w:line="440" w:lineRule="exact"/>
      <w:widowControl/>
    </w:pPr>
    <w:rPr>
      <w:rFonts w:ascii="宋体" w:hAnsi="宋体" w:cs="宋体"/>
      <w:color w:val="000000"/>
      <w:sz w:val="18"/>
      <w:szCs w:val="18"/>
    </w:rPr>
  </w:style>
  <w:style w:type="paragraph" w:styleId="1291">
    <w:name w:val="xl160"/>
    <w:basedOn w:val="836"/>
    <w:next w:val="1291"/>
    <w:link w:val="836"/>
    <w:qFormat/>
    <w:pPr>
      <w:ind w:firstLine="480"/>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rPr>
  </w:style>
  <w:style w:type="paragraph" w:styleId="1292">
    <w:name w:val="xl112"/>
    <w:basedOn w:val="836"/>
    <w:next w:val="1292"/>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3">
    <w:name w:val="xl104"/>
    <w:basedOn w:val="836"/>
    <w:next w:val="1293"/>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4">
    <w:name w:val="xl139"/>
    <w:basedOn w:val="836"/>
    <w:next w:val="1294"/>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5">
    <w:name w:val="xl130"/>
    <w:basedOn w:val="836"/>
    <w:next w:val="1295"/>
    <w:link w:val="836"/>
    <w:qFormat/>
    <w:pPr>
      <w:ind w:firstLine="480"/>
      <w:jc w:val="center"/>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6">
    <w:name w:val="xl129"/>
    <w:basedOn w:val="836"/>
    <w:next w:val="1296"/>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7">
    <w:name w:val="xl115"/>
    <w:basedOn w:val="836"/>
    <w:next w:val="1297"/>
    <w:link w:val="836"/>
    <w:qFormat/>
    <w:pPr>
      <w:ind w:firstLine="480"/>
      <w:jc w:val="center"/>
      <w:spacing w:before="100" w:beforeAutospacing="1" w:after="100" w:afterAutospacing="1" w:line="440" w:lineRule="exact"/>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298">
    <w:name w:val="xl147"/>
    <w:basedOn w:val="836"/>
    <w:next w:val="1298"/>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99">
    <w:name w:val="xl144"/>
    <w:basedOn w:val="836"/>
    <w:next w:val="1299"/>
    <w:link w:val="836"/>
    <w:qFormat/>
    <w:pPr>
      <w:ind w:firstLine="480"/>
      <w:spacing w:before="100" w:beforeAutospacing="1" w:after="100" w:afterAutospacing="1" w:line="440" w:lineRule="exact"/>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rPr>
  </w:style>
  <w:style w:type="paragraph" w:styleId="1300">
    <w:name w:val="_Style 225"/>
    <w:next w:val="1300"/>
    <w:link w:val="836"/>
    <w:qFormat/>
    <w:pPr>
      <w:ind w:firstLine="420"/>
      <w:jc w:val="both"/>
      <w:spacing w:after="120"/>
      <w:widowControl w:val="off"/>
    </w:pPr>
    <w:rPr>
      <w:rFonts w:eastAsia="楷体_GB2312"/>
      <w:sz w:val="26"/>
      <w:lang w:val="en-US" w:eastAsia="zh-CN" w:bidi="ar-SA"/>
    </w:rPr>
  </w:style>
  <w:style w:type="character" w:styleId="1301">
    <w:name w:val="正文文本 字符1"/>
    <w:next w:val="1301"/>
    <w:link w:val="836"/>
    <w:qFormat/>
    <w:rPr>
      <w:rFonts w:ascii="楷体_GB2312" w:eastAsia="楷体_GB2312"/>
      <w:sz w:val="28"/>
    </w:rPr>
  </w:style>
  <w:style w:type="table" w:styleId="1302">
    <w:name w:val="Table Normal"/>
    <w:next w:val="1302"/>
    <w:link w:val="836"/>
    <w:uiPriority w:val="2"/>
    <w:unhideWhenUsed/>
    <w:qFormat/>
    <w:pPr>
      <w:widowControl w:val="off"/>
    </w:pPr>
    <w:rPr>
      <w:sz w:val="22"/>
      <w:szCs w:val="22"/>
      <w:lang w:val="en-US" w:eastAsia="en-US" w:bidi="ar-SA"/>
    </w:rPr>
    <w:tblPr/>
  </w:style>
  <w:style w:type="table" w:styleId="1303">
    <w:name w:val="Table Normal1"/>
    <w:next w:val="1303"/>
    <w:link w:val="836"/>
    <w:uiPriority w:val="2"/>
    <w:unhideWhenUsed/>
    <w:qFormat/>
    <w:pPr>
      <w:widowControl w:val="off"/>
    </w:pPr>
    <w:rPr>
      <w:sz w:val="22"/>
      <w:szCs w:val="22"/>
      <w:lang w:val="en-US" w:eastAsia="en-US" w:bidi="ar-SA"/>
    </w:rPr>
    <w:tblPr/>
  </w:style>
  <w:style w:type="table" w:styleId="1304">
    <w:name w:val="Table Normal2"/>
    <w:next w:val="1304"/>
    <w:link w:val="836"/>
    <w:uiPriority w:val="2"/>
    <w:unhideWhenUsed/>
    <w:qFormat/>
    <w:pPr>
      <w:widowControl w:val="off"/>
    </w:pPr>
    <w:rPr>
      <w:sz w:val="22"/>
      <w:szCs w:val="22"/>
      <w:lang w:val="en-US" w:eastAsia="en-US" w:bidi="ar-SA"/>
    </w:rPr>
    <w:tblPr/>
  </w:style>
  <w:style w:type="table" w:styleId="1305">
    <w:name w:val="Table Normal3"/>
    <w:next w:val="1305"/>
    <w:link w:val="836"/>
    <w:uiPriority w:val="2"/>
    <w:unhideWhenUsed/>
    <w:qFormat/>
    <w:pPr>
      <w:widowControl w:val="off"/>
    </w:pPr>
    <w:rPr>
      <w:sz w:val="22"/>
      <w:szCs w:val="22"/>
      <w:lang w:val="en-US" w:eastAsia="en-US" w:bidi="ar-SA"/>
    </w:rPr>
    <w:tblPr/>
  </w:style>
  <w:style w:type="character" w:styleId="1306">
    <w:name w:val="UserStyle_2"/>
    <w:next w:val="1306"/>
    <w:link w:val="1307"/>
    <w:qFormat/>
    <w:rPr>
      <w:rFonts w:ascii="宋体" w:hAnsi="宋体"/>
      <w:color w:val="000000"/>
      <w:sz w:val="21"/>
    </w:rPr>
  </w:style>
  <w:style w:type="paragraph" w:styleId="1307">
    <w:name w:val="UserStyle_3"/>
    <w:basedOn w:val="836"/>
    <w:next w:val="1307"/>
    <w:link w:val="1306"/>
    <w:qFormat/>
    <w:pPr>
      <w:ind w:firstLine="420"/>
      <w:spacing w:before="40" w:after="160" w:line="288" w:lineRule="auto"/>
      <w:widowControl/>
    </w:pPr>
    <w:rPr>
      <w:rFonts w:ascii="宋体" w:hAnsi="宋体"/>
      <w:color w:val="000000"/>
      <w:szCs w:val="20"/>
      <w:lang w:val="en-US" w:eastAsia="en-US"/>
    </w:rPr>
  </w:style>
  <w:style w:type="character" w:styleId="1308">
    <w:name w:val="未处理的提及1"/>
    <w:next w:val="1308"/>
    <w:link w:val="836"/>
    <w:uiPriority w:val="99"/>
    <w:unhideWhenUsed/>
    <w:qFormat/>
    <w:rPr>
      <w:color w:val="605e5c"/>
      <w:shd w:val="clear" w:color="auto" w:fill="e1dfdd"/>
    </w:rPr>
  </w:style>
  <w:style w:type="paragraph" w:styleId="1309">
    <w:name w:val="修订1"/>
    <w:next w:val="1309"/>
    <w:link w:val="836"/>
    <w:uiPriority w:val="99"/>
    <w:semiHidden/>
    <w:qFormat/>
    <w:rPr>
      <w:rFonts w:eastAsia="楷体_GB2312"/>
      <w:sz w:val="26"/>
      <w:lang w:val="en-US" w:eastAsia="zh-CN" w:bidi="ar-SA"/>
    </w:rPr>
  </w:style>
  <w:style w:type="paragraph" w:styleId="1310">
    <w:name w:val="正文 A"/>
    <w:next w:val="1310"/>
    <w:link w:val="836"/>
    <w:qFormat/>
    <w:pPr>
      <w:jc w:val="both"/>
      <w:widowControl w:val="off"/>
    </w:pPr>
    <w:rPr>
      <w:rFonts w:eastAsia="Arial Unicode MS" w:cs="Arial Unicode MS"/>
      <w:color w:val="000000"/>
      <w:sz w:val="21"/>
      <w:szCs w:val="21"/>
      <w:lang w:val="en-US" w:eastAsia="zh-CN" w:bidi="ar-SA"/>
    </w:rPr>
  </w:style>
  <w:style w:type="paragraph" w:styleId="1311">
    <w:name w:val="BodyTextIndent1"/>
    <w:basedOn w:val="836"/>
    <w:next w:val="1311"/>
    <w:link w:val="836"/>
    <w:qFormat/>
    <w:pPr>
      <w:ind w:left="420" w:firstLine="480"/>
      <w:spacing w:after="120" w:line="440" w:lineRule="exact"/>
      <w:widowControl/>
    </w:pPr>
    <w:rPr>
      <w:rFonts w:ascii="楷体_GB2312" w:hAnsi="楷体_GB2312" w:eastAsia="楷体_GB2312" w:cs="楷体_GB2312"/>
      <w:color w:val="000000"/>
      <w:sz w:val="24"/>
    </w:rPr>
  </w:style>
  <w:style w:type="character" w:styleId="1312">
    <w:name w:val="NormalCharacter1"/>
    <w:next w:val="1312"/>
    <w:link w:val="836"/>
    <w:qFormat/>
  </w:style>
  <w:style w:type="paragraph" w:styleId="1313">
    <w:name w:val="修订2"/>
    <w:next w:val="1313"/>
    <w:link w:val="836"/>
    <w:uiPriority w:val="99"/>
    <w:unhideWhenUsed/>
    <w:qFormat/>
    <w:rPr>
      <w:rFonts w:eastAsia="楷体_GB2312"/>
      <w:sz w:val="26"/>
      <w:lang w:val="en-US" w:eastAsia="zh-CN" w:bidi="ar-SA"/>
    </w:rPr>
  </w:style>
  <w:style w:type="paragraph" w:styleId="1314">
    <w:name w:val="样式 样式 首行缩进:  2 字符 + 宋体"/>
    <w:basedOn w:val="836"/>
    <w:next w:val="1314"/>
    <w:link w:val="836"/>
    <w:qFormat/>
    <w:pPr>
      <w:ind w:firstLine="200"/>
      <w:spacing w:line="440" w:lineRule="exact"/>
      <w:widowControl/>
    </w:pPr>
    <w:rPr>
      <w:rFonts w:ascii="宋体" w:hAnsi="宋体" w:eastAsia="楷体_GB2312" w:cs="宋体"/>
      <w:color w:val="000000"/>
      <w:sz w:val="28"/>
      <w:szCs w:val="20"/>
    </w:rPr>
  </w:style>
  <w:style w:type="paragraph" w:styleId="1315">
    <w:name w:val="标题 21"/>
    <w:basedOn w:val="836"/>
    <w:next w:val="836"/>
    <w:link w:val="836"/>
    <w:qFormat/>
    <w:pPr>
      <w:ind w:firstLine="480"/>
      <w:keepLines/>
      <w:keepNext/>
      <w:spacing w:before="260" w:after="260" w:line="416" w:lineRule="auto"/>
      <w:widowControl/>
      <w:outlineLvl w:val="1"/>
    </w:pPr>
    <w:rPr>
      <w:rFonts w:ascii="Arial" w:hAnsi="Arial" w:eastAsia="黑体" w:cs="楷体_GB2312"/>
      <w:b/>
      <w:bCs/>
      <w:color w:val="000000"/>
      <w:sz w:val="32"/>
      <w:szCs w:val="32"/>
    </w:rPr>
  </w:style>
  <w:style w:type="character" w:styleId="1316">
    <w:name w:val="font111"/>
    <w:next w:val="1316"/>
    <w:link w:val="836"/>
    <w:qFormat/>
    <w:rPr>
      <w:rFonts w:ascii="Times New Roman" w:hAnsi="Times New Roman" w:cs="Times New Roman"/>
      <w:color w:val="ff0000"/>
      <w:sz w:val="22"/>
      <w:szCs w:val="22"/>
      <w:u w:val="none"/>
    </w:rPr>
  </w:style>
  <w:style w:type="paragraph" w:styleId="1317">
    <w:name w:val="标题 61"/>
    <w:basedOn w:val="836"/>
    <w:next w:val="836"/>
    <w:link w:val="836"/>
    <w:qFormat/>
    <w:pPr>
      <w:jc w:val="center"/>
      <w:keepNext/>
      <w:outlineLvl w:val="5"/>
    </w:pPr>
    <w:rPr>
      <w:b/>
      <w:sz w:val="44"/>
      <w:szCs w:val="20"/>
    </w:rPr>
  </w:style>
  <w:style w:type="paragraph" w:styleId="1318">
    <w:name w:val="ds-markdown-paragraph"/>
    <w:basedOn w:val="836"/>
    <w:next w:val="1318"/>
    <w:link w:val="836"/>
    <w:pPr>
      <w:jc w:val="left"/>
      <w:spacing w:before="100" w:beforeAutospacing="1" w:after="100" w:afterAutospacing="1"/>
      <w:widowControl/>
    </w:pPr>
    <w:rPr>
      <w:rFonts w:ascii="宋体" w:hAnsi="宋体" w:cs="宋体"/>
      <w:sz w:val="24"/>
    </w:rPr>
  </w:style>
  <w:style w:type="paragraph" w:styleId="1319">
    <w:name w:val="修订"/>
    <w:next w:val="1319"/>
    <w:link w:val="836"/>
    <w:uiPriority w:val="99"/>
    <w:unhideWhenUsed/>
    <w:rPr>
      <w:sz w:val="21"/>
      <w:szCs w:val="24"/>
      <w:lang w:val="en-US" w:eastAsia="zh-CN" w:bidi="ar-SA"/>
    </w:rPr>
  </w:style>
  <w:style w:type="paragraph" w:styleId="1320">
    <w:name w:val="无间隔1"/>
    <w:next w:val="1320"/>
    <w:link w:val="836"/>
    <w:qFormat/>
    <w:pPr>
      <w:spacing w:line="300" w:lineRule="auto"/>
      <w:widowControl w:val="off"/>
    </w:pPr>
    <w:rPr>
      <w:rFonts w:eastAsia="华文仿宋"/>
      <w:sz w:val="24"/>
      <w:szCs w:val="21"/>
      <w:lang w:val="en-US" w:eastAsia="zh-CN" w:bidi="ar-SA"/>
    </w:rPr>
  </w:style>
  <w:style w:type="character" w:styleId="1321" w:default="1">
    <w:name w:val="Default Paragraph Font"/>
    <w:uiPriority w:val="1"/>
    <w:semiHidden/>
    <w:unhideWhenUsed/>
  </w:style>
  <w:style w:type="numbering" w:styleId="1322" w:default="1">
    <w:name w:val="No List"/>
    <w:uiPriority w:val="99"/>
    <w:semiHidden/>
    <w:unhideWhenUsed/>
  </w:style>
  <w:style w:type="table" w:styleId="13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w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经办二</cp:lastModifiedBy>
  <cp:revision>14</cp:revision>
  <dcterms:created xsi:type="dcterms:W3CDTF">2026-08-03T10:49:00Z</dcterms:created>
  <dcterms:modified xsi:type="dcterms:W3CDTF">2026-09-01T05:48:36Z</dcterms:modified>
  <cp:version>786432</cp:version>
</cp:coreProperties>
</file>