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2026年鼓楼区金川河流域水生态养护服务项目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项目编号：JSZC-320106-JCEC-G2026-0310</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（服务类项目，专门面向中小企业）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
        <w:rPr>
          <w:rFonts w:ascii="Times New Roman" w:hAnsi="Times New Roman" w:eastAsia="Times New Roman" w:cs="Times New Roman"/>
          <w:b/>
          <w:color w:val="000000"/>
          <w:sz w:val="44"/>
        </w:rPr>
        <w:t xml:space="preserve"> </w:t>
      </w:r>
      <w:r/>
      <w:r>
        <w:rPr>
          <w:rFonts w:ascii="Times New Roman" w:hAnsi="Times New Roman" w:eastAsia="Times New Roman" w:cs="Times New Roman"/>
          <w:sz w:val="21"/>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采购人：南京市鼓楼区水务设施综合养护中心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2026年8月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35708274" w:history="1">
        <w:r>
          <w:rPr>
            <w:rStyle w:val="871"/>
            <w:rFonts w:ascii="SimSun" w:hAnsi="SimSun" w:eastAsia="SimSun" w:cs="SimSun"/>
            <w:b/>
            <w:color w:val="0000ff"/>
            <w:sz w:val="21"/>
            <w:u w:val="single"/>
          </w:rPr>
          <w:t xml:space="preserve">第一章 招标公告</w:t>
        </w:r>
        <w:r>
          <w:rPr>
            <w:rStyle w:val="871"/>
            <w:rFonts w:ascii="SimSun" w:hAnsi="SimSun" w:eastAsia="SimSun" w:cs="SimSun"/>
            <w:b/>
            <w:color w:val="0000ee"/>
            <w:sz w:val="21"/>
            <w:u w:val="single"/>
          </w:rPr>
          <w:tab/>
        </w:r>
      </w:hyperlink>
      <w:r/>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35708275" w:history="1">
        <w:r>
          <w:rPr>
            <w:rStyle w:val="871"/>
            <w:rFonts w:ascii="SimSun" w:hAnsi="SimSun" w:eastAsia="SimSun" w:cs="SimSun"/>
            <w:b/>
            <w:color w:val="0000ff"/>
            <w:sz w:val="21"/>
            <w:u w:val="single"/>
          </w:rPr>
          <w:t xml:space="preserve">第二章 投标人须知</w:t>
        </w:r>
        <w:r>
          <w:rPr>
            <w:rStyle w:val="871"/>
            <w:rFonts w:ascii="SimSun" w:hAnsi="SimSun" w:eastAsia="SimSun" w:cs="SimSun"/>
            <w:b/>
            <w:color w:val="0000ee"/>
            <w:sz w:val="21"/>
            <w:u w:val="single"/>
          </w:rPr>
          <w:tab/>
        </w:r>
      </w:hyperlink>
      <w:r/>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35708276" w:history="1">
        <w:r>
          <w:rPr>
            <w:rStyle w:val="871"/>
            <w:rFonts w:ascii="SimSun" w:hAnsi="SimSun" w:eastAsia="SimSun" w:cs="SimSun"/>
            <w:b/>
            <w:color w:val="0000ff"/>
            <w:sz w:val="21"/>
            <w:u w:val="single"/>
          </w:rPr>
          <w:t xml:space="preserve">第三章 评标标准</w:t>
        </w:r>
        <w:r>
          <w:rPr>
            <w:rStyle w:val="871"/>
            <w:rFonts w:ascii="SimSun" w:hAnsi="SimSun" w:eastAsia="SimSun" w:cs="SimSun"/>
            <w:b/>
            <w:color w:val="0000ee"/>
            <w:sz w:val="21"/>
            <w:u w:val="single"/>
          </w:rPr>
          <w:tab/>
        </w:r>
      </w:hyperlink>
      <w:r/>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35708277" w:history="1">
        <w:r>
          <w:rPr>
            <w:rStyle w:val="871"/>
            <w:rFonts w:ascii="SimSun" w:hAnsi="SimSun" w:eastAsia="SimSun" w:cs="SimSun"/>
            <w:b/>
            <w:color w:val="0000ff"/>
            <w:sz w:val="21"/>
            <w:u w:val="single"/>
          </w:rPr>
          <w:t xml:space="preserve">第四章 采购需求</w:t>
        </w:r>
        <w:r>
          <w:rPr>
            <w:rStyle w:val="871"/>
            <w:rFonts w:ascii="SimSun" w:hAnsi="SimSun" w:eastAsia="SimSun" w:cs="SimSun"/>
            <w:b/>
            <w:color w:val="0000ee"/>
            <w:sz w:val="21"/>
            <w:u w:val="single"/>
          </w:rPr>
          <w:tab/>
        </w:r>
      </w:hyperlink>
      <w:r/>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35708278" w:history="1">
        <w:r>
          <w:rPr>
            <w:rStyle w:val="871"/>
            <w:rFonts w:ascii="SimSun" w:hAnsi="SimSun" w:eastAsia="SimSun" w:cs="SimSun"/>
            <w:b/>
            <w:color w:val="0000ff"/>
            <w:sz w:val="21"/>
            <w:u w:val="single"/>
          </w:rPr>
          <w:t xml:space="preserve">第五章 合同主要条款及格式</w:t>
        </w:r>
        <w:r>
          <w:rPr>
            <w:rStyle w:val="871"/>
            <w:rFonts w:ascii="SimSun" w:hAnsi="SimSun" w:eastAsia="SimSun" w:cs="SimSun"/>
            <w:b/>
            <w:color w:val="0000ee"/>
            <w:sz w:val="21"/>
            <w:u w:val="single"/>
          </w:rPr>
          <w:tab/>
        </w:r>
      </w:hyperlink>
      <w:r/>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35708279" w:history="1">
        <w:r>
          <w:rPr>
            <w:rStyle w:val="871"/>
            <w:rFonts w:ascii="SimSun" w:hAnsi="SimSun" w:eastAsia="SimSun" w:cs="SimSun"/>
            <w:b/>
            <w:color w:val="0000ff"/>
            <w:sz w:val="21"/>
            <w:u w:val="single"/>
          </w:rPr>
          <w:t xml:space="preserve">第六章 投标文件格式及附件</w:t>
        </w:r>
        <w:r>
          <w:rPr>
            <w:rStyle w:val="871"/>
            <w:rFonts w:ascii="SimSun" w:hAnsi="SimSun" w:eastAsia="SimSun" w:cs="SimSun"/>
            <w:b/>
            <w:color w:val="0000ee"/>
            <w:sz w:val="21"/>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2"/>
        <w:numPr>
          <w:ilvl w:val="0"/>
          <w:numId w:val="1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招标公告</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rPr>
        <w:t xml:space="preserve">项目概况</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2026年鼓楼区金川河流域水生态养护服务项目</w:t>
      </w:r>
      <w:r>
        <w:rPr>
          <w:rFonts w:ascii="SimSun" w:hAnsi="SimSun" w:eastAsia="SimSun" w:cs="SimSun"/>
          <w:color w:val="000000"/>
          <w:spacing w:val="8"/>
          <w:sz w:val="21"/>
        </w:rPr>
        <w:t xml:space="preserve">的潜在投标人应在</w:t>
      </w:r>
      <w:r>
        <w:rPr>
          <w:rFonts w:ascii="SimSun" w:hAnsi="SimSun" w:eastAsia="SimSun" w:cs="SimSun"/>
          <w:b/>
          <w:color w:val="000000"/>
          <w:spacing w:val="8"/>
          <w:sz w:val="21"/>
        </w:rPr>
        <w:t xml:space="preserve">江苏政府采购网苏采云系统注册登记成功后系统内免费下载</w:t>
      </w:r>
      <w:r>
        <w:rPr>
          <w:rFonts w:ascii="SimSun" w:hAnsi="SimSun" w:eastAsia="SimSun" w:cs="SimSun"/>
          <w:color w:val="000000"/>
          <w:sz w:val="21"/>
        </w:rPr>
        <w:t xml:space="preserve">获取采购文件，并于</w:t>
      </w:r>
      <w:r>
        <w:rPr>
          <w:rFonts w:ascii="SimSun" w:hAnsi="SimSun" w:eastAsia="SimSun" w:cs="SimSun"/>
          <w:b/>
          <w:color w:val="000000"/>
          <w:spacing w:val="8"/>
          <w:sz w:val="21"/>
        </w:rPr>
        <w:t xml:space="preserve">2026年9月14日</w:t>
      </w:r>
      <w:r>
        <w:rPr>
          <w:rFonts w:ascii="SimSun" w:hAnsi="SimSun" w:eastAsia="SimSun" w:cs="SimSun"/>
          <w:b/>
          <w:color w:val="000000"/>
          <w:sz w:val="21"/>
        </w:rPr>
        <w:t xml:space="preserve">14点30分</w:t>
      </w:r>
      <w:r>
        <w:rPr>
          <w:rFonts w:ascii="SimSun" w:hAnsi="SimSun" w:eastAsia="SimSun" w:cs="SimSun"/>
          <w:color w:val="000000"/>
          <w:sz w:val="21"/>
        </w:rPr>
        <w:t xml:space="preserve">（北京时间）前递交投标文件。</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1.1项目编号：JSZC-320106-JCEC-G2026-0310</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1.2项目名称：2026年鼓楼区金川河流域水生态养护服务项目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1.3预算金额：人民币310</w:t>
      </w:r>
      <w:r>
        <w:rPr>
          <w:rFonts w:ascii="SimSun" w:hAnsi="SimSun" w:eastAsia="SimSun" w:cs="SimSun"/>
          <w:color w:val="000000"/>
          <w:spacing w:val="8"/>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1.4最高限价：人民币292.377988万元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1.5采购需求：对河道蓝线范围内的水面、堤防护坡、排水、绿化等水务设施进行的巡查、保洁、管养， 以及相关的监测、管理、生态养护成效评估工作，具体技术参数详见采购文件。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1.6合同履行期限：本项目服务期限自合同签订之日起1年。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1.7本项目专门面向中小企业（或监狱企业或残疾人福利性单位）采购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1.8行业划分：其他未列明行业（</w:t>
      </w:r>
      <w:r>
        <w:rPr>
          <w:rFonts w:ascii="SimSun" w:hAnsi="SimSun" w:eastAsia="SimSun" w:cs="SimSun"/>
          <w:color w:val="000000"/>
          <w:spacing w:val="8"/>
          <w:sz w:val="21"/>
        </w:rPr>
        <w:t xml:space="preserve">水利、环境和公共设施管理业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1.9本项目不接受联合体投标。</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（2）具有良好的商业信誉和健全的财务会计制度（提供2025年度的财务报表，或投标截止时间前六个月内银行出具的资信证明）；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2.2落实政府采购政策需满足的资格要求：本项目专门面向中小企业（或监狱企业或残疾人福利性单位）采购，须提供《中小企业声明函》或《残疾人福利性单位声明函》或属于监狱企业的证明文件。</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w:t>
      </w:r>
      <w:r>
        <w:rPr>
          <w:rFonts w:ascii="SimSun" w:hAnsi="SimSun" w:eastAsia="SimSun" w:cs="SimSun"/>
          <w:b/>
          <w:color w:val="000000"/>
          <w:sz w:val="21"/>
        </w:rPr>
        <w:t xml:space="preserve">材料或者情况</w:t>
      </w:r>
      <w:r>
        <w:rPr>
          <w:rFonts w:ascii="SimSun" w:hAnsi="SimSun" w:eastAsia="SimSun" w:cs="SimSun"/>
          <w:b/>
          <w:color w:val="000000"/>
          <w:spacing w:val="8"/>
          <w:sz w:val="21"/>
        </w:rPr>
        <w:t xml:space="preserve">说明：无。</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2.4提供《南京市政府采购供应商信用承诺书》（格式详见附件），法定代表人签字并盖单位公章。</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拒绝下述供应商参加本次招标活动：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3.1时间：自招标文件公告发布之日起5个工作日</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rPr>
          <w:rFonts w:ascii="SimSun" w:hAnsi="SimSun" w:eastAsia="SimSun" w:cs="SimSun"/>
          <w:color w:val="000000"/>
          <w:sz w:val="21"/>
        </w:rPr>
        <w:t xml:space="preserve">苏采云系统注册登记成功后系统内免费下载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w:t>
      </w:r>
      <w:r>
        <w:rPr>
          <w:rFonts w:ascii="SimSun" w:hAnsi="SimSun" w:eastAsia="SimSun" w:cs="SimSun"/>
          <w:color w:val="000000"/>
          <w:sz w:val="21"/>
        </w:rPr>
        <w:t xml:space="preserve">采用网上注册登记方式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3.4售价：0.00元。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w:t>
      </w:r>
      <w:r>
        <w:rPr>
          <w:rFonts w:ascii="SimSun" w:hAnsi="SimSun" w:eastAsia="SimSun" w:cs="SimSun"/>
          <w:color w:val="000000"/>
          <w:spacing w:val="15"/>
          <w:sz w:val="21"/>
          <w:highlight w:val="white"/>
        </w:rPr>
        <w:t xml:space="preserve">提交投标文件截止时间、开标时间：</w:t>
      </w:r>
      <w:r>
        <w:rPr>
          <w:rFonts w:ascii="SimSun" w:hAnsi="SimSun" w:eastAsia="SimSun" w:cs="SimSun"/>
          <w:b/>
          <w:color w:val="000000"/>
          <w:sz w:val="21"/>
        </w:rPr>
        <w:t xml:space="preserve">2026</w:t>
      </w:r>
      <w:r>
        <w:rPr>
          <w:rFonts w:ascii="SimSun" w:hAnsi="SimSun" w:eastAsia="SimSun" w:cs="SimSun"/>
          <w:b/>
          <w:color w:val="000000"/>
          <w:spacing w:val="8"/>
          <w:sz w:val="21"/>
        </w:rPr>
        <w:t xml:space="preserve">年9月14日</w:t>
      </w:r>
      <w:r>
        <w:rPr>
          <w:rFonts w:ascii="SimSun" w:hAnsi="SimSun" w:eastAsia="SimSun" w:cs="SimSun"/>
          <w:b/>
          <w:color w:val="000000"/>
          <w:sz w:val="21"/>
        </w:rPr>
        <w:t xml:space="preserve">14</w:t>
      </w:r>
      <w:r>
        <w:rPr>
          <w:rFonts w:ascii="SimSun" w:hAnsi="SimSun" w:eastAsia="SimSun" w:cs="SimSun"/>
          <w:b/>
          <w:color w:val="000000"/>
          <w:spacing w:val="8"/>
          <w:sz w:val="21"/>
        </w:rPr>
        <w:t xml:space="preserve">点</w:t>
      </w:r>
      <w:r>
        <w:rPr>
          <w:rFonts w:ascii="SimSun" w:hAnsi="SimSun" w:eastAsia="SimSun" w:cs="SimSun"/>
          <w:b/>
          <w:color w:val="000000"/>
          <w:sz w:val="21"/>
        </w:rPr>
        <w:t xml:space="preserve">30</w:t>
      </w:r>
      <w:r>
        <w:rPr>
          <w:rFonts w:ascii="SimSun" w:hAnsi="SimSun" w:eastAsia="SimSun" w:cs="SimSun"/>
          <w:b/>
          <w:color w:val="000000"/>
          <w:spacing w:val="8"/>
          <w:sz w:val="21"/>
        </w:rPr>
        <w:t xml:space="preserve">分</w:t>
      </w:r>
      <w:r>
        <w:rPr>
          <w:rFonts w:ascii="SimSun" w:hAnsi="SimSun" w:eastAsia="SimSun" w:cs="SimSun"/>
          <w:color w:val="000000"/>
          <w:spacing w:val="8"/>
          <w:sz w:val="21"/>
        </w:rPr>
        <w:t xml:space="preserve">（北京时间）</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4.2提交投标文件地点：江苏省政府采购管理交易系统（苏采云）（以下简称“苏采云”）（网址： http://jszfcg.jsczt.cn/）</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4.3开标地点：“苏采云”网上开标大厅。</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 </w:t>
      </w:r>
      <w:r>
        <w:rPr>
          <w:rFonts w:ascii="SimSun" w:hAnsi="SimSun" w:eastAsia="SimSun" w:cs="SimSun"/>
          <w:b/>
          <w:color w:val="000000"/>
          <w:sz w:val="21"/>
        </w:rPr>
        <w:t xml:space="preserve">江苏政府采购网、中国政府采购网</w:t>
      </w:r>
      <w:r>
        <w:rPr>
          <w:rFonts w:ascii="SimSun" w:hAnsi="SimSun" w:eastAsia="SimSun" w:cs="SimSun"/>
          <w:color w:val="000000"/>
          <w:sz w:val="21"/>
        </w:rPr>
        <w:t xml:space="preserve">网站发布公告。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6.2勘察现场：无。</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操作手册下载地址：http://www.ccgp-jiangsu.gov.cn/jiangsu/zlxz/ee/ee3a4bc5a3454aa2b0d9312230633ce9.html</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有关本次招标的事项若存在变动或修改，请及时关注“江苏政府采购网”（www.ccgp-jiangsu.gov.cn）更正公告。</w:t>
      </w:r>
      <w:r/>
    </w:p>
    <w:p>
      <w:pPr>
        <w:ind w:left="0" w:right="0" w:firstLine="36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6.4政府采购信用承诺</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采购活动的供应商，应以书面形式向采购人或政府采购代理机构作出信用承诺。供应商按附件格式填写《南京市政府采购供应商信用承诺书》，</w:t>
      </w:r>
      <w:r>
        <w:rPr>
          <w:rFonts w:ascii="SimSun" w:hAnsi="SimSun" w:eastAsia="SimSun" w:cs="SimSun"/>
          <w:b/>
          <w:color w:val="000000"/>
          <w:sz w:val="21"/>
        </w:rPr>
        <w:t xml:space="preserve">由法定代表人签字并盖单位公章，随响应文件一并递交。</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在政府采购资格审查环节，供应商只需提供书面《南京市政府采购供应商信用承诺书》，即可替代以下证明材料：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供应商对信用承诺内容的真实性、合法性、有效性负责。如作出虚假信用承诺，视同为“提供虚假材料谋取中标、成交”的违法行为。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名称：南京市鼓楼区水务设施综合养护中心</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地址：南京市鼓楼区山西路84号 </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联系人：郁科</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联系电话：025-83235612</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地址：江苏省南京市鼓楼区清江南路18号鼓楼创新广场D栋10楼1001室</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联系人：阮真真 唐大维</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电子邮箱：ruanzz@jcec.cn</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联系方式：025-83316480</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联系人：阮真真 唐大维</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电话：025-83316480</w:t>
        <w:br w:type="page" w:clear="all"/>
      </w:r>
      <w:r/>
    </w:p>
    <w:p>
      <w:pPr>
        <w:pStyle w:val="12"/>
        <w:numPr>
          <w:ilvl w:val="0"/>
          <w:numId w:val="1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numPr>
          <w:ilvl w:val="0"/>
          <w:numId w:val="1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联合体投标（本项目不接受）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（1）-（5）所述材料不得有缺失或提供不全或不满足招标文件的实质性要求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3"/>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3"/>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3"/>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（5）《南京市政府采购供应商信用承诺书》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如标书制作工具中格式和内容与“南京公共采购信息网、江苏政府采购网、中国政府采购网”发布的采购文件不一致，以上述网站发布的采购文件为准。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招标代理服务费根据中标金额参照《江苏省招标代理服务收费的指导意见》（苏招协[2022]002号）收费基准费率的58%计算；招标控制价（含工程量清单）的编制费按照《江苏省工程造价咨询服务收费指导意见》苏建价协[2022]7号文费率的55%计算；代理服务费、招标控制价（含工程量清单）的编制费由中标供应商承担，在领取中标通知书前向招标代理机构支付。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供应商报价应包含完成养护任务所需的全部费用，包括但不限于人工（含食宿、交通、保险）、设备、税金、利润及采购代理费等。根据采购文件及采购代理合同的约定，本项目采购代理费由中标供应商支付，相关费用已纳入项目采购预算，供应商应在报价中一并考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（1）同一投标人提交两个（含两个）以上不同的投标报价的；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（2）投标文件未按照招标文件要求加盖电子公章的；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（5）投标文件内容不全或不符合招标文件中规定的其他实质性要求的；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 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numPr>
          <w:ilvl w:val="0"/>
          <w:numId w:val="1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6"/>
        <w:gridCol w:w="1160"/>
        <w:gridCol w:w="6056"/>
        <w:gridCol w:w="667"/>
      </w:tblGrid>
      <w:tr>
        <w:trPr>
          <w:trHeight w:val="3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价格部分（20分）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采用低价优先法计算，即满足招标文件要求且投标价格最低的投标报价为评标基准价，其价格分为满分。其他供应商的价格分按照下列公式计算（小数点保留两位）：报价得分=（评标基准价／投标报价）×20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vMerge w:val="restart"/>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养护作业方案</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整体方案思路（10分）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根据投标文件针对本项目的服务设想及定位、服务重难点分析方案进行综合评分：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方案周到全面、针对性强，服务设想及定位清晰明确、服务重难点分析科学合理的得10分；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方案较全面，具有一定的针对性，服务设想及定位较明确、服务重难点分析较合理的得7分；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方案较全面，具有一定的针对性，但服务设想及定位较明确、服务重难点分析不够合理的得4分；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方案不全面，不具有针对性，且服务设想及定位较明确、服务重难点分析不合理的得1分；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质量方案（10分）：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质量目标明确，质量保证体系完善、健全、科学、可行得10分；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质量目标明确，质量保证体系完善、健全，但科学性、可行性稍逊得7分；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质量目标明确，质量保证体系比较完善、健全，但不够科学、可行得4分；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质量目标不明确，质量保证体系不完善、健全，且不够科学、可行得1分；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处理预案（10分）：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根据投标文件提供的恶劣天气抢险抗灾及其他突发事件、应急事件及突击性工作（包括但不限于：入侵生物处置、底泥上翻、水华爆发、大面积漂浮物打捞等情形）等处理预案进行综合评分：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方案周到全面、针对性强，处理应对科学得10分；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方案较为周到全面、有针对性，处理应对科学得7分；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方案较为周到全面、有针对性，但处理应对不够科学得4分；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方案有缺漏、不具有针对性，处理应对不够科学得1分；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安全文明措施（10分）：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措施周到全面、针对性强，可操作性强得10分；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措施较为周到全面、有针对性，有可操作性得7分；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措施较为周到全面、有针对性，可操作性较弱得4分；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措施有缺漏、不具有针对性，不具有可操作性得1分；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人员配备方案（10分）：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根据投标文件提供的拟服务于本项目的管理机构和人员配置情况进行综合评分：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岗位设置合理，有明确的岗位职责，且工作流程完整、科学、可行，各类规章制度健全规范的得10分；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岗位设置合理，有明确的岗位职责，且工作流程较为完整、科学、可行，各类规章制度较为健全规范的得7分；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岗位设置较为合理，有较为明确的岗位职责，但工作流程不够完整、科学、可行，各类规章制度不够健全规范的得4分；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岗位设置不合理，岗位职责不明确，或工作流程不完整、科学、可行，各类规章制度不健全规范的得1分；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vMerge w:val="restart"/>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技术力量（20分）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委派项目负责人具备工程技术类（建设工程或水利工程或生态环境工程专业）高级及以上技术职称得2分，工程技术类（建设工程或水利工程或生态环境工程专业）中级技术职称得1分；（注：专业以提供的职称证书为准，若职称证书不体现则以毕业证载明的专业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供应商拟委派项目负责人具有二级注册建造师（机电工程或市政公用工程）及以上资格，同时具有《安全生产考核合格证书》(建安B)证书得2分；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本项最高得4分。（须提供相关证书及供应商近半年内任意一个月为其缴纳社保的证明复印件加盖公章）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r>
      <w:tr>
        <w:trPr>
          <w:trHeight w:val="1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项目技术负责人：</w:t>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供应商拟委派项目技术负责人具备工程技术类（建设工程或水利工程或生态环境工程专业）中级及以上技术职称得2分；（注：专业以提供的职称证书为准，若职称证书不体现则以毕业证载明的专业为准）</w:t>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供应商拟委派项目技术负责人具有二级注册建造师（机电工程或市政公用工程）及以上资格及《安全生产考核合格证书》(建安B)证书得2分；</w:t>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本项最高得4分。（须提供相关证书及供应商近半年内任意一个月为其缴纳社保证明复印件加盖公章）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r>
      <w:tr>
        <w:trPr>
          <w:trHeight w:val="1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对供应商拟投入本项目专业技术人员（不含项目负责人、技术负责人）：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投入本项目专业技术人员，具有工程技术类（建设工程或水利工程或生态环境工程专业）中级及以上职称的，不少于5名的得5分，不少于3名的得3分，少于等于2名不得分。（注：专业以提供的职称证书为准，若职称证书不体现则以毕业证载明的专业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项目拟投入本项目专业技术人员，具有低压电工特种作业操作证书，每有1人得1分，最高得3分。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1个人仅计算一项分值，不重复计算，按得分高的进行计算。本项最多得8分。（须提供相关证书及供应商近半年内任意一个月为其缴纳社保证明复印件加盖公章）。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rHeight w:val="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投入本项目的设备：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为保证本项目养护服务质量，至少提供：船只13条；水草修割船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条；垃圾清运车2辆；巡查车2辆；喷雾器2只；打草机2台；油锯2只；冲洗水泵2台。满足需求得4分。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提供自有或租赁或承诺书证明材料，如为自有，需提供主要设备的购买发票（须自有）等证明材料加盖公章）加盖公章；如为租赁的还另请提供租赁协议等证明材料复印件加盖公章，如为承诺书需承诺中标后5个工作日提供XXX车辆及设备XXX辆（艘），未按承诺配备的自愿放弃中标资格）</w:t>
            </w:r>
            <w:r/>
          </w:p>
          <w:p>
            <w:pPr>
              <w:ind w:left="0" w:right="0" w:firstLine="42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注：车辆及主要设备名称无需与评分标准给定名称完全一致，但功能需相同。如提供的车辆及主要设备名称与评分标准给定名称不同时，相应功能应符合采购要求，否则不得分。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供应商业绩：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1日以来（时间以合同签订时间为准），供应商从事过与本次招标项目类似业绩的每提供一个得4分，最多的8分。（供应商须提供相关业绩合同及相应的合同相对方出具的评价意见等材料（评价材料名称可以不同，但须由合同相对方出具，且能体现评价情况），以上证明材料复印件加盖公章，提供不全或不符合要求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rHeight w:val="59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项目负责人业绩：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供应商拟投入项目负责人自2023年1月1日以来（时间以合同签订时间为准）从事过与本次招标项目类似业绩的，每提供一个业绩得2分，满分2分。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（提供合同扫描件加盖公章，资料须反映出相关内容，否则不得分，企业业绩与项目负责人业绩不可兼得。）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br w:type="page" w:clear="all"/>
      </w:r>
      <w:r/>
    </w:p>
    <w:p>
      <w:pPr>
        <w:pStyle w:val="12"/>
        <w:numPr>
          <w:ilvl w:val="0"/>
          <w:numId w:val="1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2026年鼓楼区金川河流域水生态养护服务项目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25" w:right="54" w:firstLine="395"/>
        <w:jc w:val="both"/>
        <w:spacing w:before="24" w:after="16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对河道蓝线范围内的水面、堤防护坡、排水、绿化等水务设施进行的巡查、保洁、管养，</w:t>
      </w:r>
      <w:r>
        <w:rPr>
          <w:rFonts w:ascii="SimSun" w:hAnsi="SimSun" w:eastAsia="SimSun" w:cs="SimSun"/>
          <w:color w:val="000000"/>
          <w:spacing w:val="6"/>
          <w:sz w:val="20"/>
        </w:rPr>
        <w:t xml:space="preserve"> 以及相关的监测、管理、生态养护成效评估工作</w:t>
      </w:r>
      <w:r>
        <w:rPr>
          <w:rFonts w:ascii="SimSun" w:hAnsi="SimSun" w:eastAsia="SimSun" w:cs="SimSun"/>
          <w:color w:val="000000"/>
          <w:spacing w:val="6"/>
          <w:sz w:val="21"/>
        </w:rPr>
        <w:t xml:space="preserve">。</w:t>
      </w:r>
      <w:r/>
    </w:p>
    <w:p>
      <w:pPr>
        <w:ind w:left="72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涉及范围为：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1737"/>
        <w:gridCol w:w="2749"/>
        <w:gridCol w:w="2400"/>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起点-终点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河道长度（m）</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外金川河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节制闸-长江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2781.03</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内金川河东支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丁家桥涵西端-内金川主流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1202.97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内金川河老主流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内金川主流-西北护城河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1259.61</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内金川河西支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回龙桥中-内金川老主流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377.23</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内金川河中支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宁海中学南墙-内金川老主流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1340.91</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大树根闸-金川河泵站前池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2817.61</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城北护城河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中央路桥中-三河听涛翻板闸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1947.76</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二仙沟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金燕路-金陵乡泵站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1035.27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南十里长沟主流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十字街-铁路涵北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2029.7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南十里长沟一支流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铁路边-外金川主流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2416.7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张王庙沟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汽轮研究所-城北护城河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755.67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大庙沟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幕府南路-大庙沟泵站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1049.3</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19013.76 </w:t>
            </w:r>
            <w:r/>
          </w:p>
        </w:tc>
      </w:tr>
    </w:tbl>
    <w:p>
      <w:pPr>
        <w:ind w:left="0" w:right="0" w:firstLine="420"/>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为保证本项目养护服务质量，至少提供：船只</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条；水草修割船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条；垃圾清运车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辆；巡查车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辆；喷雾器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只；打草机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台；油锯</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只；冲洗水泵</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（一）基本要求</w:t>
      </w:r>
      <w:r/>
    </w:p>
    <w:p>
      <w:pPr>
        <w:ind w:left="32" w:right="70" w:firstLine="452"/>
        <w:jc w:val="both"/>
        <w:spacing w:before="261"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1.1  </w:t>
      </w:r>
      <w:r>
        <w:rPr>
          <w:rFonts w:ascii="SimSun" w:hAnsi="SimSun" w:eastAsia="SimSun" w:cs="SimSun"/>
          <w:color w:val="000000"/>
          <w:spacing w:val="8"/>
          <w:sz w:val="21"/>
        </w:rPr>
        <w:t xml:space="preserve">河道养护应遵循</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经常养护、及时维修、养修并重</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的原则，养护维修后，其标准</w:t>
      </w:r>
      <w:r>
        <w:rPr>
          <w:rFonts w:ascii="SimSun" w:hAnsi="SimSun" w:eastAsia="SimSun" w:cs="SimSun"/>
          <w:color w:val="000000"/>
          <w:spacing w:val="7"/>
          <w:sz w:val="21"/>
        </w:rPr>
        <w:t xml:space="preserve">不应低于</w:t>
      </w:r>
      <w:r>
        <w:rPr>
          <w:rFonts w:ascii="SimSun" w:hAnsi="SimSun" w:eastAsia="SimSun" w:cs="SimSun"/>
          <w:color w:val="000000"/>
          <w:spacing w:val="5"/>
          <w:sz w:val="21"/>
        </w:rPr>
        <w:t xml:space="preserve">原设计要求。</w:t>
      </w:r>
      <w:r/>
    </w:p>
    <w:p>
      <w:pPr>
        <w:ind w:left="32" w:right="70" w:firstLine="452"/>
        <w:jc w:val="both"/>
        <w:spacing w:before="143" w:after="160" w:line="6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1.2  </w:t>
      </w:r>
      <w:r>
        <w:rPr>
          <w:rFonts w:ascii="SimSun" w:hAnsi="SimSun" w:eastAsia="SimSun" w:cs="SimSun"/>
          <w:color w:val="000000"/>
          <w:spacing w:val="8"/>
          <w:sz w:val="21"/>
        </w:rPr>
        <w:t xml:space="preserve">河道养护应保证河道设施的安全、完好和整洁，</w:t>
      </w:r>
      <w:r>
        <w:rPr>
          <w:rFonts w:ascii="SimSun" w:hAnsi="SimSun" w:eastAsia="SimSun" w:cs="SimSun"/>
          <w:color w:val="000000"/>
          <w:spacing w:val="7"/>
          <w:sz w:val="21"/>
        </w:rPr>
        <w:t xml:space="preserve">并为河道水质长期稳定达标、水生生态系</w:t>
      </w:r>
      <w:r>
        <w:rPr>
          <w:rFonts w:ascii="SimSun" w:hAnsi="SimSun" w:eastAsia="SimSun" w:cs="SimSun"/>
          <w:color w:val="000000"/>
          <w:spacing w:val="6"/>
          <w:sz w:val="21"/>
        </w:rPr>
        <w:t xml:space="preserve">统持续优化服务。</w:t>
      </w:r>
      <w:r/>
    </w:p>
    <w:p>
      <w:pPr>
        <w:ind w:left="22" w:right="0" w:firstLine="452"/>
        <w:jc w:val="both"/>
        <w:spacing w:before="145"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1.3  </w:t>
      </w:r>
      <w:r>
        <w:rPr>
          <w:rFonts w:ascii="SimSun" w:hAnsi="SimSun" w:eastAsia="SimSun" w:cs="SimSun"/>
          <w:color w:val="000000"/>
          <w:spacing w:val="8"/>
          <w:sz w:val="21"/>
        </w:rPr>
        <w:t xml:space="preserve">河道养护应在满足河道行洪安全要求的前提下，</w:t>
      </w:r>
      <w:r>
        <w:rPr>
          <w:rFonts w:ascii="SimSun" w:hAnsi="SimSun" w:eastAsia="SimSun" w:cs="SimSun"/>
          <w:color w:val="000000"/>
          <w:spacing w:val="7"/>
          <w:sz w:val="21"/>
        </w:rPr>
        <w:t xml:space="preserve">维持河流原状，保障沿线居民生命财产安</w:t>
      </w:r>
      <w:r>
        <w:rPr>
          <w:rFonts w:ascii="SimSun" w:hAnsi="SimSun" w:eastAsia="SimSun" w:cs="SimSun"/>
          <w:color w:val="000000"/>
          <w:spacing w:val="10"/>
          <w:sz w:val="21"/>
        </w:rPr>
        <w:t xml:space="preserve">全，保持河道生态与周边自然人文环境相协</w:t>
      </w:r>
      <w:r>
        <w:rPr>
          <w:rFonts w:ascii="SimSun" w:hAnsi="SimSun" w:eastAsia="SimSun" w:cs="SimSun"/>
          <w:color w:val="000000"/>
          <w:spacing w:val="9"/>
          <w:sz w:val="21"/>
        </w:rPr>
        <w:t xml:space="preserve">调，实现人水和谐共处，提升河道的人文内涵。</w:t>
      </w:r>
      <w:r/>
    </w:p>
    <w:p>
      <w:pPr>
        <w:ind w:left="22" w:right="0" w:firstLine="452"/>
        <w:jc w:val="both"/>
        <w:spacing w:before="144"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1.4  </w:t>
      </w:r>
      <w:r>
        <w:rPr>
          <w:rFonts w:ascii="SimSun" w:hAnsi="SimSun" w:eastAsia="SimSun" w:cs="SimSun"/>
          <w:color w:val="000000"/>
          <w:spacing w:val="8"/>
          <w:sz w:val="21"/>
        </w:rPr>
        <w:t xml:space="preserve">河道养护应配备必要的养护和检测设备，并配备</w:t>
      </w:r>
      <w:r>
        <w:rPr>
          <w:rFonts w:ascii="SimSun" w:hAnsi="SimSun" w:eastAsia="SimSun" w:cs="SimSun"/>
          <w:color w:val="000000"/>
          <w:spacing w:val="7"/>
          <w:sz w:val="21"/>
        </w:rPr>
        <w:t xml:space="preserve">专业的养护技术人员和作业人员，做好记</w:t>
      </w:r>
      <w:r>
        <w:rPr>
          <w:rFonts w:ascii="SimSun" w:hAnsi="SimSun" w:eastAsia="SimSun" w:cs="SimSun"/>
          <w:color w:val="000000"/>
          <w:spacing w:val="9"/>
          <w:sz w:val="21"/>
        </w:rPr>
        <w:t xml:space="preserve">录和日志，发现问题应及时分析研判并立即上</w:t>
      </w:r>
      <w:r>
        <w:rPr>
          <w:rFonts w:ascii="SimSun" w:hAnsi="SimSun" w:eastAsia="SimSun" w:cs="SimSun"/>
          <w:color w:val="000000"/>
          <w:spacing w:val="8"/>
          <w:sz w:val="21"/>
        </w:rPr>
        <w:t xml:space="preserve">报。</w:t>
      </w:r>
      <w:r/>
    </w:p>
    <w:p>
      <w:pPr>
        <w:ind w:left="22" w:right="0" w:firstLine="452"/>
        <w:jc w:val="both"/>
        <w:spacing w:before="144"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1.5  </w:t>
      </w:r>
      <w:r>
        <w:rPr>
          <w:rFonts w:ascii="SimSun" w:hAnsi="SimSun" w:eastAsia="SimSun" w:cs="SimSun"/>
          <w:color w:val="000000"/>
          <w:spacing w:val="8"/>
          <w:sz w:val="20"/>
        </w:rPr>
        <w:t xml:space="preserve">定期开展河道水质和生态调查，组织开展生态养护成效评估。</w:t>
      </w:r>
      <w:r/>
    </w:p>
    <w:p>
      <w:pPr>
        <w:ind w:left="22" w:right="0" w:firstLine="432"/>
        <w:jc w:val="both"/>
        <w:spacing w:before="144"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1）自合同签订之日起，每6个月开展至少一次河道水生态调查分析，在对比历史水生态数据基础上分析水生态演变特征及本项目养护改善效果，并提交1份生态养护成效评估报告，内容涵盖当前生态环境问题、养护措施成效及提升建议。每条河道不少于1个点位。</w:t>
      </w:r>
      <w:r/>
    </w:p>
    <w:p>
      <w:pPr>
        <w:ind w:left="22" w:right="0" w:firstLine="432"/>
        <w:jc w:val="both"/>
        <w:spacing w:before="144"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（2）项目验收前须出具1份经专家评审通过的生态养护评估最终报告。 </w:t>
      </w:r>
      <w:r/>
    </w:p>
    <w:p>
      <w:pPr>
        <w:ind w:left="22" w:right="0" w:firstLine="452"/>
        <w:jc w:val="both"/>
        <w:spacing w:before="144"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1.6  </w:t>
      </w:r>
      <w:r>
        <w:rPr>
          <w:rFonts w:ascii="SimSun" w:hAnsi="SimSun" w:eastAsia="SimSun" w:cs="SimSun"/>
          <w:color w:val="000000"/>
          <w:spacing w:val="8"/>
          <w:sz w:val="21"/>
        </w:rPr>
        <w:t xml:space="preserve">河道养护所产生的固体废物的处理处置参照</w:t>
      </w:r>
      <w:r>
        <w:rPr>
          <w:rFonts w:ascii="SimSun" w:hAnsi="SimSun" w:eastAsia="SimSun" w:cs="SimSun"/>
          <w:color w:val="000000"/>
          <w:spacing w:val="-44"/>
          <w:sz w:val="21"/>
        </w:rPr>
        <w:t xml:space="preserve"> </w:t>
      </w:r>
      <w:r>
        <w:rPr>
          <w:rFonts w:ascii="Times New Roman" w:hAnsi="Times New Roman" w:eastAsia="Times New Roman" w:cs="Times New Roman"/>
          <w:color w:val="000000"/>
          <w:sz w:val="21"/>
        </w:rPr>
        <w:t xml:space="preserve">HJ</w:t>
      </w:r>
      <w:r>
        <w:rPr>
          <w:rFonts w:ascii="Times New Roman" w:hAnsi="Times New Roman" w:eastAsia="Times New Roman" w:cs="Times New Roman"/>
          <w:color w:val="000000"/>
          <w:spacing w:val="8"/>
          <w:sz w:val="21"/>
        </w:rPr>
        <w:t xml:space="preserve"> 2035 </w:t>
      </w:r>
      <w:r>
        <w:rPr>
          <w:rFonts w:ascii="SimSun" w:hAnsi="SimSun" w:eastAsia="SimSun" w:cs="SimSun"/>
          <w:color w:val="000000"/>
          <w:spacing w:val="7"/>
          <w:sz w:val="21"/>
        </w:rPr>
        <w:t xml:space="preserve">执行。</w:t>
      </w:r>
      <w:r/>
    </w:p>
    <w:p>
      <w:pPr>
        <w:ind w:left="22" w:right="0" w:firstLine="452"/>
        <w:jc w:val="both"/>
        <w:spacing w:before="143"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1.7  </w:t>
      </w:r>
      <w:r>
        <w:rPr>
          <w:rFonts w:ascii="SimSun" w:hAnsi="SimSun" w:eastAsia="SimSun" w:cs="SimSun"/>
          <w:color w:val="000000"/>
          <w:spacing w:val="8"/>
          <w:sz w:val="21"/>
        </w:rPr>
        <w:t xml:space="preserve">河道养护应按照表</w:t>
      </w:r>
      <w:r>
        <w:rPr>
          <w:rFonts w:ascii="SimSun" w:hAnsi="SimSun" w:eastAsia="SimSun" w:cs="SimSun"/>
          <w:color w:val="000000"/>
          <w:spacing w:val="-23"/>
          <w:sz w:val="21"/>
        </w:rPr>
        <w:t xml:space="preserve"> </w:t>
      </w:r>
      <w:r>
        <w:rPr>
          <w:rFonts w:ascii="Times New Roman" w:hAnsi="Times New Roman" w:eastAsia="Times New Roman" w:cs="Times New Roman"/>
          <w:color w:val="000000"/>
          <w:spacing w:val="8"/>
          <w:sz w:val="21"/>
        </w:rPr>
        <w:t xml:space="preserve">1 </w:t>
      </w:r>
      <w:r>
        <w:rPr>
          <w:rFonts w:ascii="SimSun" w:hAnsi="SimSun" w:eastAsia="SimSun" w:cs="SimSun"/>
          <w:color w:val="000000"/>
          <w:spacing w:val="8"/>
          <w:sz w:val="21"/>
        </w:rPr>
        <w:t xml:space="preserve">进行分类管理，河</w:t>
      </w:r>
      <w:r>
        <w:rPr>
          <w:rFonts w:ascii="SimSun" w:hAnsi="SimSun" w:eastAsia="SimSun" w:cs="SimSun"/>
          <w:color w:val="000000"/>
          <w:spacing w:val="7"/>
          <w:sz w:val="21"/>
        </w:rPr>
        <w:t xml:space="preserve">道分类由甲方确定。</w:t>
      </w:r>
      <w:r/>
    </w:p>
    <w:p>
      <w:pPr>
        <w:ind w:left="3431" w:right="0" w:firstLine="0"/>
        <w:jc w:val="both"/>
        <w:spacing w:before="142"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3"/>
          <w:sz w:val="21"/>
        </w:rPr>
        <w:t xml:space="preserve">表</w:t>
      </w:r>
      <w:r>
        <w:rPr>
          <w:rFonts w:ascii="SimHei" w:hAnsi="SimHei" w:eastAsia="SimHei" w:cs="SimHei"/>
          <w:color w:val="000000"/>
          <w:spacing w:val="-15"/>
          <w:sz w:val="21"/>
        </w:rPr>
        <w:t xml:space="preserve"> </w:t>
      </w:r>
      <w:r>
        <w:rPr>
          <w:rFonts w:ascii="Times New Roman" w:hAnsi="Times New Roman" w:eastAsia="Times New Roman" w:cs="Times New Roman"/>
          <w:color w:val="000000"/>
          <w:spacing w:val="3"/>
          <w:sz w:val="21"/>
        </w:rPr>
        <w:t xml:space="preserve">1    </w:t>
      </w:r>
      <w:r>
        <w:rPr>
          <w:rFonts w:ascii="SimHei" w:hAnsi="SimHei" w:eastAsia="SimHei" w:cs="SimHei"/>
          <w:color w:val="000000"/>
          <w:spacing w:val="3"/>
          <w:sz w:val="21"/>
        </w:rPr>
        <w:t xml:space="preserve">城市河道分类</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6"/>
        <w:gridCol w:w="2713"/>
        <w:gridCol w:w="4436"/>
      </w:tblGrid>
      <w:tr>
        <w:trPr>
          <w:trHeight w:val="3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550" w:right="0" w:firstLine="0"/>
              <w:jc w:val="both"/>
              <w:spacing w:before="32"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2"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1870" w:right="0" w:firstLine="0"/>
              <w:jc w:val="both"/>
              <w:spacing w:before="32"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河道范围</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700" w:right="0" w:firstLine="0"/>
              <w:jc w:val="both"/>
              <w:spacing w:before="56"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24"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一类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24"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重要流域性河道</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682" w:right="0" w:firstLine="0"/>
              <w:jc w:val="both"/>
              <w:spacing w:before="68"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二类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一般流域性、重要区域性河道</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682" w:right="0" w:firstLine="0"/>
              <w:jc w:val="both"/>
              <w:spacing w:before="68"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三类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一般区域性河道</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682" w:right="0" w:firstLine="0"/>
              <w:jc w:val="both"/>
              <w:spacing w:before="68"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四类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其他河道</w:t>
            </w:r>
            <w:r/>
          </w:p>
        </w:tc>
      </w:tr>
    </w:tbl>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（二）巡查</w:t>
      </w:r>
      <w:r/>
    </w:p>
    <w:p>
      <w:pPr>
        <w:ind w:left="22" w:right="0" w:firstLine="452"/>
        <w:jc w:val="both"/>
        <w:spacing w:before="142"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巡查范围为蓝线内的河道管理和保护区域</w:t>
      </w:r>
      <w:r>
        <w:rPr>
          <w:rFonts w:ascii="SimSun" w:hAnsi="SimSun" w:eastAsia="SimSun" w:cs="SimSun"/>
          <w:color w:val="000000"/>
          <w:spacing w:val="6"/>
          <w:sz w:val="21"/>
        </w:rPr>
        <w:t xml:space="preserve">及鼓楼区堤防（金川河泵站至入江口气盾坝，长度5904米）</w:t>
      </w:r>
      <w:r>
        <w:rPr>
          <w:rFonts w:ascii="SimSun" w:hAnsi="SimSun" w:eastAsia="SimSun" w:cs="SimSun"/>
          <w:color w:val="000000"/>
          <w:spacing w:val="8"/>
          <w:sz w:val="21"/>
        </w:rPr>
        <w:t xml:space="preserve">。</w:t>
      </w:r>
      <w:r>
        <w:rPr>
          <w:rFonts w:ascii="SimSun" w:hAnsi="SimSun" w:eastAsia="SimSun" w:cs="SimSun"/>
          <w:color w:val="000000"/>
          <w:spacing w:val="5"/>
          <w:sz w:val="21"/>
        </w:rPr>
        <w:t xml:space="preserve">河道养护单位应根据河道特性</w:t>
      </w:r>
      <w:r>
        <w:rPr>
          <w:rFonts w:ascii="SimSun" w:hAnsi="SimSun" w:eastAsia="SimSun" w:cs="SimSun"/>
          <w:color w:val="000000"/>
          <w:spacing w:val="4"/>
          <w:sz w:val="21"/>
        </w:rPr>
        <w:t xml:space="preserve">、交通管理条件等因素制订巡查方案，合理选择巡查路线、</w:t>
      </w:r>
      <w:r>
        <w:rPr>
          <w:rFonts w:ascii="SimSun" w:hAnsi="SimSun" w:eastAsia="SimSun" w:cs="SimSun"/>
          <w:color w:val="000000"/>
          <w:spacing w:val="10"/>
          <w:sz w:val="21"/>
        </w:rPr>
        <w:t xml:space="preserve">交通工具和巡查方式；落实巡查人员，明确巡查人员分组、职责、巡查内容、问题报告制度等</w:t>
      </w:r>
      <w:r>
        <w:rPr>
          <w:rFonts w:ascii="SimSun" w:hAnsi="SimSun" w:eastAsia="SimSun" w:cs="SimSun"/>
          <w:color w:val="000000"/>
          <w:spacing w:val="6"/>
          <w:sz w:val="21"/>
        </w:rPr>
        <w:t xml:space="preserve">内容，并每日组织开展巡查作业。</w:t>
      </w:r>
      <w:r/>
    </w:p>
    <w:p>
      <w:pPr>
        <w:ind w:left="0" w:right="0" w:firstLine="444"/>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巡查的类型、频次等具体要求参照《鼓楼区城市河道养护技术管理规程》相关内容执行。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巡查人员要及时掌握养护范围内设施运行状况，对于发现的问题，要及时安排分析研判，按规范进行上报，并安排设施维修、违章行为制止，如实进行记录。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1、巡查员定期对河道生态养护情况进行巡查；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2、检查保洁员是否有脱岗、离岗现象；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3、检查生态养护质量，河道水质、引补水等状况是否正常；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4、检查河道水面、岸坡管养范围内有无垃圾、漂浮物；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5、检查有无违章搭建、 占用、挖掘、乱倒及破坏设施等现象。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（三）保洁</w:t>
      </w:r>
      <w:r/>
    </w:p>
    <w:p>
      <w:pPr>
        <w:ind w:left="3" w:right="0" w:firstLine="456"/>
        <w:jc w:val="both"/>
        <w:spacing w:before="143"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保洁人员配备相应的清捞工具、设备</w:t>
      </w:r>
      <w:r>
        <w:rPr>
          <w:rFonts w:ascii="SimSun" w:hAnsi="SimSun" w:eastAsia="SimSun" w:cs="SimSun"/>
          <w:color w:val="000000"/>
          <w:spacing w:val="8"/>
          <w:sz w:val="21"/>
        </w:rPr>
        <w:t xml:space="preserve">及安全用品，及时做好相应保洁台账。</w:t>
      </w:r>
      <w:r>
        <w:rPr>
          <w:rFonts w:ascii="SimSun" w:hAnsi="SimSun" w:eastAsia="SimSun" w:cs="SimSun"/>
          <w:color w:val="000000"/>
          <w:spacing w:val="7"/>
          <w:sz w:val="21"/>
        </w:rPr>
        <w:t xml:space="preserve">废弃物日产日清，并进行无害化处理。汛期保洁应符合河道防汛调度要求，当气象台发布黄色及以上暴雨信号或可能影响水面</w:t>
      </w:r>
      <w:r>
        <w:rPr>
          <w:rFonts w:ascii="SimSun" w:hAnsi="SimSun" w:eastAsia="SimSun" w:cs="SimSun"/>
          <w:color w:val="000000"/>
          <w:spacing w:val="9"/>
          <w:sz w:val="21"/>
        </w:rPr>
        <w:t xml:space="preserve">作业安全的灾害性天气预警时，不应开展河道保洁作业。</w:t>
      </w:r>
      <w:r/>
    </w:p>
    <w:p>
      <w:pPr>
        <w:ind w:left="3" w:right="0" w:firstLine="444"/>
        <w:jc w:val="both"/>
        <w:spacing w:before="143"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对陆域保洁、水面保洁、保洁频次等具体要求参照《鼓楼区城市河道养护技术管理规程》相关内容执行。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3.1河道及岸坡保洁、管理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配备符合要求的船只、工具及安全救生用具每天对河道及岸坡进行常态化保洁，保证洁净无垃圾，按时上下班，不脱岗、离岗、上班期间不饮酒、不聚众聊天。为保障行船安全定期对设施进行安全检查。河面、岸坡垃圾及时清运，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1、保洁员要配备专用船只、清捞工具、安全救生用具；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2、保洁员要按时上下班，身穿工作服、救生衣进行常态化保洁；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3、河面无影响水生态的杂草及障碍物；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4、河面及岸坡无垃圾；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5、垃圾及时清运至指定地点倾倒；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6、保洁员离船时保持保洁船只洁净，及时清除船舱内垃圾；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7、定期对相关设施进行安全检查；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8、岸坡硬化部分无人为损坏、无污渍、无杂物等；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9、河道管理范围内无违章行为。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3.2硬质驳坎保洁养护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保洁员要按规范对硬质驳坎进行常态化保洁，保证硬质驳坎干净整洁、无裂缝等，有问题及时处理并上报，清理的垃圾要做到日产日清。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1、定期对临水侧硬质驳坎进行清洗，清除垃圾；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2、硬质驳坎无松动、脱落、塌陷、架空等现象；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3、保持硬质驳坎干净整洁、无青苔、无杂物等。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（四）管养</w:t>
      </w:r>
      <w:r/>
    </w:p>
    <w:p>
      <w:pPr>
        <w:ind w:left="1" w:right="0" w:firstLine="0"/>
        <w:jc w:val="both"/>
        <w:spacing w:before="262"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7"/>
          <w:sz w:val="21"/>
        </w:rPr>
        <w:t xml:space="preserve">   </w:t>
      </w:r>
      <w:r>
        <w:rPr>
          <w:rFonts w:ascii="SimSun" w:hAnsi="SimSun" w:eastAsia="SimSun" w:cs="SimSun"/>
          <w:color w:val="000000"/>
          <w:spacing w:val="6"/>
          <w:sz w:val="21"/>
        </w:rPr>
        <w:t xml:space="preserve">对河道曝气设备、水生植物、水生动物、绿化和景观设施、堤防护坡、闸坝等设施进行管养，管养具体要求参照《鼓楼区城市河道养护技术管理规程》相关内容执行。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4.1曝气装置养护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曝气装置对河道起到净化水质的作用，要定期对设备进行检查与维护，出现异常情况及时上报采购人。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1、定期巡检曝气装置；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2、观察设备是否正常运行，控制柜功能是否正常；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3、观察设备运转是否正常（声音、水流水花等）；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4、观察设备的固定有无松动情况；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5、及时清理曝气周围漂浮物及垃圾，以免堵塞曝气进水口，影响其正常工作。若因养护清理不到位等原因造成的曝气设备异常，由中标供应商负责维修；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6、根据实际情况合理安排运行时间，且不对附近居民生活造成影响。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4.2水生态动植物养护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有重要的生态修复功用，净化水质的同时可以起到美化河道景观的作用，保洁员要定期对水生植物进行修剪保养工作，以防水生植物生长旺盛、过度蔓延，残枝败叶在水中积存、产生污染等。水生动物具备关键的水体生态调节作用，能够分解水体有机物、平衡水域生物群落，同时维持河道生态系统稳定。工作人员需定期巡查管护水生动物种群数量，防止生物过量繁殖、种群失衡，其代谢排泄物与死亡个体大量堆积，引发水体富营养化、水质恶化等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养护内容包含但不限于：水生态植物的修整、清杂、打捞或机割、枯萎/死株的清理、补种、病虫害防治等。水生植物需进行增肥。生态浮床床体的维护及更换。水生植物的购买补种。水生动物的定期巡查、外来物种入侵的检查及清除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1、及时修剪枯黄、枯死和倒伏植株，及时清理植物间及植物周围的杂物及垃圾；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2、沉水植物长出水面影响景观时，应进行人工打捞或机割，对于浮出水面的死株，应及时清除；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3、定期去除杂草，除草时注意不要破坏植物根系，在生长季节，定期对枯萎枝叶进行修剪；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4、对于因病虫害等原因造成的植物死亡时，应将植物撤出，并进行相应的补种；当植物有病虫害时，应及时消杀处理；定期检查是否存来外来物种入侵情况，发现及时上报并处置；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5、检查生态浮床有无破损、松散及链接扣有否掉落，及时清理附着在生态浮床周围的杂物或垃圾，浮床上植物如果发生歪倒，及时扶正或修剪。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6、生态浮床单体受到损坏时，依损坏程度进行修补或更换生态浮床单体，同时补种植物。因水位涨落或其它原因而导致生态浮床搁浅时，应及时复位加固处理。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7、台风、大风，大雨天气及强泄洪前后 2d~3d，应检查生态浮岛、种植篮等的固定情况，如有脱落及时固定。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、确保水生动物生态良好，无破坏生态的物种或入侵物种的情况，水生动物数量和物种匹配合理。对于物种比例失调等现象及时采取措施加以控制，确保生态系统结构合理稳定。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、常态巡查是否存在水生动物的私自放养和非法捕捞，发现后及时劝阻并留存相应凭证。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4.3绿化养护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岸坡绿化是一种能有效的防护裸露坡面的生态护坡方式，有重要的生态修复功用，同时可以起到美化河道景观的作用，保洁员要定期对岸坡绿化进行修剪保养工作， 以防绿化植物生长旺盛、过度蔓延。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1、保洁人员每日对绿化进行保洁，保证河岸范围内无垃圾、杂草；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2、河道岸坡绿化范围内无违章、废弃设施，无种菜、放养家禽宠物的行为；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3、定期对绿化进行修剪、施肥；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4、定期对岸坡绿化进行杀虫处理，定期巡查是否存在外来物种入侵，发现及时处置；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5、植物生长良好，无黄土裸露。</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4.4标警示牌养护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保洁员要定期对标警示牌进行清洁，保证标警示牌干净无破损，发现问题及时上报并处理。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1、对养护范围内的河道警示牌、宣传牌等标志标牌进行清洁、维修；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2、保证标志标牌外观完好整洁、字迹清楚；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3、保证标志标牌固定牢靠无晃动，无锈蚀、缺损。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4.5水质净化装置养护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生物培养基等水质净化装置净化装置通过自身的净化功能不断降解COD及氨氮等有机物，又不断培养微生物，通过配套水循环系统将周边优质水体和微生物扩散于整个水体中，净化水质的同时可消减底泥，出现异常情况及时上报并安排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1、日常检查微生物培养基布水系统，遇堵塞、水流变小等问题时及时进行疏通，确保布水均匀；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2、日常检查生物过滤毯表面是否被泥沙、杂物覆盖，如遇应及时用水枪冲刷清理；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3、日常检查水循环管道多点布水系统，确保多点布水系统运行正常；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4、日常检查风机、水泵运转是否正常；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5、按照采购人指令性任务要求，对微生物培养基等水质净化装置进行调度等运行管理；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结合装置实际运行工况及季节水位变化，汛期每周至少对生物过滤毯及配套过滤部件开展一次全面清洗保洁；非汛期每月至少清洁一次，及时清除附着泥沙、杂物及污物，保证过滤通透、过水顺畅，维持装置稳定净水效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4.6各类闸、溢流坝（堰）及阀门养护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养护人员做好各类闸、坝、溢流坝（堰）、阀门日常养护及保洁工作，定期开展巡查检查，保障设施运行完好、功能正常。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1、定期检查闸、坝、溢流坝（堰）及阀门启闭运行状况，确保启闭灵活、功能正常；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2、设施主体结构完好，无缺损、脱落、塌陷、破损等现象；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3、设施外观整洁，无锈蚀、无污物、无积泥、无青苔、无杂草植物附着；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4、及时清理设施周边及表面杂物、垃圾，保持整体干净整洁；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5、按照采购人指令性任务要求，在规定时间内完成设施调度等运行管理工作；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6、严格按照相关技术规范要求，做好各类部件日常保养维护工作。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4.7护栏、栏杆养护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1、护栏、栏杆应定期巡查确保设施牢固可靠，不得悬挂、晾晒物品；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2、发生变形、损坏，应及时修复，修复应与原结构、材质、色调协调；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3、立柱及水平构件松脱，应及时紧固或更换；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4、护栏表面应保持洁净，无锈蚀。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4.8拦污栅养护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1、拦污栅前的漂浮物应及时打捞；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2、拦污栅松动、变形损坏或不能正常使用时，应及时修理或更换；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3、拦污栅无锈蚀。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4.9水循环系统、排水系统养护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循环系统主要对河道中流动性差的水域进行补水，增加流动性，改善水质，排水系统为汛期应急调排系统，确保周边居民生命财产安全及环境安全。要定期对设备进行检查与维护，出现异常情况及时上报并安排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1、定期巡检水循环系统；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2、观察设备是否正常运行，控制柜功能是否正常；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3、观察设备运转是否正常；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4、观察设备的固定有无松动情况；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5、定期对设备进行保养，保证工况良好。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6、根据实际情况合理安排运行时间，且不对附近居民生活造成影响。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养护单位要针对人员配备、档案、信息化管理、度汛及应急管理等方面制定相关计划及制度，具体要求</w:t>
      </w:r>
      <w:r>
        <w:rPr>
          <w:rFonts w:ascii="SimSun" w:hAnsi="SimSun" w:eastAsia="SimSun" w:cs="SimSun"/>
          <w:color w:val="000000"/>
          <w:spacing w:val="6"/>
          <w:sz w:val="21"/>
        </w:rPr>
        <w:t xml:space="preserve">参照《鼓楼区城市河道养护技术管理规程》相关内容执行。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（六）其他事项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*服务期内，鼓楼区范围内如有新增移交的河道、水体及附属设施（按中标单价核算养护费用累计</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中标总价</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的）纳入本项目养护，养护费用不另行计算。本项目服务期内如有发生的额外相关维修费用累计</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人民币</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万元的，由中标人承担。如中标人申报费用超过</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万元，由采购人委托审计单位进行审计，按审定价扣减</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万元支付相关费用，审计费由采购人承担（审计核减率超</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，审计费由中标人承担）（提供相关承诺）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四、清单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合同中标额的</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作为合同周期内考核经费，待合同期结束后，依据考核情况或审计结果拨付；合同中标额的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个月等额拨付，每月拨付上月款项。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34" w:right="68" w:hanging="11"/>
        <w:jc w:val="center"/>
        <w:spacing w:before="261"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2026</w:t>
      </w:r>
      <w:r>
        <w:rPr>
          <w:rFonts w:ascii="SimSun" w:hAnsi="SimSun" w:eastAsia="SimSun" w:cs="SimSun"/>
          <w:b/>
          <w:color w:val="000000"/>
          <w:sz w:val="28"/>
        </w:rPr>
        <w:t xml:space="preserve">年鼓楼区金川河流域水生态养护服务项目考核办法</w:t>
      </w:r>
      <w:r/>
    </w:p>
    <w:p>
      <w:pPr>
        <w:ind w:left="0" w:right="0" w:firstLine="4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供应商中标后，应提前了解和熟悉养护内容，服从采购人管理，按照采购人相关管理制度执行，采购人根据工作要求组织检查、抽查和考核，根据上级部门考核标准、《</w:t>
      </w:r>
      <w:r>
        <w:rPr>
          <w:rFonts w:ascii="Times New Roman" w:hAnsi="Times New Roman" w:eastAsia="Times New Roman" w:cs="Times New Roman"/>
          <w:color w:val="000000"/>
          <w:sz w:val="22"/>
        </w:rPr>
        <w:t xml:space="preserve">CJJ68-2016</w:t>
      </w:r>
      <w:r>
        <w:rPr>
          <w:rFonts w:ascii="SimSun" w:hAnsi="SimSun" w:eastAsia="SimSun" w:cs="SimSun"/>
          <w:color w:val="000000"/>
          <w:sz w:val="22"/>
        </w:rPr>
        <w:t xml:space="preserve">城镇排水管渠与泵站运行、维护及安全技术规程》及我区编制《城市河道养护技术管理规程》（</w:t>
      </w:r>
      <w:r>
        <w:rPr>
          <w:rFonts w:ascii="Times New Roman" w:hAnsi="Times New Roman" w:eastAsia="Times New Roman" w:cs="Times New Roman"/>
          <w:color w:val="000000"/>
          <w:sz w:val="22"/>
        </w:rPr>
        <w:t xml:space="preserve">T/NEEPA003-2023</w:t>
      </w:r>
      <w:r>
        <w:rPr>
          <w:rFonts w:ascii="SimSun" w:hAnsi="SimSun" w:eastAsia="SimSun" w:cs="SimSun"/>
          <w:color w:val="000000"/>
          <w:sz w:val="22"/>
        </w:rPr>
        <w:t xml:space="preserve">）执行考核奖惩。本考核办法为试行办法，根据政策调整或执行情况经双方协商可调整或修改考核条款。</w:t>
      </w:r>
      <w:r/>
    </w:p>
    <w:p>
      <w:pPr>
        <w:numPr>
          <w:ilvl w:val="0"/>
          <w:numId w:val="14"/>
        </w:numPr>
        <w:jc w:val="both"/>
        <w:spacing w:before="0" w:after="16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2026</w:t>
      </w:r>
      <w:r>
        <w:rPr>
          <w:rFonts w:ascii="SimSun" w:hAnsi="SimSun" w:eastAsia="SimSun" w:cs="SimSun"/>
          <w:color w:val="000000"/>
          <w:sz w:val="22"/>
        </w:rPr>
        <w:t xml:space="preserve">年鼓楼区金川河流域水生态养护服务项目检查考核采用月度考核评分方式。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月度考核评分实行百分制，主要包括日常养护、设施调度指令执行、应急处置及指令性任务、管理及内页台账</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个方面：</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（一）日常养护及巡查情况</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供应商每月底前按照相关行业规范和工作要求，合理制定下一月养护计划并上报采购人，月度考核通过现场考核方式，对养护完成工作量、现场设备运行等情况实行抽查考核。</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（二）设施调度指令执行完成情况</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供应商须严格执行采购人下发的各项调度指令，并在规定时间内完成。</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（三）应急处置及指令性任务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供应商应及时发现、上报、处置各类应急事件，并完成采购人下发的指令性任务。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（四）管理及内页台账</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供应商应做好各类预案、养护巡查报表等台账资料的整理、归档、保存，并做好各类应急预案、安全文明施工等管理制度。</w:t>
      </w:r>
      <w:r/>
    </w:p>
    <w:p>
      <w:pPr>
        <w:numPr>
          <w:ilvl w:val="0"/>
          <w:numId w:val="14"/>
        </w:numPr>
        <w:spacing w:before="0" w:after="16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考核指标及加减分明细（满分</w:t>
      </w: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p>
      <w:pPr>
        <w:ind w:left="420" w:right="0" w:firstLine="422"/>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（一）日常养护及巡查</w:t>
      </w:r>
      <w:r/>
    </w:p>
    <w:p>
      <w:pPr>
        <w:ind w:left="420" w:right="0" w:firstLine="422"/>
        <w:spacing w:before="0" w:after="16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、河道及附属设施养护</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194"/>
        <w:gridCol w:w="3216"/>
        <w:gridCol w:w="2410"/>
        <w:gridCol w:w="1873"/>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未按日常巡查、定期巡查、专项巡查的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巡查不到位、记录不全面、相关问题未及时发现上报的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影响水质、水环境的扣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对违法、违章行为未进行劝阻和制止，并如实记录取证上报的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造成严重后果的扣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对堤防巡查不到位、记录不全面、相关问题未及时上报的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造成严重后果的扣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作业工具、设备及安全用品不到位的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垃圾未在固定范围堆放或范围超过</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平方，未落实废弃物日产日清，并进行无害化处理的，未定期清洗果皮</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垃圾箱的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未能落实陆域保洁质量要求的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未能落实水面保洁质量要求的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水面漂浮物单处聚集面积超过</w:t>
            </w:r>
            <w:r>
              <w:rPr>
                <w:rFonts w:ascii="Times New Roman" w:hAnsi="Times New Roman" w:eastAsia="Times New Roman" w:cs="Times New Roman"/>
                <w:color w:val="000000"/>
                <w:sz w:val="22"/>
              </w:rPr>
              <w:t xml:space="preserve">1 m2 </w:t>
            </w:r>
            <w:r>
              <w:rPr>
                <w:rFonts w:ascii="SimSun" w:hAnsi="SimSun" w:eastAsia="SimSun" w:cs="SimSun"/>
                <w:color w:val="000000"/>
                <w:sz w:val="22"/>
              </w:rPr>
              <w:t xml:space="preserve">扣 </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分，超</w:t>
            </w:r>
            <w:r>
              <w:rPr>
                <w:rFonts w:ascii="Times New Roman" w:hAnsi="Times New Roman" w:eastAsia="Times New Roman" w:cs="Times New Roman"/>
                <w:color w:val="000000"/>
                <w:sz w:val="22"/>
              </w:rPr>
              <w:t xml:space="preserve">3 m2</w:t>
            </w: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拦截设施拦截堆积的漂浮物累计长度超过河宽的</w:t>
            </w:r>
            <w:r>
              <w:rPr>
                <w:rFonts w:ascii="Times New Roman" w:hAnsi="Times New Roman" w:eastAsia="Times New Roman" w:cs="Times New Roman"/>
                <w:color w:val="000000"/>
                <w:sz w:val="22"/>
              </w:rPr>
              <w:t xml:space="preserve">5 %</w:t>
            </w: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未按规定频次和作业时间完成保洁任务的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保洁人员在工作时间内长时间休息、玩手机等非养护保洁行为的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养护船只随意摆放，影响河面观感的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绿化与景观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未落实规定绿化养护频次的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养护质量未达到</w:t>
            </w:r>
            <w:r>
              <w:rPr>
                <w:rFonts w:ascii="Times New Roman" w:hAnsi="Times New Roman" w:eastAsia="Times New Roman" w:cs="Times New Roman"/>
                <w:color w:val="000000"/>
                <w:sz w:val="22"/>
              </w:rPr>
              <w:t xml:space="preserve">DB 3201/T 296.3</w:t>
            </w:r>
            <w:r>
              <w:rPr>
                <w:rFonts w:ascii="SimSun" w:hAnsi="SimSun" w:eastAsia="SimSun" w:cs="SimSun"/>
                <w:color w:val="000000"/>
                <w:sz w:val="22"/>
              </w:rPr>
              <w:t xml:space="preserve">标准要求的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情节严重的扣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12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景观设施损坏未及时修复或修复标准不达标的（包含木纹铝板、铝板景墙、景观照明等所有绿化及景观设施）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未能落实硬质护坡、生态护坡、硬化区域养护作业要求的养护质量的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4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情节严重的扣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附属设施缺损或存在安全隐患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缺损的扣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处；存在安全隐患的扣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警示牌、宣传牌、栏杆、等附属设施损坏、缺失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处，缺失的扣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河道栏杆未按要求保养、安全隐患未及时消除、损坏未及时修复的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设施管理用房、水文化馆管护、保洁或活动等保障不到位的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造成恶劣影响的扣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闸门、坝、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拦污栅等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拦污栅悬空、淹没、阻水﹥</w:t>
            </w:r>
            <w:r>
              <w:rPr>
                <w:rFonts w:ascii="Times New Roman" w:hAnsi="Times New Roman" w:eastAsia="Times New Roman" w:cs="Times New Roman"/>
                <w:color w:val="000000"/>
                <w:sz w:val="22"/>
              </w:rPr>
              <w:t xml:space="preserve">20cm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未落实闸阀日常养护要求的（参照</w:t>
            </w:r>
            <w:r>
              <w:rPr>
                <w:rFonts w:ascii="Times New Roman" w:hAnsi="Times New Roman" w:eastAsia="Times New Roman" w:cs="Times New Roman"/>
                <w:color w:val="000000"/>
                <w:sz w:val="22"/>
              </w:rPr>
              <w:t xml:space="preserve">CJJ68-4.4</w:t>
            </w:r>
            <w:r>
              <w:rPr>
                <w:rFonts w:ascii="SimSun" w:hAnsi="SimSun" w:eastAsia="SimSun" w:cs="SimSun"/>
                <w:color w:val="000000"/>
                <w:sz w:val="22"/>
              </w:rPr>
              <w:t xml:space="preserve">相关规定）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仪表与自控检查不到位、未开展定期维护的（参照</w:t>
            </w:r>
            <w:r>
              <w:rPr>
                <w:rFonts w:ascii="Times New Roman" w:hAnsi="Times New Roman" w:eastAsia="Times New Roman" w:cs="Times New Roman"/>
                <w:color w:val="000000"/>
                <w:sz w:val="22"/>
              </w:rPr>
              <w:t xml:space="preserve">CJJ68-4.5</w:t>
            </w:r>
            <w:r>
              <w:rPr>
                <w:rFonts w:ascii="SimSun" w:hAnsi="SimSun" w:eastAsia="SimSun" w:cs="SimSun"/>
                <w:color w:val="000000"/>
                <w:sz w:val="22"/>
              </w:rPr>
              <w:t xml:space="preserve">相关规定）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闸门或坝破损、腐锈、裂纹、穿孔，闸槽杂物；启动装置失灵、故障；附属设施损坏等问题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分；闸门、坝不能正常启闭，扣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分；闸门、坝体破损扣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汛期加倍扣分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其它违反《城市河道养护技术管理规程》（</w:t>
            </w:r>
            <w:r>
              <w:rPr>
                <w:rFonts w:ascii="Times New Roman" w:hAnsi="Times New Roman" w:eastAsia="Times New Roman" w:cs="Times New Roman"/>
                <w:color w:val="000000"/>
                <w:sz w:val="22"/>
              </w:rPr>
              <w:t xml:space="preserve">T/NEEPA 003-2023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CJJ68-2016</w:t>
            </w:r>
            <w:r>
              <w:rPr>
                <w:rFonts w:ascii="SimSun" w:hAnsi="SimSun" w:eastAsia="SimSun" w:cs="SimSun"/>
                <w:color w:val="000000"/>
                <w:sz w:val="22"/>
              </w:rPr>
              <w:t xml:space="preserve">城镇排水管渠与泵站运行、维护及安全技术规程》的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未按标准执行或成效不符合要求的，视情节和后果严重程度，扣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12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、水生态相关设施养护</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054"/>
        <w:gridCol w:w="5087"/>
        <w:gridCol w:w="190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未定期巡查水生植物生长情况、是否有病虫害及外来物种入侵等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水生植物范围内有垃圾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未定期修剪枯黄、枯死、倒伏的植株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水生植物泛滥影响景观时，未及时打捞或机割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植被死亡后未及时撤除并补种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生态浮岛浮框破损，未及时修补或更换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生态浮岛移位未及时固定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水生动物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未及时发现水生动物的私自放养和非法捕捞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未及时采取有效措施清理外来入侵生物（如福寿螺等）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both"/>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河道藻华暴发应急处置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藻华易暴发时期未进行定期巡查并发现问题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无藻华暴发应急处置预案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未及时采取管控措施（曝气装置调控运行、河道水体循环等）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曝气及附属设施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未巡查、未及时发现问题并上报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曝气及附属设施有维护不到位情况（运作异常、有堵塞现象、设备缆绳或支架有松动等）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未定期对设备进行保养（涂油、清理等）、电路测试及设备的绝缘性能检查的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曝气设备周围有垃圾或漂浮物聚集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曝气及附属设施发生故障，供应商应及时维修处置，处置不及时或不到位的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曝气设备未按照采购人指令要求及时完成的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水质微站及附属设施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未按计划巡检水质微站装置及附属设施，未及时发现问题并上报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系统及附属设施有维护不到位情况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跌水堰、溢流堰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堰主体存在青苔、植物及积泥等杂物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堰主体破损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其他不符合《城市河道养护技术管理规程》等相关管理要求及规定的情况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（二）调度指令执行</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6"/>
        <w:gridCol w:w="2917"/>
        <w:gridCol w:w="2322"/>
        <w:gridCol w:w="266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在采购人要求人员现场值守待命后，调度执行人员缺岗或未在规定时间就位的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因人员未及时就位导致设备调度延迟，造成路面积水等不良影响的，加倍扣减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调度指令下发后，未按指令要求和规定时间完成的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每延误</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分钟，加扣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分（上限</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设施调度未按设计或系统设定水位运行的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设施调度期间，因操作失当等造成设施开关异常的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其他不符合相关调度指令要求及规定的情况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（三）应急处置及指令性任务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5735"/>
        <w:gridCol w:w="19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供应商应完成采购人布置的各类临时性或指令性任务，未能在规定时间内完成的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项目负责人、技术人员及安全员未按采购人要求到达现场的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应急处置现场人员未做好佩戴救生衣、安全帽、防电等安全文明措施的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应急事件发生后，未及时制定并上报有效处置方案，导致进度迟缓的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组织不合理，效率低下，人员、物资、机械设备、现场管理混乱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其他不符合相关应急处置及指令性要求及规定的情况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养护质效突出，任务执行有力，得到群众或相关部门、单位、媒体正面肯定的，或主动作为促动养护提升的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视情加</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bl>
    <w:p>
      <w:pPr>
        <w:ind w:left="0" w:right="0" w:firstLine="0"/>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（四）管理及内业台账</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5033"/>
        <w:gridCol w:w="1669"/>
        <w:gridCol w:w="7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未制定月度养护计划并按要求上报的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未及时在市智慧水务监管平台、区智慧水务平台等信息化平台上报相关养护计划、调度指令执行、工单闭环的，或填报内容有明显错误、遗漏的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相关记录、报表等台账资料（养护、安全等）格式不规范、内容有明显错误或遗漏的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资料上报、归档不及时，未按采购人要求的时间节点报送的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每延迟</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天扣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分（上限</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因台账资料保管不善导致损毁、丢失的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日常养护工作场所相关的安全、规程、岗位等制度未上墙的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未落实规范的用工制度、签订劳动合同、办理社会基本保险等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未按技术规程规程要求建立完善的快速处置突发事件的预案和应急机制，未按预案要求配置人员、设备、物资等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未按照招标文件或合同要求，未按要求开展、未按时间节点提供相关水生态调查、成果报告的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分，每延误</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天加扣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生态养护评估报告未通过专家评审的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直接扣除</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万元，并督促完善相关工作，直至通过专家评审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其他不符合相关管理及内业要求及规定的情况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42"/>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三、关键工作指标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7913"/>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jc w:val="center"/>
              <w:spacing w:before="0" w:after="1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考核项目及奖惩标准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因维护、监管、巡查、处置等不到位被市、区领导或上级主管部门发现并点名批评的，造成不良影响的，扣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因养护工作不力导致市对区考核扣分的，扣</w:t>
            </w:r>
            <w:r>
              <w:rPr>
                <w:rFonts w:ascii="Times New Roman" w:hAnsi="Times New Roman" w:eastAsia="Times New Roman" w:cs="Times New Roman"/>
                <w:color w:val="000000"/>
                <w:sz w:val="22"/>
              </w:rPr>
              <w:t xml:space="preserve">0.5</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因全市相关创建目标工作不力影响创建成绩的扣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次，因养护等工作不力造成社会重大负面影响的扣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纳入市、局目标考核的重点指令性任务未完成的，扣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项</w:t>
            </w:r>
            <w:r/>
          </w:p>
        </w:tc>
      </w:tr>
      <w:tr>
        <w:trPr>
          <w:trHeight w:val="1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发生安全生产事故，未造成人身伤害的，扣</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次，造成人身伤害的，扣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因维护不到位造成被通报安全性事故的扣</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次。发生重大安全责任事故扣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次。由于突发事件现场处置不当，发生衍生事故的扣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采购人向供应商发出警告处罚及责令整改通知，扣</w:t>
            </w:r>
            <w:r>
              <w:rPr>
                <w:rFonts w:ascii="Times New Roman" w:hAnsi="Times New Roman" w:eastAsia="Times New Roman" w:cs="Times New Roman"/>
                <w:color w:val="000000"/>
                <w:sz w:val="22"/>
              </w:rPr>
              <w:t xml:space="preserve">0.1-1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存在擅自将所维护的设施出租、抵押、担保或利用其从事其他经营性行为的，发现一次扣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万元，并收缴其违规所得。</w:t>
            </w:r>
            <w:r/>
          </w:p>
        </w:tc>
      </w:tr>
    </w:tbl>
    <w:p>
      <w:pPr>
        <w:ind w:left="0" w:right="0" w:firstLine="221"/>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四、其他事项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、接到采购人任务指令后，供应商原则上</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个小时内必须进场（客观原因或不可抗力因素除外），同时做好进场准备：包括人员准备、施工材料准备以及技术准备。非因客观原因或不可抗力推迟进场，将予以警告处罚并责令整改。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、供应商项目负责人不得单方面更换，确因特殊原因需更换必须书面报告采购人，征得采购人同意后方可更换，否则采购人有权终止合同并责令供应商退场。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、供应商作业人员在施工时应当统一着装，并按照要求采取有效的安全防护措施，同时安排专职安全人员进行安全管理和监督，以确保作业安全，未按要求作业的，将予以警告处罚并责令整改。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当气象台发布黄色及以上暴雨信号或可能影响水面作业安全的灾害性天气预警时，不宜开展相关河面作业。台风、暴雨等灾害性天气及洪水过后应组织力量进行应急处置，加大养护力度，增加养护频次，及时清理垃圾等废弃物、生态浮岛浮框等。</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、垃圾、淤泥等废弃物处理：按照技术规程和国家相关规范要求及市水务主管部门要求，运输、处置、处理淤泥、垃圾和相关废弃物未按以上要求作业的，将予以警告处罚并责令整改。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安全生产：供应商做好项目范围内作业安全保障工作，建立健全各项安全工作体系，落实各项安全措施，加强作业人员安全思想教育工作，完善各类安全台账，确保养护工作安全有序进行。若发生重大安全责任事故或造成重大影响，采购人有权终止合同并责令供应商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、供应商在重大节日、</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迎检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创建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等期间按要求完成采购人交办的突击性任务和指令性任务。未能及时响应完成的，将予以警告处罚并责令整改。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、因作业管理不当，造成严重负面影响，或受到上级相关部门点名批评的，将予以警告处罚并责令整改；因作业管理不当，经媒体曝光、</w:t>
      </w:r>
      <w:r>
        <w:rPr>
          <w:rFonts w:ascii="Times New Roman" w:hAnsi="Times New Roman" w:eastAsia="Times New Roman" w:cs="Times New Roman"/>
          <w:color w:val="000000"/>
          <w:sz w:val="22"/>
        </w:rPr>
        <w:t xml:space="preserve">12345</w:t>
      </w:r>
      <w:r>
        <w:rPr>
          <w:rFonts w:ascii="SimSun" w:hAnsi="SimSun" w:eastAsia="SimSun" w:cs="SimSun"/>
          <w:color w:val="000000"/>
          <w:sz w:val="22"/>
        </w:rPr>
        <w:t xml:space="preserve">政务热线、网络问政、公众监督网等举报，一经查实，将予以警告处罚并责令整改。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、因养护、维护、操作、调度执行、水位控制不当等原因，发生人员伤亡和财产损失的，由供应商负责赔偿相关损失，且采购人有权终止合同并责令供应商退场。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供应商违反考核办法规定，根据问题严重程度，除兑现考核奖惩外，采购人视情况可给予供应商警告处罚或责令整改通知；除上述涉及退场条件的条款外，同类事件第二次警告处罚或责令整改，除兑现考核奖惩外，额外扣罚人民币</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次；同类事件累计发生三次警告处罚或责令整改，采购人有权终止合同并责令供应商退场，并取消供应商再次投标资格。</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、项目考核周期及经费奖惩：每月专项考核一次加不定期巡查。月度考核成绩</w:t>
      </w:r>
      <w:r>
        <w:rPr>
          <w:rFonts w:ascii="Times New Roman" w:hAnsi="Times New Roman" w:eastAsia="Times New Roman" w:cs="Times New Roman"/>
          <w:color w:val="000000"/>
          <w:sz w:val="22"/>
        </w:rPr>
        <w:t xml:space="preserve">95</w:t>
      </w:r>
      <w:r>
        <w:rPr>
          <w:rFonts w:ascii="SimSun" w:hAnsi="SimSun" w:eastAsia="SimSun" w:cs="SimSun"/>
          <w:color w:val="000000"/>
          <w:sz w:val="22"/>
        </w:rPr>
        <w:t xml:space="preserve">分（含）</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分的，不扣除养护经费；</w:t>
      </w:r>
      <w:r>
        <w:rPr>
          <w:rFonts w:ascii="Times New Roman" w:hAnsi="Times New Roman" w:eastAsia="Times New Roman" w:cs="Times New Roman"/>
          <w:color w:val="000000"/>
          <w:sz w:val="22"/>
        </w:rPr>
        <w:t xml:space="preserve">90</w:t>
      </w:r>
      <w:r>
        <w:rPr>
          <w:rFonts w:ascii="SimSun" w:hAnsi="SimSun" w:eastAsia="SimSun" w:cs="SimSun"/>
          <w:color w:val="000000"/>
          <w:sz w:val="22"/>
        </w:rPr>
        <w:t xml:space="preserve">（含）</w:t>
      </w:r>
      <w:r>
        <w:rPr>
          <w:rFonts w:ascii="Times New Roman" w:hAnsi="Times New Roman" w:eastAsia="Times New Roman" w:cs="Times New Roman"/>
          <w:color w:val="000000"/>
          <w:sz w:val="22"/>
        </w:rPr>
        <w:t xml:space="preserve">-94</w:t>
      </w:r>
      <w:r>
        <w:rPr>
          <w:rFonts w:ascii="SimSun" w:hAnsi="SimSun" w:eastAsia="SimSun" w:cs="SimSun"/>
          <w:color w:val="000000"/>
          <w:sz w:val="22"/>
        </w:rPr>
        <w:t xml:space="preserve">分的，相较于</w:t>
      </w:r>
      <w:r>
        <w:rPr>
          <w:rFonts w:ascii="Times New Roman" w:hAnsi="Times New Roman" w:eastAsia="Times New Roman" w:cs="Times New Roman"/>
          <w:color w:val="000000"/>
          <w:sz w:val="22"/>
        </w:rPr>
        <w:t xml:space="preserve">95</w:t>
      </w:r>
      <w:r>
        <w:rPr>
          <w:rFonts w:ascii="SimSun" w:hAnsi="SimSun" w:eastAsia="SimSun" w:cs="SimSun"/>
          <w:color w:val="000000"/>
          <w:sz w:val="22"/>
        </w:rPr>
        <w:t xml:space="preserve">分每低</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分扣除</w:t>
      </w:r>
      <w:r>
        <w:rPr>
          <w:rFonts w:ascii="Times New Roman" w:hAnsi="Times New Roman" w:eastAsia="Times New Roman" w:cs="Times New Roman"/>
          <w:color w:val="000000"/>
          <w:sz w:val="22"/>
        </w:rPr>
        <w:t xml:space="preserve">0.2</w:t>
      </w:r>
      <w:r>
        <w:rPr>
          <w:rFonts w:ascii="SimSun" w:hAnsi="SimSun" w:eastAsia="SimSun" w:cs="SimSun"/>
          <w:color w:val="000000"/>
          <w:sz w:val="22"/>
        </w:rPr>
        <w:t xml:space="preserve">万元；考核成绩小于</w:t>
      </w:r>
      <w:r>
        <w:rPr>
          <w:rFonts w:ascii="Times New Roman" w:hAnsi="Times New Roman" w:eastAsia="Times New Roman" w:cs="Times New Roman"/>
          <w:color w:val="000000"/>
          <w:sz w:val="22"/>
        </w:rPr>
        <w:t xml:space="preserve">90</w:t>
      </w:r>
      <w:r>
        <w:rPr>
          <w:rFonts w:ascii="SimSun" w:hAnsi="SimSun" w:eastAsia="SimSun" w:cs="SimSun"/>
          <w:color w:val="000000"/>
          <w:sz w:val="22"/>
        </w:rPr>
        <w:t xml:space="preserve">分的，在扣除</w:t>
      </w:r>
      <w:r>
        <w:rPr>
          <w:rFonts w:ascii="Times New Roman" w:hAnsi="Times New Roman" w:eastAsia="Times New Roman" w:cs="Times New Roman"/>
          <w:color w:val="000000"/>
          <w:sz w:val="22"/>
        </w:rPr>
        <w:t xml:space="preserve">0.2*5=1</w:t>
      </w:r>
      <w:r>
        <w:rPr>
          <w:rFonts w:ascii="SimSun" w:hAnsi="SimSun" w:eastAsia="SimSun" w:cs="SimSun"/>
          <w:color w:val="000000"/>
          <w:sz w:val="22"/>
        </w:rPr>
        <w:t xml:space="preserve">万元基础上，相较于</w:t>
      </w:r>
      <w:r>
        <w:rPr>
          <w:rFonts w:ascii="Times New Roman" w:hAnsi="Times New Roman" w:eastAsia="Times New Roman" w:cs="Times New Roman"/>
          <w:color w:val="000000"/>
          <w:sz w:val="22"/>
        </w:rPr>
        <w:t xml:space="preserve">90</w:t>
      </w:r>
      <w:r>
        <w:rPr>
          <w:rFonts w:ascii="SimSun" w:hAnsi="SimSun" w:eastAsia="SimSun" w:cs="SimSun"/>
          <w:color w:val="000000"/>
          <w:sz w:val="22"/>
        </w:rPr>
        <w:t xml:space="preserve">分每低</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分扣除</w:t>
      </w:r>
      <w:r>
        <w:rPr>
          <w:rFonts w:ascii="Times New Roman" w:hAnsi="Times New Roman" w:eastAsia="Times New Roman" w:cs="Times New Roman"/>
          <w:color w:val="000000"/>
          <w:sz w:val="22"/>
        </w:rPr>
        <w:t xml:space="preserve">0.3</w:t>
      </w:r>
      <w:r>
        <w:rPr>
          <w:rFonts w:ascii="SimSun" w:hAnsi="SimSun" w:eastAsia="SimSun" w:cs="SimSun"/>
          <w:color w:val="000000"/>
          <w:sz w:val="22"/>
        </w:rPr>
        <w:t xml:space="preserve">万元。若累计有三次月考核成绩低于（不含）</w:t>
      </w:r>
      <w:r>
        <w:rPr>
          <w:rFonts w:ascii="Times New Roman" w:hAnsi="Times New Roman" w:eastAsia="Times New Roman" w:cs="Times New Roman"/>
          <w:color w:val="000000"/>
          <w:sz w:val="22"/>
        </w:rPr>
        <w:t xml:space="preserve">85</w:t>
      </w:r>
      <w:r>
        <w:rPr>
          <w:rFonts w:ascii="SimSun" w:hAnsi="SimSun" w:eastAsia="SimSun" w:cs="SimSun"/>
          <w:color w:val="000000"/>
          <w:sz w:val="22"/>
        </w:rPr>
        <w:t xml:space="preserve">分，采购人有权终止合同并责令供应商无条件退场。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考核扣除经费的使用：考核扣除经费可用于日常养护职责范围之外的相关备品备件购置、附属设施更新、维修改造等设施养护和提升工作。供应商按采购人要求落实，或根据日常养护实际需要，形成建议报告并报采购人同意后实施。产生费用经采购人审核后在考核扣减经费中列支，在支付合同约定的尾款第二次费用时按实核算拨付，总额不超过扣减经费总额，购置相关备品备件的，原则上应与既有设施相同规格或根据需要优化调整，不得擅自降低设备参数。</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、采购人可根据管理需要更新、修订或制定相关管理制度，供应商应配合执行。其他未尽事宜，由双方协商解决。</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5"/>
        </w:numPr>
        <w:jc w:val="center"/>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合同主要条款及格式</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南京市政府采购合同</w:t>
      </w:r>
      <w:r/>
    </w:p>
    <w:p>
      <w:pPr>
        <w:ind w:left="0" w:right="0" w:firstLine="315"/>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32"/>
        </w:rPr>
        <w:t xml:space="preserve"> </w:t>
      </w:r>
      <w:r/>
    </w:p>
    <w:p>
      <w:pPr>
        <w:ind w:left="0" w:right="0" w:firstLine="315"/>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315"/>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18"/>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rPr>
          <w:rFonts w:ascii="SimSun" w:hAnsi="SimSun" w:eastAsia="SimSun" w:cs="SimSun"/>
          <w:b/>
          <w:color w:val="000000"/>
          <w:sz w:val="32"/>
          <w:u w:val="single"/>
        </w:rPr>
        <w:t xml:space="preserve">          </w:t>
      </w:r>
      <w:r/>
    </w:p>
    <w:p>
      <w:pPr>
        <w:ind w:left="0" w:right="0" w:firstLine="1918"/>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rPr>
          <w:rFonts w:ascii="SimSun" w:hAnsi="SimSun" w:eastAsia="SimSun" w:cs="SimSun"/>
          <w:b/>
          <w:color w:val="000000"/>
          <w:sz w:val="32"/>
          <w:u w:val="single"/>
        </w:rPr>
        <w:t xml:space="preserve">          </w:t>
      </w:r>
      <w:r/>
    </w:p>
    <w:p>
      <w:pPr>
        <w:ind w:left="0" w:right="0" w:firstLine="1918"/>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使用单位 ：</w:t>
      </w:r>
      <w:r>
        <w:rPr>
          <w:rFonts w:ascii="SimSun" w:hAnsi="SimSun" w:eastAsia="SimSun" w:cs="SimSun"/>
          <w:b/>
          <w:color w:val="000000"/>
          <w:sz w:val="32"/>
          <w:u w:val="single"/>
        </w:rPr>
        <w:t xml:space="preserve">          </w:t>
      </w:r>
      <w:r/>
    </w:p>
    <w:p>
      <w:pPr>
        <w:ind w:left="0" w:right="0" w:firstLine="1916"/>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供货单位 ：</w:t>
      </w:r>
      <w:r>
        <w:rPr>
          <w:rFonts w:ascii="SimSun" w:hAnsi="SimSun" w:eastAsia="SimSun" w:cs="SimSun"/>
          <w:b/>
          <w:color w:val="000000"/>
          <w:sz w:val="32"/>
          <w:u w:val="single"/>
        </w:rPr>
        <w:t xml:space="preserve">          </w:t>
      </w:r>
      <w:r/>
    </w:p>
    <w:p>
      <w:pPr>
        <w:ind w:left="0" w:right="0" w:firstLine="1916"/>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 ：</w:t>
      </w:r>
      <w:r>
        <w:rPr>
          <w:rFonts w:ascii="SimSun" w:hAnsi="SimSun" w:eastAsia="SimSun" w:cs="SimSun"/>
          <w:b/>
          <w:color w:val="000000"/>
          <w:sz w:val="32"/>
          <w:u w:val="single"/>
        </w:rPr>
        <w:t xml:space="preserve">          </w:t>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b/>
          <w:color w:val="000000"/>
          <w:sz w:val="32"/>
        </w:rPr>
        <w:t xml:space="preserve">   </w:t>
      </w:r>
      <w:r/>
    </w:p>
    <w:p>
      <w:pPr>
        <w:ind w:left="0" w:right="0" w:firstLine="2984"/>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 京 市 财 政 局 监 制</w:t>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 </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0"/>
        <w:gridCol w:w="4250"/>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2"/>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参照《中华人民共和国政府采购法》、《中华人民共和国民法典》（合同编）的有关规定，由（甲方）委托（乙方）承担本合同规定内容。经双方友好协商，签订本合同。</w:t>
      </w:r>
      <w:r/>
    </w:p>
    <w:p>
      <w:pPr>
        <w:ind w:left="0" w:right="0" w:firstLine="422"/>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第一条合同标的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2026年鼓楼区金川河流域水生态养护服务项目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25" w:right="54" w:firstLine="395"/>
        <w:jc w:val="both"/>
        <w:spacing w:before="24" w:after="16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对河道蓝线范围内的水面、堤防护坡、排水、绿化等水务设施进行的巡查、保洁、管养，</w:t>
      </w:r>
      <w:r>
        <w:rPr>
          <w:rFonts w:ascii="SimSun" w:hAnsi="SimSun" w:eastAsia="SimSun" w:cs="SimSun"/>
          <w:color w:val="000000"/>
          <w:spacing w:val="6"/>
          <w:sz w:val="21"/>
        </w:rPr>
        <w:t xml:space="preserve"> 以及相关的监测、管理工作。</w:t>
      </w:r>
      <w:r/>
    </w:p>
    <w:p>
      <w:pPr>
        <w:ind w:left="72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涉及范围为：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1737"/>
        <w:gridCol w:w="2749"/>
        <w:gridCol w:w="2400"/>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起点-终点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河道长度（m）</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外金川河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节制闸-长江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2781.03</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内金川河东支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丁家桥涵西端-内金川主流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1202.97</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内金川河老主流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内金川主流-西北护城河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1259.61</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内金川河西支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回龙桥中-内金川老主流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377.23</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内金川河中支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宁海中学南墙-内金川老主流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1340.91</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内金川河主流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大树根闸-金川河泵站前池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2817.61</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城北护城河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中央路桥中-三河听涛翻板闸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1947.76</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二仙沟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金燕路-金陵乡泵站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1035.27</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南十里长沟主流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十字街-铁路涵北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2029.7</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南十里长沟一支流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铁路边-外金川主流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2416.7</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张王庙沟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汽轮研究所-城北护城河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755.67</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大庙沟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幕府南路-大庙沟泵站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1049.3</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19013.76 </w:t>
            </w:r>
            <w:r/>
          </w:p>
        </w:tc>
      </w:tr>
    </w:tbl>
    <w:p>
      <w:pPr>
        <w:ind w:left="0" w:right="0" w:firstLine="42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为保证本项目养护服务质量，至少提供：船只</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条；水草修割船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条；垃圾清运车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辆；巡查车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辆；喷雾器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只；打草机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台；油锯</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只；冲洗水泵</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（一）基本要求</w:t>
      </w:r>
      <w:r/>
    </w:p>
    <w:p>
      <w:pPr>
        <w:ind w:left="32" w:right="70" w:firstLine="452"/>
        <w:jc w:val="both"/>
        <w:spacing w:before="261"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1.1  </w:t>
      </w:r>
      <w:r>
        <w:rPr>
          <w:rFonts w:ascii="SimSun" w:hAnsi="SimSun" w:eastAsia="SimSun" w:cs="SimSun"/>
          <w:color w:val="000000"/>
          <w:spacing w:val="8"/>
          <w:sz w:val="21"/>
        </w:rPr>
        <w:t xml:space="preserve">河道养护应遵循</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经常养护、及时维修、养修并重</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的原则，养护维修后，其标准</w:t>
      </w:r>
      <w:r>
        <w:rPr>
          <w:rFonts w:ascii="SimSun" w:hAnsi="SimSun" w:eastAsia="SimSun" w:cs="SimSun"/>
          <w:color w:val="000000"/>
          <w:spacing w:val="7"/>
          <w:sz w:val="21"/>
        </w:rPr>
        <w:t xml:space="preserve">不应低于</w:t>
      </w:r>
      <w:r>
        <w:rPr>
          <w:rFonts w:ascii="SimSun" w:hAnsi="SimSun" w:eastAsia="SimSun" w:cs="SimSun"/>
          <w:color w:val="000000"/>
          <w:spacing w:val="5"/>
          <w:sz w:val="21"/>
        </w:rPr>
        <w:t xml:space="preserve">原设计要求。</w:t>
      </w:r>
      <w:r/>
    </w:p>
    <w:p>
      <w:pPr>
        <w:ind w:left="32" w:right="70" w:firstLine="452"/>
        <w:jc w:val="both"/>
        <w:spacing w:before="143" w:after="160" w:line="6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1.2  </w:t>
      </w:r>
      <w:r>
        <w:rPr>
          <w:rFonts w:ascii="SimSun" w:hAnsi="SimSun" w:eastAsia="SimSun" w:cs="SimSun"/>
          <w:color w:val="000000"/>
          <w:spacing w:val="8"/>
          <w:sz w:val="21"/>
        </w:rPr>
        <w:t xml:space="preserve">河道养护应保证河道设施的安全、完好和整洁，</w:t>
      </w:r>
      <w:r>
        <w:rPr>
          <w:rFonts w:ascii="SimSun" w:hAnsi="SimSun" w:eastAsia="SimSun" w:cs="SimSun"/>
          <w:color w:val="000000"/>
          <w:spacing w:val="7"/>
          <w:sz w:val="21"/>
        </w:rPr>
        <w:t xml:space="preserve">并为河道水质长期稳定达标、水生生态系</w:t>
      </w:r>
      <w:r>
        <w:rPr>
          <w:rFonts w:ascii="SimSun" w:hAnsi="SimSun" w:eastAsia="SimSun" w:cs="SimSun"/>
          <w:color w:val="000000"/>
          <w:spacing w:val="6"/>
          <w:sz w:val="21"/>
        </w:rPr>
        <w:t xml:space="preserve">统持续优化服务。</w:t>
      </w:r>
      <w:r/>
    </w:p>
    <w:p>
      <w:pPr>
        <w:ind w:left="22" w:right="0" w:firstLine="452"/>
        <w:jc w:val="both"/>
        <w:spacing w:before="145"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1.3  </w:t>
      </w:r>
      <w:r>
        <w:rPr>
          <w:rFonts w:ascii="SimSun" w:hAnsi="SimSun" w:eastAsia="SimSun" w:cs="SimSun"/>
          <w:color w:val="000000"/>
          <w:spacing w:val="8"/>
          <w:sz w:val="21"/>
        </w:rPr>
        <w:t xml:space="preserve">河道养护应在满足河道行洪安全要求的前提下，</w:t>
      </w:r>
      <w:r>
        <w:rPr>
          <w:rFonts w:ascii="SimSun" w:hAnsi="SimSun" w:eastAsia="SimSun" w:cs="SimSun"/>
          <w:color w:val="000000"/>
          <w:spacing w:val="7"/>
          <w:sz w:val="21"/>
        </w:rPr>
        <w:t xml:space="preserve">维持河流原状，保障沿线居民生命财产安</w:t>
      </w:r>
      <w:r>
        <w:rPr>
          <w:rFonts w:ascii="SimSun" w:hAnsi="SimSun" w:eastAsia="SimSun" w:cs="SimSun"/>
          <w:color w:val="000000"/>
          <w:spacing w:val="10"/>
          <w:sz w:val="21"/>
        </w:rPr>
        <w:t xml:space="preserve">全，保持河道生态与周边自然人文环境相协</w:t>
      </w:r>
      <w:r>
        <w:rPr>
          <w:rFonts w:ascii="SimSun" w:hAnsi="SimSun" w:eastAsia="SimSun" w:cs="SimSun"/>
          <w:color w:val="000000"/>
          <w:spacing w:val="9"/>
          <w:sz w:val="21"/>
        </w:rPr>
        <w:t xml:space="preserve">调，实现人水和谐共处，提升河道的人文内涵。</w:t>
      </w:r>
      <w:r/>
    </w:p>
    <w:p>
      <w:pPr>
        <w:ind w:left="22" w:right="0" w:firstLine="452"/>
        <w:jc w:val="both"/>
        <w:spacing w:before="144"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1.4  </w:t>
      </w:r>
      <w:r>
        <w:rPr>
          <w:rFonts w:ascii="SimSun" w:hAnsi="SimSun" w:eastAsia="SimSun" w:cs="SimSun"/>
          <w:color w:val="000000"/>
          <w:spacing w:val="8"/>
          <w:sz w:val="21"/>
        </w:rPr>
        <w:t xml:space="preserve">河道养护应配备必要的养护和检测设备，并配备</w:t>
      </w:r>
      <w:r>
        <w:rPr>
          <w:rFonts w:ascii="SimSun" w:hAnsi="SimSun" w:eastAsia="SimSun" w:cs="SimSun"/>
          <w:color w:val="000000"/>
          <w:spacing w:val="7"/>
          <w:sz w:val="21"/>
        </w:rPr>
        <w:t xml:space="preserve">专业的养护技术人员和作业人员，做好记</w:t>
      </w:r>
      <w:r>
        <w:rPr>
          <w:rFonts w:ascii="SimSun" w:hAnsi="SimSun" w:eastAsia="SimSun" w:cs="SimSun"/>
          <w:color w:val="000000"/>
          <w:spacing w:val="9"/>
          <w:sz w:val="21"/>
        </w:rPr>
        <w:t xml:space="preserve">录和日志，发现问题应及时分析研判并立即上</w:t>
      </w:r>
      <w:r>
        <w:rPr>
          <w:rFonts w:ascii="SimSun" w:hAnsi="SimSun" w:eastAsia="SimSun" w:cs="SimSun"/>
          <w:color w:val="000000"/>
          <w:spacing w:val="8"/>
          <w:sz w:val="21"/>
        </w:rPr>
        <w:t xml:space="preserve">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1.5  </w:t>
      </w:r>
      <w:r>
        <w:rPr>
          <w:rFonts w:ascii="SimSun" w:hAnsi="SimSun" w:eastAsia="SimSun" w:cs="SimSun"/>
          <w:color w:val="000000"/>
          <w:spacing w:val="8"/>
          <w:sz w:val="20"/>
        </w:rPr>
        <w:t xml:space="preserve">定期开展河道水质和生态调查，组织开展生态养护成效评估。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1）自合同签订之日起，每6个月开展至少一次河道水生态调查分析，在对比历史水生态数据基础上分析水生态演变特征及本项目养护改善效果，并提交1份生态养护成效评估报告，内容涵盖当前生态环境问题、养护措施成效及提升建议。每条河道不少于1个点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（2）项目验收前须出具1份经专家评审通过的生态养护评估最终报告。</w:t>
      </w:r>
      <w:r/>
    </w:p>
    <w:p>
      <w:pPr>
        <w:ind w:left="22" w:right="0" w:firstLine="452"/>
        <w:jc w:val="both"/>
        <w:spacing w:before="144"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1.6  </w:t>
      </w:r>
      <w:r>
        <w:rPr>
          <w:rFonts w:ascii="SimSun" w:hAnsi="SimSun" w:eastAsia="SimSun" w:cs="SimSun"/>
          <w:color w:val="000000"/>
          <w:spacing w:val="8"/>
          <w:sz w:val="21"/>
        </w:rPr>
        <w:t xml:space="preserve">河道养护所产生的固体废物的处理处置参照</w:t>
      </w:r>
      <w:r>
        <w:rPr>
          <w:rFonts w:ascii="SimSun" w:hAnsi="SimSun" w:eastAsia="SimSun" w:cs="SimSun"/>
          <w:color w:val="000000"/>
          <w:spacing w:val="-44"/>
          <w:sz w:val="21"/>
        </w:rPr>
        <w:t xml:space="preserve"> </w:t>
      </w:r>
      <w:r>
        <w:rPr>
          <w:rFonts w:ascii="Times New Roman" w:hAnsi="Times New Roman" w:eastAsia="Times New Roman" w:cs="Times New Roman"/>
          <w:color w:val="000000"/>
          <w:sz w:val="21"/>
        </w:rPr>
        <w:t xml:space="preserve">HJ</w:t>
      </w:r>
      <w:r>
        <w:rPr>
          <w:rFonts w:ascii="Times New Roman" w:hAnsi="Times New Roman" w:eastAsia="Times New Roman" w:cs="Times New Roman"/>
          <w:color w:val="000000"/>
          <w:spacing w:val="8"/>
          <w:sz w:val="21"/>
        </w:rPr>
        <w:t xml:space="preserve"> 2035 </w:t>
      </w:r>
      <w:r>
        <w:rPr>
          <w:rFonts w:ascii="SimSun" w:hAnsi="SimSun" w:eastAsia="SimSun" w:cs="SimSun"/>
          <w:color w:val="000000"/>
          <w:spacing w:val="7"/>
          <w:sz w:val="21"/>
        </w:rPr>
        <w:t xml:space="preserve">执行。</w:t>
      </w:r>
      <w:r/>
    </w:p>
    <w:p>
      <w:pPr>
        <w:ind w:left="22" w:right="0" w:firstLine="452"/>
        <w:jc w:val="both"/>
        <w:spacing w:before="143"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1"/>
        </w:rPr>
        <w:t xml:space="preserve">1.7  </w:t>
      </w:r>
      <w:r>
        <w:rPr>
          <w:rFonts w:ascii="SimSun" w:hAnsi="SimSun" w:eastAsia="SimSun" w:cs="SimSun"/>
          <w:color w:val="000000"/>
          <w:spacing w:val="8"/>
          <w:sz w:val="21"/>
        </w:rPr>
        <w:t xml:space="preserve">河道养护应按照表</w:t>
      </w:r>
      <w:r>
        <w:rPr>
          <w:rFonts w:ascii="SimSun" w:hAnsi="SimSun" w:eastAsia="SimSun" w:cs="SimSun"/>
          <w:color w:val="000000"/>
          <w:spacing w:val="-23"/>
          <w:sz w:val="21"/>
        </w:rPr>
        <w:t xml:space="preserve"> </w:t>
      </w:r>
      <w:r>
        <w:rPr>
          <w:rFonts w:ascii="Times New Roman" w:hAnsi="Times New Roman" w:eastAsia="Times New Roman" w:cs="Times New Roman"/>
          <w:color w:val="000000"/>
          <w:spacing w:val="8"/>
          <w:sz w:val="21"/>
        </w:rPr>
        <w:t xml:space="preserve">1 </w:t>
      </w:r>
      <w:r>
        <w:rPr>
          <w:rFonts w:ascii="SimSun" w:hAnsi="SimSun" w:eastAsia="SimSun" w:cs="SimSun"/>
          <w:color w:val="000000"/>
          <w:spacing w:val="8"/>
          <w:sz w:val="21"/>
        </w:rPr>
        <w:t xml:space="preserve">进行分类管理，河</w:t>
      </w:r>
      <w:r>
        <w:rPr>
          <w:rFonts w:ascii="SimSun" w:hAnsi="SimSun" w:eastAsia="SimSun" w:cs="SimSun"/>
          <w:color w:val="000000"/>
          <w:spacing w:val="7"/>
          <w:sz w:val="21"/>
        </w:rPr>
        <w:t xml:space="preserve">道分类由甲方确定。</w:t>
      </w:r>
      <w:r/>
    </w:p>
    <w:p>
      <w:pPr>
        <w:ind w:left="3431" w:right="0" w:firstLine="0"/>
        <w:jc w:val="both"/>
        <w:spacing w:before="142"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3"/>
          <w:sz w:val="21"/>
        </w:rPr>
        <w:t xml:space="preserve">表</w:t>
      </w:r>
      <w:r>
        <w:rPr>
          <w:rFonts w:ascii="SimHei" w:hAnsi="SimHei" w:eastAsia="SimHei" w:cs="SimHei"/>
          <w:color w:val="000000"/>
          <w:spacing w:val="-15"/>
          <w:sz w:val="21"/>
        </w:rPr>
        <w:t xml:space="preserve"> </w:t>
      </w:r>
      <w:r>
        <w:rPr>
          <w:rFonts w:ascii="Times New Roman" w:hAnsi="Times New Roman" w:eastAsia="Times New Roman" w:cs="Times New Roman"/>
          <w:color w:val="000000"/>
          <w:spacing w:val="3"/>
          <w:sz w:val="21"/>
        </w:rPr>
        <w:t xml:space="preserve">1    </w:t>
      </w:r>
      <w:r>
        <w:rPr>
          <w:rFonts w:ascii="SimHei" w:hAnsi="SimHei" w:eastAsia="SimHei" w:cs="SimHei"/>
          <w:color w:val="000000"/>
          <w:spacing w:val="3"/>
          <w:sz w:val="21"/>
        </w:rPr>
        <w:t xml:space="preserve">城市河道分类</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6"/>
        <w:gridCol w:w="2713"/>
        <w:gridCol w:w="4436"/>
      </w:tblGrid>
      <w:tr>
        <w:trPr>
          <w:trHeight w:val="3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550" w:right="0" w:firstLine="0"/>
              <w:jc w:val="both"/>
              <w:spacing w:before="32"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2"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1870" w:right="0" w:firstLine="0"/>
              <w:jc w:val="both"/>
              <w:spacing w:before="32"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河道范围</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700" w:right="0" w:firstLine="0"/>
              <w:jc w:val="both"/>
              <w:spacing w:before="56"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24"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一类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24"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重要流域性河道</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682" w:right="0" w:firstLine="0"/>
              <w:jc w:val="both"/>
              <w:spacing w:before="68"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二类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一般流域性、重要区域性河道</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682" w:right="0" w:firstLine="0"/>
              <w:jc w:val="both"/>
              <w:spacing w:before="68"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三类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一般区域性河道</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6" w:type="dxa"/>
            <w:vAlign w:val="center"/>
            <w:textDirection w:val="lrTb"/>
            <w:noWrap w:val="false"/>
          </w:tcPr>
          <w:p>
            <w:pPr>
              <w:ind w:left="682" w:right="0" w:firstLine="0"/>
              <w:jc w:val="both"/>
              <w:spacing w:before="68"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3"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四类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6" w:type="dxa"/>
            <w:vAlign w:val="center"/>
            <w:textDirection w:val="lrTb"/>
            <w:noWrap w:val="false"/>
          </w:tcPr>
          <w:p>
            <w:pPr>
              <w:ind w:left="0" w:right="0" w:firstLine="0"/>
              <w:jc w:val="center"/>
              <w:spacing w:before="37"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其他河道</w:t>
            </w:r>
            <w:r/>
          </w:p>
        </w:tc>
      </w:tr>
    </w:tbl>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（二）巡查</w:t>
      </w:r>
      <w:r/>
    </w:p>
    <w:p>
      <w:pPr>
        <w:ind w:left="22" w:right="0" w:firstLine="452"/>
        <w:jc w:val="both"/>
        <w:spacing w:before="142"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巡查范围为蓝线内的河道管理和保护区域</w:t>
      </w:r>
      <w:r>
        <w:rPr>
          <w:rFonts w:ascii="SimSun" w:hAnsi="SimSun" w:eastAsia="SimSun" w:cs="SimSun"/>
          <w:color w:val="000000"/>
          <w:spacing w:val="6"/>
          <w:sz w:val="21"/>
        </w:rPr>
        <w:t xml:space="preserve">及鼓楼区堤防（金川河泵站至入江口气盾坝，长度5904米）</w:t>
      </w:r>
      <w:r>
        <w:rPr>
          <w:rFonts w:ascii="SimSun" w:hAnsi="SimSun" w:eastAsia="SimSun" w:cs="SimSun"/>
          <w:color w:val="000000"/>
          <w:spacing w:val="8"/>
          <w:sz w:val="21"/>
        </w:rPr>
        <w:t xml:space="preserve">。</w:t>
      </w:r>
      <w:r>
        <w:rPr>
          <w:rFonts w:ascii="SimSun" w:hAnsi="SimSun" w:eastAsia="SimSun" w:cs="SimSun"/>
          <w:color w:val="000000"/>
          <w:spacing w:val="5"/>
          <w:sz w:val="21"/>
        </w:rPr>
        <w:t xml:space="preserve">河道养护单位应根据河道特性</w:t>
      </w:r>
      <w:r>
        <w:rPr>
          <w:rFonts w:ascii="SimSun" w:hAnsi="SimSun" w:eastAsia="SimSun" w:cs="SimSun"/>
          <w:color w:val="000000"/>
          <w:spacing w:val="4"/>
          <w:sz w:val="21"/>
        </w:rPr>
        <w:t xml:space="preserve">、交通管理条件等因素制订巡查方案，合理选择巡查路线、</w:t>
      </w:r>
      <w:r>
        <w:rPr>
          <w:rFonts w:ascii="SimSun" w:hAnsi="SimSun" w:eastAsia="SimSun" w:cs="SimSun"/>
          <w:color w:val="000000"/>
          <w:spacing w:val="10"/>
          <w:sz w:val="21"/>
        </w:rPr>
        <w:t xml:space="preserve">交通工具和巡查方式；落实巡查人员，明确巡查人员分组、职责、巡查内容、问题报告制度等</w:t>
      </w:r>
      <w:r>
        <w:rPr>
          <w:rFonts w:ascii="SimSun" w:hAnsi="SimSun" w:eastAsia="SimSun" w:cs="SimSun"/>
          <w:color w:val="000000"/>
          <w:spacing w:val="6"/>
          <w:sz w:val="21"/>
        </w:rPr>
        <w:t xml:space="preserve">内容，并每日组织开展巡查作业。</w:t>
      </w:r>
      <w:r/>
    </w:p>
    <w:p>
      <w:pPr>
        <w:ind w:left="0" w:right="0" w:firstLine="444"/>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巡查的类型、频次等具体要求参照《鼓楼区城市河道养护技术管理规程》相关内容执行。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巡查人员要及时掌握养护范围内设施运行状况，对于发现的问题，要及时安排分析研判，按规范进行上报，并安排设施维修、违章行为制止，如实进行记录。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1、巡查员定期对河道生态养护情况进行巡查；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2、检查保洁员是否有脱岗、离岗现象；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3、检查生态养护质量，河道水质、引补水等状况是否正常；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4、检查河道水面、岸坡管养范围内有无垃圾、漂浮物；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5、检查有无违章搭建、 占用、挖掘、乱倒及破坏设施等现象。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（三）保洁</w:t>
      </w:r>
      <w:r/>
    </w:p>
    <w:p>
      <w:pPr>
        <w:ind w:left="3" w:right="0" w:firstLine="456"/>
        <w:jc w:val="both"/>
        <w:spacing w:before="143"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保洁人员配备相应的清捞工具、设备</w:t>
      </w:r>
      <w:r>
        <w:rPr>
          <w:rFonts w:ascii="SimSun" w:hAnsi="SimSun" w:eastAsia="SimSun" w:cs="SimSun"/>
          <w:color w:val="000000"/>
          <w:spacing w:val="8"/>
          <w:sz w:val="21"/>
        </w:rPr>
        <w:t xml:space="preserve">及安全用品，及时做好相应保洁台账。</w:t>
      </w:r>
      <w:r>
        <w:rPr>
          <w:rFonts w:ascii="SimSun" w:hAnsi="SimSun" w:eastAsia="SimSun" w:cs="SimSun"/>
          <w:color w:val="000000"/>
          <w:spacing w:val="7"/>
          <w:sz w:val="21"/>
        </w:rPr>
        <w:t xml:space="preserve">废弃物日产日清，并进行无害化处理。汛期保洁应符合河道防汛调度要求，当气象台发布黄色及以上暴雨信号或可能影响水面</w:t>
      </w:r>
      <w:r>
        <w:rPr>
          <w:rFonts w:ascii="SimSun" w:hAnsi="SimSun" w:eastAsia="SimSun" w:cs="SimSun"/>
          <w:color w:val="000000"/>
          <w:spacing w:val="9"/>
          <w:sz w:val="21"/>
        </w:rPr>
        <w:t xml:space="preserve">作业安全的灾害性天气预警时，不应开展河道保洁作业。</w:t>
      </w:r>
      <w:r/>
    </w:p>
    <w:p>
      <w:pPr>
        <w:ind w:left="3" w:right="0" w:firstLine="444"/>
        <w:jc w:val="both"/>
        <w:spacing w:before="143"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对陆域保洁、水面保洁、保洁频次等具体要求参照《鼓楼区城市河道养护技术管理规程》相关内容执行。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3.1河道及岸坡保洁、管理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配备符合要求的船只、工具及安全救生用具每天对河道及岸坡进行常态化保洁，保证洁净无垃圾，按时上下班，不脱岗、离岗、上班期间不饮酒、不聚众聊天。为保障行船安全定期对设施进行安全检查。河面、岸坡垃圾及时清运，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1、保洁员要配备专用船只、清捞工具、安全救生用具；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2、保洁员要按时上下班，身穿工作服、救生衣进行常态化保洁；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3、河面无影响水生态的杂草及障碍物；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4、河面及岸坡无垃圾；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5、垃圾及时清运至指定地点倾倒；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6、保洁员离船时保持保洁船只洁净，及时清除船舱内垃圾；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7、定期对相关设施进行安全检查；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8、岸坡硬化部分无人为损坏、无污渍、无杂物等；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9、河道管理范围内无违章行为。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3.2硬质驳坎保洁养护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保洁员要按规范对硬质驳坎进行常态化保洁，保证硬质驳坎干净整洁、无裂缝等，有问题及时处理并上报，清理的垃圾要做到日产日清。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1、定期对临水侧硬质驳坎进行清洗，清除垃圾；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2、硬质驳坎无松动、脱落、塌陷、架空等现象；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3、保持硬质驳坎干净整洁、无青苔、无杂物等。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（四）管养</w:t>
      </w:r>
      <w:r/>
    </w:p>
    <w:p>
      <w:pPr>
        <w:ind w:left="1" w:right="0" w:firstLine="0"/>
        <w:jc w:val="both"/>
        <w:spacing w:before="262" w:after="16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7"/>
          <w:sz w:val="21"/>
        </w:rPr>
        <w:t xml:space="preserve">   </w:t>
      </w:r>
      <w:r>
        <w:rPr>
          <w:rFonts w:ascii="SimSun" w:hAnsi="SimSun" w:eastAsia="SimSun" w:cs="SimSun"/>
          <w:color w:val="000000"/>
          <w:spacing w:val="6"/>
          <w:sz w:val="21"/>
        </w:rPr>
        <w:t xml:space="preserve">对河道曝气设备、水生植物、水生动物、绿化和景观设施、堤防护坡、闸坝等设施进行管养，管养具体要求参照《鼓楼区城市河道养护技术管理规程》相关内容执行。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4.1曝气装置养护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曝气装置对河道起到净化水质的作用，要定期对设备进行检查与维护，出现异常情况及时上报采购人。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1、定期巡检曝气装置；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2、观察设备是否正常运行，控制柜功能是否正常；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3、观察设备运转是否正常（声音、水流水花等）；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4、观察设备的固定有无松动情况；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5、及时清理曝气周围漂浮物及垃圾，以免堵塞曝气进水口，影响其正常工作。若因养护清理不到位等原因造成的曝气设备异常，由中标供应商负责维修；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6、根据实际情况合理安排运行时间，且不对附近居民生活造成影响。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4.2水生态动植物养护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有重要的生态修复功用，净化水质的同时可以起到美化河道景观的作用，保洁员要定期对水生植物进行修剪保养工作，以防水生植物生长旺盛、过度蔓延，残枝败叶在水中积存、产生污染等。水生动物具备关键的水体生态调节作用，能够分解水体有机物、平衡水域生物群落，同时维持河道生态系统稳定。工作人员需定期巡查管护水生动物种群数量，防止生物过量繁殖、种群失衡，其代谢排泄物与死亡个体大量堆积，引发水体富营养化、水质恶化等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养护内容包含但不限于：水生态植物的修整、清杂、打捞或机割、枯萎/死株的清理、补种、病虫害防治等。水生植物需进行增肥。生态浮床床体的维护及更换。水生植物的购买补种。水生动物的定期巡查、外来物种入侵的检查及清除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1、及时修剪枯黄、枯死和倒伏植株，及时清理植物间及植物周围的杂物及垃圾；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2、沉水植物长出水面影响景观时，应进行人工打捞或机割，对于浮出水面的死株，应及时清除；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3、定期去除杂草，除草时注意不要破坏植物根系，在生长季节，定期对枯萎枝叶进行修剪；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4、对于因病虫害等原因造成的植物死亡时，应将植物撤出，并进行相应的补种；当植物有病虫害时，应及时消杀处理；定期检查是否存来外来物种入侵情况，发现及时上报并处置；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5、检查生态浮床有无破损、松散及链接扣有否掉落，及时清理附着在生态浮床周围的杂物或垃圾，浮床上植物如果发生歪倒，及时扶正或修剪。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6、生态浮床单体受到损坏时，依损坏程度进行修补或更换生态浮床单体，同时补种植物。因水位涨落或其它原因而导致生态浮床搁浅时，应及时复位加固处理。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7、台风、大风，大雨天气及强泄洪前后 2d~3d，应检查生态浮岛、种植篮等的固定情况，如有脱落及时固定。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、确保水生动物生态良好，无破坏生态的物种或入侵物种的情况，水生动物数量和物种匹配合理。对于物种比例失调等现象及时采取措施加以控制，确保生态系统结构合理稳定。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、常态巡查是否存在水生动物的私自放养和非法捕捞，发现后及时劝阻并留存相应凭证。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4.3绿化养护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岸坡绿化是一种能有效的防护裸露坡面的生态护坡方式，有重要的生态修复功用，同时可以起到美化河道景观的作用，保洁员要定期对岸坡绿化进行修剪保养工作， 以防绿化植物生长旺盛、过度蔓延。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1、保洁人员每日对绿化进行保洁，保证河岸范围内无垃圾、杂草；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2、河道岸坡绿化范围内无违章、废弃设施，无种菜、放养家禽宠物的行为；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3、定期对绿化进行修剪、施肥；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4、定期对岸坡绿化进行杀虫处理，定期巡查是否存在外来物种入侵，发现及时处置；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5、植物生长良好，无黄土裸露。</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4.4标警示牌养护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保洁员要定期对标警示牌进行清洁，保证标警示牌干净无破损，发现问题及时上报并处理。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1、对养护范围内的河道警示牌、宣传牌等标志标牌进行清洁、维修；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2、保证标志标牌外观完好整洁、字迹清楚；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3、保证标志标牌固定牢靠无晃动，无锈蚀、缺损。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4.5水质净化装置养护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生物培养基等水质净化装置净化装置通过自身的净化功能不断降解COD及氨氮等有机物，又不断培养微生物，通过配套水循环系统将周边优质水体和微生物扩散于整个水体中，净化水质的同时可消减底泥，出现异常情况及时上报并安排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1、日常检查微生物培养基布水系统，遇堵塞、水流变小等问题时及时进行疏通，确保布水均匀；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2、日常检查生物过滤毯表面是否被泥沙、杂物覆盖，如遇应及时用水枪冲刷清理；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3、日常检查水循环管道多点布水系统，确保多点布水系统运行正常；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4、日常检查风机、水泵运转是否正常；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5、按照采购人指令性任务要求，对微生物培养基等水质净化装置进行调度等运行管理；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结合装置实际运行工况及季节水位变化，汛期每周至少对生物过滤毯及配套过滤部件开展一次全面清洗保洁；非汛期每月至少清洁一次，及时清除附着泥沙、杂物及污物，保证过滤通透、过水顺畅，维持装置稳定净水效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4.6各类闸、溢流坝（堰）及阀门养护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养护人员做好各类闸、坝、溢流坝（堰）、阀门日常养护及保洁工作，定期开展巡查检查，保障设施运行完好、功能正常。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1、定期检查闸、坝、溢流坝（堰）及阀门启闭运行状况，确保启闭灵活、功能正常；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2、设施主体结构完好，无缺损、脱落、塌陷、破损等现象；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3、设施外观整洁，无锈蚀、无污物、无积泥、无青苔、无杂草植物附着；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4、及时清理设施周边及表面杂物、垃圾，保持整体干净整洁；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5、按照采购人指令性任务要求，在规定时间内完成设施调度等运行管理工作；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6、严格按照相关技术规范要求，做好各类部件日常保养维护工作。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4.7护栏、栏杆养护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1、护栏、栏杆应定期巡查确保设施牢固可靠，不得悬挂、晾晒物品；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2、发生变形、损坏，应及时修复，修复应与原结构、材质、色调协调；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3、立柱及水平构件松脱，应及时紧固或更换；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4、护栏表面应保持洁净，无锈蚀。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4.8拦污栅养护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1、拦污栅前的漂浮物应及时打捞；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2、拦污栅松动、变形损坏或不能正常使用时，应及时修理或更换；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3、拦污栅无锈蚀。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4.9水循环系统、排水系统养护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循环系统主要对河道中流动性差的水域进行补水，增加流动性，改善水质，排水系统为汛期应急调排系统，确保周边居民生命财产安全及环境安全。要定期对设备进行检查与维护，出现异常情况及时上报并安排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1、定期巡检水循环系统；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2、观察设备是否正常运行，控制柜功能是否正常；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3、观察设备运转是否正常；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4、观察设备的固定有无松动情况；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5、定期对设备进行保养，保证工况良好。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6、根据实际情况合理安排运行时间，且不对附近居民生活造成影响。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养护单位要针对人员配备、档案、信息化管理、度汛及应急管理等方面制定相关计划及制度，具体要求</w:t>
      </w:r>
      <w:r>
        <w:rPr>
          <w:rFonts w:ascii="SimSun" w:hAnsi="SimSun" w:eastAsia="SimSun" w:cs="SimSun"/>
          <w:color w:val="000000"/>
          <w:spacing w:val="6"/>
          <w:sz w:val="21"/>
        </w:rPr>
        <w:t xml:space="preserve">参照《鼓楼区城市河道养护技术管理规程》相关内容执行。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（六）其他事项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*服务期内，鼓楼区范围内如有新增移交的河道、水体及附属设施（按中标单价核算养护费用累计</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中标总价</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的）纳入本项目养护，养护费用不另行计算。本项目服务期内如有发生的额外相关维修费用累计</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人民币</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万元的，由中标人承担。如乙方申报费用超过</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万元，由甲方委托审计单位进行审计，按审定价</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万元支付相关费用，审计费由甲方承担（审计核减率超</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，审计费由乙方承担）（提供相关承诺）</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第二条合同总价款</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本合同项下服务总价款为</w:t>
      </w:r>
      <w:r>
        <w:rPr>
          <w:rFonts w:ascii="Times New Roman" w:hAnsi="Times New Roman" w:eastAsia="Times New Roman" w:cs="Times New Roman"/>
          <w:color w:val="000000"/>
          <w:sz w:val="21"/>
        </w:rPr>
        <w:t xml:space="preserve">___________</w:t>
      </w:r>
      <w:r>
        <w:rPr>
          <w:rFonts w:ascii="SimSun" w:hAnsi="SimSun" w:eastAsia="SimSun" w:cs="SimSun"/>
          <w:color w:val="000000"/>
          <w:sz w:val="21"/>
        </w:rPr>
        <w:t xml:space="preserve">（大写）人民币，每月（包干价），分项价款在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分项报价表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甲方就本合同不再向乙方支付任何其他款项。</w:t>
      </w:r>
      <w:r/>
    </w:p>
    <w:p>
      <w:pPr>
        <w:ind w:left="0" w:right="0" w:firstLine="413"/>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组成本合同的有关文件</w:t>
      </w:r>
      <w:r/>
    </w:p>
    <w:p>
      <w:pPr>
        <w:ind w:left="0" w:right="0" w:firstLine="411"/>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招标文件和有关附件是本合同不可分割的组成部分，与本合同具有同等法律效力。</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权利保证</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质量保证</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乙方提供的服务必须全部达到采购文件各项要求，国家或行业有规定的，还要符合相应规定。</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交付使用和验收</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、进度要求：详见第四章 采购需求。</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、服务期：本项目服务期限自合同签订之日起1年。</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、验收标准：按行业通行标准和乙方投标文件的承诺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（详见合同附件载明的标准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，并不低于国家相关标准）。</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履约保证金</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合同款支付</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、本合同项下所有款项均以人民币支付。</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、本合同项下的采购资金由甲方自行支付，乙方向甲方开具发票。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、付款方式：合同中标额的</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作为合同周期内考核经费，待合同期结束后，依据考核情况或审计结果拨付；合同中标额的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个月等额拨付，每月拨付上月款项。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、乙方收款信息（如为联合体，合同签订时约定其中一方）</w:t>
      </w:r>
      <w:r/>
    </w:p>
    <w:p>
      <w:pPr>
        <w:ind w:left="42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42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p>
    <w:p>
      <w:pPr>
        <w:ind w:left="42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上述账户信息，如有变更，乙方应在变更前3日内通知甲方。否则，由此产生的后果由乙方承担。</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违约责任</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１、甲方无正当理由拒绝验收或拒付款的，甲方向乙方偿付合同总价的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违约金。</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２、甲方未按合同规定的期限向乙方支付合同款的，每逾期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天甲方向乙方偿付欠款总额的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滞纳金，但累计滞纳金总额不超过欠款总额的</w:t>
      </w: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３、如乙方不能按期保质保量完成养护服务的，乙方应向甲方支付合同总价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４、乙方逾期响应的，每逾期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天，乙方向甲方偿付合同总额的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的滞纳金。如乙方逾期响应达</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天，甲方有权解除合同，解除合同的通知自到达乙方时生效。乙方逾期响应的，今后参加政府采购信誉将受到影响。</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、乙方在承担违约责任后，仍应继续履行合同规定的义务（甲方解除合同的除外）。甲方未能及时追究乙方的任何一项违约责任并不表明甲方放弃追究乙方该项或其他违约责任。</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、乙方虚假承诺，或提供的服务不能满足采购文件要求，或是由于乙方的过错造成合同无法继续履行的，甲方有权要求乙方支付不少于合同总价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的赔偿金。</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合同的变更和终止</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、除《政府采购法》第</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条第二款规定的情形或考核办法约定的情形外，本合同一经签订，甲乙双方不得擅自变更、中止或终止合同。</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、除发生法律规定的不能预见、不能避免并不能克服的客观情况外，甲乙双方不得放弃或拒绝履行合同。乙方放弃或拒绝履行合同，在三年内不得参加采购人组织的政府采购活动。</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合同的转让</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争议的解决</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、因履行本合同引起的或与本合同有关的争议，甲、乙双方应首先通过友好协商解决，如果协商不能解决争议，则采取以下第（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）种方式解决争议：</w:t>
      </w:r>
      <w:r/>
    </w:p>
    <w:p>
      <w:pPr>
        <w:ind w:left="0" w:right="0" w:firstLine="56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）向甲方所在地有管辖权的人民法院提起诉讼；</w:t>
      </w:r>
      <w:r/>
    </w:p>
    <w:p>
      <w:pPr>
        <w:ind w:left="0" w:right="0" w:firstLine="56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）向南京仲裁委员会按其仲裁规则申请仲裁。</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、在仲裁期间，本合同应继续履行。</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诚实信用</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合同生效及其他</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、本合同自签订之日起生效。</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、本合同一式伍份，甲乙双方各执两份，一份交招标机构存档。</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、本合同应按照中华人民共和国的现行法律进行解释。</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年鼓楼区金川河流域水生态养护服务项目考核办法</w:t>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（以下为正文）</w:t>
      </w:r>
      <w:r/>
    </w:p>
    <w:p>
      <w:pPr>
        <w:ind w:left="0" w:right="0" w:firstLine="0"/>
        <w:spacing w:before="0" w:after="16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甲方（签字盖章）：乙方（签字盖章）：</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p>
    <w:p>
      <w:pPr>
        <w:ind w:left="0" w:right="0" w:firstLine="0"/>
        <w:jc w:val="both"/>
        <w:spacing w:before="0" w:after="16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0"/>
        <w:jc w:val="both"/>
        <w:spacing w:before="0" w:after="16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jc w:val="both"/>
        <w:spacing w:before="0" w:after="16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收件人：收件人：</w:t>
      </w:r>
      <w:r/>
    </w:p>
    <w:p>
      <w:pPr>
        <w:ind w:left="0" w:right="0" w:firstLine="0"/>
        <w:jc w:val="both"/>
        <w:spacing w:before="0" w:after="16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签字日期：年月日签字日期：年月日 </w:t>
      </w:r>
      <w:r/>
    </w:p>
    <w:p>
      <w:pPr>
        <w:ind w:left="720" w:right="0" w:firstLine="0"/>
        <w:jc w:val="both"/>
        <w:spacing w:before="0" w:after="160" w:line="65" w:lineRule="atLeast"/>
        <w:pBdr>
          <w:top w:val="none" w:color="000000" w:sz="4" w:space="0"/>
          <w:left w:val="none" w:color="000000" w:sz="4" w:space="0"/>
          <w:bottom w:val="none" w:color="000000" w:sz="4" w:space="0"/>
          <w:right w:val="none" w:color="000000" w:sz="4" w:space="0"/>
        </w:pBdr>
      </w:pPr>
      <w:r>
        <w:br w:type="page" w:clear="all"/>
      </w:r>
      <w:r/>
    </w:p>
    <w:p>
      <w:pPr>
        <w:ind w:left="72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w:t>
      </w:r>
      <w:r>
        <w:rPr>
          <w:rFonts w:ascii="Times New Roman" w:hAnsi="Times New Roman" w:eastAsia="Times New Roman" w:cs="Times New Roman"/>
          <w:b/>
          <w:color w:val="000000"/>
          <w:sz w:val="32"/>
        </w:rPr>
        <w:t xml:space="preserve">1       </w:t>
      </w:r>
      <w:r/>
    </w:p>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年鼓楼区金川河流域水生态养护服务项目考核办法</w:t>
      </w:r>
      <w:r/>
    </w:p>
    <w:p>
      <w:pPr>
        <w:ind w:left="720" w:right="0" w:firstLine="422"/>
        <w:jc w:val="both"/>
        <w:spacing w:before="0" w:after="16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乙方中标后，应提前了解和熟悉养护内容，服从甲方管理，按照甲方相关管理制度执行，甲方根据工作要求组织检查、抽查和考核，根据上级部门考核标准、《</w:t>
      </w:r>
      <w:r>
        <w:rPr>
          <w:rFonts w:ascii="Times New Roman" w:hAnsi="Times New Roman" w:eastAsia="Times New Roman" w:cs="Times New Roman"/>
          <w:color w:val="000000"/>
          <w:sz w:val="22"/>
        </w:rPr>
        <w:t xml:space="preserve">CJJ68-2016</w:t>
      </w:r>
      <w:r>
        <w:rPr>
          <w:rFonts w:ascii="SimSun" w:hAnsi="SimSun" w:eastAsia="SimSun" w:cs="SimSun"/>
          <w:color w:val="000000"/>
          <w:sz w:val="22"/>
        </w:rPr>
        <w:t xml:space="preserve">城镇排水管渠与泵站运行、维护及安全技术规程》及我区编制《城市河道养护技术管理规程》（</w:t>
      </w:r>
      <w:r>
        <w:rPr>
          <w:rFonts w:ascii="Times New Roman" w:hAnsi="Times New Roman" w:eastAsia="Times New Roman" w:cs="Times New Roman"/>
          <w:color w:val="000000"/>
          <w:sz w:val="22"/>
        </w:rPr>
        <w:t xml:space="preserve">T/NEEPA003-2023</w:t>
      </w:r>
      <w:r>
        <w:rPr>
          <w:rFonts w:ascii="SimSun" w:hAnsi="SimSun" w:eastAsia="SimSun" w:cs="SimSun"/>
          <w:color w:val="000000"/>
          <w:sz w:val="22"/>
        </w:rPr>
        <w:t xml:space="preserve">）执行考核奖惩。本考核办法为试行办法，根据政策调整或执行情况经双方协商可调整或修改考核条款。</w:t>
      </w:r>
      <w:r/>
    </w:p>
    <w:p>
      <w:pPr>
        <w:numPr>
          <w:ilvl w:val="0"/>
          <w:numId w:val="16"/>
        </w:numPr>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2026</w:t>
      </w:r>
      <w:r>
        <w:rPr>
          <w:rFonts w:ascii="SimSun" w:hAnsi="SimSun" w:eastAsia="SimSun" w:cs="SimSun"/>
          <w:color w:val="000000"/>
          <w:sz w:val="22"/>
        </w:rPr>
        <w:t xml:space="preserve">年鼓楼区金川河流域水生态养护服务项目检查考核采用月度考核评分方式。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月度考核评分实行百分制，主要包括日常养护、设施调度指令执行、应急处置及指令性任务、管理及内页台账</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个方面：</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（一）日常养护及巡查情况</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乙方每月底前按照相关行业规范和工作要求，合理制定下一月养护计划并上报甲方，月度考核通过现场考核方式，对养护完成工作量、现场设备运行等情况实行抽查考核。</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（二）设施调度指令执行完成情况</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乙方须严格执行甲方下发的各项调度指令，并在规定时间内完成。</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（三）应急处置及指令性任务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乙方应及时发现、上报、处置各类应急事件，并完成甲方下发的指令性任务。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（四）管理及内页台账</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乙方应做好各类预案、养护巡查报表等台账资料的整理、归档、保存，并做好各类应急预案、安全文明施工等管理制度。</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numPr>
          <w:ilvl w:val="0"/>
          <w:numId w:val="16"/>
        </w:numPr>
        <w:spacing w:before="0" w:after="16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考核指标及加减分明细（满分</w:t>
      </w: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p>
      <w:pPr>
        <w:ind w:left="420" w:right="0" w:firstLine="422"/>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（一）日常养护及巡查</w:t>
      </w:r>
      <w:r/>
    </w:p>
    <w:p>
      <w:pPr>
        <w:ind w:left="420" w:right="0" w:firstLine="422"/>
        <w:spacing w:before="0" w:after="16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、河道及附属设施养护</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509"/>
        <w:gridCol w:w="2728"/>
        <w:gridCol w:w="2569"/>
        <w:gridCol w:w="1790"/>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未按日常巡查、定期巡查、专项巡查的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巡查不到位、记录不全面、相关问题未及时发现上报的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影响水质、水环境的扣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对违法、违章行为未进行劝阻和制止，并如实记录取证上报的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造成严重后果的扣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对堤防巡查不到位、记录不全面、相关问题未及时上报的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造成严重后果的扣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作业工具、设备及安全用品不到位的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垃圾未在固定范围堆放或范围超过</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平方，未落实废弃物日产日清，并进行无害化处理的，未定期清洗果皮</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垃圾箱的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未能落实陆域保洁质量要求的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未能落实水面保洁质量要求的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水面漂浮物单处聚集面积超过</w:t>
            </w:r>
            <w:r>
              <w:rPr>
                <w:rFonts w:ascii="Times New Roman" w:hAnsi="Times New Roman" w:eastAsia="Times New Roman" w:cs="Times New Roman"/>
                <w:color w:val="000000"/>
                <w:sz w:val="22"/>
              </w:rPr>
              <w:t xml:space="preserve">1 m2 </w:t>
            </w:r>
            <w:r>
              <w:rPr>
                <w:rFonts w:ascii="SimSun" w:hAnsi="SimSun" w:eastAsia="SimSun" w:cs="SimSun"/>
                <w:color w:val="000000"/>
                <w:sz w:val="22"/>
              </w:rPr>
              <w:t xml:space="preserve">扣 </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分，超</w:t>
            </w:r>
            <w:r>
              <w:rPr>
                <w:rFonts w:ascii="Times New Roman" w:hAnsi="Times New Roman" w:eastAsia="Times New Roman" w:cs="Times New Roman"/>
                <w:color w:val="000000"/>
                <w:sz w:val="22"/>
              </w:rPr>
              <w:t xml:space="preserve">3 m2</w:t>
            </w: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拦截设施拦截堆积的漂浮物累计长度超过河宽的</w:t>
            </w:r>
            <w:r>
              <w:rPr>
                <w:rFonts w:ascii="Times New Roman" w:hAnsi="Times New Roman" w:eastAsia="Times New Roman" w:cs="Times New Roman"/>
                <w:color w:val="000000"/>
                <w:sz w:val="22"/>
              </w:rPr>
              <w:t xml:space="preserve">5 %</w:t>
            </w: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未按规定频次和作业时间完成保洁任务的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保洁人员在工作时间内长时间休息、玩手机等非养护保洁行为的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养护船只随意摆放，影响河面观感的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绿化与景观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未落实规定绿化养护频次的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养护质量未达到</w:t>
            </w:r>
            <w:r>
              <w:rPr>
                <w:rFonts w:ascii="Times New Roman" w:hAnsi="Times New Roman" w:eastAsia="Times New Roman" w:cs="Times New Roman"/>
                <w:color w:val="000000"/>
                <w:sz w:val="22"/>
              </w:rPr>
              <w:t xml:space="preserve">DB 3201/T 296.3</w:t>
            </w:r>
            <w:r>
              <w:rPr>
                <w:rFonts w:ascii="SimSun" w:hAnsi="SimSun" w:eastAsia="SimSun" w:cs="SimSun"/>
                <w:color w:val="000000"/>
                <w:sz w:val="22"/>
              </w:rPr>
              <w:t xml:space="preserve">标准要求的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情节严重的扣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156" w:after="156"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景观设施损坏未及时修复或修复标准不达标的（包含木纹铝板、铝板景墙、景观照明等所有绿化及景观设施）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未能落实硬质护坡、生态护坡、硬化区域养护作业要求的养护质量的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44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情节严重的扣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附属设施缺损或存在安全隐患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缺损的扣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处；存在安全隐患的扣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警示牌、宣传牌、栏杆、等附属设施损坏、缺失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处，缺失的扣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河道栏杆未按要求保养、安全隐患未及时消除、损坏未及时修复的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设施管理用房、水文化馆管护、保洁或活动等保障不到位的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造成恶劣影响的扣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闸门、坝、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拦污栅等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拦污栅悬空、淹没、阻水﹥</w:t>
            </w:r>
            <w:r>
              <w:rPr>
                <w:rFonts w:ascii="Times New Roman" w:hAnsi="Times New Roman" w:eastAsia="Times New Roman" w:cs="Times New Roman"/>
                <w:color w:val="000000"/>
                <w:sz w:val="22"/>
              </w:rPr>
              <w:t xml:space="preserve">20cm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未落实闸阀日常养护要求的（参照</w:t>
            </w:r>
            <w:r>
              <w:rPr>
                <w:rFonts w:ascii="Times New Roman" w:hAnsi="Times New Roman" w:eastAsia="Times New Roman" w:cs="Times New Roman"/>
                <w:color w:val="000000"/>
                <w:sz w:val="22"/>
              </w:rPr>
              <w:t xml:space="preserve">CJJ68-4.4</w:t>
            </w:r>
            <w:r>
              <w:rPr>
                <w:rFonts w:ascii="SimSun" w:hAnsi="SimSun" w:eastAsia="SimSun" w:cs="SimSun"/>
                <w:color w:val="000000"/>
                <w:sz w:val="22"/>
              </w:rPr>
              <w:t xml:space="preserve">相关规定）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仪表与自控检查不到位、未开展定期维护的（参照</w:t>
            </w:r>
            <w:r>
              <w:rPr>
                <w:rFonts w:ascii="Times New Roman" w:hAnsi="Times New Roman" w:eastAsia="Times New Roman" w:cs="Times New Roman"/>
                <w:color w:val="000000"/>
                <w:sz w:val="22"/>
              </w:rPr>
              <w:t xml:space="preserve">CJJ68-4.5</w:t>
            </w:r>
            <w:r>
              <w:rPr>
                <w:rFonts w:ascii="SimSun" w:hAnsi="SimSun" w:eastAsia="SimSun" w:cs="SimSun"/>
                <w:color w:val="000000"/>
                <w:sz w:val="22"/>
              </w:rPr>
              <w:t xml:space="preserve">相关规定）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闸门或坝破损、腐锈、裂纹、穿孔，闸槽杂物；启动装置失灵、故障；附属设施损坏等问题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分；闸门、坝不能正常启闭，扣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分；闸门、坝体破损扣</w:t>
            </w: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汛期加倍扣分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其它违反《城市河道养护技术管理规程》（</w:t>
            </w:r>
            <w:r>
              <w:rPr>
                <w:rFonts w:ascii="Times New Roman" w:hAnsi="Times New Roman" w:eastAsia="Times New Roman" w:cs="Times New Roman"/>
                <w:color w:val="000000"/>
                <w:sz w:val="22"/>
              </w:rPr>
              <w:t xml:space="preserve">T/NEEPA 003-2023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CJJ68-2016</w:t>
            </w:r>
            <w:r>
              <w:rPr>
                <w:rFonts w:ascii="SimSun" w:hAnsi="SimSun" w:eastAsia="SimSun" w:cs="SimSun"/>
                <w:color w:val="000000"/>
                <w:sz w:val="22"/>
              </w:rPr>
              <w:t xml:space="preserve">城镇排水管渠与泵站运行、维护及安全技术规程》的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未按标准执行或成效不符合要求的，视情节和后果严重程度，扣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156"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、水生态相关设施养护</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7"/>
        <w:gridCol w:w="1491"/>
        <w:gridCol w:w="5176"/>
        <w:gridCol w:w="182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未定期巡查水生植物生长情况、是否有病虫害及外来物种入侵等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水生植物范围内有垃圾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未定期修剪枯黄、枯死、倒伏的植株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水生植物泛滥影响景观时，未及时打捞或机割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植被死亡后未及时撤除并补种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生态浮岛浮框破损，未及时修补或更换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生态浮岛移位未及时固定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水生动物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未及时发现水生动物的私自放养和非法捕捞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252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未及时采取有效措施清理外来入侵生物（如福寿螺等）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vMerge w:val="restart"/>
            <w:textDirection w:val="lrTb"/>
            <w:noWrap w:val="false"/>
          </w:tcPr>
          <w:p>
            <w:pPr>
              <w:ind w:left="0" w:right="0" w:firstLine="0"/>
              <w:jc w:val="both"/>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河道藻华暴发应急处置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藻华易暴发时期未进行定期巡查并发现问题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无藻华暴发应急处置预案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252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未及时采取管控措施（曝气装置调控运行、河道水体循环等）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曝气及附属设施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未巡查、未及时发现问题并上报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曝气及附属设施有维护不到位情况（运作异常、有堵塞现象、设备缆绳或支架有松动等）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2-3</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未定期对设备进行保养（涂油、清理等）、电路测试及设备的绝缘性能检查的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曝气设备周围有垃圾或漂浮物聚集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曝气及附属设施发生故障，乙方应及时维修处置，处置不及时或不到位的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曝气设备未按照甲方指令要求及时完成的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水质微站及附属设施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未按计划巡检水质微站装置及附属设施，未及时发现问题并上报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系统及附属设施有维护不到位情况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vMerge w:val="restart"/>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跌水堰、溢流堰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堰主体存在青苔、植物及积泥等杂物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堰主体破损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其他不符合《城市河道养护技术管理规程》等相关管理要求及规定的情况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处扣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（二）调度指令执行</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2"/>
        <w:gridCol w:w="3514"/>
        <w:gridCol w:w="2547"/>
        <w:gridCol w:w="2401"/>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4"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4"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在甲方要求人员现场值守待命后，调度执行人员缺岗或未在规定时间就位的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因人员未及时就位导致设备调度延迟，造成路面积水等不良影响的，加倍扣减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4"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调度指令下发后，未按指令要求和规定时间完成的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每延误</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分钟，加扣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分（上限</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4"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设施调度未按设计或系统设定水位运行的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4"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设施调度期间，因操作失当等造成设施开关异常的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14"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其他不符合相关调度指令要求及规定的情况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次（处）扣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156"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（三）应急处置及指令性任务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5735"/>
        <w:gridCol w:w="19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乙方应完成甲方布置的各类临时性或指令性任务，未能在规定时间内完成的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项目负责人、技术人员及安全员未按甲方要求到达现场的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应急处置现场人员未做好佩戴救生衣、安全帽、防电等安全文明措施的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应急事件发生后，未及时制定并上报有效处置方案，导致进度迟缓的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组织不合理，效率低下，人员、物资、机械设备、现场管理混乱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其他不符合相关应急处置及指令性要求及规定的情况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养护质效突出，任务执行有力，得到群众或相关部门、单位、媒体正面肯定的，或主动作为促动养护提升的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视情加</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r>
    </w:tbl>
    <w:p>
      <w:pPr>
        <w:ind w:left="0" w:right="0" w:firstLine="0"/>
        <w:jc w:val="both"/>
        <w:spacing w:before="0" w:after="156"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（四）管理及内业台账</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5033"/>
        <w:gridCol w:w="1669"/>
        <w:gridCol w:w="7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未制定月度养护计划并按要求上报的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未及时在市智慧水务监管平台、区智慧水务平台等信息化平台上报相关养护计划、调度指令执行、工单闭环的，或填报内容有明显错误、遗漏的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相关记录、报表等台账资料（养护、安全等）格式不规范、内容有明显错误或遗漏的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资料上报、归档不及时，未按甲方要求的时间节点报送的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每延迟</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天扣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分（上限</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因台账资料保管不善导致损毁、丢失的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日常养护工作场所相关的安全、规程、岗位等制度未上墙的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未落实规范的用工制度、签订劳动合同、办理社会基本保险等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未按技术规程规程要求建立完善的快速处置突发事件的预案和应急机制，未按预案要求配置人员、设备、物资等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未按照招标文件或合同要求，未按要求开展、未按时间节点提供相关水生态调查、成果报告的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分，每延误</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天加扣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生态养护评估报告未通过专家评审的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直接扣除</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万元，并督促完善相关工作，直至通过专家评审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其他不符合相关管理及内业要求及规定的情况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次扣</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42"/>
        <w:jc w:val="both"/>
        <w:spacing w:before="0" w:after="156"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三、关键工作指标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7913"/>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jc w:val="center"/>
              <w:spacing w:before="0" w:after="1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考核项目及奖惩标准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因维护、监管、巡查、处置等不到位被市、区领导或上级主管部门发现并点名批评的，造成不良影响的，扣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因养护工作不力导致市对区考核扣分的，扣</w:t>
            </w:r>
            <w:r>
              <w:rPr>
                <w:rFonts w:ascii="Times New Roman" w:hAnsi="Times New Roman" w:eastAsia="Times New Roman" w:cs="Times New Roman"/>
                <w:color w:val="000000"/>
                <w:sz w:val="22"/>
              </w:rPr>
              <w:t xml:space="preserve">0.5</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因全市相关创建目标工作不力影响创建成绩的扣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次，因养护等工作不力造成社会重大负面影响的扣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纳入市、局目标考核的重点指令性任务未完成的，扣</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项</w:t>
            </w:r>
            <w:r/>
          </w:p>
        </w:tc>
      </w:tr>
      <w:tr>
        <w:trPr>
          <w:trHeight w:val="1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发生安全生产事故，未造成人身伤害的，扣</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次，造成人身伤害的，扣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因维护不到位造成被通报安全性事故的扣</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次。发生重大安全责任事故扣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次。由于突发事件现场处置不当，发生衍生事故的扣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甲方向乙方发出警告处罚及责令整改通知，扣</w:t>
            </w:r>
            <w:r>
              <w:rPr>
                <w:rFonts w:ascii="Times New Roman" w:hAnsi="Times New Roman" w:eastAsia="Times New Roman" w:cs="Times New Roman"/>
                <w:color w:val="000000"/>
                <w:sz w:val="22"/>
              </w:rPr>
              <w:t xml:space="preserve">0.1-1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16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3" w:type="dxa"/>
            <w:vAlign w:val="center"/>
            <w:textDirection w:val="lrTb"/>
            <w:noWrap w:val="false"/>
          </w:tcPr>
          <w:p>
            <w:pPr>
              <w:ind w:left="0" w:right="0" w:firstLine="0"/>
              <w:spacing w:before="0" w:after="16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存在擅自将所维护的设施出租、抵押、担保或利用其从事其他经营性行为的，发现一次扣</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万元，并收缴其违规所得。</w:t>
            </w:r>
            <w:r/>
          </w:p>
        </w:tc>
      </w:tr>
    </w:tbl>
    <w:p>
      <w:pPr>
        <w:ind w:left="0" w:right="0" w:firstLine="221"/>
        <w:jc w:val="both"/>
        <w:spacing w:before="0" w:after="156"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221"/>
        <w:jc w:val="both"/>
        <w:spacing w:before="0" w:after="156"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四、其他事项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、接到甲方任务指令后，乙方原则上</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个小时内必须进场（客观原因或不可抗力因素除外），同时做好进场准备：包括人员准备、施工材料准备以及技术准备。非因客观原因或不可抗力推迟进场，将予以警告处罚并责令整改。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、乙方项目负责人不得单方面更换，确因特殊原因需更换必须书面报告甲方，征得甲方同意后方可更换，否则甲方有权终止合同并责令乙方退场。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、乙方作业人员在施工时应当统一着装，并按照要求采取有效的安全防护措施，同时安排专职安全人员进行安全管理和监督，以确保作业安全，未按要求作业的，将予以警告处罚并责令整改。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当气象台发布黄色及以上暴雨信号或可能影响水面作业安全的灾害性天气预警时，不宜开展相关河面作业。台风、暴雨等灾害性天气及洪水过后应组织力量进行应急处置，加大养护力度，增加养护频次，及时清理垃圾等废弃物、生态浮岛浮框等。</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、垃圾、淤泥等废弃物处理：按照技术规程和国家相关规范要求及市水务主管部门要求，运输、处置、处理淤泥、垃圾和相关废弃物未按以上要求作业的，将予以警告处罚并责令整改。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安全生产：乙方做好项目范围内作业安全保障工作，建立健全各项安全工作体系，落实各项安全措施，加强作业人员安全思想教育工作，完善各类安全台账，确保养护工作安全有序进行。若发生重大安全责任事故或造成重大影响，甲方有权终止合同并责令乙方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、乙方在重大节日、</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迎检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创建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等期间按要求完成甲方交办的突击性任务和指令性任务。未能及时响应完成的，将予以警告处罚并责令整改。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、因作业管理不当，造成严重负面影响，或受到上级相关部门点名批评的，将予以警告处罚并责令整改；因作业管理不当，经媒体曝光、</w:t>
      </w:r>
      <w:r>
        <w:rPr>
          <w:rFonts w:ascii="Times New Roman" w:hAnsi="Times New Roman" w:eastAsia="Times New Roman" w:cs="Times New Roman"/>
          <w:color w:val="000000"/>
          <w:sz w:val="22"/>
        </w:rPr>
        <w:t xml:space="preserve">12345</w:t>
      </w:r>
      <w:r>
        <w:rPr>
          <w:rFonts w:ascii="SimSun" w:hAnsi="SimSun" w:eastAsia="SimSun" w:cs="SimSun"/>
          <w:color w:val="000000"/>
          <w:sz w:val="22"/>
        </w:rPr>
        <w:t xml:space="preserve">政务热线、网络问政、公众监督网等举报，一经查实，将予以警告处罚并责令整改。</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、因养护、维护、操作、调度执行、水位控制不当等原因，发生人员伤亡和财产损失的，由乙方负责赔偿相关损失，且甲方有权终止合同并责令乙方退场。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乙方违反考核办法规定，根据问题严重程度，除兑现考核奖惩外，甲方视情况可给予乙方警告处罚或责令整改通知；除上述涉及退场条件的条款外，同类事件第二次警告处罚或责令整改，除兑现考核奖惩外，额外扣罚人民币</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次；同类事件累计发生三次警告处罚或责令整改，甲方有权终止合同并责令乙方退场，并取消乙方再次投标资格。</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、项目考核周期及经费奖惩：每月专项考核一次加不定期巡查。月度考核成绩</w:t>
      </w:r>
      <w:r>
        <w:rPr>
          <w:rFonts w:ascii="Times New Roman" w:hAnsi="Times New Roman" w:eastAsia="Times New Roman" w:cs="Times New Roman"/>
          <w:color w:val="000000"/>
          <w:sz w:val="22"/>
        </w:rPr>
        <w:t xml:space="preserve">95</w:t>
      </w:r>
      <w:r>
        <w:rPr>
          <w:rFonts w:ascii="SimSun" w:hAnsi="SimSun" w:eastAsia="SimSun" w:cs="SimSun"/>
          <w:color w:val="000000"/>
          <w:sz w:val="22"/>
        </w:rPr>
        <w:t xml:space="preserve">分（含）</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分的，不扣除养护经费；</w:t>
      </w:r>
      <w:r>
        <w:rPr>
          <w:rFonts w:ascii="Times New Roman" w:hAnsi="Times New Roman" w:eastAsia="Times New Roman" w:cs="Times New Roman"/>
          <w:color w:val="000000"/>
          <w:sz w:val="22"/>
        </w:rPr>
        <w:t xml:space="preserve">90</w:t>
      </w:r>
      <w:r>
        <w:rPr>
          <w:rFonts w:ascii="SimSun" w:hAnsi="SimSun" w:eastAsia="SimSun" w:cs="SimSun"/>
          <w:color w:val="000000"/>
          <w:sz w:val="22"/>
        </w:rPr>
        <w:t xml:space="preserve">（含）</w:t>
      </w:r>
      <w:r>
        <w:rPr>
          <w:rFonts w:ascii="Times New Roman" w:hAnsi="Times New Roman" w:eastAsia="Times New Roman" w:cs="Times New Roman"/>
          <w:color w:val="000000"/>
          <w:sz w:val="22"/>
        </w:rPr>
        <w:t xml:space="preserve">-94</w:t>
      </w:r>
      <w:r>
        <w:rPr>
          <w:rFonts w:ascii="SimSun" w:hAnsi="SimSun" w:eastAsia="SimSun" w:cs="SimSun"/>
          <w:color w:val="000000"/>
          <w:sz w:val="22"/>
        </w:rPr>
        <w:t xml:space="preserve">分的，相较于</w:t>
      </w:r>
      <w:r>
        <w:rPr>
          <w:rFonts w:ascii="Times New Roman" w:hAnsi="Times New Roman" w:eastAsia="Times New Roman" w:cs="Times New Roman"/>
          <w:color w:val="000000"/>
          <w:sz w:val="22"/>
        </w:rPr>
        <w:t xml:space="preserve">95</w:t>
      </w:r>
      <w:r>
        <w:rPr>
          <w:rFonts w:ascii="SimSun" w:hAnsi="SimSun" w:eastAsia="SimSun" w:cs="SimSun"/>
          <w:color w:val="000000"/>
          <w:sz w:val="22"/>
        </w:rPr>
        <w:t xml:space="preserve">分每低</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分扣除</w:t>
      </w:r>
      <w:r>
        <w:rPr>
          <w:rFonts w:ascii="Times New Roman" w:hAnsi="Times New Roman" w:eastAsia="Times New Roman" w:cs="Times New Roman"/>
          <w:color w:val="000000"/>
          <w:sz w:val="22"/>
        </w:rPr>
        <w:t xml:space="preserve">0.2</w:t>
      </w:r>
      <w:r>
        <w:rPr>
          <w:rFonts w:ascii="SimSun" w:hAnsi="SimSun" w:eastAsia="SimSun" w:cs="SimSun"/>
          <w:color w:val="000000"/>
          <w:sz w:val="22"/>
        </w:rPr>
        <w:t xml:space="preserve">万元；考核成绩小于</w:t>
      </w:r>
      <w:r>
        <w:rPr>
          <w:rFonts w:ascii="Times New Roman" w:hAnsi="Times New Roman" w:eastAsia="Times New Roman" w:cs="Times New Roman"/>
          <w:color w:val="000000"/>
          <w:sz w:val="22"/>
        </w:rPr>
        <w:t xml:space="preserve">90</w:t>
      </w:r>
      <w:r>
        <w:rPr>
          <w:rFonts w:ascii="SimSun" w:hAnsi="SimSun" w:eastAsia="SimSun" w:cs="SimSun"/>
          <w:color w:val="000000"/>
          <w:sz w:val="22"/>
        </w:rPr>
        <w:t xml:space="preserve">分的，在扣除</w:t>
      </w:r>
      <w:r>
        <w:rPr>
          <w:rFonts w:ascii="Times New Roman" w:hAnsi="Times New Roman" w:eastAsia="Times New Roman" w:cs="Times New Roman"/>
          <w:color w:val="000000"/>
          <w:sz w:val="22"/>
        </w:rPr>
        <w:t xml:space="preserve">0.2*5=1</w:t>
      </w:r>
      <w:r>
        <w:rPr>
          <w:rFonts w:ascii="SimSun" w:hAnsi="SimSun" w:eastAsia="SimSun" w:cs="SimSun"/>
          <w:color w:val="000000"/>
          <w:sz w:val="22"/>
        </w:rPr>
        <w:t xml:space="preserve">万元基础上，相较于</w:t>
      </w:r>
      <w:r>
        <w:rPr>
          <w:rFonts w:ascii="Times New Roman" w:hAnsi="Times New Roman" w:eastAsia="Times New Roman" w:cs="Times New Roman"/>
          <w:color w:val="000000"/>
          <w:sz w:val="22"/>
        </w:rPr>
        <w:t xml:space="preserve">90</w:t>
      </w:r>
      <w:r>
        <w:rPr>
          <w:rFonts w:ascii="SimSun" w:hAnsi="SimSun" w:eastAsia="SimSun" w:cs="SimSun"/>
          <w:color w:val="000000"/>
          <w:sz w:val="22"/>
        </w:rPr>
        <w:t xml:space="preserve">分每低</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分扣除</w:t>
      </w:r>
      <w:r>
        <w:rPr>
          <w:rFonts w:ascii="Times New Roman" w:hAnsi="Times New Roman" w:eastAsia="Times New Roman" w:cs="Times New Roman"/>
          <w:color w:val="000000"/>
          <w:sz w:val="22"/>
        </w:rPr>
        <w:t xml:space="preserve">0.3</w:t>
      </w:r>
      <w:r>
        <w:rPr>
          <w:rFonts w:ascii="SimSun" w:hAnsi="SimSun" w:eastAsia="SimSun" w:cs="SimSun"/>
          <w:color w:val="000000"/>
          <w:sz w:val="22"/>
        </w:rPr>
        <w:t xml:space="preserve">万元。若累计有三次月考核成绩低于（不含）</w:t>
      </w:r>
      <w:r>
        <w:rPr>
          <w:rFonts w:ascii="Times New Roman" w:hAnsi="Times New Roman" w:eastAsia="Times New Roman" w:cs="Times New Roman"/>
          <w:color w:val="000000"/>
          <w:sz w:val="22"/>
        </w:rPr>
        <w:t xml:space="preserve">85</w:t>
      </w:r>
      <w:r>
        <w:rPr>
          <w:rFonts w:ascii="SimSun" w:hAnsi="SimSun" w:eastAsia="SimSun" w:cs="SimSun"/>
          <w:color w:val="000000"/>
          <w:sz w:val="22"/>
        </w:rPr>
        <w:t xml:space="preserve">分，，甲方有权终止合同并责令乙方无条件退场。</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考核扣除经费的使用：考核扣除经费可用于日常养护职责范围之外的相关备品备件购置、附属设施更新、维修改造等设施养护和提升工作。乙方按甲方要求落实，或根据日常养护实际需要，形成建议报告并报甲方同意后实施。产生费用经甲方审核后在考核扣减经费中列支，在支付合同约定的尾款第二次费用时按实核算拨付，总额不超过扣减经费总额，购置相关备品备件的，原则上应与既有设施相同规格或根据需要优化调整，不得擅自降低设备参数。</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、甲方可根据管理需要更新、修订或制定相关管理制度，乙方应配合执行。其他未尽事宜，由甲乙双方协商解决。</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12"/>
        <w:numPr>
          <w:ilvl w:val="0"/>
          <w:numId w:val="15"/>
        </w:numPr>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12"/>
        <w:numPr>
          <w:ilvl w:val="0"/>
          <w:numId w:val="15"/>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投标文件格式及附件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投标人名称：（加盖电子公章）</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9"/>
        <w:gridCol w:w="4972"/>
        <w:gridCol w:w="1552"/>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详见苏采云系统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7"/>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附件四、分项报价表格式（根据清单进行报价）</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4"/>
        <w:gridCol w:w="1139"/>
        <w:gridCol w:w="833"/>
        <w:gridCol w:w="1987"/>
        <w:gridCol w:w="489"/>
        <w:gridCol w:w="867"/>
        <w:gridCol w:w="651"/>
        <w:gridCol w:w="721"/>
        <w:gridCol w:w="1013"/>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w:t>
              <w:b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项目特征描述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计量</w:t>
              <w:b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工作量</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金 额(元)</w:t>
            </w:r>
            <w:r/>
          </w:p>
        </w:tc>
      </w:tr>
      <w:tr>
        <w:trPr>
          <w:trHeight w:val="3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综合单价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其中</w:t>
            </w:r>
            <w:r/>
          </w:p>
        </w:tc>
      </w:tr>
      <w:tr>
        <w:trPr>
          <w:trHeight w:val="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暂估价</w:t>
            </w:r>
            <w:r/>
          </w:p>
        </w:tc>
      </w:tr>
      <w:tr>
        <w:trPr>
          <w:trHeight w:val="1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河面养护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1、河面养护</w:t>
              <w:br/>
              <w:t xml:space="preserve">2、包含但不限于巡查、保洁、管养、管理等具体要求详见中招标文件</w:t>
              <w:br/>
              <w:t xml:space="preserve">3、满足《CJJ68-2016城镇排水管渠与泵站运行、维护及安全技术规程》及《城市河道养护技术管理规范》（T/NEEPA003-2023）中相关规范要求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271591.59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岸坡养护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1、岸坡养护</w:t>
              <w:br/>
              <w:t xml:space="preserve">2、包含但不限于巡查、保洁、管养、管理等具体要求详见中招标文件</w:t>
              <w:br/>
              <w:t xml:space="preserve">3、满足《CJJ68-2016城镇排水管渠与泵站运行、维护及安全技术规程》及《城市河道养护技术管理规范》（T/NEEPA003-2023）中相关规范要求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20874.35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硬质驳坎养护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1、硬质驳坎养护</w:t>
              <w:br/>
              <w:t xml:space="preserve">2、包含但不限于巡查、保洁、管养、管理等具体要求详见中招标文件</w:t>
              <w:br/>
              <w:t xml:space="preserve">3、满足《CJJ68-2016城镇排水管渠与泵站运行、维护及安全技术规程》及《城市河道养护技术管理规范》（T/NEEPA003-2023）中相关规范要求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72576.78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硬化面积（养护）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1、硬化面积养护</w:t>
              <w:br/>
              <w:t xml:space="preserve">2、包含但不限于巡查、保洁、管养、管理、破损处修补等具体要求详见中招标文件</w:t>
              <w:br/>
              <w:t xml:space="preserve">3、满足《CJJ68-2016城镇排水管渠与泵站运行、维护及安全技术规程》及《城市河道养护技术管理规范》（T/NEEPA003-2023）中相关规范要求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5424.95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栏杆（维护）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1、栏杆（维护）</w:t>
              <w:br/>
              <w:t xml:space="preserve">2、包含但不限于巡查、保洁、管养、管理、破损处修补等</w:t>
              <w:br/>
              <w:t xml:space="preserve">3、具体要求详见招标文件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33085.3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标警示牌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1、标警示牌维护</w:t>
              <w:br/>
              <w:t xml:space="preserve">2、包含但不限于巡查、保洁、管养、管理、破损处修补等</w:t>
              <w:br/>
              <w:t xml:space="preserve">3、具体要求详见招标文件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挺水植物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1、挺水植物养护</w:t>
              <w:br/>
              <w:t xml:space="preserve">2、包含但不限于巡查、保洁、管养、管理等</w:t>
              <w:br/>
              <w:t xml:space="preserve">3、养护质量达到DB 3201/T 296.3标准要求</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9540.22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绿化面积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1、绿化面积养护</w:t>
              <w:br/>
              <w:t xml:space="preserve">2、包含但不限于巡查、保洁、管养、管理等</w:t>
              <w:br/>
              <w:t xml:space="preserve">3、养护质量达到DB 3201/T 296.3标准要求</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10394.49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沉水植物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1、沉水植物养护</w:t>
              <w:br/>
              <w:t xml:space="preserve">2、包含但不限于巡查、保洁、管养、管理等</w:t>
              <w:br/>
              <w:t xml:space="preserve">3、养护质量达到DB 3201/T 296.3标准要求</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23635.9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生态浮床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1、生态浮床养护</w:t>
              <w:br/>
              <w:t xml:space="preserve">2、包含但不限于巡查、保洁、管养、管理等</w:t>
              <w:br/>
              <w:t xml:space="preserve">3、养护质量达到DB 3201/T 296.3标准要求</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1980.11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气盾坝运维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1、气盾坝运维</w:t>
              <w:br/>
              <w:t xml:space="preserve">2、包含但不限于巡查、保洁、管养、管理、破损处修补等</w:t>
              <w:br/>
              <w:t xml:space="preserve">3、满足CJJ68-4.4相关规定</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翻板闸运维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1、翻板闸运维</w:t>
              <w:br/>
              <w:t xml:space="preserve">2、包含但不限于巡查、保洁、管养、管理、破损处修补等</w:t>
              <w:br/>
              <w:t xml:space="preserve">3、满足CJJ68-4.4相关规定</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跌水堰运维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1、跌水堰运维</w:t>
              <w:br/>
              <w:t xml:space="preserve">2、包含但不限于巡查、保洁、管养、管理、破损处修补等</w:t>
              <w:br/>
              <w:t xml:space="preserve">3、满足CJJ68-4.4相关规定</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溢流堰运维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1、溢流堰运维</w:t>
              <w:br/>
              <w:t xml:space="preserve">2、包含但不限于巡查、保洁、管养、管理、破损处修补等</w:t>
              <w:br/>
              <w:t xml:space="preserve">3、满足CJJ68-4.4相关规定</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拦污栅运维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1、拦污栅运维</w:t>
              <w:br/>
              <w:t xml:space="preserve">2、包含但不限于巡查、保洁、管养、管理、破损处修补等</w:t>
              <w:br/>
              <w:t xml:space="preserve">3、满足CJJ68-4.4相关规定</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闸门运维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1、闸门运维</w:t>
              <w:br/>
              <w:t xml:space="preserve">2、包含但不限于巡查、保洁、管养、管理、破损处修补等</w:t>
              <w:br/>
              <w:t xml:space="preserve">3、满足CJJ68-4.4相关规定</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座/年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曝气设备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1、曝气设备</w:t>
              <w:br/>
              <w:t xml:space="preserve">2、包含但不限于巡查、保洁、管养、管理、破损处修补等</w:t>
              <w:br/>
              <w:t xml:space="preserve">3、满足CJJ68-4.4相关规定</w:t>
              <w:br/>
              <w:t xml:space="preserve">4、具体要求详见招标文件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2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室外现有设施维护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1、室外现有设施维护</w:t>
              <w:br/>
              <w:t xml:space="preserve">2、包含但不限于室外已有：文化铝板、消泡装置、木纹铝板、铝板景墙、架空栈道、成品花箱、铜板雕刻画、岸坡挡墙、庭院灯、壁灯、射灯、草坪灯、瓦楞灯、灯带、照明控制柜等</w:t>
              <w:br/>
              <w:t xml:space="preserve">3、工作内容包含但不限于巡查、保洁、管养、管理、破损处修补等</w:t>
              <w:br/>
              <w:t xml:space="preserve">4、具体数量及要求详见招标文件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2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010101001055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水文化馆现有设施维护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1、水文化馆现有设施维护</w:t>
              <w:br/>
              <w:t xml:space="preserve">2、设施包含但不限于高清播放器、投影服务期、室内全彩显示巨屏、智慧互动投影、楼梯水纹投影、65寸显示屏、75寸显示屏、21.5寸触摸查询一体机、沙盘模型、荣耀笔记本、中央空调、展柜、半球摄像机、室外摄像头</w:t>
              <w:br/>
              <w:t xml:space="preserve">3、工作内容包含但不限于巡查、保洁、管养、管理、破损处修补等</w:t>
              <w:br/>
              <w:t xml:space="preserve">4、具体数量及要求详见招标文件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spacing w:before="0" w:after="0" w:line="57" w:lineRule="atLeast"/>
            </w:pPr>
            <w:r/>
          </w:p>
        </w:tc>
      </w:tr>
      <w:tr>
        <w:trPr>
          <w:trHeight w:val="35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综合单价为全费用综合单价，包含但不限于人工费、材料费、机械费、管理费、利润、措施费、规费、税金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7"/>
        <w:gridCol w:w="1059"/>
        <w:gridCol w:w="3844"/>
        <w:gridCol w:w="2345"/>
        <w:gridCol w:w="1379"/>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招标要求技术参数</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技术参数响应情况</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4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4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说明：投标文件的采购需求部分内容响应存在正偏离或负偏离或无偏离的，请在本表中逐条列出。未列出的，视为响应采购文件要求。如果行数不够，请自行增加。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1644"/>
        <w:gridCol w:w="2433"/>
        <w:gridCol w:w="2937"/>
        <w:gridCol w:w="117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4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说明：投标文件的商务部分内容响应存在正偏离或负偏离或无偏离的，请在本表中逐条列出。未列出的，视为响应采购文件要求。如果行数不够，请自行增加。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1232"/>
        <w:gridCol w:w="1154"/>
        <w:gridCol w:w="802"/>
        <w:gridCol w:w="834"/>
        <w:gridCol w:w="1200"/>
        <w:gridCol w:w="910"/>
        <w:gridCol w:w="9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注：从业人员、营业收入、资产总额填报上一年度数据，无上一年度数据的新成立企业可不填报。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2.在货物采购项目中，货物由中小企业制造，即货物由中小企业生产且使用该中小企业商号或者注册商标。</w:t>
      </w:r>
      <w:r>
        <w:rPr>
          <w:rFonts w:ascii="SimSun" w:hAnsi="SimSun" w:eastAsia="SimSun" w:cs="SimSun"/>
          <w:b/>
          <w:color w:val="000000"/>
          <w:sz w:val="21"/>
        </w:rPr>
        <w:t xml:space="preserve">供应商提供的货物既有中小企业制造货物，也有大型企业制造货物的，不享受相应扶持政策。</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3.《中小企业声明函》中所填的行业应与本采购标的对应的中小企业划分标准所属行业一致，不一致的不可享受相应政策优惠。</w:t>
      </w:r>
      <w:r>
        <w:rPr>
          <w:rFonts w:ascii="SimSun" w:hAnsi="SimSun" w:eastAsia="SimSun" w:cs="SimSun"/>
          <w:b/>
          <w:color w:val="000000"/>
          <w:sz w:val="21"/>
        </w:rPr>
        <w:t xml:space="preserve">本采购标的对应的中小企业划分标准所属行业，以采购文件中具体规定为准。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4.如未对（中型企业、小型企业、微型企业）进行勾选，视同非中小微企业，不可享受相应扶持政策。</w:t>
      </w:r>
      <w:r/>
    </w:p>
    <w:p>
      <w:pPr>
        <w:ind w:left="84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5.中标单位为中小企业的，《中小企业声明函》将随中标结果同时公告。</w:t>
      </w:r>
      <w:r/>
    </w:p>
    <w:p>
      <w:pPr>
        <w:ind w:left="84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rPr>
          <w:rFonts w:ascii="SimSun" w:hAnsi="SimSun" w:eastAsia="SimSun" w:cs="SimSun"/>
          <w:color w:val="333333"/>
          <w:sz w:val="28"/>
          <w:highlight w:val="white"/>
        </w:rPr>
        <w:t xml:space="preserve">_____________________________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本国产品标准适用于货物，包括政府采购货物项目和服务项目中涉及的货物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附件十三、承诺书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南京市鼓楼区水务设施综合养护中心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我单位（供应商名称）参加2026年鼓楼区金川河流域水生态养护服务项目郑重承诺：</w:t>
      </w:r>
      <w:r/>
    </w:p>
    <w:p>
      <w:pPr>
        <w:ind w:left="0" w:right="0" w:firstLine="3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服务期内，鼓楼区范围内如有新增移交的河道、水体及附属设施（按中标单价核算养护费用累计</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中标总价</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的）纳入本项目养护，养护费用不另行计算。本项目服务期内如有发生的额外相关维修费用累计</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人民币</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万元的，由中标人承担。如中标人申报费用超过</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万元，由采购人委托审计单位进行审计，按审定价扣减</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万元支付相关费用，审计费由采购人承担（审计核减率超</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，审计费由中标人承担）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附件十四、《南京市政府采购供应商信用承诺书》（打印签字并盖章）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8"/>
        <w:gridCol w:w="2052"/>
        <w:gridCol w:w="1667"/>
        <w:gridCol w:w="299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XXXX</w:t>
            </w:r>
            <w:r>
              <w:rPr>
                <w:rFonts w:ascii="SimSun" w:hAnsi="SimSun" w:eastAsia="SimSun" w:cs="SimSun"/>
                <w:color w:val="000000"/>
                <w:sz w:val="21"/>
              </w:rPr>
              <w:t xml:space="preserve">年</w:t>
            </w:r>
            <w:r>
              <w:rPr>
                <w:rFonts w:ascii="Calibri" w:hAnsi="Calibri" w:eastAsia="Calibri" w:cs="Calibri"/>
                <w:color w:val="000000"/>
                <w:sz w:val="21"/>
              </w:rPr>
              <w:t xml:space="preserve">XX</w:t>
            </w:r>
            <w:r>
              <w:rPr>
                <w:rFonts w:ascii="SimSun" w:hAnsi="SimSun" w:eastAsia="SimSun" w:cs="SimSun"/>
                <w:color w:val="000000"/>
                <w:sz w:val="21"/>
              </w:rPr>
              <w:t xml:space="preserve">月</w:t>
            </w:r>
            <w:r>
              <w:rPr>
                <w:rFonts w:ascii="Calibri" w:hAnsi="Calibri" w:eastAsia="Calibri" w:cs="Calibri"/>
                <w:color w:val="000000"/>
                <w:sz w:val="21"/>
              </w:rPr>
              <w:t xml:space="preserve">XX</w:t>
            </w:r>
            <w:r>
              <w:rPr>
                <w:rFonts w:ascii="SimSun" w:hAnsi="SimSun" w:eastAsia="SimSun" w:cs="SimSun"/>
                <w:color w:val="000000"/>
                <w:sz w:val="21"/>
              </w:rPr>
              <w:t xml:space="preserve">日</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附件十五、投标人需要提供的其他材料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headerReference w:type="default" r:id="rId9"/>
      <w:footerReference w:type="default" r:id="rId10"/>
      <w:footerReference w:type="first" r:id="rId11"/>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39065" cy="177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9065" cy="177165"/>
                      </a:xfrm>
                      <a:prstGeom prst="rect">
                        <a:avLst/>
                      </a:prstGeom>
                      <a:noFill/>
                      <a:ln w="6350">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90"/>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0.9pt;height:13.9pt;mso-wrap-distance-left:9.0pt;mso-wrap-distance-top:0.0pt;mso-wrap-distance-right:9.0pt;mso-wrap-distance-bottom:0.0pt;visibility:visible;" filled="f" stroked="f" strokeweight="0.50pt">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9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91"/>
      <w:isLgl w:val="false"/>
      <w:suff w:val="nothing"/>
      <w:lvlText w:val="第%1章"/>
      <w:lvlJc w:val="left"/>
      <w:pPr>
        <w:pStyle w:val="790"/>
        <w:ind w:left="0" w:firstLine="0"/>
      </w:pPr>
    </w:lvl>
    <w:lvl w:ilvl="1">
      <w:start w:val="1"/>
      <w:numFmt w:val="decimal"/>
      <w:pStyle w:val="792"/>
      <w:isLgl w:val="false"/>
      <w:suff w:val="nothing"/>
      <w:lvlText w:val=""/>
      <w:lvlJc w:val="left"/>
      <w:pPr>
        <w:pStyle w:val="790"/>
        <w:ind w:left="0" w:firstLine="0"/>
      </w:pPr>
    </w:lvl>
    <w:lvl w:ilvl="2">
      <w:start w:val="1"/>
      <w:numFmt w:val="decimal"/>
      <w:pStyle w:val="793"/>
      <w:isLgl w:val="false"/>
      <w:suff w:val="nothing"/>
      <w:lvlText w:val=""/>
      <w:lvlJc w:val="left"/>
      <w:pPr>
        <w:pStyle w:val="790"/>
        <w:ind w:left="0" w:firstLine="0"/>
      </w:pPr>
    </w:lvl>
    <w:lvl w:ilvl="3">
      <w:start w:val="1"/>
      <w:numFmt w:val="decimal"/>
      <w:pStyle w:val="794"/>
      <w:isLgl w:val="false"/>
      <w:suff w:val="nothing"/>
      <w:lvlText w:val=""/>
      <w:lvlJc w:val="left"/>
      <w:pPr>
        <w:pStyle w:val="790"/>
        <w:ind w:left="0" w:firstLine="0"/>
      </w:pPr>
    </w:lvl>
    <w:lvl w:ilvl="4">
      <w:start w:val="1"/>
      <w:numFmt w:val="decimal"/>
      <w:pStyle w:val="795"/>
      <w:isLgl w:val="false"/>
      <w:suff w:val="nothing"/>
      <w:lvlText w:val=""/>
      <w:lvlJc w:val="left"/>
      <w:pPr>
        <w:pStyle w:val="790"/>
        <w:ind w:left="0" w:firstLine="0"/>
      </w:pPr>
    </w:lvl>
    <w:lvl w:ilvl="5">
      <w:start w:val="1"/>
      <w:numFmt w:val="decimal"/>
      <w:pStyle w:val="796"/>
      <w:isLgl w:val="false"/>
      <w:suff w:val="nothing"/>
      <w:lvlText w:val=""/>
      <w:lvlJc w:val="left"/>
      <w:pPr>
        <w:pStyle w:val="790"/>
        <w:ind w:left="0" w:firstLine="0"/>
      </w:pPr>
    </w:lvl>
    <w:lvl w:ilvl="6">
      <w:start w:val="1"/>
      <w:numFmt w:val="decimal"/>
      <w:pStyle w:val="797"/>
      <w:isLgl w:val="false"/>
      <w:suff w:val="nothing"/>
      <w:lvlText w:val=""/>
      <w:lvlJc w:val="left"/>
      <w:pPr>
        <w:pStyle w:val="790"/>
        <w:ind w:left="0" w:firstLine="0"/>
      </w:pPr>
    </w:lvl>
    <w:lvl w:ilvl="7">
      <w:start w:val="1"/>
      <w:numFmt w:val="decimal"/>
      <w:pStyle w:val="798"/>
      <w:isLgl w:val="false"/>
      <w:suff w:val="nothing"/>
      <w:lvlText w:val=""/>
      <w:lvlJc w:val="left"/>
      <w:pPr>
        <w:pStyle w:val="790"/>
        <w:ind w:left="0" w:firstLine="0"/>
      </w:pPr>
    </w:lvl>
    <w:lvl w:ilvl="8">
      <w:start w:val="1"/>
      <w:numFmt w:val="decimal"/>
      <w:pStyle w:val="799"/>
      <w:isLgl w:val="false"/>
      <w:suff w:val="nothing"/>
      <w:lvlText w:val=""/>
      <w:lvlJc w:val="left"/>
      <w:pPr>
        <w:pStyle w:val="790"/>
        <w:ind w:left="0" w:firstLine="0"/>
      </w:pPr>
    </w:lvl>
  </w:abstractNum>
  <w:abstractNum w:abstractNumId="2">
    <w:multiLevelType w:val="hybridMultilevel"/>
    <w:lvl w:ilvl="0">
      <w:start w:val="1"/>
      <w:numFmt w:val="chineseCounting"/>
      <w:isLgl w:val="false"/>
      <w:suff w:val="nothing"/>
      <w:lvlText w:val="%1、"/>
      <w:lvlJc w:val="left"/>
      <w:pPr>
        <w:pStyle w:val="7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90"/>
        <w:ind w:left="630" w:hanging="420"/>
        <w:tabs>
          <w:tab w:val="num" w:pos="630" w:leader="none"/>
        </w:tabs>
      </w:pPr>
      <w:rPr>
        <w:rFonts w:cs="Times New Roman"/>
      </w:rPr>
    </w:lvl>
    <w:lvl w:ilvl="1">
      <w:start w:val="1"/>
      <w:numFmt w:val="decimal"/>
      <w:isLgl w:val="false"/>
      <w:suff w:val="tab"/>
      <w:lvlText w:val="%2)"/>
      <w:lvlJc w:val="left"/>
      <w:pPr>
        <w:pStyle w:val="790"/>
        <w:ind w:left="990" w:hanging="360"/>
        <w:tabs>
          <w:tab w:val="num" w:pos="990" w:leader="none"/>
        </w:tabs>
      </w:pPr>
      <w:rPr>
        <w:color w:val="000000"/>
      </w:rPr>
    </w:lvl>
    <w:lvl w:ilvl="2">
      <w:start w:val="1"/>
      <w:numFmt w:val="lowerRoman"/>
      <w:isLgl w:val="false"/>
      <w:suff w:val="tab"/>
      <w:lvlText w:val="%3."/>
      <w:lvlJc w:val="right"/>
      <w:pPr>
        <w:pStyle w:val="790"/>
        <w:ind w:left="1470" w:hanging="420"/>
        <w:tabs>
          <w:tab w:val="num" w:pos="1470" w:leader="none"/>
        </w:tabs>
      </w:pPr>
      <w:rPr>
        <w:rFonts w:cs="Times New Roman"/>
      </w:rPr>
    </w:lvl>
    <w:lvl w:ilvl="3">
      <w:start w:val="1"/>
      <w:numFmt w:val="decimal"/>
      <w:isLgl w:val="false"/>
      <w:suff w:val="tab"/>
      <w:lvlText w:val="%4."/>
      <w:lvlJc w:val="left"/>
      <w:pPr>
        <w:pStyle w:val="790"/>
        <w:ind w:left="1890" w:hanging="420"/>
        <w:tabs>
          <w:tab w:val="num" w:pos="1890" w:leader="none"/>
        </w:tabs>
      </w:pPr>
      <w:rPr>
        <w:rFonts w:cs="Times New Roman"/>
      </w:rPr>
    </w:lvl>
    <w:lvl w:ilvl="4">
      <w:start w:val="1"/>
      <w:numFmt w:val="lowerLetter"/>
      <w:isLgl w:val="false"/>
      <w:suff w:val="tab"/>
      <w:lvlText w:val="%5)"/>
      <w:lvlJc w:val="left"/>
      <w:pPr>
        <w:pStyle w:val="790"/>
        <w:ind w:left="2310" w:hanging="420"/>
        <w:tabs>
          <w:tab w:val="num" w:pos="2310" w:leader="none"/>
        </w:tabs>
      </w:pPr>
      <w:rPr>
        <w:rFonts w:cs="Times New Roman"/>
      </w:rPr>
    </w:lvl>
    <w:lvl w:ilvl="5">
      <w:start w:val="1"/>
      <w:numFmt w:val="lowerRoman"/>
      <w:isLgl w:val="false"/>
      <w:suff w:val="tab"/>
      <w:lvlText w:val="%6."/>
      <w:lvlJc w:val="right"/>
      <w:pPr>
        <w:pStyle w:val="790"/>
        <w:ind w:left="2730" w:hanging="420"/>
        <w:tabs>
          <w:tab w:val="num" w:pos="2730" w:leader="none"/>
        </w:tabs>
      </w:pPr>
      <w:rPr>
        <w:rFonts w:cs="Times New Roman"/>
      </w:rPr>
    </w:lvl>
    <w:lvl w:ilvl="6">
      <w:start w:val="1"/>
      <w:numFmt w:val="decimal"/>
      <w:isLgl w:val="false"/>
      <w:suff w:val="tab"/>
      <w:lvlText w:val="%7."/>
      <w:lvlJc w:val="left"/>
      <w:pPr>
        <w:pStyle w:val="790"/>
        <w:ind w:left="3150" w:hanging="420"/>
        <w:tabs>
          <w:tab w:val="num" w:pos="3150" w:leader="none"/>
        </w:tabs>
      </w:pPr>
      <w:rPr>
        <w:rFonts w:cs="Times New Roman"/>
      </w:rPr>
    </w:lvl>
    <w:lvl w:ilvl="7">
      <w:start w:val="1"/>
      <w:numFmt w:val="lowerLetter"/>
      <w:isLgl w:val="false"/>
      <w:suff w:val="tab"/>
      <w:lvlText w:val="%8)"/>
      <w:lvlJc w:val="left"/>
      <w:pPr>
        <w:pStyle w:val="790"/>
        <w:ind w:left="3570" w:hanging="420"/>
        <w:tabs>
          <w:tab w:val="num" w:pos="3570" w:leader="none"/>
        </w:tabs>
      </w:pPr>
      <w:rPr>
        <w:rFonts w:cs="Times New Roman"/>
      </w:rPr>
    </w:lvl>
    <w:lvl w:ilvl="8">
      <w:start w:val="1"/>
      <w:numFmt w:val="lowerRoman"/>
      <w:isLgl w:val="false"/>
      <w:suff w:val="tab"/>
      <w:lvlText w:val="%9."/>
      <w:lvlJc w:val="right"/>
      <w:pPr>
        <w:pStyle w:val="790"/>
        <w:ind w:left="3990" w:hanging="420"/>
        <w:tabs>
          <w:tab w:val="num" w:pos="3990" w:leader="none"/>
        </w:tabs>
      </w:pPr>
      <w:rPr>
        <w:rFonts w:cs="Times New Roman"/>
      </w:rPr>
    </w:lvl>
  </w:abstractNum>
  <w:abstractNum w:abstractNumId="4">
    <w:multiLevelType w:val="hybridMultilevel"/>
    <w:lvl w:ilvl="0">
      <w:start w:val="1"/>
      <w:numFmt w:val="chineseCountingThousand"/>
      <w:pStyle w:val="947"/>
      <w:isLgl w:val="false"/>
      <w:suff w:val="tab"/>
      <w:lvlText w:val="%1"/>
      <w:lvlJc w:val="left"/>
      <w:pPr>
        <w:pStyle w:val="79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90"/>
        <w:ind w:left="425" w:hanging="425"/>
      </w:pPr>
      <w:rPr>
        <w:rFonts w:hint="eastAsia" w:ascii="Arial Unicode MS" w:hAnsi="Arial Unicode MS" w:eastAsia="微软雅黑"/>
        <w:b/>
        <w:i w:val="0"/>
      </w:rPr>
    </w:lvl>
    <w:lvl w:ilvl="2">
      <w:start w:val="1"/>
      <w:numFmt w:val="decimal"/>
      <w:isLgl w:val="false"/>
      <w:suff w:val="tab"/>
      <w:lvlText w:val="%1.%2.%3"/>
      <w:lvlJc w:val="left"/>
      <w:pPr>
        <w:pStyle w:val="790"/>
        <w:ind w:left="425" w:hanging="425"/>
      </w:pPr>
      <w:rPr>
        <w:rFonts w:hint="eastAsia" w:ascii="Arial Unicode MS" w:hAnsi="Arial Unicode MS" w:eastAsia="微软雅黑"/>
        <w:b/>
        <w:i w:val="0"/>
      </w:rPr>
    </w:lvl>
    <w:lvl w:ilvl="3">
      <w:start w:val="1"/>
      <w:numFmt w:val="decimal"/>
      <w:isLgl w:val="false"/>
      <w:suff w:val="tab"/>
      <w:lvlText w:val="%1.%2.%3.%4"/>
      <w:lvlJc w:val="left"/>
      <w:pPr>
        <w:pStyle w:val="790"/>
        <w:ind w:left="425" w:hanging="425"/>
      </w:pPr>
      <w:rPr>
        <w:rFonts w:hint="eastAsia" w:ascii="Arial Unicode MS" w:hAnsi="Arial Unicode MS" w:eastAsia="微软雅黑"/>
        <w:b/>
        <w:i w:val="0"/>
      </w:rPr>
    </w:lvl>
    <w:lvl w:ilvl="4">
      <w:start w:val="1"/>
      <w:numFmt w:val="decimal"/>
      <w:isLgl w:val="false"/>
      <w:suff w:val="tab"/>
      <w:lvlText w:val="%1.%2.%3.%4.%5"/>
      <w:lvlJc w:val="left"/>
      <w:pPr>
        <w:pStyle w:val="79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90"/>
        <w:ind w:left="425" w:hanging="425"/>
      </w:pPr>
      <w:rPr>
        <w:rFonts w:hint="eastAsia"/>
      </w:rPr>
    </w:lvl>
    <w:lvl w:ilvl="6">
      <w:start w:val="1"/>
      <w:numFmt w:val="decimal"/>
      <w:isLgl w:val="false"/>
      <w:suff w:val="tab"/>
      <w:lvlText w:val="%1.%2.%3.%4.%5.%6.%7"/>
      <w:lvlJc w:val="left"/>
      <w:pPr>
        <w:pStyle w:val="790"/>
        <w:ind w:left="425" w:hanging="425"/>
      </w:pPr>
      <w:rPr>
        <w:rFonts w:hint="eastAsia"/>
      </w:rPr>
    </w:lvl>
    <w:lvl w:ilvl="7">
      <w:start w:val="1"/>
      <w:numFmt w:val="decimal"/>
      <w:isLgl w:val="false"/>
      <w:suff w:val="tab"/>
      <w:lvlText w:val="%1.%2.%3.%4.%5.%6.%7.%8"/>
      <w:lvlJc w:val="left"/>
      <w:pPr>
        <w:pStyle w:val="790"/>
        <w:ind w:left="425" w:hanging="425"/>
      </w:pPr>
      <w:rPr>
        <w:rFonts w:hint="eastAsia"/>
      </w:rPr>
    </w:lvl>
    <w:lvl w:ilvl="8">
      <w:start w:val="1"/>
      <w:numFmt w:val="decimal"/>
      <w:isLgl w:val="false"/>
      <w:suff w:val="tab"/>
      <w:lvlText w:val="%1.%2.%3.%4.%5.%6.%7.%8.%9"/>
      <w:lvlJc w:val="left"/>
      <w:pPr>
        <w:pStyle w:val="790"/>
        <w:ind w:left="425" w:hanging="425"/>
      </w:pPr>
      <w:rPr>
        <w:rFonts w:hint="eastAsia"/>
      </w:rPr>
    </w:lvl>
  </w:abstractNum>
  <w:abstractNum w:abstractNumId="5">
    <w:multiLevelType w:val="hybridMultilevel"/>
    <w:lvl w:ilvl="0">
      <w:start w:val="5"/>
      <w:numFmt w:val="chineseCounting"/>
      <w:isLgl w:val="false"/>
      <w:suff w:val="space"/>
      <w:lvlText w:val="第%1章"/>
      <w:lvlJc w:val="left"/>
      <w:pPr>
        <w:pStyle w:val="7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pStyle w:val="790"/>
        <w:ind w:left="907" w:hanging="907"/>
      </w:pPr>
      <w:rPr>
        <w:rFonts w:hint="eastAsia"/>
      </w:rPr>
    </w:lvl>
    <w:lvl w:ilvl="1">
      <w:start w:val="1"/>
      <w:numFmt w:val="decimal"/>
      <w:isLgl w:val="false"/>
      <w:suff w:val="space"/>
      <w:lvlText w:val="%1.%2 "/>
      <w:lvlJc w:val="left"/>
      <w:pPr>
        <w:pStyle w:val="790"/>
        <w:ind w:left="794" w:hanging="794"/>
      </w:pPr>
    </w:lvl>
    <w:lvl w:ilvl="2">
      <w:start w:val="0"/>
      <w:numFmt w:val="decimal"/>
      <w:isLgl w:val="false"/>
      <w:suff w:val="tab"/>
      <w:lvlText w:val=""/>
      <w:lvlJc w:val="left"/>
      <w:pPr>
        <w:pStyle w:val="790"/>
        <w:tabs>
          <w:tab w:val="num" w:pos="360" w:leader="none"/>
        </w:tabs>
      </w:pPr>
      <w:rPr>
        <w:rFonts w:cs="Times New Roman"/>
      </w:rPr>
    </w:lvl>
    <w:lvl w:ilvl="3">
      <w:start w:val="0"/>
      <w:numFmt w:val="decimal"/>
      <w:isLgl w:val="false"/>
      <w:suff w:val="tab"/>
      <w:lvlText w:val=""/>
      <w:lvlJc w:val="left"/>
      <w:pPr>
        <w:pStyle w:val="790"/>
        <w:tabs>
          <w:tab w:val="num" w:pos="360" w:leader="none"/>
        </w:tabs>
      </w:pPr>
      <w:rPr>
        <w:rFonts w:cs="Times New Roman"/>
      </w:rPr>
    </w:lvl>
    <w:lvl w:ilvl="4">
      <w:start w:val="0"/>
      <w:numFmt w:val="decimal"/>
      <w:pStyle w:val="1039"/>
      <w:isLgl w:val="false"/>
      <w:suff w:val="tab"/>
      <w:lvlText w:val=""/>
      <w:lvlJc w:val="left"/>
      <w:pPr>
        <w:pStyle w:val="790"/>
      </w:pPr>
      <w:rPr>
        <w:rFonts w:cs="Times New Roman"/>
      </w:rPr>
    </w:lvl>
    <w:lvl w:ilvl="5">
      <w:start w:val="0"/>
      <w:numFmt w:val="decimal"/>
      <w:isLgl w:val="false"/>
      <w:suff w:val="tab"/>
      <w:lvlText w:val=""/>
      <w:lvlJc w:val="left"/>
      <w:pPr>
        <w:pStyle w:val="790"/>
      </w:pPr>
      <w:rPr>
        <w:rFonts w:cs="Times New Roman"/>
      </w:rPr>
    </w:lvl>
    <w:lvl w:ilvl="6">
      <w:start w:val="0"/>
      <w:numFmt w:val="decimal"/>
      <w:isLgl w:val="false"/>
      <w:suff w:val="tab"/>
      <w:lvlText w:val=""/>
      <w:lvlJc w:val="left"/>
      <w:pPr>
        <w:pStyle w:val="790"/>
      </w:pPr>
      <w:rPr>
        <w:rFonts w:cs="Times New Roman"/>
      </w:rPr>
    </w:lvl>
    <w:lvl w:ilvl="7">
      <w:start w:val="0"/>
      <w:numFmt w:val="decimal"/>
      <w:isLgl w:val="false"/>
      <w:suff w:val="tab"/>
      <w:lvlText w:val=""/>
      <w:lvlJc w:val="left"/>
      <w:pPr>
        <w:pStyle w:val="790"/>
      </w:pPr>
      <w:rPr>
        <w:rFonts w:cs="Times New Roman"/>
      </w:rPr>
    </w:lvl>
    <w:lvl w:ilvl="8">
      <w:start w:val="0"/>
      <w:numFmt w:val="decimal"/>
      <w:isLgl w:val="false"/>
      <w:suff w:val="tab"/>
      <w:lvlText w:val=""/>
      <w:lvlJc w:val="left"/>
      <w:pPr>
        <w:pStyle w:val="790"/>
      </w:pPr>
      <w:rPr>
        <w:rFonts w:cs="Times New Roman"/>
      </w:rPr>
    </w:lvl>
  </w:abstractNum>
  <w:abstractNum w:abstractNumId="8">
    <w:multiLevelType w:val="hybridMultilevel"/>
    <w:lvl w:ilvl="0">
      <w:start w:val="7"/>
      <w:numFmt w:val="decimal"/>
      <w:isLgl w:val="false"/>
      <w:suff w:val="nothing"/>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90"/>
        <w:ind w:left="0" w:firstLine="0"/>
      </w:pPr>
      <w:rPr>
        <w:rFonts w:hint="eastAsia"/>
      </w:rPr>
    </w:lvl>
    <w:lvl w:ilvl="1">
      <w:start w:val="1"/>
      <w:numFmt w:val="decimal"/>
      <w:isLgl w:val="false"/>
      <w:suff w:val="nothing"/>
      <w:lvlText w:val="%1%2　"/>
      <w:lvlJc w:val="left"/>
      <w:pPr>
        <w:pStyle w:val="790"/>
        <w:ind w:left="0" w:firstLine="0"/>
      </w:pPr>
      <w:rPr>
        <w:rFonts w:hint="eastAsia" w:ascii="黑体" w:eastAsia="黑体"/>
        <w:b w:val="0"/>
        <w:i w:val="0"/>
        <w:sz w:val="21"/>
      </w:rPr>
    </w:lvl>
    <w:lvl w:ilvl="2">
      <w:start w:val="1"/>
      <w:numFmt w:val="decimal"/>
      <w:isLgl w:val="false"/>
      <w:suff w:val="nothing"/>
      <w:lvlText w:val="%1%2.%3　"/>
      <w:lvlJc w:val="left"/>
      <w:pPr>
        <w:pStyle w:val="790"/>
        <w:ind w:left="5103"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rPr>
    </w:lvl>
    <w:lvl w:ilvl="3">
      <w:start w:val="1"/>
      <w:numFmt w:val="decimal"/>
      <w:pStyle w:val="1050"/>
      <w:isLgl w:val="false"/>
      <w:suff w:val="nothing"/>
      <w:lvlText w:val="%1%2.%3.%4　"/>
      <w:lvlJc w:val="left"/>
      <w:pPr>
        <w:pStyle w:val="790"/>
        <w:ind w:left="0" w:firstLine="0"/>
      </w:pPr>
      <w:rPr>
        <w:rFonts w:ascii="黑体" w:hAnsi="黑体" w:eastAsia="黑体"/>
        <w:b w:val="0"/>
        <w:i w:val="0"/>
        <w:color w:val="000000"/>
        <w:sz w:val="21"/>
        <w:highlight w:val="none"/>
      </w:rPr>
    </w:lvl>
    <w:lvl w:ilvl="4">
      <w:start w:val="1"/>
      <w:numFmt w:val="decimal"/>
      <w:pStyle w:val="1049"/>
      <w:isLgl w:val="false"/>
      <w:suff w:val="nothing"/>
      <w:lvlText w:val="%1%2.%3.%4.%5　"/>
      <w:lvlJc w:val="left"/>
      <w:pPr>
        <w:pStyle w:val="790"/>
        <w:ind w:left="852" w:firstLine="0"/>
      </w:pPr>
      <w:rPr>
        <w:rFonts w:hint="eastAsia" w:ascii="黑体" w:hAnsi="黑体" w:eastAsia="黑体"/>
        <w:b w:val="0"/>
        <w:bCs w:val="0"/>
        <w:i w:val="0"/>
        <w:sz w:val="21"/>
      </w:rPr>
    </w:lvl>
    <w:lvl w:ilvl="5">
      <w:start w:val="1"/>
      <w:numFmt w:val="decimal"/>
      <w:isLgl w:val="false"/>
      <w:suff w:val="nothing"/>
      <w:lvlText w:val="%1%2.%3.%4.%5.%6　"/>
      <w:lvlJc w:val="left"/>
      <w:pPr>
        <w:pStyle w:val="790"/>
        <w:ind w:left="2551" w:firstLine="0"/>
      </w:pPr>
      <w:rPr>
        <w:rFonts w:hint="eastAsia" w:ascii="黑体" w:eastAsia="黑体"/>
        <w:b w:val="0"/>
        <w:i w:val="0"/>
        <w:sz w:val="21"/>
      </w:rPr>
    </w:lvl>
    <w:lvl w:ilvl="6">
      <w:start w:val="1"/>
      <w:numFmt w:val="decimal"/>
      <w:isLgl w:val="false"/>
      <w:suff w:val="nothing"/>
      <w:lvlText w:val="%1%2.%3.%4.%5.%6.%7　"/>
      <w:lvlJc w:val="left"/>
      <w:pPr>
        <w:pStyle w:val="790"/>
        <w:ind w:left="1135" w:firstLine="0"/>
      </w:pPr>
      <w:rPr>
        <w:rFonts w:hint="eastAsia" w:ascii="黑体" w:eastAsia="黑体"/>
        <w:b w:val="0"/>
        <w:i w:val="0"/>
        <w:sz w:val="21"/>
      </w:rPr>
    </w:lvl>
    <w:lvl w:ilvl="7">
      <w:start w:val="1"/>
      <w:numFmt w:val="decimal"/>
      <w:isLgl w:val="false"/>
      <w:suff w:val="tab"/>
      <w:lvlText w:val="%1.%2.%3.%4.%5.%6.%7.%8"/>
      <w:lvlJc w:val="left"/>
      <w:pPr>
        <w:pStyle w:val="790"/>
        <w:ind w:left="3969" w:hanging="1418"/>
        <w:tabs>
          <w:tab w:val="num" w:pos="4351" w:leader="none"/>
        </w:tabs>
      </w:pPr>
      <w:rPr>
        <w:rFonts w:hint="eastAsia"/>
      </w:rPr>
    </w:lvl>
    <w:lvl w:ilvl="8">
      <w:start w:val="1"/>
      <w:numFmt w:val="decimal"/>
      <w:isLgl w:val="false"/>
      <w:suff w:val="tab"/>
      <w:lvlText w:val="%1.%2.%3.%4.%5.%6.%7.%8.%9"/>
      <w:lvlJc w:val="left"/>
      <w:pPr>
        <w:pStyle w:val="790"/>
        <w:ind w:left="4677" w:hanging="1700"/>
        <w:tabs>
          <w:tab w:val="num" w:pos="4777" w:leader="none"/>
        </w:tabs>
      </w:pPr>
      <w:rPr>
        <w:rFonts w:hint="eastAsia"/>
      </w:rPr>
    </w:lvl>
  </w:abstractNum>
  <w:abstractNum w:abstractNumId="1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1">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7"/>
  </w:num>
  <w:num w:numId="4">
    <w:abstractNumId w:val="9"/>
  </w:num>
  <w:num w:numId="5">
    <w:abstractNumId w:val="8"/>
  </w:num>
  <w:num w:numId="6">
    <w:abstractNumId w:val="3"/>
  </w:num>
  <w:num w:numId="7">
    <w:abstractNumId w:val="0"/>
  </w:num>
  <w:num w:numId="8">
    <w:abstractNumId w:val="5"/>
  </w:num>
  <w:num w:numId="9">
    <w:abstractNumId w:val="2"/>
  </w:num>
  <w:num w:numId="10">
    <w:abstractNumId w:val="6"/>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0"/>
    <w:next w:val="7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0"/>
    <w:next w:val="7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0"/>
    <w:next w:val="7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0"/>
    <w:next w:val="7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0"/>
    <w:next w:val="7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0"/>
    <w:next w:val="7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0"/>
    <w:next w:val="7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0"/>
    <w:next w:val="7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0"/>
    <w:next w:val="7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0"/>
    <w:next w:val="79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0"/>
    <w:next w:val="79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0"/>
    <w:next w:val="790"/>
    <w:link w:val="38"/>
    <w:uiPriority w:val="29"/>
    <w:qFormat/>
    <w:pPr>
      <w:ind w:left="720" w:right="720"/>
    </w:pPr>
    <w:rPr>
      <w:i/>
    </w:rPr>
  </w:style>
  <w:style w:type="character" w:styleId="38">
    <w:name w:val="Quote Char"/>
    <w:link w:val="37"/>
    <w:uiPriority w:val="29"/>
    <w:rPr>
      <w:i/>
    </w:rPr>
  </w:style>
  <w:style w:type="paragraph" w:styleId="39">
    <w:name w:val="Intense Quote"/>
    <w:basedOn w:val="790"/>
    <w:next w:val="7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0"/>
    <w:next w:val="79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0"/>
    <w:next w:val="790"/>
    <w:uiPriority w:val="39"/>
    <w:unhideWhenUsed/>
    <w:pPr>
      <w:ind w:left="0" w:right="0" w:firstLine="0"/>
      <w:spacing w:after="57"/>
    </w:pPr>
  </w:style>
  <w:style w:type="paragraph" w:styleId="181">
    <w:name w:val="toc 2"/>
    <w:basedOn w:val="790"/>
    <w:next w:val="790"/>
    <w:uiPriority w:val="39"/>
    <w:unhideWhenUsed/>
    <w:pPr>
      <w:ind w:left="283" w:right="0" w:firstLine="0"/>
      <w:spacing w:after="57"/>
    </w:pPr>
  </w:style>
  <w:style w:type="paragraph" w:styleId="182">
    <w:name w:val="toc 3"/>
    <w:basedOn w:val="790"/>
    <w:next w:val="790"/>
    <w:uiPriority w:val="39"/>
    <w:unhideWhenUsed/>
    <w:pPr>
      <w:ind w:left="567" w:right="0" w:firstLine="0"/>
      <w:spacing w:after="57"/>
    </w:pPr>
  </w:style>
  <w:style w:type="paragraph" w:styleId="183">
    <w:name w:val="toc 4"/>
    <w:basedOn w:val="790"/>
    <w:next w:val="790"/>
    <w:uiPriority w:val="39"/>
    <w:unhideWhenUsed/>
    <w:pPr>
      <w:ind w:left="850" w:right="0" w:firstLine="0"/>
      <w:spacing w:after="57"/>
    </w:pPr>
  </w:style>
  <w:style w:type="paragraph" w:styleId="184">
    <w:name w:val="toc 5"/>
    <w:basedOn w:val="790"/>
    <w:next w:val="790"/>
    <w:uiPriority w:val="39"/>
    <w:unhideWhenUsed/>
    <w:pPr>
      <w:ind w:left="1134" w:right="0" w:firstLine="0"/>
      <w:spacing w:after="57"/>
    </w:pPr>
  </w:style>
  <w:style w:type="paragraph" w:styleId="185">
    <w:name w:val="toc 6"/>
    <w:basedOn w:val="790"/>
    <w:next w:val="790"/>
    <w:uiPriority w:val="39"/>
    <w:unhideWhenUsed/>
    <w:pPr>
      <w:ind w:left="1417" w:right="0" w:firstLine="0"/>
      <w:spacing w:after="57"/>
    </w:pPr>
  </w:style>
  <w:style w:type="paragraph" w:styleId="186">
    <w:name w:val="toc 7"/>
    <w:basedOn w:val="790"/>
    <w:next w:val="790"/>
    <w:uiPriority w:val="39"/>
    <w:unhideWhenUsed/>
    <w:pPr>
      <w:ind w:left="1701" w:right="0" w:firstLine="0"/>
      <w:spacing w:after="57"/>
    </w:pPr>
  </w:style>
  <w:style w:type="paragraph" w:styleId="187">
    <w:name w:val="toc 8"/>
    <w:basedOn w:val="790"/>
    <w:next w:val="790"/>
    <w:uiPriority w:val="39"/>
    <w:unhideWhenUsed/>
    <w:pPr>
      <w:ind w:left="1984" w:right="0" w:firstLine="0"/>
      <w:spacing w:after="57"/>
    </w:pPr>
  </w:style>
  <w:style w:type="paragraph" w:styleId="188">
    <w:name w:val="toc 9"/>
    <w:basedOn w:val="790"/>
    <w:next w:val="7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0"/>
    <w:next w:val="790"/>
    <w:uiPriority w:val="99"/>
    <w:unhideWhenUsed/>
    <w:pPr>
      <w:spacing w:after="0" w:afterAutospacing="0"/>
    </w:pPr>
  </w:style>
  <w:style w:type="paragraph" w:styleId="790" w:default="1">
    <w:name w:val="Normal"/>
    <w:next w:val="802"/>
    <w:link w:val="790"/>
    <w:qFormat/>
    <w:pPr>
      <w:jc w:val="both"/>
      <w:widowControl w:val="off"/>
    </w:pPr>
    <w:rPr>
      <w:sz w:val="21"/>
      <w:szCs w:val="24"/>
      <w:lang w:val="en-US" w:eastAsia="zh-CN" w:bidi="ar-SA"/>
    </w:rPr>
  </w:style>
  <w:style w:type="paragraph" w:styleId="791">
    <w:name w:val="标题 1"/>
    <w:basedOn w:val="790"/>
    <w:next w:val="790"/>
    <w:link w:val="803"/>
    <w:qFormat/>
    <w:pPr>
      <w:numPr>
        <w:ilvl w:val="0"/>
        <w:numId w:val="1"/>
      </w:numPr>
      <w:jc w:val="center"/>
      <w:keepLines/>
      <w:keepNext/>
      <w:spacing w:before="340" w:after="330" w:line="578" w:lineRule="auto"/>
      <w:outlineLvl w:val="0"/>
    </w:pPr>
    <w:rPr>
      <w:b/>
      <w:bCs/>
      <w:sz w:val="32"/>
      <w:szCs w:val="44"/>
    </w:rPr>
  </w:style>
  <w:style w:type="paragraph" w:styleId="792">
    <w:name w:val="标题 2"/>
    <w:basedOn w:val="790"/>
    <w:next w:val="790"/>
    <w:link w:val="804"/>
    <w:qFormat/>
    <w:pPr>
      <w:numPr>
        <w:ilvl w:val="1"/>
        <w:numId w:val="1"/>
      </w:numPr>
      <w:keepLines/>
      <w:keepNext/>
      <w:spacing w:before="260" w:after="260" w:line="416" w:lineRule="auto"/>
      <w:outlineLvl w:val="1"/>
    </w:pPr>
    <w:rPr>
      <w:rFonts w:ascii="Cambria" w:hAnsi="Cambria"/>
      <w:b/>
      <w:bCs/>
      <w:sz w:val="32"/>
      <w:szCs w:val="32"/>
    </w:rPr>
  </w:style>
  <w:style w:type="paragraph" w:styleId="793">
    <w:name w:val="标题 3"/>
    <w:basedOn w:val="790"/>
    <w:next w:val="790"/>
    <w:link w:val="805"/>
    <w:qFormat/>
    <w:pPr>
      <w:numPr>
        <w:ilvl w:val="2"/>
        <w:numId w:val="1"/>
      </w:numPr>
      <w:keepLines/>
      <w:keepNext/>
      <w:spacing w:before="260" w:after="260" w:line="416" w:lineRule="auto"/>
      <w:outlineLvl w:val="2"/>
    </w:pPr>
    <w:rPr>
      <w:b/>
      <w:bCs/>
      <w:sz w:val="32"/>
      <w:szCs w:val="32"/>
    </w:rPr>
  </w:style>
  <w:style w:type="paragraph" w:styleId="794">
    <w:name w:val="标题 4"/>
    <w:basedOn w:val="790"/>
    <w:next w:val="790"/>
    <w:link w:val="806"/>
    <w:qFormat/>
    <w:pPr>
      <w:numPr>
        <w:ilvl w:val="3"/>
        <w:numId w:val="1"/>
      </w:numPr>
      <w:keepLines/>
      <w:keepNext/>
      <w:spacing w:before="280" w:after="290" w:line="376" w:lineRule="auto"/>
      <w:outlineLvl w:val="3"/>
    </w:pPr>
    <w:rPr>
      <w:rFonts w:ascii="Cambria" w:hAnsi="Cambria"/>
      <w:b/>
      <w:bCs/>
      <w:sz w:val="28"/>
      <w:szCs w:val="28"/>
    </w:rPr>
  </w:style>
  <w:style w:type="paragraph" w:styleId="795">
    <w:name w:val="标题 5"/>
    <w:basedOn w:val="790"/>
    <w:next w:val="790"/>
    <w:link w:val="807"/>
    <w:qFormat/>
    <w:pPr>
      <w:numPr>
        <w:ilvl w:val="4"/>
        <w:numId w:val="1"/>
      </w:numPr>
      <w:keepLines/>
      <w:keepNext/>
      <w:spacing w:before="280" w:after="290" w:line="376" w:lineRule="auto"/>
      <w:outlineLvl w:val="4"/>
    </w:pPr>
    <w:rPr>
      <w:b/>
      <w:bCs/>
      <w:sz w:val="28"/>
      <w:szCs w:val="28"/>
    </w:rPr>
  </w:style>
  <w:style w:type="paragraph" w:styleId="796">
    <w:name w:val="标题 6"/>
    <w:basedOn w:val="790"/>
    <w:next w:val="790"/>
    <w:link w:val="808"/>
    <w:qFormat/>
    <w:pPr>
      <w:numPr>
        <w:ilvl w:val="5"/>
        <w:numId w:val="1"/>
      </w:numPr>
      <w:keepLines/>
      <w:keepNext/>
      <w:spacing w:before="240" w:after="64" w:line="320" w:lineRule="auto"/>
      <w:outlineLvl w:val="5"/>
    </w:pPr>
    <w:rPr>
      <w:rFonts w:ascii="Cambria" w:hAnsi="Cambria"/>
      <w:b/>
      <w:bCs/>
      <w:sz w:val="24"/>
    </w:rPr>
  </w:style>
  <w:style w:type="paragraph" w:styleId="797">
    <w:name w:val="标题 7"/>
    <w:basedOn w:val="790"/>
    <w:next w:val="790"/>
    <w:link w:val="809"/>
    <w:qFormat/>
    <w:pPr>
      <w:numPr>
        <w:ilvl w:val="6"/>
        <w:numId w:val="1"/>
      </w:numPr>
      <w:keepLines/>
      <w:keepNext/>
      <w:spacing w:before="240" w:after="64" w:line="320" w:lineRule="auto"/>
      <w:outlineLvl w:val="6"/>
    </w:pPr>
    <w:rPr>
      <w:b/>
      <w:bCs/>
      <w:sz w:val="24"/>
    </w:rPr>
  </w:style>
  <w:style w:type="paragraph" w:styleId="798">
    <w:name w:val="标题 8"/>
    <w:basedOn w:val="790"/>
    <w:next w:val="790"/>
    <w:link w:val="810"/>
    <w:qFormat/>
    <w:pPr>
      <w:numPr>
        <w:ilvl w:val="7"/>
        <w:numId w:val="1"/>
      </w:numPr>
      <w:keepLines/>
      <w:keepNext/>
      <w:spacing w:before="240" w:after="64" w:line="320" w:lineRule="auto"/>
      <w:outlineLvl w:val="7"/>
    </w:pPr>
    <w:rPr>
      <w:rFonts w:ascii="Cambria" w:hAnsi="Cambria"/>
      <w:sz w:val="24"/>
    </w:rPr>
  </w:style>
  <w:style w:type="paragraph" w:styleId="799">
    <w:name w:val="标题 9"/>
    <w:basedOn w:val="790"/>
    <w:next w:val="790"/>
    <w:link w:val="811"/>
    <w:qFormat/>
    <w:pPr>
      <w:numPr>
        <w:ilvl w:val="8"/>
        <w:numId w:val="1"/>
      </w:numPr>
      <w:keepLines/>
      <w:keepNext/>
      <w:spacing w:before="240" w:after="64" w:line="320" w:lineRule="auto"/>
      <w:outlineLvl w:val="8"/>
    </w:pPr>
    <w:rPr>
      <w:rFonts w:ascii="Cambria" w:hAnsi="Cambria"/>
      <w:szCs w:val="21"/>
    </w:rPr>
  </w:style>
  <w:style w:type="character" w:styleId="800">
    <w:name w:val="默认段落字体"/>
    <w:next w:val="800"/>
    <w:link w:val="790"/>
    <w:uiPriority w:val="1"/>
    <w:unhideWhenUsed/>
    <w:qFormat/>
  </w:style>
  <w:style w:type="table" w:styleId="801">
    <w:name w:val="普通表格"/>
    <w:next w:val="801"/>
    <w:link w:val="790"/>
    <w:uiPriority w:val="99"/>
    <w:unhideWhenUsed/>
    <w:qFormat/>
    <w:tblPr/>
  </w:style>
  <w:style w:type="paragraph" w:styleId="802">
    <w:name w:val="列表段落"/>
    <w:basedOn w:val="790"/>
    <w:next w:val="802"/>
    <w:link w:val="790"/>
    <w:uiPriority w:val="34"/>
    <w:qFormat/>
    <w:pPr>
      <w:ind w:firstLine="420"/>
    </w:pPr>
  </w:style>
  <w:style w:type="character" w:styleId="803">
    <w:name w:val="标题 1 字符"/>
    <w:next w:val="803"/>
    <w:link w:val="791"/>
    <w:qFormat/>
    <w:rPr>
      <w:rFonts w:ascii="Times New Roman" w:hAnsi="Times New Roman" w:eastAsia="宋体" w:cs="Times New Roman"/>
      <w:b/>
      <w:bCs/>
      <w:sz w:val="32"/>
      <w:szCs w:val="44"/>
    </w:rPr>
  </w:style>
  <w:style w:type="character" w:styleId="804">
    <w:name w:val="标题 2 字符"/>
    <w:next w:val="804"/>
    <w:link w:val="792"/>
    <w:qFormat/>
    <w:rPr>
      <w:rFonts w:ascii="Cambria" w:hAnsi="Cambria"/>
      <w:b/>
      <w:bCs/>
      <w:sz w:val="32"/>
      <w:szCs w:val="32"/>
    </w:rPr>
  </w:style>
  <w:style w:type="character" w:styleId="805">
    <w:name w:val="标题 3 字符"/>
    <w:next w:val="805"/>
    <w:link w:val="793"/>
    <w:qFormat/>
    <w:rPr>
      <w:b/>
      <w:bCs/>
      <w:sz w:val="32"/>
      <w:szCs w:val="32"/>
    </w:rPr>
  </w:style>
  <w:style w:type="character" w:styleId="806">
    <w:name w:val="标题 4 字符"/>
    <w:next w:val="806"/>
    <w:link w:val="794"/>
    <w:qFormat/>
    <w:rPr>
      <w:rFonts w:ascii="Cambria" w:hAnsi="Cambria" w:eastAsia="宋体" w:cs="Times New Roman"/>
      <w:b/>
      <w:bCs/>
      <w:sz w:val="28"/>
      <w:szCs w:val="28"/>
    </w:rPr>
  </w:style>
  <w:style w:type="character" w:styleId="807">
    <w:name w:val="标题 5 字符"/>
    <w:next w:val="807"/>
    <w:link w:val="795"/>
    <w:qFormat/>
    <w:rPr>
      <w:b/>
      <w:bCs/>
      <w:sz w:val="28"/>
      <w:szCs w:val="28"/>
    </w:rPr>
  </w:style>
  <w:style w:type="character" w:styleId="808">
    <w:name w:val="标题 6 字符"/>
    <w:next w:val="808"/>
    <w:link w:val="796"/>
    <w:qFormat/>
    <w:rPr>
      <w:rFonts w:ascii="Cambria" w:hAnsi="Cambria" w:eastAsia="宋体" w:cs="Times New Roman"/>
      <w:b/>
      <w:bCs/>
      <w:sz w:val="24"/>
      <w:szCs w:val="24"/>
    </w:rPr>
  </w:style>
  <w:style w:type="character" w:styleId="809">
    <w:name w:val="标题 7 字符"/>
    <w:next w:val="809"/>
    <w:link w:val="797"/>
    <w:qFormat/>
    <w:rPr>
      <w:b/>
      <w:bCs/>
      <w:sz w:val="24"/>
      <w:szCs w:val="24"/>
    </w:rPr>
  </w:style>
  <w:style w:type="character" w:styleId="810">
    <w:name w:val="标题 8 字符"/>
    <w:next w:val="810"/>
    <w:link w:val="798"/>
    <w:qFormat/>
    <w:rPr>
      <w:rFonts w:ascii="Cambria" w:hAnsi="Cambria" w:eastAsia="宋体" w:cs="Times New Roman"/>
      <w:sz w:val="24"/>
      <w:szCs w:val="24"/>
    </w:rPr>
  </w:style>
  <w:style w:type="character" w:styleId="811">
    <w:name w:val="标题 9 字符"/>
    <w:next w:val="811"/>
    <w:link w:val="799"/>
    <w:qFormat/>
    <w:rPr>
      <w:rFonts w:ascii="Cambria" w:hAnsi="Cambria" w:eastAsia="宋体" w:cs="Times New Roman"/>
      <w:sz w:val="21"/>
      <w:szCs w:val="21"/>
    </w:rPr>
  </w:style>
  <w:style w:type="paragraph" w:styleId="812">
    <w:name w:val="列表 3"/>
    <w:basedOn w:val="790"/>
    <w:next w:val="812"/>
    <w:link w:val="790"/>
    <w:uiPriority w:val="99"/>
    <w:unhideWhenUsed/>
    <w:qFormat/>
    <w:pPr>
      <w:ind w:left="1260" w:hanging="420"/>
      <w:spacing w:before="100" w:beforeAutospacing="1" w:after="100" w:afterAutospacing="1"/>
    </w:pPr>
    <w:rPr>
      <w:szCs w:val="21"/>
    </w:rPr>
  </w:style>
  <w:style w:type="paragraph" w:styleId="813">
    <w:name w:val="目录 7"/>
    <w:basedOn w:val="790"/>
    <w:next w:val="790"/>
    <w:link w:val="790"/>
    <w:uiPriority w:val="39"/>
    <w:unhideWhenUsed/>
    <w:qFormat/>
    <w:pPr>
      <w:ind w:left="2520"/>
    </w:pPr>
    <w:rPr>
      <w:rFonts w:ascii="Calibri" w:hAnsi="Calibri"/>
      <w:szCs w:val="22"/>
    </w:rPr>
  </w:style>
  <w:style w:type="paragraph" w:styleId="814">
    <w:name w:val="正文缩进"/>
    <w:basedOn w:val="790"/>
    <w:next w:val="814"/>
    <w:link w:val="815"/>
    <w:qFormat/>
    <w:pPr>
      <w:ind w:firstLine="420"/>
    </w:pPr>
    <w:rPr>
      <w:b/>
      <w:sz w:val="24"/>
      <w:szCs w:val="20"/>
    </w:rPr>
  </w:style>
  <w:style w:type="character" w:styleId="815">
    <w:name w:val="正文缩进 字符"/>
    <w:next w:val="815"/>
    <w:link w:val="814"/>
    <w:qFormat/>
    <w:rPr>
      <w:b/>
      <w:sz w:val="24"/>
    </w:rPr>
  </w:style>
  <w:style w:type="paragraph" w:styleId="816">
    <w:name w:val="题注"/>
    <w:basedOn w:val="790"/>
    <w:next w:val="790"/>
    <w:link w:val="790"/>
    <w:qFormat/>
    <w:rPr>
      <w:rFonts w:ascii="Cambria" w:hAnsi="Cambria" w:eastAsia="黑体"/>
      <w:sz w:val="20"/>
      <w:szCs w:val="22"/>
    </w:rPr>
  </w:style>
  <w:style w:type="paragraph" w:styleId="817">
    <w:name w:val="文档结构图"/>
    <w:basedOn w:val="790"/>
    <w:next w:val="817"/>
    <w:link w:val="818"/>
    <w:qFormat/>
    <w:rPr>
      <w:rFonts w:ascii="宋体"/>
      <w:sz w:val="18"/>
      <w:szCs w:val="18"/>
    </w:rPr>
  </w:style>
  <w:style w:type="character" w:styleId="818">
    <w:name w:val="文档结构图 字符"/>
    <w:next w:val="818"/>
    <w:link w:val="817"/>
    <w:qFormat/>
    <w:rPr>
      <w:rFonts w:ascii="宋体"/>
      <w:sz w:val="18"/>
      <w:szCs w:val="18"/>
    </w:rPr>
  </w:style>
  <w:style w:type="paragraph" w:styleId="819">
    <w:name w:val="批注文字"/>
    <w:basedOn w:val="790"/>
    <w:next w:val="819"/>
    <w:link w:val="820"/>
    <w:uiPriority w:val="99"/>
    <w:qFormat/>
    <w:pPr>
      <w:jc w:val="left"/>
    </w:pPr>
  </w:style>
  <w:style w:type="character" w:styleId="820">
    <w:name w:val="批注文字 字符"/>
    <w:next w:val="820"/>
    <w:link w:val="819"/>
    <w:uiPriority w:val="99"/>
    <w:qFormat/>
    <w:rPr>
      <w:sz w:val="21"/>
      <w:szCs w:val="24"/>
    </w:rPr>
  </w:style>
  <w:style w:type="paragraph" w:styleId="821">
    <w:name w:val="正文文本 3"/>
    <w:basedOn w:val="790"/>
    <w:next w:val="821"/>
    <w:link w:val="822"/>
    <w:qFormat/>
    <w:rPr>
      <w:rFonts w:ascii="宋体"/>
      <w:sz w:val="24"/>
      <w:szCs w:val="20"/>
    </w:rPr>
  </w:style>
  <w:style w:type="character" w:styleId="822">
    <w:name w:val="正文文本 3 字符"/>
    <w:next w:val="822"/>
    <w:link w:val="821"/>
    <w:qFormat/>
    <w:rPr>
      <w:rFonts w:ascii="宋体"/>
      <w:sz w:val="24"/>
    </w:rPr>
  </w:style>
  <w:style w:type="paragraph" w:styleId="823">
    <w:name w:val="正文文本"/>
    <w:basedOn w:val="790"/>
    <w:next w:val="790"/>
    <w:link w:val="824"/>
    <w:qFormat/>
    <w:pPr>
      <w:jc w:val="center"/>
    </w:pPr>
    <w:rPr>
      <w:rFonts w:eastAsia="幼圆"/>
      <w:b/>
      <w:bCs/>
      <w:sz w:val="44"/>
    </w:rPr>
  </w:style>
  <w:style w:type="character" w:styleId="824">
    <w:name w:val="正文文本 字符"/>
    <w:next w:val="824"/>
    <w:link w:val="823"/>
    <w:qFormat/>
    <w:rPr>
      <w:rFonts w:eastAsia="幼圆"/>
      <w:b/>
      <w:bCs/>
      <w:sz w:val="44"/>
      <w:szCs w:val="24"/>
    </w:rPr>
  </w:style>
  <w:style w:type="paragraph" w:styleId="825">
    <w:name w:val="正文文本缩进"/>
    <w:basedOn w:val="790"/>
    <w:next w:val="827"/>
    <w:link w:val="826"/>
    <w:qFormat/>
    <w:pPr>
      <w:ind w:left="420"/>
      <w:spacing w:after="120"/>
    </w:pPr>
  </w:style>
  <w:style w:type="character" w:styleId="826">
    <w:name w:val="正文文本缩进 字符"/>
    <w:next w:val="826"/>
    <w:link w:val="825"/>
    <w:qFormat/>
    <w:rPr>
      <w:sz w:val="21"/>
      <w:szCs w:val="24"/>
    </w:rPr>
  </w:style>
  <w:style w:type="paragraph" w:styleId="827">
    <w:name w:val="寄信人地址"/>
    <w:basedOn w:val="790"/>
    <w:next w:val="827"/>
    <w:link w:val="790"/>
    <w:qFormat/>
    <w:pPr>
      <w:jc w:val="both"/>
    </w:pPr>
    <w:rPr>
      <w:rFonts w:ascii="Arial" w:hAnsi="Arial" w:cs="Arial"/>
      <w:sz w:val="21"/>
      <w:szCs w:val="24"/>
      <w:lang w:eastAsia="zh-CN"/>
    </w:rPr>
  </w:style>
  <w:style w:type="paragraph" w:styleId="828">
    <w:name w:val="索引 4"/>
    <w:basedOn w:val="790"/>
    <w:next w:val="790"/>
    <w:link w:val="790"/>
    <w:qFormat/>
    <w:pPr>
      <w:ind w:left="600"/>
    </w:pPr>
    <w:rPr>
      <w:rFonts w:ascii="Calibri" w:hAnsi="Calibri"/>
    </w:rPr>
  </w:style>
  <w:style w:type="paragraph" w:styleId="829">
    <w:name w:val="目录 5"/>
    <w:basedOn w:val="790"/>
    <w:next w:val="790"/>
    <w:link w:val="790"/>
    <w:uiPriority w:val="39"/>
    <w:unhideWhenUsed/>
    <w:qFormat/>
    <w:pPr>
      <w:ind w:left="1680"/>
    </w:pPr>
    <w:rPr>
      <w:rFonts w:ascii="Calibri" w:hAnsi="Calibri"/>
      <w:szCs w:val="22"/>
    </w:rPr>
  </w:style>
  <w:style w:type="paragraph" w:styleId="830">
    <w:name w:val="目录 3"/>
    <w:basedOn w:val="790"/>
    <w:next w:val="790"/>
    <w:link w:val="790"/>
    <w:uiPriority w:val="39"/>
    <w:qFormat/>
    <w:pPr>
      <w:ind w:left="840"/>
    </w:pPr>
    <w:rPr>
      <w:rFonts w:ascii="Calibri" w:hAnsi="Calibri"/>
      <w:szCs w:val="22"/>
    </w:rPr>
  </w:style>
  <w:style w:type="paragraph" w:styleId="831">
    <w:name w:val="纯文本"/>
    <w:basedOn w:val="790"/>
    <w:next w:val="831"/>
    <w:link w:val="832"/>
    <w:uiPriority w:val="99"/>
    <w:qFormat/>
    <w:rPr>
      <w:rFonts w:ascii="Ari"/>
    </w:rPr>
  </w:style>
  <w:style w:type="character" w:styleId="832">
    <w:name w:val="纯文本 字符"/>
    <w:next w:val="832"/>
    <w:link w:val="831"/>
    <w:uiPriority w:val="99"/>
    <w:qFormat/>
    <w:rPr>
      <w:rFonts w:ascii="Ari"/>
      <w:lang w:val="en-US" w:eastAsia="zh-CN" w:bidi="ar-SA"/>
    </w:rPr>
  </w:style>
  <w:style w:type="paragraph" w:styleId="833">
    <w:name w:val="目录 8"/>
    <w:basedOn w:val="790"/>
    <w:next w:val="790"/>
    <w:link w:val="790"/>
    <w:uiPriority w:val="39"/>
    <w:unhideWhenUsed/>
    <w:qFormat/>
    <w:pPr>
      <w:ind w:left="2940"/>
    </w:pPr>
    <w:rPr>
      <w:rFonts w:ascii="Calibri" w:hAnsi="Calibri"/>
      <w:szCs w:val="22"/>
    </w:rPr>
  </w:style>
  <w:style w:type="paragraph" w:styleId="834">
    <w:name w:val="日期"/>
    <w:basedOn w:val="790"/>
    <w:next w:val="790"/>
    <w:link w:val="835"/>
    <w:unhideWhenUsed/>
    <w:qFormat/>
  </w:style>
  <w:style w:type="character" w:styleId="835">
    <w:name w:val="日期 字符"/>
    <w:next w:val="835"/>
    <w:link w:val="834"/>
    <w:qFormat/>
    <w:rPr>
      <w:sz w:val="21"/>
      <w:szCs w:val="24"/>
    </w:rPr>
  </w:style>
  <w:style w:type="paragraph" w:styleId="836">
    <w:name w:val="正文文本缩进 2"/>
    <w:basedOn w:val="790"/>
    <w:next w:val="836"/>
    <w:link w:val="837"/>
    <w:uiPriority w:val="99"/>
    <w:unhideWhenUsed/>
    <w:qFormat/>
    <w:pPr>
      <w:ind w:firstLine="525"/>
      <w:spacing w:line="420" w:lineRule="exact"/>
    </w:pPr>
    <w:rPr>
      <w:rFonts w:ascii="宋体"/>
      <w:sz w:val="20"/>
      <w:szCs w:val="20"/>
    </w:rPr>
  </w:style>
  <w:style w:type="character" w:styleId="837">
    <w:name w:val="正文文本缩进 2 字符"/>
    <w:next w:val="837"/>
    <w:link w:val="836"/>
    <w:uiPriority w:val="99"/>
    <w:qFormat/>
    <w:rPr>
      <w:rFonts w:ascii="宋体"/>
    </w:rPr>
  </w:style>
  <w:style w:type="paragraph" w:styleId="838">
    <w:name w:val="批注框文本"/>
    <w:basedOn w:val="790"/>
    <w:next w:val="838"/>
    <w:link w:val="839"/>
    <w:qFormat/>
    <w:rPr>
      <w:sz w:val="18"/>
      <w:szCs w:val="18"/>
    </w:rPr>
  </w:style>
  <w:style w:type="character" w:styleId="839">
    <w:name w:val="批注框文本 字符"/>
    <w:next w:val="839"/>
    <w:link w:val="838"/>
    <w:qFormat/>
    <w:rPr>
      <w:sz w:val="18"/>
      <w:szCs w:val="18"/>
    </w:rPr>
  </w:style>
  <w:style w:type="paragraph" w:styleId="840">
    <w:name w:val="页脚"/>
    <w:basedOn w:val="790"/>
    <w:next w:val="840"/>
    <w:link w:val="841"/>
    <w:uiPriority w:val="99"/>
    <w:qFormat/>
    <w:pPr>
      <w:jc w:val="left"/>
      <w:tabs>
        <w:tab w:val="center" w:pos="4153" w:leader="none"/>
        <w:tab w:val="right" w:pos="8306" w:leader="none"/>
      </w:tabs>
    </w:pPr>
    <w:rPr>
      <w:sz w:val="18"/>
      <w:szCs w:val="18"/>
    </w:rPr>
  </w:style>
  <w:style w:type="character" w:styleId="841">
    <w:name w:val="页脚 字符"/>
    <w:next w:val="841"/>
    <w:link w:val="840"/>
    <w:uiPriority w:val="99"/>
    <w:qFormat/>
    <w:rPr>
      <w:sz w:val="18"/>
      <w:szCs w:val="18"/>
    </w:rPr>
  </w:style>
  <w:style w:type="paragraph" w:styleId="842">
    <w:name w:val="页眉"/>
    <w:basedOn w:val="790"/>
    <w:next w:val="842"/>
    <w:link w:val="843"/>
    <w:qFormat/>
    <w:pPr>
      <w:jc w:val="center"/>
      <w:tabs>
        <w:tab w:val="center" w:pos="4153" w:leader="none"/>
        <w:tab w:val="right" w:pos="8306" w:leader="none"/>
      </w:tabs>
      <w:pBdr>
        <w:bottom w:val="single" w:color="000000" w:sz="6" w:space="1"/>
      </w:pBdr>
    </w:pPr>
    <w:rPr>
      <w:sz w:val="18"/>
      <w:szCs w:val="18"/>
    </w:rPr>
  </w:style>
  <w:style w:type="character" w:styleId="843">
    <w:name w:val="页眉 字符"/>
    <w:next w:val="843"/>
    <w:link w:val="842"/>
    <w:qFormat/>
    <w:rPr>
      <w:sz w:val="18"/>
      <w:szCs w:val="18"/>
    </w:rPr>
  </w:style>
  <w:style w:type="paragraph" w:styleId="844">
    <w:name w:val="目录 1"/>
    <w:basedOn w:val="790"/>
    <w:next w:val="790"/>
    <w:link w:val="790"/>
    <w:uiPriority w:val="39"/>
    <w:qFormat/>
  </w:style>
  <w:style w:type="paragraph" w:styleId="845">
    <w:name w:val="目录 4"/>
    <w:basedOn w:val="790"/>
    <w:next w:val="790"/>
    <w:link w:val="790"/>
    <w:uiPriority w:val="39"/>
    <w:unhideWhenUsed/>
    <w:qFormat/>
    <w:pPr>
      <w:ind w:left="1260"/>
    </w:pPr>
    <w:rPr>
      <w:rFonts w:ascii="Calibri" w:hAnsi="Calibri"/>
      <w:szCs w:val="22"/>
    </w:rPr>
  </w:style>
  <w:style w:type="paragraph" w:styleId="846">
    <w:name w:val="索引标题"/>
    <w:basedOn w:val="790"/>
    <w:next w:val="847"/>
    <w:link w:val="790"/>
    <w:uiPriority w:val="99"/>
    <w:unhideWhenUsed/>
    <w:qFormat/>
    <w:pPr>
      <w:tabs>
        <w:tab w:val="left" w:pos="240" w:leader="none"/>
      </w:tabs>
    </w:pPr>
  </w:style>
  <w:style w:type="paragraph" w:styleId="847">
    <w:name w:val="索引 1"/>
    <w:basedOn w:val="790"/>
    <w:next w:val="790"/>
    <w:link w:val="790"/>
    <w:qFormat/>
    <w:pPr>
      <w:jc w:val="center"/>
      <w:spacing w:line="220" w:lineRule="exact"/>
    </w:pPr>
    <w:rPr>
      <w:rFonts w:ascii="仿宋_GB2312" w:hAnsi="Calibri" w:eastAsia="仿宋_GB2312"/>
      <w:szCs w:val="22"/>
    </w:rPr>
  </w:style>
  <w:style w:type="paragraph" w:styleId="848">
    <w:name w:val="副标题"/>
    <w:basedOn w:val="790"/>
    <w:next w:val="790"/>
    <w:link w:val="849"/>
    <w:qFormat/>
    <w:pPr>
      <w:jc w:val="center"/>
      <w:spacing w:before="240" w:after="60" w:line="312" w:lineRule="auto"/>
      <w:outlineLvl w:val="1"/>
    </w:pPr>
    <w:rPr>
      <w:rFonts w:ascii="Cambria" w:hAnsi="Cambria"/>
      <w:b/>
      <w:bCs/>
      <w:sz w:val="32"/>
      <w:szCs w:val="32"/>
    </w:rPr>
  </w:style>
  <w:style w:type="character" w:styleId="849">
    <w:name w:val="副标题 字符"/>
    <w:next w:val="849"/>
    <w:link w:val="848"/>
    <w:qFormat/>
    <w:rPr>
      <w:rFonts w:ascii="Cambria" w:hAnsi="Cambria"/>
      <w:b/>
      <w:bCs/>
      <w:sz w:val="32"/>
      <w:szCs w:val="32"/>
    </w:rPr>
  </w:style>
  <w:style w:type="paragraph" w:styleId="850">
    <w:name w:val="目录 6"/>
    <w:basedOn w:val="790"/>
    <w:next w:val="790"/>
    <w:link w:val="790"/>
    <w:uiPriority w:val="39"/>
    <w:unhideWhenUsed/>
    <w:qFormat/>
    <w:pPr>
      <w:ind w:left="2100"/>
    </w:pPr>
    <w:rPr>
      <w:rFonts w:ascii="Calibri" w:hAnsi="Calibri"/>
      <w:szCs w:val="22"/>
    </w:rPr>
  </w:style>
  <w:style w:type="paragraph" w:styleId="851">
    <w:name w:val="正文文本缩进 3"/>
    <w:basedOn w:val="790"/>
    <w:next w:val="851"/>
    <w:link w:val="852"/>
    <w:qFormat/>
    <w:pPr>
      <w:ind w:left="420"/>
      <w:spacing w:after="120"/>
    </w:pPr>
    <w:rPr>
      <w:sz w:val="16"/>
      <w:szCs w:val="20"/>
    </w:rPr>
  </w:style>
  <w:style w:type="character" w:styleId="852">
    <w:name w:val="正文文本缩进 3 字符"/>
    <w:next w:val="852"/>
    <w:link w:val="851"/>
    <w:qFormat/>
    <w:rPr>
      <w:sz w:val="16"/>
    </w:rPr>
  </w:style>
  <w:style w:type="paragraph" w:styleId="853">
    <w:name w:val="目录 2"/>
    <w:basedOn w:val="790"/>
    <w:next w:val="790"/>
    <w:link w:val="790"/>
    <w:uiPriority w:val="39"/>
    <w:qFormat/>
    <w:pPr>
      <w:ind w:left="420"/>
    </w:pPr>
    <w:rPr>
      <w:rFonts w:ascii="Calibri" w:hAnsi="Calibri"/>
      <w:szCs w:val="22"/>
    </w:rPr>
  </w:style>
  <w:style w:type="paragraph" w:styleId="854">
    <w:name w:val="目录 9"/>
    <w:basedOn w:val="790"/>
    <w:next w:val="790"/>
    <w:link w:val="790"/>
    <w:uiPriority w:val="39"/>
    <w:unhideWhenUsed/>
    <w:qFormat/>
    <w:pPr>
      <w:ind w:left="3360"/>
    </w:pPr>
    <w:rPr>
      <w:rFonts w:ascii="Calibri" w:hAnsi="Calibri"/>
      <w:szCs w:val="22"/>
    </w:rPr>
  </w:style>
  <w:style w:type="paragraph" w:styleId="855">
    <w:name w:val="HTML 预设格式"/>
    <w:basedOn w:val="790"/>
    <w:next w:val="855"/>
    <w:link w:val="85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6">
    <w:name w:val="HTML 预设格式 字符"/>
    <w:next w:val="856"/>
    <w:link w:val="855"/>
    <w:uiPriority w:val="99"/>
    <w:rPr>
      <w:rFonts w:ascii="宋体" w:hAnsi="宋体"/>
      <w:sz w:val="24"/>
      <w:szCs w:val="24"/>
    </w:rPr>
  </w:style>
  <w:style w:type="paragraph" w:styleId="857">
    <w:name w:val="普通(网站)"/>
    <w:basedOn w:val="790"/>
    <w:next w:val="857"/>
    <w:link w:val="790"/>
    <w:uiPriority w:val="99"/>
    <w:qFormat/>
    <w:pPr>
      <w:jc w:val="left"/>
      <w:spacing w:before="100" w:beforeAutospacing="1" w:after="100" w:afterAutospacing="1"/>
      <w:widowControl/>
    </w:pPr>
    <w:rPr>
      <w:rFonts w:ascii="宋体" w:hAnsi="宋体" w:cs="宋体"/>
      <w:sz w:val="24"/>
    </w:rPr>
  </w:style>
  <w:style w:type="paragraph" w:styleId="858">
    <w:name w:val="标题"/>
    <w:basedOn w:val="790"/>
    <w:next w:val="790"/>
    <w:link w:val="859"/>
    <w:qFormat/>
    <w:pPr>
      <w:jc w:val="center"/>
      <w:spacing w:before="240" w:after="60" w:line="420" w:lineRule="atLeast"/>
      <w:outlineLvl w:val="0"/>
    </w:pPr>
    <w:rPr>
      <w:rFonts w:ascii="Arial" w:hAnsi="Arial"/>
      <w:b/>
      <w:sz w:val="32"/>
      <w:szCs w:val="20"/>
    </w:rPr>
  </w:style>
  <w:style w:type="character" w:styleId="859">
    <w:name w:val="标题 字符"/>
    <w:next w:val="859"/>
    <w:link w:val="858"/>
    <w:qFormat/>
    <w:rPr>
      <w:rFonts w:ascii="Arial" w:hAnsi="Arial"/>
      <w:b/>
      <w:sz w:val="32"/>
    </w:rPr>
  </w:style>
  <w:style w:type="paragraph" w:styleId="860">
    <w:name w:val="批注主题"/>
    <w:basedOn w:val="819"/>
    <w:next w:val="819"/>
    <w:link w:val="861"/>
    <w:qFormat/>
    <w:rPr>
      <w:b/>
      <w:bCs/>
    </w:rPr>
  </w:style>
  <w:style w:type="character" w:styleId="861">
    <w:name w:val="批注主题 字符"/>
    <w:next w:val="861"/>
    <w:link w:val="860"/>
    <w:qFormat/>
    <w:rPr>
      <w:b/>
      <w:bCs/>
      <w:sz w:val="21"/>
      <w:szCs w:val="24"/>
    </w:rPr>
  </w:style>
  <w:style w:type="paragraph" w:styleId="862">
    <w:name w:val="正文首行缩进"/>
    <w:basedOn w:val="823"/>
    <w:next w:val="862"/>
    <w:link w:val="863"/>
    <w:unhideWhenUsed/>
    <w:qFormat/>
    <w:pPr>
      <w:ind w:firstLine="420"/>
      <w:jc w:val="both"/>
      <w:spacing w:after="120" w:line="278" w:lineRule="auto"/>
    </w:pPr>
    <w:rPr>
      <w:rFonts w:eastAsia="宋体"/>
      <w:b w:val="0"/>
      <w:bCs w:val="0"/>
      <w:sz w:val="21"/>
    </w:rPr>
  </w:style>
  <w:style w:type="character" w:styleId="863">
    <w:name w:val="正文文本首行缩进 字符"/>
    <w:next w:val="863"/>
    <w:link w:val="862"/>
    <w:semiHidden/>
    <w:rPr>
      <w:rFonts w:eastAsia="幼圆"/>
      <w:sz w:val="21"/>
      <w:szCs w:val="24"/>
    </w:rPr>
  </w:style>
  <w:style w:type="paragraph" w:styleId="864">
    <w:name w:val="正文首行缩进 2"/>
    <w:basedOn w:val="825"/>
    <w:next w:val="790"/>
    <w:link w:val="865"/>
    <w:uiPriority w:val="99"/>
    <w:qFormat/>
    <w:pPr>
      <w:ind w:firstLine="420"/>
    </w:pPr>
  </w:style>
  <w:style w:type="character" w:styleId="865">
    <w:name w:val="正文文本首行缩进 2 字符"/>
    <w:next w:val="865"/>
    <w:link w:val="864"/>
    <w:uiPriority w:val="99"/>
    <w:rPr>
      <w:sz w:val="21"/>
      <w:szCs w:val="24"/>
    </w:rPr>
  </w:style>
  <w:style w:type="table" w:styleId="866">
    <w:name w:val="网格型"/>
    <w:basedOn w:val="801"/>
    <w:next w:val="866"/>
    <w:link w:val="790"/>
    <w:uiPriority w:val="99"/>
    <w:qFormat/>
    <w:tblPr/>
  </w:style>
  <w:style w:type="character" w:styleId="867">
    <w:name w:val="要点"/>
    <w:next w:val="867"/>
    <w:link w:val="790"/>
    <w:qFormat/>
    <w:rPr>
      <w:rFonts w:cs="Times New Roman"/>
      <w:b/>
    </w:rPr>
  </w:style>
  <w:style w:type="character" w:styleId="868">
    <w:name w:val="页码"/>
    <w:next w:val="868"/>
    <w:link w:val="790"/>
    <w:qFormat/>
    <w:rPr>
      <w:rFonts w:eastAsia="宋体"/>
      <w:b/>
      <w:spacing w:val="0"/>
      <w:sz w:val="24"/>
      <w:szCs w:val="24"/>
      <w:vertAlign w:val="baseline"/>
      <w:lang w:val="en-US" w:eastAsia="zh-CN" w:bidi="ar-SA"/>
    </w:rPr>
  </w:style>
  <w:style w:type="character" w:styleId="869">
    <w:name w:val="已访问的超链接"/>
    <w:next w:val="869"/>
    <w:link w:val="790"/>
    <w:qFormat/>
    <w:rPr>
      <w:color w:val="800080"/>
      <w:u w:val="single"/>
    </w:rPr>
  </w:style>
  <w:style w:type="character" w:styleId="870">
    <w:name w:val="强调"/>
    <w:next w:val="870"/>
    <w:link w:val="790"/>
    <w:qFormat/>
    <w:rPr>
      <w:color w:val="cc0000"/>
    </w:rPr>
  </w:style>
  <w:style w:type="character" w:styleId="871">
    <w:name w:val="超链接"/>
    <w:next w:val="871"/>
    <w:link w:val="790"/>
    <w:uiPriority w:val="99"/>
    <w:qFormat/>
    <w:rPr>
      <w:color w:val="0000ff"/>
      <w:u w:val="single"/>
    </w:rPr>
  </w:style>
  <w:style w:type="character" w:styleId="872">
    <w:name w:val="批注引用"/>
    <w:next w:val="872"/>
    <w:link w:val="790"/>
    <w:uiPriority w:val="99"/>
    <w:qFormat/>
    <w:rPr>
      <w:sz w:val="21"/>
      <w:szCs w:val="21"/>
    </w:rPr>
  </w:style>
  <w:style w:type="character" w:styleId="873">
    <w:name w:val="HTML 引文"/>
    <w:next w:val="873"/>
    <w:link w:val="790"/>
    <w:qFormat/>
    <w:rPr>
      <w:color w:val="008000"/>
    </w:rPr>
  </w:style>
  <w:style w:type="paragraph" w:styleId="874">
    <w:name w:val="一级条标题"/>
    <w:basedOn w:val="875"/>
    <w:next w:val="876"/>
    <w:link w:val="7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name w:val="章标题"/>
    <w:basedOn w:val="790"/>
    <w:next w:val="790"/>
    <w:link w:val="790"/>
    <w:qFormat/>
    <w:pPr>
      <w:jc w:val="center"/>
      <w:spacing w:before="158" w:after="153" w:line="1292" w:lineRule="atLeast"/>
      <w:widowControl/>
    </w:pPr>
    <w:rPr>
      <w:rFonts w:ascii="Arial" w:hAnsi="Calibri" w:eastAsia="黑体" w:cs="黑体"/>
      <w:sz w:val="31"/>
      <w:szCs w:val="22"/>
      <w:lang w:eastAsia="en-US" w:bidi="en-US"/>
    </w:rPr>
  </w:style>
  <w:style w:type="paragraph" w:styleId="876">
    <w:name w:val="段"/>
    <w:basedOn w:val="790"/>
    <w:next w:val="790"/>
    <w:link w:val="790"/>
    <w:qFormat/>
    <w:pPr>
      <w:ind w:firstLine="200"/>
      <w:widowControl/>
    </w:pPr>
    <w:rPr>
      <w:rFonts w:hint="eastAsia" w:ascii="宋体"/>
      <w:szCs w:val="20"/>
    </w:rPr>
  </w:style>
  <w:style w:type="paragraph" w:styleId="877">
    <w:name w:val="列表段落1"/>
    <w:basedOn w:val="790"/>
    <w:next w:val="819"/>
    <w:link w:val="790"/>
    <w:uiPriority w:val="99"/>
    <w:qFormat/>
    <w:pPr>
      <w:ind w:firstLine="420"/>
    </w:pPr>
  </w:style>
  <w:style w:type="paragraph" w:styleId="878">
    <w:name w:val="AONormal"/>
    <w:next w:val="878"/>
    <w:link w:val="790"/>
    <w:qFormat/>
    <w:pPr>
      <w:ind w:firstLine="440"/>
      <w:spacing w:line="400" w:lineRule="exact"/>
    </w:pPr>
    <w:rPr>
      <w:rFonts w:ascii="华文楷体" w:hAnsi="华文楷体" w:eastAsia="华文楷体" w:cs="华文楷体"/>
      <w:sz w:val="22"/>
      <w:szCs w:val="21"/>
      <w:lang w:val="en-US" w:eastAsia="zh-CN" w:bidi="ar-SA"/>
    </w:rPr>
  </w:style>
  <w:style w:type="paragraph" w:styleId="879">
    <w:name w:val="正文首行缩进 21"/>
    <w:basedOn w:val="880"/>
    <w:next w:val="790"/>
    <w:link w:val="790"/>
    <w:qFormat/>
    <w:pPr>
      <w:ind w:firstLine="420"/>
      <w:spacing w:before="100" w:beforeAutospacing="1"/>
    </w:pPr>
    <w:rPr>
      <w:rFonts w:ascii="宋体" w:hAnsi="宋体"/>
      <w:szCs w:val="21"/>
    </w:rPr>
  </w:style>
  <w:style w:type="paragraph" w:styleId="880">
    <w:name w:val="正文文本缩进1"/>
    <w:basedOn w:val="790"/>
    <w:next w:val="880"/>
    <w:link w:val="790"/>
    <w:qFormat/>
    <w:pPr>
      <w:ind w:firstLine="880"/>
      <w:spacing w:line="500" w:lineRule="exact"/>
    </w:pPr>
  </w:style>
  <w:style w:type="character" w:styleId="881">
    <w:name w:val="明显强调1"/>
    <w:next w:val="881"/>
    <w:link w:val="790"/>
    <w:qFormat/>
    <w:rPr>
      <w:b/>
      <w:bCs/>
      <w:i/>
      <w:iCs/>
      <w:color w:val="4f81bd"/>
    </w:rPr>
  </w:style>
  <w:style w:type="character" w:styleId="882">
    <w:name w:val="批注文字 Char2"/>
    <w:next w:val="882"/>
    <w:link w:val="790"/>
    <w:qFormat/>
    <w:rPr>
      <w:sz w:val="21"/>
    </w:rPr>
  </w:style>
  <w:style w:type="character" w:styleId="883">
    <w:name w:val="标题 3 Char_0"/>
    <w:next w:val="883"/>
    <w:link w:val="884"/>
    <w:qFormat/>
    <w:rPr>
      <w:b/>
      <w:bCs/>
      <w:sz w:val="32"/>
      <w:szCs w:val="32"/>
    </w:rPr>
  </w:style>
  <w:style w:type="paragraph" w:styleId="884">
    <w:name w:val="标题 3_0"/>
    <w:basedOn w:val="885"/>
    <w:next w:val="885"/>
    <w:link w:val="883"/>
    <w:qFormat/>
    <w:pPr>
      <w:keepLines/>
      <w:keepNext/>
      <w:spacing w:before="260" w:after="260" w:line="416" w:lineRule="auto"/>
      <w:outlineLvl w:val="2"/>
    </w:pPr>
    <w:rPr>
      <w:b/>
      <w:bCs/>
      <w:sz w:val="32"/>
      <w:szCs w:val="32"/>
    </w:rPr>
  </w:style>
  <w:style w:type="paragraph" w:styleId="885">
    <w:name w:val="正文_0"/>
    <w:next w:val="885"/>
    <w:link w:val="790"/>
    <w:qFormat/>
    <w:pPr>
      <w:jc w:val="both"/>
      <w:widowControl w:val="off"/>
    </w:pPr>
    <w:rPr>
      <w:sz w:val="21"/>
      <w:szCs w:val="24"/>
      <w:lang w:val="en-US" w:eastAsia="zh-CN" w:bidi="ar-SA"/>
    </w:rPr>
  </w:style>
  <w:style w:type="character" w:styleId="886">
    <w:name w:val="正文文本 Char2"/>
    <w:next w:val="886"/>
    <w:link w:val="790"/>
    <w:uiPriority w:val="99"/>
    <w:semiHidden/>
    <w:qFormat/>
    <w:rPr>
      <w:rFonts w:ascii="Calibri" w:hAnsi="Calibri" w:eastAsia="宋体" w:cs="Times New Roman"/>
    </w:rPr>
  </w:style>
  <w:style w:type="character" w:styleId="887">
    <w:name w:val="页脚 Char1"/>
    <w:next w:val="887"/>
    <w:link w:val="790"/>
    <w:uiPriority w:val="99"/>
    <w:semiHidden/>
    <w:qFormat/>
    <w:rPr>
      <w:rFonts w:ascii="Calibri" w:hAnsi="Calibri" w:eastAsia="宋体" w:cs="Times New Roman"/>
      <w:sz w:val="18"/>
      <w:szCs w:val="18"/>
    </w:rPr>
  </w:style>
  <w:style w:type="character" w:styleId="888">
    <w:name w:val="明显引用 Char2"/>
    <w:next w:val="888"/>
    <w:link w:val="790"/>
    <w:uiPriority w:val="99"/>
    <w:qFormat/>
    <w:rPr>
      <w:b/>
      <w:bCs/>
      <w:i/>
      <w:iCs/>
      <w:color w:val="4f81bd"/>
      <w:sz w:val="21"/>
      <w:szCs w:val="24"/>
    </w:rPr>
  </w:style>
  <w:style w:type="character" w:styleId="889">
    <w:name w:val="引用 Char"/>
    <w:next w:val="889"/>
    <w:link w:val="890"/>
    <w:qFormat/>
    <w:rPr>
      <w:i/>
      <w:iCs/>
      <w:color w:val="000000"/>
    </w:rPr>
  </w:style>
  <w:style w:type="paragraph" w:styleId="890">
    <w:name w:val="引用1"/>
    <w:basedOn w:val="790"/>
    <w:next w:val="790"/>
    <w:link w:val="889"/>
    <w:qFormat/>
    <w:rPr>
      <w:i/>
      <w:iCs/>
      <w:color w:val="000000"/>
      <w:sz w:val="20"/>
      <w:szCs w:val="20"/>
    </w:rPr>
  </w:style>
  <w:style w:type="character" w:styleId="891">
    <w:name w:val="标题 1 Char_0"/>
    <w:next w:val="891"/>
    <w:link w:val="892"/>
    <w:qFormat/>
    <w:rPr>
      <w:b/>
      <w:bCs/>
      <w:sz w:val="44"/>
      <w:szCs w:val="44"/>
    </w:rPr>
  </w:style>
  <w:style w:type="paragraph" w:styleId="892">
    <w:name w:val="标题 1_0"/>
    <w:basedOn w:val="885"/>
    <w:next w:val="885"/>
    <w:link w:val="891"/>
    <w:qFormat/>
    <w:pPr>
      <w:keepLines/>
      <w:keepNext/>
      <w:spacing w:before="340" w:after="330" w:line="578" w:lineRule="auto"/>
      <w:outlineLvl w:val="0"/>
    </w:pPr>
    <w:rPr>
      <w:b/>
      <w:bCs/>
      <w:sz w:val="44"/>
      <w:szCs w:val="44"/>
    </w:rPr>
  </w:style>
  <w:style w:type="character" w:styleId="893">
    <w:name w:val="正文文本缩进 3 Char1"/>
    <w:next w:val="893"/>
    <w:link w:val="790"/>
    <w:uiPriority w:val="99"/>
    <w:semiHidden/>
    <w:qFormat/>
    <w:rPr>
      <w:sz w:val="16"/>
      <w:szCs w:val="16"/>
    </w:rPr>
  </w:style>
  <w:style w:type="character" w:styleId="894">
    <w:name w:val="引用 Char1"/>
    <w:next w:val="894"/>
    <w:link w:val="790"/>
    <w:uiPriority w:val="29"/>
    <w:qFormat/>
    <w:rPr>
      <w:i/>
      <w:iCs/>
      <w:color w:val="000000"/>
      <w:sz w:val="21"/>
    </w:rPr>
  </w:style>
  <w:style w:type="character" w:styleId="895">
    <w:name w:val="font161"/>
    <w:next w:val="895"/>
    <w:link w:val="790"/>
    <w:qFormat/>
    <w:rPr>
      <w:b/>
      <w:sz w:val="32"/>
    </w:rPr>
  </w:style>
  <w:style w:type="character" w:styleId="896">
    <w:name w:val="标题 4 Char_0"/>
    <w:next w:val="896"/>
    <w:link w:val="897"/>
    <w:qFormat/>
    <w:rPr>
      <w:rFonts w:ascii="Arial" w:hAnsi="Arial" w:eastAsia="黑体"/>
      <w:b/>
      <w:bCs/>
      <w:sz w:val="28"/>
      <w:szCs w:val="28"/>
    </w:rPr>
  </w:style>
  <w:style w:type="paragraph" w:styleId="897">
    <w:name w:val="标题 4_0"/>
    <w:basedOn w:val="885"/>
    <w:next w:val="885"/>
    <w:link w:val="896"/>
    <w:qFormat/>
    <w:pPr>
      <w:keepLines/>
      <w:keepNext/>
      <w:spacing w:before="280" w:after="290" w:line="376" w:lineRule="auto"/>
      <w:outlineLvl w:val="3"/>
    </w:pPr>
    <w:rPr>
      <w:rFonts w:ascii="Arial" w:hAnsi="Arial" w:eastAsia="黑体"/>
      <w:b/>
      <w:bCs/>
      <w:sz w:val="28"/>
      <w:szCs w:val="28"/>
    </w:rPr>
  </w:style>
  <w:style w:type="character" w:styleId="898">
    <w:name w:val="引用 Char2"/>
    <w:next w:val="898"/>
    <w:link w:val="790"/>
    <w:uiPriority w:val="99"/>
    <w:qFormat/>
    <w:rPr>
      <w:i/>
      <w:iCs/>
      <w:color w:val="000000"/>
      <w:sz w:val="21"/>
      <w:szCs w:val="24"/>
    </w:rPr>
  </w:style>
  <w:style w:type="character" w:styleId="899">
    <w:name w:val="rvts11"/>
    <w:next w:val="899"/>
    <w:link w:val="790"/>
    <w:qFormat/>
    <w:rPr>
      <w:rFonts w:ascii="KNLe" w:hAnsi="KNLe"/>
      <w:sz w:val="24"/>
      <w:szCs w:val="24"/>
      <w:u w:val="single"/>
    </w:rPr>
  </w:style>
  <w:style w:type="character" w:styleId="900">
    <w:name w:val="标题5 Char Char"/>
    <w:next w:val="900"/>
    <w:link w:val="901"/>
    <w:qFormat/>
    <w:rPr>
      <w:rFonts w:ascii="Arial" w:hAnsi="Arial"/>
      <w:b/>
      <w:bCs/>
      <w:sz w:val="24"/>
      <w:szCs w:val="32"/>
    </w:rPr>
  </w:style>
  <w:style w:type="paragraph" w:styleId="901">
    <w:name w:val="标题5"/>
    <w:basedOn w:val="793"/>
    <w:next w:val="901"/>
    <w:link w:val="900"/>
    <w:qFormat/>
    <w:pPr>
      <w:numPr>
        <w:ilvl w:val="0"/>
        <w:numId w:val="0"/>
      </w:numPr>
      <w:spacing w:line="413" w:lineRule="auto"/>
    </w:pPr>
    <w:rPr>
      <w:rFonts w:ascii="Arial" w:hAnsi="Arial"/>
      <w:sz w:val="24"/>
    </w:rPr>
  </w:style>
  <w:style w:type="character" w:styleId="902">
    <w:name w:val="副标题 Char2"/>
    <w:next w:val="902"/>
    <w:link w:val="790"/>
    <w:uiPriority w:val="11"/>
    <w:qFormat/>
    <w:rPr>
      <w:rFonts w:ascii="Cambria" w:hAnsi="Cambria" w:cs="Times New Roman"/>
      <w:b/>
      <w:bCs/>
      <w:sz w:val="32"/>
      <w:szCs w:val="32"/>
    </w:rPr>
  </w:style>
  <w:style w:type="character" w:styleId="903">
    <w:name w:val="批注主题 Char1"/>
    <w:next w:val="903"/>
    <w:link w:val="790"/>
    <w:qFormat/>
    <w:rPr>
      <w:b/>
      <w:bCs/>
      <w:sz w:val="21"/>
      <w:szCs w:val="22"/>
    </w:rPr>
  </w:style>
  <w:style w:type="character" w:styleId="904">
    <w:name w:val="font31"/>
    <w:next w:val="904"/>
    <w:link w:val="790"/>
    <w:qFormat/>
    <w:rPr>
      <w:rFonts w:hint="eastAsia" w:ascii="宋体" w:hAnsi="宋体" w:eastAsia="宋体" w:cs="宋体"/>
      <w:color w:val="000000"/>
      <w:sz w:val="20"/>
      <w:szCs w:val="20"/>
      <w:u w:val="none"/>
    </w:rPr>
  </w:style>
  <w:style w:type="character" w:styleId="905">
    <w:name w:val="明显引用 Char"/>
    <w:next w:val="905"/>
    <w:link w:val="906"/>
    <w:qFormat/>
    <w:rPr>
      <w:b/>
      <w:bCs/>
      <w:i/>
      <w:iCs/>
      <w:color w:val="4f81bd"/>
    </w:rPr>
  </w:style>
  <w:style w:type="paragraph" w:styleId="906">
    <w:name w:val="明显引用1"/>
    <w:basedOn w:val="790"/>
    <w:next w:val="790"/>
    <w:link w:val="905"/>
    <w:qFormat/>
    <w:pPr>
      <w:ind w:left="936" w:right="936"/>
      <w:spacing w:before="200" w:after="280"/>
      <w:pBdr>
        <w:bottom w:val="single" w:color="4F81BD" w:sz="4" w:space="4"/>
      </w:pBdr>
    </w:pPr>
    <w:rPr>
      <w:b/>
      <w:bCs/>
      <w:i/>
      <w:iCs/>
      <w:color w:val="4f81bd"/>
      <w:sz w:val="20"/>
      <w:szCs w:val="20"/>
    </w:rPr>
  </w:style>
  <w:style w:type="character" w:styleId="907">
    <w:name w:val="日期 Char1"/>
    <w:next w:val="907"/>
    <w:link w:val="790"/>
    <w:qFormat/>
    <w:rPr>
      <w:rFonts w:ascii="Calibri" w:hAnsi="Calibri" w:eastAsia="宋体" w:cs="Times New Roman"/>
    </w:rPr>
  </w:style>
  <w:style w:type="character" w:styleId="908">
    <w:name w:val="批注框文本 Char1"/>
    <w:next w:val="908"/>
    <w:link w:val="790"/>
    <w:qFormat/>
    <w:rPr>
      <w:sz w:val="18"/>
      <w:szCs w:val="18"/>
    </w:rPr>
  </w:style>
  <w:style w:type="character" w:styleId="909">
    <w:name w:val="标题 Char1"/>
    <w:next w:val="909"/>
    <w:link w:val="790"/>
    <w:uiPriority w:val="10"/>
    <w:qFormat/>
    <w:rPr>
      <w:rFonts w:ascii="Cambria" w:hAnsi="Cambria" w:eastAsia="宋体" w:cs="Times New Roman"/>
      <w:b/>
      <w:bCs/>
      <w:sz w:val="32"/>
      <w:szCs w:val="32"/>
    </w:rPr>
  </w:style>
  <w:style w:type="character" w:styleId="910">
    <w:name w:val="不明显参考1"/>
    <w:next w:val="910"/>
    <w:link w:val="790"/>
    <w:qFormat/>
    <w:rPr>
      <w:smallCaps/>
      <w:color w:val="c0504d"/>
      <w:u w:val="single"/>
    </w:rPr>
  </w:style>
  <w:style w:type="character" w:styleId="911">
    <w:name w:val="批注文字 Char1"/>
    <w:next w:val="911"/>
    <w:link w:val="790"/>
    <w:qFormat/>
    <w:rPr>
      <w:rFonts w:ascii="Calibri" w:hAnsi="Calibri" w:eastAsia="宋体" w:cs="Times New Roman"/>
    </w:rPr>
  </w:style>
  <w:style w:type="character" w:styleId="912">
    <w:name w:val="标题 Char2"/>
    <w:next w:val="912"/>
    <w:link w:val="790"/>
    <w:uiPriority w:val="10"/>
    <w:qFormat/>
    <w:rPr>
      <w:rFonts w:ascii="Cambria" w:hAnsi="Cambria" w:cs="Times New Roman"/>
      <w:b/>
      <w:bCs/>
      <w:sz w:val="32"/>
      <w:szCs w:val="32"/>
    </w:rPr>
  </w:style>
  <w:style w:type="character" w:styleId="913">
    <w:name w:val="正文文本 3 Char1"/>
    <w:next w:val="913"/>
    <w:link w:val="790"/>
    <w:uiPriority w:val="99"/>
    <w:semiHidden/>
    <w:qFormat/>
    <w:rPr>
      <w:sz w:val="16"/>
      <w:szCs w:val="16"/>
    </w:rPr>
  </w:style>
  <w:style w:type="character" w:styleId="914">
    <w:name w:val="批注主题 Char2"/>
    <w:next w:val="914"/>
    <w:link w:val="790"/>
    <w:qFormat/>
    <w:rPr>
      <w:b/>
      <w:bCs/>
      <w:sz w:val="21"/>
    </w:rPr>
  </w:style>
  <w:style w:type="character" w:styleId="915">
    <w:name w:val="正文文本 Char_0"/>
    <w:next w:val="915"/>
    <w:link w:val="916"/>
    <w:qFormat/>
    <w:rPr>
      <w:szCs w:val="24"/>
    </w:rPr>
  </w:style>
  <w:style w:type="paragraph" w:styleId="916">
    <w:name w:val="正文文本_0"/>
    <w:basedOn w:val="885"/>
    <w:next w:val="916"/>
    <w:link w:val="915"/>
    <w:qFormat/>
    <w:pPr>
      <w:spacing w:after="120"/>
    </w:pPr>
    <w:rPr>
      <w:sz w:val="20"/>
    </w:rPr>
  </w:style>
  <w:style w:type="character" w:styleId="917">
    <w:name w:val="bookmark"/>
    <w:next w:val="917"/>
    <w:link w:val="790"/>
    <w:qFormat/>
  </w:style>
  <w:style w:type="character" w:styleId="918">
    <w:name w:val="标题 5 Char_0"/>
    <w:next w:val="918"/>
    <w:link w:val="919"/>
    <w:qFormat/>
    <w:rPr>
      <w:rFonts w:ascii="Calibri" w:hAnsi="Calibri"/>
      <w:b/>
      <w:bCs/>
      <w:sz w:val="28"/>
      <w:szCs w:val="28"/>
    </w:rPr>
  </w:style>
  <w:style w:type="paragraph" w:styleId="919">
    <w:name w:val="标题 5_0"/>
    <w:basedOn w:val="885"/>
    <w:next w:val="885"/>
    <w:link w:val="918"/>
    <w:qFormat/>
    <w:pPr>
      <w:keepLines/>
      <w:keepNext/>
      <w:spacing w:before="280" w:after="290" w:line="372" w:lineRule="auto"/>
      <w:outlineLvl w:val="4"/>
    </w:pPr>
    <w:rPr>
      <w:rFonts w:ascii="Calibri" w:hAnsi="Calibri"/>
      <w:b/>
      <w:bCs/>
      <w:sz w:val="28"/>
      <w:szCs w:val="28"/>
    </w:rPr>
  </w:style>
  <w:style w:type="character" w:styleId="920">
    <w:name w:val="font11"/>
    <w:next w:val="920"/>
    <w:link w:val="790"/>
    <w:qFormat/>
    <w:rPr>
      <w:rFonts w:hint="eastAsia" w:ascii="宋体" w:hAnsi="宋体" w:eastAsia="宋体" w:cs="宋体"/>
      <w:color w:val="000000"/>
      <w:sz w:val="20"/>
      <w:szCs w:val="20"/>
      <w:u w:val="none"/>
    </w:rPr>
  </w:style>
  <w:style w:type="character" w:styleId="921">
    <w:name w:val="明显参考1"/>
    <w:next w:val="921"/>
    <w:link w:val="790"/>
    <w:qFormat/>
    <w:rPr>
      <w:b/>
      <w:bCs/>
      <w:smallCaps/>
      <w:color w:val="c0504d"/>
      <w:spacing w:val="5"/>
      <w:u w:val="single"/>
    </w:rPr>
  </w:style>
  <w:style w:type="character" w:styleId="922">
    <w:name w:val="超链接_0"/>
    <w:next w:val="922"/>
    <w:link w:val="790"/>
    <w:uiPriority w:val="99"/>
    <w:qFormat/>
    <w:rPr>
      <w:rFonts w:ascii="Calibri" w:hAnsi="Calibri"/>
      <w:color w:val="0000ff"/>
      <w:u w:val="single"/>
    </w:rPr>
  </w:style>
  <w:style w:type="character" w:styleId="923">
    <w:name w:val="文档结构图 Char2"/>
    <w:next w:val="923"/>
    <w:link w:val="790"/>
    <w:uiPriority w:val="99"/>
    <w:semiHidden/>
    <w:qFormat/>
    <w:rPr>
      <w:rFonts w:ascii="宋体" w:hAnsi="Calibri" w:eastAsia="宋体" w:cs="Times New Roman"/>
      <w:sz w:val="18"/>
      <w:szCs w:val="18"/>
    </w:rPr>
  </w:style>
  <w:style w:type="character" w:styleId="924">
    <w:name w:val="textcontents"/>
    <w:next w:val="924"/>
    <w:link w:val="790"/>
    <w:qFormat/>
    <w:rPr>
      <w:rFonts w:cs="Times New Roman"/>
    </w:rPr>
  </w:style>
  <w:style w:type="character" w:styleId="925">
    <w:name w:val="标题 1 Char"/>
    <w:next w:val="925"/>
    <w:link w:val="790"/>
    <w:qFormat/>
    <w:rPr>
      <w:b/>
      <w:bCs/>
      <w:sz w:val="32"/>
      <w:szCs w:val="44"/>
    </w:rPr>
  </w:style>
  <w:style w:type="character" w:styleId="926">
    <w:name w:val="副标题 Char1"/>
    <w:next w:val="926"/>
    <w:link w:val="790"/>
    <w:uiPriority w:val="11"/>
    <w:qFormat/>
    <w:rPr>
      <w:rFonts w:ascii="Cambria" w:hAnsi="Cambria" w:cs="Times New Roman"/>
      <w:b/>
      <w:bCs/>
      <w:sz w:val="32"/>
      <w:szCs w:val="32"/>
    </w:rPr>
  </w:style>
  <w:style w:type="character" w:styleId="927">
    <w:name w:val="书籍标题1"/>
    <w:next w:val="927"/>
    <w:link w:val="790"/>
    <w:qFormat/>
    <w:rPr>
      <w:b/>
      <w:bCs/>
      <w:smallCaps/>
      <w:spacing w:val="5"/>
    </w:rPr>
  </w:style>
  <w:style w:type="character" w:styleId="928">
    <w:name w:val="标题4 Char Char"/>
    <w:next w:val="928"/>
    <w:link w:val="929"/>
    <w:qFormat/>
    <w:rPr>
      <w:rFonts w:ascii="Arial" w:hAnsi="Arial"/>
      <w:b/>
      <w:bCs/>
      <w:sz w:val="24"/>
      <w:szCs w:val="32"/>
    </w:rPr>
  </w:style>
  <w:style w:type="paragraph" w:styleId="929">
    <w:name w:val="标题4"/>
    <w:basedOn w:val="792"/>
    <w:next w:val="828"/>
    <w:link w:val="928"/>
    <w:qFormat/>
    <w:pPr>
      <w:numPr>
        <w:ilvl w:val="0"/>
        <w:numId w:val="0"/>
      </w:numPr>
      <w:spacing w:line="413" w:lineRule="auto"/>
    </w:pPr>
    <w:rPr>
      <w:rFonts w:ascii="Arial" w:hAnsi="Arial"/>
      <w:sz w:val="24"/>
    </w:rPr>
  </w:style>
  <w:style w:type="character" w:styleId="930">
    <w:name w:val="正文文本 Char1"/>
    <w:next w:val="930"/>
    <w:link w:val="790"/>
    <w:qFormat/>
    <w:rPr>
      <w:rFonts w:ascii="Calibri" w:hAnsi="Calibri" w:eastAsia="宋体" w:cs="Times New Roman"/>
    </w:rPr>
  </w:style>
  <w:style w:type="character" w:styleId="931">
    <w:name w:val="明显引用 Char1"/>
    <w:next w:val="931"/>
    <w:link w:val="790"/>
    <w:uiPriority w:val="30"/>
    <w:qFormat/>
    <w:rPr>
      <w:b/>
      <w:bCs/>
      <w:i/>
      <w:iCs/>
      <w:color w:val="4f81bd"/>
      <w:sz w:val="21"/>
    </w:rPr>
  </w:style>
  <w:style w:type="character" w:styleId="932">
    <w:name w:val="页眉 Char1"/>
    <w:next w:val="932"/>
    <w:link w:val="790"/>
    <w:uiPriority w:val="99"/>
    <w:semiHidden/>
    <w:qFormat/>
    <w:rPr>
      <w:rFonts w:ascii="Calibri" w:hAnsi="Calibri" w:eastAsia="宋体" w:cs="Times New Roman"/>
      <w:sz w:val="18"/>
      <w:szCs w:val="18"/>
    </w:rPr>
  </w:style>
  <w:style w:type="character" w:styleId="933">
    <w:name w:val="不明显强调1"/>
    <w:next w:val="933"/>
    <w:link w:val="790"/>
    <w:qFormat/>
    <w:rPr>
      <w:i/>
      <w:iCs/>
      <w:color w:val="808080"/>
    </w:rPr>
  </w:style>
  <w:style w:type="character" w:styleId="934">
    <w:name w:val="font21"/>
    <w:next w:val="934"/>
    <w:link w:val="790"/>
    <w:qFormat/>
    <w:rPr>
      <w:rFonts w:hint="eastAsia" w:ascii="宋体" w:hAnsi="宋体" w:eastAsia="宋体" w:cs="宋体"/>
      <w:color w:val="000000"/>
      <w:sz w:val="20"/>
      <w:szCs w:val="20"/>
      <w:u w:val="none"/>
    </w:rPr>
  </w:style>
  <w:style w:type="character" w:styleId="935">
    <w:name w:val="文档结构图 Char1"/>
    <w:next w:val="935"/>
    <w:link w:val="790"/>
    <w:qFormat/>
    <w:rPr>
      <w:rFonts w:ascii="宋体" w:hAnsi="Calibri" w:eastAsia="宋体" w:cs="Times New Roman"/>
      <w:sz w:val="18"/>
      <w:szCs w:val="18"/>
    </w:rPr>
  </w:style>
  <w:style w:type="character" w:styleId="936">
    <w:name w:val="标题 2 Char_0"/>
    <w:next w:val="936"/>
    <w:link w:val="937"/>
    <w:qFormat/>
    <w:rPr>
      <w:rFonts w:ascii="Cambria" w:hAnsi="Cambria"/>
      <w:b/>
      <w:bCs/>
      <w:sz w:val="32"/>
      <w:szCs w:val="32"/>
    </w:rPr>
  </w:style>
  <w:style w:type="paragraph" w:styleId="937">
    <w:name w:val="标题 2_0"/>
    <w:basedOn w:val="885"/>
    <w:next w:val="885"/>
    <w:link w:val="936"/>
    <w:unhideWhenUsed/>
    <w:qFormat/>
    <w:pPr>
      <w:keepLines/>
      <w:keepNext/>
      <w:spacing w:before="260" w:after="260" w:line="416" w:lineRule="auto"/>
      <w:outlineLvl w:val="1"/>
    </w:pPr>
    <w:rPr>
      <w:rFonts w:ascii="Cambria" w:hAnsi="Cambria"/>
      <w:b/>
      <w:bCs/>
      <w:sz w:val="32"/>
      <w:szCs w:val="32"/>
    </w:rPr>
  </w:style>
  <w:style w:type="character" w:styleId="938">
    <w:name w:val="日期 Char2"/>
    <w:next w:val="938"/>
    <w:link w:val="790"/>
    <w:uiPriority w:val="99"/>
    <w:semiHidden/>
    <w:qFormat/>
    <w:rPr>
      <w:rFonts w:ascii="Calibri" w:hAnsi="Calibri" w:eastAsia="宋体" w:cs="Times New Roman"/>
    </w:rPr>
  </w:style>
  <w:style w:type="character" w:styleId="939">
    <w:name w:val="批注框文本 Char2"/>
    <w:next w:val="939"/>
    <w:link w:val="790"/>
    <w:uiPriority w:val="99"/>
    <w:semiHidden/>
    <w:qFormat/>
    <w:rPr>
      <w:rFonts w:ascii="Calibri" w:hAnsi="Calibri" w:eastAsia="宋体" w:cs="Times New Roman"/>
      <w:sz w:val="18"/>
      <w:szCs w:val="18"/>
    </w:rPr>
  </w:style>
  <w:style w:type="character" w:styleId="940">
    <w:name w:val="列出段落 Char"/>
    <w:next w:val="940"/>
    <w:link w:val="941"/>
    <w:uiPriority w:val="99"/>
    <w:qFormat/>
    <w:rPr>
      <w:sz w:val="21"/>
      <w:szCs w:val="24"/>
    </w:rPr>
  </w:style>
  <w:style w:type="paragraph" w:styleId="941">
    <w:name w:val="List Paragraph1"/>
    <w:basedOn w:val="790"/>
    <w:next w:val="941"/>
    <w:link w:val="940"/>
    <w:uiPriority w:val="99"/>
    <w:qFormat/>
    <w:pPr>
      <w:ind w:firstLine="420"/>
    </w:pPr>
  </w:style>
  <w:style w:type="paragraph" w:styleId="942">
    <w:name w:val="样式 标题 3 + (中文) 黑体 小四 非加粗 段前: 7.8 磅 段后: 0 磅 行距: 固定值 20 磅"/>
    <w:basedOn w:val="793"/>
    <w:next w:val="790"/>
    <w:link w:val="790"/>
    <w:qFormat/>
    <w:pPr>
      <w:spacing w:before="0" w:after="0" w:line="400" w:lineRule="exact"/>
    </w:pPr>
    <w:rPr>
      <w:rFonts w:eastAsia="黑体" w:cs="宋体"/>
      <w:b w:val="0"/>
      <w:bCs w:val="0"/>
      <w:sz w:val="24"/>
      <w:szCs w:val="20"/>
    </w:rPr>
  </w:style>
  <w:style w:type="paragraph" w:styleId="943">
    <w:name w:val="_Style 34"/>
    <w:next w:val="790"/>
    <w:link w:val="790"/>
    <w:qFormat/>
    <w:pPr>
      <w:jc w:val="both"/>
      <w:widowControl w:val="off"/>
    </w:pPr>
    <w:rPr>
      <w:sz w:val="21"/>
      <w:lang w:val="en-US" w:eastAsia="zh-CN" w:bidi="ar-SA"/>
    </w:rPr>
  </w:style>
  <w:style w:type="paragraph" w:styleId="944">
    <w:name w:val="正文_3"/>
    <w:next w:val="944"/>
    <w:link w:val="790"/>
    <w:qFormat/>
    <w:pPr>
      <w:jc w:val="both"/>
      <w:widowControl w:val="off"/>
    </w:pPr>
    <w:rPr>
      <w:sz w:val="21"/>
      <w:szCs w:val="22"/>
      <w:lang w:val="en-US" w:eastAsia="zh-CN" w:bidi="ar-SA"/>
    </w:rPr>
  </w:style>
  <w:style w:type="paragraph" w:styleId="945">
    <w:name w:val="_Style 36"/>
    <w:next w:val="790"/>
    <w:link w:val="790"/>
    <w:qFormat/>
    <w:pPr>
      <w:jc w:val="both"/>
      <w:widowControl w:val="off"/>
    </w:pPr>
    <w:rPr>
      <w:sz w:val="21"/>
      <w:lang w:val="en-US" w:eastAsia="zh-CN" w:bidi="ar-SA"/>
    </w:rPr>
  </w:style>
  <w:style w:type="paragraph" w:styleId="946">
    <w:name w:val="空半行"/>
    <w:basedOn w:val="790"/>
    <w:next w:val="946"/>
    <w:link w:val="790"/>
    <w:qFormat/>
    <w:pPr>
      <w:spacing w:line="120" w:lineRule="exact"/>
    </w:pPr>
    <w:rPr>
      <w:rFonts w:ascii="Calibri" w:hAnsi="Calibri" w:eastAsia="仿宋_GB2312"/>
      <w:color w:val="ffffff"/>
      <w:sz w:val="30"/>
      <w:szCs w:val="22"/>
    </w:rPr>
  </w:style>
  <w:style w:type="paragraph" w:styleId="947">
    <w:name w:val="1方案格式1"/>
    <w:basedOn w:val="791"/>
    <w:next w:val="947"/>
    <w:link w:val="790"/>
    <w:qFormat/>
    <w:pPr>
      <w:numPr>
        <w:numId w:val="2"/>
      </w:numPr>
      <w:ind w:left="0" w:firstLine="0"/>
      <w:spacing w:line="360" w:lineRule="auto"/>
      <w:tabs>
        <w:tab w:val="left" w:pos="360" w:leader="none"/>
      </w:tabs>
    </w:pPr>
    <w:rPr>
      <w:rFonts w:eastAsia="微软雅黑"/>
      <w:bCs w:val="0"/>
      <w:sz w:val="48"/>
    </w:rPr>
  </w:style>
  <w:style w:type="paragraph" w:styleId="948">
    <w:name w:val="格式３"/>
    <w:basedOn w:val="790"/>
    <w:next w:val="948"/>
    <w:link w:val="790"/>
    <w:qFormat/>
    <w:pPr>
      <w:ind w:left="600" w:hanging="600"/>
      <w:spacing w:line="420" w:lineRule="exact"/>
    </w:pPr>
    <w:rPr>
      <w:rFonts w:ascii="宋体" w:hAnsi="宋体"/>
      <w:color w:val="000000"/>
      <w:sz w:val="24"/>
      <w:szCs w:val="20"/>
    </w:rPr>
  </w:style>
  <w:style w:type="paragraph" w:styleId="949">
    <w:name w:val="正文1"/>
    <w:next w:val="949"/>
    <w:link w:val="790"/>
    <w:qFormat/>
    <w:pPr>
      <w:jc w:val="both"/>
      <w:widowControl w:val="off"/>
    </w:pPr>
    <w:rPr>
      <w:rFonts w:ascii="Calibri" w:hAnsi="Calibri"/>
      <w:lang w:val="en-US" w:eastAsia="zh-CN" w:bidi="ar-SA"/>
    </w:rPr>
  </w:style>
  <w:style w:type="paragraph" w:styleId="950">
    <w:name w:val="列出段落1"/>
    <w:basedOn w:val="790"/>
    <w:next w:val="950"/>
    <w:link w:val="790"/>
    <w:uiPriority w:val="34"/>
    <w:qFormat/>
    <w:pPr>
      <w:contextualSpacing/>
      <w:ind w:left="720"/>
      <w:jc w:val="left"/>
      <w:widowControl/>
    </w:pPr>
    <w:rPr>
      <w:rFonts w:ascii="Arial" w:hAnsi="Arial" w:eastAsia="黑体"/>
      <w:sz w:val="24"/>
      <w:lang w:eastAsia="en-US"/>
    </w:rPr>
  </w:style>
  <w:style w:type="paragraph" w:styleId="951">
    <w:name w:val="正文空2字"/>
    <w:basedOn w:val="790"/>
    <w:next w:val="951"/>
    <w:link w:val="790"/>
    <w:qFormat/>
    <w:pPr>
      <w:ind w:firstLine="200"/>
      <w:spacing w:line="360" w:lineRule="auto"/>
    </w:pPr>
    <w:rPr>
      <w:sz w:val="24"/>
      <w:lang w:bidi="en-US"/>
    </w:rPr>
  </w:style>
  <w:style w:type="paragraph" w:styleId="952">
    <w:name w:val="正文_0_0_0"/>
    <w:next w:val="952"/>
    <w:link w:val="790"/>
    <w:qFormat/>
    <w:pPr>
      <w:jc w:val="both"/>
      <w:widowControl w:val="off"/>
    </w:pPr>
    <w:rPr>
      <w:lang w:val="en-US" w:eastAsia="zh-CN" w:bidi="ar-SA"/>
    </w:rPr>
  </w:style>
  <w:style w:type="paragraph" w:styleId="953">
    <w:name w:val="目录 5_0"/>
    <w:basedOn w:val="885"/>
    <w:next w:val="885"/>
    <w:link w:val="790"/>
    <w:uiPriority w:val="39"/>
    <w:qFormat/>
    <w:pPr>
      <w:ind w:left="1680"/>
    </w:pPr>
    <w:rPr>
      <w:rFonts w:ascii="Calibri" w:hAnsi="Calibri"/>
    </w:rPr>
  </w:style>
  <w:style w:type="paragraph" w:styleId="954">
    <w:name w:val="修订1"/>
    <w:next w:val="954"/>
    <w:link w:val="790"/>
    <w:qFormat/>
    <w:rPr>
      <w:sz w:val="21"/>
      <w:szCs w:val="24"/>
      <w:lang w:val="en-US" w:eastAsia="zh-CN" w:bidi="ar-SA"/>
    </w:rPr>
  </w:style>
  <w:style w:type="paragraph" w:styleId="955">
    <w:name w:val="标题 11"/>
    <w:basedOn w:val="949"/>
    <w:next w:val="949"/>
    <w:link w:val="790"/>
    <w:qFormat/>
    <w:pPr>
      <w:keepLines/>
      <w:keepNext/>
      <w:spacing w:before="340" w:after="330" w:line="576" w:lineRule="auto"/>
      <w:outlineLvl w:val="0"/>
    </w:pPr>
    <w:rPr>
      <w:rFonts w:ascii="Times New Roman" w:hAnsi="Times New Roman" w:eastAsia="Times New Roman"/>
      <w:b/>
      <w:sz w:val="44"/>
      <w:lang w:val="zh-CN"/>
    </w:rPr>
  </w:style>
  <w:style w:type="paragraph" w:styleId="956">
    <w:name w:val="正文 + 行距: 固定值 20 磅"/>
    <w:basedOn w:val="790"/>
    <w:next w:val="956"/>
    <w:link w:val="790"/>
    <w:qFormat/>
    <w:pPr>
      <w:ind w:firstLine="716"/>
      <w:spacing w:line="400" w:lineRule="exact"/>
    </w:pPr>
    <w:rPr>
      <w:rFonts w:ascii="Calibri" w:hAnsi="Calibri"/>
      <w:szCs w:val="22"/>
    </w:rPr>
  </w:style>
  <w:style w:type="paragraph" w:styleId="957">
    <w:name w:val="TOC 标题1"/>
    <w:basedOn w:val="791"/>
    <w:next w:val="790"/>
    <w:link w:val="79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58">
    <w:name w:val="表格文字"/>
    <w:basedOn w:val="790"/>
    <w:next w:val="958"/>
    <w:link w:val="959"/>
    <w:qFormat/>
    <w:pPr>
      <w:jc w:val="left"/>
      <w:spacing w:line="420" w:lineRule="atLeast"/>
    </w:pPr>
    <w:rPr>
      <w:rFonts w:ascii="Calibri" w:hAnsi="Calibri"/>
      <w:szCs w:val="22"/>
    </w:rPr>
  </w:style>
  <w:style w:type="character" w:styleId="959">
    <w:name w:val="表格文字 字符"/>
    <w:next w:val="959"/>
    <w:link w:val="958"/>
    <w:qFormat/>
    <w:rPr>
      <w:rFonts w:ascii="Calibri" w:hAnsi="Calibri" w:eastAsia="宋体" w:cs="Times New Roman"/>
      <w:sz w:val="21"/>
      <w:szCs w:val="22"/>
    </w:rPr>
  </w:style>
  <w:style w:type="paragraph" w:styleId="960">
    <w:name w:val="flNote"/>
    <w:basedOn w:val="790"/>
    <w:next w:val="960"/>
    <w:link w:val="790"/>
    <w:qFormat/>
    <w:pPr>
      <w:jc w:val="center"/>
      <w:spacing w:before="320" w:after="160" w:line="360" w:lineRule="atLeast"/>
    </w:pPr>
    <w:rPr>
      <w:rFonts w:ascii="Arial" w:hAnsi="Calibri" w:eastAsia="黑体"/>
      <w:sz w:val="30"/>
      <w:szCs w:val="22"/>
    </w:rPr>
  </w:style>
  <w:style w:type="paragraph" w:styleId="961">
    <w:name w:val="文章正文"/>
    <w:basedOn w:val="790"/>
    <w:next w:val="961"/>
    <w:link w:val="790"/>
    <w:uiPriority w:val="99"/>
    <w:qFormat/>
    <w:pPr>
      <w:ind w:firstLine="480"/>
      <w:spacing w:line="360" w:lineRule="auto"/>
    </w:pPr>
    <w:rPr>
      <w:rFonts w:ascii="仿宋_GB2312" w:hAnsi="宋体" w:eastAsia="仿宋_GB2312"/>
      <w:color w:val="ff0000"/>
      <w:sz w:val="24"/>
    </w:rPr>
  </w:style>
  <w:style w:type="paragraph" w:styleId="962">
    <w:name w:val="表格"/>
    <w:basedOn w:val="790"/>
    <w:next w:val="962"/>
    <w:link w:val="790"/>
    <w:qFormat/>
    <w:pPr>
      <w:jc w:val="center"/>
    </w:pPr>
    <w:rPr>
      <w:rFonts w:ascii="华文细黑" w:hAnsi="华文细黑"/>
      <w:szCs w:val="22"/>
    </w:rPr>
  </w:style>
  <w:style w:type="paragraph" w:styleId="963">
    <w:name w:val="Char"/>
    <w:basedOn w:val="790"/>
    <w:next w:val="963"/>
    <w:link w:val="790"/>
    <w:qFormat/>
    <w:pPr>
      <w:jc w:val="left"/>
      <w:spacing w:after="160" w:line="240" w:lineRule="exact"/>
      <w:widowControl/>
    </w:pPr>
    <w:rPr>
      <w:rFonts w:ascii="Verdana" w:hAnsi="Verdana"/>
      <w:sz w:val="20"/>
      <w:szCs w:val="20"/>
      <w:lang w:eastAsia="en-US"/>
    </w:rPr>
  </w:style>
  <w:style w:type="paragraph" w:styleId="964">
    <w:name w:val="Default"/>
    <w:next w:val="964"/>
    <w:link w:val="790"/>
    <w:qFormat/>
    <w:pPr>
      <w:widowControl w:val="off"/>
    </w:pPr>
    <w:rPr>
      <w:rFonts w:ascii="宋体" w:cs="宋体"/>
      <w:color w:val="000000"/>
      <w:sz w:val="24"/>
      <w:szCs w:val="24"/>
      <w:lang w:val="en-US" w:eastAsia="zh-CN" w:bidi="ar-SA"/>
    </w:rPr>
  </w:style>
  <w:style w:type="paragraph" w:styleId="965">
    <w:name w:val="列出段落2"/>
    <w:basedOn w:val="790"/>
    <w:next w:val="965"/>
    <w:link w:val="790"/>
    <w:uiPriority w:val="99"/>
    <w:qFormat/>
    <w:pPr>
      <w:ind w:firstLine="420"/>
    </w:pPr>
  </w:style>
  <w:style w:type="paragraph" w:styleId="966">
    <w:name w:val="6'"/>
    <w:basedOn w:val="790"/>
    <w:next w:val="966"/>
    <w:link w:val="790"/>
    <w:qFormat/>
    <w:pPr>
      <w:jc w:val="center"/>
      <w:spacing w:line="320" w:lineRule="exact"/>
    </w:pPr>
    <w:rPr>
      <w:rFonts w:ascii="Calibri" w:hAnsi="Calibri"/>
      <w:spacing w:val="20"/>
      <w:szCs w:val="22"/>
    </w:rPr>
  </w:style>
  <w:style w:type="paragraph" w:styleId="967">
    <w:name w:val="Char Char Char Char Char Char Char"/>
    <w:basedOn w:val="790"/>
    <w:next w:val="967"/>
    <w:link w:val="790"/>
    <w:qFormat/>
    <w:pPr>
      <w:spacing w:line="360" w:lineRule="auto"/>
    </w:pPr>
    <w:rPr>
      <w:sz w:val="24"/>
      <w:szCs w:val="20"/>
    </w:rPr>
  </w:style>
  <w:style w:type="paragraph" w:styleId="968">
    <w:name w:val="2方案格式2"/>
    <w:basedOn w:val="947"/>
    <w:next w:val="968"/>
    <w:link w:val="790"/>
    <w:qFormat/>
    <w:pPr>
      <w:numPr>
        <w:ilvl w:val="1"/>
      </w:numPr>
      <w:spacing w:before="50" w:after="50" w:line="240" w:lineRule="auto"/>
      <w:tabs>
        <w:tab w:val="left" w:pos="360" w:leader="none"/>
      </w:tabs>
      <w:outlineLvl w:val="1"/>
    </w:pPr>
    <w:rPr>
      <w:sz w:val="44"/>
    </w:rPr>
  </w:style>
  <w:style w:type="paragraph" w:styleId="969">
    <w:name w:val="无间隔1"/>
    <w:next w:val="969"/>
    <w:link w:val="790"/>
    <w:qFormat/>
    <w:pPr>
      <w:jc w:val="both"/>
      <w:widowControl w:val="off"/>
    </w:pPr>
    <w:rPr>
      <w:rFonts w:ascii="Calibri" w:hAnsi="Calibri"/>
      <w:sz w:val="21"/>
      <w:szCs w:val="22"/>
      <w:lang w:val="en-US" w:eastAsia="zh-CN" w:bidi="ar-SA"/>
    </w:rPr>
  </w:style>
  <w:style w:type="paragraph" w:styleId="970">
    <w:name w:val="文档正文"/>
    <w:basedOn w:val="790"/>
    <w:next w:val="970"/>
    <w:link w:val="790"/>
    <w:qFormat/>
    <w:pPr>
      <w:ind w:firstLine="567"/>
      <w:spacing w:line="480" w:lineRule="atLeast"/>
    </w:pPr>
    <w:rPr>
      <w:rFonts w:ascii="Ari" w:eastAsia="Ari"/>
      <w:sz w:val="28"/>
      <w:szCs w:val="20"/>
    </w:rPr>
  </w:style>
  <w:style w:type="paragraph" w:styleId="971">
    <w:name w:val="txt"/>
    <w:basedOn w:val="790"/>
    <w:next w:val="971"/>
    <w:link w:val="790"/>
    <w:qFormat/>
    <w:pPr>
      <w:jc w:val="left"/>
      <w:spacing w:before="100" w:beforeAutospacing="1" w:after="100" w:afterAutospacing="1"/>
      <w:widowControl/>
    </w:pPr>
    <w:rPr>
      <w:rFonts w:ascii="宋体" w:hAnsi="宋体" w:cs="宋体"/>
      <w:sz w:val="24"/>
    </w:rPr>
  </w:style>
  <w:style w:type="paragraph" w:styleId="972">
    <w:name w:val="目录 4_0"/>
    <w:basedOn w:val="885"/>
    <w:next w:val="885"/>
    <w:link w:val="790"/>
    <w:uiPriority w:val="39"/>
    <w:qFormat/>
    <w:pPr>
      <w:ind w:left="1260"/>
    </w:pPr>
    <w:rPr>
      <w:rFonts w:ascii="Calibri" w:hAnsi="Calibri"/>
    </w:rPr>
  </w:style>
  <w:style w:type="paragraph" w:styleId="973">
    <w:name w:val="目录 3_0"/>
    <w:basedOn w:val="885"/>
    <w:next w:val="885"/>
    <w:link w:val="790"/>
    <w:uiPriority w:val="39"/>
    <w:qFormat/>
    <w:pPr>
      <w:ind w:left="840"/>
    </w:pPr>
    <w:rPr>
      <w:rFonts w:ascii="Calibri" w:hAnsi="Calibri"/>
    </w:rPr>
  </w:style>
  <w:style w:type="paragraph" w:styleId="974">
    <w:name w:val="样式 标题 1 + 黑体 三号 非加粗 居中 段前: 6 磅 段后: 6 磅 行距: 固定值 20 磅"/>
    <w:basedOn w:val="791"/>
    <w:next w:val="974"/>
    <w:link w:val="790"/>
    <w:qFormat/>
    <w:pPr>
      <w:numPr>
        <w:ilvl w:val="0"/>
        <w:numId w:val="0"/>
      </w:numPr>
      <w:spacing w:before="120" w:after="120" w:line="400" w:lineRule="exact"/>
    </w:pPr>
    <w:rPr>
      <w:rFonts w:ascii="黑体" w:hAnsi="黑体" w:eastAsia="黑体"/>
      <w:b w:val="0"/>
      <w:bCs w:val="0"/>
      <w:szCs w:val="20"/>
    </w:rPr>
  </w:style>
  <w:style w:type="paragraph" w:styleId="975">
    <w:name w:val="1"/>
    <w:basedOn w:val="790"/>
    <w:next w:val="790"/>
    <w:link w:val="790"/>
    <w:qFormat/>
    <w:rPr>
      <w:rFonts w:ascii="Calibri" w:hAnsi="Calibri"/>
      <w:szCs w:val="22"/>
    </w:rPr>
  </w:style>
  <w:style w:type="paragraph" w:styleId="976">
    <w:name w:val="Blockquote_0"/>
    <w:basedOn w:val="885"/>
    <w:next w:val="976"/>
    <w:link w:val="790"/>
    <w:qFormat/>
    <w:pPr>
      <w:ind w:left="360" w:right="360"/>
      <w:jc w:val="left"/>
      <w:spacing w:before="100" w:after="100"/>
    </w:pPr>
    <w:rPr>
      <w:rFonts w:ascii="Calibri" w:hAnsi="Calibri" w:eastAsia="Times New Roman"/>
      <w:sz w:val="24"/>
      <w:szCs w:val="20"/>
    </w:rPr>
  </w:style>
  <w:style w:type="paragraph" w:styleId="977">
    <w:name w:val="列出段落11"/>
    <w:basedOn w:val="790"/>
    <w:next w:val="977"/>
    <w:link w:val="790"/>
    <w:qFormat/>
    <w:pPr>
      <w:contextualSpacing/>
      <w:ind w:left="720"/>
      <w:jc w:val="left"/>
      <w:widowControl/>
    </w:pPr>
    <w:rPr>
      <w:rFonts w:ascii="Arial" w:hAnsi="Arial" w:eastAsia="黑体"/>
      <w:sz w:val="24"/>
      <w:lang w:eastAsia="en-US"/>
    </w:rPr>
  </w:style>
  <w:style w:type="paragraph" w:styleId="978">
    <w:name w:val="样式 标题 2 + Times New Roman 四号 非加粗 段前: 5 磅 段后: 0 磅 行距: 固定值 20..._0"/>
    <w:basedOn w:val="790"/>
    <w:next w:val="978"/>
    <w:link w:val="790"/>
    <w:qFormat/>
    <w:pPr>
      <w:keepLines/>
      <w:keepNext/>
      <w:spacing w:before="100" w:line="360" w:lineRule="auto"/>
      <w:outlineLvl w:val="1"/>
    </w:pPr>
    <w:rPr>
      <w:rFonts w:eastAsia="Times New Roman" w:cs="宋体"/>
      <w:sz w:val="28"/>
      <w:szCs w:val="20"/>
    </w:rPr>
  </w:style>
  <w:style w:type="paragraph" w:styleId="979">
    <w:name w:val="op_mapdots_left"/>
    <w:basedOn w:val="790"/>
    <w:next w:val="979"/>
    <w:link w:val="790"/>
    <w:qFormat/>
    <w:pPr>
      <w:jc w:val="left"/>
      <w:spacing w:before="100" w:beforeAutospacing="1" w:after="100" w:afterAutospacing="1"/>
      <w:widowControl/>
    </w:pPr>
    <w:rPr>
      <w:rFonts w:ascii="宋体" w:hAnsi="宋体" w:cs="宋体"/>
      <w:sz w:val="24"/>
    </w:rPr>
  </w:style>
  <w:style w:type="paragraph" w:styleId="980">
    <w:name w:val="p0"/>
    <w:basedOn w:val="790"/>
    <w:next w:val="980"/>
    <w:link w:val="790"/>
    <w:qFormat/>
    <w:pPr>
      <w:widowControl/>
    </w:pPr>
    <w:rPr>
      <w:b/>
      <w:bCs/>
      <w:sz w:val="24"/>
    </w:rPr>
  </w:style>
  <w:style w:type="paragraph" w:styleId="981">
    <w:name w:val="Blockquote"/>
    <w:basedOn w:val="790"/>
    <w:next w:val="981"/>
    <w:link w:val="790"/>
    <w:qFormat/>
    <w:pPr>
      <w:ind w:left="360" w:right="360"/>
      <w:jc w:val="left"/>
      <w:spacing w:before="100" w:after="100"/>
    </w:pPr>
    <w:rPr>
      <w:rFonts w:ascii="Calibri" w:hAnsi="Calibri"/>
      <w:sz w:val="24"/>
      <w:szCs w:val="22"/>
    </w:rPr>
  </w:style>
  <w:style w:type="paragraph" w:styleId="982">
    <w:name w:val="3方案格式3"/>
    <w:basedOn w:val="968"/>
    <w:next w:val="982"/>
    <w:link w:val="790"/>
    <w:qFormat/>
    <w:pPr>
      <w:numPr>
        <w:ilvl w:val="2"/>
      </w:numPr>
      <w:tabs>
        <w:tab w:val="left" w:pos="360" w:leader="none"/>
      </w:tabs>
      <w:outlineLvl w:val="2"/>
    </w:pPr>
    <w:rPr>
      <w:sz w:val="32"/>
    </w:rPr>
  </w:style>
  <w:style w:type="paragraph" w:styleId="983">
    <w:name w:val="样式 标题 2 + Times New Roman 四号 非加粗 段前: 5 磅 段后: 0 磅 行距: 固定值 20..."/>
    <w:basedOn w:val="792"/>
    <w:next w:val="983"/>
    <w:link w:val="790"/>
    <w:qFormat/>
    <w:pPr>
      <w:numPr>
        <w:ilvl w:val="0"/>
        <w:numId w:val="0"/>
      </w:numPr>
      <w:spacing w:before="100" w:after="0" w:line="400" w:lineRule="exact"/>
    </w:pPr>
    <w:rPr>
      <w:rFonts w:ascii="Times New Roman" w:hAnsi="Times New Roman" w:eastAsia="黑体"/>
      <w:b w:val="0"/>
      <w:bCs w:val="0"/>
      <w:sz w:val="28"/>
      <w:szCs w:val="20"/>
    </w:rPr>
  </w:style>
  <w:style w:type="paragraph" w:styleId="984">
    <w:name w:val="标题2"/>
    <w:basedOn w:val="792"/>
    <w:next w:val="823"/>
    <w:link w:val="790"/>
    <w:qFormat/>
    <w:pPr>
      <w:spacing w:before="156" w:after="156" w:line="360" w:lineRule="auto"/>
    </w:pPr>
    <w:rPr>
      <w:bCs w:val="0"/>
      <w:sz w:val="24"/>
    </w:rPr>
  </w:style>
  <w:style w:type="paragraph" w:styleId="985">
    <w:name w:val="普通正文"/>
    <w:basedOn w:val="790"/>
    <w:next w:val="985"/>
    <w:link w:val="790"/>
    <w:qFormat/>
    <w:pPr>
      <w:ind w:firstLine="480"/>
      <w:jc w:val="left"/>
      <w:spacing w:before="120" w:after="120" w:line="360" w:lineRule="auto"/>
    </w:pPr>
    <w:rPr>
      <w:rFonts w:ascii="Arial" w:hAnsi="Arial"/>
      <w:sz w:val="24"/>
    </w:rPr>
  </w:style>
  <w:style w:type="paragraph" w:styleId="986">
    <w:name w:val="正文11"/>
    <w:next w:val="986"/>
    <w:link w:val="790"/>
    <w:qFormat/>
    <w:rPr>
      <w:rFonts w:ascii="Calibri" w:hAnsi="Calibri" w:cs="Calibri"/>
      <w:sz w:val="24"/>
      <w:szCs w:val="24"/>
      <w:lang w:val="en-US" w:eastAsia="zh-CN" w:bidi="ar-SA"/>
    </w:rPr>
  </w:style>
  <w:style w:type="paragraph" w:styleId="987">
    <w:name w:val="正文2"/>
    <w:next w:val="987"/>
    <w:link w:val="790"/>
    <w:qFormat/>
    <w:rPr>
      <w:rFonts w:eastAsia="微软雅黑"/>
      <w:sz w:val="24"/>
      <w:szCs w:val="24"/>
      <w:lang w:val="en-US" w:eastAsia="zh-CN" w:bidi="ar-SA"/>
    </w:rPr>
  </w:style>
  <w:style w:type="paragraph" w:styleId="988">
    <w:name w:val="列出段落3"/>
    <w:basedOn w:val="790"/>
    <w:next w:val="988"/>
    <w:link w:val="790"/>
    <w:uiPriority w:val="34"/>
    <w:qFormat/>
    <w:pPr>
      <w:ind w:firstLine="420"/>
      <w:jc w:val="left"/>
      <w:spacing w:after="200"/>
      <w:widowControl/>
    </w:pPr>
    <w:rPr>
      <w:rFonts w:ascii="Tahoma" w:hAnsi="Tahoma" w:eastAsia="微软雅黑"/>
      <w:sz w:val="22"/>
      <w:szCs w:val="22"/>
    </w:rPr>
  </w:style>
  <w:style w:type="paragraph" w:styleId="989">
    <w:name w:val="纯文本2"/>
    <w:basedOn w:val="790"/>
    <w:next w:val="989"/>
    <w:link w:val="790"/>
    <w:qFormat/>
    <w:pPr>
      <w:jc w:val="left"/>
    </w:pPr>
    <w:rPr>
      <w:rFonts w:hint="eastAsia" w:ascii="宋体" w:hAnsi="宋体" w:cs="Courier New"/>
      <w:sz w:val="24"/>
      <w:szCs w:val="20"/>
      <w:lang w:bidi="hi-IN"/>
    </w:rPr>
  </w:style>
  <w:style w:type="paragraph" w:styleId="990">
    <w:name w:val="trs_editor"/>
    <w:basedOn w:val="790"/>
    <w:next w:val="990"/>
    <w:link w:val="790"/>
    <w:qFormat/>
    <w:pPr>
      <w:jc w:val="left"/>
      <w:spacing w:before="100" w:beforeAutospacing="1" w:after="100" w:afterAutospacing="1"/>
      <w:widowControl/>
    </w:pPr>
    <w:rPr>
      <w:rFonts w:ascii="宋体" w:hAnsi="宋体" w:cs="宋体"/>
      <w:sz w:val="24"/>
    </w:rPr>
  </w:style>
  <w:style w:type="paragraph" w:styleId="991">
    <w:name w:val="标题二级"/>
    <w:basedOn w:val="790"/>
    <w:next w:val="991"/>
    <w:link w:val="790"/>
    <w:qFormat/>
    <w:pPr>
      <w:ind w:firstLine="412"/>
    </w:pPr>
    <w:rPr>
      <w:rFonts w:ascii="宋体" w:hAnsi="宋体"/>
      <w:szCs w:val="21"/>
    </w:rPr>
  </w:style>
  <w:style w:type="paragraph" w:styleId="992">
    <w:name w:val="修订2"/>
    <w:next w:val="992"/>
    <w:link w:val="790"/>
    <w:uiPriority w:val="99"/>
    <w:semiHidden/>
    <w:qFormat/>
    <w:rPr>
      <w:sz w:val="21"/>
      <w:szCs w:val="24"/>
      <w:lang w:val="en-US" w:eastAsia="zh-CN" w:bidi="ar-SA"/>
    </w:rPr>
  </w:style>
  <w:style w:type="paragraph" w:styleId="993">
    <w:name w:val="修订3"/>
    <w:next w:val="993"/>
    <w:link w:val="790"/>
    <w:uiPriority w:val="99"/>
    <w:semiHidden/>
    <w:qFormat/>
    <w:rPr>
      <w:sz w:val="21"/>
      <w:szCs w:val="24"/>
      <w:lang w:val="en-US" w:eastAsia="zh-CN" w:bidi="ar-SA"/>
    </w:rPr>
  </w:style>
  <w:style w:type="character" w:styleId="994">
    <w:name w:val="无"/>
    <w:next w:val="994"/>
    <w:link w:val="790"/>
    <w:qFormat/>
  </w:style>
  <w:style w:type="paragraph" w:styleId="995">
    <w:name w:val="Heading #2|1"/>
    <w:basedOn w:val="790"/>
    <w:next w:val="995"/>
    <w:link w:val="790"/>
    <w:qFormat/>
    <w:pPr>
      <w:ind w:firstLine="310"/>
      <w:jc w:val="center"/>
      <w:spacing w:after="720" w:line="648" w:lineRule="exact"/>
      <w:outlineLvl w:val="1"/>
    </w:pPr>
    <w:rPr>
      <w:rFonts w:ascii="宋体" w:hAnsi="宋体" w:cs="宋体"/>
      <w:sz w:val="42"/>
      <w:szCs w:val="42"/>
      <w:lang w:val="zh-TW" w:eastAsia="zh-TW" w:bidi="zh-TW"/>
    </w:rPr>
  </w:style>
  <w:style w:type="paragraph" w:styleId="996">
    <w:name w:val="Body text|1"/>
    <w:basedOn w:val="790"/>
    <w:next w:val="996"/>
    <w:link w:val="790"/>
    <w:qFormat/>
    <w:pPr>
      <w:ind w:firstLine="400"/>
      <w:spacing w:line="401" w:lineRule="auto"/>
    </w:pPr>
    <w:rPr>
      <w:rFonts w:ascii="宋体" w:hAnsi="宋体" w:cs="宋体"/>
      <w:sz w:val="30"/>
      <w:szCs w:val="30"/>
      <w:lang w:val="zh-TW" w:eastAsia="zh-TW" w:bidi="zh-TW"/>
    </w:rPr>
  </w:style>
  <w:style w:type="paragraph" w:styleId="997">
    <w:name w:val="_Style 1931"/>
    <w:basedOn w:val="790"/>
    <w:next w:val="802"/>
    <w:link w:val="790"/>
    <w:uiPriority w:val="34"/>
    <w:qFormat/>
    <w:pPr>
      <w:ind w:firstLine="420"/>
    </w:pPr>
  </w:style>
  <w:style w:type="paragraph" w:styleId="998">
    <w:name w:val="段落"/>
    <w:basedOn w:val="790"/>
    <w:next w:val="998"/>
    <w:link w:val="790"/>
    <w:qFormat/>
    <w:pPr>
      <w:ind w:firstLine="480"/>
      <w:spacing w:line="460" w:lineRule="exact"/>
    </w:pPr>
    <w:rPr>
      <w:rFonts w:ascii="Calibri" w:hAnsi="Calibri"/>
      <w:sz w:val="24"/>
      <w:szCs w:val="20"/>
    </w:rPr>
  </w:style>
  <w:style w:type="paragraph" w:styleId="999">
    <w:name w:val="首行缩进"/>
    <w:basedOn w:val="790"/>
    <w:next w:val="999"/>
    <w:link w:val="790"/>
    <w:qFormat/>
    <w:pPr>
      <w:ind w:firstLine="480"/>
      <w:spacing w:line="360" w:lineRule="auto"/>
    </w:pPr>
    <w:rPr>
      <w:rFonts w:ascii="宋体" w:hAnsi="宋体" w:cs="宋体"/>
      <w:sz w:val="24"/>
    </w:rPr>
  </w:style>
  <w:style w:type="paragraph" w:styleId="1000">
    <w:name w:val="列出段落4"/>
    <w:basedOn w:val="790"/>
    <w:next w:val="1000"/>
    <w:link w:val="790"/>
    <w:uiPriority w:val="99"/>
    <w:unhideWhenUsed/>
    <w:qFormat/>
    <w:pPr>
      <w:ind w:firstLine="420"/>
      <w:spacing w:line="360" w:lineRule="auto"/>
    </w:pPr>
    <w:rPr>
      <w:rFonts w:ascii="Calibri" w:hAnsi="Calibri" w:eastAsia="仿宋_GB2312"/>
      <w:sz w:val="32"/>
      <w:szCs w:val="22"/>
    </w:rPr>
  </w:style>
  <w:style w:type="paragraph" w:styleId="1001">
    <w:name w:val="修订4"/>
    <w:next w:val="1001"/>
    <w:link w:val="790"/>
    <w:uiPriority w:val="99"/>
    <w:semiHidden/>
    <w:qFormat/>
    <w:rPr>
      <w:sz w:val="21"/>
      <w:szCs w:val="24"/>
      <w:lang w:val="en-US" w:eastAsia="zh-CN" w:bidi="ar-SA"/>
    </w:rPr>
  </w:style>
  <w:style w:type="paragraph" w:styleId="1002">
    <w:name w:val="正文 A"/>
    <w:next w:val="823"/>
    <w:link w:val="790"/>
    <w:qFormat/>
    <w:pPr>
      <w:jc w:val="both"/>
      <w:widowControl w:val="off"/>
    </w:pPr>
    <w:rPr>
      <w:rFonts w:eastAsia="ヒラギノ角ゴ Pro W3"/>
      <w:color w:val="000000"/>
      <w:sz w:val="21"/>
      <w:lang w:val="en-US" w:eastAsia="zh-CN" w:bidi="ar-SA"/>
    </w:rPr>
  </w:style>
  <w:style w:type="paragraph" w:styleId="1003">
    <w:name w:val="无间距"/>
    <w:next w:val="1003"/>
    <w:link w:val="790"/>
    <w:qFormat/>
    <w:pPr>
      <w:jc w:val="both"/>
      <w:widowControl w:val="off"/>
    </w:pPr>
    <w:rPr>
      <w:rFonts w:ascii="Calibri" w:hAnsi="Calibri"/>
      <w:sz w:val="21"/>
      <w:szCs w:val="22"/>
      <w:lang w:val="en-US" w:eastAsia="zh-CN" w:bidi="ar-SA"/>
    </w:rPr>
  </w:style>
  <w:style w:type="paragraph" w:styleId="1004">
    <w:name w:val="*正文"/>
    <w:basedOn w:val="790"/>
    <w:next w:val="1004"/>
    <w:link w:val="790"/>
    <w:qFormat/>
    <w:pPr>
      <w:spacing w:line="360" w:lineRule="auto"/>
      <w:widowControl/>
    </w:pPr>
    <w:rPr>
      <w:rFonts w:ascii="仿宋_GB2312" w:eastAsia="仿宋_GB2312"/>
      <w:sz w:val="24"/>
      <w:szCs w:val="28"/>
    </w:rPr>
  </w:style>
  <w:style w:type="table" w:styleId="1005">
    <w:name w:val="Table Normal"/>
    <w:next w:val="1005"/>
    <w:link w:val="790"/>
    <w:unhideWhenUsed/>
    <w:qFormat/>
    <w:rPr>
      <w:lang w:val="en-US" w:eastAsia="zh-CN" w:bidi="ar-SA"/>
    </w:rPr>
    <w:tblPr/>
  </w:style>
  <w:style w:type="character" w:styleId="1006">
    <w:name w:val="form-textarea-print1"/>
    <w:next w:val="1006"/>
    <w:link w:val="790"/>
    <w:qFormat/>
    <w:rPr>
      <w:rFonts w:ascii="微软雅黑" w:hAnsi="微软雅黑" w:eastAsia="宋体" w:cs="Times New Roman"/>
      <w:sz w:val="18"/>
      <w:szCs w:val="18"/>
    </w:rPr>
  </w:style>
  <w:style w:type="character" w:styleId="1007">
    <w:name w:val="cke_colorbox"/>
    <w:next w:val="1007"/>
    <w:link w:val="790"/>
    <w:qFormat/>
  </w:style>
  <w:style w:type="character" w:styleId="1008">
    <w:name w:val="cke_colorbox1"/>
    <w:next w:val="1008"/>
    <w:link w:val="790"/>
    <w:qFormat/>
  </w:style>
  <w:style w:type="character" w:styleId="1009">
    <w:name w:val="pwdtips_alert"/>
    <w:next w:val="1009"/>
    <w:link w:val="790"/>
    <w:qFormat/>
    <w:rPr>
      <w:shd w:val="clear" w:color="auto" w:fill="ffeaa6"/>
    </w:rPr>
  </w:style>
  <w:style w:type="character" w:styleId="1010">
    <w:name w:val="l-btn-left"/>
    <w:next w:val="1010"/>
    <w:link w:val="790"/>
    <w:qFormat/>
  </w:style>
  <w:style w:type="character" w:styleId="1011">
    <w:name w:val="l-btn-left1"/>
    <w:next w:val="1011"/>
    <w:link w:val="790"/>
    <w:qFormat/>
  </w:style>
  <w:style w:type="character" w:styleId="1012">
    <w:name w:val="l-btn-left2"/>
    <w:next w:val="1012"/>
    <w:link w:val="790"/>
    <w:qFormat/>
  </w:style>
  <w:style w:type="character" w:styleId="1013">
    <w:name w:val="l-btn-left3"/>
    <w:next w:val="1013"/>
    <w:link w:val="790"/>
    <w:qFormat/>
  </w:style>
  <w:style w:type="character" w:styleId="1014">
    <w:name w:val="combo2"/>
    <w:next w:val="1014"/>
    <w:link w:val="790"/>
    <w:qFormat/>
  </w:style>
  <w:style w:type="character" w:styleId="1015">
    <w:name w:val="l-btn-empty"/>
    <w:next w:val="1015"/>
    <w:link w:val="790"/>
    <w:qFormat/>
  </w:style>
  <w:style w:type="character" w:styleId="1016">
    <w:name w:val="red"/>
    <w:next w:val="1016"/>
    <w:link w:val="790"/>
    <w:qFormat/>
    <w:rPr>
      <w:color w:val="ff0000"/>
    </w:rPr>
  </w:style>
  <w:style w:type="character" w:styleId="1017">
    <w:name w:val="l-btn-text"/>
    <w:next w:val="1017"/>
    <w:link w:val="790"/>
    <w:qFormat/>
    <w:rPr>
      <w:color w:val="1864ac"/>
      <w:sz w:val="14"/>
      <w:szCs w:val="14"/>
    </w:rPr>
  </w:style>
  <w:style w:type="character" w:styleId="1018">
    <w:name w:val="l-btn-text1"/>
    <w:next w:val="1018"/>
    <w:link w:val="790"/>
    <w:qFormat/>
  </w:style>
  <w:style w:type="character" w:styleId="1019">
    <w:name w:val="green"/>
    <w:next w:val="1019"/>
    <w:link w:val="790"/>
    <w:qFormat/>
    <w:rPr>
      <w:color w:val="00a521"/>
    </w:rPr>
  </w:style>
  <w:style w:type="character" w:styleId="1020">
    <w:name w:val="valueinfo"/>
    <w:next w:val="1020"/>
    <w:link w:val="790"/>
    <w:qFormat/>
    <w:rPr>
      <w:color w:val="666666"/>
    </w:rPr>
  </w:style>
  <w:style w:type="character" w:styleId="1021">
    <w:name w:val="tree-file2"/>
    <w:next w:val="1021"/>
    <w:link w:val="790"/>
    <w:qFormat/>
  </w:style>
  <w:style w:type="character" w:styleId="1022">
    <w:name w:val="vainfo"/>
    <w:next w:val="1022"/>
    <w:link w:val="790"/>
    <w:qFormat/>
    <w:rPr>
      <w:color w:val="ff0000"/>
      <w:shd w:val="clear" w:color="auto" w:fill="ffe4e4"/>
    </w:rPr>
  </w:style>
  <w:style w:type="character" w:styleId="1023">
    <w:name w:val="pwdtips_ok"/>
    <w:next w:val="1023"/>
    <w:link w:val="790"/>
    <w:qFormat/>
    <w:rPr>
      <w:shd w:val="clear" w:color="auto" w:fill="b4ffa6"/>
    </w:rPr>
  </w:style>
  <w:style w:type="character" w:styleId="1024">
    <w:name w:val="pwdtips_error"/>
    <w:next w:val="1024"/>
    <w:link w:val="790"/>
    <w:qFormat/>
    <w:rPr>
      <w:shd w:val="clear" w:color="auto" w:fill="ffa6a6"/>
    </w:rPr>
  </w:style>
  <w:style w:type="character" w:styleId="1025">
    <w:name w:val="tree-title4"/>
    <w:next w:val="1025"/>
    <w:link w:val="790"/>
    <w:qFormat/>
    <w:rPr>
      <w:color w:val="1864ac"/>
    </w:rPr>
  </w:style>
  <w:style w:type="character" w:styleId="1026">
    <w:name w:val="tree-title5"/>
    <w:next w:val="1026"/>
    <w:link w:val="790"/>
    <w:qFormat/>
    <w:rPr>
      <w:color w:val="ffffff"/>
      <w:shd w:val="clear" w:color="auto" w:fill="3366cc"/>
    </w:rPr>
  </w:style>
  <w:style w:type="character" w:styleId="1027">
    <w:name w:val="info"/>
    <w:next w:val="1027"/>
    <w:link w:val="790"/>
    <w:qFormat/>
  </w:style>
  <w:style w:type="character" w:styleId="1028">
    <w:name w:val="topic"/>
    <w:next w:val="1028"/>
    <w:link w:val="790"/>
    <w:qFormat/>
    <w:rPr>
      <w:color w:val="ff0000"/>
    </w:rPr>
  </w:style>
  <w:style w:type="paragraph" w:styleId="1029">
    <w:name w:val="_Style 213"/>
    <w:basedOn w:val="790"/>
    <w:next w:val="802"/>
    <w:link w:val="790"/>
    <w:uiPriority w:val="34"/>
    <w:qFormat/>
    <w:pPr>
      <w:ind w:firstLine="420"/>
      <w:jc w:val="left"/>
      <w:spacing w:line="360" w:lineRule="atLeast"/>
    </w:pPr>
    <w:rPr>
      <w:rFonts w:ascii="Arial" w:hAnsi="Arial"/>
      <w:sz w:val="24"/>
    </w:rPr>
  </w:style>
  <w:style w:type="paragraph" w:styleId="1030">
    <w:name w:val="修订5"/>
    <w:next w:val="1030"/>
    <w:link w:val="790"/>
    <w:uiPriority w:val="99"/>
    <w:semiHidden/>
    <w:qFormat/>
    <w:rPr>
      <w:sz w:val="21"/>
      <w:szCs w:val="24"/>
      <w:lang w:val="en-US" w:eastAsia="zh-CN" w:bidi="ar-SA"/>
    </w:rPr>
  </w:style>
  <w:style w:type="paragraph" w:styleId="1031">
    <w:name w:val="修订6"/>
    <w:next w:val="1031"/>
    <w:link w:val="790"/>
    <w:uiPriority w:val="99"/>
    <w:semiHidden/>
    <w:qFormat/>
    <w:rPr>
      <w:sz w:val="21"/>
      <w:szCs w:val="24"/>
      <w:lang w:val="en-US" w:eastAsia="zh-CN" w:bidi="ar-SA"/>
    </w:rPr>
  </w:style>
  <w:style w:type="character" w:styleId="1032">
    <w:name w:val="NormalCharacter1"/>
    <w:next w:val="1032"/>
    <w:link w:val="790"/>
    <w:semiHidden/>
    <w:qFormat/>
    <w:rPr>
      <w:rFonts w:ascii="Calibri" w:hAnsi="Calibri" w:eastAsia="宋体"/>
      <w:sz w:val="21"/>
      <w:szCs w:val="24"/>
      <w:lang w:val="en-US" w:eastAsia="zh-CN" w:bidi="ar-SA"/>
    </w:rPr>
  </w:style>
  <w:style w:type="paragraph" w:styleId="1033">
    <w:name w:val="无间隔"/>
    <w:next w:val="1033"/>
    <w:link w:val="790"/>
    <w:uiPriority w:val="1"/>
    <w:qFormat/>
    <w:pPr>
      <w:jc w:val="both"/>
      <w:widowControl w:val="off"/>
    </w:pPr>
    <w:rPr>
      <w:sz w:val="21"/>
      <w:lang w:val="en-US" w:eastAsia="zh-CN" w:bidi="ar-SA"/>
    </w:rPr>
  </w:style>
  <w:style w:type="paragraph" w:styleId="1034">
    <w:name w:val="列表段落2"/>
    <w:basedOn w:val="790"/>
    <w:next w:val="1034"/>
    <w:link w:val="790"/>
    <w:qFormat/>
    <w:pPr>
      <w:ind w:firstLine="420"/>
    </w:pPr>
    <w:rPr>
      <w:szCs w:val="21"/>
    </w:rPr>
  </w:style>
  <w:style w:type="paragraph" w:styleId="1035">
    <w:name w:val="正文_9_0"/>
    <w:basedOn w:val="790"/>
    <w:next w:val="1035"/>
    <w:link w:val="790"/>
    <w:qFormat/>
    <w:rPr>
      <w:szCs w:val="21"/>
    </w:rPr>
  </w:style>
  <w:style w:type="paragraph" w:styleId="1036">
    <w:name w:val="p15"/>
    <w:basedOn w:val="790"/>
    <w:next w:val="1036"/>
    <w:link w:val="790"/>
    <w:qFormat/>
    <w:pPr>
      <w:jc w:val="left"/>
      <w:widowControl/>
    </w:pPr>
    <w:rPr>
      <w:rFonts w:ascii="黑体" w:hAnsi="黑体" w:eastAsia="黑体" w:cs="宋体"/>
      <w:color w:val="000000"/>
      <w:sz w:val="24"/>
    </w:rPr>
  </w:style>
  <w:style w:type="paragraph" w:styleId="1037">
    <w:name w:val="Table Text"/>
    <w:basedOn w:val="790"/>
    <w:next w:val="1037"/>
    <w:link w:val="790"/>
    <w:semiHidden/>
    <w:qFormat/>
    <w:rPr>
      <w:rFonts w:ascii="宋体" w:hAnsi="宋体" w:eastAsia="宋体" w:cs="宋体"/>
      <w:sz w:val="21"/>
      <w:szCs w:val="21"/>
      <w:lang w:val="en-US" w:eastAsia="en-US" w:bidi="ar-SA"/>
    </w:rPr>
  </w:style>
  <w:style w:type="paragraph" w:styleId="1038">
    <w:name w:val="TOC 71"/>
    <w:next w:val="790"/>
    <w:link w:val="790"/>
    <w:qFormat/>
    <w:pPr>
      <w:ind w:left="2550"/>
      <w:jc w:val="both"/>
    </w:pPr>
    <w:rPr>
      <w:sz w:val="21"/>
      <w:szCs w:val="22"/>
      <w:lang w:val="en-US" w:eastAsia="zh-CN" w:bidi="ar-SA"/>
    </w:rPr>
  </w:style>
  <w:style w:type="paragraph" w:styleId="1039">
    <w:name w:val="标题 5（有编号）（绿盟科技）"/>
    <w:next w:val="1040"/>
    <w:link w:val="790"/>
    <w:qFormat/>
    <w:pPr>
      <w:numPr>
        <w:ilvl w:val="4"/>
        <w:numId w:val="3"/>
      </w:numPr>
      <w:keepLines/>
      <w:keepNext/>
      <w:spacing w:before="280" w:after="156" w:line="377" w:lineRule="auto"/>
      <w:widowControl w:val="off"/>
      <w:outlineLvl w:val="4"/>
    </w:pPr>
    <w:rPr>
      <w:rFonts w:ascii="Arial" w:hAnsi="Arial" w:eastAsia="黑体"/>
      <w:b/>
      <w:sz w:val="24"/>
      <w:szCs w:val="28"/>
      <w:lang w:val="en-US" w:eastAsia="zh-CN" w:bidi="ar-SA"/>
    </w:rPr>
  </w:style>
  <w:style w:type="paragraph" w:styleId="1040">
    <w:name w:val="正文（绿盟科技）"/>
    <w:next w:val="1040"/>
    <w:link w:val="790"/>
    <w:qFormat/>
    <w:pPr>
      <w:spacing w:line="300" w:lineRule="auto"/>
    </w:pPr>
    <w:rPr>
      <w:rFonts w:ascii="Arial" w:hAnsi="Arial" w:cs="黑体"/>
      <w:sz w:val="21"/>
      <w:szCs w:val="21"/>
      <w:lang w:val="en-US" w:eastAsia="zh-CN" w:bidi="ar-SA"/>
    </w:rPr>
  </w:style>
  <w:style w:type="paragraph" w:styleId="1041">
    <w:name w:val="Table Paragraph"/>
    <w:basedOn w:val="790"/>
    <w:next w:val="1041"/>
    <w:link w:val="790"/>
    <w:uiPriority w:val="1"/>
    <w:qFormat/>
    <w:pPr>
      <w:spacing w:before="1"/>
    </w:pPr>
  </w:style>
  <w:style w:type="paragraph" w:styleId="1042">
    <w:name w:val="修订"/>
    <w:next w:val="1042"/>
    <w:link w:val="790"/>
    <w:uiPriority w:val="99"/>
    <w:unhideWhenUsed/>
    <w:rPr>
      <w:sz w:val="21"/>
      <w:szCs w:val="24"/>
      <w:lang w:val="en-US" w:eastAsia="zh-CN" w:bidi="ar-SA"/>
    </w:rPr>
  </w:style>
  <w:style w:type="table" w:styleId="1043">
    <w:name w:val="网格型1"/>
    <w:basedOn w:val="801"/>
    <w:next w:val="1043"/>
    <w:link w:val="790"/>
    <w:uiPriority w:val="99"/>
    <w:qFormat/>
    <w:pPr>
      <w:spacing w:after="160" w:line="278" w:lineRule="auto"/>
    </w:pPr>
    <w:tblPr/>
  </w:style>
  <w:style w:type="table" w:styleId="1044">
    <w:name w:val="Table Normal1"/>
    <w:next w:val="1044"/>
    <w:link w:val="790"/>
    <w:unhideWhenUsed/>
    <w:qFormat/>
    <w:pPr>
      <w:spacing w:after="160" w:line="278" w:lineRule="auto"/>
    </w:pPr>
    <w:rPr>
      <w:lang w:val="en-US" w:eastAsia="zh-CN" w:bidi="ar-SA"/>
    </w:rPr>
    <w:tblPr/>
  </w:style>
  <w:style w:type="paragraph" w:styleId="1045">
    <w:name w:val="a正文"/>
    <w:basedOn w:val="790"/>
    <w:next w:val="1045"/>
    <w:link w:val="790"/>
    <w:qFormat/>
    <w:pPr>
      <w:spacing w:after="160" w:line="278" w:lineRule="auto"/>
    </w:pPr>
    <w:rPr>
      <w:color w:val="000000"/>
      <w:sz w:val="24"/>
      <w:szCs w:val="28"/>
      <w:lang w:val="zh-CN" w:bidi="zh-CN"/>
    </w:rPr>
  </w:style>
  <w:style w:type="paragraph" w:styleId="1046">
    <w:name w:val="修订7"/>
    <w:next w:val="1046"/>
    <w:link w:val="790"/>
    <w:uiPriority w:val="99"/>
    <w:unhideWhenUsed/>
    <w:pPr>
      <w:spacing w:after="160" w:line="278" w:lineRule="auto"/>
    </w:pPr>
    <w:rPr>
      <w:sz w:val="21"/>
      <w:szCs w:val="24"/>
      <w:lang w:val="en-US" w:eastAsia="zh-CN" w:bidi="ar-SA"/>
    </w:rPr>
  </w:style>
  <w:style w:type="character" w:styleId="1047">
    <w:name w:val="font01"/>
    <w:next w:val="1047"/>
    <w:link w:val="790"/>
    <w:rPr>
      <w:rFonts w:hint="eastAsia" w:ascii="宋体" w:hAnsi="宋体" w:eastAsia="宋体" w:cs="宋体"/>
      <w:color w:val="000000"/>
      <w:sz w:val="22"/>
      <w:szCs w:val="22"/>
      <w:u w:val="none"/>
    </w:rPr>
  </w:style>
  <w:style w:type="character" w:styleId="1048">
    <w:name w:val="批注文字 字符2"/>
    <w:basedOn w:val="800"/>
    <w:next w:val="1048"/>
    <w:link w:val="790"/>
    <w:qFormat/>
  </w:style>
  <w:style w:type="paragraph" w:styleId="1049">
    <w:name w:val="标准文件_三级条标题"/>
    <w:basedOn w:val="1050"/>
    <w:next w:val="790"/>
    <w:link w:val="790"/>
    <w:qFormat/>
    <w:pPr>
      <w:numPr>
        <w:ilvl w:val="4"/>
        <w:numId w:val="4"/>
      </w:numPr>
      <w:ind w:left="0"/>
      <w:widowControl/>
      <w:outlineLvl w:val="3"/>
    </w:pPr>
  </w:style>
  <w:style w:type="paragraph" w:styleId="1050">
    <w:name w:val="标准文件_二级条标题"/>
    <w:next w:val="790"/>
    <w:link w:val="790"/>
    <w:qFormat/>
    <w:pPr>
      <w:numPr>
        <w:ilvl w:val="3"/>
        <w:numId w:val="4"/>
      </w:numPr>
      <w:jc w:val="both"/>
      <w:spacing w:after="160" w:line="278" w:lineRule="auto"/>
      <w:widowControl w:val="off"/>
      <w:outlineLvl w:val="2"/>
    </w:pPr>
    <w:rPr>
      <w:rFonts w:ascii="黑体" w:eastAsia="黑体"/>
      <w:sz w:val="21"/>
      <w:lang w:val="en-US" w:eastAsia="zh-CN" w:bidi="ar-SA"/>
    </w:rPr>
  </w:style>
  <w:style w:type="paragraph" w:styleId="1051">
    <w:name w:val="标准文件_三级无标题"/>
    <w:basedOn w:val="1049"/>
    <w:next w:val="1051"/>
    <w:link w:val="790"/>
    <w:qFormat/>
    <w:pPr>
      <w:ind w:left="852"/>
      <w:outlineLvl w:val="9"/>
    </w:pPr>
    <w:rPr>
      <w:rFonts w:ascii="宋体" w:eastAsia="宋体"/>
    </w:rPr>
  </w:style>
  <w:style w:type="character" w:styleId="19971" w:default="1">
    <w:name w:val="Default Paragraph Font"/>
    <w:uiPriority w:val="1"/>
    <w:semiHidden/>
    <w:unhideWhenUsed/>
  </w:style>
  <w:style w:type="numbering" w:styleId="19972" w:default="1">
    <w:name w:val="No List"/>
    <w:uiPriority w:val="99"/>
    <w:semiHidden/>
    <w:unhideWhenUsed/>
  </w:style>
  <w:style w:type="table" w:styleId="19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570827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570827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570827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5708277"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5708278"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570827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阮真真</cp:lastModifiedBy>
  <cp:revision>7</cp:revision>
  <dcterms:created xsi:type="dcterms:W3CDTF">2026-07-20T10:42:00Z</dcterms:created>
  <dcterms:modified xsi:type="dcterms:W3CDTF">2026-08-24T07:15:33Z</dcterms:modified>
</cp:coreProperties>
</file>