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723"/>
        <w:ind w:firstLine="300"/>
        <w:spacing w:line="360" w:lineRule="auto"/>
        <w:rPr>
          <w:sz w:val="60"/>
          <w:szCs w:val="60"/>
        </w:rPr>
      </w:pPr>
      <w:r>
        <w:rPr>
          <w:sz w:val="60"/>
          <w:szCs w:val="60"/>
        </w:rPr>
      </w:r>
      <w:r/>
    </w:p>
    <w:p>
      <w:pPr>
        <w:pStyle w:val="723"/>
        <w:ind w:firstLine="315"/>
        <w:jc w:val="center"/>
        <w:spacing w:line="360" w:lineRule="auto"/>
        <w:rPr>
          <w:rFonts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r>
        <w:rPr>
          <w:rFonts w:ascii="宋体" w:hAnsi="宋体"/>
          <w:b/>
          <w:bCs/>
          <w:sz w:val="60"/>
          <w:szCs w:val="60"/>
        </w:rPr>
      </w:r>
      <w:r/>
    </w:p>
    <w:p>
      <w:pPr>
        <w:pStyle w:val="723"/>
        <w:ind w:firstLine="1606"/>
        <w:jc w:val="left"/>
        <w:rPr>
          <w:rFonts w:hint="eastAsia" w:ascii="宋体" w:hAnsi="宋体" w:cs="宋体"/>
          <w:b/>
          <w:bCs/>
          <w:sz w:val="32"/>
          <w:szCs w:val="32"/>
        </w:rPr>
      </w:pPr>
      <w:r>
        <w:rPr>
          <w:rFonts w:hint="eastAsia" w:ascii="宋体" w:hAnsi="宋体" w:cs="宋体"/>
          <w:b/>
          <w:bCs/>
          <w:sz w:val="32"/>
          <w:szCs w:val="32"/>
        </w:rPr>
      </w:r>
      <w:r/>
    </w:p>
    <w:p>
      <w:pPr>
        <w:pStyle w:val="723"/>
        <w:ind w:firstLine="1606"/>
        <w:jc w:val="left"/>
        <w:rPr>
          <w:rFonts w:hint="eastAsia" w:ascii="宋体" w:hAnsi="宋体" w:cs="宋体"/>
          <w:b/>
          <w:bCs/>
          <w:sz w:val="32"/>
          <w:szCs w:val="32"/>
        </w:rPr>
      </w:pPr>
      <w:r>
        <w:rPr>
          <w:rFonts w:hint="eastAsia" w:ascii="宋体" w:hAnsi="宋体" w:cs="宋体"/>
          <w:b/>
          <w:bCs/>
          <w:sz w:val="32"/>
          <w:szCs w:val="32"/>
        </w:rPr>
      </w:r>
      <w:r/>
    </w:p>
    <w:p>
      <w:pPr>
        <w:pStyle w:val="723"/>
        <w:ind w:firstLine="1606"/>
        <w:jc w:val="left"/>
        <w:rPr>
          <w:rFonts w:hint="eastAsia" w:ascii="宋体" w:hAnsi="宋体" w:cs="宋体"/>
          <w:b/>
          <w:bCs/>
          <w:sz w:val="32"/>
          <w:szCs w:val="32"/>
        </w:rPr>
      </w:pPr>
      <w:r>
        <w:rPr>
          <w:rFonts w:hint="eastAsia" w:ascii="宋体" w:hAnsi="宋体" w:cs="宋体"/>
          <w:b/>
          <w:bCs/>
          <w:sz w:val="32"/>
          <w:szCs w:val="32"/>
        </w:rPr>
      </w:r>
      <w:r/>
    </w:p>
    <w:p>
      <w:pPr>
        <w:pStyle w:val="723"/>
        <w:ind w:firstLine="1606"/>
        <w:jc w:val="left"/>
        <w:rPr>
          <w:rFonts w:hint="eastAsia" w:ascii="宋体" w:hAnsi="宋体" w:cs="宋体"/>
          <w:b/>
          <w:bCs/>
          <w:sz w:val="32"/>
          <w:szCs w:val="32"/>
        </w:rPr>
      </w:pPr>
      <w:r>
        <w:rPr>
          <w:rFonts w:hint="eastAsia" w:ascii="宋体" w:hAnsi="宋体" w:cs="宋体"/>
          <w:b/>
          <w:bCs/>
          <w:sz w:val="32"/>
          <w:szCs w:val="32"/>
        </w:rPr>
      </w:r>
      <w:r/>
    </w:p>
    <w:p>
      <w:pPr>
        <w:pStyle w:val="723"/>
        <w:ind w:firstLine="1606"/>
        <w:jc w:val="left"/>
        <w:rPr>
          <w:rFonts w:hint="eastAsia" w:ascii="宋体" w:hAnsi="宋体" w:cs="宋体"/>
          <w:b/>
          <w:bCs/>
          <w:sz w:val="32"/>
          <w:szCs w:val="32"/>
        </w:rPr>
      </w:pPr>
      <w:r>
        <w:rPr>
          <w:rFonts w:hint="eastAsia" w:ascii="宋体" w:hAnsi="宋体" w:cs="宋体"/>
          <w:b/>
          <w:bCs/>
          <w:sz w:val="32"/>
          <w:szCs w:val="32"/>
        </w:rPr>
      </w:r>
      <w:r/>
    </w:p>
    <w:p>
      <w:pPr>
        <w:pStyle w:val="723"/>
        <w:ind w:left="3202" w:hanging="1606"/>
        <w:spacing w:line="360" w:lineRule="auto"/>
        <w:rPr>
          <w:rFonts w:hint="eastAsia" w:ascii="宋体" w:hAnsi="宋体" w:eastAsia="宋体" w:cs="宋体"/>
          <w:b/>
          <w:bCs/>
          <w:sz w:val="32"/>
          <w:szCs w:val="32"/>
          <w:highlight w:val="none"/>
          <w:u w:val="singl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lang w:eastAsia="zh-CN"/>
        </w:rPr>
        <w:t xml:space="preserve">戴埠镇沙河水库溢洪河两侧恢复林业生产条件和恢复植被项目</w:t>
      </w:r>
      <w:r>
        <w:rPr>
          <w:rFonts w:hint="eastAsia" w:ascii="宋体" w:hAnsi="宋体" w:eastAsia="宋体" w:cs="宋体"/>
          <w:b/>
          <w:bCs/>
          <w:sz w:val="32"/>
          <w:szCs w:val="32"/>
          <w:highlight w:val="none"/>
          <w:u w:val="single"/>
          <w:lang w:eastAsia="zh-CN"/>
        </w:rPr>
      </w:r>
      <w:r/>
    </w:p>
    <w:p>
      <w:pPr>
        <w:pStyle w:val="723"/>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pStyle w:val="723"/>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pStyle w:val="723"/>
        <w:ind w:firstLine="1606"/>
        <w:rPr>
          <w:rFonts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项目编号/包号：</w:t>
      </w:r>
      <w:r>
        <w:rPr>
          <w:rFonts w:hint="eastAsia" w:ascii="宋体" w:hAnsi="宋体" w:eastAsia="宋体" w:cs="宋体"/>
          <w:b/>
          <w:bCs/>
          <w:sz w:val="32"/>
          <w:szCs w:val="32"/>
          <w:highlight w:val="none"/>
          <w:u w:val="single"/>
          <w:lang w:val="en-US" w:eastAsia="zh-CN"/>
        </w:rPr>
        <w:t xml:space="preserve">JSZC-320481-LYZT-C2026-0009</w:t>
      </w:r>
      <w:r>
        <w:rPr>
          <w:rFonts w:ascii="宋体" w:hAnsi="宋体" w:eastAsia="宋体" w:cs="宋体"/>
          <w:b/>
          <w:bCs/>
          <w:sz w:val="32"/>
          <w:szCs w:val="32"/>
          <w:highlight w:val="none"/>
          <w:u w:val="single"/>
          <w:lang w:val="en-US" w:eastAsia="zh-CN"/>
        </w:rPr>
      </w:r>
      <w:r/>
    </w:p>
    <w:p>
      <w:pPr>
        <w:pStyle w:val="723"/>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723"/>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723"/>
        <w:ind w:firstLine="1606"/>
        <w:rPr>
          <w:rFonts w:hint="eastAsia" w:ascii="宋体" w:hAnsi="宋体" w:eastAsia="宋体" w:cs="宋体"/>
          <w:b/>
          <w:bCs/>
          <w:sz w:val="32"/>
          <w:szCs w:val="32"/>
          <w:lang w:eastAsia="zh-CN"/>
        </w:rPr>
      </w:pPr>
      <w:r>
        <w:rPr>
          <w:rFonts w:hint="eastAsia" w:ascii="宋体" w:hAnsi="宋体" w:cs="宋体"/>
          <w:b/>
          <w:bCs/>
          <w:sz w:val="32"/>
          <w:szCs w:val="32"/>
        </w:rPr>
        <w:t xml:space="preserve">采 购 人：</w:t>
      </w:r>
      <w:r>
        <w:rPr>
          <w:rFonts w:hint="eastAsia" w:ascii="宋体" w:hAnsi="宋体" w:cs="宋体"/>
          <w:b/>
          <w:bCs/>
          <w:sz w:val="32"/>
          <w:szCs w:val="32"/>
          <w:u w:val="single"/>
          <w:lang w:eastAsia="zh-CN"/>
        </w:rPr>
        <w:t xml:space="preserve">溧阳市戴埠镇人民政府</w:t>
      </w:r>
      <w:r>
        <w:rPr>
          <w:rFonts w:hint="eastAsia" w:ascii="宋体" w:hAnsi="宋体" w:eastAsia="宋体" w:cs="宋体"/>
          <w:b/>
          <w:bCs/>
          <w:sz w:val="32"/>
          <w:szCs w:val="32"/>
          <w:lang w:eastAsia="zh-CN"/>
        </w:rPr>
      </w:r>
      <w:r/>
    </w:p>
    <w:p>
      <w:pPr>
        <w:pStyle w:val="723"/>
        <w:ind w:firstLine="1606"/>
        <w:rPr>
          <w:rFonts w:hint="eastAsia" w:ascii="宋体" w:hAnsi="宋体" w:cs="宋体"/>
          <w:b/>
          <w:bCs/>
          <w:sz w:val="32"/>
          <w:szCs w:val="32"/>
        </w:rPr>
      </w:pPr>
      <w:r>
        <w:rPr>
          <w:rFonts w:hint="eastAsia" w:ascii="宋体" w:hAnsi="宋体" w:cs="宋体"/>
          <w:b/>
          <w:bCs/>
          <w:sz w:val="32"/>
          <w:szCs w:val="32"/>
        </w:rPr>
      </w:r>
      <w:r/>
    </w:p>
    <w:p>
      <w:pPr>
        <w:pStyle w:val="723"/>
        <w:ind w:firstLine="1606"/>
        <w:rPr>
          <w:rFonts w:hint="eastAsia" w:ascii="宋体" w:hAnsi="宋体" w:cs="宋体"/>
          <w:b/>
          <w:bCs/>
          <w:sz w:val="32"/>
          <w:szCs w:val="32"/>
        </w:rPr>
      </w:pPr>
      <w:r>
        <w:rPr>
          <w:rFonts w:hint="eastAsia" w:ascii="宋体" w:hAnsi="宋体" w:cs="宋体"/>
          <w:b/>
          <w:bCs/>
          <w:sz w:val="32"/>
          <w:szCs w:val="32"/>
        </w:rPr>
      </w:r>
      <w:r/>
    </w:p>
    <w:p>
      <w:pPr>
        <w:pStyle w:val="723"/>
        <w:ind w:firstLine="1606"/>
        <w:rPr>
          <w:rFonts w:hint="eastAsia" w:ascii="宋体" w:hAnsi="宋体" w:eastAsia="宋体" w:cs="宋体"/>
          <w:b/>
          <w:bCs/>
          <w:sz w:val="32"/>
          <w:szCs w:val="32"/>
          <w:u w:val="single"/>
          <w:lang w:eastAsia="zh-CN"/>
        </w:rPr>
      </w:pPr>
      <w:r>
        <w:rPr>
          <w:rFonts w:hint="eastAsia" w:ascii="宋体" w:hAnsi="宋体" w:cs="宋体"/>
          <w:b/>
          <w:bCs/>
          <w:sz w:val="32"/>
          <w:szCs w:val="32"/>
        </w:rPr>
        <w:t xml:space="preserve">采购代理机构：</w:t>
      </w:r>
      <w:r>
        <w:rPr>
          <w:rFonts w:hint="eastAsia" w:ascii="宋体" w:hAnsi="宋体" w:cs="宋体"/>
          <w:b/>
          <w:bCs/>
          <w:sz w:val="32"/>
          <w:szCs w:val="32"/>
          <w:u w:val="single"/>
          <w:lang w:eastAsia="zh-CN"/>
        </w:rPr>
        <w:t xml:space="preserve">溧阳市正投招投标有限公司</w:t>
      </w:r>
      <w:r>
        <w:rPr>
          <w:rFonts w:hint="eastAsia" w:ascii="宋体" w:hAnsi="宋体" w:eastAsia="宋体" w:cs="宋体"/>
          <w:b/>
          <w:bCs/>
          <w:sz w:val="32"/>
          <w:szCs w:val="32"/>
          <w:u w:val="single"/>
          <w:lang w:eastAsia="zh-CN"/>
        </w:rPr>
      </w:r>
      <w:r/>
    </w:p>
    <w:p>
      <w:pPr>
        <w:pStyle w:val="723"/>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723"/>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723"/>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723"/>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723"/>
        <w:jc w:val="center"/>
        <w:rPr>
          <w:rFonts w:hint="eastAsia" w:ascii="宋体" w:hAnsi="宋体" w:cs="宋体"/>
          <w:b/>
          <w:bCs/>
          <w:color w:val="000000"/>
          <w:sz w:val="32"/>
          <w:szCs w:val="32"/>
          <w:highlight w:val="green"/>
        </w:rPr>
      </w:pPr>
      <w:r>
        <w:rPr>
          <w:rFonts w:hint="eastAsia" w:ascii="宋体" w:hAnsi="宋体" w:cs="宋体"/>
          <w:b/>
          <w:bCs/>
          <w:color w:val="000000"/>
          <w:sz w:val="32"/>
          <w:szCs w:val="32"/>
          <w:highlight w:val="green"/>
        </w:rPr>
      </w:r>
      <w:r/>
    </w:p>
    <w:p>
      <w:pPr>
        <w:pStyle w:val="723"/>
        <w:jc w:val="left"/>
        <w:widowControl/>
        <w:tabs>
          <w:tab w:val="left" w:pos="840" w:leader="none"/>
        </w:tabs>
        <w:rPr>
          <w:rFonts w:hint="eastAsia"/>
          <w:b/>
          <w:sz w:val="32"/>
          <w:szCs w:val="32"/>
        </w:rPr>
      </w:pPr>
      <w:r>
        <w:rPr>
          <w:b/>
          <w:bCs/>
          <w:sz w:val="44"/>
        </w:rPr>
        <w:br w:type="page" w:clear="all"/>
      </w:r>
      <w:bookmarkStart w:id="0" w:name="_Toc104818924"/>
      <w:r>
        <w:rPr>
          <w:rFonts w:hint="eastAsia"/>
          <w:b/>
          <w:sz w:val="32"/>
          <w:szCs w:val="32"/>
        </w:rPr>
      </w:r>
      <w:r/>
    </w:p>
    <w:p>
      <w:pPr>
        <w:pStyle w:val="723"/>
        <w:jc w:val="center"/>
        <w:spacing w:line="360" w:lineRule="auto"/>
        <w:rPr>
          <w:b/>
          <w:sz w:val="32"/>
          <w:szCs w:val="32"/>
        </w:rPr>
        <w:outlineLvl w:val="0"/>
      </w:pPr>
      <w:r>
        <w:rPr>
          <w:rFonts w:hint="eastAsia"/>
          <w:b/>
          <w:sz w:val="32"/>
          <w:szCs w:val="32"/>
        </w:rPr>
        <w:t xml:space="preserve">目</w:t>
      </w:r>
      <w:r>
        <w:rPr>
          <w:b/>
          <w:sz w:val="32"/>
          <w:szCs w:val="32"/>
        </w:rPr>
        <w:t xml:space="preserve">      </w:t>
      </w:r>
      <w:r>
        <w:rPr>
          <w:rFonts w:hint="eastAsia"/>
          <w:b/>
          <w:sz w:val="32"/>
          <w:szCs w:val="32"/>
        </w:rPr>
        <w:t xml:space="preserve">录</w:t>
      </w:r>
      <w:bookmarkEnd w:id="0"/>
      <w:r>
        <w:rPr>
          <w:b/>
          <w:sz w:val="32"/>
          <w:szCs w:val="32"/>
        </w:rPr>
      </w:r>
      <w:r/>
    </w:p>
    <w:p>
      <w:pPr>
        <w:pStyle w:val="7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TOC \o "1-1" \h \z \u </w:instrText>
      </w:r>
      <w:r>
        <w:rPr>
          <w:rFonts w:hint="eastAsia" w:cs="宋体"/>
          <w:bCs/>
        </w:rPr>
        <w:fldChar w:fldCharType="separate"/>
      </w:r>
      <w:r>
        <w:rPr>
          <w:rFonts w:hint="eastAsia" w:cs="宋体"/>
          <w:bCs/>
        </w:rPr>
      </w:r>
      <w:r/>
    </w:p>
    <w:p>
      <w:pPr>
        <w:pStyle w:val="7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"_Toc104818925" </w:instrText>
      </w:r>
      <w:r>
        <w:rPr>
          <w:rFonts w:hint="eastAsia" w:cs="宋体"/>
          <w:bCs/>
        </w:rPr>
        <w:fldChar w:fldCharType="separate"/>
      </w:r>
      <w:r>
        <w:rPr>
          <w:rFonts w:hint="eastAsia" w:cs="宋体"/>
          <w:bCs/>
        </w:rPr>
        <w:t xml:space="preserve">第一章   采购邀请</w:t>
      </w:r>
      <w:r>
        <w:rPr>
          <w:rFonts w:hint="eastAsia" w:cs="宋体"/>
          <w:bCs/>
        </w:rPr>
        <w:tab/>
      </w:r>
      <w:r>
        <w:rPr>
          <w:rFonts w:hint="eastAsia" w:cs="宋体"/>
          <w:bCs/>
        </w:rPr>
        <w:t xml:space="preserve">3</w:t>
      </w:r>
      <w:r>
        <w:rPr>
          <w:rFonts w:hint="eastAsia" w:cs="宋体"/>
          <w:bCs/>
        </w:rPr>
        <w:fldChar w:fldCharType="end"/>
      </w:r>
      <w:r>
        <w:rPr>
          <w:rFonts w:hint="eastAsia" w:cs="宋体"/>
          <w:bCs/>
        </w:rPr>
      </w:r>
      <w:r/>
    </w:p>
    <w:p>
      <w:pPr>
        <w:pStyle w:val="7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"_Toc104818926" </w:instrText>
      </w:r>
      <w:r>
        <w:rPr>
          <w:rFonts w:hint="eastAsia" w:cs="宋体"/>
          <w:bCs/>
        </w:rPr>
        <w:fldChar w:fldCharType="separate"/>
      </w:r>
      <w:r>
        <w:rPr>
          <w:rFonts w:hint="eastAsia" w:cs="宋体"/>
          <w:bCs/>
        </w:rPr>
        <w:t xml:space="preserve">第二章   供应商须知</w:t>
      </w:r>
      <w:r>
        <w:rPr>
          <w:rFonts w:hint="eastAsia" w:cs="宋体"/>
          <w:bCs/>
        </w:rPr>
        <w:tab/>
      </w:r>
      <w:r>
        <w:rPr>
          <w:rFonts w:hint="eastAsia" w:cs="宋体"/>
          <w:bCs/>
          <w:lang w:val="en-US" w:eastAsia="zh-CN"/>
        </w:rPr>
        <w:t xml:space="preserve">6</w:t>
      </w:r>
      <w:r>
        <w:rPr>
          <w:rFonts w:hint="eastAsia" w:cs="宋体"/>
          <w:bCs/>
        </w:rPr>
        <w:fldChar w:fldCharType="end"/>
      </w:r>
      <w:r>
        <w:rPr>
          <w:rFonts w:hint="eastAsia" w:cs="宋体"/>
          <w:bCs/>
        </w:rPr>
      </w:r>
      <w:r/>
    </w:p>
    <w:p>
      <w:pPr>
        <w:pStyle w:val="7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"_Toc104818927" </w:instrText>
      </w:r>
      <w:r>
        <w:rPr>
          <w:rFonts w:hint="eastAsia" w:cs="宋体"/>
          <w:bCs/>
        </w:rPr>
        <w:fldChar w:fldCharType="separate"/>
      </w:r>
      <w:r>
        <w:rPr>
          <w:rFonts w:hint="eastAsia" w:cs="宋体"/>
          <w:bCs/>
        </w:rPr>
        <w:t xml:space="preserve">第三章   评审程序、评审方法和评审标准</w:t>
      </w:r>
      <w:r>
        <w:rPr>
          <w:rFonts w:hint="eastAsia" w:cs="宋体"/>
          <w:bCs/>
        </w:rPr>
        <w:tab/>
      </w:r>
      <w:r>
        <w:rPr>
          <w:rFonts w:hint="eastAsia" w:cs="宋体"/>
          <w:bCs/>
          <w:lang w:val="en-US" w:eastAsia="zh-CN"/>
        </w:rPr>
        <w:t xml:space="preserve">1</w:t>
      </w:r>
      <w:r>
        <w:rPr>
          <w:rFonts w:hint="eastAsia" w:cs="宋体"/>
          <w:bCs/>
        </w:rPr>
        <w:fldChar w:fldCharType="end"/>
      </w:r>
      <w:r>
        <w:rPr>
          <w:rFonts w:hint="eastAsia" w:cs="宋体"/>
          <w:bCs/>
          <w:lang w:val="en-US" w:eastAsia="zh-CN"/>
        </w:rPr>
        <w:t xml:space="preserve">6</w:t>
      </w:r>
      <w:r>
        <w:rPr>
          <w:rFonts w:hint="eastAsia" w:eastAsia="宋体" w:cs="宋体"/>
          <w:bCs/>
          <w:lang w:eastAsia="zh-CN"/>
        </w:rPr>
      </w:r>
      <w:r/>
    </w:p>
    <w:p>
      <w:pPr>
        <w:pStyle w:val="7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"_Toc104818928" </w:instrText>
      </w:r>
      <w:r>
        <w:rPr>
          <w:rFonts w:hint="eastAsia" w:cs="宋体"/>
          <w:bCs/>
        </w:rPr>
        <w:fldChar w:fldCharType="separate"/>
      </w:r>
      <w:r>
        <w:rPr>
          <w:rFonts w:hint="eastAsia" w:cs="宋体"/>
          <w:bCs/>
        </w:rPr>
        <w:t xml:space="preserve">第四章   采购需求</w:t>
      </w:r>
      <w:r>
        <w:rPr>
          <w:rFonts w:hint="eastAsia" w:cs="宋体"/>
          <w:bCs/>
        </w:rPr>
        <w:tab/>
      </w:r>
      <w:r>
        <w:rPr>
          <w:rFonts w:hint="eastAsia" w:cs="宋体"/>
          <w:bCs/>
          <w:lang w:val="en-US" w:eastAsia="zh-CN"/>
        </w:rPr>
        <w:t xml:space="preserve">2</w:t>
      </w:r>
      <w:r>
        <w:rPr>
          <w:rFonts w:hint="eastAsia" w:cs="宋体"/>
          <w:bCs/>
        </w:rPr>
        <w:fldChar w:fldCharType="end"/>
      </w:r>
      <w:r>
        <w:rPr>
          <w:rFonts w:hint="eastAsia" w:cs="宋体"/>
          <w:bCs/>
          <w:lang w:val="en-US" w:eastAsia="zh-CN"/>
        </w:rPr>
        <w:t xml:space="preserve">5</w:t>
      </w:r>
      <w:r>
        <w:rPr>
          <w:rFonts w:hint="eastAsia" w:eastAsia="宋体" w:cs="宋体"/>
          <w:bCs/>
          <w:lang w:eastAsia="zh-CN"/>
        </w:rPr>
      </w:r>
      <w:r/>
    </w:p>
    <w:p>
      <w:pPr>
        <w:pStyle w:val="7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"_Toc104818929" </w:instrText>
      </w:r>
      <w:r>
        <w:rPr>
          <w:rFonts w:hint="eastAsia" w:cs="宋体"/>
          <w:bCs/>
        </w:rPr>
        <w:fldChar w:fldCharType="separate"/>
      </w:r>
      <w:r>
        <w:rPr>
          <w:rFonts w:hint="eastAsia" w:cs="宋体"/>
          <w:bCs/>
        </w:rPr>
        <w:t xml:space="preserve">第五章   合同</w:t>
      </w:r>
      <w:r>
        <w:rPr>
          <w:rFonts w:hint="eastAsia" w:cs="宋体"/>
          <w:bCs/>
          <w:lang w:val="en-US" w:eastAsia="zh-CN"/>
        </w:rPr>
        <w:t xml:space="preserve">主要</w:t>
      </w:r>
      <w:r>
        <w:rPr>
          <w:rFonts w:hint="eastAsia" w:cs="宋体"/>
          <w:bCs/>
        </w:rPr>
        <w:t xml:space="preserve">条款</w:t>
      </w:r>
      <w:r>
        <w:rPr>
          <w:rFonts w:hint="eastAsia" w:cs="宋体"/>
          <w:bCs/>
        </w:rPr>
        <w:tab/>
      </w:r>
      <w:r>
        <w:rPr>
          <w:rFonts w:hint="eastAsia" w:cs="宋体"/>
          <w:bCs/>
          <w:lang w:val="en-US" w:eastAsia="zh-CN"/>
        </w:rPr>
        <w:t xml:space="preserve">2</w:t>
      </w:r>
      <w:r>
        <w:rPr>
          <w:rFonts w:hint="eastAsia" w:cs="宋体"/>
          <w:bCs/>
        </w:rPr>
        <w:fldChar w:fldCharType="end"/>
      </w:r>
      <w:r>
        <w:rPr>
          <w:rFonts w:hint="eastAsia" w:cs="宋体"/>
          <w:bCs/>
          <w:lang w:val="en-US" w:eastAsia="zh-CN"/>
        </w:rPr>
        <w:t xml:space="preserve">8</w:t>
      </w:r>
      <w:r>
        <w:rPr>
          <w:rFonts w:hint="eastAsia" w:eastAsia="宋体" w:cs="宋体"/>
          <w:bCs/>
          <w:lang w:eastAsia="zh-CN"/>
        </w:rPr>
      </w:r>
      <w:r/>
    </w:p>
    <w:p>
      <w:pPr>
        <w:pStyle w:val="7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"_Toc104818930" </w:instrText>
      </w:r>
      <w:r>
        <w:rPr>
          <w:rFonts w:hint="eastAsia" w:cs="宋体"/>
          <w:bCs/>
        </w:rPr>
        <w:fldChar w:fldCharType="separate"/>
      </w:r>
      <w:r>
        <w:rPr>
          <w:rFonts w:hint="eastAsia" w:cs="宋体"/>
          <w:bCs/>
        </w:rPr>
        <w:t xml:space="preserve">第六章   响应文件格式</w:t>
      </w:r>
      <w:r>
        <w:rPr>
          <w:rFonts w:hint="eastAsia" w:cs="宋体"/>
          <w:bCs/>
        </w:rPr>
        <w:tab/>
      </w:r>
      <w:r>
        <w:rPr>
          <w:rFonts w:hint="eastAsia" w:cs="宋体"/>
          <w:bCs/>
          <w:lang w:val="en-US" w:eastAsia="zh-CN"/>
        </w:rPr>
        <w:t xml:space="preserve">3</w:t>
      </w:r>
      <w:r>
        <w:rPr>
          <w:rFonts w:hint="eastAsia" w:cs="宋体"/>
          <w:bCs/>
        </w:rPr>
        <w:fldChar w:fldCharType="end"/>
      </w:r>
      <w:r>
        <w:rPr>
          <w:rFonts w:hint="eastAsia" w:cs="宋体"/>
          <w:bCs/>
          <w:lang w:val="en-US" w:eastAsia="zh-CN"/>
        </w:rPr>
        <w:t xml:space="preserve">6</w:t>
      </w:r>
      <w:r>
        <w:rPr>
          <w:rFonts w:hint="eastAsia" w:eastAsia="宋体" w:cs="宋体"/>
          <w:bCs/>
          <w:lang w:eastAsia="zh-CN"/>
        </w:rPr>
      </w:r>
      <w:r/>
    </w:p>
    <w:p>
      <w:pPr>
        <w:pStyle w:val="776"/>
        <w:spacing w:line="480" w:lineRule="auto"/>
        <w:tabs>
          <w:tab w:val="right" w:pos="9355" w:leader="dot"/>
        </w:tabs>
        <w:rPr>
          <w:rFonts w:hint="eastAsia" w:cs="宋体"/>
          <w:bCs/>
        </w:rPr>
      </w:pPr>
      <w:r>
        <w:rPr>
          <w:rFonts w:hint="eastAsia" w:cs="宋体"/>
          <w:bCs/>
        </w:rPr>
        <w:fldChar w:fldCharType="end"/>
      </w:r>
      <w:r>
        <w:rPr>
          <w:rFonts w:hint="eastAsia" w:cs="宋体"/>
          <w:bCs/>
        </w:rPr>
      </w:r>
      <w:r/>
    </w:p>
    <w:p>
      <w:pPr>
        <w:pStyle w:val="776"/>
        <w:spacing w:line="360" w:lineRule="auto"/>
        <w:tabs>
          <w:tab w:val="left" w:pos="1050" w:leader="none"/>
          <w:tab w:val="right" w:pos="8937" w:leader="dot"/>
        </w:tabs>
        <w:rPr>
          <w:b w:val="0"/>
          <w:sz w:val="36"/>
          <w:szCs w:val="36"/>
        </w:rPr>
      </w:pPr>
      <w:r>
        <w:rPr>
          <w:b w:val="0"/>
          <w:sz w:val="36"/>
          <w:szCs w:val="36"/>
        </w:rPr>
      </w:r>
      <w:r/>
    </w:p>
    <w:p>
      <w:pPr>
        <w:pStyle w:val="723"/>
        <w:jc w:val="center"/>
        <w:spacing w:line="360" w:lineRule="auto"/>
        <w:rPr>
          <w:b/>
          <w:sz w:val="36"/>
          <w:szCs w:val="36"/>
        </w:rPr>
        <w:outlineLvl w:val="0"/>
      </w:pPr>
      <w:r/>
      <w:bookmarkStart w:id="1" w:name="_Toc104818925"/>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23"/>
        <w:jc w:val="center"/>
        <w:spacing w:line="360" w:lineRule="auto"/>
        <w:rPr>
          <w:b/>
          <w:sz w:val="36"/>
          <w:szCs w:val="36"/>
        </w:rPr>
        <w:outlineLvl w:val="0"/>
      </w:pPr>
      <w:r>
        <w:rPr>
          <w:b/>
          <w:sz w:val="36"/>
          <w:szCs w:val="36"/>
        </w:rPr>
      </w:r>
      <w:r/>
    </w:p>
    <w:p>
      <w:pPr>
        <w:pStyle w:val="757"/>
        <w:tabs>
          <w:tab w:val="left" w:pos="567" w:leader="none"/>
        </w:tabs>
      </w:pPr>
      <w:r/>
      <w:r/>
    </w:p>
    <w:p>
      <w:pPr>
        <w:pStyle w:val="723"/>
        <w:jc w:val="center"/>
        <w:spacing w:line="360" w:lineRule="auto"/>
        <w:rPr>
          <w:b/>
          <w:sz w:val="36"/>
          <w:szCs w:val="36"/>
        </w:rPr>
        <w:outlineLvl w:val="0"/>
      </w:pPr>
      <w:r>
        <w:rPr>
          <w:b/>
          <w:sz w:val="36"/>
          <w:szCs w:val="36"/>
        </w:rPr>
      </w:r>
      <w:r/>
    </w:p>
    <w:p>
      <w:pPr>
        <w:pStyle w:val="723"/>
        <w:jc w:val="center"/>
        <w:keepLines w:val="0"/>
        <w:keepNext w:val="0"/>
        <w:pageBreakBefore w:val="0"/>
        <w:spacing w:line="351" w:lineRule="auto"/>
        <w:rPr>
          <w:b/>
          <w:sz w:val="32"/>
          <w:szCs w:val="32"/>
        </w:rPr>
        <w:outlineLvl w:val="0"/>
      </w:pPr>
      <w:r>
        <w:rPr>
          <w:b/>
          <w:sz w:val="32"/>
          <w:szCs w:val="32"/>
        </w:rPr>
      </w:r>
      <w:r/>
    </w:p>
    <w:p>
      <w:pPr>
        <w:pStyle w:val="723"/>
        <w:jc w:val="center"/>
        <w:keepLines w:val="0"/>
        <w:keepNext w:val="0"/>
        <w:pageBreakBefore w:val="0"/>
        <w:spacing w:line="351" w:lineRule="auto"/>
        <w:rPr>
          <w:b/>
          <w:sz w:val="32"/>
          <w:szCs w:val="32"/>
        </w:rPr>
        <w:outlineLvl w:val="0"/>
      </w:pPr>
      <w:r>
        <w:rPr>
          <w:b/>
          <w:sz w:val="32"/>
          <w:szCs w:val="32"/>
        </w:rPr>
      </w:r>
      <w:r/>
    </w:p>
    <w:p>
      <w:pPr>
        <w:pStyle w:val="723"/>
        <w:jc w:val="center"/>
        <w:keepLines w:val="0"/>
        <w:keepNext w:val="0"/>
        <w:pageBreakBefore w:val="0"/>
        <w:spacing w:line="351" w:lineRule="auto"/>
        <w:rPr>
          <w:b/>
          <w:sz w:val="32"/>
          <w:szCs w:val="32"/>
        </w:rPr>
        <w:outlineLvl w:val="0"/>
      </w:pPr>
      <w:r>
        <w:rPr>
          <w:b/>
          <w:sz w:val="32"/>
          <w:szCs w:val="32"/>
        </w:rPr>
        <w:t xml:space="preserve">第一章   采购邀请</w:t>
      </w:r>
      <w:bookmarkEnd w:id="1"/>
      <w:r/>
      <w:bookmarkStart w:id="2" w:name="_Toc28359002"/>
      <w:r/>
      <w:bookmarkStart w:id="3" w:name="_Toc35393621"/>
      <w:r/>
      <w:bookmarkStart w:id="4" w:name="_Hlk24379207"/>
      <w:r/>
      <w:bookmarkStart w:id="5" w:name="_Toc28359079"/>
      <w:r/>
      <w:bookmarkStart w:id="6" w:name="_Toc35393790"/>
      <w:r>
        <w:rPr>
          <w:b/>
          <w:sz w:val="32"/>
          <w:szCs w:val="32"/>
        </w:rPr>
      </w:r>
      <w:r/>
    </w:p>
    <w:p>
      <w:pPr>
        <w:pStyle w:val="785"/>
        <w:keepLines w:val="0"/>
        <w:keepNext w:val="0"/>
        <w:pageBreakBefore w:val="0"/>
        <w:spacing w:beforeAutospacing="0" w:afterAutospacing="0" w:line="324" w:lineRule="auto"/>
        <w:shd w:val="clear" w:color="auto" w:fill="ffffff"/>
        <w:rPr>
          <w:rStyle w:val="797"/>
          <w:sz w:val="21"/>
          <w:szCs w:val="21"/>
          <w:highlight w:val="none"/>
          <w:shd w:val="clear" w:color="auto" w:fill="ffffff"/>
        </w:rPr>
      </w:pPr>
      <w:r>
        <w:rPr>
          <w:rStyle w:val="797"/>
          <w:rFonts w:hint="eastAsia"/>
          <w:sz w:val="21"/>
          <w:szCs w:val="21"/>
          <w:highlight w:val="none"/>
          <w:shd w:val="clear" w:color="auto" w:fill="ffffff"/>
        </w:rPr>
        <w:t xml:space="preserve">一、项目基本情况</w:t>
      </w:r>
      <w:r>
        <w:rPr>
          <w:rStyle w:val="797"/>
          <w:sz w:val="21"/>
          <w:szCs w:val="21"/>
          <w:highlight w:val="none"/>
          <w:shd w:val="clear" w:color="auto" w:fill="ffffff"/>
        </w:rPr>
      </w:r>
      <w:r/>
    </w:p>
    <w:p>
      <w:pPr>
        <w:pStyle w:val="785"/>
        <w:ind w:firstLine="420"/>
        <w:keepLines w:val="0"/>
        <w:keepNext w:val="0"/>
        <w:pageBreakBefore w:val="0"/>
        <w:spacing w:beforeAutospacing="0" w:afterAutospacing="0" w:line="324" w:lineRule="auto"/>
        <w:shd w:val="clear" w:color="auto" w:fill="ffff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1.项目编号：</w:t>
      </w:r>
      <w:r>
        <w:rPr>
          <w:rFonts w:hint="eastAsia" w:ascii="宋体" w:hAnsi="宋体" w:eastAsia="宋体" w:cs="宋体"/>
          <w:sz w:val="21"/>
          <w:szCs w:val="21"/>
          <w:highlight w:val="none"/>
          <w:u w:val="single"/>
          <w:shd w:val="clear" w:color="auto" w:fill="ffffff"/>
          <w:lang w:val="en-US" w:eastAsia="zh-CN"/>
        </w:rPr>
        <w:t xml:space="preserve">JSZC-320481-LYZT-C2026-0009</w:t>
      </w:r>
      <w:r>
        <w:rPr>
          <w:rFonts w:ascii="宋体" w:hAnsi="宋体" w:eastAsia="宋体" w:cs="宋体"/>
          <w:sz w:val="21"/>
          <w:szCs w:val="21"/>
          <w:highlight w:val="none"/>
          <w:shd w:val="clear" w:color="auto" w:fill="ffffff"/>
          <w:lang w:val="en-US" w:eastAsia="zh-CN"/>
        </w:rPr>
      </w:r>
      <w:r/>
    </w:p>
    <w:p>
      <w:pPr>
        <w:pStyle w:val="785"/>
        <w:ind w:firstLine="420"/>
        <w:keepLines w:val="0"/>
        <w:keepNext w:val="0"/>
        <w:pageBreakBefore w:val="0"/>
        <w:spacing w:beforeAutospacing="0" w:afterAutospacing="0" w:line="324"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2.项目名称：</w:t>
      </w:r>
      <w:r>
        <w:rPr>
          <w:rFonts w:hint="eastAsia" w:ascii="宋体" w:hAnsi="宋体" w:eastAsia="宋体" w:cs="宋体"/>
          <w:sz w:val="21"/>
          <w:szCs w:val="21"/>
          <w:highlight w:val="none"/>
          <w:u w:val="single"/>
          <w:shd w:val="clear" w:color="auto" w:fill="ffffff"/>
          <w:lang w:val="en-US" w:eastAsia="zh-CN"/>
        </w:rPr>
        <w:t xml:space="preserve">戴埠镇沙河水库溢洪河两侧恢复林业生产条件和恢复植被项目</w:t>
      </w:r>
      <w:r>
        <w:rPr>
          <w:rFonts w:hint="eastAsia" w:ascii="宋体" w:hAnsi="宋体" w:eastAsia="宋体" w:cs="宋体"/>
          <w:sz w:val="21"/>
          <w:szCs w:val="21"/>
          <w:highlight w:val="none"/>
          <w:shd w:val="clear" w:color="auto" w:fill="ffffff"/>
          <w:lang w:eastAsia="zh-CN"/>
        </w:rPr>
      </w:r>
      <w:r/>
    </w:p>
    <w:p>
      <w:pPr>
        <w:pStyle w:val="785"/>
        <w:ind w:firstLine="420"/>
        <w:keepLines w:val="0"/>
        <w:keepNext w:val="0"/>
        <w:pageBreakBefore w:val="0"/>
        <w:spacing w:beforeAutospacing="0" w:afterAutospacing="0" w:line="324"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3.采购方式：</w:t>
      </w:r>
      <w:r>
        <w:rPr>
          <w:rFonts w:hint="eastAsia" w:ascii="宋体" w:hAnsi="宋体" w:eastAsia="宋体" w:cs="宋体"/>
          <w:sz w:val="21"/>
          <w:szCs w:val="21"/>
          <w:highlight w:val="none"/>
          <w:u w:val="none"/>
          <w:shd w:val="clear" w:color="auto" w:fill="ffffff"/>
          <w:lang w:val="en-US" w:eastAsia="zh-CN"/>
        </w:rPr>
        <w:t xml:space="preserve">竞争性磋商</w:t>
      </w:r>
      <w:r>
        <w:rPr>
          <w:rFonts w:hint="eastAsia" w:ascii="宋体" w:hAnsi="宋体" w:eastAsia="宋体" w:cs="宋体"/>
          <w:sz w:val="21"/>
          <w:szCs w:val="21"/>
          <w:highlight w:val="none"/>
          <w:shd w:val="clear" w:color="auto" w:fill="ffffff"/>
        </w:rPr>
      </w:r>
      <w:r/>
    </w:p>
    <w:p>
      <w:pPr>
        <w:pStyle w:val="785"/>
        <w:ind w:firstLine="420"/>
        <w:keepLines w:val="0"/>
        <w:keepNext w:val="0"/>
        <w:pageBreakBefore w:val="0"/>
        <w:spacing w:beforeAutospacing="0" w:afterAutospacing="0" w:line="324"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4.预算金额：</w:t>
      </w:r>
      <w:r>
        <w:rPr>
          <w:rFonts w:hint="eastAsia"/>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181.178651万</w:t>
      </w:r>
      <w:r>
        <w:rPr>
          <w:rFonts w:hint="eastAsia"/>
          <w:sz w:val="21"/>
          <w:szCs w:val="21"/>
          <w:highlight w:val="none"/>
          <w:u w:val="single"/>
          <w:shd w:val="clear" w:color="auto" w:fill="ffffff"/>
        </w:rPr>
        <w:t xml:space="preserve">元；</w:t>
      </w:r>
      <w:r>
        <w:rPr>
          <w:rFonts w:hint="eastAsia"/>
          <w:sz w:val="21"/>
          <w:szCs w:val="21"/>
          <w:highlight w:val="none"/>
          <w:shd w:val="clear" w:color="auto" w:fill="ffffff"/>
        </w:rPr>
        <w:t xml:space="preserve">项目最高限价：</w:t>
      </w:r>
      <w:r>
        <w:rPr>
          <w:rFonts w:hint="eastAsia"/>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144.942698万</w:t>
      </w:r>
      <w:r>
        <w:rPr>
          <w:rFonts w:hint="eastAsia"/>
          <w:sz w:val="21"/>
          <w:szCs w:val="21"/>
          <w:highlight w:val="none"/>
          <w:u w:val="single"/>
          <w:shd w:val="clear" w:color="auto" w:fill="ffffff"/>
        </w:rPr>
        <w:t xml:space="preserve">元；</w:t>
      </w:r>
      <w:r>
        <w:rPr>
          <w:sz w:val="21"/>
          <w:szCs w:val="21"/>
          <w:highlight w:val="none"/>
          <w:shd w:val="clear" w:color="auto" w:fill="ffffff"/>
        </w:rPr>
      </w:r>
      <w:r/>
    </w:p>
    <w:p>
      <w:pPr>
        <w:pStyle w:val="723"/>
        <w:ind w:firstLine="420"/>
        <w:keepLines w:val="0"/>
        <w:keepNext w:val="0"/>
        <w:pageBreakBefore w:val="0"/>
        <w:spacing w:line="324"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5.采购需求：</w:t>
      </w:r>
      <w:r>
        <w:rPr>
          <w:rFonts w:hint="eastAsia" w:ascii="宋体" w:hAnsi="宋体" w:eastAsia="宋体" w:cs="宋体"/>
          <w:b w:val="0"/>
          <w:bCs w:val="0"/>
          <w:sz w:val="21"/>
          <w:szCs w:val="21"/>
          <w:highlight w:val="none"/>
          <w:shd w:val="clear" w:color="auto" w:fill="ffffff"/>
          <w:lang w:val="en-US" w:eastAsia="zh-CN"/>
        </w:rPr>
        <w:t xml:space="preserve">本项目为戴埠镇沙河水库溢洪河两侧恢复林业生产条件和恢复植被项目，实施地点为溧阳市戴埠镇沙河水库溢洪河两侧,涉及13个恢复小班，14个森林督察图斑，恢复总面积10.7194 公顷。因沙河水库溢洪河抢险工程施工，原有林地遭到扰动破坏，依据《森林法》及林地恢复相关管理要求，实施恢复林业生产条件和植被恢复工程，实现区域水土保持、水源涵养，修复河岸林地生态。具体要求详见采购文件。</w:t>
      </w:r>
      <w:r>
        <w:rPr>
          <w:rFonts w:hint="eastAsia" w:ascii="宋体" w:hAnsi="宋体" w:cs="宋体"/>
          <w:szCs w:val="21"/>
          <w:highlight w:val="none"/>
          <w:shd w:val="clear" w:color="auto" w:fill="ffffff"/>
        </w:rPr>
      </w:r>
      <w:r/>
    </w:p>
    <w:p>
      <w:pPr>
        <w:pStyle w:val="723"/>
        <w:contextualSpacing/>
        <w:ind w:firstLine="420"/>
        <w:keepLines w:val="0"/>
        <w:keepNext w:val="0"/>
        <w:pageBreakBefore w:val="0"/>
        <w:spacing w:line="324" w:lineRule="auto"/>
        <w:rPr>
          <w:rFonts w:ascii="宋体" w:hAnsi="宋体" w:eastAsia="宋体" w:cs="宋体"/>
          <w:szCs w:val="21"/>
          <w:highlight w:val="none"/>
          <w:shd w:val="clear" w:color="auto" w:fill="ffffff"/>
          <w:lang w:val="en-US" w:eastAsia="zh-CN"/>
        </w:rPr>
      </w:pPr>
      <w:r>
        <w:rPr>
          <w:rFonts w:hint="eastAsia" w:ascii="宋体" w:hAnsi="宋体" w:cs="宋体"/>
          <w:szCs w:val="21"/>
          <w:highlight w:val="none"/>
          <w:shd w:val="clear" w:color="auto" w:fill="ffffff"/>
        </w:rPr>
        <w:t xml:space="preserve">6.合同履行期</w:t>
      </w:r>
      <w:r>
        <w:rPr>
          <w:rFonts w:hint="eastAsia" w:ascii="宋体" w:hAnsi="宋体" w:cs="宋体"/>
          <w:szCs w:val="21"/>
          <w:highlight w:val="none"/>
          <w:shd w:val="clear" w:color="auto" w:fill="ffffff"/>
          <w:lang w:eastAsia="zh-CN"/>
        </w:rPr>
        <w:t xml:space="preserve">限：</w:t>
      </w:r>
      <w:r>
        <w:rPr>
          <w:rFonts w:hint="eastAsia" w:ascii="宋体" w:hAnsi="宋体" w:cs="宋体"/>
          <w:szCs w:val="21"/>
          <w:highlight w:val="none"/>
          <w:shd w:val="clear" w:color="auto" w:fill="ffffff"/>
          <w:lang w:val="en-US" w:eastAsia="zh-CN"/>
        </w:rPr>
        <w:t xml:space="preserve">60日历天 </w:t>
      </w:r>
      <w:r>
        <w:rPr>
          <w:rFonts w:ascii="宋体" w:hAnsi="宋体" w:eastAsia="宋体" w:cs="宋体"/>
          <w:szCs w:val="21"/>
          <w:highlight w:val="none"/>
          <w:shd w:val="clear" w:color="auto" w:fill="ffffff"/>
          <w:lang w:val="en-US" w:eastAsia="zh-CN"/>
        </w:rPr>
      </w:r>
      <w:r/>
    </w:p>
    <w:p>
      <w:pPr>
        <w:pStyle w:val="723"/>
        <w:ind w:firstLine="420"/>
        <w:keepLines w:val="0"/>
        <w:keepNext w:val="0"/>
        <w:pageBreakBefore w:val="0"/>
        <w:spacing w:line="324"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7.本项目是否接</w:t>
      </w:r>
      <w:r>
        <w:rPr>
          <w:rFonts w:hint="eastAsia" w:ascii="宋体" w:hAnsi="宋体" w:cs="宋体"/>
          <w:szCs w:val="21"/>
          <w:highlight w:val="none"/>
          <w:shd w:val="clear" w:color="auto" w:fill="ffffff"/>
        </w:rPr>
        <w:t xml:space="preserve">受联合体：□是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否。</w:t>
      </w:r>
      <w:r>
        <w:rPr>
          <w:rFonts w:ascii="宋体" w:hAnsi="宋体" w:cs="宋体"/>
          <w:szCs w:val="21"/>
          <w:highlight w:val="none"/>
          <w:shd w:val="clear" w:color="auto" w:fill="ffffff"/>
        </w:rPr>
      </w:r>
      <w:r/>
    </w:p>
    <w:p>
      <w:pPr>
        <w:pStyle w:val="785"/>
        <w:keepLines w:val="0"/>
        <w:keepNext w:val="0"/>
        <w:pageBreakBefore w:val="0"/>
        <w:spacing w:beforeAutospacing="0" w:afterAutospacing="0" w:line="324" w:lineRule="auto"/>
        <w:shd w:val="clear" w:color="auto" w:fill="ffffff"/>
        <w:rPr>
          <w:rStyle w:val="797"/>
          <w:sz w:val="21"/>
          <w:szCs w:val="21"/>
          <w:shd w:val="clear" w:color="auto" w:fill="ffffff"/>
        </w:rPr>
      </w:pPr>
      <w:r>
        <w:rPr>
          <w:rStyle w:val="797"/>
          <w:rFonts w:hint="eastAsia"/>
          <w:sz w:val="21"/>
          <w:szCs w:val="21"/>
          <w:shd w:val="clear" w:color="auto" w:fill="ffffff"/>
        </w:rPr>
        <w:t xml:space="preserve">二、申请人的资格要求：</w:t>
      </w:r>
      <w:r>
        <w:rPr>
          <w:rStyle w:val="797"/>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sz w:val="21"/>
          <w:szCs w:val="21"/>
          <w:shd w:val="clear" w:color="auto" w:fill="ffffff"/>
        </w:rPr>
      </w:pPr>
      <w:r>
        <w:rPr>
          <w:rFonts w:hint="eastAsia"/>
          <w:sz w:val="21"/>
          <w:szCs w:val="21"/>
          <w:shd w:val="clear" w:color="auto" w:fill="ffffff"/>
        </w:rPr>
        <w:t xml:space="preserve">1.满足《中华人民共和国政府采购法》第二十二条规定以及下列情形；</w:t>
      </w:r>
      <w:r>
        <w:rPr>
          <w:sz w:val="21"/>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1.1未被“信用中国”网站或“中国政府采购网”网站列入失信被执行人、重大税收违法案件当事人名单、政府采购严重失信行为记录名单；</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2.落</w:t>
      </w:r>
      <w:r>
        <w:rPr>
          <w:rFonts w:hint="eastAsia" w:ascii="宋体" w:hAnsi="宋体" w:cs="宋体"/>
          <w:szCs w:val="21"/>
          <w:shd w:val="clear" w:color="auto" w:fill="ffffff"/>
        </w:rPr>
        <w:t xml:space="preserve">实政府采购政策</w:t>
      </w:r>
      <w:r>
        <w:rPr>
          <w:rFonts w:hint="eastAsia" w:ascii="宋体" w:hAnsi="宋体" w:cs="宋体"/>
          <w:szCs w:val="21"/>
          <w:shd w:val="clear" w:color="auto" w:fill="ffffff"/>
        </w:rPr>
        <w:t xml:space="preserve">需满足的资格要求：</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2.1 中小企业政策</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□本项目不专门面向中小企业预留采购份额。</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highlight w:val="none"/>
          <w:shd w:val="clear" w:color="auto" w:fill="ffffff"/>
        </w:rPr>
      </w:pP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小微企业</w:t>
      </w:r>
      <w:r>
        <w:rPr>
          <w:rFonts w:hint="eastAsia" w:ascii="宋体" w:hAnsi="宋体" w:cs="宋体"/>
          <w:szCs w:val="21"/>
          <w:highlight w:val="none"/>
          <w:shd w:val="clear" w:color="auto" w:fill="ffffff"/>
          <w:lang w:val="en-US" w:eastAsia="zh-CN"/>
        </w:rPr>
        <w:t xml:space="preserve">  </w:t>
      </w:r>
      <w:r>
        <w:rPr>
          <w:rFonts w:hint="eastAsia" w:ascii="宋体" w:hAnsi="宋体" w:cs="宋体"/>
          <w:szCs w:val="21"/>
          <w:highlight w:val="none"/>
          <w:shd w:val="clear" w:color="auto" w:fill="ffffff"/>
        </w:rPr>
        <w:t xml:space="preserve">采购。即：工程全部由符合政策要求的中小/小微企业承建。</w:t>
      </w:r>
      <w:r>
        <w:rPr>
          <w:rFonts w:hint="eastAsia" w:ascii="宋体" w:hAnsi="宋体" w:cs="宋体"/>
          <w:szCs w:val="21"/>
          <w:highlight w:val="none"/>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lang w:eastAsia="zh-CN"/>
        </w:rPr>
        <w:t xml:space="preserve">□</w:t>
      </w:r>
      <w:r>
        <w:rPr>
          <w:rFonts w:hint="eastAsia" w:ascii="宋体" w:hAnsi="宋体" w:cs="宋体"/>
          <w:szCs w:val="21"/>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本项目预留部分采购项目预算专门面向中小企业采购。对于预留份额，提供的货物由符合政策要求的中小企业制造、服务由符合政策要求的中小企业承接。预留份额通过以下措施进行：___/__。</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2.2 其它落实政府采购政策的资格要求（如有）：___/___。</w:t>
      </w:r>
      <w:r>
        <w:rPr>
          <w:rFonts w:hint="eastAsia" w:ascii="宋体" w:hAnsi="宋体" w:cs="宋体"/>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rFonts w:hint="eastAsia"/>
          <w:sz w:val="21"/>
          <w:szCs w:val="21"/>
          <w:shd w:val="clear" w:color="auto" w:fill="ffffff"/>
        </w:rPr>
      </w:pPr>
      <w:r>
        <w:rPr>
          <w:rFonts w:hint="eastAsia"/>
          <w:sz w:val="21"/>
          <w:szCs w:val="21"/>
          <w:shd w:val="clear" w:color="auto" w:fill="ffffff"/>
        </w:rPr>
        <w:t xml:space="preserve">3.本项目的特定资格要求：</w:t>
      </w:r>
      <w:r>
        <w:rPr>
          <w:rFonts w:hint="eastAsia"/>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rFonts w:hint="eastAsia"/>
          <w:sz w:val="21"/>
          <w:szCs w:val="21"/>
          <w:shd w:val="clear" w:color="auto" w:fill="ffffff"/>
        </w:rPr>
      </w:pPr>
      <w:r>
        <w:rPr>
          <w:rFonts w:hint="eastAsia"/>
          <w:sz w:val="21"/>
          <w:szCs w:val="21"/>
          <w:shd w:val="clear" w:color="auto" w:fill="ffffff"/>
        </w:rPr>
        <w:t xml:space="preserve">3.1本项目是否接受分支机构参与响应：□是   </w:t>
      </w:r>
      <w:r>
        <w:rPr>
          <w:rFonts w:hint="eastAsia"/>
          <w:sz w:val="21"/>
          <w:szCs w:val="21"/>
        </w:rPr>
        <w:t xml:space="preserve">■</w:t>
      </w:r>
      <w:r>
        <w:rPr>
          <w:rFonts w:hint="eastAsia"/>
          <w:sz w:val="21"/>
          <w:szCs w:val="21"/>
          <w:shd w:val="clear" w:color="auto" w:fill="ffffff"/>
        </w:rPr>
        <w:t xml:space="preserve">否；</w:t>
      </w:r>
      <w:r>
        <w:rPr>
          <w:rFonts w:hint="eastAsia"/>
          <w:sz w:val="21"/>
          <w:szCs w:val="21"/>
          <w:shd w:val="clear" w:color="auto" w:fill="ffffff"/>
        </w:rPr>
      </w:r>
      <w:r/>
    </w:p>
    <w:p>
      <w:pPr>
        <w:pStyle w:val="723"/>
        <w:ind w:firstLine="420"/>
        <w:keepLines w:val="0"/>
        <w:keepNext w:val="0"/>
        <w:pageBreakBefore w:val="0"/>
        <w:spacing w:line="324" w:lineRule="auto"/>
        <w:tabs>
          <w:tab w:val="left" w:pos="900" w:leader="none"/>
          <w:tab w:val="left" w:pos="1134" w:leader="none"/>
          <w:tab w:val="left" w:pos="1589" w:leader="none"/>
          <w:tab w:val="left" w:pos="5521"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3.2 本项目是否属于政府购买服务：</w:t>
      </w:r>
      <w:r>
        <w:rPr>
          <w:rFonts w:hint="eastAsia" w:ascii="宋体" w:hAnsi="宋体" w:cs="宋体"/>
          <w:szCs w:val="21"/>
          <w:shd w:val="clear" w:color="auto" w:fill="ffffff"/>
        </w:rPr>
      </w:r>
      <w:r/>
    </w:p>
    <w:p>
      <w:pPr>
        <w:pStyle w:val="723"/>
        <w:ind w:left="991" w:firstLine="2"/>
        <w:keepLines w:val="0"/>
        <w:keepNext w:val="0"/>
        <w:pageBreakBefore w:val="0"/>
        <w:spacing w:line="324" w:lineRule="auto"/>
        <w:tabs>
          <w:tab w:val="left" w:pos="900" w:leader="none"/>
          <w:tab w:val="left" w:pos="1134" w:leader="none"/>
          <w:tab w:val="left" w:pos="1589" w:leader="none"/>
          <w:tab w:val="left" w:pos="5521" w:leader="none"/>
        </w:tabs>
        <w:rPr>
          <w:rFonts w:hint="eastAsia" w:ascii="宋体" w:hAnsi="宋体" w:cs="宋体"/>
          <w:szCs w:val="21"/>
          <w:shd w:val="clear" w:color="auto" w:fill="ffffff"/>
        </w:rPr>
      </w:pPr>
      <w:r>
        <w:rPr>
          <w:rFonts w:hint="eastAsia" w:ascii="宋体" w:hAnsi="宋体" w:cs="宋体"/>
          <w:szCs w:val="21"/>
        </w:rPr>
        <w:t xml:space="preserve">■</w:t>
      </w:r>
      <w:r>
        <w:rPr>
          <w:rFonts w:hint="eastAsia" w:ascii="宋体" w:hAnsi="宋体" w:cs="宋体"/>
          <w:szCs w:val="21"/>
          <w:shd w:val="clear" w:color="auto" w:fill="ffffff"/>
        </w:rPr>
        <w:t xml:space="preserve">否</w:t>
      </w:r>
      <w:r>
        <w:rPr>
          <w:rFonts w:hint="eastAsia" w:ascii="宋体" w:hAnsi="宋体" w:cs="宋体"/>
          <w:szCs w:val="21"/>
          <w:shd w:val="clear" w:color="auto" w:fill="ffffff"/>
        </w:rPr>
      </w:r>
      <w:r/>
    </w:p>
    <w:p>
      <w:pPr>
        <w:pStyle w:val="723"/>
        <w:ind w:left="991" w:firstLine="2"/>
        <w:keepLines w:val="0"/>
        <w:keepNext w:val="0"/>
        <w:pageBreakBefore w:val="0"/>
        <w:spacing w:line="324" w:lineRule="auto"/>
        <w:tabs>
          <w:tab w:val="left" w:pos="900" w:leader="none"/>
          <w:tab w:val="left" w:pos="1134" w:leader="none"/>
          <w:tab w:val="left" w:pos="1589" w:leader="none"/>
          <w:tab w:val="left" w:pos="5521" w:leader="none"/>
        </w:tabs>
        <w:rPr>
          <w:rFonts w:hint="eastAsia" w:ascii="宋体" w:hAnsi="宋体" w:cs="宋体"/>
          <w:szCs w:val="21"/>
          <w:shd w:val="clear" w:color="auto" w:fill="ffffff"/>
        </w:rPr>
      </w:pPr>
      <w:r>
        <w:rPr>
          <w:rFonts w:hint="eastAsia" w:ascii="宋体" w:hAnsi="宋体" w:cs="宋体"/>
          <w:szCs w:val="21"/>
          <w:shd w:val="clear" w:color="auto" w:fill="ffffff"/>
          <w:lang w:eastAsia="zh-CN"/>
        </w:rPr>
        <w:t xml:space="preserve">□</w:t>
      </w:r>
      <w:r>
        <w:rPr>
          <w:rFonts w:hint="eastAsia" w:ascii="宋体" w:hAnsi="宋体" w:cs="宋体"/>
          <w:szCs w:val="21"/>
          <w:shd w:val="clear" w:color="auto" w:fill="ffffff"/>
        </w:rPr>
        <w:t xml:space="preserve">是，公益一类事业单位、使用事业编制且由财政拨款保障的群团组织，不得作为承接主体；</w:t>
      </w:r>
      <w:r>
        <w:rPr>
          <w:rFonts w:hint="eastAsia" w:ascii="宋体" w:hAnsi="宋体" w:cs="宋体"/>
          <w:szCs w:val="21"/>
          <w:shd w:val="clear" w:color="auto" w:fill="ffffff"/>
        </w:rPr>
      </w:r>
      <w:r/>
    </w:p>
    <w:p>
      <w:pPr>
        <w:pStyle w:val="723"/>
        <w:ind w:firstLine="420"/>
        <w:keepLines w:val="0"/>
        <w:keepNext w:val="0"/>
        <w:pageBreakBefore w:val="0"/>
        <w:spacing w:line="324" w:lineRule="auto"/>
        <w:rPr>
          <w:rFonts w:hint="eastAsia" w:ascii="宋体" w:hAnsi="宋体" w:cs="宋体"/>
          <w:szCs w:val="21"/>
          <w:highlight w:val="none"/>
          <w:shd w:val="clear" w:color="auto" w:fill="ffffff"/>
        </w:rPr>
      </w:pPr>
      <w:r>
        <w:rPr>
          <w:rFonts w:hint="eastAsia" w:ascii="宋体" w:hAnsi="宋体" w:cs="宋体"/>
          <w:szCs w:val="21"/>
          <w:shd w:val="clear" w:color="auto" w:fill="ffffff"/>
        </w:rPr>
        <w:t xml:space="preserve">3.</w:t>
      </w:r>
      <w:r>
        <w:rPr>
          <w:rFonts w:hint="eastAsia" w:ascii="宋体" w:hAnsi="宋体" w:cs="宋体"/>
          <w:szCs w:val="21"/>
          <w:highlight w:val="none"/>
          <w:shd w:val="clear" w:color="auto" w:fill="ffffff"/>
        </w:rPr>
        <w:t xml:space="preserve">3其他特定资格要求：</w:t>
      </w:r>
      <w:r>
        <w:rPr>
          <w:rFonts w:hint="eastAsia" w:ascii="宋体" w:hAnsi="宋体" w:cs="宋体"/>
          <w:szCs w:val="21"/>
          <w:highlight w:val="none"/>
          <w:shd w:val="clear" w:color="auto" w:fill="ffffff"/>
        </w:rPr>
      </w:r>
      <w:r/>
    </w:p>
    <w:p>
      <w:pPr>
        <w:pStyle w:val="723"/>
        <w:ind w:firstLine="420"/>
        <w:keepLines w:val="0"/>
        <w:keepNext w:val="0"/>
        <w:pageBreakBefore w:val="0"/>
        <w:spacing w:line="324" w:lineRule="auto"/>
        <w:rPr>
          <w:rFonts w:hint="eastAsia" w:ascii="宋体" w:hAnsi="宋体" w:eastAsia="宋体" w:cs="宋体"/>
          <w:sz w:val="21"/>
          <w:szCs w:val="21"/>
          <w:highlight w:val="none"/>
          <w:shd w:val="clear" w:color="auto" w:fill="ffffff"/>
          <w:lang w:val="zh-TW" w:eastAsia="zh-CN" w:bidi="ar-SA"/>
        </w:rPr>
      </w:pPr>
      <w:r>
        <w:rPr>
          <w:rFonts w:hint="eastAsia" w:ascii="宋体" w:hAnsi="宋体" w:eastAsia="宋体" w:cs="宋体"/>
          <w:sz w:val="21"/>
          <w:szCs w:val="21"/>
          <w:highlight w:val="none"/>
          <w:shd w:val="clear" w:color="auto" w:fill="ffffff"/>
          <w:lang w:val="en-US" w:eastAsia="zh-CN" w:bidi="ar-SA"/>
        </w:rPr>
        <w:t xml:space="preserve">3.3.1供应商</w:t>
      </w:r>
      <w:r>
        <w:rPr>
          <w:rFonts w:hint="eastAsia" w:ascii="宋体" w:hAnsi="宋体" w:eastAsia="宋体" w:cs="宋体"/>
          <w:sz w:val="21"/>
          <w:szCs w:val="21"/>
          <w:highlight w:val="none"/>
          <w:shd w:val="clear" w:color="auto" w:fill="ffffff"/>
          <w:lang w:val="zh-TW" w:eastAsia="zh-CN" w:bidi="ar-SA"/>
        </w:rPr>
        <w:t xml:space="preserve">拟派项目负责人须具备林业或园林绿化专业中级（含）以上工程师职称，并承诺投标截止时未在其他项目担任项目负责人岗位（提供加盖单位公章的项目负责人无在建岗位承诺书（格式自拟））；如职称证书未反映林业或园林绿化相关专业，须提供林业或园林绿化专业毕业证书或者职称评审表佐证。</w:t>
      </w:r>
      <w:r>
        <w:rPr>
          <w:rFonts w:hint="eastAsia" w:ascii="宋体" w:hAnsi="宋体" w:eastAsia="宋体" w:cs="宋体"/>
          <w:sz w:val="21"/>
          <w:szCs w:val="21"/>
          <w:highlight w:val="none"/>
          <w:shd w:val="clear" w:color="auto" w:fill="ffffff"/>
          <w:lang w:val="zh-TW" w:eastAsia="zh-CN" w:bidi="ar-SA"/>
        </w:rPr>
      </w:r>
      <w:r/>
    </w:p>
    <w:p>
      <w:pPr>
        <w:pStyle w:val="723"/>
        <w:ind w:firstLine="420"/>
        <w:keepLines w:val="0"/>
        <w:keepNext w:val="0"/>
        <w:pageBreakBefore w:val="0"/>
        <w:spacing w:line="324" w:lineRule="auto"/>
        <w:rPr>
          <w:rFonts w:hint="eastAsia" w:ascii="宋体" w:hAnsi="宋体" w:eastAsia="宋体" w:cs="宋体"/>
          <w:sz w:val="21"/>
          <w:szCs w:val="21"/>
          <w:highlight w:val="none"/>
          <w:shd w:val="clear" w:color="auto" w:fill="ffffff"/>
          <w:lang w:val="zh-TW" w:eastAsia="zh-CN" w:bidi="ar-SA"/>
        </w:rPr>
      </w:pPr>
      <w:r>
        <w:rPr>
          <w:rFonts w:hint="eastAsia" w:ascii="宋体" w:hAnsi="宋体" w:eastAsia="宋体" w:cs="宋体"/>
          <w:sz w:val="21"/>
          <w:szCs w:val="21"/>
          <w:highlight w:val="none"/>
          <w:shd w:val="clear" w:color="auto" w:fill="ffffff"/>
          <w:lang w:val="en-US" w:eastAsia="zh-CN" w:bidi="ar-SA"/>
        </w:rPr>
        <w:t xml:space="preserve">3.3.2</w:t>
      </w:r>
      <w:r>
        <w:rPr>
          <w:rFonts w:hint="eastAsia" w:ascii="宋体" w:hAnsi="宋体" w:eastAsia="宋体" w:cs="宋体"/>
          <w:sz w:val="21"/>
          <w:szCs w:val="21"/>
          <w:highlight w:val="none"/>
          <w:shd w:val="clear" w:color="auto" w:fill="ffffff"/>
          <w:lang w:val="zh-TW" w:eastAsia="zh-CN" w:bidi="ar-SA"/>
        </w:rPr>
        <w:t xml:space="preserve">项目负责人须为供应商在职人员，提供供应商近</w:t>
      </w:r>
      <w:r>
        <w:rPr>
          <w:rFonts w:hint="eastAsia" w:ascii="宋体" w:hAnsi="宋体" w:eastAsia="宋体" w:cs="宋体"/>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shd w:val="clear" w:color="auto" w:fill="ffffff"/>
          <w:lang w:val="zh-TW" w:eastAsia="zh-CN" w:bidi="ar-SA"/>
        </w:rPr>
        <w:t xml:space="preserve">个月为其缴纳的社保证明。</w:t>
      </w:r>
      <w:r>
        <w:rPr>
          <w:rFonts w:hint="eastAsia" w:ascii="宋体" w:hAnsi="宋体" w:eastAsia="宋体" w:cs="宋体"/>
          <w:sz w:val="21"/>
          <w:szCs w:val="21"/>
          <w:highlight w:val="none"/>
          <w:shd w:val="clear" w:color="auto" w:fill="ffffff"/>
          <w:lang w:val="zh-TW" w:eastAsia="zh-CN" w:bidi="ar-SA"/>
        </w:rPr>
      </w:r>
      <w:r/>
    </w:p>
    <w:p>
      <w:pPr>
        <w:pStyle w:val="785"/>
        <w:numPr>
          <w:ilvl w:val="0"/>
          <w:numId w:val="0"/>
        </w:numPr>
        <w:keepLines w:val="0"/>
        <w:keepNext w:val="0"/>
        <w:pageBreakBefore w:val="0"/>
        <w:spacing w:beforeAutospacing="0" w:afterAutospacing="0" w:line="324" w:lineRule="auto"/>
        <w:shd w:val="clear" w:color="auto" w:fill="ffffff"/>
        <w:rPr>
          <w:rStyle w:val="797"/>
          <w:sz w:val="21"/>
          <w:szCs w:val="21"/>
          <w:highlight w:val="none"/>
          <w:shd w:val="clear" w:color="auto" w:fill="ffffff"/>
        </w:rPr>
      </w:pPr>
      <w:r>
        <w:rPr>
          <w:rStyle w:val="797"/>
          <w:rFonts w:hint="eastAsia"/>
          <w:sz w:val="21"/>
          <w:szCs w:val="21"/>
          <w:shd w:val="clear" w:color="auto" w:fill="ffffff"/>
        </w:rPr>
        <w:t xml:space="preserve">三、获</w:t>
      </w:r>
      <w:r>
        <w:rPr>
          <w:rStyle w:val="797"/>
          <w:rFonts w:hint="eastAsia"/>
          <w:sz w:val="21"/>
          <w:szCs w:val="21"/>
          <w:highlight w:val="none"/>
          <w:shd w:val="clear" w:color="auto" w:fill="ffffff"/>
        </w:rPr>
        <w:t xml:space="preserve">取采购文件</w:t>
      </w:r>
      <w:r>
        <w:rPr>
          <w:rStyle w:val="797"/>
          <w:sz w:val="21"/>
          <w:szCs w:val="21"/>
          <w:highlight w:val="none"/>
          <w:shd w:val="clear" w:color="auto" w:fill="ffffff"/>
        </w:rPr>
      </w:r>
      <w:r/>
    </w:p>
    <w:p>
      <w:pPr>
        <w:pStyle w:val="785"/>
        <w:ind w:firstLine="420"/>
        <w:keepLines w:val="0"/>
        <w:keepNext w:val="0"/>
        <w:pageBreakBefore w:val="0"/>
        <w:spacing w:beforeAutospacing="0" w:afterAutospacing="0" w:line="324" w:lineRule="auto"/>
        <w:shd w:val="clear" w:color="auto" w:fill="ffffff"/>
        <w:rPr>
          <w:sz w:val="21"/>
          <w:szCs w:val="21"/>
          <w:highlight w:val="none"/>
        </w:rPr>
      </w:pPr>
      <w:r>
        <w:rPr>
          <w:rFonts w:hint="eastAsia"/>
          <w:sz w:val="21"/>
          <w:szCs w:val="21"/>
          <w:highlight w:val="none"/>
          <w:shd w:val="clear" w:color="auto" w:fill="ffffff"/>
        </w:rPr>
        <w:t xml:space="preserve">1.时间</w:t>
      </w:r>
      <w:bookmarkStart w:id="7" w:name="XM_BMJSSR_3"/>
      <w:r/>
      <w:bookmarkEnd w:id="7"/>
      <w:r>
        <w:rPr>
          <w:rFonts w:hint="eastAsia"/>
          <w:sz w:val="21"/>
          <w:szCs w:val="21"/>
          <w:highlight w:val="none"/>
          <w:shd w:val="clear" w:color="auto" w:fill="ffffff"/>
        </w:rPr>
        <w:t xml:space="preserve">：</w:t>
      </w:r>
      <w:r>
        <w:rPr>
          <w:rFonts w:hint="eastAsia" w:ascii="宋体" w:hAnsi="宋体" w:eastAsia="宋体" w:cs="宋体"/>
          <w:sz w:val="21"/>
          <w:szCs w:val="21"/>
          <w:highlight w:val="none"/>
          <w:shd w:val="clear" w:color="auto" w:fill="ffffff"/>
        </w:rPr>
        <w:t xml:space="preserve">自磋商文件公告发布之日起5个工作日。</w:t>
      </w:r>
      <w:r>
        <w:rPr>
          <w:sz w:val="21"/>
          <w:szCs w:val="21"/>
          <w:highlight w:val="none"/>
        </w:rPr>
      </w:r>
      <w:r/>
    </w:p>
    <w:p>
      <w:pPr>
        <w:pStyle w:val="785"/>
        <w:ind w:firstLine="420"/>
        <w:keepLines w:val="0"/>
        <w:keepNext w:val="0"/>
        <w:pageBreakBefore w:val="0"/>
        <w:spacing w:beforeAutospacing="0" w:afterAutospacing="0" w:line="324" w:lineRule="auto"/>
        <w:shd w:val="clear" w:color="auto" w:fill="ffffff"/>
        <w:rPr>
          <w:sz w:val="21"/>
          <w:szCs w:val="21"/>
          <w:highlight w:val="none"/>
        </w:rPr>
      </w:pPr>
      <w:r>
        <w:rPr>
          <w:rFonts w:hint="eastAsia"/>
          <w:sz w:val="21"/>
          <w:szCs w:val="21"/>
          <w:highlight w:val="none"/>
        </w:rPr>
        <w:t xml:space="preserve">2.地点：“苏采云”政府采购一体化平台</w:t>
      </w:r>
      <w:r>
        <w:rPr>
          <w:sz w:val="21"/>
          <w:szCs w:val="21"/>
          <w:highlight w:val="none"/>
        </w:rPr>
      </w:r>
      <w:r/>
    </w:p>
    <w:p>
      <w:pPr>
        <w:pStyle w:val="723"/>
        <w:ind w:firstLine="420"/>
        <w:jc w:val="left"/>
        <w:keepLines w:val="0"/>
        <w:keepNext w:val="0"/>
        <w:pageBreakBefore w:val="0"/>
        <w:spacing w:line="324" w:lineRule="auto"/>
        <w:widowControl/>
        <w:rPr>
          <w:rFonts w:hint="eastAsia" w:ascii="宋体" w:hAnsi="宋体" w:cs="宋体"/>
          <w:szCs w:val="21"/>
          <w:highlight w:val="none"/>
        </w:rPr>
      </w:pPr>
      <w:r>
        <w:rPr>
          <w:rFonts w:hint="eastAsia" w:ascii="宋体" w:hAnsi="宋体" w:cs="宋体"/>
          <w:szCs w:val="21"/>
          <w:highlight w:val="none"/>
        </w:rPr>
        <w:t xml:space="preserve">3.方式：</w:t>
      </w:r>
      <w:r>
        <w:rPr>
          <w:rFonts w:hint="eastAsia" w:ascii="宋体" w:hAnsi="宋体" w:cs="宋体"/>
          <w:szCs w:val="21"/>
          <w:highlight w:val="none"/>
          <w:lang w:bidi="ar"/>
        </w:rPr>
        <w:t xml:space="preserve">供应商持CA数字认证证书登录“苏采云”政府采购一体化平台（http//jszfcg.jsczt.cn/jszc/login）获取电子版磋商文件。</w:t>
      </w:r>
      <w:r>
        <w:rPr>
          <w:rFonts w:hint="eastAsia" w:ascii="宋体" w:hAnsi="宋体" w:cs="宋体"/>
          <w:szCs w:val="21"/>
          <w:highlight w:val="none"/>
        </w:rPr>
      </w:r>
      <w:r/>
    </w:p>
    <w:p>
      <w:pPr>
        <w:pStyle w:val="723"/>
        <w:ind w:firstLine="420"/>
        <w:jc w:val="left"/>
        <w:keepLines w:val="0"/>
        <w:keepNext w:val="0"/>
        <w:pageBreakBefore w:val="0"/>
        <w:spacing w:line="324" w:lineRule="auto"/>
        <w:widowControl/>
        <w:rPr>
          <w:rFonts w:ascii="宋体" w:hAnsi="宋体" w:cs="宋体"/>
          <w:szCs w:val="21"/>
          <w:highlight w:val="none"/>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cs="宋体"/>
          <w:szCs w:val="21"/>
          <w:highlight w:val="none"/>
        </w:rPr>
      </w:r>
      <w:r/>
    </w:p>
    <w:p>
      <w:pPr>
        <w:pStyle w:val="723"/>
        <w:jc w:val="left"/>
        <w:keepLines w:val="0"/>
        <w:keepNext w:val="0"/>
        <w:pageBreakBefore w:val="0"/>
        <w:spacing w:line="324" w:lineRule="auto"/>
        <w:rPr>
          <w:rFonts w:hint="eastAsia" w:ascii="宋体" w:hAnsi="宋体" w:cs="宋体"/>
          <w:b/>
          <w:bCs/>
          <w:spacing w:val="2"/>
          <w:szCs w:val="21"/>
          <w:highlight w:val="yellow"/>
        </w:rPr>
      </w:pPr>
      <w:r>
        <w:rPr>
          <w:rStyle w:val="797"/>
          <w:rFonts w:hint="eastAsia" w:ascii="宋体" w:hAnsi="宋体" w:cs="宋体"/>
          <w:szCs w:val="21"/>
          <w:highlight w:val="none"/>
          <w:shd w:val="clear" w:color="auto" w:fill="ffffff"/>
        </w:rPr>
        <w:t xml:space="preserve">四、</w:t>
      </w:r>
      <w:r>
        <w:rPr>
          <w:rFonts w:hint="eastAsia" w:ascii="宋体" w:hAnsi="宋体" w:cs="宋体"/>
          <w:b/>
          <w:bCs/>
          <w:spacing w:val="2"/>
          <w:szCs w:val="21"/>
          <w:highlight w:val="none"/>
        </w:rPr>
        <w:t xml:space="preserve">响应文件提交</w:t>
      </w:r>
      <w:r>
        <w:rPr>
          <w:rFonts w:hint="eastAsia" w:ascii="宋体" w:hAnsi="宋体" w:cs="宋体"/>
          <w:b/>
          <w:bCs/>
          <w:spacing w:val="2"/>
          <w:szCs w:val="21"/>
          <w:highlight w:val="yellow"/>
        </w:rPr>
      </w:r>
      <w:r/>
    </w:p>
    <w:p>
      <w:pPr>
        <w:pStyle w:val="723"/>
        <w:ind w:left="280"/>
        <w:jc w:val="left"/>
        <w:keepLines w:val="0"/>
        <w:keepNext w:val="0"/>
        <w:pageBreakBefore w:val="0"/>
        <w:spacing w:line="324" w:lineRule="auto"/>
        <w:rPr>
          <w:rFonts w:ascii="宋体" w:hAnsi="宋体" w:cs="宋体"/>
          <w:spacing w:val="2"/>
          <w:szCs w:val="21"/>
          <w:highlight w:val="none"/>
        </w:rPr>
      </w:pPr>
      <w:r>
        <w:rPr>
          <w:rFonts w:hint="eastAsia" w:ascii="宋体" w:hAnsi="宋体" w:cs="宋体"/>
          <w:spacing w:val="2"/>
          <w:szCs w:val="21"/>
          <w:highlight w:val="none"/>
        </w:rPr>
        <w:t xml:space="preserve">截止时间：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9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21</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w:t>
      </w:r>
      <w:r>
        <w:rPr>
          <w:rFonts w:hint="eastAsia" w:ascii="宋体" w:hAnsi="宋体" w:eastAsia="宋体" w:cs="宋体"/>
          <w:spacing w:val="2"/>
          <w:szCs w:val="21"/>
          <w:highlight w:val="none"/>
          <w:u w:val="single"/>
          <w:lang w:val="en-US" w:eastAsia="zh-CN"/>
        </w:rPr>
        <w:t xml:space="preserve">00</w:t>
      </w:r>
      <w:r>
        <w:rPr>
          <w:rFonts w:hint="eastAsia" w:ascii="宋体" w:hAnsi="宋体" w:cs="宋体"/>
          <w:spacing w:val="2"/>
          <w:szCs w:val="21"/>
          <w:highlight w:val="none"/>
        </w:rPr>
        <w:t xml:space="preserve">分（北京时间）</w:t>
      </w:r>
      <w:r>
        <w:rPr>
          <w:rFonts w:ascii="宋体" w:hAnsi="宋体" w:cs="宋体"/>
          <w:spacing w:val="2"/>
          <w:szCs w:val="21"/>
          <w:highlight w:val="none"/>
        </w:rPr>
      </w:r>
      <w:r/>
    </w:p>
    <w:p>
      <w:pPr>
        <w:pStyle w:val="723"/>
        <w:ind w:left="280"/>
        <w:jc w:val="left"/>
        <w:keepLines w:val="0"/>
        <w:keepNext w:val="0"/>
        <w:pageBreakBefore w:val="0"/>
        <w:spacing w:line="324"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rPr>
          <w:rFonts w:hint="eastAsia" w:ascii="宋体" w:hAnsi="宋体" w:cs="宋体"/>
          <w:spacing w:val="2"/>
          <w:szCs w:val="21"/>
          <w:highlight w:val="none"/>
        </w:rPr>
      </w:r>
      <w:r/>
    </w:p>
    <w:p>
      <w:pPr>
        <w:pStyle w:val="723"/>
        <w:jc w:val="left"/>
        <w:keepLines w:val="0"/>
        <w:keepNext w:val="0"/>
        <w:pageBreakBefore w:val="0"/>
        <w:spacing w:line="324" w:lineRule="auto"/>
        <w:rPr>
          <w:rFonts w:hint="eastAsia" w:ascii="宋体" w:hAnsi="宋体" w:cs="宋体"/>
          <w:b/>
          <w:bCs/>
          <w:spacing w:val="2"/>
          <w:szCs w:val="21"/>
          <w:highlight w:val="none"/>
        </w:rPr>
      </w:pPr>
      <w:r>
        <w:rPr>
          <w:rStyle w:val="797"/>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rPr>
          <w:rFonts w:hint="eastAsia" w:ascii="宋体" w:hAnsi="宋体" w:cs="宋体"/>
          <w:b/>
          <w:bCs/>
          <w:spacing w:val="2"/>
          <w:szCs w:val="21"/>
          <w:highlight w:val="none"/>
        </w:rPr>
      </w:r>
      <w:r/>
    </w:p>
    <w:p>
      <w:pPr>
        <w:pStyle w:val="723"/>
        <w:ind w:left="280"/>
        <w:jc w:val="left"/>
        <w:keepLines w:val="0"/>
        <w:keepNext w:val="0"/>
        <w:pageBreakBefore w:val="0"/>
        <w:spacing w:line="324" w:lineRule="auto"/>
        <w:rPr>
          <w:rFonts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9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21</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w:t>
      </w:r>
      <w:r>
        <w:rPr>
          <w:rFonts w:hint="eastAsia" w:ascii="宋体" w:hAnsi="宋体" w:eastAsia="宋体" w:cs="宋体"/>
          <w:spacing w:val="2"/>
          <w:szCs w:val="21"/>
          <w:highlight w:val="none"/>
          <w:u w:val="single"/>
          <w:lang w:val="en-US" w:eastAsia="zh-CN"/>
        </w:rPr>
        <w:t xml:space="preserve">00</w:t>
      </w:r>
      <w:r>
        <w:rPr>
          <w:rFonts w:hint="eastAsia" w:ascii="宋体" w:hAnsi="宋体" w:cs="宋体"/>
          <w:spacing w:val="2"/>
          <w:szCs w:val="21"/>
          <w:highlight w:val="none"/>
        </w:rPr>
        <w:t xml:space="preserve">分</w:t>
      </w:r>
      <w:r>
        <w:rPr>
          <w:rFonts w:hint="eastAsia" w:ascii="宋体" w:hAnsi="宋体" w:cs="宋体"/>
          <w:spacing w:val="2"/>
          <w:szCs w:val="21"/>
          <w:highlight w:val="none"/>
        </w:rPr>
        <w:t xml:space="preserve">（北京时间）</w:t>
      </w:r>
      <w:r>
        <w:rPr>
          <w:rFonts w:ascii="宋体" w:hAnsi="宋体" w:cs="宋体"/>
          <w:spacing w:val="2"/>
          <w:szCs w:val="21"/>
          <w:highlight w:val="none"/>
        </w:rPr>
      </w:r>
      <w:r/>
    </w:p>
    <w:p>
      <w:pPr>
        <w:pStyle w:val="785"/>
        <w:ind w:firstLine="210"/>
        <w:keepLines w:val="0"/>
        <w:keepNext w:val="0"/>
        <w:pageBreakBefore w:val="0"/>
        <w:spacing w:beforeAutospacing="0" w:afterAutospacing="0" w:line="324" w:lineRule="auto"/>
        <w:shd w:val="clear" w:color="auto" w:fill="ffffff"/>
        <w:rPr>
          <w:rFonts w:hint="eastAsia"/>
          <w:sz w:val="21"/>
          <w:szCs w:val="21"/>
        </w:rPr>
      </w:pPr>
      <w:r>
        <w:rPr>
          <w:rFonts w:hint="eastAsia"/>
          <w:sz w:val="21"/>
          <w:szCs w:val="21"/>
        </w:rPr>
        <w:t xml:space="preserve">地点：</w:t>
      </w:r>
      <w:r>
        <w:rPr>
          <w:rFonts w:hint="eastAsia"/>
          <w:sz w:val="21"/>
          <w:szCs w:val="21"/>
          <w:u w:val="single"/>
        </w:rPr>
        <w:t xml:space="preserve">本项目采用不见面交易方式，无需到现场提交，供应商登录“苏采云”政府采购一体化平台供应商端，通过系统在线解密电子响应文件。</w:t>
      </w:r>
      <w:r>
        <w:rPr>
          <w:rFonts w:hint="eastAsia"/>
          <w:sz w:val="21"/>
          <w:szCs w:val="21"/>
        </w:rPr>
      </w:r>
      <w:r/>
    </w:p>
    <w:p>
      <w:pPr>
        <w:pStyle w:val="785"/>
        <w:keepLines w:val="0"/>
        <w:keepNext w:val="0"/>
        <w:pageBreakBefore w:val="0"/>
        <w:spacing w:beforeAutospacing="0" w:afterAutospacing="0" w:line="324" w:lineRule="auto"/>
        <w:shd w:val="clear" w:color="auto" w:fill="ffffff"/>
        <w:rPr>
          <w:rStyle w:val="797"/>
          <w:sz w:val="21"/>
          <w:szCs w:val="21"/>
          <w:shd w:val="clear" w:color="auto" w:fill="ffffff"/>
        </w:rPr>
      </w:pPr>
      <w:r>
        <w:rPr>
          <w:rStyle w:val="797"/>
          <w:rFonts w:hint="eastAsia"/>
          <w:sz w:val="21"/>
          <w:szCs w:val="21"/>
          <w:shd w:val="clear" w:color="auto" w:fill="ffffff"/>
        </w:rPr>
        <w:t xml:space="preserve">六、公告期限</w:t>
      </w:r>
      <w:r>
        <w:rPr>
          <w:rStyle w:val="797"/>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sz w:val="21"/>
          <w:szCs w:val="21"/>
          <w:shd w:val="clear" w:color="auto" w:fill="ffffff"/>
        </w:rPr>
      </w:pPr>
      <w:r>
        <w:rPr>
          <w:rFonts w:hint="eastAsia"/>
          <w:sz w:val="21"/>
          <w:szCs w:val="21"/>
          <w:shd w:val="clear" w:color="auto" w:fill="ffffff"/>
        </w:rPr>
        <w:t xml:space="preserve">自本公告发布之日起5个工作日。</w:t>
      </w:r>
      <w:r>
        <w:rPr>
          <w:sz w:val="21"/>
          <w:szCs w:val="21"/>
          <w:shd w:val="clear" w:color="auto" w:fill="ffffff"/>
        </w:rPr>
      </w:r>
      <w:r/>
    </w:p>
    <w:p>
      <w:pPr>
        <w:pStyle w:val="785"/>
        <w:keepLines w:val="0"/>
        <w:keepNext w:val="0"/>
        <w:pageBreakBefore w:val="0"/>
        <w:spacing w:beforeAutospacing="0" w:afterAutospacing="0" w:line="324" w:lineRule="auto"/>
        <w:shd w:val="clear" w:color="auto" w:fill="ffffff"/>
        <w:rPr>
          <w:rStyle w:val="797"/>
          <w:sz w:val="21"/>
          <w:szCs w:val="21"/>
          <w:shd w:val="clear" w:color="auto" w:fill="ffffff"/>
        </w:rPr>
      </w:pPr>
      <w:r>
        <w:rPr>
          <w:rStyle w:val="797"/>
          <w:rFonts w:hint="eastAsia"/>
          <w:sz w:val="21"/>
          <w:szCs w:val="21"/>
          <w:shd w:val="clear" w:color="auto" w:fill="ffffff"/>
        </w:rPr>
        <w:t xml:space="preserve">七、其他补充事宜</w:t>
      </w:r>
      <w:r>
        <w:rPr>
          <w:rStyle w:val="797"/>
          <w:sz w:val="21"/>
          <w:szCs w:val="21"/>
          <w:shd w:val="clear" w:color="auto" w:fill="ffffff"/>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1.本项目采用不见面交易方式，请供应商认真学习常州市政府采购网发布的相关操作手册，办理</w:t>
      </w:r>
      <w:r>
        <w:rPr>
          <w:rFonts w:hint="eastAsia" w:ascii="宋体" w:hAnsi="宋体" w:cs="宋体"/>
          <w:szCs w:val="21"/>
          <w:lang w:val="zh-TW" w:bidi="ar"/>
        </w:rPr>
      </w:r>
      <w:r/>
    </w:p>
    <w:p>
      <w:pPr>
        <w:pStyle w:val="723"/>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1.1办理CA认证证书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供应商登录常州市政府采购网“下载中心”-“苏采云”系统（供应商）操作手册下载相关操作手册、操作视频等，查阅后进行自助注册。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供应商登录常州市政府采购网“下载中心”-政府采购管理交易系统（苏采云）CA及签章控件驱动下载相关控件及客户端。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2.4获取电子磋商文件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供应商持CA数字认证证书登录“苏采云”政府采购一体化平台获取电子磋商文件。未在规定期限内通过“苏采云”政府采购一体化平台获取磋商文件的响应无效。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供应商使用CA认证证书登录“苏采云”政府采购一体化平台进行电子化不见面开标。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rPr>
          <w:rFonts w:hint="eastAsia" w:ascii="宋体" w:hAnsi="宋体" w:cs="宋体"/>
          <w:szCs w:val="21"/>
          <w:lang w:val="zh-TW" w:bidi="ar"/>
        </w:rPr>
      </w:r>
      <w:r/>
    </w:p>
    <w:p>
      <w:pPr>
        <w:pStyle w:val="723"/>
        <w:ind w:firstLine="480"/>
        <w:jc w:val="left"/>
        <w:keepLines w:val="0"/>
        <w:keepNext w:val="0"/>
        <w:pageBreakBefore w:val="0"/>
        <w:spacing w:line="324" w:lineRule="auto"/>
        <w:widowControl/>
        <w:rPr>
          <w:rFonts w:hint="eastAsia" w:ascii="宋体" w:hAnsi="宋体" w:cs="宋体"/>
          <w:szCs w:val="21"/>
          <w:lang w:val="zh-TW" w:bidi="ar"/>
        </w:rPr>
      </w:pPr>
      <w:r>
        <w:rPr>
          <w:rFonts w:hint="eastAsia" w:ascii="宋体" w:hAnsi="宋体" w:cs="宋体"/>
          <w:szCs w:val="21"/>
          <w:lang w:val="zh-TW" w:bidi="ar"/>
        </w:rPr>
        <w:t xml:space="preserve">2.关于常州市中小企业政府采购信用融资： </w:t>
      </w:r>
      <w:r>
        <w:rPr>
          <w:rFonts w:hint="eastAsia" w:ascii="宋体" w:hAnsi="宋体" w:cs="宋体"/>
          <w:szCs w:val="21"/>
          <w:lang w:val="zh-TW" w:bidi="ar"/>
        </w:rPr>
      </w:r>
      <w:r/>
    </w:p>
    <w:p>
      <w:pPr>
        <w:pStyle w:val="785"/>
        <w:keepLines w:val="0"/>
        <w:keepNext w:val="0"/>
        <w:pageBreakBefore w:val="0"/>
        <w:spacing w:beforeAutospacing="0" w:afterAutospacing="0" w:line="324" w:lineRule="auto"/>
        <w:shd w:val="clear" w:color="auto" w:fill="ffffff"/>
        <w:rPr>
          <w:rFonts w:hint="eastAsia"/>
          <w:sz w:val="21"/>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1"/>
          <w:szCs w:val="21"/>
          <w:lang w:val="zh-TW" w:bidi="ar"/>
        </w:rPr>
      </w:r>
      <w:r/>
    </w:p>
    <w:p>
      <w:pPr>
        <w:pStyle w:val="785"/>
        <w:keepLines w:val="0"/>
        <w:keepNext w:val="0"/>
        <w:pageBreakBefore w:val="0"/>
        <w:spacing w:beforeAutospacing="0" w:afterAutospacing="0" w:line="324" w:lineRule="auto"/>
        <w:shd w:val="clear" w:color="auto" w:fill="ffffff"/>
        <w:widowControl/>
        <w:rPr>
          <w:rFonts w:ascii="微软雅黑" w:hAnsi="微软雅黑" w:eastAsia="微软雅黑" w:cs="微软雅黑"/>
          <w:sz w:val="21"/>
          <w:szCs w:val="21"/>
        </w:rPr>
      </w:pPr>
      <w:r>
        <w:rPr>
          <w:rStyle w:val="797"/>
          <w:rFonts w:hint="eastAsia"/>
          <w:sz w:val="21"/>
          <w:szCs w:val="21"/>
          <w:shd w:val="clear" w:color="auto" w:fill="ffffff"/>
        </w:rPr>
        <w:t xml:space="preserve">八、凡对本次采购提出询问，请按以下方式联系。</w:t>
      </w:r>
      <w:r>
        <w:rPr>
          <w:rFonts w:ascii="微软雅黑" w:hAnsi="微软雅黑" w:eastAsia="微软雅黑" w:cs="微软雅黑"/>
          <w:sz w:val="21"/>
          <w:szCs w:val="21"/>
        </w:rPr>
      </w:r>
      <w:r/>
    </w:p>
    <w:p>
      <w:pPr>
        <w:pStyle w:val="785"/>
        <w:ind w:firstLine="420"/>
        <w:keepLines w:val="0"/>
        <w:keepNext w:val="0"/>
        <w:pageBreakBefore w:val="0"/>
        <w:spacing w:beforeAutospacing="0" w:afterAutospacing="0" w:line="324" w:lineRule="auto"/>
        <w:shd w:val="clear" w:color="auto" w:fill="ffffff"/>
        <w:widowControl/>
        <w:rPr>
          <w:sz w:val="21"/>
          <w:szCs w:val="21"/>
          <w:shd w:val="clear" w:color="auto" w:fill="ffffff"/>
        </w:rPr>
      </w:pPr>
      <w:r>
        <w:rPr>
          <w:rFonts w:hint="eastAsia"/>
          <w:sz w:val="21"/>
          <w:szCs w:val="21"/>
          <w:shd w:val="clear" w:color="auto" w:fill="ffffff"/>
        </w:rPr>
        <w:t xml:space="preserve">1.采购人信息</w:t>
      </w:r>
      <w:r>
        <w:rPr>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rFonts w:hint="eastAsia" w:eastAsia="宋体"/>
          <w:sz w:val="21"/>
          <w:szCs w:val="21"/>
          <w:u w:val="single"/>
          <w:shd w:val="clear" w:color="auto" w:fill="ffffff"/>
          <w:lang w:eastAsia="zh-CN"/>
        </w:rPr>
      </w:pPr>
      <w:r>
        <w:rPr>
          <w:rFonts w:hint="eastAsia"/>
          <w:sz w:val="21"/>
          <w:szCs w:val="21"/>
          <w:shd w:val="clear" w:color="auto" w:fill="ffffff"/>
        </w:rPr>
        <w:t xml:space="preserve">名 称：</w:t>
      </w:r>
      <w:r>
        <w:rPr>
          <w:rFonts w:hint="eastAsia"/>
          <w:sz w:val="21"/>
          <w:szCs w:val="21"/>
          <w:u w:val="single"/>
          <w:shd w:val="clear" w:color="auto" w:fill="ffffff"/>
          <w:lang w:eastAsia="zh-CN"/>
        </w:rPr>
        <w:t xml:space="preserve">溧阳市戴埠镇人民政府</w:t>
      </w:r>
      <w:r>
        <w:rPr>
          <w:rFonts w:hint="eastAsia" w:eastAsia="宋体"/>
          <w:sz w:val="21"/>
          <w:szCs w:val="21"/>
          <w:u w:val="single"/>
          <w:shd w:val="clear" w:color="auto" w:fill="ffffff"/>
          <w:lang w:eastAsia="zh-CN"/>
        </w:rPr>
      </w:r>
      <w:r/>
    </w:p>
    <w:p>
      <w:pPr>
        <w:pStyle w:val="785"/>
        <w:ind w:firstLine="420"/>
        <w:keepLines w:val="0"/>
        <w:keepNext w:val="0"/>
        <w:pageBreakBefore w:val="0"/>
        <w:spacing w:beforeAutospacing="0" w:afterAutospacing="0" w:line="324" w:lineRule="auto"/>
        <w:shd w:val="clear" w:color="auto" w:fill="ffffff"/>
        <w:rPr>
          <w:sz w:val="21"/>
          <w:szCs w:val="21"/>
          <w:highlight w:val="none"/>
          <w:u w:val="single"/>
          <w:shd w:val="clear" w:color="auto" w:fill="ffffff"/>
        </w:rPr>
      </w:pPr>
      <w:r>
        <w:rPr>
          <w:rFonts w:hint="eastAsia"/>
          <w:sz w:val="21"/>
          <w:szCs w:val="21"/>
          <w:highlight w:val="none"/>
          <w:shd w:val="clear" w:color="auto" w:fill="ffffff"/>
        </w:rPr>
        <w:t xml:space="preserve">地  址：</w:t>
      </w:r>
      <w:r>
        <w:rPr>
          <w:rFonts w:hint="eastAsia" w:ascii="宋体" w:hAnsi="宋体" w:eastAsia="宋体" w:cs="宋体"/>
          <w:sz w:val="21"/>
          <w:szCs w:val="21"/>
          <w:highlight w:val="none"/>
          <w:u w:val="single"/>
          <w:shd w:val="clear" w:color="auto" w:fill="ffffff"/>
          <w:lang w:eastAsia="zh-CN"/>
        </w:rPr>
        <w:t xml:space="preserve">溧阳市戴埠镇镇善西路（镇政府大院）</w:t>
      </w:r>
      <w:r>
        <w:rPr>
          <w:sz w:val="21"/>
          <w:szCs w:val="21"/>
          <w:highlight w:val="none"/>
          <w:u w:val="single"/>
          <w:shd w:val="clear" w:color="auto" w:fill="ffffff"/>
        </w:rPr>
      </w:r>
      <w:r/>
    </w:p>
    <w:p>
      <w:pPr>
        <w:pStyle w:val="785"/>
        <w:ind w:firstLine="420"/>
        <w:keepLines w:val="0"/>
        <w:keepNext w:val="0"/>
        <w:pageBreakBefore w:val="0"/>
        <w:spacing w:beforeAutospacing="0" w:afterAutospacing="0" w:line="324" w:lineRule="auto"/>
        <w:shd w:val="clear" w:color="auto" w:fill="ffffff"/>
        <w:rPr>
          <w:sz w:val="21"/>
          <w:szCs w:val="21"/>
          <w:highlight w:val="none"/>
          <w:u w:val="single"/>
          <w:shd w:val="clear" w:color="auto" w:fill="ffffff"/>
        </w:rPr>
      </w:pPr>
      <w:r>
        <w:rPr>
          <w:rFonts w:hint="eastAsia"/>
          <w:sz w:val="21"/>
          <w:szCs w:val="21"/>
          <w:highlight w:val="none"/>
          <w:shd w:val="clear" w:color="auto" w:fill="ffffff"/>
        </w:rPr>
        <w:t xml:space="preserve">联系方式：</w:t>
      </w:r>
      <w:r>
        <w:rPr>
          <w:rFonts w:hint="eastAsia"/>
          <w:sz w:val="21"/>
          <w:szCs w:val="21"/>
          <w:highlight w:val="none"/>
          <w:u w:val="single"/>
          <w:shd w:val="clear" w:color="auto" w:fill="ffffff"/>
        </w:rPr>
        <w:t xml:space="preserve">0519-</w:t>
      </w:r>
      <w:r>
        <w:rPr>
          <w:rFonts w:hint="eastAsia" w:ascii="宋体" w:hAnsi="宋体" w:eastAsia="宋体" w:cs="宋体"/>
          <w:sz w:val="21"/>
          <w:szCs w:val="21"/>
          <w:highlight w:val="none"/>
          <w:u w:val="single"/>
          <w:shd w:val="clear" w:color="auto" w:fill="ffffff"/>
          <w:lang w:eastAsia="zh-CN"/>
        </w:rPr>
        <w:t xml:space="preserve">87900128</w:t>
      </w:r>
      <w:r>
        <w:rPr>
          <w:sz w:val="21"/>
          <w:szCs w:val="21"/>
          <w:highlight w:val="none"/>
          <w:u w:val="single"/>
          <w:shd w:val="clear" w:color="auto" w:fill="ffffff"/>
        </w:rPr>
      </w:r>
      <w:r/>
    </w:p>
    <w:p>
      <w:pPr>
        <w:pStyle w:val="785"/>
        <w:ind w:firstLine="420"/>
        <w:keepLines w:val="0"/>
        <w:keepNext w:val="0"/>
        <w:pageBreakBefore w:val="0"/>
        <w:spacing w:beforeAutospacing="0" w:afterAutospacing="0" w:line="324" w:lineRule="auto"/>
        <w:shd w:val="clear" w:color="auto" w:fill="ffffff"/>
        <w:widowControl/>
        <w:rPr>
          <w:sz w:val="21"/>
          <w:szCs w:val="21"/>
          <w:shd w:val="clear" w:color="auto" w:fill="ffffff"/>
        </w:rPr>
      </w:pPr>
      <w:r>
        <w:rPr>
          <w:rFonts w:hint="eastAsia"/>
          <w:sz w:val="21"/>
          <w:szCs w:val="21"/>
          <w:shd w:val="clear" w:color="auto" w:fill="ffffff"/>
        </w:rPr>
        <w:t xml:space="preserve">2.采购代理机构信息</w:t>
      </w:r>
      <w:r>
        <w:rPr>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widowControl/>
        <w:rPr>
          <w:rFonts w:hint="eastAsia" w:eastAsia="宋体"/>
          <w:sz w:val="21"/>
          <w:szCs w:val="21"/>
          <w:shd w:val="clear" w:color="auto" w:fill="ffffff"/>
          <w:lang w:eastAsia="zh-CN"/>
        </w:rPr>
      </w:pPr>
      <w:r>
        <w:rPr>
          <w:rFonts w:hint="eastAsia"/>
          <w:sz w:val="21"/>
          <w:szCs w:val="21"/>
          <w:shd w:val="clear" w:color="auto" w:fill="ffffff"/>
        </w:rPr>
        <w:t xml:space="preserve">名 称：</w:t>
      </w:r>
      <w:r>
        <w:rPr>
          <w:rFonts w:hint="eastAsia"/>
          <w:sz w:val="21"/>
          <w:szCs w:val="21"/>
          <w:u w:val="single"/>
          <w:shd w:val="clear" w:color="auto" w:fill="ffffff"/>
          <w:lang w:eastAsia="zh-CN"/>
        </w:rPr>
        <w:t xml:space="preserve">溧阳市正投招投标有限公司</w:t>
      </w:r>
      <w:r>
        <w:rPr>
          <w:rFonts w:hint="eastAsia" w:eastAsia="宋体"/>
          <w:sz w:val="21"/>
          <w:szCs w:val="21"/>
          <w:shd w:val="clear" w:color="auto" w:fill="ffffff"/>
          <w:lang w:eastAsia="zh-CN"/>
        </w:rPr>
      </w:r>
      <w:r/>
    </w:p>
    <w:p>
      <w:pPr>
        <w:pStyle w:val="785"/>
        <w:ind w:firstLine="420"/>
        <w:keepLines w:val="0"/>
        <w:keepNext w:val="0"/>
        <w:pageBreakBefore w:val="0"/>
        <w:spacing w:beforeAutospacing="0" w:afterAutospacing="0" w:line="324" w:lineRule="auto"/>
        <w:shd w:val="clear" w:color="auto" w:fill="ffffff"/>
        <w:widowControl/>
        <w:rPr>
          <w:rFonts w:hint="eastAsia"/>
          <w:sz w:val="21"/>
          <w:szCs w:val="21"/>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溧阳市平陵西路258号1幢二楼西侧</w:t>
      </w:r>
      <w:r>
        <w:rPr>
          <w:rFonts w:hint="eastAsia"/>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widowControl/>
        <w:rPr>
          <w:rFonts w:hint="eastAsia"/>
          <w:sz w:val="21"/>
          <w:szCs w:val="21"/>
          <w:shd w:val="clear" w:color="auto" w:fill="ffffff"/>
        </w:rPr>
      </w:pPr>
      <w:r>
        <w:rPr>
          <w:rFonts w:hint="eastAsia"/>
          <w:sz w:val="21"/>
          <w:szCs w:val="21"/>
          <w:shd w:val="clear" w:color="auto" w:fill="ffffff"/>
        </w:rPr>
        <w:t xml:space="preserve">联系方式：</w:t>
      </w:r>
      <w:r>
        <w:rPr>
          <w:rFonts w:hint="eastAsia" w:cs="Century"/>
          <w:spacing w:val="2"/>
          <w:sz w:val="21"/>
          <w:szCs w:val="21"/>
          <w:u w:val="single"/>
        </w:rPr>
        <w:t xml:space="preserve">0519-87</w:t>
      </w:r>
      <w:r>
        <w:rPr>
          <w:rFonts w:hint="eastAsia"/>
          <w:spacing w:val="2"/>
          <w:sz w:val="21"/>
          <w:szCs w:val="21"/>
          <w:u w:val="single"/>
        </w:rPr>
        <w:t xml:space="preserve">891880</w:t>
      </w:r>
      <w:r>
        <w:rPr>
          <w:rFonts w:hint="eastAsia"/>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widowControl/>
        <w:rPr>
          <w:sz w:val="21"/>
          <w:szCs w:val="21"/>
          <w:shd w:val="clear" w:color="auto" w:fill="ffffff"/>
        </w:rPr>
      </w:pPr>
      <w:r>
        <w:rPr>
          <w:rFonts w:hint="eastAsia"/>
          <w:sz w:val="21"/>
          <w:szCs w:val="21"/>
          <w:shd w:val="clear" w:color="auto" w:fill="ffffff"/>
        </w:rPr>
        <w:t xml:space="preserve">3.项目联系方式</w:t>
      </w:r>
      <w:r>
        <w:rPr>
          <w:sz w:val="21"/>
          <w:szCs w:val="21"/>
          <w:shd w:val="clear" w:color="auto" w:fill="ffffff"/>
        </w:rPr>
      </w:r>
      <w:r/>
    </w:p>
    <w:p>
      <w:pPr>
        <w:pStyle w:val="785"/>
        <w:ind w:firstLine="420"/>
        <w:keepLines w:val="0"/>
        <w:keepNext w:val="0"/>
        <w:pageBreakBefore w:val="0"/>
        <w:spacing w:beforeAutospacing="0" w:afterAutospacing="0" w:line="324" w:lineRule="auto"/>
        <w:shd w:val="clear" w:color="auto" w:fill="ffffff"/>
        <w:rPr>
          <w:rFonts w:ascii="宋体" w:hAnsi="宋体" w:eastAsia="宋体" w:cs="宋体"/>
          <w:sz w:val="21"/>
          <w:szCs w:val="21"/>
          <w:shd w:val="clear" w:color="auto" w:fill="ffffff"/>
        </w:rPr>
      </w:pPr>
      <w:r>
        <w:rPr>
          <w:rFonts w:hint="eastAsia"/>
          <w:sz w:val="21"/>
          <w:szCs w:val="21"/>
          <w:shd w:val="clear" w:color="auto" w:fill="ffffff"/>
        </w:rPr>
        <w:t xml:space="preserve">项目联系人：</w:t>
      </w:r>
      <w:bookmarkEnd w:id="2"/>
      <w:r/>
      <w:bookmarkEnd w:id="3"/>
      <w:r/>
      <w:bookmarkEnd w:id="4"/>
      <w:r/>
      <w:bookmarkEnd w:id="5"/>
      <w:r/>
      <w:bookmarkEnd w:id="6"/>
      <w:r/>
      <w:bookmarkStart w:id="8" w:name="_Toc150774783"/>
      <w:r/>
      <w:bookmarkStart w:id="9" w:name="_Toc264969275"/>
      <w:r/>
      <w:bookmarkStart w:id="10" w:name="_Toc265228423"/>
      <w:r/>
      <w:bookmarkStart w:id="11" w:name="_Toc305158928"/>
      <w:r/>
      <w:bookmarkStart w:id="12" w:name="_Toc226965856"/>
      <w:r/>
      <w:bookmarkStart w:id="13" w:name="_Toc305158854"/>
      <w:r/>
      <w:bookmarkStart w:id="14" w:name="_Toc353825548"/>
      <w:r/>
      <w:bookmarkStart w:id="15" w:name="_Toc353873938"/>
      <w:r/>
      <w:bookmarkStart w:id="16" w:name="_Toc195842950"/>
      <w:r/>
      <w:bookmarkStart w:id="17" w:name="_Toc104818926"/>
      <w:r/>
      <w:bookmarkStart w:id="18" w:name="_Toc127161488"/>
      <w:r/>
      <w:bookmarkStart w:id="19" w:name="_Toc512937850"/>
      <w:r/>
      <w:bookmarkStart w:id="20" w:name="_Toc127151777"/>
      <w:r>
        <w:rPr>
          <w:rFonts w:hint="eastAsia" w:ascii="宋体" w:hAnsi="宋体" w:eastAsia="宋体" w:cs="宋体"/>
          <w:sz w:val="21"/>
          <w:szCs w:val="21"/>
          <w:u w:val="single"/>
          <w:shd w:val="clear" w:color="auto" w:fill="ffffff"/>
        </w:rPr>
        <w:t xml:space="preserve">蒋工</w:t>
      </w:r>
      <w:r>
        <w:rPr>
          <w:rFonts w:ascii="宋体" w:hAnsi="宋体" w:eastAsia="宋体" w:cs="宋体"/>
          <w:sz w:val="21"/>
          <w:szCs w:val="21"/>
          <w:shd w:val="clear" w:color="auto" w:fill="ffffff"/>
        </w:rPr>
      </w:r>
      <w:r/>
    </w:p>
    <w:p>
      <w:pPr>
        <w:pStyle w:val="723"/>
        <w:ind w:firstLine="420"/>
        <w:jc w:val="left"/>
        <w:keepLines w:val="0"/>
        <w:keepNext w:val="0"/>
        <w:pageBreakBefore w:val="0"/>
        <w:spacing w:before="100" w:beforeAutospacing="0" w:after="100" w:afterAutospacing="0" w:line="324" w:lineRule="auto"/>
        <w:shd w:val="clear" w:color="auto" w:fill="ffffff"/>
        <w:widowControl/>
        <w:rPr>
          <w:rFonts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电　话：</w:t>
      </w:r>
      <w:r>
        <w:rPr>
          <w:rFonts w:hint="eastAsia" w:ascii="宋体" w:hAnsi="宋体" w:eastAsia="宋体" w:cs="宋体"/>
          <w:spacing w:val="2"/>
          <w:sz w:val="21"/>
          <w:szCs w:val="21"/>
          <w:u w:val="single"/>
          <w:lang w:val="en-US" w:eastAsia="zh-CN" w:bidi="ar-SA"/>
        </w:rPr>
        <w:t xml:space="preserve">0519-87891880</w:t>
      </w:r>
      <w:r>
        <w:rPr>
          <w:rFonts w:ascii="宋体" w:hAnsi="宋体" w:eastAsia="宋体" w:cs="宋体"/>
          <w:sz w:val="21"/>
          <w:szCs w:val="21"/>
          <w:shd w:val="clear" w:color="auto" w:fill="ffffff"/>
          <w:lang w:val="en-US" w:eastAsia="zh-CN" w:bidi="ar-SA"/>
        </w:rPr>
      </w:r>
      <w:r/>
    </w:p>
    <w:p>
      <w:pPr>
        <w:pStyle w:val="723"/>
      </w:pPr>
      <w:r/>
      <w:r/>
    </w:p>
    <w:p>
      <w:pPr>
        <w:pStyle w:val="723"/>
        <w:jc w:val="center"/>
        <w:spacing w:line="360" w:lineRule="auto"/>
        <w:rPr>
          <w:b/>
          <w:sz w:val="32"/>
          <w:szCs w:val="32"/>
        </w:rPr>
        <w:outlineLvl w:val="0"/>
      </w:pPr>
      <w:r>
        <w:rPr>
          <w:b/>
          <w:sz w:val="32"/>
          <w:szCs w:val="32"/>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Pr>
          <w:b/>
          <w:sz w:val="32"/>
          <w:szCs w:val="32"/>
        </w:rPr>
      </w:r>
      <w:r/>
    </w:p>
    <w:p>
      <w:pPr>
        <w:pStyle w:val="725"/>
        <w:spacing w:before="0" w:line="360" w:lineRule="auto"/>
        <w:tabs>
          <w:tab w:val="center" w:pos="4592" w:leader="none"/>
          <w:tab w:val="left" w:pos="7860" w:leader="none"/>
        </w:tabs>
        <w:rPr>
          <w:b w:val="0"/>
          <w:sz w:val="28"/>
          <w:szCs w:val="28"/>
        </w:rPr>
      </w:pPr>
      <w:r/>
      <w:bookmarkStart w:id="21" w:name="_Toc149720812"/>
      <w:r/>
      <w:bookmarkStart w:id="22" w:name="_Toc151193689"/>
      <w:r/>
      <w:bookmarkStart w:id="23" w:name="_Toc164608633"/>
      <w:r/>
      <w:bookmarkStart w:id="24" w:name="_Toc127151720"/>
      <w:r/>
      <w:bookmarkStart w:id="25" w:name="_Toc151193833"/>
      <w:r/>
      <w:bookmarkStart w:id="26" w:name="_Toc150509270"/>
      <w:r/>
      <w:bookmarkStart w:id="27" w:name="_Toc164229360"/>
      <w:r/>
      <w:bookmarkStart w:id="28" w:name="_Toc127161433"/>
      <w:r/>
      <w:bookmarkStart w:id="29" w:name="_Toc520356144"/>
      <w:r/>
      <w:bookmarkStart w:id="30" w:name="_Toc164351613"/>
      <w:r/>
      <w:bookmarkStart w:id="31" w:name="_Toc150774724"/>
      <w:r/>
      <w:bookmarkStart w:id="32" w:name="_Toc150480757"/>
      <w:r/>
      <w:bookmarkStart w:id="33" w:name="_Toc226337215"/>
      <w:r/>
      <w:bookmarkStart w:id="34" w:name="_Toc226965709"/>
      <w:r/>
      <w:bookmarkStart w:id="35" w:name="_Toc164229214"/>
      <w:r/>
      <w:bookmarkStart w:id="36" w:name="_Toc151193761"/>
      <w:r/>
      <w:bookmarkStart w:id="37" w:name="_Toc195842884"/>
      <w:r/>
      <w:bookmarkStart w:id="38" w:name="_Toc164608788"/>
      <w:r/>
      <w:bookmarkStart w:id="39" w:name="_Toc226309763"/>
      <w:r/>
      <w:bookmarkStart w:id="40" w:name="_Toc150774619"/>
      <w:r/>
      <w:bookmarkStart w:id="41" w:name="_Toc151193617"/>
      <w:r/>
      <w:bookmarkStart w:id="42" w:name="_Toc127151519"/>
      <w:r/>
      <w:bookmarkStart w:id="43" w:name="_Toc151190146"/>
      <w:r/>
      <w:bookmarkStart w:id="44" w:name="_Toc151193907"/>
      <w:r/>
      <w:bookmarkStart w:id="45" w:name="_Toc226965792"/>
      <w:r/>
      <w:bookmarkStart w:id="46" w:name="_Toc142311021"/>
      <w:r>
        <w:rPr>
          <w:rFonts w:ascii="Times New Roman" w:hAnsi="Times New Roman" w:eastAsia="宋体"/>
          <w:sz w:val="28"/>
        </w:rPr>
        <w:t xml:space="preserve">供应商须知资料表</w:t>
      </w:r>
      <w:r>
        <w:rPr>
          <w:b w:val="0"/>
          <w:sz w:val="28"/>
          <w:szCs w:val="28"/>
        </w:rPr>
      </w:r>
      <w:r/>
    </w:p>
    <w:p>
      <w:pPr>
        <w:pStyle w:val="723"/>
        <w:ind w:firstLine="480"/>
        <w:spacing w:line="288" w:lineRule="auto"/>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rPr>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608"/>
        <w:gridCol w:w="6806"/>
      </w:tblGrid>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b/>
                <w:bCs/>
                <w:szCs w:val="21"/>
              </w:rPr>
            </w:pPr>
            <w:r>
              <w:rPr>
                <w:rFonts w:hint="eastAsia" w:ascii="宋体" w:hAnsi="宋体" w:cs="宋体"/>
                <w:b/>
                <w:bCs/>
                <w:szCs w:val="21"/>
              </w:rPr>
              <w:t xml:space="preserve">条款号</w:t>
            </w:r>
            <w:r>
              <w:rPr>
                <w:rFonts w:hint="eastAsia" w:ascii="宋体" w:hAnsi="宋体" w:cs="宋体"/>
                <w:b/>
                <w:bCs/>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253"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□货物</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工程</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23"/>
        </w:trPr>
        <w:tc>
          <w:tcPr>
            <w:tcW w:w="988" w:type="dxa"/>
            <w:vAlign w:val="center"/>
            <w:vMerge w:val="restart"/>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■不组织</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考察地点：  /  。</w:t>
            </w:r>
            <w:r>
              <w:rPr>
                <w:rFonts w:hint="eastAsia" w:ascii="宋体" w:hAnsi="宋体" w:cs="宋体"/>
                <w:szCs w:val="21"/>
              </w:rPr>
            </w:r>
            <w:r/>
          </w:p>
        </w:tc>
      </w:tr>
      <w:tr>
        <w:trPr>
          <w:trHeight w:val="23"/>
        </w:trPr>
        <w:tc>
          <w:tcPr>
            <w:tcW w:w="988" w:type="dxa"/>
            <w:vAlign w:val="center"/>
            <w:vMerge w:val="continue"/>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■不召开</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4.2.5</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highlight w:val="yellow"/>
              </w:rPr>
            </w:pPr>
            <w:r>
              <w:rPr>
                <w:rFonts w:hint="eastAsia" w:ascii="宋体" w:hAnsi="宋体" w:cs="宋体"/>
                <w:szCs w:val="21"/>
              </w:rPr>
              <w:t xml:space="preserve">本项目采购标的对应的中小企业划分标准所属行业：</w:t>
            </w:r>
            <w:r>
              <w:rPr>
                <w:rFonts w:hint="eastAsia" w:ascii="宋体" w:hAnsi="宋体" w:cs="宋体"/>
                <w:szCs w:val="21"/>
                <w:highlight w:val="none"/>
                <w:u w:val="single"/>
              </w:rPr>
              <w:t xml:space="preserve"> </w:t>
            </w:r>
            <w:r>
              <w:rPr>
                <w:rFonts w:hint="eastAsia" w:ascii="宋体" w:hAnsi="宋体" w:eastAsia="宋体" w:cs="宋体"/>
                <w:sz w:val="21"/>
                <w:szCs w:val="21"/>
                <w:highlight w:val="none"/>
                <w:u w:val="single"/>
                <w:lang w:val="en-US" w:eastAsia="zh-CN"/>
              </w:rPr>
              <w:t xml:space="preserve">建筑业 </w:t>
            </w:r>
            <w:r>
              <w:rPr>
                <w:rFonts w:hint="eastAsia" w:ascii="宋体" w:hAnsi="宋体" w:cs="宋体"/>
                <w:szCs w:val="21"/>
                <w:highlight w:val="none"/>
                <w:u w:val="single"/>
              </w:rPr>
              <w:t xml:space="preserve"> </w:t>
            </w:r>
            <w:r>
              <w:rPr>
                <w:rFonts w:hint="eastAsia" w:ascii="宋体" w:hAnsi="宋体" w:cs="宋体"/>
                <w:szCs w:val="21"/>
                <w:highlight w:val="yellow"/>
              </w:rPr>
            </w:r>
            <w:r/>
          </w:p>
        </w:tc>
      </w:tr>
      <w:tr>
        <w:trPr>
          <w:trHeight w:val="1174"/>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10.2</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highlight w:val="none"/>
              </w:rPr>
              <w:t xml:space="preserve">报价</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rPr>
            </w:pPr>
            <w:r>
              <w:rPr>
                <w:rFonts w:hint="eastAsia" w:ascii="宋体" w:hAnsi="宋体" w:cs="宋体"/>
              </w:rPr>
              <w:t xml:space="preserve">报价的特殊规定：</w:t>
            </w:r>
            <w:r>
              <w:rPr>
                <w:rFonts w:hint="eastAsia" w:ascii="宋体" w:hAnsi="宋体" w:cs="宋体"/>
              </w:rPr>
            </w:r>
            <w:r/>
          </w:p>
          <w:p>
            <w:pPr>
              <w:pStyle w:val="723"/>
              <w:jc w:val="left"/>
              <w:keepLines w:val="0"/>
              <w:keepNext w:val="0"/>
              <w:pageBreakBefore w:val="0"/>
              <w:spacing w:line="252" w:lineRule="auto"/>
              <w:widowControl w:val="off"/>
              <w:rPr>
                <w:rFonts w:hint="eastAsia" w:ascii="宋体" w:hAnsi="宋体" w:cs="宋体"/>
              </w:rPr>
            </w:pPr>
            <w:r>
              <w:rPr>
                <w:rFonts w:hint="eastAsia" w:ascii="宋体" w:hAnsi="宋体" w:cs="宋体"/>
              </w:rPr>
              <w:t xml:space="preserve">□无</w:t>
            </w:r>
            <w:r>
              <w:rPr>
                <w:rFonts w:hint="eastAsia" w:ascii="宋体" w:hAnsi="宋体" w:cs="宋体"/>
              </w:rPr>
            </w:r>
            <w:r/>
          </w:p>
          <w:p>
            <w:pPr>
              <w:pStyle w:val="723"/>
              <w:jc w:val="left"/>
              <w:keepLines w:val="0"/>
              <w:keepNext w:val="0"/>
              <w:pageBreakBefore w:val="0"/>
              <w:spacing w:line="252" w:lineRule="auto"/>
              <w:widowControl w:val="off"/>
              <w:rPr>
                <w:rFonts w:hint="eastAsia" w:ascii="宋体" w:hAnsi="宋体" w:eastAsia="宋体" w:cs="宋体"/>
                <w:b/>
                <w:bCs/>
                <w:color w:val="000000"/>
                <w:highlight w:val="none"/>
                <w:u w:val="single"/>
                <w:lang w:val="en-US" w:eastAsia="zh-CN"/>
              </w:rPr>
            </w:pPr>
            <w:r>
              <w:rPr>
                <w:rFonts w:hint="eastAsia" w:ascii="宋体" w:hAnsi="宋体" w:eastAsia="宋体" w:cs="宋体"/>
                <w:color w:val="000000"/>
                <w:highlight w:val="none"/>
                <w:lang w:eastAsia="zh-CN"/>
              </w:rPr>
              <w:t xml:space="preserve">■有，具体情形：</w:t>
            </w:r>
            <w:r>
              <w:rPr>
                <w:rFonts w:hint="eastAsia" w:ascii="宋体" w:hAnsi="宋体" w:eastAsia="宋体" w:cs="宋体"/>
                <w:b/>
                <w:bCs/>
                <w:color w:val="000000"/>
                <w:highlight w:val="none"/>
                <w:u w:val="single"/>
                <w:lang w:val="en-US" w:eastAsia="zh-CN"/>
              </w:rPr>
              <w:t xml:space="preserve">（1）</w:t>
            </w:r>
            <w:r>
              <w:rPr>
                <w:rFonts w:hint="eastAsia" w:ascii="宋体" w:hAnsi="宋体" w:eastAsia="宋体" w:cs="宋体"/>
                <w:b/>
                <w:bCs/>
                <w:color w:val="000000"/>
                <w:highlight w:val="none"/>
                <w:u w:val="single"/>
                <w:lang w:eastAsia="zh-CN"/>
              </w:rPr>
              <w:t xml:space="preserve">本项目采用二轮报价，响应文件中报价为首轮报价，磋商结束后，磋商小组将要求所有实质性响应的供应商在规定时间内通过“苏采云”政府采购一体化平台提交第二轮报价</w:t>
            </w:r>
            <w:r>
              <w:rPr>
                <w:rFonts w:ascii="宋体" w:hAnsi="宋体" w:eastAsia="宋体" w:cs="宋体"/>
                <w:b/>
                <w:bCs/>
                <w:color w:val="000000"/>
                <w:highlight w:val="none"/>
                <w:u w:val="single"/>
                <w:lang w:eastAsia="zh-CN"/>
              </w:rPr>
              <w:t xml:space="preserve">，</w:t>
            </w:r>
            <w:r>
              <w:rPr>
                <w:rFonts w:hint="eastAsia" w:ascii="宋体" w:hAnsi="宋体" w:eastAsia="宋体" w:cs="宋体"/>
                <w:b/>
                <w:bCs/>
                <w:color w:val="000000"/>
                <w:highlight w:val="none"/>
                <w:u w:val="single"/>
                <w:lang w:val="en-US" w:eastAsia="en-US"/>
              </w:rPr>
              <w:t xml:space="preserve">第二轮报价</w:t>
            </w:r>
            <w:r>
              <w:rPr>
                <w:rFonts w:hint="eastAsia" w:ascii="宋体" w:hAnsi="宋体" w:eastAsia="宋体" w:cs="宋体"/>
                <w:b/>
                <w:bCs/>
                <w:color w:val="000000"/>
                <w:highlight w:val="none"/>
                <w:u w:val="single"/>
                <w:lang w:eastAsia="zh-CN"/>
              </w:rPr>
              <w:t xml:space="preserve">不得超过首轮报价，</w:t>
            </w:r>
            <w:r>
              <w:rPr>
                <w:rFonts w:hint="eastAsia" w:ascii="宋体" w:hAnsi="宋体" w:eastAsia="宋体" w:cs="宋体"/>
                <w:b/>
                <w:bCs/>
                <w:color w:val="000000"/>
                <w:highlight w:val="none"/>
                <w:u w:val="single"/>
                <w:lang w:val="en-US" w:eastAsia="zh-CN"/>
              </w:rPr>
              <w:t xml:space="preserve">否则作无效报价文件处理。</w:t>
            </w:r>
            <w:r>
              <w:rPr>
                <w:rFonts w:hint="eastAsia" w:ascii="宋体" w:hAnsi="宋体" w:eastAsia="宋体" w:cs="宋体"/>
                <w:b/>
                <w:bCs/>
                <w:color w:val="000000"/>
                <w:highlight w:val="none"/>
                <w:u w:val="single"/>
                <w:lang w:val="en-US" w:eastAsia="zh-CN"/>
              </w:rPr>
            </w:r>
            <w:r/>
          </w:p>
          <w:p>
            <w:pPr>
              <w:pStyle w:val="723"/>
              <w:jc w:val="left"/>
              <w:keepLines w:val="0"/>
              <w:keepNext w:val="0"/>
              <w:pageBreakBefore w:val="0"/>
              <w:spacing w:line="252" w:lineRule="auto"/>
              <w:widowControl w:val="off"/>
              <w:rPr>
                <w:rFonts w:hint="eastAsia" w:ascii="宋体" w:hAnsi="宋体" w:cs="宋体"/>
                <w:highlight w:val="yellow"/>
              </w:rPr>
            </w:pPr>
            <w:r>
              <w:rPr>
                <w:rFonts w:hint="eastAsia" w:ascii="宋体" w:hAnsi="宋体" w:eastAsia="宋体" w:cs="宋体"/>
                <w:b/>
                <w:bCs/>
                <w:color w:val="000000"/>
                <w:highlight w:val="none"/>
                <w:u w:val="single"/>
                <w:lang w:val="en-US" w:eastAsia="zh-CN"/>
              </w:rPr>
              <w:t xml:space="preserve">（2）未提交第二轮报价的供应商</w:t>
            </w:r>
            <w:r>
              <w:rPr>
                <w:rFonts w:hint="eastAsia" w:ascii="宋体" w:hAnsi="宋体" w:eastAsia="宋体" w:cs="宋体"/>
                <w:b/>
                <w:bCs/>
                <w:color w:val="000000"/>
                <w:highlight w:val="none"/>
                <w:u w:val="single"/>
                <w:lang w:eastAsia="zh-CN"/>
              </w:rPr>
              <w:t xml:space="preserve">作无效报价文件处理。</w:t>
            </w:r>
            <w:r>
              <w:rPr>
                <w:rFonts w:hint="eastAsia" w:ascii="宋体" w:hAnsi="宋体" w:cs="宋体"/>
                <w:highlight w:val="yellow"/>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12.1</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23.5</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■不允许</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24.1.1</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24.3</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lang w:eastAsia="zh-CN"/>
              </w:rPr>
              <w:t xml:space="preserve">溧阳市正投招投标有限公司</w:t>
            </w:r>
            <w:r>
              <w:rPr>
                <w:rFonts w:hint="eastAsia" w:ascii="宋体" w:hAnsi="宋体" w:cs="宋体"/>
                <w:szCs w:val="21"/>
                <w:u w:val="single"/>
              </w:rPr>
              <w:t xml:space="preserve">综合办</w:t>
            </w:r>
            <w:r>
              <w:rPr>
                <w:rFonts w:hint="eastAsia" w:ascii="宋体" w:hAnsi="宋体" w:cs="宋体"/>
                <w:szCs w:val="21"/>
              </w:rPr>
              <w:t xml:space="preserve">；</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w:t>
            </w:r>
            <w:r>
              <w:rPr>
                <w:rFonts w:hint="eastAsia" w:ascii="宋体" w:hAnsi="宋体" w:cs="宋体"/>
                <w:szCs w:val="21"/>
                <w:u w:val="single"/>
              </w:rPr>
              <w:t xml:space="preserve">7891880</w:t>
            </w:r>
            <w:r>
              <w:rPr>
                <w:rFonts w:hint="eastAsia" w:ascii="宋体" w:hAnsi="宋体" w:cs="宋体"/>
                <w:szCs w:val="21"/>
              </w:rPr>
              <w:t xml:space="preserve">；</w:t>
            </w:r>
            <w:r>
              <w:rPr>
                <w:rFonts w:hint="eastAsia" w:ascii="宋体" w:hAnsi="宋体" w:cs="宋体"/>
                <w:szCs w:val="21"/>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w:t>
            </w:r>
            <w:r>
              <w:rPr>
                <w:rFonts w:hint="eastAsia" w:ascii="宋体" w:hAnsi="宋体" w:cs="宋体"/>
                <w:szCs w:val="21"/>
                <w:u w:val="single"/>
              </w:rPr>
              <w:t xml:space="preserve">1幢二楼西侧</w:t>
            </w:r>
            <w:r>
              <w:rPr>
                <w:rFonts w:hint="eastAsia" w:ascii="宋体" w:hAnsi="宋体" w:cs="宋体"/>
                <w:szCs w:val="21"/>
              </w:rPr>
              <w:t xml:space="preserve">。</w:t>
            </w:r>
            <w:r>
              <w:rPr>
                <w:rFonts w:hint="eastAsia" w:ascii="宋体" w:hAnsi="宋体" w:cs="宋体"/>
                <w:szCs w:val="21"/>
              </w:rPr>
            </w:r>
            <w:r/>
          </w:p>
        </w:tc>
      </w:tr>
      <w:tr>
        <w:trPr>
          <w:trHeight w:val="23"/>
        </w:trPr>
        <w:tc>
          <w:tcPr>
            <w:tcW w:w="988"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701" w:type="dxa"/>
            <w:vAlign w:val="center"/>
            <w:textDirection w:val="lrTb"/>
            <w:noWrap w:val="false"/>
          </w:tcPr>
          <w:p>
            <w:pPr>
              <w:pStyle w:val="723"/>
              <w:jc w:val="center"/>
              <w:keepLines w:val="0"/>
              <w:keepNext w:val="0"/>
              <w:pageBreakBefore w:val="0"/>
              <w:spacing w:line="252" w:lineRule="auto"/>
              <w:widowControl w:val="off"/>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253" w:type="dxa"/>
            <w:vAlign w:val="center"/>
            <w:textDirection w:val="lrTb"/>
            <w:noWrap w:val="false"/>
          </w:tcPr>
          <w:p>
            <w:pPr>
              <w:pStyle w:val="723"/>
              <w:jc w:val="left"/>
              <w:keepLines w:val="0"/>
              <w:keepNext w:val="0"/>
              <w:pageBreakBefore w:val="0"/>
              <w:spacing w:line="252" w:lineRule="auto"/>
              <w:widowControl w:val="off"/>
              <w:rPr>
                <w:rFonts w:ascii="宋体" w:hAnsi="宋体" w:cs="宋体"/>
                <w:szCs w:val="21"/>
                <w:highlight w:val="none"/>
              </w:rPr>
            </w:pPr>
            <w:r>
              <w:rPr>
                <w:rFonts w:hint="eastAsia" w:ascii="宋体" w:hAnsi="宋体" w:cs="宋体"/>
                <w:szCs w:val="21"/>
                <w:highlight w:val="none"/>
              </w:rPr>
              <w:t xml:space="preserve">收费对象：</w:t>
            </w:r>
            <w:r>
              <w:rPr>
                <w:rFonts w:ascii="宋体" w:hAnsi="宋体" w:cs="宋体"/>
                <w:szCs w:val="21"/>
                <w:highlight w:val="none"/>
              </w:rPr>
            </w:r>
            <w:r/>
          </w:p>
          <w:p>
            <w:pPr>
              <w:pStyle w:val="723"/>
              <w:jc w:val="left"/>
              <w:keepLines w:val="0"/>
              <w:keepNext w:val="0"/>
              <w:pageBreakBefore w:val="0"/>
              <w:spacing w:line="252" w:lineRule="auto"/>
              <w:widowControl w:val="off"/>
              <w:rPr>
                <w:rFonts w:ascii="宋体" w:hAnsi="宋体" w:cs="宋体"/>
                <w:szCs w:val="21"/>
                <w:highlight w:val="none"/>
              </w:rPr>
            </w:pPr>
            <w:r>
              <w:rPr>
                <w:rFonts w:hint="eastAsia" w:ascii="宋体" w:hAnsi="宋体" w:cs="宋体"/>
                <w:szCs w:val="21"/>
                <w:highlight w:val="none"/>
              </w:rPr>
              <w:t xml:space="preserve">□采购人</w:t>
            </w:r>
            <w:r>
              <w:rPr>
                <w:rFonts w:ascii="宋体" w:hAnsi="宋体" w:cs="宋体"/>
                <w:szCs w:val="21"/>
                <w:highlight w:val="none"/>
              </w:rPr>
            </w:r>
            <w:r/>
          </w:p>
          <w:p>
            <w:pPr>
              <w:pStyle w:val="723"/>
              <w:jc w:val="left"/>
              <w:keepLines w:val="0"/>
              <w:keepNext w:val="0"/>
              <w:pageBreakBefore w:val="0"/>
              <w:spacing w:line="252" w:lineRule="auto"/>
              <w:widowControl w:val="off"/>
              <w:rPr>
                <w:rFonts w:ascii="宋体" w:hAnsi="宋体" w:cs="宋体"/>
                <w:szCs w:val="21"/>
                <w:highlight w:val="none"/>
              </w:rPr>
            </w:pPr>
            <w:r>
              <w:rPr>
                <w:rFonts w:hint="eastAsia" w:ascii="宋体" w:hAnsi="宋体" w:cs="宋体"/>
                <w:szCs w:val="21"/>
                <w:highlight w:val="none"/>
              </w:rPr>
              <w:t xml:space="preserve">■成交供应商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w:t>
            </w:r>
            <w:r>
              <w:rPr>
                <w:rFonts w:hint="eastAsia" w:ascii="宋体" w:hAnsi="宋体" w:eastAsia="宋体" w:cs="宋体"/>
                <w:szCs w:val="21"/>
                <w:highlight w:val="none"/>
                <w:lang w:val="en-US" w:eastAsia="zh-CN"/>
              </w:rPr>
              <w:t xml:space="preserve">招标代理服务费及造价咨询费</w:t>
            </w:r>
            <w:r>
              <w:rPr>
                <w:rFonts w:hint="eastAsia" w:ascii="宋体" w:hAnsi="宋体" w:cs="宋体"/>
                <w:szCs w:val="21"/>
                <w:highlight w:val="none"/>
                <w:lang w:val="en-US" w:eastAsia="zh-CN"/>
              </w:rPr>
              <w:t xml:space="preserve">由成交供应商支付</w:t>
            </w:r>
            <w:r>
              <w:rPr>
                <w:rFonts w:hint="eastAsia" w:ascii="宋体" w:hAnsi="宋体" w:cs="宋体"/>
                <w:szCs w:val="21"/>
                <w:highlight w:val="none"/>
                <w:lang w:eastAsia="zh-CN"/>
              </w:rPr>
              <w:t xml:space="preserve">）</w:t>
            </w:r>
            <w:r>
              <w:rPr>
                <w:rFonts w:ascii="宋体" w:hAnsi="宋体" w:cs="宋体"/>
                <w:szCs w:val="21"/>
                <w:highlight w:val="none"/>
              </w:rPr>
            </w:r>
            <w:r/>
          </w:p>
          <w:p>
            <w:pPr>
              <w:pStyle w:val="723"/>
              <w:jc w:val="left"/>
              <w:keepLines w:val="0"/>
              <w:keepNext w:val="0"/>
              <w:pageBreakBefore w:val="0"/>
              <w:spacing w:line="252" w:lineRule="auto"/>
              <w:widowControl w:val="off"/>
              <w:rPr>
                <w:rFonts w:ascii="宋体" w:hAnsi="宋体" w:cs="宋体"/>
                <w:szCs w:val="21"/>
                <w:highlight w:val="none"/>
                <w:lang w:val="en-US"/>
              </w:rPr>
            </w:pPr>
            <w:r>
              <w:rPr>
                <w:rFonts w:hint="eastAsia" w:ascii="宋体" w:hAnsi="宋体" w:cs="宋体"/>
                <w:szCs w:val="21"/>
                <w:highlight w:val="none"/>
              </w:rPr>
              <w:t xml:space="preserve">收费标准：</w:t>
            </w:r>
            <w:r>
              <w:rPr>
                <w:rFonts w:hint="eastAsia" w:ascii="宋体" w:hAnsi="宋体" w:cs="宋体"/>
                <w:szCs w:val="21"/>
                <w:highlight w:val="none"/>
                <w:u w:val="single"/>
                <w:lang w:val="en-US" w:eastAsia="zh-CN"/>
              </w:rPr>
              <w:t xml:space="preserve">根据苏政采协【2024】20号文</w:t>
            </w:r>
            <w:r>
              <w:rPr>
                <w:rFonts w:hint="eastAsia" w:ascii="宋体" w:hAnsi="宋体" w:cs="宋体"/>
                <w:szCs w:val="21"/>
                <w:highlight w:val="none"/>
                <w:u w:val="single"/>
              </w:rPr>
              <w:t xml:space="preserve">，</w:t>
            </w:r>
            <w:r>
              <w:rPr>
                <w:rFonts w:hint="eastAsia" w:ascii="宋体" w:hAnsi="宋体" w:eastAsia="宋体" w:cs="宋体"/>
                <w:szCs w:val="21"/>
                <w:highlight w:val="none"/>
                <w:u w:val="single"/>
              </w:rPr>
              <w:t xml:space="preserve">以</w:t>
            </w:r>
            <w:r>
              <w:rPr>
                <w:rFonts w:hint="eastAsia" w:ascii="宋体" w:hAnsi="宋体" w:eastAsia="宋体" w:cs="宋体"/>
                <w:szCs w:val="21"/>
                <w:highlight w:val="none"/>
                <w:u w:val="single"/>
                <w:lang w:val="en-US" w:eastAsia="zh-CN"/>
              </w:rPr>
              <w:t xml:space="preserve">成交</w:t>
            </w:r>
            <w:r>
              <w:rPr>
                <w:rFonts w:hint="eastAsia" w:ascii="宋体" w:hAnsi="宋体" w:eastAsia="宋体" w:cs="宋体"/>
                <w:szCs w:val="21"/>
                <w:highlight w:val="none"/>
                <w:u w:val="single"/>
              </w:rPr>
              <w:t xml:space="preserve">金额为基数，收费比例按差额定率累进法计算</w:t>
            </w:r>
            <w:r>
              <w:rPr>
                <w:rFonts w:hint="eastAsia" w:ascii="宋体" w:hAnsi="宋体" w:eastAsia="宋体" w:cs="宋体"/>
                <w:color w:val="000000"/>
                <w:szCs w:val="21"/>
                <w:highlight w:val="none"/>
                <w:u w:val="single"/>
                <w:lang w:val="en-US" w:eastAsia="zh-CN"/>
              </w:rPr>
              <w:t xml:space="preserve">。</w:t>
            </w:r>
            <w:r>
              <w:rPr>
                <w:rFonts w:ascii="宋体" w:hAnsi="宋体" w:cs="宋体"/>
                <w:szCs w:val="21"/>
                <w:highlight w:val="none"/>
                <w:lang w:val="en-US"/>
              </w:rPr>
            </w:r>
            <w:r/>
          </w:p>
          <w:p>
            <w:pPr>
              <w:pStyle w:val="723"/>
              <w:jc w:val="left"/>
              <w:keepLines w:val="0"/>
              <w:keepNext w:val="0"/>
              <w:pageBreakBefore w:val="0"/>
              <w:spacing w:line="252" w:lineRule="auto"/>
              <w:widowControl w:val="off"/>
              <w:rPr>
                <w:rFonts w:hint="eastAsia" w:ascii="宋体" w:hAnsi="宋体" w:cs="宋体"/>
                <w:szCs w:val="21"/>
              </w:rPr>
            </w:pPr>
            <w:r>
              <w:rPr>
                <w:rFonts w:hint="eastAsia" w:ascii="宋体" w:hAnsi="宋体" w:cs="宋体"/>
                <w:szCs w:val="21"/>
                <w:highlight w:val="none"/>
              </w:rPr>
              <w:t xml:space="preserve">缴纳时间：</w:t>
            </w:r>
            <w:r>
              <w:rPr>
                <w:rFonts w:hint="eastAsia" w:ascii="宋体" w:hAnsi="宋体" w:cs="宋体"/>
                <w:szCs w:val="21"/>
                <w:highlight w:val="none"/>
                <w:u w:val="single"/>
                <w:lang w:val="en-US" w:eastAsia="zh-CN"/>
              </w:rPr>
              <w:t xml:space="preserve">成交单位应在领取中标</w:t>
            </w:r>
            <w:r>
              <w:rPr>
                <w:rFonts w:hint="eastAsia" w:ascii="宋体" w:hAnsi="宋体" w:eastAsia="宋体" w:cs="宋体"/>
                <w:szCs w:val="21"/>
                <w:highlight w:val="none"/>
                <w:u w:val="single"/>
                <w:lang w:val="zh-TW" w:eastAsia="zh-CN"/>
              </w:rPr>
              <w:t xml:space="preserve">（成交）</w:t>
            </w:r>
            <w:r>
              <w:rPr>
                <w:rFonts w:hint="eastAsia" w:ascii="宋体" w:hAnsi="宋体" w:cs="宋体"/>
                <w:szCs w:val="21"/>
                <w:highlight w:val="none"/>
                <w:u w:val="single"/>
                <w:lang w:val="en-US" w:eastAsia="zh-CN"/>
              </w:rPr>
              <w:t xml:space="preserve">通知书时将代理费支付至代理机构指定账户。</w:t>
            </w:r>
            <w:r>
              <w:rPr>
                <w:rFonts w:hint="eastAsia" w:ascii="宋体" w:hAnsi="宋体" w:cs="宋体"/>
                <w:szCs w:val="21"/>
              </w:rPr>
            </w:r>
            <w:r/>
          </w:p>
        </w:tc>
      </w:tr>
    </w:tbl>
    <w:p>
      <w:pPr>
        <w:pStyle w:val="725"/>
        <w:keepNext w:val="0"/>
        <w:pageBreakBefore w:val="0"/>
        <w:spacing w:before="0" w:line="324" w:lineRule="auto"/>
        <w:widowControl w:val="off"/>
        <w:tabs>
          <w:tab w:val="center" w:pos="4592" w:leader="none"/>
          <w:tab w:val="left" w:pos="7860" w:leader="none"/>
        </w:tabs>
        <w:rPr>
          <w:rFonts w:ascii="Times New Roman" w:hAnsi="Times New Roman" w:eastAsia="宋体"/>
          <w:szCs w:val="30"/>
        </w:rPr>
      </w:pPr>
      <w:r/>
      <w:bookmarkStart w:id="47" w:name="_Toc305158861"/>
      <w:r/>
      <w:bookmarkStart w:id="48" w:name="_Toc226965795"/>
      <w:r/>
      <w:bookmarkStart w:id="49" w:name="_Toc353825544"/>
      <w:r/>
      <w:bookmarkStart w:id="50" w:name="_1.8_计量单位"/>
      <w:r/>
      <w:bookmarkEnd w:id="50"/>
      <w:r/>
      <w:bookmarkStart w:id="51" w:name="_Toc265228360"/>
      <w:r/>
      <w:bookmarkStart w:id="52" w:name="_Toc151193620"/>
      <w:r/>
      <w:bookmarkStart w:id="53" w:name="_Toc265228392"/>
      <w:r/>
      <w:bookmarkStart w:id="54" w:name="_Toc150480760"/>
      <w:r/>
      <w:bookmarkStart w:id="55" w:name="_Toc520356146"/>
      <w:r/>
      <w:bookmarkStart w:id="56" w:name="_Toc226337218"/>
      <w:r/>
      <w:bookmarkStart w:id="57" w:name="_Toc150774759"/>
      <w:r/>
      <w:bookmarkStart w:id="58" w:name="_Toc151193764"/>
      <w:r/>
      <w:bookmarkStart w:id="59" w:name="_Toc226309766"/>
      <w:r/>
      <w:bookmarkStart w:id="60" w:name="_Toc226965712"/>
      <w:r/>
      <w:bookmarkStart w:id="61" w:name="_Toc151193692"/>
      <w:r/>
      <w:bookmarkStart w:id="62" w:name="_Toc127151554"/>
      <w:r/>
      <w:bookmarkStart w:id="63" w:name="_Toc150509273"/>
      <w:r/>
      <w:bookmarkStart w:id="64" w:name="_Toc353873664"/>
      <w:r/>
      <w:bookmarkStart w:id="65" w:name="_Toc264969244"/>
      <w:r/>
      <w:bookmarkStart w:id="66" w:name="_Toc226965827"/>
      <w:r/>
      <w:bookmarkStart w:id="67" w:name="_Toc305158896"/>
      <w:r/>
      <w:bookmarkStart w:id="68" w:name="_Toc226337250"/>
      <w:r/>
      <w:bookmarkStart w:id="69" w:name="_Toc150480792"/>
      <w:r/>
      <w:bookmarkStart w:id="70" w:name="_Toc305158822"/>
      <w:r/>
      <w:bookmarkStart w:id="71" w:name="_Toc142311056"/>
      <w:r/>
      <w:bookmarkStart w:id="72" w:name="_Toc305158864"/>
      <w:r/>
      <w:bookmarkStart w:id="73" w:name="_Toc265228357"/>
      <w:r/>
      <w:bookmarkStart w:id="74" w:name="_Toc305158787"/>
      <w:r/>
      <w:bookmarkStart w:id="75" w:name="_Toc264969209"/>
      <w:r/>
      <w:bookmarkStart w:id="76" w:name="_Toc353873934"/>
      <w:r/>
      <w:bookmarkStart w:id="77" w:name="_Toc264969212"/>
      <w:r/>
      <w:bookmarkStart w:id="78" w:name="_Toc195842887"/>
      <w:r/>
      <w:bookmarkStart w:id="79" w:name="_Toc150774727"/>
      <w:r/>
      <w:bookmarkStart w:id="80" w:name="_Toc151193836"/>
      <w:r/>
      <w:bookmarkStart w:id="81" w:name="_Toc151190149"/>
      <w:r/>
      <w:bookmarkStart w:id="82" w:name="_Toc305158790"/>
      <w:r/>
      <w:bookmarkStart w:id="83" w:name="_Toc127151522"/>
      <w:r/>
      <w:bookmarkStart w:id="84" w:name="_Toc150774622"/>
      <w:r/>
      <w:bookmarkStart w:id="85" w:name="_Toc142311024"/>
      <w:r/>
      <w:bookmarkStart w:id="86" w:name="_Toc151193910"/>
      <w:r>
        <w:rPr>
          <w:rFonts w:hint="eastAsia" w:ascii="Times New Roman" w:hAnsi="Times New Roman" w:eastAsia="宋体"/>
          <w:szCs w:val="30"/>
        </w:rPr>
        <w:t xml:space="preserve">供应商须知</w:t>
      </w:r>
      <w:r>
        <w:rPr>
          <w:rFonts w:ascii="Times New Roman" w:hAnsi="Times New Roman" w:eastAsia="宋体"/>
          <w:szCs w:val="30"/>
        </w:rPr>
      </w:r>
      <w:r/>
    </w:p>
    <w:p>
      <w:pPr>
        <w:pStyle w:val="723"/>
        <w:jc w:val="center"/>
        <w:pageBreakBefore w:val="0"/>
        <w:spacing w:line="324" w:lineRule="auto"/>
        <w:widowControl w:val="off"/>
        <w:tabs>
          <w:tab w:val="left" w:pos="360" w:leader="none"/>
        </w:tabs>
        <w:rPr>
          <w:rFonts w:ascii="宋体" w:hAnsi="宋体" w:cs="宋体"/>
          <w:szCs w:val="21"/>
        </w:rPr>
        <w:outlineLvl w:val="1"/>
      </w:pPr>
      <w:r/>
      <w:bookmarkStart w:id="87" w:name="_Toc226337214"/>
      <w:r/>
      <w:bookmarkStart w:id="88" w:name="_Toc195842883"/>
      <w:r/>
      <w:bookmarkStart w:id="89" w:name="_Toc151193616"/>
      <w:r/>
      <w:bookmarkStart w:id="90" w:name="_Toc151190145"/>
      <w:r/>
      <w:bookmarkStart w:id="91" w:name="_Toc150774723"/>
      <w:r/>
      <w:bookmarkStart w:id="92" w:name="_Toc226965708"/>
      <w:r/>
      <w:bookmarkStart w:id="93" w:name="_Toc151193832"/>
      <w:r/>
      <w:bookmarkStart w:id="94" w:name="_Toc520356143"/>
      <w:r/>
      <w:bookmarkStart w:id="95" w:name="_Toc226965791"/>
      <w:r/>
      <w:bookmarkStart w:id="96" w:name="_Toc151193688"/>
      <w:r/>
      <w:bookmarkStart w:id="97" w:name="_Toc151193760"/>
      <w:r/>
      <w:bookmarkStart w:id="98" w:name="_Toc265228356"/>
      <w:r/>
      <w:bookmarkStart w:id="99" w:name="_Toc151193906"/>
      <w:r/>
      <w:bookmarkStart w:id="100" w:name="_Toc264969208"/>
      <w:r/>
      <w:bookmarkStart w:id="101" w:name="_Toc150480756"/>
      <w:r/>
      <w:bookmarkStart w:id="102" w:name="_Toc150509269"/>
      <w:r/>
      <w:bookmarkStart w:id="103" w:name="_Toc305158786"/>
      <w:r/>
      <w:bookmarkStart w:id="104" w:name="_Toc226309762"/>
      <w:r/>
      <w:bookmarkStart w:id="105" w:name="_Toc150774618"/>
      <w:r/>
      <w:bookmarkStart w:id="106" w:name="_Toc127151518"/>
      <w:r/>
      <w:bookmarkStart w:id="107" w:name="_Toc305158860"/>
      <w:r/>
      <w:bookmarkStart w:id="108" w:name="_Toc142311020"/>
      <w:r>
        <w:rPr>
          <w:b/>
          <w:sz w:val="28"/>
          <w:szCs w:val="28"/>
        </w:rPr>
        <w:t xml:space="preserve">一</w:t>
      </w:r>
      <w:r>
        <w:rPr>
          <w:rFonts w:hint="eastAsia"/>
          <w:b/>
          <w:sz w:val="28"/>
          <w:szCs w:val="28"/>
        </w:rPr>
        <w:t xml:space="preserve">、</w:t>
      </w:r>
      <w:r>
        <w:rPr>
          <w:b/>
          <w:sz w:val="28"/>
          <w:szCs w:val="28"/>
        </w:rPr>
        <w:t xml:space="preserve">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s>
        <w:rPr>
          <w:rFonts w:ascii="宋体" w:hAnsi="宋体" w:cs="宋体"/>
          <w:szCs w:val="21"/>
        </w:rPr>
        <w:outlineLvl w:val="1"/>
      </w:pPr>
      <w:r/>
      <w:bookmarkEnd w:id="47"/>
      <w:r/>
      <w:bookmarkEnd w:id="73"/>
      <w:r/>
      <w:bookmarkEnd w:id="74"/>
      <w:r/>
      <w:bookmarkEnd w:id="75"/>
      <w:r>
        <w:rPr>
          <w:rFonts w:hint="eastAsia" w:ascii="宋体" w:hAnsi="宋体" w:cs="宋体"/>
          <w:szCs w:val="21"/>
        </w:rPr>
        <w:t xml:space="preserve">采购人、采购代理机构、供应商、联合体</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s>
        <w:rPr>
          <w:rFonts w:ascii="宋体" w:hAnsi="宋体" w:cs="宋体"/>
          <w:szCs w:val="21"/>
        </w:rPr>
        <w:outlineLvl w:val="1"/>
      </w:pPr>
      <w:r/>
      <w:bookmarkStart w:id="109" w:name="_Toc150774620"/>
      <w:r/>
      <w:bookmarkStart w:id="110" w:name="_Toc226337216"/>
      <w:r/>
      <w:bookmarkStart w:id="111" w:name="_Toc305158788"/>
      <w:r/>
      <w:bookmarkStart w:id="112" w:name="_Toc151193762"/>
      <w:r/>
      <w:bookmarkStart w:id="113" w:name="_Toc164608634"/>
      <w:r/>
      <w:bookmarkStart w:id="114" w:name="_Toc151193618"/>
      <w:r/>
      <w:bookmarkStart w:id="115" w:name="_Toc164229215"/>
      <w:r/>
      <w:bookmarkStart w:id="116" w:name="_Toc195842885"/>
      <w:r/>
      <w:bookmarkStart w:id="117" w:name="_Toc127151520"/>
      <w:r/>
      <w:bookmarkStart w:id="118" w:name="_Toc150509271"/>
      <w:r/>
      <w:bookmarkStart w:id="119" w:name="_Toc164351614"/>
      <w:r/>
      <w:bookmarkStart w:id="120" w:name="_Toc149720813"/>
      <w:r/>
      <w:bookmarkStart w:id="121" w:name="_Toc226965710"/>
      <w:r/>
      <w:bookmarkStart w:id="122" w:name="_Toc151193834"/>
      <w:r/>
      <w:bookmarkStart w:id="123" w:name="_Toc226965793"/>
      <w:r/>
      <w:bookmarkStart w:id="124" w:name="_Toc164608789"/>
      <w:r/>
      <w:bookmarkStart w:id="125" w:name="_Toc142311022"/>
      <w:r/>
      <w:bookmarkStart w:id="126" w:name="_Toc127151721"/>
      <w:r/>
      <w:bookmarkStart w:id="127" w:name="_Toc226309764"/>
      <w:r/>
      <w:bookmarkStart w:id="128" w:name="_Toc164229361"/>
      <w:r/>
      <w:bookmarkStart w:id="129" w:name="_Toc151190147"/>
      <w:r/>
      <w:bookmarkStart w:id="130" w:name="_Toc305158862"/>
      <w:r/>
      <w:bookmarkStart w:id="131" w:name="_Toc150774725"/>
      <w:r/>
      <w:bookmarkStart w:id="132" w:name="_Toc151193908"/>
      <w:r/>
      <w:bookmarkStart w:id="133" w:name="_Toc265228358"/>
      <w:r/>
      <w:bookmarkStart w:id="134" w:name="_Toc151193690"/>
      <w:r/>
      <w:bookmarkStart w:id="135" w:name="_Toc150480758"/>
      <w:r/>
      <w:bookmarkStart w:id="136" w:name="_Toc127161434"/>
      <w:r/>
      <w:bookmarkStart w:id="137" w:name="_Toc264969210"/>
      <w:r>
        <w:rPr>
          <w:rFonts w:hint="eastAsia" w:ascii="宋体" w:hAnsi="宋体" w:cs="宋体"/>
          <w:szCs w:val="21"/>
        </w:rPr>
        <w:t xml:space="preserve">资金来源</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cs="宋体"/>
          <w:szCs w:val="21"/>
        </w:rPr>
        <w:t xml:space="preserve">、项目属性、科研仪器设备采购</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项目属性见《供应商须知资料表》。</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现场考察、磋商前答疑会</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进口产品</w:t>
      </w:r>
      <w:r>
        <w:rPr>
          <w:rFonts w:ascii="宋体" w:hAnsi="宋体" w:cs="宋体"/>
          <w:szCs w:val="21"/>
        </w:rPr>
      </w:r>
      <w:r/>
    </w:p>
    <w:p>
      <w:pPr>
        <w:pStyle w:val="723"/>
        <w:numPr>
          <w:ilvl w:val="2"/>
          <w:numId w:val="8"/>
        </w:numPr>
        <w:pageBreakBefore w:val="0"/>
        <w:spacing w:line="324"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中小企业定义：</w:t>
      </w:r>
      <w:r>
        <w:rPr>
          <w:rFonts w:ascii="宋体" w:hAnsi="宋体" w:cs="宋体"/>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rPr>
          <w:rFonts w:ascii="宋体" w:hAnsi="宋体" w:cs="宋体"/>
          <w:color w:val="000000"/>
          <w:szCs w:val="21"/>
        </w:rPr>
      </w:r>
      <w:r/>
    </w:p>
    <w:p>
      <w:pPr>
        <w:pStyle w:val="723"/>
        <w:ind w:left="2835"/>
        <w:pageBreakBefore w:val="0"/>
        <w:spacing w:line="324"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ascii="宋体" w:hAnsi="宋体" w:cs="宋体"/>
          <w:color w:val="000000"/>
          <w:szCs w:val="21"/>
        </w:rPr>
      </w:r>
      <w:r/>
    </w:p>
    <w:p>
      <w:pPr>
        <w:pStyle w:val="723"/>
        <w:ind w:left="2835"/>
        <w:pageBreakBefore w:val="0"/>
        <w:spacing w:line="324"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ascii="宋体" w:hAnsi="宋体" w:cs="宋体"/>
          <w:color w:val="000000"/>
          <w:szCs w:val="21"/>
        </w:rPr>
      </w:r>
      <w:r/>
    </w:p>
    <w:p>
      <w:pPr>
        <w:pStyle w:val="723"/>
        <w:ind w:left="2835"/>
        <w:pageBreakBefore w:val="0"/>
        <w:spacing w:line="324"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rPr>
          <w:rFonts w:ascii="宋体" w:hAnsi="宋体" w:cs="宋体"/>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ascii="宋体" w:hAnsi="宋体" w:cs="宋体"/>
          <w:szCs w:val="21"/>
        </w:rPr>
      </w:r>
      <w:r/>
    </w:p>
    <w:p>
      <w:pPr>
        <w:pStyle w:val="825"/>
        <w:numPr>
          <w:ilvl w:val="2"/>
          <w:numId w:val="8"/>
        </w:numPr>
        <w:pageBreakBefore w:val="0"/>
        <w:spacing w:line="324"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825"/>
        <w:numPr>
          <w:ilvl w:val="2"/>
          <w:numId w:val="8"/>
        </w:numPr>
        <w:pageBreakBefore w:val="0"/>
        <w:spacing w:line="324"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rPr>
      </w:r>
      <w:r/>
    </w:p>
    <w:p>
      <w:pPr>
        <w:pStyle w:val="723"/>
        <w:numPr>
          <w:ilvl w:val="3"/>
          <w:numId w:val="8"/>
        </w:numPr>
        <w:ind w:left="2885"/>
        <w:pageBreakBefore w:val="0"/>
        <w:spacing w:line="324"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本项目是否专门面向中小企业预留采购份额见第一章《采购邀请》。</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采购标的对应的中小企业划分标准所属行业见《供应商须知资料表》。</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小微企业价格评审优惠的政策调整：见第三章《评审方法和评审标准》。</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rPr>
          <w:rFonts w:ascii="宋体" w:hAnsi="宋体" w:cs="宋体"/>
          <w:szCs w:val="21"/>
        </w:rPr>
      </w:r>
      <w:r/>
    </w:p>
    <w:p>
      <w:pPr>
        <w:pStyle w:val="723"/>
        <w:numPr>
          <w:ilvl w:val="2"/>
          <w:numId w:val="8"/>
        </w:numPr>
        <w:pageBreakBefore w:val="0"/>
        <w:spacing w:line="324"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支持乡村产业振兴管理</w:t>
      </w:r>
      <w:r>
        <w:rPr>
          <w:rFonts w:ascii="宋体" w:hAnsi="宋体" w:cs="宋体"/>
          <w:szCs w:val="21"/>
        </w:rPr>
      </w:r>
      <w:r/>
    </w:p>
    <w:p>
      <w:pPr>
        <w:pStyle w:val="723"/>
        <w:numPr>
          <w:ilvl w:val="2"/>
          <w:numId w:val="8"/>
        </w:numPr>
        <w:pageBreakBefore w:val="0"/>
        <w:spacing w:line="324"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正版软件</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723"/>
        <w:numPr>
          <w:ilvl w:val="2"/>
          <w:numId w:val="8"/>
        </w:numPr>
        <w:ind w:left="1980" w:hanging="90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绿色采购政策</w:t>
      </w:r>
      <w:r>
        <w:rPr>
          <w:rFonts w:hint="eastAsia" w:ascii="宋体" w:hAnsi="宋体" w:eastAsia="宋体" w:cs="宋体"/>
          <w:szCs w:val="21"/>
        </w:rPr>
      </w:r>
      <w:r/>
    </w:p>
    <w:p>
      <w:pPr>
        <w:pStyle w:val="723"/>
        <w:numPr>
          <w:ilvl w:val="2"/>
          <w:numId w:val="8"/>
        </w:numPr>
        <w:ind w:left="1980" w:hanging="90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绿色数据中心政策 </w:t>
      </w:r>
      <w:r>
        <w:rPr>
          <w:rFonts w:hint="eastAsia" w:ascii="宋体" w:hAnsi="宋体" w:eastAsia="宋体" w:cs="宋体"/>
          <w:szCs w:val="21"/>
        </w:rPr>
      </w:r>
      <w:r/>
    </w:p>
    <w:p>
      <w:pPr>
        <w:pStyle w:val="723"/>
        <w:numPr>
          <w:ilvl w:val="0"/>
          <w:numId w:val="0"/>
        </w:numPr>
        <w:ind w:left="108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Cs w:val="21"/>
        </w:rPr>
      </w:r>
      <w:r/>
    </w:p>
    <w:p>
      <w:pPr>
        <w:pStyle w:val="723"/>
        <w:numPr>
          <w:ilvl w:val="2"/>
          <w:numId w:val="8"/>
        </w:numPr>
        <w:ind w:left="1980" w:hanging="90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推广应用绿色建材</w:t>
      </w:r>
      <w:r>
        <w:rPr>
          <w:rFonts w:hint="eastAsia" w:ascii="宋体" w:hAnsi="宋体" w:eastAsia="宋体" w:cs="宋体"/>
          <w:szCs w:val="21"/>
        </w:rPr>
      </w:r>
      <w:r/>
    </w:p>
    <w:p>
      <w:pPr>
        <w:pStyle w:val="723"/>
        <w:numPr>
          <w:ilvl w:val="0"/>
          <w:numId w:val="0"/>
        </w:numPr>
        <w:ind w:left="108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rPr>
      </w:r>
      <w:r/>
    </w:p>
    <w:p>
      <w:pPr>
        <w:pStyle w:val="723"/>
        <w:numPr>
          <w:ilvl w:val="2"/>
          <w:numId w:val="8"/>
        </w:numPr>
        <w:ind w:left="1980" w:hanging="90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优先使用低挥发性有机化合物产品</w:t>
      </w:r>
      <w:r>
        <w:rPr>
          <w:rFonts w:hint="eastAsia" w:ascii="宋体" w:hAnsi="宋体" w:eastAsia="宋体" w:cs="宋体"/>
          <w:szCs w:val="21"/>
        </w:rPr>
      </w:r>
      <w:r/>
    </w:p>
    <w:p>
      <w:pPr>
        <w:pStyle w:val="723"/>
        <w:numPr>
          <w:ilvl w:val="0"/>
          <w:numId w:val="0"/>
        </w:numPr>
        <w:ind w:left="1080"/>
        <w:pageBreakBefore w:val="0"/>
        <w:spacing w:line="324"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响应费用</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rPr>
          <w:rFonts w:ascii="宋体" w:hAnsi="宋体" w:cs="宋体"/>
          <w:szCs w:val="21"/>
        </w:rPr>
      </w:r>
      <w:r/>
    </w:p>
    <w:p>
      <w:pPr>
        <w:pStyle w:val="723"/>
        <w:numPr>
          <w:ilvl w:val="0"/>
          <w:numId w:val="0"/>
        </w:numPr>
        <w:ind w:left="360"/>
        <w:pageBreakBefore w:val="0"/>
        <w:spacing w:line="324" w:lineRule="auto"/>
        <w:widowControl w:val="off"/>
        <w:tabs>
          <w:tab w:val="left" w:pos="1080" w:leader="none"/>
          <w:tab w:val="left" w:pos="2014" w:leader="none"/>
        </w:tabs>
      </w:pPr>
      <w:r/>
      <w:r/>
    </w:p>
    <w:p>
      <w:pPr>
        <w:pStyle w:val="725"/>
        <w:pageBreakBefore w:val="0"/>
        <w:spacing w:before="0" w:line="324" w:lineRule="auto"/>
        <w:widowControl w:val="off"/>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48"/>
      <w:r/>
      <w:bookmarkEnd w:id="51"/>
      <w:r/>
      <w:bookmarkEnd w:id="52"/>
      <w:r/>
      <w:bookmarkEnd w:id="54"/>
      <w:r/>
      <w:bookmarkEnd w:id="55"/>
      <w:r/>
      <w:bookmarkEnd w:id="56"/>
      <w:r/>
      <w:bookmarkEnd w:id="58"/>
      <w:r/>
      <w:bookmarkEnd w:id="59"/>
      <w:r/>
      <w:bookmarkEnd w:id="60"/>
      <w:r/>
      <w:bookmarkEnd w:id="61"/>
      <w:r/>
      <w:bookmarkEnd w:id="63"/>
      <w:r/>
      <w:bookmarkEnd w:id="72"/>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138" w:name="_Toc164229364"/>
      <w:r/>
      <w:bookmarkStart w:id="139" w:name="_Toc164351617"/>
      <w:r/>
      <w:bookmarkStart w:id="140" w:name="_Toc150480761"/>
      <w:r/>
      <w:bookmarkStart w:id="141" w:name="_Toc150774728"/>
      <w:r/>
      <w:bookmarkStart w:id="142" w:name="_Toc142311025"/>
      <w:r/>
      <w:bookmarkStart w:id="143" w:name="_Toc151193911"/>
      <w:r/>
      <w:bookmarkStart w:id="144" w:name="_Toc127161437"/>
      <w:r/>
      <w:bookmarkStart w:id="145" w:name="_Toc151193837"/>
      <w:r/>
      <w:bookmarkStart w:id="146" w:name="_Toc195842888"/>
      <w:r/>
      <w:bookmarkStart w:id="147" w:name="_Toc305158865"/>
      <w:r/>
      <w:bookmarkStart w:id="148" w:name="_Toc265228361"/>
      <w:r/>
      <w:bookmarkStart w:id="149" w:name="_Toc164608792"/>
      <w:r/>
      <w:bookmarkStart w:id="150" w:name="_Toc150774623"/>
      <w:r/>
      <w:bookmarkStart w:id="151" w:name="_Toc305158791"/>
      <w:r/>
      <w:bookmarkStart w:id="152" w:name="_Toc151193621"/>
      <w:r/>
      <w:bookmarkStart w:id="153" w:name="_Toc151193693"/>
      <w:r/>
      <w:bookmarkStart w:id="154" w:name="_Toc226337219"/>
      <w:r/>
      <w:bookmarkStart w:id="155" w:name="_Toc150509274"/>
      <w:r/>
      <w:bookmarkStart w:id="156" w:name="_Toc264969213"/>
      <w:r/>
      <w:bookmarkStart w:id="157" w:name="_Toc151193765"/>
      <w:r/>
      <w:bookmarkStart w:id="158" w:name="_Toc226309767"/>
      <w:r/>
      <w:bookmarkStart w:id="159" w:name="_Toc149720816"/>
      <w:r/>
      <w:bookmarkStart w:id="160" w:name="_Toc164229218"/>
      <w:r/>
      <w:bookmarkStart w:id="161" w:name="_Toc226965713"/>
      <w:r/>
      <w:bookmarkStart w:id="162" w:name="_Toc226965796"/>
      <w:r/>
      <w:bookmarkStart w:id="163" w:name="_Toc164608637"/>
      <w:r/>
      <w:bookmarkStart w:id="164" w:name="_Toc151190150"/>
      <w:r/>
      <w:bookmarkStart w:id="165" w:name="_Toc127151523"/>
      <w:r/>
      <w:bookmarkStart w:id="166" w:name="_Toc127151724"/>
      <w:r/>
      <w:bookmarkStart w:id="167" w:name="_Toc520356147"/>
      <w:r>
        <w:rPr>
          <w:rFonts w:hint="eastAsia" w:ascii="宋体" w:hAnsi="宋体" w:cs="宋体"/>
          <w:szCs w:val="21"/>
        </w:rPr>
        <w:t xml:space="preserve">竞争性磋商文件构</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宋体"/>
          <w:szCs w:val="21"/>
        </w:rPr>
        <w:t xml:space="preserve">成</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竞争性磋商文件包括以下部分：</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采购邀请</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供应商须知</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评审程序、评审方法和评审标准</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合同草案条款</w:t>
      </w:r>
      <w:r>
        <w:rPr>
          <w:rFonts w:ascii="宋体" w:hAnsi="宋体" w:cs="宋体"/>
          <w:szCs w:val="21"/>
        </w:rPr>
      </w:r>
      <w:r/>
    </w:p>
    <w:p>
      <w:pPr>
        <w:pStyle w:val="723"/>
        <w:numPr>
          <w:ilvl w:val="0"/>
          <w:numId w:val="9"/>
        </w:numPr>
        <w:ind w:left="1440" w:firstLine="5"/>
        <w:pageBreakBefore w:val="0"/>
        <w:spacing w:line="324"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响应文件格式</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0"/>
          <w:numId w:val="8"/>
        </w:numPr>
        <w:ind w:left="357" w:hanging="357"/>
        <w:pageBreakBefore w:val="0"/>
        <w:spacing w:line="324" w:lineRule="auto"/>
        <w:widowControl w:val="off"/>
        <w:tabs>
          <w:tab w:val="left" w:pos="900" w:leader="none"/>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szCs w:val="21"/>
        </w:rPr>
      </w:r>
      <w:r/>
    </w:p>
    <w:p>
      <w:pPr>
        <w:pStyle w:val="723"/>
        <w:ind w:left="1080"/>
        <w:pageBreakBefore w:val="0"/>
        <w:spacing w:line="324" w:lineRule="auto"/>
        <w:widowControl w:val="off"/>
        <w:tabs>
          <w:tab w:val="left" w:pos="1080" w:leader="none"/>
          <w:tab w:val="left" w:pos="1561" w:leader="none"/>
        </w:tabs>
        <w:rPr>
          <w:sz w:val="28"/>
        </w:rPr>
      </w:pPr>
      <w:r/>
      <w:bookmarkStart w:id="168" w:name="_Toc516367020"/>
      <w:r/>
      <w:bookmarkStart w:id="169" w:name="_Toc151193696"/>
      <w:r/>
      <w:bookmarkStart w:id="170" w:name="_Toc226309770"/>
      <w:r/>
      <w:bookmarkStart w:id="171" w:name="_Toc305158794"/>
      <w:r/>
      <w:bookmarkStart w:id="172" w:name="_Toc142311028"/>
      <w:r/>
      <w:bookmarkStart w:id="173" w:name="_Toc226965799"/>
      <w:r/>
      <w:bookmarkStart w:id="174" w:name="_Toc195842891"/>
      <w:r/>
      <w:bookmarkStart w:id="175" w:name="_Toc264969216"/>
      <w:r/>
      <w:bookmarkStart w:id="176" w:name="_Toc520356150"/>
      <w:r/>
      <w:bookmarkStart w:id="177" w:name="_Toc151193624"/>
      <w:r/>
      <w:bookmarkStart w:id="178" w:name="_Toc151193840"/>
      <w:r/>
      <w:bookmarkStart w:id="179" w:name="_Toc226965716"/>
      <w:r/>
      <w:bookmarkStart w:id="180" w:name="_Toc305158868"/>
      <w:r/>
      <w:bookmarkStart w:id="181" w:name="_Toc151193768"/>
      <w:r/>
      <w:bookmarkStart w:id="182" w:name="_Toc127151526"/>
      <w:r/>
      <w:bookmarkStart w:id="183" w:name="_Toc150509277"/>
      <w:r/>
      <w:bookmarkStart w:id="184" w:name="_Toc150774731"/>
      <w:r/>
      <w:bookmarkStart w:id="185" w:name="_Toc226337222"/>
      <w:r/>
      <w:bookmarkStart w:id="186" w:name="_Toc151193914"/>
      <w:r/>
      <w:bookmarkStart w:id="187" w:name="_Toc265228364"/>
      <w:r/>
      <w:bookmarkStart w:id="188" w:name="_Toc151190153"/>
      <w:r/>
      <w:bookmarkStart w:id="189" w:name="_Toc150480764"/>
      <w:r/>
      <w:bookmarkStart w:id="190" w:name="_Toc150774626"/>
      <w:r>
        <w:rPr>
          <w:sz w:val="28"/>
        </w:rPr>
      </w:r>
      <w:r/>
    </w:p>
    <w:p>
      <w:pPr>
        <w:pStyle w:val="725"/>
        <w:pageBreakBefore w:val="0"/>
        <w:spacing w:before="0" w:line="324" w:lineRule="auto"/>
        <w:widowControl w:val="off"/>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8"/>
      <w:r>
        <w:rPr>
          <w:rFonts w:ascii="Times New Roman" w:hAnsi="Times New Roman" w:eastAsia="宋体"/>
          <w:sz w:val="28"/>
        </w:rPr>
        <w:t xml:space="preserve">的编制</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ascii="Times New Roman" w:hAnsi="Times New Roman" w:eastAsia="宋体"/>
          <w:sz w:val="28"/>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191" w:name="_Toc516367021"/>
      <w:r/>
      <w:bookmarkStart w:id="192" w:name="_Toc226309771"/>
      <w:r/>
      <w:bookmarkStart w:id="193" w:name="_Toc151193841"/>
      <w:r/>
      <w:bookmarkStart w:id="194" w:name="_Toc265228365"/>
      <w:r/>
      <w:bookmarkStart w:id="195" w:name="_Toc150774627"/>
      <w:r/>
      <w:bookmarkStart w:id="196" w:name="_Toc150509278"/>
      <w:r/>
      <w:bookmarkStart w:id="197" w:name="_Toc195842892"/>
      <w:r/>
      <w:bookmarkStart w:id="198" w:name="_Toc164608641"/>
      <w:r/>
      <w:bookmarkStart w:id="199" w:name="_Toc127161441"/>
      <w:r/>
      <w:bookmarkStart w:id="200" w:name="_Toc127151728"/>
      <w:r/>
      <w:bookmarkStart w:id="201" w:name="_Toc142311029"/>
      <w:r/>
      <w:bookmarkStart w:id="202" w:name="_Toc226965717"/>
      <w:r/>
      <w:bookmarkStart w:id="203" w:name="_Toc164229222"/>
      <w:r/>
      <w:bookmarkStart w:id="204" w:name="_Toc151193769"/>
      <w:r/>
      <w:bookmarkStart w:id="205" w:name="_Toc151193697"/>
      <w:r/>
      <w:bookmarkStart w:id="206" w:name="_Toc150480765"/>
      <w:r/>
      <w:bookmarkStart w:id="207" w:name="_Toc151190154"/>
      <w:r/>
      <w:bookmarkStart w:id="208" w:name="_Toc151193625"/>
      <w:r/>
      <w:bookmarkStart w:id="209" w:name="_Toc520356151"/>
      <w:r/>
      <w:bookmarkStart w:id="210" w:name="_Toc150774732"/>
      <w:r/>
      <w:bookmarkStart w:id="211" w:name="_Toc151193915"/>
      <w:r/>
      <w:bookmarkStart w:id="212" w:name="_Toc305158795"/>
      <w:r/>
      <w:bookmarkStart w:id="213" w:name="_Toc264969217"/>
      <w:r/>
      <w:bookmarkStart w:id="214" w:name="_Toc305158869"/>
      <w:r/>
      <w:bookmarkStart w:id="215" w:name="_Toc226337223"/>
      <w:r/>
      <w:bookmarkStart w:id="216" w:name="_Toc164351621"/>
      <w:r/>
      <w:bookmarkStart w:id="217" w:name="_Toc164229368"/>
      <w:r/>
      <w:bookmarkStart w:id="218" w:name="_Toc127151527"/>
      <w:r/>
      <w:bookmarkStart w:id="219" w:name="_Toc226965800"/>
      <w:r/>
      <w:bookmarkStart w:id="220" w:name="_Toc149720820"/>
      <w:r/>
      <w:bookmarkStart w:id="221" w:name="_Toc164608796"/>
      <w:r>
        <w:rPr>
          <w:rFonts w:hint="eastAsia" w:ascii="宋体" w:hAnsi="宋体" w:cs="宋体"/>
          <w:szCs w:val="21"/>
        </w:rPr>
        <w:t xml:space="preserve">响应范围、竞争性磋商文件中计量单位的使用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cs="宋体"/>
          <w:szCs w:val="21"/>
        </w:rPr>
        <w:t xml:space="preserve">及磋商语言</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222" w:name="_Toc164351622"/>
      <w:r/>
      <w:bookmarkStart w:id="223" w:name="_Toc142311030"/>
      <w:r/>
      <w:bookmarkStart w:id="224" w:name="_Toc151193842"/>
      <w:r/>
      <w:bookmarkStart w:id="225" w:name="_Toc226965801"/>
      <w:r/>
      <w:bookmarkStart w:id="226" w:name="_Toc127161442"/>
      <w:r/>
      <w:bookmarkStart w:id="227" w:name="_Toc305158870"/>
      <w:r/>
      <w:bookmarkStart w:id="228" w:name="_Toc226309772"/>
      <w:r/>
      <w:bookmarkStart w:id="229" w:name="_Toc151193916"/>
      <w:r/>
      <w:bookmarkStart w:id="230" w:name="_Toc195842893"/>
      <w:r/>
      <w:bookmarkStart w:id="231" w:name="_Toc164608797"/>
      <w:r/>
      <w:bookmarkStart w:id="232" w:name="_Toc151193698"/>
      <w:r/>
      <w:bookmarkStart w:id="233" w:name="_Toc149720821"/>
      <w:r/>
      <w:bookmarkStart w:id="234" w:name="_Toc265228366"/>
      <w:r/>
      <w:bookmarkStart w:id="235" w:name="_Toc150509279"/>
      <w:r/>
      <w:bookmarkStart w:id="236" w:name="_Toc264969218"/>
      <w:r/>
      <w:bookmarkStart w:id="237" w:name="_Toc305158796"/>
      <w:r/>
      <w:bookmarkStart w:id="238" w:name="_Toc164229369"/>
      <w:r/>
      <w:bookmarkStart w:id="239" w:name="_Toc164229223"/>
      <w:r/>
      <w:bookmarkStart w:id="240" w:name="_Toc151193626"/>
      <w:r/>
      <w:bookmarkStart w:id="241" w:name="_Toc226965718"/>
      <w:r/>
      <w:bookmarkStart w:id="242" w:name="_Toc127151528"/>
      <w:r/>
      <w:bookmarkStart w:id="243" w:name="_Toc520356152"/>
      <w:r/>
      <w:bookmarkStart w:id="244" w:name="_Toc150774733"/>
      <w:r/>
      <w:bookmarkStart w:id="245" w:name="_Toc151190155"/>
      <w:r/>
      <w:bookmarkStart w:id="246" w:name="_Toc164608642"/>
      <w:r/>
      <w:bookmarkStart w:id="247" w:name="_Toc226337224"/>
      <w:r/>
      <w:bookmarkStart w:id="248" w:name="_Toc150480766"/>
      <w:r/>
      <w:bookmarkStart w:id="249" w:name="_Ref467306676"/>
      <w:r/>
      <w:bookmarkStart w:id="250" w:name="_Ref467306195"/>
      <w:r/>
      <w:bookmarkStart w:id="251" w:name="_Toc516367022"/>
      <w:r/>
      <w:bookmarkStart w:id="252" w:name="_Toc151193770"/>
      <w:r/>
      <w:bookmarkStart w:id="253" w:name="_Toc150774628"/>
      <w:r/>
      <w:bookmarkStart w:id="254" w:name="_Toc127151729"/>
      <w:r>
        <w:rPr>
          <w:rFonts w:hint="eastAsia" w:ascii="宋体" w:hAnsi="宋体" w:cs="宋体"/>
          <w:szCs w:val="21"/>
        </w:rPr>
        <w:t xml:space="preserve">响应文件</w:t>
      </w:r>
      <w:bookmarkEnd w:id="249"/>
      <w:r/>
      <w:bookmarkEnd w:id="250"/>
      <w:r/>
      <w:bookmarkEnd w:id="251"/>
      <w:r>
        <w:rPr>
          <w:rFonts w:hint="eastAsia" w:ascii="宋体" w:hAnsi="宋体" w:cs="宋体"/>
          <w:szCs w:val="21"/>
        </w:rPr>
        <w:t xml:space="preserve">构成</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52"/>
      <w:r/>
      <w:bookmarkEnd w:id="253"/>
      <w:r/>
      <w:bookmarkEnd w:id="254"/>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bookmarkStart w:id="255"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对于竞争性磋商文件成交记了“实质性格式”文件的，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55"/>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256" w:name="_Toc149720823"/>
      <w:r/>
      <w:bookmarkStart w:id="257" w:name="_Toc164229371"/>
      <w:r/>
      <w:bookmarkStart w:id="258" w:name="_Toc150774735"/>
      <w:r/>
      <w:bookmarkStart w:id="259" w:name="_Toc164351624"/>
      <w:r/>
      <w:bookmarkStart w:id="260" w:name="_Toc127161444"/>
      <w:r/>
      <w:bookmarkStart w:id="261" w:name="_Toc164229225"/>
      <w:r/>
      <w:bookmarkStart w:id="262" w:name="_Toc520356155"/>
      <w:r/>
      <w:bookmarkStart w:id="263" w:name="_Toc151193700"/>
      <w:r/>
      <w:bookmarkStart w:id="264" w:name="_Toc127151530"/>
      <w:r/>
      <w:bookmarkStart w:id="265" w:name="_Toc151193844"/>
      <w:r/>
      <w:bookmarkStart w:id="266" w:name="_Toc127151731"/>
      <w:r/>
      <w:bookmarkStart w:id="267" w:name="_Toc151190157"/>
      <w:r/>
      <w:bookmarkStart w:id="268" w:name="_Toc151193628"/>
      <w:r/>
      <w:bookmarkStart w:id="269" w:name="_Toc150480768"/>
      <w:r/>
      <w:bookmarkStart w:id="270" w:name="_Toc195842895"/>
      <w:r/>
      <w:bookmarkStart w:id="271" w:name="_Toc151193918"/>
      <w:r/>
      <w:bookmarkStart w:id="272" w:name="_Toc142311032"/>
      <w:r/>
      <w:bookmarkStart w:id="273" w:name="_Toc164608799"/>
      <w:r/>
      <w:bookmarkStart w:id="274" w:name="_Toc150509281"/>
      <w:r/>
      <w:bookmarkStart w:id="275" w:name="_Toc150774630"/>
      <w:r/>
      <w:bookmarkStart w:id="276" w:name="_Toc151193772"/>
      <w:r/>
      <w:bookmarkStart w:id="277" w:name="_Toc164608644"/>
      <w:r>
        <w:rPr>
          <w:rFonts w:hint="eastAsia" w:ascii="宋体" w:hAnsi="宋体" w:cs="宋体"/>
          <w:szCs w:val="21"/>
        </w:rPr>
        <w:t xml:space="preserve">报价</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所有响应均以人民币报价。</w:t>
      </w:r>
      <w:r>
        <w:rPr>
          <w:rFonts w:ascii="宋体" w:hAnsi="宋体" w:cs="宋体"/>
          <w:szCs w:val="21"/>
        </w:rPr>
      </w:r>
      <w:r/>
    </w:p>
    <w:p>
      <w:pPr>
        <w:pStyle w:val="723"/>
        <w:numPr>
          <w:ilvl w:val="1"/>
          <w:numId w:val="8"/>
        </w:numPr>
        <w:pageBreakBefore w:val="0"/>
        <w:spacing w:line="324" w:lineRule="auto"/>
        <w:widowControl w:val="off"/>
        <w:tabs>
          <w:tab w:val="left" w:pos="1080" w:leader="none"/>
          <w:tab w:val="left" w:pos="1589"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按照竞争性磋商文件要求完成本项目的全部相关工程或服务费用。</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磋商保证金</w:t>
      </w:r>
      <w:r>
        <w:rPr>
          <w:rFonts w:ascii="宋体" w:hAnsi="宋体" w:cs="宋体"/>
          <w:szCs w:val="21"/>
        </w:rPr>
      </w:r>
      <w:r/>
    </w:p>
    <w:p>
      <w:pPr>
        <w:pStyle w:val="723"/>
        <w:ind w:firstLine="315"/>
        <w:pageBreakBefore w:val="0"/>
        <w:spacing w:line="324" w:lineRule="auto"/>
        <w:widowControl w:val="off"/>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响应有效期</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278" w:name="_Toc265228371"/>
      <w:r/>
      <w:bookmarkStart w:id="279" w:name="_Toc226309777"/>
      <w:r/>
      <w:bookmarkStart w:id="280" w:name="_Toc305158801"/>
      <w:r/>
      <w:bookmarkStart w:id="281" w:name="_Toc150774738"/>
      <w:r/>
      <w:bookmarkStart w:id="282" w:name="_Toc150509284"/>
      <w:r/>
      <w:bookmarkStart w:id="283" w:name="_Toc151190160"/>
      <w:r/>
      <w:bookmarkStart w:id="284" w:name="_Toc127151533"/>
      <w:r/>
      <w:bookmarkStart w:id="285" w:name="_Toc151193921"/>
      <w:r/>
      <w:bookmarkStart w:id="286" w:name="_Toc149720826"/>
      <w:r/>
      <w:bookmarkStart w:id="287" w:name="_Toc164351627"/>
      <w:r/>
      <w:bookmarkStart w:id="288" w:name="_Toc305158875"/>
      <w:r/>
      <w:bookmarkStart w:id="289" w:name="_Toc142311035"/>
      <w:r/>
      <w:bookmarkStart w:id="290" w:name="_Toc520356158"/>
      <w:r/>
      <w:bookmarkStart w:id="291" w:name="_Toc195842898"/>
      <w:r/>
      <w:bookmarkStart w:id="292" w:name="_Toc127161447"/>
      <w:r/>
      <w:bookmarkStart w:id="293" w:name="_Toc226337229"/>
      <w:r/>
      <w:bookmarkStart w:id="294" w:name="_Toc151193847"/>
      <w:r/>
      <w:bookmarkStart w:id="295" w:name="_Toc164229228"/>
      <w:r/>
      <w:bookmarkStart w:id="296" w:name="_Toc226965806"/>
      <w:r/>
      <w:bookmarkStart w:id="297" w:name="_Toc164608802"/>
      <w:r/>
      <w:bookmarkStart w:id="298" w:name="_Toc151193631"/>
      <w:r/>
      <w:bookmarkStart w:id="299" w:name="_Toc127151734"/>
      <w:r/>
      <w:bookmarkStart w:id="300" w:name="_Toc164229374"/>
      <w:r/>
      <w:bookmarkStart w:id="301" w:name="_Toc151193703"/>
      <w:r/>
      <w:bookmarkStart w:id="302" w:name="_Toc150774633"/>
      <w:r/>
      <w:bookmarkStart w:id="303" w:name="_Toc226965723"/>
      <w:r/>
      <w:bookmarkStart w:id="304" w:name="_Toc150480771"/>
      <w:r/>
      <w:bookmarkStart w:id="305" w:name="_Toc264969223"/>
      <w:r/>
      <w:bookmarkStart w:id="306" w:name="_Toc151193775"/>
      <w:r/>
      <w:bookmarkStart w:id="307" w:name="_Toc164608647"/>
      <w:r>
        <w:rPr>
          <w:rFonts w:hint="eastAsia" w:ascii="宋体" w:hAnsi="宋体" w:cs="宋体"/>
          <w:szCs w:val="21"/>
        </w:rPr>
        <w:t xml:space="preserve">响应文件的份数、签署</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szCs w:val="21"/>
        </w:rPr>
        <w:t xml:space="preserve">、盖章</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bookmarkStart w:id="308" w:name="_Toc265228372"/>
      <w:r/>
      <w:bookmarkStart w:id="309" w:name="_Toc150774634"/>
      <w:r/>
      <w:bookmarkStart w:id="310" w:name="_Toc142311036"/>
      <w:r/>
      <w:bookmarkStart w:id="311" w:name="_Toc127151534"/>
      <w:r/>
      <w:bookmarkStart w:id="312" w:name="_Toc151193704"/>
      <w:r/>
      <w:bookmarkStart w:id="313" w:name="_Toc520356159"/>
      <w:r/>
      <w:bookmarkStart w:id="314" w:name="_Toc195842899"/>
      <w:r/>
      <w:bookmarkStart w:id="315" w:name="_Toc305158802"/>
      <w:r/>
      <w:bookmarkStart w:id="316" w:name="_Toc226337230"/>
      <w:r/>
      <w:bookmarkStart w:id="317" w:name="_Toc151190161"/>
      <w:r/>
      <w:bookmarkStart w:id="318" w:name="_Toc305158876"/>
      <w:r/>
      <w:bookmarkStart w:id="319" w:name="_Toc226965724"/>
      <w:r/>
      <w:bookmarkStart w:id="320" w:name="_Toc151193632"/>
      <w:r/>
      <w:bookmarkStart w:id="321" w:name="_Toc151193848"/>
      <w:r/>
      <w:bookmarkStart w:id="322" w:name="_Toc226309778"/>
      <w:r/>
      <w:bookmarkStart w:id="323" w:name="_Toc151193922"/>
      <w:r/>
      <w:bookmarkStart w:id="324" w:name="_Toc151193776"/>
      <w:r/>
      <w:bookmarkStart w:id="325" w:name="_Toc226965807"/>
      <w:r/>
      <w:bookmarkStart w:id="326" w:name="_Toc150774739"/>
      <w:r/>
      <w:bookmarkStart w:id="327" w:name="_Toc150509285"/>
      <w:r/>
      <w:bookmarkStart w:id="328" w:name="_Toc264969224"/>
      <w:r/>
      <w:bookmarkStart w:id="329" w:name="_Toc150480772"/>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rPr>
          <w:sz w:val="24"/>
        </w:rPr>
      </w:r>
      <w:r/>
    </w:p>
    <w:p>
      <w:pPr>
        <w:pStyle w:val="723"/>
        <w:ind w:left="357"/>
        <w:pageBreakBefore w:val="0"/>
        <w:spacing w:line="324" w:lineRule="auto"/>
        <w:widowControl w:val="off"/>
        <w:tabs>
          <w:tab w:val="left" w:pos="900" w:leader="none"/>
          <w:tab w:val="left" w:pos="1080" w:leader="none"/>
        </w:tabs>
      </w:pPr>
      <w:r/>
      <w:r/>
    </w:p>
    <w:p>
      <w:pPr>
        <w:pStyle w:val="725"/>
        <w:pageBreakBefore w:val="0"/>
        <w:spacing w:before="0" w:line="324" w:lineRule="auto"/>
        <w:widowControl w:val="off"/>
        <w:rPr>
          <w:rFonts w:ascii="Times New Roman" w:hAnsi="Times New Roman" w:eastAsia="宋体"/>
          <w:sz w:val="28"/>
        </w:rPr>
      </w:pPr>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Start w:id="330"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rPr>
          <w:rFonts w:ascii="Times New Roman" w:hAnsi="Times New Roman" w:eastAsia="宋体"/>
          <w:sz w:val="28"/>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spacing w:val="2"/>
          <w:szCs w:val="21"/>
        </w:rPr>
        <w:outlineLvl w:val="1"/>
      </w:pPr>
      <w:r/>
      <w:bookmarkStart w:id="331" w:name="_Toc520356160"/>
      <w:r/>
      <w:bookmarkStart w:id="332" w:name="_Toc151193777"/>
      <w:r/>
      <w:bookmarkStart w:id="333" w:name="_Toc164351629"/>
      <w:r/>
      <w:bookmarkStart w:id="334" w:name="_Toc265228373"/>
      <w:r/>
      <w:bookmarkStart w:id="335" w:name="_Toc164608649"/>
      <w:r/>
      <w:bookmarkStart w:id="336" w:name="_Toc127151736"/>
      <w:r/>
      <w:bookmarkStart w:id="337" w:name="_Toc151193633"/>
      <w:r/>
      <w:bookmarkStart w:id="338" w:name="_Toc151193849"/>
      <w:r/>
      <w:bookmarkStart w:id="339" w:name="_Toc150509286"/>
      <w:r/>
      <w:bookmarkStart w:id="340" w:name="_Toc127161449"/>
      <w:r/>
      <w:bookmarkStart w:id="341" w:name="_Toc142311037"/>
      <w:r/>
      <w:bookmarkStart w:id="342" w:name="_Toc150480773"/>
      <w:r/>
      <w:bookmarkStart w:id="343" w:name="_Toc151193705"/>
      <w:r/>
      <w:bookmarkStart w:id="344" w:name="_Toc305158803"/>
      <w:r/>
      <w:bookmarkStart w:id="345" w:name="_Toc195842900"/>
      <w:r/>
      <w:bookmarkStart w:id="346" w:name="_Toc226309779"/>
      <w:r/>
      <w:bookmarkStart w:id="347" w:name="_Toc149720828"/>
      <w:r/>
      <w:bookmarkStart w:id="348" w:name="_Toc164229230"/>
      <w:r/>
      <w:bookmarkStart w:id="349" w:name="_Toc226965725"/>
      <w:r/>
      <w:bookmarkStart w:id="350" w:name="_Toc164608804"/>
      <w:r/>
      <w:bookmarkStart w:id="351" w:name="_Toc164229376"/>
      <w:r/>
      <w:bookmarkStart w:id="352" w:name="_Toc151190162"/>
      <w:r/>
      <w:bookmarkStart w:id="353" w:name="_Toc226965808"/>
      <w:r/>
      <w:bookmarkStart w:id="354" w:name="_Toc226337231"/>
      <w:r/>
      <w:bookmarkStart w:id="355" w:name="_Toc150774635"/>
      <w:r/>
      <w:bookmarkStart w:id="356" w:name="_Toc127151535"/>
      <w:r/>
      <w:bookmarkStart w:id="357" w:name="_Toc305158877"/>
      <w:r/>
      <w:bookmarkStart w:id="358" w:name="_Toc151193923"/>
      <w:r/>
      <w:bookmarkStart w:id="359" w:name="_Toc150774740"/>
      <w:r/>
      <w:bookmarkStart w:id="360" w:name="_Toc264969225"/>
      <w:r>
        <w:rPr>
          <w:szCs w:val="21"/>
        </w:rPr>
        <w:t xml:space="preserve">响应文件的</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szCs w:val="21"/>
        </w:rPr>
        <w:t xml:space="preserve">提交</w:t>
      </w:r>
      <w:r>
        <w:rPr>
          <w:rFonts w:ascii="宋体" w:hAnsi="宋体"/>
          <w:spacing w:val="2"/>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szCs w:val="32"/>
        </w:rPr>
        <w:t xml:space="preserve">“苏采云”政府采购一体化平台</w:t>
      </w:r>
      <w:r>
        <w:rPr>
          <w:rFonts w:hint="eastAsia" w:ascii="宋体" w:hAnsi="宋体" w:cs="宋体"/>
          <w:szCs w:val="21"/>
        </w:rPr>
        <w:t xml:space="preserve">供应商操作手册要求编制、生成并提交电子响应文件。</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szCs w:val="21"/>
        </w:rPr>
        <w:outlineLvl w:val="1"/>
      </w:pPr>
      <w:r/>
      <w:bookmarkStart w:id="361" w:name="_Toc151193634"/>
      <w:r/>
      <w:bookmarkStart w:id="362" w:name="_Toc520356161"/>
      <w:r/>
      <w:bookmarkStart w:id="363" w:name="_Toc151190163"/>
      <w:r/>
      <w:bookmarkStart w:id="364" w:name="_Toc150509287"/>
      <w:r/>
      <w:bookmarkStart w:id="365" w:name="_Toc226965726"/>
      <w:r/>
      <w:bookmarkStart w:id="366" w:name="_Toc164351630"/>
      <w:r/>
      <w:bookmarkStart w:id="367" w:name="_Toc164608805"/>
      <w:r/>
      <w:bookmarkStart w:id="368" w:name="_Toc151193924"/>
      <w:r/>
      <w:bookmarkStart w:id="369" w:name="_Toc305158878"/>
      <w:r/>
      <w:bookmarkStart w:id="370" w:name="_Toc226965809"/>
      <w:r/>
      <w:bookmarkStart w:id="371" w:name="_Toc164229377"/>
      <w:r/>
      <w:bookmarkStart w:id="372" w:name="_Toc127151536"/>
      <w:r/>
      <w:bookmarkStart w:id="373" w:name="_Toc150480774"/>
      <w:r/>
      <w:bookmarkStart w:id="374" w:name="_Toc150774636"/>
      <w:r/>
      <w:bookmarkStart w:id="375" w:name="_Toc150774741"/>
      <w:r/>
      <w:bookmarkStart w:id="376" w:name="_Toc164229231"/>
      <w:r/>
      <w:bookmarkStart w:id="377" w:name="_Toc127161450"/>
      <w:r/>
      <w:bookmarkStart w:id="378" w:name="_Toc151193778"/>
      <w:r/>
      <w:bookmarkStart w:id="379" w:name="_Toc265228374"/>
      <w:r/>
      <w:bookmarkStart w:id="380" w:name="_Toc226337232"/>
      <w:r/>
      <w:bookmarkStart w:id="381" w:name="_Toc195842901"/>
      <w:r/>
      <w:bookmarkStart w:id="382" w:name="_Toc151193850"/>
      <w:r/>
      <w:bookmarkStart w:id="383" w:name="_Toc142311038"/>
      <w:r/>
      <w:bookmarkStart w:id="384" w:name="_Toc127151737"/>
      <w:r/>
      <w:bookmarkStart w:id="385" w:name="_Toc264969226"/>
      <w:r/>
      <w:bookmarkStart w:id="386" w:name="_Toc149720829"/>
      <w:r/>
      <w:bookmarkStart w:id="387" w:name="_Toc151193706"/>
      <w:r/>
      <w:bookmarkStart w:id="388" w:name="_Toc305158804"/>
      <w:r/>
      <w:bookmarkStart w:id="389" w:name="_Toc226309780"/>
      <w:r/>
      <w:bookmarkStart w:id="390" w:name="_Toc164608650"/>
      <w:r>
        <w:rPr>
          <w:rFonts w:hint="eastAsia"/>
          <w:szCs w:val="21"/>
        </w:rPr>
        <w:t xml:space="preserve">响应文件截止</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szCs w:val="21"/>
        </w:rPr>
        <w:t xml:space="preserve">时间</w:t>
      </w:r>
      <w:r>
        <w:rPr>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w:t>
      </w:r>
      <w:r>
        <w:rPr>
          <w:rFonts w:hint="eastAsia"/>
          <w:szCs w:val="32"/>
        </w:rPr>
        <w:t xml:space="preserve">“苏采云”政府采购一体化平台</w:t>
      </w:r>
      <w:r>
        <w:rPr>
          <w:rFonts w:hint="eastAsia" w:ascii="宋体" w:hAnsi="宋体" w:cs="宋体"/>
          <w:szCs w:val="21"/>
        </w:rPr>
        <w:t xml:space="preserve">。</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szCs w:val="21"/>
        </w:rPr>
        <w:outlineLvl w:val="1"/>
      </w:pPr>
      <w:r/>
      <w:bookmarkStart w:id="391" w:name="_Toc151193851"/>
      <w:r/>
      <w:bookmarkStart w:id="392" w:name="_Toc164351631"/>
      <w:r/>
      <w:bookmarkStart w:id="393" w:name="_Toc164229378"/>
      <w:r/>
      <w:bookmarkStart w:id="394" w:name="_Toc149720830"/>
      <w:r/>
      <w:bookmarkStart w:id="395" w:name="_Toc305158805"/>
      <w:r/>
      <w:bookmarkStart w:id="396" w:name="_Toc151193707"/>
      <w:r/>
      <w:bookmarkStart w:id="397" w:name="_Toc520356162"/>
      <w:r/>
      <w:bookmarkStart w:id="398" w:name="_Toc150774637"/>
      <w:r/>
      <w:bookmarkStart w:id="399" w:name="_Toc226965810"/>
      <w:r/>
      <w:bookmarkStart w:id="400" w:name="_Toc305158879"/>
      <w:r/>
      <w:bookmarkStart w:id="401" w:name="_Toc127161451"/>
      <w:r/>
      <w:bookmarkStart w:id="402" w:name="_Toc151193925"/>
      <w:r/>
      <w:bookmarkStart w:id="403" w:name="_Toc150509288"/>
      <w:r/>
      <w:bookmarkStart w:id="404" w:name="_Toc150480775"/>
      <w:r/>
      <w:bookmarkStart w:id="405" w:name="_Toc127151738"/>
      <w:r/>
      <w:bookmarkStart w:id="406" w:name="_Toc226309781"/>
      <w:r/>
      <w:bookmarkStart w:id="407" w:name="_Toc164608651"/>
      <w:r/>
      <w:bookmarkStart w:id="408" w:name="_Toc265228375"/>
      <w:r/>
      <w:bookmarkStart w:id="409" w:name="_Toc151193779"/>
      <w:r/>
      <w:bookmarkStart w:id="410" w:name="_Toc151190164"/>
      <w:r/>
      <w:bookmarkStart w:id="411" w:name="_Toc195842902"/>
      <w:r/>
      <w:bookmarkStart w:id="412" w:name="_Toc164229232"/>
      <w:r/>
      <w:bookmarkStart w:id="413" w:name="_Toc264969227"/>
      <w:r/>
      <w:bookmarkStart w:id="414" w:name="_Toc127151537"/>
      <w:r/>
      <w:bookmarkStart w:id="415" w:name="_Toc226337233"/>
      <w:r/>
      <w:bookmarkStart w:id="416" w:name="_Toc151193635"/>
      <w:r/>
      <w:bookmarkStart w:id="417" w:name="_Toc150774742"/>
      <w:r/>
      <w:bookmarkStart w:id="418" w:name="_Toc164608806"/>
      <w:r/>
      <w:bookmarkStart w:id="419" w:name="_Toc142311039"/>
      <w:r/>
      <w:bookmarkStart w:id="420" w:name="_Toc226965727"/>
      <w:r>
        <w:rPr>
          <w:rFonts w:hint="eastAsia"/>
          <w:szCs w:val="21"/>
        </w:rPr>
        <w:t xml:space="preserve">响应文件的修改与撤回</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szCs w:val="21"/>
        </w:rPr>
      </w:r>
      <w:r/>
    </w:p>
    <w:p>
      <w:pPr>
        <w:pStyle w:val="723"/>
        <w:ind w:left="357"/>
        <w:pageBreakBefore w:val="0"/>
        <w:spacing w:line="324" w:lineRule="auto"/>
        <w:widowControl w:val="off"/>
        <w:tabs>
          <w:tab w:val="left" w:pos="900" w:leader="none"/>
          <w:tab w:val="left" w:pos="1080" w:leader="none"/>
          <w:tab w:val="left" w:pos="1589" w:leader="none"/>
        </w:tabs>
        <w:rPr>
          <w:szCs w:val="21"/>
        </w:rPr>
      </w:pPr>
      <w:r>
        <w:rPr>
          <w:szCs w:val="21"/>
        </w:rPr>
      </w:r>
      <w:r/>
    </w:p>
    <w:p>
      <w:pPr>
        <w:pStyle w:val="725"/>
        <w:pageBreakBefore w:val="0"/>
        <w:spacing w:before="0" w:line="324" w:lineRule="auto"/>
        <w:widowControl w:val="off"/>
        <w:rPr>
          <w:rFonts w:ascii="Times New Roman" w:hAnsi="Times New Roman" w:eastAsia="宋体"/>
          <w:sz w:val="28"/>
        </w:rPr>
      </w:pPr>
      <w:r/>
      <w:bookmarkStart w:id="421" w:name="_Toc151193708"/>
      <w:r/>
      <w:bookmarkStart w:id="422" w:name="_Toc305158880"/>
      <w:r/>
      <w:bookmarkStart w:id="423" w:name="_Toc150480776"/>
      <w:r/>
      <w:bookmarkStart w:id="424" w:name="_Toc150509289"/>
      <w:r/>
      <w:bookmarkStart w:id="425" w:name="_Toc127151538"/>
      <w:r/>
      <w:bookmarkStart w:id="426" w:name="_Toc226965728"/>
      <w:r/>
      <w:bookmarkStart w:id="427" w:name="_Toc265228376"/>
      <w:r/>
      <w:bookmarkStart w:id="428" w:name="_Toc226337234"/>
      <w:r/>
      <w:bookmarkStart w:id="429" w:name="_Toc142311040"/>
      <w:r/>
      <w:bookmarkStart w:id="430" w:name="_Toc305158806"/>
      <w:r/>
      <w:bookmarkStart w:id="431" w:name="_Toc151193780"/>
      <w:r/>
      <w:bookmarkStart w:id="432" w:name="_Toc150774638"/>
      <w:r/>
      <w:bookmarkStart w:id="433" w:name="_Toc226965811"/>
      <w:r/>
      <w:bookmarkStart w:id="434" w:name="_Toc151190165"/>
      <w:r/>
      <w:bookmarkStart w:id="435" w:name="_Toc151193852"/>
      <w:r/>
      <w:bookmarkStart w:id="436" w:name="_Toc195842903"/>
      <w:r/>
      <w:bookmarkStart w:id="437" w:name="_Toc264969228"/>
      <w:r/>
      <w:bookmarkStart w:id="438" w:name="_Toc520356163"/>
      <w:r/>
      <w:bookmarkStart w:id="439" w:name="_Toc151193636"/>
      <w:r/>
      <w:bookmarkStart w:id="440" w:name="_Toc150774743"/>
      <w:r/>
      <w:bookmarkStart w:id="441" w:name="_Toc151193926"/>
      <w:r/>
      <w:bookmarkStart w:id="442" w:name="_Toc226309782"/>
      <w:r>
        <w:rPr>
          <w:rFonts w:ascii="Times New Roman" w:hAnsi="Times New Roman" w:eastAsia="宋体"/>
          <w:sz w:val="28"/>
        </w:rPr>
        <w:t xml:space="preserve">五</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Times New Roman" w:hAnsi="Times New Roman" w:eastAsia="宋体"/>
          <w:sz w:val="28"/>
        </w:rPr>
        <w:t xml:space="preserve">、</w:t>
      </w:r>
      <w:r>
        <w:rPr>
          <w:rFonts w:ascii="Times New Roman" w:hAnsi="Times New Roman" w:eastAsia="宋体"/>
          <w:sz w:val="28"/>
        </w:rPr>
        <w:t xml:space="preserve">评审</w:t>
      </w:r>
      <w:r>
        <w:rPr>
          <w:rFonts w:ascii="Times New Roman" w:hAnsi="Times New Roman" w:eastAsia="宋体"/>
          <w:sz w:val="28"/>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响应文件</w:t>
      </w:r>
      <w:bookmarkStart w:id="443" w:name="_Toc520356165"/>
      <w:r>
        <w:rPr>
          <w:rFonts w:hint="eastAsia" w:ascii="宋体" w:hAnsi="宋体" w:cs="宋体"/>
          <w:szCs w:val="21"/>
        </w:rPr>
        <w:t xml:space="preserve">的解密与开启</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本项目采用不见面招交易模式，使用</w:t>
      </w:r>
      <w:r>
        <w:rPr>
          <w:rFonts w:hint="eastAsia"/>
          <w:szCs w:val="32"/>
        </w:rPr>
        <w:t xml:space="preserve">“苏采云”政府采购一体化平台</w:t>
      </w:r>
      <w:r>
        <w:rPr>
          <w:rFonts w:hint="eastAsia" w:ascii="宋体" w:hAnsi="宋体" w:cs="宋体"/>
          <w:szCs w:val="21"/>
        </w:rPr>
        <w:t xml:space="preserve">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供应商不足3家的，不予解密。</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本项目不公开报价。</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如果在采购活动过程中出现以下情形，导致</w:t>
      </w:r>
      <w:r>
        <w:rPr>
          <w:rFonts w:hint="eastAsia"/>
          <w:szCs w:val="32"/>
        </w:rPr>
        <w:t xml:space="preserve">“苏采云”政府采购一体化平台系统</w:t>
      </w:r>
      <w:r>
        <w:rPr>
          <w:rFonts w:hint="eastAsia" w:ascii="宋体" w:hAnsi="宋体" w:cs="宋体"/>
          <w:szCs w:val="21"/>
        </w:rPr>
        <w:t xml:space="preserve">无法正常运行，或者无法保证本项目采购活动的公平、公正和安全时，代理机构可以延缓或者暂停采购活动，情况严重的可以终止采购活动：</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 1)平台系统发生故障而无法登录访问的；</w:t>
      </w:r>
      <w:r>
        <w:rPr>
          <w:rFonts w:ascii="宋体" w:hAnsi="宋体" w:cs="宋体"/>
          <w:szCs w:val="21"/>
        </w:rPr>
      </w:r>
      <w:r/>
    </w:p>
    <w:p>
      <w:pPr>
        <w:pStyle w:val="723"/>
        <w:ind w:left="357" w:firstLine="735"/>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rPr>
          <w:rFonts w:ascii="宋体" w:hAnsi="宋体" w:cs="宋体"/>
          <w:szCs w:val="21"/>
        </w:rPr>
      </w:r>
      <w:r/>
    </w:p>
    <w:p>
      <w:pPr>
        <w:pStyle w:val="723"/>
        <w:ind w:left="357" w:firstLine="735"/>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rPr>
          <w:rFonts w:ascii="宋体" w:hAnsi="宋体" w:cs="宋体"/>
          <w:szCs w:val="21"/>
        </w:rPr>
      </w:r>
      <w:r/>
    </w:p>
    <w:p>
      <w:pPr>
        <w:pStyle w:val="723"/>
        <w:ind w:left="357" w:firstLine="735"/>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rPr>
          <w:rFonts w:ascii="宋体" w:hAnsi="宋体" w:cs="宋体"/>
          <w:szCs w:val="21"/>
        </w:rPr>
      </w:r>
      <w:r/>
    </w:p>
    <w:p>
      <w:pPr>
        <w:pStyle w:val="723"/>
        <w:ind w:left="357" w:firstLine="735"/>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rPr>
          <w:rFonts w:ascii="宋体" w:hAnsi="宋体" w:cs="宋体"/>
          <w:szCs w:val="21"/>
        </w:rPr>
      </w:r>
      <w:r/>
    </w:p>
    <w:p>
      <w:pPr>
        <w:pStyle w:val="723"/>
        <w:ind w:firstLine="420"/>
        <w:pageBreakBefore w:val="0"/>
        <w:spacing w:line="324" w:lineRule="auto"/>
        <w:widowControl w:val="off"/>
        <w:tabs>
          <w:tab w:val="left" w:pos="993"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3"/>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color w:val="000000"/>
          <w:szCs w:val="21"/>
          <w:highlight w:val="none"/>
        </w:rPr>
        <w:outlineLvl w:val="1"/>
      </w:pPr>
      <w:r>
        <w:rPr>
          <w:rFonts w:hint="eastAsia" w:ascii="宋体" w:hAnsi="宋体" w:cs="宋体"/>
          <w:color w:val="000000"/>
          <w:szCs w:val="21"/>
          <w:highlight w:val="none"/>
          <w:lang w:eastAsia="zh-CN"/>
        </w:rPr>
        <w:t xml:space="preserve">磋商程序</w:t>
      </w:r>
      <w:r>
        <w:rPr>
          <w:rFonts w:ascii="宋体" w:hAnsi="宋体" w:cs="宋体"/>
          <w:color w:val="000000"/>
          <w:szCs w:val="21"/>
          <w:highlight w:val="none"/>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lang w:val="en-US" w:eastAsia="zh-CN"/>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Cs w:val="21"/>
          <w:highlight w:val="none"/>
          <w:lang w:val="en-US" w:eastAsia="zh-CN"/>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lang w:val="en-US" w:eastAsia="zh-CN"/>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Cs w:val="21"/>
          <w:highlight w:val="none"/>
          <w:lang w:val="en-US" w:eastAsia="zh-CN"/>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Cs w:val="21"/>
          <w:highlight w:val="none"/>
          <w:lang w:val="en-US" w:eastAsia="zh-CN"/>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ff0000"/>
          <w:szCs w:val="21"/>
          <w:highlight w:val="none"/>
          <w:lang w:val="en-US" w:eastAsia="zh-CN"/>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磋商小组</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44" w:name="_Toc520356166"/>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44"/>
      <w:r>
        <w:rPr>
          <w:rFonts w:ascii="宋体" w:hAnsi="宋体" w:cs="宋体"/>
          <w:szCs w:val="21"/>
        </w:rPr>
      </w:r>
      <w:r/>
    </w:p>
    <w:p>
      <w:pPr>
        <w:pStyle w:val="723"/>
        <w:numPr>
          <w:ilvl w:val="0"/>
          <w:numId w:val="8"/>
        </w:numPr>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评审方法和评审标准</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见第三章《评审方法和评审标准》。</w:t>
      </w:r>
      <w:r>
        <w:rPr>
          <w:rFonts w:ascii="宋体" w:hAnsi="宋体" w:cs="宋体"/>
          <w:szCs w:val="21"/>
        </w:rPr>
      </w:r>
      <w:r/>
    </w:p>
    <w:p>
      <w:pPr>
        <w:pStyle w:val="809"/>
        <w:pageBreakBefore w:val="0"/>
        <w:spacing w:line="324" w:lineRule="auto"/>
        <w:widowControl w:val="off"/>
      </w:pPr>
      <w:r/>
      <w:r/>
    </w:p>
    <w:p>
      <w:pPr>
        <w:pStyle w:val="725"/>
        <w:pageBreakBefore w:val="0"/>
        <w:spacing w:before="0" w:line="324" w:lineRule="auto"/>
        <w:widowControl w:val="off"/>
        <w:rPr>
          <w:rFonts w:ascii="Times New Roman" w:hAnsi="Times New Roman" w:eastAsia="宋体"/>
          <w:sz w:val="28"/>
        </w:rPr>
      </w:pPr>
      <w:r/>
      <w:bookmarkStart w:id="445" w:name="_Toc305158813"/>
      <w:r/>
      <w:bookmarkStart w:id="446" w:name="_Toc195842910"/>
      <w:r/>
      <w:bookmarkStart w:id="447" w:name="_Toc151193859"/>
      <w:r/>
      <w:bookmarkStart w:id="448" w:name="_Toc150774750"/>
      <w:r/>
      <w:bookmarkStart w:id="449" w:name="_Toc150774645"/>
      <w:r/>
      <w:bookmarkStart w:id="450" w:name="_Toc150480783"/>
      <w:r/>
      <w:bookmarkStart w:id="451" w:name="_Toc226965818"/>
      <w:r/>
      <w:bookmarkStart w:id="452" w:name="_Toc151193643"/>
      <w:r/>
      <w:bookmarkStart w:id="453" w:name="_Toc127151545"/>
      <w:r/>
      <w:bookmarkStart w:id="454" w:name="_Toc265228383"/>
      <w:r/>
      <w:bookmarkStart w:id="455" w:name="_Toc305158887"/>
      <w:r/>
      <w:bookmarkStart w:id="456" w:name="_Toc151190172"/>
      <w:r/>
      <w:bookmarkStart w:id="457" w:name="_Toc264969235"/>
      <w:r/>
      <w:bookmarkStart w:id="458" w:name="_Toc151193715"/>
      <w:r/>
      <w:bookmarkStart w:id="459" w:name="_Toc150509296"/>
      <w:r/>
      <w:bookmarkStart w:id="460" w:name="_Toc151193933"/>
      <w:r/>
      <w:bookmarkStart w:id="461" w:name="_Toc142311047"/>
      <w:r/>
      <w:bookmarkStart w:id="462" w:name="_Toc226337241"/>
      <w:r/>
      <w:bookmarkStart w:id="463" w:name="_Toc226309789"/>
      <w:r/>
      <w:bookmarkStart w:id="464" w:name="_Toc226965735"/>
      <w:r/>
      <w:bookmarkStart w:id="465" w:name="_Toc151193787"/>
      <w:r>
        <w:rPr>
          <w:rFonts w:ascii="Times New Roman" w:hAnsi="Times New Roman" w:eastAsia="宋体"/>
          <w:sz w:val="28"/>
        </w:rPr>
        <w:t xml:space="preserve">六</w:t>
      </w:r>
      <w:bookmarkEnd w:id="330"/>
      <w:r>
        <w:rPr>
          <w:rFonts w:hint="eastAsia" w:ascii="Times New Roman" w:hAnsi="Times New Roman" w:eastAsia="宋体"/>
          <w:sz w:val="28"/>
        </w:rPr>
        <w:t xml:space="preserve">、</w:t>
      </w:r>
      <w:r>
        <w:rPr>
          <w:rFonts w:ascii="Times New Roman" w:hAnsi="Times New Roman" w:eastAsia="宋体"/>
          <w:sz w:val="28"/>
        </w:rPr>
        <w:t xml:space="preserve">确定</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Times New Roman" w:hAnsi="Times New Roman" w:eastAsia="宋体"/>
          <w:sz w:val="28"/>
        </w:rPr>
        <w:t xml:space="preserve">成交</w:t>
      </w:r>
      <w:r>
        <w:rPr>
          <w:rFonts w:ascii="Times New Roman" w:hAnsi="Times New Roman" w:eastAsia="宋体"/>
          <w:sz w:val="28"/>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466" w:name="_Toc164229242"/>
      <w:r/>
      <w:bookmarkStart w:id="467" w:name="_Toc226965820"/>
      <w:r/>
      <w:bookmarkStart w:id="468" w:name="_Toc151193861"/>
      <w:r/>
      <w:bookmarkStart w:id="469" w:name="_Toc150480785"/>
      <w:r/>
      <w:bookmarkStart w:id="470" w:name="_Toc151193717"/>
      <w:r/>
      <w:bookmarkStart w:id="471" w:name="_Toc264969237"/>
      <w:r/>
      <w:bookmarkStart w:id="472" w:name="_Toc151193789"/>
      <w:r/>
      <w:bookmarkStart w:id="473" w:name="_Toc127151748"/>
      <w:r/>
      <w:bookmarkStart w:id="474" w:name="_Toc164608816"/>
      <w:r/>
      <w:bookmarkStart w:id="475" w:name="_Toc195842912"/>
      <w:r/>
      <w:bookmarkStart w:id="476" w:name="_Toc305158889"/>
      <w:r/>
      <w:bookmarkStart w:id="477" w:name="_Toc164229388"/>
      <w:r/>
      <w:bookmarkStart w:id="478" w:name="_Toc226337243"/>
      <w:r/>
      <w:bookmarkStart w:id="479" w:name="_Toc226965737"/>
      <w:r/>
      <w:bookmarkStart w:id="480" w:name="_Toc127151547"/>
      <w:r/>
      <w:bookmarkStart w:id="481" w:name="_Toc226309791"/>
      <w:r/>
      <w:bookmarkStart w:id="482" w:name="_Toc142311049"/>
      <w:r/>
      <w:bookmarkStart w:id="483" w:name="_Toc150509298"/>
      <w:r/>
      <w:bookmarkStart w:id="484" w:name="_Toc149720840"/>
      <w:r/>
      <w:bookmarkStart w:id="485" w:name="_Toc151190174"/>
      <w:r/>
      <w:bookmarkStart w:id="486" w:name="_Toc150774752"/>
      <w:r/>
      <w:bookmarkStart w:id="487" w:name="_Toc151193645"/>
      <w:r/>
      <w:bookmarkStart w:id="488" w:name="_Toc151193935"/>
      <w:r/>
      <w:bookmarkStart w:id="489" w:name="_Toc164608661"/>
      <w:r/>
      <w:bookmarkStart w:id="490" w:name="_Toc305158815"/>
      <w:r/>
      <w:bookmarkStart w:id="491" w:name="_Toc127161461"/>
      <w:r/>
      <w:bookmarkStart w:id="492" w:name="_Toc265228385"/>
      <w:r/>
      <w:bookmarkStart w:id="493" w:name="_Toc164351641"/>
      <w:r/>
      <w:bookmarkStart w:id="494" w:name="_Toc150774647"/>
      <w:r>
        <w:rPr>
          <w:rFonts w:hint="eastAsia" w:ascii="宋体" w:hAnsi="宋体" w:cs="宋体"/>
          <w:szCs w:val="21"/>
        </w:rPr>
        <w:t xml:space="preserve">确定成交供应商</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Start w:id="495" w:name="_Toc127161463"/>
      <w:r/>
      <w:bookmarkStart w:id="496" w:name="_Toc226965822"/>
      <w:r/>
      <w:bookmarkStart w:id="497" w:name="_Toc226337245"/>
      <w:r/>
      <w:bookmarkStart w:id="498" w:name="_Ref467307090"/>
      <w:r/>
      <w:bookmarkStart w:id="499" w:name="_Ref467306425"/>
      <w:r/>
      <w:bookmarkStart w:id="500" w:name="_Toc520356176"/>
      <w:r/>
      <w:bookmarkStart w:id="501" w:name="_Toc164351643"/>
      <w:r/>
      <w:bookmarkStart w:id="502" w:name="_Toc151193647"/>
      <w:r/>
      <w:bookmarkStart w:id="503" w:name="_Toc142311051"/>
      <w:r/>
      <w:bookmarkStart w:id="504" w:name="_Toc264969239"/>
      <w:r/>
      <w:bookmarkStart w:id="505" w:name="_Toc151193937"/>
      <w:r/>
      <w:bookmarkStart w:id="506" w:name="_Toc164229390"/>
      <w:r/>
      <w:bookmarkStart w:id="507" w:name="_Toc127151549"/>
      <w:r/>
      <w:bookmarkStart w:id="508" w:name="_Toc149720842"/>
      <w:r/>
      <w:bookmarkStart w:id="509" w:name="_Toc164229244"/>
      <w:r/>
      <w:bookmarkStart w:id="510" w:name="_Toc127151750"/>
      <w:r/>
      <w:bookmarkStart w:id="511" w:name="_Toc164608818"/>
      <w:r/>
      <w:bookmarkStart w:id="512" w:name="_Toc226309793"/>
      <w:r/>
      <w:bookmarkStart w:id="513" w:name="_Toc226965739"/>
      <w:r/>
      <w:bookmarkStart w:id="514" w:name="_Toc150774649"/>
      <w:r/>
      <w:bookmarkStart w:id="515" w:name="_Toc150509300"/>
      <w:r/>
      <w:bookmarkStart w:id="516" w:name="_Toc151193791"/>
      <w:r/>
      <w:bookmarkStart w:id="517" w:name="_Toc195842914"/>
      <w:r/>
      <w:bookmarkStart w:id="518" w:name="_Toc151193719"/>
      <w:r/>
      <w:bookmarkStart w:id="519" w:name="_Toc150480787"/>
      <w:r/>
      <w:bookmarkStart w:id="520" w:name="_Toc151193863"/>
      <w:r/>
      <w:bookmarkStart w:id="521" w:name="_Toc151190176"/>
      <w:r/>
      <w:bookmarkStart w:id="522" w:name="_Toc164608663"/>
      <w:r/>
      <w:bookmarkStart w:id="523" w:name="_Toc150774754"/>
      <w:r/>
      <w:bookmarkStart w:id="524" w:name="_Toc265228387"/>
      <w:r/>
      <w:bookmarkStart w:id="525" w:name="_Toc305158891"/>
      <w:r/>
      <w:bookmarkStart w:id="526" w:name="_Toc305158817"/>
      <w:r>
        <w:rPr>
          <w:rFonts w:hint="eastAsia" w:ascii="宋体" w:hAnsi="宋体" w:cs="宋体"/>
          <w:szCs w:val="21"/>
        </w:rPr>
        <w:t xml:space="preserve">成交公告与成交通知书</w:t>
      </w:r>
      <w:bookmarkEnd w:id="525"/>
      <w:r/>
      <w:bookmarkEnd w:id="526"/>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在成交供应商确定后2个工作日内，在江苏政府采购网、</w:t>
      </w:r>
      <w:r>
        <w:rPr>
          <w:rFonts w:hint="eastAsia" w:ascii="宋体" w:hAnsi="宋体" w:cs="宋体"/>
          <w:szCs w:val="21"/>
        </w:rPr>
        <w:t xml:space="preserve">常州市政府采购网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rPr>
          <w:rFonts w:ascii="宋体" w:hAnsi="宋体" w:cs="宋体"/>
          <w:szCs w:val="21"/>
        </w:rPr>
      </w:r>
      <w:r/>
    </w:p>
    <w:p>
      <w:pPr>
        <w:pStyle w:val="723"/>
        <w:numPr>
          <w:ilvl w:val="1"/>
          <w:numId w:val="8"/>
        </w:numPr>
        <w:ind w:left="1080"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End w:id="495"/>
      <w:r/>
      <w:bookmarkEnd w:id="496"/>
      <w:r/>
      <w:bookmarkEnd w:id="497"/>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Start w:id="527" w:name="_Toc151193864"/>
      <w:r/>
      <w:bookmarkStart w:id="528" w:name="_Toc164229391"/>
      <w:r/>
      <w:bookmarkStart w:id="529" w:name="_Toc226337246"/>
      <w:r/>
      <w:bookmarkStart w:id="530" w:name="_Toc164608819"/>
      <w:r/>
      <w:bookmarkStart w:id="531" w:name="_Toc149720843"/>
      <w:r/>
      <w:bookmarkStart w:id="532" w:name="_Ref467306978"/>
      <w:r/>
      <w:bookmarkStart w:id="533" w:name="_Ref467306377"/>
      <w:r/>
      <w:bookmarkStart w:id="534" w:name="_Toc305158892"/>
      <w:r/>
      <w:bookmarkStart w:id="535" w:name="_Toc151193648"/>
      <w:r/>
      <w:bookmarkStart w:id="536" w:name="_Toc264969240"/>
      <w:r/>
      <w:bookmarkStart w:id="537" w:name="_Toc150509301"/>
      <w:r/>
      <w:bookmarkStart w:id="538" w:name="_Toc151190177"/>
      <w:r/>
      <w:bookmarkStart w:id="539" w:name="_Toc164229245"/>
      <w:r/>
      <w:bookmarkStart w:id="540" w:name="_Toc150774755"/>
      <w:r/>
      <w:bookmarkStart w:id="541" w:name="_Toc265228388"/>
      <w:r/>
      <w:bookmarkStart w:id="542" w:name="_Toc127151751"/>
      <w:r/>
      <w:bookmarkStart w:id="543" w:name="_Toc150774650"/>
      <w:r/>
      <w:bookmarkStart w:id="544" w:name="_Toc164608664"/>
      <w:r/>
      <w:bookmarkStart w:id="545" w:name="_Toc127161464"/>
      <w:r/>
      <w:bookmarkStart w:id="546" w:name="_Toc151193792"/>
      <w:r/>
      <w:bookmarkStart w:id="547" w:name="_Toc226965823"/>
      <w:r/>
      <w:bookmarkStart w:id="548" w:name="_Toc226965740"/>
      <w:r/>
      <w:bookmarkStart w:id="549" w:name="_Toc142311052"/>
      <w:r/>
      <w:bookmarkStart w:id="550" w:name="_Toc151193720"/>
      <w:r/>
      <w:bookmarkStart w:id="551" w:name="_Ref467307204"/>
      <w:r/>
      <w:bookmarkStart w:id="552" w:name="_Toc151193938"/>
      <w:r/>
      <w:bookmarkStart w:id="553" w:name="_Toc150480788"/>
      <w:r/>
      <w:bookmarkStart w:id="554" w:name="_Toc305158818"/>
      <w:r/>
      <w:bookmarkStart w:id="555" w:name="_Toc164351644"/>
      <w:r/>
      <w:bookmarkStart w:id="556" w:name="_Toc195842915"/>
      <w:r/>
      <w:bookmarkStart w:id="557" w:name="_Ref467307062"/>
      <w:r/>
      <w:bookmarkStart w:id="558" w:name="_Toc226309794"/>
      <w:r/>
      <w:bookmarkStart w:id="559" w:name="_Toc520356175"/>
      <w:r/>
      <w:bookmarkStart w:id="560" w:name="_Toc127151550"/>
      <w:r>
        <w:rPr>
          <w:rFonts w:hint="eastAsia" w:ascii="宋体" w:hAnsi="宋体" w:cs="宋体"/>
          <w:szCs w:val="21"/>
        </w:rPr>
        <w:t xml:space="preserve">终止</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出现影响采购公正的违法、违规行为的；</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签订合同</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政府采购合同不能转包。</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bookmarkEnd w:id="498"/>
      <w:r/>
      <w:bookmarkEnd w:id="499"/>
      <w:r/>
      <w:bookmarkEnd w:id="500"/>
      <w:r>
        <w:rPr>
          <w:rFonts w:hint="eastAsia" w:ascii="宋体" w:hAnsi="宋体" w:cs="宋体"/>
          <w:szCs w:val="21"/>
        </w:rPr>
        <w:t xml:space="preserve">询问与质疑</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询问</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质疑</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801"/>
          <w:rFonts w:hint="eastAsia" w:ascii="宋体" w:hAnsi="宋体" w:cs="宋体"/>
          <w:szCs w:val="21"/>
        </w:rPr>
        <w:t xml:space="preserve">http：//gk</w:t>
      </w:r>
      <w:bookmarkStart w:id="561" w:name="_Hlt100654014"/>
      <w:r>
        <w:rPr>
          <w:rStyle w:val="801"/>
          <w:rFonts w:hint="eastAsia" w:ascii="宋体" w:hAnsi="宋体" w:cs="宋体"/>
          <w:szCs w:val="21"/>
        </w:rPr>
        <w:t xml:space="preserve">s</w:t>
      </w:r>
      <w:bookmarkEnd w:id="561"/>
      <w:r>
        <w:rPr>
          <w:rStyle w:val="801"/>
          <w:rFonts w:hint="eastAsia" w:ascii="宋体" w:hAnsi="宋体" w:cs="宋体"/>
          <w:szCs w:val="21"/>
        </w:rPr>
        <w:t xml:space="preserve">.m</w:t>
      </w:r>
      <w:bookmarkStart w:id="562" w:name="_Hlt100653993"/>
      <w:r/>
      <w:bookmarkStart w:id="563" w:name="_Hlt100653994"/>
      <w:r>
        <w:rPr>
          <w:rStyle w:val="801"/>
          <w:rFonts w:hint="eastAsia" w:ascii="宋体" w:hAnsi="宋体" w:cs="宋体"/>
          <w:szCs w:val="21"/>
        </w:rPr>
        <w:t xml:space="preserve">o</w:t>
      </w:r>
      <w:bookmarkEnd w:id="562"/>
      <w:r/>
      <w:bookmarkEnd w:id="563"/>
      <w:r/>
      <w:bookmarkStart w:id="564" w:name="_Hlt101169156"/>
      <w:r>
        <w:rPr>
          <w:rStyle w:val="801"/>
          <w:rFonts w:hint="eastAsia" w:ascii="宋体" w:hAnsi="宋体" w:cs="宋体"/>
          <w:szCs w:val="21"/>
        </w:rPr>
        <w:t xml:space="preserve">f</w:t>
      </w:r>
      <w:bookmarkEnd w:id="564"/>
      <w:r>
        <w:rPr>
          <w:rStyle w:val="801"/>
          <w:rFonts w:hint="eastAsia" w:ascii="宋体" w:hAnsi="宋体" w:cs="宋体"/>
          <w:szCs w:val="21"/>
        </w:rPr>
        <w:t xml:space="preserve">.gov.cn/ztztz/zhengfucaigouguanli/201802/t20180201_2804589.htm</w:t>
      </w:r>
      <w:r>
        <w:rPr>
          <w:rStyle w:val="801"/>
          <w:rFonts w:hint="eastAsia" w:ascii="宋体" w:hAnsi="宋体" w:cs="宋体"/>
          <w:szCs w:val="21"/>
        </w:rPr>
        <w:fldChar w:fldCharType="end"/>
      </w:r>
      <w:r>
        <w:rPr>
          <w:rFonts w:hint="eastAsia" w:ascii="宋体" w:hAnsi="宋体" w:cs="宋体"/>
          <w:szCs w:val="21"/>
        </w:rPr>
        <w:t xml:space="preserve">）</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rPr>
          <w:rFonts w:ascii="宋体" w:hAnsi="宋体" w:cs="宋体"/>
          <w:szCs w:val="21"/>
        </w:rPr>
      </w:r>
      <w:r/>
    </w:p>
    <w:p>
      <w:pPr>
        <w:pStyle w:val="723"/>
        <w:numPr>
          <w:ilvl w:val="2"/>
          <w:numId w:val="8"/>
        </w:numPr>
        <w:pageBreakBefore w:val="0"/>
        <w:spacing w:line="324" w:lineRule="auto"/>
        <w:widowControl w:val="off"/>
        <w:tabs>
          <w:tab w:val="left" w:pos="1980" w:leader="none"/>
        </w:tabs>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rPr>
          <w:rFonts w:ascii="宋体" w:hAnsi="宋体" w:cs="宋体"/>
          <w:szCs w:val="21"/>
        </w:rPr>
      </w:r>
      <w:r/>
    </w:p>
    <w:p>
      <w:pPr>
        <w:pStyle w:val="723"/>
        <w:numPr>
          <w:ilvl w:val="0"/>
          <w:numId w:val="8"/>
        </w:numPr>
        <w:ind w:left="357" w:hanging="357"/>
        <w:pageBreakBefore w:val="0"/>
        <w:spacing w:line="324"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代理费</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rPr>
          <w:rFonts w:ascii="宋体" w:hAnsi="宋体" w:cs="宋体"/>
          <w:szCs w:val="21"/>
        </w:rPr>
      </w:r>
      <w:r/>
    </w:p>
    <w:p>
      <w:pPr>
        <w:pStyle w:val="723"/>
        <w:numPr>
          <w:ilvl w:val="1"/>
          <w:numId w:val="8"/>
        </w:numPr>
        <w:ind w:left="1077" w:hanging="720"/>
        <w:pageBreakBefore w:val="0"/>
        <w:spacing w:line="324"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集中采购机构不收取代理费。</w:t>
      </w:r>
      <w:r>
        <w:rPr>
          <w:rFonts w:ascii="宋体" w:hAnsi="宋体" w:cs="宋体"/>
          <w:szCs w:val="21"/>
        </w:rPr>
      </w:r>
      <w:r/>
    </w:p>
    <w:p>
      <w:pPr>
        <w:pStyle w:val="723"/>
        <w:ind w:left="357"/>
        <w:spacing w:line="288" w:lineRule="auto"/>
        <w:tabs>
          <w:tab w:val="left" w:pos="1080" w:leader="none"/>
          <w:tab w:val="left" w:pos="2014" w:leader="none"/>
        </w:tabs>
        <w:rPr>
          <w:rFonts w:hint="eastAsia" w:ascii="宋体" w:hAnsi="宋体" w:cs="宋体"/>
          <w:szCs w:val="21"/>
        </w:rPr>
      </w:pPr>
      <w:r>
        <w:rPr>
          <w:rFonts w:hint="eastAsia" w:ascii="宋体" w:hAnsi="宋体" w:cs="宋体"/>
          <w:szCs w:val="21"/>
        </w:rPr>
      </w:r>
      <w:r/>
    </w:p>
    <w:p>
      <w:pPr>
        <w:pStyle w:val="723"/>
        <w:jc w:val="center"/>
        <w:spacing w:line="288" w:lineRule="auto"/>
        <w:rPr>
          <w:b/>
          <w:sz w:val="28"/>
          <w:szCs w:val="28"/>
        </w:rPr>
        <w:outlineLvl w:val="0"/>
      </w:pPr>
      <w:r/>
      <w:bookmarkStart w:id="565" w:name="_Toc104818927"/>
      <w:r>
        <w:rPr>
          <w:b/>
          <w:sz w:val="28"/>
          <w:szCs w:val="28"/>
        </w:rPr>
      </w:r>
      <w:r/>
    </w:p>
    <w:p>
      <w:pPr>
        <w:pStyle w:val="723"/>
        <w:jc w:val="center"/>
        <w:spacing w:line="288" w:lineRule="auto"/>
        <w:rPr>
          <w:b/>
          <w:sz w:val="28"/>
          <w:szCs w:val="28"/>
        </w:rPr>
        <w:outlineLvl w:val="0"/>
      </w:pPr>
      <w:r>
        <w:rPr>
          <w:b/>
          <w:sz w:val="28"/>
          <w:szCs w:val="28"/>
        </w:rPr>
      </w:r>
      <w:r/>
    </w:p>
    <w:p>
      <w:pPr>
        <w:pStyle w:val="723"/>
        <w:jc w:val="center"/>
        <w:pageBreakBefore w:val="0"/>
        <w:spacing w:line="360" w:lineRule="auto"/>
        <w:rPr>
          <w:b/>
          <w:sz w:val="28"/>
          <w:szCs w:val="28"/>
        </w:rPr>
        <w:outlineLvl w:val="0"/>
      </w:pPr>
      <w:r>
        <w:rPr>
          <w:b/>
          <w:sz w:val="28"/>
          <w:szCs w:val="28"/>
        </w:rPr>
        <w:t xml:space="preserve">第三章   </w:t>
      </w:r>
      <w:bookmarkEnd w:id="49"/>
      <w:r/>
      <w:bookmarkEnd w:id="53"/>
      <w:r/>
      <w:bookmarkEnd w:id="57"/>
      <w:r/>
      <w:bookmarkEnd w:id="62"/>
      <w:r/>
      <w:bookmarkEnd w:id="64"/>
      <w:r/>
      <w:bookmarkEnd w:id="65"/>
      <w:r/>
      <w:bookmarkEnd w:id="66"/>
      <w:r/>
      <w:bookmarkEnd w:id="67"/>
      <w:r/>
      <w:bookmarkEnd w:id="68"/>
      <w:r/>
      <w:bookmarkEnd w:id="69"/>
      <w:r/>
      <w:bookmarkEnd w:id="70"/>
      <w:r/>
      <w:bookmarkEnd w:id="71"/>
      <w:r/>
      <w:bookmarkEnd w:id="76"/>
      <w:r>
        <w:rPr>
          <w:b/>
          <w:sz w:val="28"/>
          <w:szCs w:val="28"/>
        </w:rPr>
        <w:t xml:space="preserve">评审</w:t>
      </w:r>
      <w:r>
        <w:rPr>
          <w:rFonts w:hint="eastAsia"/>
          <w:b/>
          <w:sz w:val="28"/>
          <w:szCs w:val="28"/>
        </w:rPr>
        <w:t xml:space="preserve">程序、评审</w:t>
      </w:r>
      <w:r>
        <w:rPr>
          <w:b/>
          <w:sz w:val="28"/>
          <w:szCs w:val="28"/>
        </w:rPr>
        <w:t xml:space="preserve">方法和评审标准</w:t>
      </w:r>
      <w:bookmarkEnd w:id="565"/>
      <w:r/>
      <w:bookmarkStart w:id="566" w:name="_Toc487900382"/>
      <w:r>
        <w:rPr>
          <w:b/>
          <w:sz w:val="28"/>
          <w:szCs w:val="28"/>
        </w:rPr>
      </w:r>
      <w:r/>
    </w:p>
    <w:p>
      <w:pPr>
        <w:pStyle w:val="725"/>
        <w:pageBreakBefore w:val="0"/>
        <w:spacing w:before="0" w:line="360" w:lineRule="auto"/>
        <w:rPr>
          <w:b w:val="0"/>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b w:val="0"/>
          <w:sz w:val="24"/>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566"/>
      <w:r/>
      <w:bookmarkStart w:id="567" w:name="_Toc150509292"/>
      <w:r/>
      <w:bookmarkStart w:id="568" w:name="_Toc305158809"/>
      <w:r/>
      <w:bookmarkStart w:id="569" w:name="_Toc127151742"/>
      <w:r/>
      <w:bookmarkStart w:id="570" w:name="_Toc164608810"/>
      <w:r/>
      <w:bookmarkStart w:id="571" w:name="_Toc164229382"/>
      <w:r/>
      <w:bookmarkStart w:id="572" w:name="_Toc151193783"/>
      <w:r/>
      <w:bookmarkStart w:id="573" w:name="_Toc149720834"/>
      <w:r/>
      <w:bookmarkStart w:id="574" w:name="_Toc164608655"/>
      <w:r/>
      <w:bookmarkStart w:id="575" w:name="_Toc151193639"/>
      <w:r/>
      <w:bookmarkStart w:id="576" w:name="_Toc142311043"/>
      <w:r/>
      <w:bookmarkStart w:id="577" w:name="_Toc151193711"/>
      <w:r/>
      <w:bookmarkStart w:id="578" w:name="_Toc226309785"/>
      <w:r/>
      <w:bookmarkStart w:id="579" w:name="_Toc265228379"/>
      <w:r/>
      <w:bookmarkStart w:id="580" w:name="_Toc150774746"/>
      <w:r/>
      <w:bookmarkStart w:id="581" w:name="_Toc151193929"/>
      <w:r/>
      <w:bookmarkStart w:id="582" w:name="_Toc151190168"/>
      <w:r/>
      <w:bookmarkStart w:id="583" w:name="_Toc226965731"/>
      <w:r/>
      <w:bookmarkStart w:id="584" w:name="_Toc164229236"/>
      <w:r/>
      <w:bookmarkStart w:id="585" w:name="_Toc127151541"/>
      <w:r/>
      <w:bookmarkStart w:id="586" w:name="_Toc150774641"/>
      <w:r/>
      <w:bookmarkStart w:id="587" w:name="_Toc226337237"/>
      <w:r/>
      <w:bookmarkStart w:id="588" w:name="_Toc164351635"/>
      <w:r/>
      <w:bookmarkStart w:id="589" w:name="_Toc264969231"/>
      <w:r/>
      <w:bookmarkStart w:id="590" w:name="_Toc127161455"/>
      <w:r/>
      <w:bookmarkStart w:id="591" w:name="_Toc226965814"/>
      <w:r/>
      <w:bookmarkStart w:id="592" w:name="_Toc195842906"/>
      <w:r/>
      <w:bookmarkStart w:id="593" w:name="_Toc305158883"/>
      <w:r/>
      <w:bookmarkStart w:id="594" w:name="_Toc151193855"/>
      <w:r/>
      <w:bookmarkStart w:id="595" w:name="_Toc150480779"/>
      <w:r/>
      <w:bookmarkStart w:id="596" w:name="_Toc353825551"/>
      <w:r/>
      <w:bookmarkStart w:id="597" w:name="_Toc353873941"/>
      <w:r/>
      <w:bookmarkStart w:id="598" w:name="_Toc226965828"/>
      <w:r/>
      <w:bookmarkStart w:id="599" w:name="_Toc226337251"/>
      <w:r/>
      <w:bookmarkStart w:id="600" w:name="_Toc195842920"/>
      <w:r/>
      <w:bookmarkStart w:id="601" w:name="_Toc264969245"/>
      <w:r/>
      <w:bookmarkStart w:id="602" w:name="_Toc353873935"/>
      <w:r/>
      <w:bookmarkStart w:id="603" w:name="_Toc305158897"/>
      <w:r/>
      <w:bookmarkStart w:id="604" w:name="_Toc353873665"/>
      <w:r/>
      <w:bookmarkStart w:id="605" w:name="_Toc353825545"/>
      <w:r/>
      <w:bookmarkStart w:id="606" w:name="_Toc305158823"/>
      <w:r/>
      <w:bookmarkStart w:id="607" w:name="_Toc127151555"/>
      <w:r/>
      <w:bookmarkStart w:id="608" w:name="_Toc142311057"/>
      <w:r/>
      <w:bookmarkStart w:id="609" w:name="_Toc150480793"/>
      <w:r/>
      <w:bookmarkStart w:id="610" w:name="_Toc150774760"/>
      <w:r/>
      <w:bookmarkStart w:id="611" w:name="_Toc265228393"/>
      <w:r>
        <w:rPr>
          <w:rFonts w:hint="eastAsia" w:ascii="宋体" w:hAnsi="宋体" w:cs="宋体"/>
          <w:szCs w:val="21"/>
        </w:rPr>
        <w:t xml:space="preserve">响应文件的</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s="宋体"/>
          <w:szCs w:val="21"/>
        </w:rPr>
        <w:t xml:space="preserve">资格性检查和符合性审查</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《资格性检查要求》见下表：</w:t>
      </w:r>
      <w:r>
        <w:rPr>
          <w:rFonts w:hint="eastAsia" w:ascii="宋体" w:hAnsi="宋体" w:cs="宋体"/>
          <w:szCs w:val="21"/>
        </w:rPr>
      </w:r>
      <w:r/>
    </w:p>
    <w:p>
      <w:pPr>
        <w:pStyle w:val="723"/>
        <w:ind w:left="1077" w:firstLine="2650"/>
        <w:pageBreakBefore w:val="0"/>
        <w:spacing w:line="360" w:lineRule="auto"/>
        <w:tabs>
          <w:tab w:val="left" w:pos="900" w:leader="none"/>
          <w:tab w:val="left" w:pos="1080" w:leader="none"/>
        </w:tabs>
        <w:rPr>
          <w:b/>
          <w:sz w:val="24"/>
        </w:rPr>
      </w:pPr>
      <w:r>
        <w:rPr>
          <w:b/>
          <w:sz w:val="24"/>
        </w:rPr>
        <w:t xml:space="preserve">资格性检查要求</w:t>
      </w:r>
      <w:r>
        <w:rPr>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76"/>
        <w:gridCol w:w="4788"/>
        <w:gridCol w:w="1687"/>
      </w:tblGrid>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b/>
                <w:szCs w:val="21"/>
              </w:rPr>
            </w:pPr>
            <w:r/>
            <w:bookmarkStart w:id="612" w:name="_Hlt487972895"/>
            <w:r/>
            <w:bookmarkEnd w:id="612"/>
            <w:r>
              <w:rPr>
                <w:rFonts w:hint="eastAsia" w:ascii="宋体" w:hAnsi="宋体" w:cs="宋体"/>
                <w:b/>
                <w:szCs w:val="21"/>
              </w:rPr>
              <w:t xml:space="preserve">序号</w:t>
            </w:r>
            <w:r>
              <w:rPr>
                <w:rFonts w:hint="eastAsia" w:ascii="宋体" w:hAnsi="宋体" w:cs="宋体"/>
                <w:b/>
                <w:szCs w:val="21"/>
              </w:rPr>
            </w:r>
            <w:r/>
          </w:p>
        </w:tc>
        <w:tc>
          <w:tcPr>
            <w:tcW w:w="1163"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59"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01"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59"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具体规定见第一章《采购邀请》</w:t>
            </w:r>
            <w:r>
              <w:rPr>
                <w:rFonts w:hint="eastAsia" w:ascii="宋体" w:hAnsi="宋体" w:cs="宋体"/>
                <w:szCs w:val="21"/>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供应商资格声明函</w:t>
            </w:r>
            <w:r>
              <w:rPr>
                <w:rFonts w:hint="eastAsia" w:ascii="宋体" w:hAnsi="宋体" w:cs="宋体"/>
                <w:szCs w:val="21"/>
              </w:rPr>
            </w:r>
            <w:r/>
          </w:p>
        </w:tc>
        <w:tc>
          <w:tcPr>
            <w:tcW w:w="2559"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提供符合采购文件要求的《供应商资格声明函》。</w:t>
            </w:r>
            <w:r>
              <w:rPr>
                <w:rFonts w:hint="eastAsia" w:ascii="宋体" w:hAnsi="宋体" w:cs="宋体"/>
                <w:szCs w:val="21"/>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59" w:type="dxa"/>
            <w:vAlign w:val="center"/>
            <w:textDirection w:val="lrTb"/>
            <w:noWrap w:val="false"/>
          </w:tcPr>
          <w:p>
            <w:pPr>
              <w:pStyle w:val="723"/>
              <w:pageBreakBefore w:val="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723"/>
              <w:pageBreakBefore w:val="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rPr>
                <w:rFonts w:hint="eastAsia" w:ascii="宋体" w:hAnsi="宋体" w:cs="宋体"/>
                <w:szCs w:val="21"/>
              </w:rPr>
            </w:r>
            <w:r/>
          </w:p>
          <w:p>
            <w:pPr>
              <w:pStyle w:val="723"/>
              <w:pageBreakBefore w:val="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rPr>
                <w:rFonts w:hint="eastAsia" w:ascii="宋体" w:hAnsi="宋体" w:cs="宋体"/>
                <w:szCs w:val="21"/>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59"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163"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中小企业声明函</w:t>
            </w:r>
            <w:r>
              <w:rPr>
                <w:rFonts w:hint="eastAsia" w:ascii="宋体" w:hAnsi="宋体" w:cs="宋体"/>
                <w:szCs w:val="21"/>
                <w:highlight w:val="none"/>
              </w:rPr>
            </w:r>
            <w:r/>
          </w:p>
        </w:tc>
        <w:tc>
          <w:tcPr>
            <w:tcW w:w="2559"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供应商单独参与磋商的，应提供中小企业声明函；如为监狱企业或残疾人福利性单位，不必提供中小企业声明函，但须按注1或注2要求提供证明材料。</w:t>
            </w:r>
            <w:r>
              <w:rPr>
                <w:rFonts w:hint="eastAsia" w:ascii="宋体" w:hAnsi="宋体" w:cs="宋体"/>
                <w:szCs w:val="21"/>
                <w:highlight w:val="none"/>
              </w:rPr>
            </w:r>
            <w:r/>
          </w:p>
          <w:p>
            <w:pPr>
              <w:pStyle w:val="723"/>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szCs w:val="21"/>
                <w:highlight w:val="none"/>
              </w:rPr>
            </w:r>
            <w:r/>
          </w:p>
          <w:p>
            <w:pPr>
              <w:pStyle w:val="723"/>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注2：残疾人福利性单位须按磋商文件要求提供《残疾人福利性单位声明函》。</w:t>
            </w:r>
            <w:r>
              <w:rPr>
                <w:rFonts w:hint="eastAsia" w:ascii="宋体" w:hAnsi="宋体" w:cs="宋体"/>
                <w:szCs w:val="21"/>
                <w:highlight w:val="none"/>
              </w:rPr>
            </w:r>
            <w:r/>
          </w:p>
        </w:tc>
        <w:tc>
          <w:tcPr>
            <w:tcW w:w="901"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格式见《响应文件格式》</w:t>
            </w:r>
            <w:r>
              <w:rPr>
                <w:rFonts w:hint="eastAsia" w:ascii="宋体" w:hAnsi="宋体" w:cs="宋体"/>
                <w:szCs w:val="21"/>
                <w:highlight w:val="none"/>
              </w:rPr>
            </w:r>
            <w:r/>
          </w:p>
        </w:tc>
      </w:tr>
      <w:tr>
        <w:trPr>
          <w:trHeight w:val="23"/>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2559" w:type="dxa"/>
            <w:vAlign w:val="center"/>
            <w:textDirection w:val="lrTb"/>
            <w:noWrap w:val="false"/>
          </w:tcPr>
          <w:p>
            <w:pPr>
              <w:pStyle w:val="723"/>
              <w:keepLines w:val="0"/>
              <w:keepNext w:val="0"/>
              <w:pageBreakBefore w:val="0"/>
              <w:spacing w:line="324" w:lineRule="auto"/>
              <w:rPr>
                <w:rFonts w:hint="eastAsia" w:ascii="宋体" w:hAnsi="宋体" w:eastAsia="宋体" w:cs="宋体"/>
                <w:sz w:val="21"/>
                <w:szCs w:val="21"/>
                <w:highlight w:val="none"/>
                <w:shd w:val="clear" w:color="auto" w:fill="ffffff"/>
                <w:lang w:val="zh-TW" w:eastAsia="zh-CN" w:bidi="ar-SA"/>
              </w:rPr>
            </w:pPr>
            <w:r>
              <w:rPr>
                <w:rFonts w:hint="eastAsia" w:ascii="宋体" w:hAnsi="宋体" w:eastAsia="宋体" w:cs="宋体"/>
                <w:sz w:val="21"/>
                <w:szCs w:val="21"/>
                <w:highlight w:val="none"/>
                <w:shd w:val="clear" w:color="auto" w:fill="ffffff"/>
                <w:lang w:val="en-US" w:eastAsia="zh-CN" w:bidi="ar-SA"/>
              </w:rPr>
              <w:t xml:space="preserve">1.供应商</w:t>
            </w:r>
            <w:r>
              <w:rPr>
                <w:rFonts w:hint="eastAsia" w:ascii="宋体" w:hAnsi="宋体" w:eastAsia="宋体" w:cs="宋体"/>
                <w:sz w:val="21"/>
                <w:szCs w:val="21"/>
                <w:highlight w:val="none"/>
                <w:shd w:val="clear" w:color="auto" w:fill="ffffff"/>
                <w:lang w:val="zh-TW" w:eastAsia="zh-CN" w:bidi="ar-SA"/>
              </w:rPr>
              <w:t xml:space="preserve">拟派项目负责人须具备林业或园林绿化专业中级（含）以上工程师职称，并承诺投标截止时未在其他项目担任项目负责人岗位（提供加盖单位公章的项目负责人无在建岗位承诺书（格式自拟））；如职称证书未反映林业或园林绿化相关专业，须提供林业或园林绿化专业毕业证书或者职称评审表佐证。</w:t>
            </w:r>
            <w:r>
              <w:rPr>
                <w:rFonts w:hint="eastAsia" w:ascii="宋体" w:hAnsi="宋体" w:eastAsia="宋体" w:cs="宋体"/>
                <w:sz w:val="21"/>
                <w:szCs w:val="21"/>
                <w:highlight w:val="none"/>
                <w:shd w:val="clear" w:color="auto" w:fill="ffffff"/>
                <w:lang w:val="zh-TW" w:eastAsia="zh-CN" w:bidi="ar-SA"/>
              </w:rPr>
            </w:r>
            <w:r/>
          </w:p>
          <w:p>
            <w:pPr>
              <w:pStyle w:val="723"/>
              <w:keepLines w:val="0"/>
              <w:keepNext w:val="0"/>
              <w:pageBreakBefore w:val="0"/>
              <w:spacing w:line="324" w:lineRule="auto"/>
              <w:rPr>
                <w:rFonts w:hint="eastAsia" w:ascii="宋体" w:hAnsi="宋体" w:cs="宋体"/>
                <w:szCs w:val="21"/>
                <w:highlight w:val="none"/>
              </w:rPr>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CN" w:bidi="ar-SA"/>
              </w:rPr>
              <w:t xml:space="preserve">项目负责人须为供应商在职人员，提供供应商近</w:t>
            </w:r>
            <w:r>
              <w:rPr>
                <w:rFonts w:hint="eastAsia" w:ascii="宋体" w:hAnsi="宋体" w:eastAsia="宋体" w:cs="宋体"/>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shd w:val="clear" w:color="auto" w:fill="ffffff"/>
                <w:lang w:val="zh-TW" w:eastAsia="zh-CN" w:bidi="ar-SA"/>
              </w:rPr>
              <w:t xml:space="preserve">个月为其缴纳的社保证明。</w:t>
            </w:r>
            <w:r>
              <w:rPr>
                <w:rFonts w:hint="eastAsia" w:ascii="宋体" w:hAnsi="宋体" w:cs="宋体"/>
                <w:szCs w:val="21"/>
                <w:highlight w:val="none"/>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lang w:val="en-US" w:eastAsia="zh-CN"/>
              </w:rPr>
              <w:t xml:space="preserve">提供相关证书、无在建</w:t>
            </w:r>
            <w:r>
              <w:rPr>
                <w:rFonts w:hint="eastAsia" w:ascii="宋体" w:hAnsi="宋体" w:eastAsia="宋体" w:cs="宋体"/>
                <w:szCs w:val="21"/>
                <w:highlight w:val="none"/>
                <w:lang w:val="en-US" w:eastAsia="zh-CN"/>
              </w:rPr>
              <w:t xml:space="preserve">承诺书</w:t>
            </w:r>
            <w:r>
              <w:rPr>
                <w:rFonts w:hint="eastAsia" w:ascii="宋体" w:hAnsi="宋体" w:cs="宋体"/>
                <w:szCs w:val="21"/>
                <w:highlight w:val="none"/>
                <w:lang w:val="en-US" w:eastAsia="zh-CN"/>
              </w:rPr>
              <w:t xml:space="preserve">及社保缴纳证明复印件并加盖公章</w:t>
            </w:r>
            <w:r>
              <w:rPr>
                <w:rFonts w:hint="eastAsia" w:ascii="宋体" w:hAnsi="宋体" w:cs="宋体"/>
                <w:szCs w:val="21"/>
                <w:highlight w:val="none"/>
              </w:rPr>
            </w:r>
            <w:r/>
          </w:p>
        </w:tc>
      </w:tr>
      <w:tr>
        <w:trPr>
          <w:trHeight w:val="605"/>
        </w:trPr>
        <w:tc>
          <w:tcPr>
            <w:tcW w:w="375" w:type="dxa"/>
            <w:vAlign w:val="center"/>
            <w:textDirection w:val="lrTb"/>
            <w:noWrap w:val="false"/>
          </w:tcPr>
          <w:p>
            <w:pPr>
              <w:pStyle w:val="723"/>
              <w:jc w:val="center"/>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163"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是否接受联合体响应</w:t>
            </w:r>
            <w:r>
              <w:rPr>
                <w:rFonts w:hint="eastAsia" w:ascii="宋体" w:hAnsi="宋体" w:cs="宋体"/>
                <w:szCs w:val="21"/>
              </w:rPr>
            </w:r>
            <w:r/>
          </w:p>
        </w:tc>
        <w:tc>
          <w:tcPr>
            <w:tcW w:w="2559"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t xml:space="preserve">本项目不接受联合体响应，供应商不得为联合体。</w:t>
            </w:r>
            <w:r>
              <w:rPr>
                <w:rFonts w:hint="eastAsia" w:ascii="宋体" w:hAnsi="宋体" w:cs="宋体"/>
                <w:szCs w:val="21"/>
              </w:rPr>
            </w:r>
            <w:r/>
          </w:p>
        </w:tc>
        <w:tc>
          <w:tcPr>
            <w:tcW w:w="901" w:type="dxa"/>
            <w:vAlign w:val="center"/>
            <w:textDirection w:val="lrTb"/>
            <w:noWrap w:val="false"/>
          </w:tcPr>
          <w:p>
            <w:pPr>
              <w:pStyle w:val="723"/>
              <w:pageBreakBefore w:val="0"/>
              <w:spacing w:line="360" w:lineRule="auto"/>
              <w:tabs>
                <w:tab w:val="left" w:pos="1080" w:leader="none"/>
              </w:tabs>
              <w:rPr>
                <w:rFonts w:hint="eastAsia" w:ascii="宋体" w:hAnsi="宋体" w:cs="宋体"/>
                <w:szCs w:val="21"/>
              </w:rPr>
            </w:pPr>
            <w:r>
              <w:rPr>
                <w:rFonts w:hint="eastAsia" w:ascii="宋体" w:hAnsi="宋体" w:cs="宋体"/>
                <w:szCs w:val="21"/>
              </w:rPr>
            </w:r>
            <w:r/>
          </w:p>
        </w:tc>
      </w:tr>
    </w:tbl>
    <w:p>
      <w:pPr>
        <w:pStyle w:val="723"/>
        <w:numPr>
          <w:ilvl w:val="1"/>
          <w:numId w:val="10"/>
        </w:numPr>
        <w:ind w:left="1077" w:hanging="720"/>
        <w:pageBreakBefore w:val="0"/>
        <w:spacing w:line="360" w:lineRule="auto"/>
        <w:tabs>
          <w:tab w:val="left" w:pos="1080" w:leader="none"/>
          <w:tab w:val="left" w:pos="1589" w:leader="none"/>
        </w:tabs>
        <w:rPr>
          <w:szCs w:val="21"/>
        </w:rPr>
      </w:pPr>
      <w:r>
        <w:rPr>
          <w:szCs w:val="21"/>
        </w:rPr>
        <w:t xml:space="preserve">《符合性审查要求》见下表：</w:t>
      </w:r>
      <w:r>
        <w:rPr>
          <w:szCs w:val="21"/>
        </w:rPr>
      </w:r>
      <w:r/>
    </w:p>
    <w:p>
      <w:pPr>
        <w:pStyle w:val="723"/>
        <w:jc w:val="center"/>
        <w:pageBreakBefore w:val="0"/>
        <w:spacing w:line="360" w:lineRule="auto"/>
        <w:widowControl/>
        <w:rPr>
          <w:b/>
          <w:color w:val="000000"/>
          <w:sz w:val="24"/>
        </w:rPr>
      </w:pPr>
      <w:r>
        <w:rPr>
          <w:b/>
          <w:color w:val="000000"/>
          <w:sz w:val="24"/>
        </w:rPr>
      </w:r>
      <w:r/>
    </w:p>
    <w:p>
      <w:pPr>
        <w:pStyle w:val="723"/>
        <w:jc w:val="center"/>
        <w:pageBreakBefore w:val="0"/>
        <w:spacing w:line="360" w:lineRule="auto"/>
        <w:widowControl/>
        <w:rPr>
          <w:b/>
          <w:color w:val="000000"/>
          <w:sz w:val="24"/>
        </w:rPr>
      </w:pPr>
      <w:r>
        <w:rPr>
          <w:b/>
          <w:color w:val="000000"/>
          <w:sz w:val="24"/>
        </w:rPr>
        <w:t xml:space="preserve">符合性审查要求</w:t>
      </w:r>
      <w:r>
        <w:rPr>
          <w:b/>
          <w:color w:val="000000"/>
          <w:sz w:val="24"/>
        </w:rPr>
      </w:r>
      <w:r/>
    </w:p>
    <w:tbl>
      <w:tblPr>
        <w:tblW w:w="935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6" w:type="dxa"/>
            <w:vAlign w:val="center"/>
            <w:textDirection w:val="lrTb"/>
            <w:noWrap w:val="false"/>
          </w:tcPr>
          <w:p>
            <w:pPr>
              <w:pStyle w:val="723"/>
              <w:jc w:val="center"/>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19" w:type="dxa"/>
            <w:vAlign w:val="center"/>
            <w:textDirection w:val="lrTb"/>
            <w:noWrap w:val="false"/>
          </w:tcPr>
          <w:p>
            <w:pPr>
              <w:pStyle w:val="723"/>
              <w:jc w:val="center"/>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响应报价未超过磋商文件中规定的项目预算金额或者项目最高限价；</w:t>
            </w:r>
            <w:r>
              <w:rPr>
                <w:rFonts w:hint="eastAsia" w:ascii="宋体" w:hAnsi="宋体" w:eastAsia="宋体" w:cs="宋体"/>
                <w:b/>
                <w:bCs/>
                <w:color w:val="000000"/>
                <w:sz w:val="21"/>
                <w:szCs w:val="21"/>
              </w:rPr>
              <w:t xml:space="preserve">磋商响应文件中的分部分项综合单价未高于控制价中综合单价；未改变竞争性磋商文件提供的工程量清单（包括清单中项目编号、项目名称、项目特征、计量单位、工程量），未改变竞争性磋商文件规定的暂定价格或不可竞争费用标准；</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报价的修正</w:t>
            </w:r>
            <w:r>
              <w:rPr>
                <w:rFonts w:hint="eastAsia" w:ascii="宋体" w:hAnsi="宋体" w:eastAsia="宋体" w:cs="宋体"/>
                <w:color w:val="000000"/>
                <w:sz w:val="21"/>
                <w:szCs w:val="21"/>
              </w:rPr>
            </w:r>
            <w:r/>
          </w:p>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rPr>
                <w:rFonts w:hint="eastAsia" w:ascii="宋体" w:hAnsi="宋体" w:eastAsia="宋体" w:cs="宋体"/>
                <w:color w:val="000000"/>
                <w:sz w:val="21"/>
                <w:szCs w:val="21"/>
              </w:rPr>
            </w:r>
            <w:r/>
          </w:p>
        </w:tc>
      </w:tr>
      <w:tr>
        <w:trPr>
          <w:trHeight w:val="607"/>
        </w:trPr>
        <w:tc>
          <w:tcPr>
            <w:tcW w:w="404" w:type="dxa"/>
            <w:vAlign w:val="center"/>
            <w:textDirection w:val="lrTb"/>
            <w:noWrap w:val="false"/>
          </w:tcPr>
          <w:p>
            <w:pPr>
              <w:pStyle w:val="723"/>
              <w:jc w:val="center"/>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进口产品（如有）</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磋商文件不接受进口产品响应的内容时，供应商所投产品非进口产品的；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1"/>
                <w:szCs w:val="21"/>
              </w:rPr>
            </w:r>
            <w:r/>
          </w:p>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rPr>
              <w:t xml:space="preserve">（包含使用同一MAC地址的计算机制作电子响应文件的情形）</w:t>
            </w:r>
            <w:r>
              <w:rPr>
                <w:rFonts w:hint="eastAsia" w:ascii="宋体" w:hAnsi="宋体" w:eastAsia="宋体" w:cs="宋体"/>
                <w:color w:val="000000"/>
                <w:sz w:val="21"/>
                <w:szCs w:val="21"/>
              </w:rPr>
              <w:t xml:space="preserve">；（二）不同供应商委托同一单位或者个人办理响应事宜</w:t>
            </w:r>
            <w:r>
              <w:rPr>
                <w:rFonts w:hint="eastAsia" w:ascii="宋体" w:hAnsi="宋体" w:eastAsia="宋体" w:cs="宋体"/>
                <w:sz w:val="21"/>
                <w:szCs w:val="21"/>
              </w:rPr>
              <w:t xml:space="preserve">（包含使用同一MAC地址的计算机提交或者解密电子响应文件的情形）</w:t>
            </w:r>
            <w:r>
              <w:rPr>
                <w:rFonts w:hint="eastAsia" w:ascii="宋体" w:hAnsi="宋体" w:eastAsia="宋体" w:cs="宋体"/>
                <w:color w:val="000000"/>
                <w:sz w:val="21"/>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723"/>
              <w:jc w:val="center"/>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19" w:type="dxa"/>
            <w:vAlign w:val="center"/>
            <w:textDirection w:val="lrTb"/>
            <w:noWrap w:val="false"/>
          </w:tcPr>
          <w:p>
            <w:pPr>
              <w:pStyle w:val="723"/>
              <w:jc w:val="left"/>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723"/>
        <w:ind w:left="108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w:t>
      </w:r>
      <w:r>
        <w:rPr>
          <w:rFonts w:hint="eastAsia"/>
          <w:szCs w:val="32"/>
        </w:rPr>
        <w:t xml:space="preserve">“苏采云”政府采购一体化平台</w:t>
      </w:r>
      <w:r>
        <w:rPr>
          <w:rFonts w:hint="eastAsia" w:ascii="宋体" w:hAnsi="宋体" w:cs="宋体"/>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rPr>
          <w:rFonts w:hint="eastAsia" w:ascii="宋体" w:hAnsi="宋体" w:cs="宋体"/>
          <w:b/>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723"/>
        <w:ind w:left="2035"/>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723"/>
        <w:ind w:left="2035"/>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rPr>
          <w:rFonts w:hint="eastAsia" w:ascii="宋体" w:hAnsi="宋体" w:cs="宋体"/>
          <w:szCs w:val="21"/>
        </w:rPr>
      </w:r>
      <w:r/>
    </w:p>
    <w:p>
      <w:pPr>
        <w:pStyle w:val="723"/>
        <w:numPr>
          <w:ilvl w:val="2"/>
          <w:numId w:val="10"/>
        </w:numPr>
        <w:ind w:left="2035"/>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723"/>
        <w:numPr>
          <w:ilvl w:val="2"/>
          <w:numId w:val="10"/>
        </w:numPr>
        <w:ind w:left="2035"/>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723"/>
        <w:numPr>
          <w:ilvl w:val="2"/>
          <w:numId w:val="10"/>
        </w:numPr>
        <w:ind w:left="2035"/>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723"/>
        <w:numPr>
          <w:ilvl w:val="2"/>
          <w:numId w:val="10"/>
        </w:numPr>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报价给予5%的扣除，用扣除后的价格参加评审。</w:t>
      </w:r>
      <w:r>
        <w:rPr>
          <w:rFonts w:hint="eastAsia" w:ascii="宋体" w:hAnsi="宋体" w:cs="宋体"/>
          <w:szCs w:val="21"/>
        </w:rPr>
      </w:r>
      <w:r/>
    </w:p>
    <w:p>
      <w:pPr>
        <w:pStyle w:val="723"/>
        <w:numPr>
          <w:ilvl w:val="2"/>
          <w:numId w:val="10"/>
        </w:numPr>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723"/>
        <w:numPr>
          <w:ilvl w:val="2"/>
          <w:numId w:val="10"/>
        </w:numPr>
        <w:ind w:left="2035"/>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bookmarkEnd w:id="596"/>
      <w:r/>
      <w:bookmarkEnd w:id="597"/>
      <w:r>
        <w:rPr>
          <w:rFonts w:hint="eastAsia" w:ascii="宋体" w:hAnsi="宋体" w:cs="宋体"/>
          <w:szCs w:val="21"/>
        </w:rPr>
        <w:t xml:space="preserve">评审方法和评审标准</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13" w:name="_Toc164229387"/>
      <w:r/>
      <w:bookmarkStart w:id="614" w:name="_Toc151193644"/>
      <w:r/>
      <w:bookmarkStart w:id="615" w:name="_Toc164351640"/>
      <w:r/>
      <w:bookmarkStart w:id="616" w:name="_Toc151193788"/>
      <w:r/>
      <w:bookmarkStart w:id="617" w:name="_Toc127151747"/>
      <w:r/>
      <w:bookmarkStart w:id="618" w:name="_Toc265228384"/>
      <w:r/>
      <w:bookmarkStart w:id="619" w:name="_Toc226965819"/>
      <w:r/>
      <w:bookmarkStart w:id="620" w:name="_Toc164608815"/>
      <w:r/>
      <w:bookmarkStart w:id="621" w:name="_Toc164608660"/>
      <w:r/>
      <w:bookmarkStart w:id="622" w:name="_Toc226309790"/>
      <w:r/>
      <w:bookmarkStart w:id="623" w:name="_Toc150774646"/>
      <w:r/>
      <w:bookmarkStart w:id="624" w:name="_Toc150480784"/>
      <w:r/>
      <w:bookmarkStart w:id="625" w:name="_Toc127161460"/>
      <w:r/>
      <w:bookmarkStart w:id="626" w:name="_Toc151193716"/>
      <w:r/>
      <w:bookmarkStart w:id="627" w:name="_Toc226337242"/>
      <w:r/>
      <w:bookmarkStart w:id="628" w:name="_Toc142311048"/>
      <w:r/>
      <w:bookmarkStart w:id="629" w:name="_Toc127151546"/>
      <w:r/>
      <w:bookmarkStart w:id="630" w:name="_Toc164229241"/>
      <w:r/>
      <w:bookmarkStart w:id="631" w:name="_Toc305158814"/>
      <w:r/>
      <w:bookmarkStart w:id="632" w:name="_Toc226965736"/>
      <w:r/>
      <w:bookmarkStart w:id="633" w:name="_Toc195842911"/>
      <w:r/>
      <w:bookmarkStart w:id="634" w:name="_Ref467307010"/>
      <w:r/>
      <w:bookmarkStart w:id="635" w:name="_Toc151190173"/>
      <w:r/>
      <w:bookmarkStart w:id="636" w:name="_Toc149720839"/>
      <w:r/>
      <w:bookmarkStart w:id="637" w:name="_Toc305158888"/>
      <w:r/>
      <w:bookmarkStart w:id="638" w:name="_Toc150774751"/>
      <w:r/>
      <w:bookmarkStart w:id="639" w:name="_Toc520356170"/>
      <w:r/>
      <w:bookmarkStart w:id="640" w:name="_Toc151193860"/>
      <w:r/>
      <w:bookmarkStart w:id="641" w:name="_Toc151193934"/>
      <w:r/>
      <w:bookmarkStart w:id="642" w:name="_Toc150509297"/>
      <w:r/>
      <w:bookmarkStart w:id="643" w:name="_Toc264969236"/>
      <w:r>
        <w:rPr>
          <w:rFonts w:hint="eastAsia" w:ascii="宋体" w:hAnsi="宋体" w:cs="宋体"/>
          <w:szCs w:val="21"/>
        </w:rPr>
        <w:t xml:space="preserve">成交候选人名单</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723"/>
        <w:numPr>
          <w:ilvl w:val="1"/>
          <w:numId w:val="10"/>
        </w:numPr>
        <w:ind w:left="1077" w:hanging="72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723"/>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报告违法行为</w:t>
      </w:r>
      <w:r>
        <w:rPr>
          <w:rFonts w:hint="eastAsia" w:ascii="宋体" w:hAnsi="宋体" w:cs="宋体"/>
          <w:szCs w:val="21"/>
        </w:rPr>
      </w:r>
      <w:r/>
    </w:p>
    <w:p>
      <w:pPr>
        <w:pStyle w:val="723"/>
        <w:numPr>
          <w:ilvl w:val="1"/>
          <w:numId w:val="10"/>
        </w:numPr>
        <w:ind w:left="1077" w:hanging="720"/>
        <w:jc w:val="left"/>
        <w:pageBreakBefore w:val="0"/>
        <w:spacing w:line="360" w:lineRule="auto"/>
        <w:widowControl/>
        <w:tabs>
          <w:tab w:val="left" w:pos="1080" w:leader="none"/>
          <w:tab w:val="left" w:pos="1589" w:leader="none"/>
          <w:tab w:val="left" w:pos="1872" w:leader="none"/>
        </w:tabs>
        <w:rPr>
          <w:b/>
          <w:bCs/>
          <w:sz w:val="24"/>
          <w:highlight w:val="none"/>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b/>
          <w:bCs/>
          <w:sz w:val="24"/>
          <w:highlight w:val="none"/>
        </w:rPr>
      </w:r>
      <w:r/>
    </w:p>
    <w:p>
      <w:pPr>
        <w:pStyle w:val="723"/>
        <w:jc w:val="center"/>
        <w:spacing w:line="360" w:lineRule="auto"/>
        <w:widowControl/>
        <w:tabs>
          <w:tab w:val="left" w:pos="1080" w:leader="none"/>
          <w:tab w:val="left" w:pos="1872" w:leader="none"/>
        </w:tabs>
        <w:rPr>
          <w:b/>
          <w:bCs/>
          <w:sz w:val="24"/>
          <w:highlight w:val="yellow"/>
        </w:rPr>
      </w:pPr>
      <w:r>
        <w:rPr>
          <w:b/>
          <w:bCs/>
          <w:sz w:val="24"/>
          <w:highlight w:val="yellow"/>
        </w:rPr>
      </w:r>
      <w:r/>
    </w:p>
    <w:p>
      <w:pPr>
        <w:pStyle w:val="723"/>
        <w:jc w:val="center"/>
        <w:spacing w:line="360" w:lineRule="auto"/>
        <w:widowControl/>
        <w:tabs>
          <w:tab w:val="left" w:pos="1080" w:leader="none"/>
          <w:tab w:val="left" w:pos="1872" w:leader="none"/>
        </w:tabs>
        <w:rPr>
          <w:b/>
          <w:bCs/>
          <w:sz w:val="24"/>
          <w:highlight w:val="yellow"/>
        </w:rPr>
      </w:pPr>
      <w:r>
        <w:rPr>
          <w:b/>
          <w:bCs/>
          <w:sz w:val="24"/>
          <w:highlight w:val="yellow"/>
        </w:rPr>
      </w:r>
      <w:r/>
    </w:p>
    <w:p>
      <w:pPr>
        <w:pStyle w:val="723"/>
        <w:jc w:val="center"/>
        <w:spacing w:line="360" w:lineRule="auto"/>
        <w:widowControl/>
        <w:tabs>
          <w:tab w:val="left" w:pos="1080" w:leader="none"/>
          <w:tab w:val="left" w:pos="1872" w:leader="none"/>
        </w:tabs>
        <w:rPr>
          <w:b/>
          <w:bCs/>
          <w:sz w:val="24"/>
          <w:highlight w:val="yellow"/>
        </w:rPr>
      </w:pPr>
      <w:r>
        <w:rPr>
          <w:b/>
          <w:bCs/>
          <w:sz w:val="24"/>
          <w:highlight w:val="yellow"/>
        </w:rPr>
      </w:r>
      <w:r/>
    </w:p>
    <w:p>
      <w:pPr>
        <w:pStyle w:val="723"/>
        <w:jc w:val="center"/>
        <w:spacing w:line="360" w:lineRule="auto"/>
        <w:widowControl/>
        <w:tabs>
          <w:tab w:val="left" w:pos="1080" w:leader="none"/>
          <w:tab w:val="left" w:pos="1872" w:leader="none"/>
        </w:tabs>
        <w:rPr>
          <w:b/>
          <w:bCs/>
          <w:sz w:val="24"/>
          <w:highlight w:val="yellow"/>
        </w:rPr>
      </w:pPr>
      <w:r>
        <w:rPr>
          <w:b/>
          <w:bCs/>
          <w:sz w:val="24"/>
          <w:highlight w:val="yellow"/>
        </w:rPr>
      </w:r>
      <w:r/>
    </w:p>
    <w:p>
      <w:pPr>
        <w:pStyle w:val="757"/>
        <w:tabs>
          <w:tab w:val="left" w:pos="567" w:leader="none"/>
        </w:tabs>
        <w:rPr>
          <w:b/>
          <w:bCs/>
          <w:sz w:val="24"/>
          <w:highlight w:val="yellow"/>
        </w:rPr>
      </w:pPr>
      <w:r>
        <w:rPr>
          <w:b/>
          <w:bCs/>
          <w:sz w:val="24"/>
          <w:highlight w:val="yellow"/>
        </w:rPr>
      </w:r>
      <w:r/>
    </w:p>
    <w:p>
      <w:pPr>
        <w:pStyle w:val="723"/>
        <w:rPr>
          <w:b/>
          <w:bCs/>
          <w:sz w:val="24"/>
          <w:highlight w:val="yellow"/>
        </w:rPr>
      </w:pPr>
      <w:r>
        <w:rPr>
          <w:b/>
          <w:bCs/>
          <w:sz w:val="24"/>
          <w:highlight w:val="yellow"/>
        </w:rPr>
      </w:r>
      <w:r/>
    </w:p>
    <w:p>
      <w:pPr>
        <w:pStyle w:val="757"/>
        <w:tabs>
          <w:tab w:val="left" w:pos="567" w:leader="none"/>
        </w:tabs>
        <w:rPr>
          <w:b/>
          <w:bCs/>
          <w:sz w:val="24"/>
          <w:highlight w:val="yellow"/>
        </w:rPr>
      </w:pPr>
      <w:r>
        <w:rPr>
          <w:b/>
          <w:bCs/>
          <w:sz w:val="24"/>
          <w:highlight w:val="yellow"/>
        </w:rPr>
      </w:r>
      <w:r/>
    </w:p>
    <w:p>
      <w:pPr>
        <w:pStyle w:val="723"/>
        <w:rPr>
          <w:b/>
          <w:bCs/>
          <w:sz w:val="24"/>
          <w:highlight w:val="yellow"/>
        </w:rPr>
      </w:pPr>
      <w:r>
        <w:rPr>
          <w:b/>
          <w:bCs/>
          <w:sz w:val="24"/>
          <w:highlight w:val="yellow"/>
        </w:rPr>
      </w:r>
      <w:r/>
    </w:p>
    <w:p>
      <w:pPr>
        <w:pStyle w:val="757"/>
        <w:tabs>
          <w:tab w:val="left" w:pos="567" w:leader="none"/>
        </w:tabs>
        <w:rPr>
          <w:b/>
          <w:bCs/>
          <w:sz w:val="24"/>
          <w:highlight w:val="yellow"/>
        </w:rPr>
      </w:pPr>
      <w:r>
        <w:rPr>
          <w:b/>
          <w:bCs/>
          <w:sz w:val="24"/>
          <w:highlight w:val="yellow"/>
        </w:rPr>
      </w:r>
      <w:r/>
    </w:p>
    <w:p>
      <w:pPr>
        <w:pStyle w:val="723"/>
        <w:rPr>
          <w:b/>
          <w:bCs/>
          <w:sz w:val="24"/>
          <w:highlight w:val="yellow"/>
        </w:rPr>
      </w:pPr>
      <w:r>
        <w:rPr>
          <w:b/>
          <w:bCs/>
          <w:sz w:val="24"/>
          <w:highlight w:val="yellow"/>
        </w:rPr>
      </w:r>
      <w:r/>
    </w:p>
    <w:p>
      <w:pPr>
        <w:pStyle w:val="723"/>
        <w:jc w:val="both"/>
        <w:spacing w:line="360" w:lineRule="auto"/>
        <w:widowControl/>
        <w:tabs>
          <w:tab w:val="left" w:pos="1080" w:leader="none"/>
          <w:tab w:val="left" w:pos="1872" w:leader="none"/>
        </w:tabs>
        <w:rPr>
          <w:b/>
          <w:bCs/>
          <w:sz w:val="24"/>
          <w:highlight w:val="none"/>
        </w:rPr>
      </w:pPr>
      <w:r>
        <w:rPr>
          <w:b/>
          <w:bCs/>
          <w:sz w:val="24"/>
          <w:highlight w:val="none"/>
        </w:rPr>
      </w:r>
      <w:r/>
    </w:p>
    <w:p>
      <w:pPr>
        <w:pStyle w:val="723"/>
        <w:jc w:val="center"/>
        <w:spacing w:line="360" w:lineRule="auto"/>
        <w:widowControl/>
        <w:tabs>
          <w:tab w:val="left" w:pos="1080" w:leader="none"/>
          <w:tab w:val="left" w:pos="1872" w:leader="none"/>
        </w:tabs>
        <w:rPr>
          <w:rFonts w:hint="eastAsia" w:ascii="宋体" w:hAnsi="宋体" w:eastAsia="宋体" w:cs="宋体"/>
          <w:sz w:val="24"/>
          <w:highlight w:val="none"/>
        </w:rPr>
      </w:pPr>
      <w:r>
        <w:rPr>
          <w:rFonts w:hint="eastAsia" w:ascii="宋体" w:hAnsi="宋体" w:eastAsia="宋体" w:cs="宋体"/>
          <w:b/>
          <w:bCs/>
          <w:sz w:val="24"/>
          <w:highlight w:val="none"/>
        </w:rPr>
        <w:t xml:space="preserve">二、评审标准</w:t>
      </w:r>
      <w:r>
        <w:rPr>
          <w:rFonts w:hint="eastAsia" w:ascii="宋体" w:hAnsi="宋体" w:eastAsia="宋体" w:cs="宋体"/>
          <w:sz w:val="24"/>
          <w:highlight w:val="none"/>
        </w:rPr>
      </w:r>
      <w:r/>
    </w:p>
    <w:tbl>
      <w:tblPr>
        <w:tblW w:w="93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1195"/>
        <w:gridCol w:w="763"/>
        <w:gridCol w:w="5275"/>
        <w:gridCol w:w="1575"/>
      </w:tblGrid>
      <w:tr>
        <w:trPr>
          <w:trHeight w:val="23"/>
        </w:trPr>
        <w:tc>
          <w:tcPr>
            <w:tcW w:w="549" w:type="dxa"/>
            <w:vAlign w:val="center"/>
            <w:textDirection w:val="lrTb"/>
            <w:noWrap/>
          </w:tcPr>
          <w:p>
            <w:pPr>
              <w:pStyle w:val="723"/>
              <w:ind w:firstLine="28"/>
              <w:jc w:val="center"/>
              <w:keepLines w:val="0"/>
              <w:keepNext w:val="0"/>
              <w:pageBreakBefore w:val="0"/>
              <w:spacing w:line="317" w:lineRule="auto"/>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W w:w="1195" w:type="dxa"/>
            <w:vAlign w:val="center"/>
            <w:textDirection w:val="lrTb"/>
            <w:noWrap/>
          </w:tcPr>
          <w:p>
            <w:pPr>
              <w:pStyle w:val="723"/>
              <w:ind w:firstLine="28"/>
              <w:jc w:val="center"/>
              <w:keepLines w:val="0"/>
              <w:keepNext w:val="0"/>
              <w:pageBreakBefore w:val="0"/>
              <w:spacing w:line="317" w:lineRule="auto"/>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评分因素</w:t>
            </w:r>
            <w:r>
              <w:rPr>
                <w:rFonts w:hint="eastAsia" w:ascii="宋体" w:hAnsi="宋体" w:eastAsia="宋体" w:cs="宋体"/>
                <w:color w:val="000000"/>
                <w:sz w:val="21"/>
                <w:szCs w:val="21"/>
              </w:rPr>
            </w:r>
            <w:r/>
          </w:p>
        </w:tc>
        <w:tc>
          <w:tcPr>
            <w:tcW w:w="763" w:type="dxa"/>
            <w:vAlign w:val="center"/>
            <w:textDirection w:val="lrTb"/>
            <w:noWrap/>
          </w:tcPr>
          <w:p>
            <w:pPr>
              <w:pStyle w:val="723"/>
              <w:ind w:firstLine="28"/>
              <w:jc w:val="center"/>
              <w:keepLines w:val="0"/>
              <w:keepNext w:val="0"/>
              <w:pageBreakBefore w:val="0"/>
              <w:spacing w:line="317" w:lineRule="auto"/>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分值</w:t>
            </w:r>
            <w:r>
              <w:rPr>
                <w:rFonts w:hint="eastAsia" w:ascii="宋体" w:hAnsi="宋体" w:eastAsia="宋体" w:cs="宋体"/>
                <w:color w:val="000000"/>
                <w:sz w:val="21"/>
                <w:szCs w:val="21"/>
              </w:rPr>
            </w:r>
            <w:r/>
          </w:p>
        </w:tc>
        <w:tc>
          <w:tcPr>
            <w:tcW w:w="5275" w:type="dxa"/>
            <w:vAlign w:val="center"/>
            <w:textDirection w:val="lrTb"/>
            <w:noWrap/>
          </w:tcPr>
          <w:p>
            <w:pPr>
              <w:pStyle w:val="723"/>
              <w:ind w:firstLine="28"/>
              <w:jc w:val="center"/>
              <w:keepLines w:val="0"/>
              <w:keepNext w:val="0"/>
              <w:pageBreakBefore w:val="0"/>
              <w:spacing w:line="317" w:lineRule="auto"/>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评分标准</w:t>
            </w:r>
            <w:r>
              <w:rPr>
                <w:rFonts w:hint="eastAsia" w:ascii="宋体" w:hAnsi="宋体" w:eastAsia="宋体" w:cs="宋体"/>
                <w:color w:val="000000"/>
                <w:sz w:val="21"/>
                <w:szCs w:val="21"/>
              </w:rPr>
            </w:r>
            <w:r/>
          </w:p>
        </w:tc>
        <w:tc>
          <w:tcPr>
            <w:tcW w:w="1575" w:type="dxa"/>
            <w:vAlign w:val="center"/>
            <w:textDirection w:val="lrTb"/>
            <w:noWrap/>
          </w:tcPr>
          <w:p>
            <w:pPr>
              <w:pStyle w:val="971"/>
              <w:keepLines w:val="0"/>
              <w:keepNext w:val="0"/>
              <w:pageBreakBefore w:val="0"/>
              <w:spacing w:before="0" w:after="0" w:line="317"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23"/>
        </w:trPr>
        <w:tc>
          <w:tcPr>
            <w:tcW w:w="549" w:type="dxa"/>
            <w:vAlign w:val="center"/>
            <w:textDirection w:val="lrTb"/>
            <w:noWrap/>
          </w:tcPr>
          <w:p>
            <w:pPr>
              <w:pStyle w:val="723"/>
              <w:jc w:val="center"/>
              <w:keepLines w:val="0"/>
              <w:keepNext w:val="0"/>
              <w:pageBreakBefore w:val="0"/>
              <w:spacing w:line="317"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W w:w="1195" w:type="dxa"/>
            <w:vAlign w:val="center"/>
            <w:textDirection w:val="lrTb"/>
            <w:noWrap/>
          </w:tcPr>
          <w:p>
            <w:pPr>
              <w:pStyle w:val="977"/>
              <w:jc w:val="center"/>
              <w:keepLines w:val="0"/>
              <w:keepNext w:val="0"/>
              <w:pageBreakBefore w:val="0"/>
              <w:spacing w:line="317"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价格分</w:t>
            </w:r>
            <w:r>
              <w:rPr>
                <w:rFonts w:hint="eastAsia" w:ascii="宋体" w:hAnsi="宋体" w:eastAsia="宋体" w:cs="宋体"/>
                <w:b w:val="0"/>
                <w:bCs w:val="0"/>
                <w:color w:val="000000"/>
                <w:sz w:val="21"/>
                <w:szCs w:val="21"/>
                <w:highlight w:val="none"/>
                <w:lang w:eastAsia="zh-CN"/>
              </w:rPr>
            </w:r>
            <w:r/>
          </w:p>
        </w:tc>
        <w:tc>
          <w:tcPr>
            <w:tcW w:w="763" w:type="dxa"/>
            <w:vAlign w:val="center"/>
            <w:textDirection w:val="lrTb"/>
            <w:noWrap/>
          </w:tcPr>
          <w:p>
            <w:pPr>
              <w:pStyle w:val="723"/>
              <w:jc w:val="center"/>
              <w:keepLines w:val="0"/>
              <w:keepNext w:val="0"/>
              <w:pageBreakBefore w:val="0"/>
              <w:spacing w:line="317"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15分</w:t>
            </w:r>
            <w:r>
              <w:rPr>
                <w:rFonts w:ascii="宋体" w:hAnsi="宋体" w:eastAsia="宋体" w:cs="宋体"/>
                <w:b w:val="0"/>
                <w:bCs w:val="0"/>
                <w:color w:val="000000"/>
                <w:sz w:val="21"/>
                <w:szCs w:val="21"/>
                <w:highlight w:val="none"/>
                <w:lang w:val="en-US" w:eastAsia="zh-CN"/>
              </w:rPr>
            </w:r>
            <w:r/>
          </w:p>
        </w:tc>
        <w:tc>
          <w:tcPr>
            <w:tcW w:w="5275" w:type="dxa"/>
            <w:vAlign w:val="center"/>
            <w:textDirection w:val="lrTb"/>
            <w:noWrap/>
          </w:tcPr>
          <w:p>
            <w:pPr>
              <w:pStyle w:val="723"/>
              <w:keepLines w:val="0"/>
              <w:keepNext w:val="0"/>
              <w:pageBreakBefore w:val="0"/>
              <w:spacing w:line="317" w:lineRule="auto"/>
              <w:rPr>
                <w:rFonts w:hint="eastAsia" w:ascii="宋体" w:hAnsi="宋体" w:eastAsia="宋体" w:cs="宋体"/>
                <w:color w:val="000000"/>
                <w:sz w:val="21"/>
                <w:szCs w:val="21"/>
                <w:highlight w:val="none"/>
                <w:lang w:eastAsia="zh-CN"/>
              </w:rPr>
            </w:pPr>
            <w:r>
              <w:rPr>
                <w:rFonts w:hint="eastAsia" w:ascii="宋体" w:hAnsi="宋体" w:cs="宋体"/>
                <w:color w:val="000000"/>
                <w:szCs w:val="21"/>
                <w:highlight w:val="none"/>
              </w:rPr>
              <w:t xml:space="preserve">满足磋商文件要求且最终报价最低的报价为</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基准价，其价格分为满分。其他供应商的价格分统一按照下列公式计算：价格分得分＝（</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基准价/最终报价）×</w:t>
            </w:r>
            <w:r>
              <w:rPr>
                <w:rFonts w:hint="eastAsia" w:ascii="宋体" w:hAnsi="宋体" w:cs="宋体"/>
                <w:color w:val="000000"/>
                <w:szCs w:val="21"/>
                <w:highlight w:val="none"/>
                <w:lang w:val="en-US" w:eastAsia="zh-CN"/>
              </w:rPr>
              <w:t xml:space="preserve">分值</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lang w:eastAsia="zh-CN"/>
              </w:rPr>
            </w:r>
            <w:r/>
          </w:p>
        </w:tc>
        <w:tc>
          <w:tcPr>
            <w:tcW w:w="1575" w:type="dxa"/>
            <w:vAlign w:val="center"/>
            <w:textDirection w:val="lrTb"/>
            <w:noWrap/>
          </w:tcPr>
          <w:p>
            <w:pPr>
              <w:pStyle w:val="723"/>
              <w:ind w:left="-38"/>
              <w:keepLines w:val="0"/>
              <w:keepNext w:val="0"/>
              <w:pageBreakBefore w:val="0"/>
              <w:spacing w:line="317" w:lineRule="auto"/>
              <w:rPr>
                <w:rFonts w:hint="eastAsia" w:ascii="宋体" w:hAnsi="宋体" w:eastAsia="宋体" w:cs="宋体"/>
                <w:color w:val="000000"/>
                <w:sz w:val="21"/>
                <w:szCs w:val="21"/>
              </w:rPr>
            </w:pPr>
            <w:r>
              <w:rPr>
                <w:rFonts w:hint="eastAsia" w:ascii="宋体" w:hAnsi="宋体" w:cs="宋体"/>
                <w:color w:val="000000"/>
                <w:szCs w:val="21"/>
                <w:highlight w:val="none"/>
              </w:rPr>
              <w:t xml:space="preserve">此处最终报价指经过报价修正，及因落实政府采购政策进行价格调整后的最终报价。</w:t>
            </w:r>
            <w:r>
              <w:rPr>
                <w:rFonts w:hint="eastAsia" w:ascii="宋体" w:hAnsi="宋体" w:eastAsia="宋体" w:cs="宋体"/>
                <w:color w:val="000000"/>
                <w:sz w:val="21"/>
                <w:szCs w:val="21"/>
              </w:rPr>
            </w:r>
            <w:r/>
          </w:p>
        </w:tc>
      </w:tr>
      <w:tr>
        <w:trPr>
          <w:trHeight w:val="567" w:hRule="exact"/>
        </w:trPr>
        <w:tc>
          <w:tcPr>
            <w:gridSpan w:val="5"/>
            <w:tcW w:w="9357" w:type="dxa"/>
            <w:vAlign w:val="center"/>
            <w:textDirection w:val="lrTb"/>
            <w:noWrap/>
          </w:tcPr>
          <w:p>
            <w:pPr>
              <w:pStyle w:val="723"/>
              <w:keepLines w:val="0"/>
              <w:keepNext w:val="0"/>
              <w:pageBreakBefore w:val="0"/>
              <w:spacing w:line="317"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二、主观分（</w:t>
            </w:r>
            <w:r>
              <w:rPr>
                <w:rFonts w:hint="eastAsia" w:ascii="宋体" w:hAnsi="宋体" w:eastAsia="宋体" w:cs="宋体"/>
                <w:b/>
                <w:bCs/>
                <w:color w:val="000000"/>
                <w:sz w:val="21"/>
                <w:szCs w:val="21"/>
                <w:highlight w:val="none"/>
                <w:lang w:val="en-US" w:eastAsia="zh-CN"/>
              </w:rPr>
              <w:t xml:space="preserve">55</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w:t>
            </w:r>
            <w:r>
              <w:rPr>
                <w:rFonts w:hint="eastAsia"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15分</w:t>
            </w:r>
            <w:r>
              <w:rPr>
                <w:rFonts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keepLines w:val="0"/>
              <w:keepNext w:val="0"/>
              <w:pageBreakBefore w:val="0"/>
              <w:spacing w:line="317"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供应商针对本项目提供的项目概况及现状分析的全面性进行综合打分，包括但不限于以下内容：①项目任务背景、②13个小班地块现状、③堤岸立地条件分析、④林地恢复验收目标、⑤施工重难点分析等。根据以上内容进行综合评审，上述内容完整详细且满足采购文件及采购需求的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分，每缺失一项内容扣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分，方案每有一处存在错误或瑕疵的扣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扣完本项分值为止。（注：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highlight w:val="none"/>
                <w:lang w:eastAsia="zh-CN"/>
              </w:rPr>
            </w:r>
            <w:r/>
          </w:p>
          <w:p>
            <w:pPr>
              <w:pStyle w:val="723"/>
              <w:keepLines w:val="0"/>
              <w:keepNext w:val="0"/>
              <w:pageBreakBefore w:val="0"/>
              <w:spacing w:line="317" w:lineRule="auto"/>
              <w:widowControl w:val="off"/>
              <w:rPr>
                <w:rFonts w:hint="eastAsia" w:ascii="宋体" w:hAnsi="宋体" w:eastAsia="宋体" w:cs="宋体"/>
                <w:b w:val="0"/>
                <w:bCs/>
                <w:color w:val="000000"/>
                <w:sz w:val="21"/>
                <w:szCs w:val="21"/>
                <w:highlight w:val="none"/>
                <w:lang w:val="zh-CN"/>
              </w:rPr>
            </w:pPr>
            <w:r>
              <w:rPr>
                <w:rFonts w:hint="eastAsia" w:ascii="宋体" w:hAnsi="宋体" w:eastAsia="宋体" w:cs="宋体"/>
                <w:b/>
                <w:bCs/>
                <w:sz w:val="21"/>
                <w:szCs w:val="21"/>
                <w:highlight w:val="none"/>
                <w:lang w:eastAsia="zh-CN"/>
              </w:rPr>
              <w:t xml:space="preserve">未提供方案不得分。</w:t>
            </w:r>
            <w:r>
              <w:rPr>
                <w:rFonts w:hint="eastAsia" w:ascii="宋体" w:hAnsi="宋体" w:eastAsia="宋体" w:cs="宋体"/>
                <w:b w:val="0"/>
                <w:bCs/>
                <w:color w:val="000000"/>
                <w:sz w:val="21"/>
                <w:szCs w:val="21"/>
                <w:highlight w:val="none"/>
                <w:lang w:val="zh-CN"/>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2.2</w:t>
            </w:r>
            <w:r>
              <w:rPr>
                <w:rFonts w:hint="eastAsia"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苗木供应、起苗包装及运输方案</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hint="eastAsia"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jc w:val="left"/>
              <w:keepLines w:val="0"/>
              <w:keepNext w:val="0"/>
              <w:pageBreakBefore w:val="0"/>
              <w:spacing w:line="317"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苗木供应、起苗包装及运输方案的全面性进行综合打分，包括但不限于以下内容：①苗木选型与乡土树种保障、②苗木来源与调运管控、③起苗、土球保护、包装措施、④苗木运输保护措施、⑤苗木进场验收（两证一签）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本项分值为止。（注：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723"/>
              <w:keepLines w:val="0"/>
              <w:keepNext w:val="0"/>
              <w:pageBreakBefore w:val="0"/>
              <w:spacing w:line="317" w:lineRule="auto"/>
              <w:widowControl w:val="off"/>
              <w:rPr>
                <w:rFonts w:hint="eastAsia" w:ascii="宋体" w:hAnsi="宋体" w:eastAsia="宋体" w:cs="宋体"/>
                <w:b w:val="0"/>
                <w:bCs/>
                <w:color w:val="000000"/>
                <w:sz w:val="21"/>
                <w:szCs w:val="21"/>
                <w:highlight w:val="none"/>
              </w:rPr>
            </w:pPr>
            <w:r>
              <w:rPr>
                <w:rFonts w:hint="eastAsia" w:ascii="宋体" w:hAnsi="宋体" w:cs="宋体"/>
                <w:b/>
                <w:bCs/>
                <w:szCs w:val="21"/>
                <w:highlight w:val="none"/>
              </w:rPr>
              <w:t xml:space="preserve">未提供方案不得分。</w:t>
            </w:r>
            <w:r>
              <w:rPr>
                <w:rFonts w:hint="eastAsia" w:ascii="宋体" w:hAnsi="宋体" w:eastAsia="宋体" w:cs="宋体"/>
                <w:b w:val="0"/>
                <w:bCs/>
                <w:color w:val="000000"/>
                <w:sz w:val="21"/>
                <w:szCs w:val="21"/>
                <w:highlight w:val="none"/>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2.3</w:t>
            </w:r>
            <w:r>
              <w:rPr>
                <w:rFonts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栽植、补植及抚育管护实施方案</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jc w:val="left"/>
              <w:keepLines w:val="0"/>
              <w:keepNext w:val="0"/>
              <w:pageBreakBefore w:val="0"/>
              <w:spacing w:line="317" w:lineRule="auto"/>
              <w:widowControl w:val="off"/>
              <w:tabs>
                <w:tab w:val="left" w:pos="594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栽植、补植及抚育管护实施方案的全面性进行综合打分，包括但不限于以下内容：①苗木栽植、支撑、伤口处理措施、②除草松土浇水抚育措施、③病虫害监测防控、④死亡苗木排查及无偿补植方案、</w:t>
            </w:r>
            <w:r>
              <w:rPr>
                <w:rFonts w:hint="eastAsia" w:ascii="宋体" w:hAnsi="宋体" w:eastAsia="宋体" w:cs="宋体"/>
                <w:szCs w:val="21"/>
                <w:highlight w:val="none"/>
                <w:lang w:eastAsia="zh-CN"/>
              </w:rPr>
              <w:t xml:space="preserve">⑤成活率、保存率保障及林业验收保障措施等。根据以上内容进行综合评审，上述内容完整详细且满足采购文件及采购需求的得 10 分，每缺失一项内容扣 2 分，方案每有一处存在错误或瑕疵的扣 1 分，扣完本项分值为止。（注：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723"/>
              <w:jc w:val="left"/>
              <w:keepLines w:val="0"/>
              <w:keepNext w:val="0"/>
              <w:pageBreakBefore w:val="0"/>
              <w:spacing w:line="317"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2.4</w:t>
            </w:r>
            <w:r>
              <w:rPr>
                <w:rFonts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安全文明、环保及河道保护施工方案</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jc w:val="left"/>
              <w:keepLines w:val="0"/>
              <w:keepNext w:val="0"/>
              <w:pageBreakBefore w:val="0"/>
              <w:spacing w:line="317" w:lineRule="auto"/>
              <w:widowControl w:val="off"/>
              <w:tabs>
                <w:tab w:val="left" w:pos="594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安全文明、环保及河道保护施工方案的全面性进行综合打分，包括但不限于以下内容：①安全文明施工管理、②安全教育及隐患排查、③施工垃圾及废弃物处置、④水土保持措施、⑤溢洪河行洪安全保护措施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本项分值为止。（注：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723"/>
              <w:jc w:val="left"/>
              <w:keepLines w:val="0"/>
              <w:keepNext w:val="0"/>
              <w:pageBreakBefore w:val="0"/>
              <w:spacing w:line="317"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2.5</w:t>
            </w:r>
            <w:r>
              <w:rPr>
                <w:rFonts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特殊天气、季节施工方案</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jc w:val="left"/>
              <w:keepLines w:val="0"/>
              <w:keepNext w:val="0"/>
              <w:pageBreakBefore w:val="0"/>
              <w:spacing w:line="317" w:lineRule="auto"/>
              <w:widowControl w:val="off"/>
              <w:tabs>
                <w:tab w:val="left" w:pos="594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特殊天气、季节施工方案的全面性进行综合打分，包括但不限于以下内容：①适宜栽植季节安排、②抗旱保苗措施、③雨季边坡防冲刷排水措施、④大风倒伏防范措施、⑤防寒防冻措施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本项分值为止。（注：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723"/>
              <w:jc w:val="left"/>
              <w:keepLines w:val="0"/>
              <w:keepNext w:val="0"/>
              <w:pageBreakBefore w:val="0"/>
              <w:spacing w:line="317" w:lineRule="auto"/>
              <w:widowControl w:val="off"/>
              <w:tabs>
                <w:tab w:val="left" w:pos="5940" w:leader="none"/>
              </w:tabs>
              <w:rPr>
                <w:rFonts w:hint="eastAsia" w:ascii="宋体" w:hAnsi="宋体" w:eastAsia="宋体" w:cs="Times New Roman"/>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cs="Times New Roman"/>
                <w:b w:val="0"/>
                <w:bCs/>
                <w:color w:val="000000"/>
                <w:szCs w:val="21"/>
                <w:highlight w:val="none"/>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gridSpan w:val="5"/>
            <w:tcW w:w="9357"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三、客观分（</w:t>
            </w: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3.1</w:t>
            </w:r>
            <w:r>
              <w:rPr>
                <w:rFonts w:hint="eastAsia"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拟投入本项目人员</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14分</w:t>
            </w:r>
            <w:r>
              <w:rPr>
                <w:rFonts w:hint="eastAsia"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numPr>
                <w:ilvl w:val="0"/>
                <w:numId w:val="0"/>
              </w:numPr>
              <w:keepLines w:val="0"/>
              <w:keepNext w:val="0"/>
              <w:pageBreakBefore w:val="0"/>
              <w:spacing w:line="317"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1、拟派人员（除项目负责人）具有</w:t>
            </w:r>
            <w:r>
              <w:rPr>
                <w:rFonts w:hint="eastAsia" w:ascii="宋体" w:hAnsi="宋体" w:eastAsia="宋体" w:cs="宋体"/>
                <w:szCs w:val="21"/>
                <w:highlight w:val="none"/>
                <w:lang w:val="zh-TW" w:eastAsia="zh-CN"/>
              </w:rPr>
              <w:t xml:space="preserve">林业或园林绿化专业中级（含）以上工程师职称</w:t>
            </w:r>
            <w:r>
              <w:rPr>
                <w:rFonts w:hint="eastAsia" w:ascii="宋体" w:hAnsi="宋体" w:eastAsia="宋体" w:cs="宋体"/>
                <w:szCs w:val="21"/>
                <w:highlight w:val="none"/>
                <w:lang w:val="en-US" w:eastAsia="zh-CN"/>
              </w:rPr>
              <w:t xml:space="preserve">的，每提供1人得3分，最高得6分；</w:t>
            </w:r>
            <w:r>
              <w:rPr>
                <w:rFonts w:hint="eastAsia" w:ascii="宋体" w:hAnsi="宋体" w:eastAsia="宋体" w:cs="宋体"/>
                <w:szCs w:val="21"/>
                <w:highlight w:val="none"/>
                <w:lang w:val="en-US" w:eastAsia="zh-CN"/>
              </w:rPr>
            </w:r>
            <w:r/>
          </w:p>
          <w:p>
            <w:pPr>
              <w:pStyle w:val="723"/>
              <w:numPr>
                <w:ilvl w:val="0"/>
                <w:numId w:val="0"/>
              </w:numPr>
              <w:keepLines w:val="0"/>
              <w:keepNext w:val="0"/>
              <w:pageBreakBefore w:val="0"/>
              <w:spacing w:line="317"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2、拟派人员（除项目负责人），具有市政专业二级及以上注册建造师资格证书，每提供1人得3分，最高得6分；</w:t>
            </w:r>
            <w:r>
              <w:rPr>
                <w:rFonts w:hint="eastAsia" w:ascii="宋体" w:hAnsi="宋体" w:eastAsia="宋体" w:cs="宋体"/>
                <w:szCs w:val="21"/>
                <w:highlight w:val="none"/>
                <w:lang w:val="en-US" w:eastAsia="zh-CN"/>
              </w:rPr>
            </w:r>
            <w:r/>
          </w:p>
          <w:p>
            <w:pPr>
              <w:pStyle w:val="723"/>
              <w:numPr>
                <w:ilvl w:val="0"/>
                <w:numId w:val="0"/>
              </w:numPr>
              <w:keepLines w:val="0"/>
              <w:keepNext w:val="0"/>
              <w:pageBreakBefore w:val="0"/>
              <w:spacing w:line="317" w:lineRule="auto"/>
              <w:widowControl w:val="off"/>
              <w:rPr>
                <w:rFonts w:hint="eastAsia" w:ascii="宋体" w:hAnsi="宋体" w:eastAsia="宋体" w:cs="Times New Roman"/>
                <w:b w:val="0"/>
                <w:bCs/>
                <w:color w:val="000000"/>
                <w:szCs w:val="21"/>
                <w:highlight w:val="none"/>
                <w:lang w:val="en-US" w:eastAsia="zh-CN"/>
              </w:rPr>
            </w:pPr>
            <w:r>
              <w:rPr>
                <w:rFonts w:hint="eastAsia" w:ascii="宋体" w:hAnsi="宋体" w:eastAsia="宋体" w:cs="宋体"/>
                <w:szCs w:val="21"/>
                <w:highlight w:val="none"/>
                <w:lang w:val="en-US" w:eastAsia="zh-CN"/>
              </w:rPr>
              <w:t xml:space="preserve">3、拟派人员（除项目负责人）具有安全生产考核合格证书（C证）的，得2分。</w:t>
            </w:r>
            <w:r>
              <w:rPr>
                <w:rFonts w:hint="eastAsia" w:ascii="宋体" w:hAnsi="宋体" w:eastAsia="宋体" w:cs="Times New Roman"/>
                <w:b w:val="0"/>
                <w:bCs/>
                <w:color w:val="000000"/>
                <w:szCs w:val="21"/>
                <w:highlight w:val="none"/>
                <w:lang w:val="en-US" w:eastAsia="zh-CN"/>
              </w:rPr>
            </w:r>
            <w:r/>
          </w:p>
        </w:tc>
        <w:tc>
          <w:tcPr>
            <w:tcW w:w="1575" w:type="dxa"/>
            <w:vAlign w:val="center"/>
            <w:textDirection w:val="lrTb"/>
            <w:noWrap/>
          </w:tcPr>
          <w:p>
            <w:pPr>
              <w:pStyle w:val="723"/>
              <w:jc w:val="left"/>
              <w:keepLines w:val="0"/>
              <w:keepNext w:val="0"/>
              <w:pageBreakBefore w:val="0"/>
              <w:spacing w:line="317"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szCs w:val="21"/>
                <w:highlight w:val="none"/>
                <w:lang w:val="en-US" w:eastAsia="zh-CN"/>
              </w:rPr>
              <w:t xml:space="preserve">注：提供人员相关证书复印件以及供应商为拟投入本项目人员缴纳的近 3 个月社保凭证，否则不得分。同一人员多项证书不重复得分。</w:t>
            </w:r>
            <w:r>
              <w:rPr>
                <w:rFonts w:hint="eastAsia" w:ascii="宋体" w:hAnsi="宋体" w:eastAsia="宋体" w:cs="宋体"/>
                <w:color w:val="000000"/>
                <w:sz w:val="21"/>
                <w:szCs w:val="21"/>
                <w:highlight w:val="none"/>
                <w:lang w:eastAsia="zh-CN"/>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3.2</w:t>
            </w:r>
            <w:r>
              <w:rPr>
                <w:rFonts w:hint="eastAsia"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业绩</w:t>
            </w:r>
            <w:r>
              <w:rPr>
                <w:rFonts w:hint="eastAsia"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12分</w:t>
            </w:r>
            <w:r>
              <w:rPr>
                <w:rFonts w:hint="eastAsia"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keepLines w:val="0"/>
              <w:keepNext w:val="0"/>
              <w:pageBreakBefore w:val="0"/>
              <w:spacing w:line="317" w:lineRule="auto"/>
              <w:widowControl w:val="off"/>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供应商</w:t>
            </w:r>
            <w:r>
              <w:rPr>
                <w:rFonts w:ascii="宋体" w:hAnsi="宋体" w:eastAsia="宋体" w:cs="宋体"/>
                <w:color w:val="000000"/>
                <w:sz w:val="21"/>
                <w:highlight w:val="none"/>
              </w:rPr>
              <w:t xml:space="preserve">提供自2023年</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月1日以来有</w:t>
            </w:r>
            <w:r>
              <w:rPr>
                <w:rFonts w:hint="eastAsia" w:ascii="宋体" w:hAnsi="宋体" w:eastAsia="宋体" w:cs="宋体"/>
                <w:color w:val="000000"/>
                <w:sz w:val="21"/>
                <w:highlight w:val="none"/>
                <w:lang w:val="en-US" w:eastAsia="zh-CN"/>
              </w:rPr>
              <w:t xml:space="preserve">类似</w:t>
            </w:r>
            <w:r>
              <w:rPr>
                <w:rFonts w:ascii="宋体" w:hAnsi="宋体" w:eastAsia="宋体" w:cs="宋体"/>
                <w:color w:val="000000"/>
                <w:sz w:val="21"/>
                <w:highlight w:val="none"/>
              </w:rPr>
              <w:t xml:space="preserve">业绩的</w:t>
            </w:r>
            <w:r>
              <w:rPr>
                <w:rFonts w:hint="eastAsia" w:ascii="宋体" w:hAnsi="宋体" w:eastAsia="宋体" w:cs="Times New Roman"/>
                <w:b w:val="0"/>
                <w:bCs/>
                <w:color w:val="000000"/>
                <w:szCs w:val="21"/>
                <w:highlight w:val="none"/>
                <w:lang w:val="en-US" w:eastAsia="zh-CN"/>
              </w:rPr>
              <w:t xml:space="preserve">，每有一个得4分，本项最高得12分。</w:t>
            </w:r>
            <w:r>
              <w:rPr>
                <w:rFonts w:hint="eastAsia" w:ascii="宋体" w:hAnsi="宋体" w:eastAsia="宋体" w:cs="Times New Roman"/>
                <w:b w:val="0"/>
                <w:bCs/>
                <w:color w:val="000000"/>
                <w:szCs w:val="21"/>
                <w:highlight w:val="none"/>
                <w:lang w:val="en-US" w:eastAsia="zh-CN"/>
              </w:rPr>
            </w:r>
            <w:r/>
          </w:p>
          <w:p>
            <w:pPr>
              <w:pStyle w:val="723"/>
              <w:keepLines w:val="0"/>
              <w:keepNext w:val="0"/>
              <w:pageBreakBefore w:val="0"/>
              <w:spacing w:line="317" w:lineRule="auto"/>
              <w:widowControl w:val="off"/>
              <w:rPr>
                <w:rFonts w:hint="eastAsia"/>
                <w:highlight w:val="none"/>
                <w:lang w:val="en-US" w:eastAsia="zh-CN"/>
              </w:rPr>
            </w:pPr>
            <w:r>
              <w:rPr>
                <w:rFonts w:hint="eastAsia" w:ascii="宋体" w:hAnsi="宋体" w:eastAsia="宋体" w:cs="Times New Roman"/>
                <w:b/>
                <w:bCs w:val="0"/>
                <w:color w:val="000000"/>
                <w:szCs w:val="21"/>
                <w:highlight w:val="none"/>
                <w:lang w:val="en-US" w:eastAsia="zh-CN"/>
              </w:rPr>
              <w:t xml:space="preserve">注：响应文件内提供合同复印件并加盖公章，时间以合同签订时间为准，未提供不得分。</w:t>
            </w:r>
            <w:r>
              <w:rPr>
                <w:rFonts w:hint="eastAsia"/>
                <w:highlight w:val="none"/>
                <w:lang w:val="en-US" w:eastAsia="zh-CN"/>
              </w:rPr>
            </w:r>
            <w:r/>
          </w:p>
        </w:tc>
        <w:tc>
          <w:tcPr>
            <w:tcW w:w="1575" w:type="dxa"/>
            <w:vAlign w:val="top"/>
            <w:textDirection w:val="lrTb"/>
            <w:noWrap/>
          </w:tcPr>
          <w:p>
            <w:pPr>
              <w:pStyle w:val="723"/>
              <w:keepLines w:val="0"/>
              <w:keepNext w:val="0"/>
              <w:pageBreakBefore w:val="0"/>
              <w:spacing w:line="317"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23"/>
        </w:trPr>
        <w:tc>
          <w:tcPr>
            <w:tcW w:w="549"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bookmarkStart w:id="644" w:name="_Toc104818928"/>
            <w:r>
              <w:rPr>
                <w:rFonts w:hint="eastAsia" w:ascii="宋体" w:hAnsi="宋体" w:eastAsia="宋体" w:cs="宋体"/>
                <w:b w:val="0"/>
                <w:bCs w:val="0"/>
                <w:color w:val="000000"/>
                <w:sz w:val="21"/>
                <w:szCs w:val="21"/>
                <w:highlight w:val="none"/>
                <w:lang w:val="en-US" w:eastAsia="zh-CN" w:bidi="ar-SA"/>
              </w:rPr>
              <w:t xml:space="preserve">3.3</w:t>
            </w:r>
            <w:r>
              <w:rPr>
                <w:rFonts w:ascii="宋体" w:hAnsi="宋体" w:eastAsia="宋体" w:cs="宋体"/>
                <w:b w:val="0"/>
                <w:bCs w:val="0"/>
                <w:color w:val="000000"/>
                <w:sz w:val="21"/>
                <w:szCs w:val="21"/>
                <w:highlight w:val="none"/>
                <w:lang w:val="en-US" w:eastAsia="zh-CN" w:bidi="ar-SA"/>
              </w:rPr>
            </w:r>
            <w:r/>
          </w:p>
        </w:tc>
        <w:tc>
          <w:tcPr>
            <w:tcW w:w="1195"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企业实力</w:t>
            </w:r>
            <w:r>
              <w:rPr>
                <w:rFonts w:ascii="宋体" w:hAnsi="宋体" w:eastAsia="宋体" w:cs="宋体"/>
                <w:b w:val="0"/>
                <w:bCs w:val="0"/>
                <w:color w:val="000000"/>
                <w:sz w:val="21"/>
                <w:szCs w:val="21"/>
                <w:highlight w:val="none"/>
                <w:lang w:val="en-US" w:eastAsia="zh-CN" w:bidi="ar-SA"/>
              </w:rPr>
            </w:r>
            <w:r/>
          </w:p>
        </w:tc>
        <w:tc>
          <w:tcPr>
            <w:tcW w:w="763" w:type="dxa"/>
            <w:vAlign w:val="center"/>
            <w:textDirection w:val="lrTb"/>
            <w:noWrap/>
          </w:tcPr>
          <w:p>
            <w:pPr>
              <w:pStyle w:val="757"/>
              <w:jc w:val="center"/>
              <w:keepLines w:val="0"/>
              <w:keepNext w:val="0"/>
              <w:pageBreakBefore w:val="0"/>
              <w:spacing w:line="317" w:lineRule="auto"/>
              <w:tabs>
                <w:tab w:val="left" w:pos="567" w:leader="none"/>
              </w:tabs>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4分</w:t>
            </w:r>
            <w:r>
              <w:rPr>
                <w:rFonts w:ascii="宋体" w:hAnsi="宋体" w:eastAsia="宋体" w:cs="宋体"/>
                <w:b w:val="0"/>
                <w:bCs w:val="0"/>
                <w:color w:val="000000"/>
                <w:sz w:val="21"/>
                <w:szCs w:val="21"/>
                <w:highlight w:val="none"/>
                <w:lang w:val="en-US" w:eastAsia="zh-CN" w:bidi="ar-SA"/>
              </w:rPr>
            </w:r>
            <w:r/>
          </w:p>
        </w:tc>
        <w:tc>
          <w:tcPr>
            <w:tcW w:w="5275" w:type="dxa"/>
            <w:vAlign w:val="center"/>
            <w:textDirection w:val="lrTb"/>
            <w:noWrap/>
          </w:tcPr>
          <w:p>
            <w:pPr>
              <w:pStyle w:val="723"/>
              <w:keepLines w:val="0"/>
              <w:keepNext w:val="0"/>
              <w:pageBreakBefore w:val="0"/>
              <w:spacing w:line="317" w:lineRule="auto"/>
              <w:widowControl w:val="off"/>
              <w:rPr>
                <w:rFonts w:ascii="宋体" w:hAnsi="宋体" w:eastAsia="宋体" w:cs="Times New Roman"/>
                <w:b/>
                <w:bCs w:val="0"/>
                <w:color w:val="000000"/>
                <w:szCs w:val="21"/>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供应商具备有效的市政公用工程施工总承包叁级及以上资质，同时具备有效的安全生产许可证得4分。</w:t>
            </w:r>
            <w:r>
              <w:rPr>
                <w:rFonts w:ascii="宋体" w:hAnsi="宋体" w:eastAsia="宋体" w:cs="Times New Roman"/>
                <w:b/>
                <w:bCs w:val="0"/>
                <w:color w:val="000000"/>
                <w:szCs w:val="21"/>
                <w:highlight w:val="none"/>
                <w:lang w:val="en-US" w:eastAsia="zh-CN"/>
              </w:rPr>
            </w:r>
            <w:r/>
          </w:p>
        </w:tc>
        <w:tc>
          <w:tcPr>
            <w:tcW w:w="1575" w:type="dxa"/>
            <w:vAlign w:val="top"/>
            <w:textDirection w:val="lrTb"/>
            <w:noWrap/>
          </w:tcPr>
          <w:p>
            <w:pPr>
              <w:pStyle w:val="723"/>
              <w:keepLines w:val="0"/>
              <w:keepNext w:val="0"/>
              <w:pageBreakBefore w:val="0"/>
              <w:spacing w:line="317"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提供资质证书复印件、安全生产许可证复印件并加盖公章。</w:t>
            </w:r>
            <w:r>
              <w:rPr>
                <w:rFonts w:ascii="宋体" w:hAnsi="宋体" w:eastAsia="宋体" w:cs="宋体"/>
                <w:b/>
                <w:color w:val="000000"/>
                <w:sz w:val="21"/>
                <w:szCs w:val="21"/>
                <w:lang w:val="en-US" w:eastAsia="zh-CN"/>
              </w:rPr>
            </w:r>
            <w:r/>
          </w:p>
        </w:tc>
      </w:tr>
    </w:tbl>
    <w:p>
      <w:pPr>
        <w:pStyle w:val="723"/>
        <w:jc w:val="center"/>
        <w:spacing w:line="360" w:lineRule="auto"/>
        <w:widowControl/>
        <w:tabs>
          <w:tab w:val="left" w:pos="1080" w:leader="none"/>
          <w:tab w:val="left" w:pos="1872" w:leader="none"/>
        </w:tabs>
        <w:rPr>
          <w:rFonts w:hint="eastAsia"/>
          <w:b/>
          <w:bCs/>
          <w:sz w:val="24"/>
          <w:highlight w:val="yellow"/>
          <w:lang w:eastAsia="zh-CN"/>
        </w:rPr>
      </w:pPr>
      <w:r>
        <w:rPr>
          <w:rFonts w:hint="eastAsia"/>
          <w:b/>
          <w:bCs/>
          <w:sz w:val="24"/>
          <w:highlight w:val="yellow"/>
          <w:lang w:eastAsia="zh-CN"/>
        </w:rPr>
      </w:r>
      <w:r/>
    </w:p>
    <w:p>
      <w:pPr>
        <w:pStyle w:val="723"/>
        <w:spacing w:line="360" w:lineRule="auto"/>
        <w:rPr>
          <w:rFonts w:hint="eastAsia" w:ascii="宋体" w:hAnsi="宋体" w:cs="宋体"/>
          <w:b/>
          <w:szCs w:val="21"/>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rPr>
          <w:rFonts w:hint="eastAsia" w:ascii="宋体" w:hAnsi="宋体" w:cs="宋体"/>
          <w:b/>
          <w:szCs w:val="21"/>
        </w:rPr>
      </w:r>
      <w:r/>
    </w:p>
    <w:p>
      <w:pPr>
        <w:pStyle w:val="723"/>
        <w:jc w:val="center"/>
        <w:keepLines w:val="0"/>
        <w:keepNext w:val="0"/>
        <w:pageBreakBefore w:val="0"/>
        <w:spacing w:line="360" w:lineRule="auto"/>
        <w:widowControl w:val="off"/>
        <w:rPr>
          <w:sz w:val="24"/>
          <w:highlight w:val="none"/>
        </w:rPr>
        <w:outlineLvl w:val="0"/>
      </w:pPr>
      <w:r>
        <w:rPr>
          <w:b/>
          <w:sz w:val="28"/>
          <w:szCs w:val="28"/>
        </w:rPr>
        <w:br w:type="page" w:clear="all"/>
      </w:r>
      <w:r>
        <w:rPr>
          <w:b/>
          <w:sz w:val="28"/>
          <w:szCs w:val="28"/>
          <w:highlight w:val="none"/>
        </w:rPr>
        <w:t xml:space="preserve">第四章   采购需求</w:t>
      </w:r>
      <w:bookmarkEnd w:id="644"/>
      <w:r>
        <w:rPr>
          <w:sz w:val="24"/>
          <w:highlight w:val="none"/>
        </w:rPr>
      </w:r>
      <w:r/>
    </w:p>
    <w:p>
      <w:pPr>
        <w:pStyle w:val="825"/>
        <w:contextualSpacing/>
        <w:ind w:firstLine="0"/>
        <w:keepLines w:val="0"/>
        <w:keepNext w:val="0"/>
        <w:pageBreakBefore w:val="0"/>
        <w:spacing w:line="360" w:lineRule="auto"/>
        <w:widowControl w:val="off"/>
        <w:rPr>
          <w:rFonts w:hint="eastAsia" w:ascii="宋体" w:hAnsi="宋体" w:cs="宋体"/>
          <w:b/>
          <w:szCs w:val="21"/>
          <w:highlight w:val="none"/>
        </w:rPr>
      </w:pPr>
      <w:r>
        <w:rPr>
          <w:rFonts w:hint="eastAsia" w:ascii="宋体" w:hAnsi="宋体" w:cs="宋体"/>
          <w:b/>
          <w:szCs w:val="21"/>
          <w:highlight w:val="none"/>
        </w:rPr>
        <w:t xml:space="preserve">一、采购标的</w:t>
      </w:r>
      <w:r>
        <w:rPr>
          <w:rFonts w:hint="eastAsia" w:ascii="宋体" w:hAnsi="宋体" w:cs="宋体"/>
          <w:b/>
          <w:szCs w:val="21"/>
          <w:highlight w:val="none"/>
        </w:rPr>
      </w:r>
      <w:r/>
    </w:p>
    <w:p>
      <w:pPr>
        <w:pStyle w:val="723"/>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cs="宋体"/>
          <w:bCs/>
          <w:szCs w:val="21"/>
          <w:highlight w:val="none"/>
        </w:rPr>
        <w:t xml:space="preserve">1. 采购标的：</w:t>
      </w:r>
      <w:r>
        <w:rPr>
          <w:rFonts w:hint="eastAsia" w:ascii="宋体" w:hAnsi="宋体" w:cs="宋体"/>
          <w:bCs/>
          <w:szCs w:val="21"/>
          <w:highlight w:val="none"/>
          <w:lang w:eastAsia="zh-CN"/>
        </w:rPr>
        <w:t xml:space="preserve">戴埠镇沙河水库溢洪河两侧恢复林业生产条件和恢复植被项目</w:t>
      </w:r>
      <w:r>
        <w:rPr>
          <w:rFonts w:hint="eastAsia" w:ascii="宋体" w:hAnsi="宋体" w:eastAsia="宋体" w:cs="宋体"/>
          <w:bCs/>
          <w:szCs w:val="21"/>
          <w:highlight w:val="none"/>
          <w:lang w:eastAsia="zh-CN"/>
        </w:rPr>
      </w:r>
      <w:r/>
    </w:p>
    <w:p>
      <w:pPr>
        <w:pStyle w:val="723"/>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cs="宋体"/>
          <w:bCs/>
          <w:szCs w:val="21"/>
          <w:highlight w:val="none"/>
        </w:rPr>
        <w:t xml:space="preserve">2. 项目背景/项目概述：本项目为</w:t>
      </w:r>
      <w:r>
        <w:rPr>
          <w:rFonts w:hint="eastAsia" w:ascii="宋体" w:hAnsi="宋体" w:cs="宋体"/>
          <w:bCs/>
          <w:szCs w:val="21"/>
          <w:highlight w:val="none"/>
          <w:lang w:eastAsia="zh-CN"/>
        </w:rPr>
        <w:t xml:space="preserve">戴埠镇沙河水库溢洪河两侧恢复林业生产条件和恢复植被项目</w:t>
      </w:r>
      <w:r>
        <w:rPr>
          <w:rFonts w:hint="eastAsia" w:ascii="宋体" w:hAnsi="宋体" w:cs="宋体"/>
          <w:szCs w:val="21"/>
          <w:highlight w:val="none"/>
          <w:shd w:val="clear" w:color="auto" w:fill="ffffff"/>
        </w:rPr>
        <w:t xml:space="preserve">，具体涉及沙河水库溢洪河两侧区域，</w:t>
      </w:r>
      <w:r>
        <w:rPr>
          <w:rFonts w:hint="eastAsia" w:ascii="宋体" w:hAnsi="宋体" w:cs="宋体"/>
          <w:szCs w:val="21"/>
          <w:highlight w:val="none"/>
          <w:shd w:val="clear" w:color="auto" w:fill="ffffff"/>
          <w:lang w:val="en-US" w:eastAsia="zh-CN"/>
        </w:rPr>
        <w:t xml:space="preserve">项目</w:t>
      </w:r>
      <w:r>
        <w:rPr>
          <w:rFonts w:hint="eastAsia" w:ascii="宋体" w:hAnsi="宋体" w:cs="宋体"/>
          <w:szCs w:val="21"/>
          <w:highlight w:val="none"/>
          <w:shd w:val="clear" w:color="auto" w:fill="ffffff"/>
        </w:rPr>
        <w:t xml:space="preserve">总面积约 10.7194公顷。2025年，沙河水库溢洪河沿岸堤防受汛期洪水影响出现渗漏隐患，为保障防洪安全，相关部门对沿岸影响抢险作业的部分树木进行了紧急清理砍伐。恢复范围主要以森林督察月督察下发图斑为主，并通过实地调查和水利设计图等，确定周边部分区域也需要进行恢复，该区域是为提升河道周边环境的恢复植被区域，对巩固堤防、涵养水源和恢复区域生态环境具有重要作用。</w:t>
      </w:r>
      <w:r>
        <w:rPr>
          <w:rFonts w:hint="eastAsia" w:ascii="宋体" w:hAnsi="宋体" w:eastAsia="宋体" w:cs="宋体"/>
          <w:bCs/>
          <w:szCs w:val="21"/>
          <w:highlight w:val="none"/>
          <w:lang w:eastAsia="zh-CN"/>
        </w:rPr>
      </w:r>
      <w:r/>
    </w:p>
    <w:p>
      <w:pPr>
        <w:pStyle w:val="809"/>
        <w:keepLines w:val="0"/>
        <w:keepNext w:val="0"/>
        <w:pageBreakBefore w:val="0"/>
        <w:spacing w:line="360" w:lineRule="auto"/>
        <w:widowControl w:val="off"/>
      </w:pPr>
      <w:r/>
      <w:r/>
    </w:p>
    <w:p>
      <w:pPr>
        <w:pStyle w:val="982"/>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bookmarkStart w:id="645" w:name="_Toc104818929"/>
      <w:r>
        <w:rPr>
          <w:rFonts w:hint="eastAsia" w:ascii="宋体" w:hAnsi="宋体" w:eastAsia="宋体" w:cs="宋体"/>
          <w:b/>
          <w:szCs w:val="21"/>
          <w:highlight w:val="none"/>
          <w:lang w:val="en-US" w:eastAsia="zh-CN"/>
        </w:rPr>
        <w:t xml:space="preserve">二、商务要求</w:t>
      </w:r>
      <w:r>
        <w:rPr>
          <w:rFonts w:hint="eastAsia" w:ascii="宋体" w:hAnsi="宋体" w:eastAsia="宋体" w:cs="宋体"/>
          <w:b/>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1.工期：60日历天 </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2.付款条件：</w:t>
      </w:r>
      <w:r>
        <w:rPr>
          <w:rFonts w:hint="eastAsia" w:ascii="宋体" w:hAnsi="宋体" w:eastAsia="宋体" w:cs="宋体"/>
          <w:i w:val="0"/>
          <w:iCs w:val="0"/>
          <w:color w:val="000000"/>
          <w:sz w:val="21"/>
          <w:szCs w:val="21"/>
          <w:highlight w:val="none"/>
          <w:lang w:val="en-US" w:eastAsia="zh-CN"/>
        </w:rPr>
      </w:r>
      <w:r/>
    </w:p>
    <w:p>
      <w:pPr>
        <w:pStyle w:val="825"/>
        <w:numPr>
          <w:ilvl w:val="0"/>
          <w:numId w:val="0"/>
        </w:numPr>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（1）工程竣工验收合格后，当年农历12月底前，支付至合同价［扣除暂估价及暂列金（含规费税金）］的60%；</w:t>
      </w:r>
      <w:r>
        <w:rPr>
          <w:rFonts w:hint="eastAsia" w:ascii="宋体" w:hAnsi="宋体" w:eastAsia="宋体" w:cs="宋体"/>
          <w:sz w:val="21"/>
          <w:szCs w:val="21"/>
          <w:highlight w:val="none"/>
          <w:lang w:val="en-US" w:eastAsia="zh-CN"/>
        </w:rPr>
      </w:r>
      <w:r/>
    </w:p>
    <w:p>
      <w:pPr>
        <w:pStyle w:val="825"/>
        <w:numPr>
          <w:ilvl w:val="0"/>
          <w:numId w:val="0"/>
        </w:numPr>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（2）工程竣工验收合格后的第二年农历12月底前，支付至审定价的97%；</w:t>
      </w:r>
      <w:r>
        <w:rPr>
          <w:rFonts w:hint="eastAsia" w:ascii="宋体" w:hAnsi="宋体" w:eastAsia="宋体" w:cs="宋体"/>
          <w:sz w:val="21"/>
          <w:szCs w:val="21"/>
          <w:highlight w:val="none"/>
          <w:lang w:val="en-US" w:eastAsia="zh-CN"/>
        </w:rPr>
      </w:r>
      <w:r/>
    </w:p>
    <w:p>
      <w:pPr>
        <w:pStyle w:val="825"/>
        <w:numPr>
          <w:ilvl w:val="0"/>
          <w:numId w:val="0"/>
        </w:numPr>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（3）余款在第三年农历12月底前付清；</w:t>
      </w:r>
      <w:r>
        <w:rPr>
          <w:rFonts w:hint="eastAsia" w:ascii="宋体" w:hAnsi="宋体" w:eastAsia="宋体" w:cs="宋体"/>
          <w:sz w:val="21"/>
          <w:szCs w:val="21"/>
          <w:highlight w:val="none"/>
          <w:lang w:val="en-US" w:eastAsia="zh-CN"/>
        </w:rPr>
      </w:r>
      <w:r/>
    </w:p>
    <w:p>
      <w:pPr>
        <w:pStyle w:val="825"/>
        <w:numPr>
          <w:ilvl w:val="0"/>
          <w:numId w:val="0"/>
        </w:numPr>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（4）审定价的3％为工程质量保证金，在缺陷责任期满后全部退还。</w:t>
      </w:r>
      <w:r>
        <w:rPr>
          <w:rFonts w:hint="eastAsia" w:ascii="宋体" w:hAnsi="宋体" w:eastAsia="宋体" w:cs="宋体"/>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3.质量标准：</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3.1施工执行《造林技术规程》（GB/T157762015）及省、市林地恢复相关规范；</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3.2苗木栽植质量、成活率、林地保存率必须满足林业主管部门林地恢复验收标准，确保项目通过林地恢复专项验收。</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bidi="ar-SA"/>
        </w:rPr>
        <w:t xml:space="preserve">4.</w:t>
      </w:r>
      <w:r>
        <w:rPr>
          <w:rFonts w:hint="eastAsia" w:ascii="宋体" w:hAnsi="宋体" w:eastAsia="宋体" w:cs="宋体"/>
          <w:i w:val="0"/>
          <w:iCs w:val="0"/>
          <w:color w:val="000000"/>
          <w:sz w:val="21"/>
          <w:szCs w:val="21"/>
          <w:highlight w:val="none"/>
          <w:lang w:val="en-US" w:eastAsia="zh-CN"/>
        </w:rPr>
        <w:t xml:space="preserve">质保期：2年</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cs="宋体"/>
          <w:b/>
          <w:sz w:val="21"/>
          <w:szCs w:val="21"/>
          <w:lang w:val="en-US" w:eastAsia="zh-CN" w:bidi="ar-SA"/>
        </w:rPr>
      </w:pPr>
      <w:r>
        <w:rPr>
          <w:rFonts w:hint="eastAsia" w:ascii="宋体" w:hAnsi="宋体" w:cs="宋体"/>
          <w:b/>
          <w:sz w:val="21"/>
          <w:szCs w:val="21"/>
          <w:lang w:val="en-US" w:eastAsia="zh-CN" w:bidi="ar-SA"/>
        </w:rPr>
      </w:r>
      <w:r/>
    </w:p>
    <w:p>
      <w:pPr>
        <w:pStyle w:val="723"/>
        <w:numPr>
          <w:ilvl w:val="0"/>
          <w:numId w:val="0"/>
        </w:numPr>
        <w:contextualSpacing/>
        <w:keepLines w:val="0"/>
        <w:keepNext w:val="0"/>
        <w:pageBreakBefore w:val="0"/>
        <w:spacing w:line="360" w:lineRule="auto"/>
        <w:widowControl w:val="off"/>
        <w:rPr>
          <w:rFonts w:ascii="宋体" w:hAnsi="宋体" w:eastAsia="宋体" w:cs="宋体"/>
          <w:sz w:val="24"/>
          <w:szCs w:val="24"/>
        </w:rPr>
      </w:pPr>
      <w:r>
        <w:rPr>
          <w:rFonts w:hint="eastAsia" w:ascii="宋体" w:hAnsi="宋体" w:cs="宋体"/>
          <w:b/>
          <w:sz w:val="21"/>
          <w:szCs w:val="21"/>
          <w:lang w:val="en-US" w:eastAsia="zh-CN" w:bidi="ar-SA"/>
        </w:rPr>
        <w:t xml:space="preserve">三</w:t>
      </w:r>
      <w:r>
        <w:rPr>
          <w:rFonts w:hint="eastAsia" w:ascii="宋体" w:hAnsi="宋体" w:eastAsia="宋体" w:cs="宋体"/>
          <w:b/>
          <w:sz w:val="21"/>
          <w:szCs w:val="21"/>
          <w:lang w:val="en-US" w:eastAsia="zh-CN" w:bidi="ar-SA"/>
        </w:rPr>
        <w:t xml:space="preserve">、控制价清单及相关文件：</w:t>
      </w:r>
      <w:r>
        <w:rPr>
          <w:rFonts w:ascii="宋体" w:hAnsi="宋体" w:eastAsia="宋体" w:cs="宋体"/>
          <w:sz w:val="24"/>
          <w:szCs w:val="24"/>
        </w:rPr>
        <w:t xml:space="preserve"> </w:t>
      </w:r>
      <w:r>
        <w:rPr>
          <w:rFonts w:ascii="宋体" w:hAnsi="宋体" w:eastAsia="宋体" w:cs="宋体"/>
          <w:sz w:val="24"/>
          <w:szCs w:val="24"/>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工程量清单、图纸、作业设计详见本项目磋商文件附件（后附）。</w:t>
      </w:r>
      <w:r>
        <w:rPr>
          <w:rFonts w:hint="eastAsia" w:ascii="宋体" w:hAnsi="宋体" w:eastAsia="宋体" w:cs="宋体"/>
          <w:i w:val="0"/>
          <w:iCs w:val="0"/>
          <w:color w:val="000000"/>
          <w:sz w:val="21"/>
          <w:szCs w:val="21"/>
          <w:highlight w:val="none"/>
          <w:lang w:val="en-US" w:eastAsia="zh-CN"/>
        </w:rPr>
      </w:r>
      <w:r/>
    </w:p>
    <w:p>
      <w:pPr>
        <w:pStyle w:val="757"/>
        <w:numPr>
          <w:ilvl w:val="0"/>
          <w:numId w:val="0"/>
        </w:numPr>
        <w:keepLines w:val="0"/>
        <w:keepNext w:val="0"/>
        <w:pageBreakBefore w:val="0"/>
        <w:spacing w:before="0" w:line="360" w:lineRule="auto"/>
        <w:widowControl w:val="off"/>
        <w:tabs>
          <w:tab w:val="left" w:pos="567" w:leader="none"/>
        </w:tabs>
        <w:rPr>
          <w:rFonts w:hint="eastAsia"/>
          <w:lang w:val="en-US" w:eastAsia="zh-CN"/>
        </w:rPr>
      </w:pPr>
      <w:r>
        <w:rPr>
          <w:rFonts w:hint="eastAsia"/>
          <w:lang w:val="en-US" w:eastAsia="zh-CN"/>
        </w:rPr>
      </w:r>
      <w:r/>
    </w:p>
    <w:p>
      <w:pPr>
        <w:pStyle w:val="982"/>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四、主要施工内容</w:t>
      </w:r>
      <w:r>
        <w:rPr>
          <w:rFonts w:hint="eastAsia" w:ascii="宋体" w:hAnsi="宋体" w:eastAsia="宋体" w:cs="宋体"/>
          <w:b/>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1.恢复林业生产条件：对施工地块开展场地清杂、垃圾杂物清理、地表整理，改良造林立地条件，满足林地造林作业基础条件。 </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2.苗木栽植施工：严格按照工程量清单、施工方案及图纸要求完成各规格乔木、绿篱栽植，配套实施树木支撑架等措施；苗木优先选用本地适生乡土苗木，苗木进场必须提供苗木两证一签（苗木检验证书、植物检疫证书、苗木标签），苗木规格、土球、树形、质量须满足清单及技术方案要求。</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抚育管护与补植：养护期内完成除草、松土、浇灌排水、病虫害监测防治等抚育管护工作；对死亡、长势不达标的苗木由成交供应商无偿补植更换，保障植被恢复成效。养护期内苗木死亡、衰败，由成交供应商无条件无偿补植。</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4.资料整理及验收配合：完整收集整理施工全过程竣工资料，无条件配合采购人、自然资源和规划（林业）主管部门开展现场核查、林地恢复专项验收工作。</w:t>
      </w:r>
      <w:r>
        <w:rPr>
          <w:rFonts w:hint="eastAsia" w:ascii="宋体" w:hAnsi="宋体" w:eastAsia="宋体" w:cs="宋体"/>
          <w:i w:val="0"/>
          <w:iCs w:val="0"/>
          <w:color w:val="000000"/>
          <w:sz w:val="21"/>
          <w:szCs w:val="21"/>
          <w:highlight w:val="none"/>
          <w:lang w:val="en-US" w:eastAsia="zh-CN"/>
        </w:rPr>
      </w:r>
      <w:r/>
    </w:p>
    <w:p>
      <w:pPr>
        <w:pStyle w:val="982"/>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r>
      <w:r/>
    </w:p>
    <w:p>
      <w:pPr>
        <w:pStyle w:val="982"/>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五、现场安全及其他要求</w:t>
      </w:r>
      <w:r>
        <w:rPr>
          <w:rFonts w:hint="eastAsia" w:ascii="宋体" w:hAnsi="宋体" w:eastAsia="宋体" w:cs="宋体"/>
          <w:b/>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1.施工区域紧邻溢洪河道，施工过程严禁损坏河道原有设施，不得妨碍河道行洪安全，做好施工期间水土保持与生态保护。</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2.成交单位承担本项目全部现场安全生产责任，落实安全文明施工措施，做好扬尘管控，施工垃圾及时清理出场。</w:t>
      </w:r>
      <w:r>
        <w:rPr>
          <w:rFonts w:hint="eastAsia" w:ascii="宋体" w:hAnsi="宋体" w:eastAsia="宋体" w:cs="宋体"/>
          <w:i w:val="0"/>
          <w:iCs w:val="0"/>
          <w:color w:val="000000"/>
          <w:sz w:val="21"/>
          <w:szCs w:val="21"/>
          <w:highlight w:val="none"/>
          <w:lang w:val="en-US" w:eastAsia="zh-CN"/>
        </w:rPr>
      </w:r>
      <w:r/>
    </w:p>
    <w:p>
      <w:pPr>
        <w:pStyle w:val="723"/>
        <w:numPr>
          <w:ilvl w:val="0"/>
          <w:numId w:val="0"/>
        </w:numPr>
        <w:contextualSpacing/>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3.接受采购人、戴埠镇政府及林业主管部门现场监督管理，对检查提出的问题按要求及时完成整改</w:t>
      </w:r>
      <w:r>
        <w:rPr>
          <w:rFonts w:hint="eastAsia" w:ascii="宋体" w:hAnsi="宋体" w:eastAsia="宋体" w:cs="宋体"/>
          <w:i w:val="0"/>
          <w:iCs w:val="0"/>
          <w:color w:val="000000"/>
          <w:sz w:val="21"/>
          <w:szCs w:val="21"/>
          <w:highlight w:val="none"/>
          <w:lang w:val="en-US" w:eastAsia="zh-CN"/>
        </w:rPr>
      </w:r>
      <w:r/>
    </w:p>
    <w:p>
      <w:pPr>
        <w:pStyle w:val="825"/>
        <w:numPr>
          <w:ilvl w:val="0"/>
          <w:numId w:val="0"/>
        </w:numPr>
        <w:contextualSpacing/>
        <w:keepLines w:val="0"/>
        <w:keepNext w:val="0"/>
        <w:pageBreakBefore w:val="0"/>
        <w:spacing w:line="360" w:lineRule="auto"/>
        <w:widowControl w:val="off"/>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pStyle w:val="825"/>
        <w:numPr>
          <w:ilvl w:val="0"/>
          <w:numId w:val="0"/>
        </w:numPr>
        <w:contextualSpacing/>
        <w:keepLines w:val="0"/>
        <w:keepNext w:val="0"/>
        <w:pageBreakBefore w:val="0"/>
        <w:spacing w:line="360" w:lineRule="auto"/>
        <w:widowControl w:val="off"/>
        <w:rPr>
          <w:rFonts w:hint="eastAsia" w:ascii="Times New Roman" w:hAnsi="Times New Roman" w:eastAsia="宋体" w:cs="Times New Roman"/>
          <w:highlight w:val="none"/>
          <w:lang w:val="en-US" w:eastAsia="zh-TW"/>
        </w:rPr>
      </w:pPr>
      <w:r>
        <w:rPr>
          <w:rFonts w:hint="eastAsia" w:ascii="宋体" w:hAnsi="宋体" w:cs="宋体"/>
          <w:b/>
          <w:sz w:val="21"/>
          <w:szCs w:val="21"/>
          <w:highlight w:val="none"/>
          <w:lang w:val="en-US" w:eastAsia="zh-CN"/>
        </w:rPr>
        <w:t xml:space="preserve">六</w:t>
      </w:r>
      <w:r>
        <w:rPr>
          <w:rFonts w:hint="eastAsia" w:ascii="宋体" w:hAnsi="宋体" w:eastAsia="宋体" w:cs="宋体"/>
          <w:b/>
          <w:sz w:val="21"/>
          <w:szCs w:val="21"/>
          <w:highlight w:val="none"/>
          <w:lang w:val="en-US" w:eastAsia="zh-CN"/>
        </w:rPr>
        <w:t xml:space="preserve">、基本</w:t>
      </w:r>
      <w:r>
        <w:rPr>
          <w:rFonts w:hint="eastAsia" w:ascii="宋体" w:hAnsi="宋体" w:eastAsia="宋体" w:cs="宋体"/>
          <w:b/>
          <w:sz w:val="21"/>
          <w:szCs w:val="21"/>
          <w:highlight w:val="none"/>
        </w:rPr>
        <w:t xml:space="preserve">要求</w:t>
      </w:r>
      <w:r>
        <w:rPr>
          <w:rFonts w:hint="eastAsia" w:ascii="Times New Roman" w:hAnsi="Times New Roman" w:eastAsia="宋体" w:cs="Times New Roman"/>
          <w:highlight w:val="none"/>
          <w:lang w:val="en-US" w:eastAsia="zh-TW"/>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（一）本清单所列工程数量是根据图纸或现场情况估算和暂定的，仅作为磋商的共同基础，不能作为最终结算与支付的依据。结算与支付应以采购人认可的、按图纸和规范要求完成的工程数量为依据。</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（三）工程施工期间涉及安全由成交供应商全部负责，涉及安全所产生的相关费用一律由成交供应商承担；</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（四）质量必须达到合格，凡因成交供应商责任，经验收达不到合格要求，必须返工到合格并承担因返工引起的一切经济损失。</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（五）成交供应商应当办理有关施工现场交通、环卫、施工噪声等管理手续，若发生费用由成交供应商负责。</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（六）工程未交付之前，成交供应商应自始至终对成品进行保护和防止丢失。</w:t>
      </w:r>
      <w:r>
        <w:rPr>
          <w:rFonts w:ascii="宋体" w:hAnsi="宋体" w:cs="宋体"/>
          <w:sz w:val="21"/>
          <w:szCs w:val="21"/>
        </w:rPr>
      </w:r>
      <w:r/>
    </w:p>
    <w:p>
      <w:pPr>
        <w:pStyle w:val="723"/>
        <w:ind w:right="210" w:firstLine="420"/>
        <w:jc w:val="left"/>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（七）施工人员应服从采购人安全管理。</w:t>
      </w:r>
      <w:r>
        <w:rPr>
          <w:rFonts w:ascii="宋体" w:hAnsi="宋体" w:cs="宋体"/>
          <w:sz w:val="21"/>
          <w:szCs w:val="21"/>
        </w:rPr>
      </w:r>
      <w:r/>
    </w:p>
    <w:p>
      <w:pPr>
        <w:pStyle w:val="723"/>
        <w:ind w:firstLine="420"/>
        <w:keepLines w:val="0"/>
        <w:keepNext w:val="0"/>
        <w:pageBreakBefore w:val="0"/>
        <w:spacing w:line="360" w:lineRule="auto"/>
        <w:widowControl w:val="off"/>
        <w:rPr>
          <w:rFonts w:ascii="宋体" w:hAnsi="宋体" w:cs="宋体"/>
          <w:bCs/>
          <w:sz w:val="21"/>
          <w:szCs w:val="21"/>
        </w:rPr>
      </w:pPr>
      <w:r>
        <w:rPr>
          <w:rFonts w:hint="eastAsia" w:ascii="宋体" w:hAnsi="宋体" w:cs="宋体"/>
          <w:bCs/>
          <w:sz w:val="21"/>
          <w:szCs w:val="21"/>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rPr>
          <w:rFonts w:ascii="宋体" w:hAnsi="宋体" w:cs="宋体"/>
          <w:bCs/>
          <w:sz w:val="21"/>
          <w:szCs w:val="21"/>
        </w:rPr>
      </w:r>
      <w:r/>
    </w:p>
    <w:p>
      <w:pPr>
        <w:pStyle w:val="723"/>
        <w:ind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Cs/>
          <w:sz w:val="21"/>
          <w:szCs w:val="21"/>
          <w:highlight w:val="none"/>
        </w:rPr>
        <w:t xml:space="preserve">（九）</w:t>
      </w:r>
      <w:r>
        <w:rPr>
          <w:rFonts w:hint="eastAsia" w:ascii="宋体" w:hAnsi="宋体" w:cs="宋体"/>
          <w:bCs/>
          <w:sz w:val="21"/>
          <w:szCs w:val="21"/>
          <w:highlight w:val="none"/>
          <w:lang w:eastAsia="zh-CN"/>
        </w:rPr>
        <w:t xml:space="preserve">本工程质保期为</w:t>
      </w:r>
      <w:r>
        <w:rPr>
          <w:rFonts w:hint="eastAsia" w:ascii="宋体" w:hAnsi="宋体" w:cs="宋体"/>
          <w:bCs/>
          <w:sz w:val="21"/>
          <w:szCs w:val="21"/>
          <w:highlight w:val="none"/>
          <w:lang w:val="en-US" w:eastAsia="zh-CN"/>
        </w:rPr>
        <w:t xml:space="preserve">2年，</w:t>
      </w:r>
      <w:r>
        <w:rPr>
          <w:rFonts w:hint="eastAsia" w:ascii="宋体" w:hAnsi="宋体" w:cs="宋体"/>
          <w:bCs/>
          <w:sz w:val="21"/>
          <w:szCs w:val="21"/>
          <w:highlight w:val="none"/>
        </w:rPr>
        <w:t xml:space="preserve">在质保</w:t>
      </w:r>
      <w:r>
        <w:rPr>
          <w:rFonts w:hint="eastAsia" w:ascii="宋体" w:hAnsi="宋体" w:cs="宋体"/>
          <w:bCs/>
          <w:sz w:val="21"/>
          <w:szCs w:val="21"/>
        </w:rPr>
        <w:t xml:space="preserve">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1"/>
          <w:szCs w:val="21"/>
        </w:rPr>
        <w:t xml:space="preserve">因成交供应商施工质量问题造成第三方财产损失或人身伤亡的，由成交供应商承担全部责任。若违约金无法弥补采购人实际损失的，成交供应商应赔偿采购人的实际损失。</w:t>
      </w:r>
      <w:r>
        <w:rPr>
          <w:rFonts w:ascii="宋体" w:hAnsi="宋体" w:cs="宋体"/>
          <w:b/>
          <w:bCs/>
          <w:sz w:val="21"/>
          <w:szCs w:val="21"/>
        </w:rPr>
      </w:r>
      <w:r/>
    </w:p>
    <w:p>
      <w:pPr>
        <w:pStyle w:val="723"/>
        <w:ind w:right="210"/>
        <w:jc w:val="left"/>
        <w:keepLines w:val="0"/>
        <w:keepNext w:val="0"/>
        <w:pageBreakBefore w:val="0"/>
        <w:spacing w:line="360" w:lineRule="auto"/>
        <w:widowControl w:val="off"/>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pStyle w:val="723"/>
        <w:ind w:right="210"/>
        <w:jc w:val="left"/>
        <w:keepLines w:val="0"/>
        <w:keepNext w:val="0"/>
        <w:pageBreakBefore w:val="0"/>
        <w:spacing w:line="360" w:lineRule="auto"/>
        <w:widowControl w:val="off"/>
        <w:rPr>
          <w:rFonts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七、技术要求</w:t>
      </w:r>
      <w:r>
        <w:rPr>
          <w:rFonts w:ascii="宋体" w:hAnsi="宋体" w:eastAsia="宋体" w:cs="宋体"/>
          <w:b/>
          <w:sz w:val="21"/>
          <w:szCs w:val="21"/>
          <w:highlight w:val="none"/>
          <w:lang w:val="en-US" w:eastAsia="zh-CN"/>
        </w:rPr>
      </w:r>
      <w:r/>
    </w:p>
    <w:p>
      <w:pPr>
        <w:pStyle w:val="723"/>
        <w:contextualSpacing/>
        <w:ind w:firstLine="480"/>
        <w:keepLines w:val="0"/>
        <w:keepNext w:val="0"/>
        <w:pageBreakBefore w:val="0"/>
        <w:spacing w:line="360" w:lineRule="auto"/>
        <w:widowControl w:val="off"/>
        <w:rPr>
          <w:rFonts w:hint="eastAsia" w:ascii="宋体" w:hAnsi="宋体" w:eastAsia="宋体" w:cs="宋体"/>
          <w:bCs/>
          <w:i w:val="0"/>
          <w:iCs w:val="0"/>
          <w:sz w:val="21"/>
          <w:szCs w:val="21"/>
          <w:highlight w:val="none"/>
          <w:lang w:val="en-US" w:eastAsia="zh-CN"/>
        </w:rPr>
      </w:pPr>
      <w:r>
        <w:rPr>
          <w:rFonts w:hint="eastAsia" w:ascii="宋体" w:hAnsi="宋体" w:eastAsia="宋体" w:cs="宋体"/>
          <w:bCs/>
          <w:i w:val="0"/>
          <w:iCs w:val="0"/>
          <w:sz w:val="21"/>
          <w:szCs w:val="21"/>
          <w:highlight w:val="none"/>
          <w:lang w:val="en-US" w:eastAsia="zh-CN"/>
        </w:rPr>
        <w:t xml:space="preserve">应做到安全施工，文明施工，确保施工区域内部及外部清洁和安全，并及时解决由施工造成的对周围环境的影响。</w:t>
      </w:r>
      <w:r>
        <w:rPr>
          <w:rFonts w:hint="eastAsia" w:ascii="宋体" w:hAnsi="宋体" w:eastAsia="宋体" w:cs="宋体"/>
          <w:bCs/>
          <w:i w:val="0"/>
          <w:iCs w:val="0"/>
          <w:sz w:val="21"/>
          <w:szCs w:val="21"/>
          <w:highlight w:val="none"/>
          <w:lang w:val="en-US" w:eastAsia="zh-CN"/>
        </w:rPr>
      </w:r>
      <w:r/>
    </w:p>
    <w:p>
      <w:pPr>
        <w:pStyle w:val="723"/>
        <w:numPr>
          <w:ilvl w:val="0"/>
          <w:numId w:val="0"/>
        </w:numPr>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1</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本工程的施工必须符合满足国家、地方颁发的最新施工（验收）规范、环保要求及行业标准，且满足采购人及设计要求。</w:t>
      </w:r>
      <w:r>
        <w:rPr>
          <w:rFonts w:hint="eastAsia" w:ascii="宋体" w:hAnsi="宋体" w:eastAsia="宋体" w:cs="宋体"/>
          <w:i w:val="0"/>
          <w:iCs w:val="0"/>
          <w:sz w:val="21"/>
          <w:szCs w:val="21"/>
          <w:highlight w:val="none"/>
        </w:rPr>
      </w:r>
      <w:r/>
    </w:p>
    <w:p>
      <w:pPr>
        <w:pStyle w:val="723"/>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2</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使用的材料设备必须符合国家标准及采购人要求，有质量检验合格证明、符合环保要求和有中文标识的产品名称、规格、型号、生产厂厂名、厂址、等级等。禁止使用国家明令淘汰的材料和设备。材料设备等级为优等品。供应商按成交后采购人确认的品牌及样品</w:t>
      </w:r>
      <w:r>
        <w:rPr>
          <w:rFonts w:hint="eastAsia" w:ascii="宋体" w:hAnsi="宋体" w:eastAsia="宋体" w:cs="宋体"/>
          <w:i w:val="0"/>
          <w:iCs w:val="0"/>
          <w:sz w:val="21"/>
          <w:szCs w:val="21"/>
          <w:highlight w:val="none"/>
          <w:lang w:eastAsia="zh-CN"/>
        </w:rPr>
        <w:t xml:space="preserve">、颜色</w:t>
      </w:r>
      <w:r>
        <w:rPr>
          <w:rFonts w:hint="eastAsia" w:ascii="宋体" w:hAnsi="宋体" w:eastAsia="宋体" w:cs="宋体"/>
          <w:i w:val="0"/>
          <w:iCs w:val="0"/>
          <w:sz w:val="21"/>
          <w:szCs w:val="21"/>
          <w:highlight w:val="none"/>
        </w:rPr>
        <w:t xml:space="preserve">选定材料。</w:t>
      </w:r>
      <w:r>
        <w:rPr>
          <w:rFonts w:hint="eastAsia" w:ascii="宋体" w:hAnsi="宋体" w:eastAsia="宋体" w:cs="宋体"/>
          <w:i w:val="0"/>
          <w:iCs w:val="0"/>
          <w:sz w:val="21"/>
          <w:szCs w:val="21"/>
          <w:highlight w:val="none"/>
        </w:rPr>
      </w:r>
      <w:r/>
    </w:p>
    <w:p>
      <w:pPr>
        <w:pStyle w:val="723"/>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材料及设备要求</w:t>
      </w:r>
      <w:r>
        <w:rPr>
          <w:rFonts w:hint="eastAsia" w:ascii="宋体" w:hAnsi="宋体" w:eastAsia="宋体" w:cs="宋体"/>
          <w:i w:val="0"/>
          <w:iCs w:val="0"/>
          <w:sz w:val="21"/>
          <w:szCs w:val="21"/>
          <w:highlight w:val="none"/>
        </w:rPr>
      </w:r>
      <w:r/>
    </w:p>
    <w:p>
      <w:pPr>
        <w:pStyle w:val="723"/>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①</w:t>
      </w:r>
      <w:r>
        <w:rPr>
          <w:rFonts w:hint="eastAsia" w:ascii="宋体" w:hAnsi="宋体" w:eastAsia="宋体" w:cs="宋体"/>
          <w:i w:val="0"/>
          <w:iCs w:val="0"/>
          <w:sz w:val="21"/>
          <w:szCs w:val="21"/>
          <w:highlight w:val="none"/>
        </w:rPr>
        <w:t xml:space="preserve">本工程所需的材料及设备经采购人同意后由成交供应商根据采购文件的要求选购供货</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选用绿色材料等。所有材料须提供规格型号、产地、品牌、材质、价格、样品及质量等级，经采购人和监理认可后封样。</w:t>
      </w:r>
      <w:r>
        <w:rPr>
          <w:rFonts w:hint="eastAsia" w:ascii="宋体" w:hAnsi="宋体" w:eastAsia="宋体" w:cs="宋体"/>
          <w:i w:val="0"/>
          <w:iCs w:val="0"/>
          <w:sz w:val="21"/>
          <w:szCs w:val="21"/>
          <w:highlight w:val="none"/>
        </w:rPr>
      </w:r>
      <w:r/>
    </w:p>
    <w:p>
      <w:pPr>
        <w:pStyle w:val="723"/>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②</w:t>
      </w:r>
      <w:r>
        <w:rPr>
          <w:rFonts w:hint="eastAsia" w:ascii="宋体" w:hAnsi="宋体" w:eastAsia="宋体" w:cs="宋体"/>
          <w:i w:val="0"/>
          <w:iCs w:val="0"/>
          <w:sz w:val="21"/>
          <w:szCs w:val="21"/>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rPr>
          <w:rFonts w:hint="eastAsia" w:ascii="宋体" w:hAnsi="宋体" w:eastAsia="宋体" w:cs="宋体"/>
          <w:i w:val="0"/>
          <w:iCs w:val="0"/>
          <w:sz w:val="21"/>
          <w:szCs w:val="21"/>
          <w:highlight w:val="none"/>
        </w:rPr>
      </w:r>
      <w:r/>
    </w:p>
    <w:p>
      <w:pPr>
        <w:pStyle w:val="723"/>
        <w:ind w:left="0" w:firstLine="480"/>
        <w:jc w:val="both"/>
        <w:keepLines w:val="0"/>
        <w:keepNext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（4）遵守国家或地方政府及有关部门对施工现场管理的规定，妥善保护好施工现场周围建筑物、设备管线、古树名木及室内有关设备设施不受损坏。做好施工现场安全和垃圾清理及外运等工作。</w:t>
      </w:r>
      <w:r>
        <w:rPr>
          <w:rFonts w:hint="eastAsia" w:ascii="宋体" w:hAnsi="宋体" w:eastAsia="宋体" w:cs="宋体"/>
          <w:i w:val="0"/>
          <w:iCs w:val="0"/>
          <w:sz w:val="21"/>
          <w:szCs w:val="21"/>
          <w:highlight w:val="none"/>
          <w:lang w:val="en-US" w:eastAsia="zh-CN" w:bidi="ar-SA"/>
        </w:rPr>
      </w:r>
      <w:r/>
    </w:p>
    <w:p>
      <w:pPr>
        <w:pStyle w:val="723"/>
        <w:contextualSpacing/>
        <w:ind w:firstLine="480"/>
        <w:keepLines w:val="0"/>
        <w:keepNext w:val="0"/>
        <w:pageBreakBefore w:val="0"/>
        <w:spacing w:line="360" w:lineRule="auto"/>
        <w:widowControl w:val="off"/>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eastAsia="zh-CN"/>
        </w:rPr>
        <w:t xml:space="preserve">做好施工时工程的防护措施，确保施工安全，一切责任事故由中标单位承担。污泥及固体垃圾弃物外运（合法处置）。如垃圾清理不及时，将扣除审计价的 2%。</w:t>
      </w:r>
      <w:r>
        <w:rPr>
          <w:rFonts w:hint="eastAsia" w:ascii="宋体" w:hAnsi="宋体" w:eastAsia="宋体" w:cs="宋体"/>
          <w:i w:val="0"/>
          <w:iCs w:val="0"/>
          <w:sz w:val="21"/>
          <w:szCs w:val="21"/>
          <w:highlight w:val="none"/>
          <w:lang w:eastAsia="zh-CN"/>
        </w:rPr>
      </w:r>
      <w:r/>
    </w:p>
    <w:p>
      <w:pPr>
        <w:pStyle w:val="723"/>
        <w:ind w:right="210"/>
        <w:jc w:val="left"/>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23"/>
        <w:ind w:right="210"/>
        <w:jc w:val="left"/>
        <w:keepLines w:val="0"/>
        <w:keepNext w:val="0"/>
        <w:pageBreakBefore w:val="0"/>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八</w:t>
      </w:r>
      <w:r>
        <w:rPr>
          <w:rFonts w:ascii="宋体" w:hAnsi="宋体" w:cs="宋体"/>
          <w:b/>
          <w:color w:val="000000"/>
          <w:sz w:val="21"/>
          <w:szCs w:val="21"/>
          <w:highlight w:val="none"/>
        </w:rPr>
        <w:t xml:space="preserve">、报价方式</w:t>
      </w:r>
      <w:r>
        <w:rPr>
          <w:rFonts w:ascii="宋体" w:hAnsi="宋体" w:cs="宋体"/>
          <w:b/>
          <w:color w:val="000000"/>
          <w:sz w:val="21"/>
          <w:szCs w:val="21"/>
          <w:highlight w:val="none"/>
        </w:rPr>
      </w:r>
      <w:r/>
    </w:p>
    <w:p>
      <w:pPr>
        <w:pStyle w:val="723"/>
        <w:ind w:firstLine="420"/>
        <w:keepLines w:val="0"/>
        <w:keepNext w:val="0"/>
        <w:pageBreakBefore w:val="0"/>
        <w:spacing w:line="360" w:lineRule="auto"/>
        <w:widowControl w:val="off"/>
        <w:tabs>
          <w:tab w:val="left" w:pos="284"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本项目报价为</w:t>
      </w:r>
      <w:r>
        <w:rPr>
          <w:rFonts w:hint="eastAsia" w:ascii="宋体" w:hAnsi="宋体" w:cs="宋体"/>
          <w:b/>
          <w:bCs/>
          <w:color w:val="000000"/>
          <w:sz w:val="21"/>
          <w:szCs w:val="21"/>
          <w:highlight w:val="none"/>
          <w:u w:val="single"/>
        </w:rPr>
        <w:t xml:space="preserve">固定单价</w:t>
      </w:r>
      <w:r>
        <w:rPr>
          <w:rFonts w:hint="eastAsia" w:ascii="宋体" w:hAnsi="宋体" w:cs="宋体"/>
          <w:color w:val="000000"/>
          <w:sz w:val="21"/>
          <w:szCs w:val="21"/>
          <w:highlight w:val="none"/>
        </w:rPr>
        <w:t xml:space="preserve">，磋商价格应包括竞争性磋商文件所确定的采购范围相应</w:t>
      </w:r>
      <w:r>
        <w:rPr>
          <w:rFonts w:ascii="宋体" w:hAnsi="宋体" w:cs="宋体"/>
          <w:color w:val="000000"/>
          <w:sz w:val="21"/>
          <w:szCs w:val="21"/>
          <w:highlight w:val="none"/>
        </w:rPr>
        <w:t xml:space="preserve">服务</w:t>
      </w:r>
      <w:r>
        <w:rPr>
          <w:rFonts w:hint="eastAsia" w:ascii="宋体" w:hAnsi="宋体" w:cs="宋体"/>
          <w:color w:val="000000"/>
          <w:sz w:val="21"/>
          <w:szCs w:val="21"/>
          <w:highlight w:val="none"/>
        </w:rPr>
        <w:t xml:space="preserve">的提供</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人员（包括工资和补贴）、办公场所及设施、保险、劳保、管理、各种税费、利润、税金、政策性文件规定及合同包含的所有风险、责任：</w:t>
      </w:r>
      <w:r>
        <w:rPr>
          <w:rFonts w:hint="eastAsia" w:ascii="宋体" w:hAnsi="宋体" w:cs="宋体"/>
          <w:b/>
          <w:color w:val="000000"/>
          <w:sz w:val="21"/>
          <w:szCs w:val="21"/>
          <w:highlight w:val="none"/>
        </w:rPr>
        <w:t xml:space="preserve">包括不限于工作人员意外伤害保险、安全防护、文明施工、扬尘控制费用</w:t>
      </w:r>
      <w:r>
        <w:rPr>
          <w:rFonts w:hint="eastAsia" w:ascii="宋体" w:hAnsi="宋体" w:cs="宋体"/>
          <w:color w:val="000000"/>
          <w:sz w:val="21"/>
          <w:szCs w:val="21"/>
          <w:highlight w:val="none"/>
        </w:rPr>
        <w:t xml:space="preserve">等各项应有费用，以及为完成该项服务项目所涉及到的一切相关费用，</w:t>
      </w:r>
      <w:r>
        <w:rPr>
          <w:rFonts w:hint="eastAsia" w:hAnsi="宋体" w:cs="宋体"/>
          <w:color w:val="000000"/>
          <w:sz w:val="21"/>
          <w:szCs w:val="21"/>
          <w:highlight w:val="none"/>
        </w:rPr>
        <w:t xml:space="preserve">采购人</w:t>
      </w:r>
      <w:r>
        <w:rPr>
          <w:rFonts w:hint="eastAsia" w:ascii="宋体" w:hAnsi="宋体" w:cs="宋体"/>
          <w:color w:val="000000"/>
          <w:sz w:val="21"/>
          <w:szCs w:val="21"/>
          <w:highlight w:val="none"/>
        </w:rPr>
        <w:t xml:space="preserve">不再支付其他任何费用。</w:t>
      </w:r>
      <w:r>
        <w:rPr>
          <w:rFonts w:ascii="宋体" w:hAnsi="宋体" w:cs="宋体"/>
          <w:color w:val="000000"/>
          <w:sz w:val="21"/>
          <w:szCs w:val="21"/>
          <w:highlight w:val="none"/>
        </w:rPr>
      </w:r>
      <w:r/>
    </w:p>
    <w:p>
      <w:pPr>
        <w:pStyle w:val="723"/>
        <w:ind w:firstLine="422"/>
        <w:keepLines w:val="0"/>
        <w:keepNext w:val="0"/>
        <w:pageBreakBefore w:val="0"/>
        <w:spacing w:line="360" w:lineRule="auto"/>
        <w:widowControl w:val="off"/>
        <w:tabs>
          <w:tab w:val="left" w:pos="284"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特别强调：供应商需充分</w:t>
      </w:r>
      <w:r>
        <w:rPr>
          <w:rFonts w:ascii="宋体" w:hAnsi="宋体" w:cs="宋体"/>
          <w:b/>
          <w:color w:val="000000"/>
          <w:sz w:val="21"/>
          <w:szCs w:val="21"/>
          <w:highlight w:val="none"/>
        </w:rPr>
        <w:t xml:space="preserve">考虑与</w:t>
      </w:r>
      <w:r>
        <w:rPr>
          <w:rFonts w:hint="eastAsia" w:ascii="宋体" w:hAnsi="宋体" w:cs="宋体"/>
          <w:b/>
          <w:color w:val="000000"/>
          <w:sz w:val="21"/>
          <w:szCs w:val="21"/>
          <w:highlight w:val="none"/>
        </w:rPr>
        <w:t xml:space="preserve">外部单位</w:t>
      </w:r>
      <w:r>
        <w:rPr>
          <w:rFonts w:ascii="宋体" w:hAnsi="宋体" w:cs="宋体"/>
          <w:b/>
          <w:color w:val="000000"/>
          <w:sz w:val="21"/>
          <w:szCs w:val="21"/>
          <w:highlight w:val="none"/>
        </w:rPr>
        <w:t xml:space="preserve">协调、配合、</w:t>
      </w:r>
      <w:r>
        <w:rPr>
          <w:rFonts w:hint="eastAsia" w:ascii="宋体" w:hAnsi="宋体" w:cs="宋体"/>
          <w:b/>
          <w:color w:val="000000"/>
          <w:sz w:val="21"/>
          <w:szCs w:val="21"/>
          <w:highlight w:val="none"/>
        </w:rPr>
        <w:t xml:space="preserve">审批手续</w:t>
      </w:r>
      <w:r>
        <w:rPr>
          <w:rFonts w:ascii="宋体" w:hAnsi="宋体" w:cs="宋体"/>
          <w:b/>
          <w:color w:val="000000"/>
          <w:sz w:val="21"/>
          <w:szCs w:val="21"/>
          <w:highlight w:val="none"/>
        </w:rPr>
        <w:t xml:space="preserve">的费用</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消防临时水、</w:t>
      </w:r>
      <w:r>
        <w:rPr>
          <w:rFonts w:hint="eastAsia" w:ascii="宋体" w:hAnsi="宋体" w:cs="宋体"/>
          <w:b/>
          <w:color w:val="000000"/>
          <w:sz w:val="21"/>
          <w:szCs w:val="21"/>
          <w:highlight w:val="none"/>
        </w:rPr>
        <w:t xml:space="preserve">电、</w:t>
      </w:r>
      <w:r>
        <w:rPr>
          <w:rFonts w:ascii="宋体" w:hAnsi="宋体" w:cs="宋体"/>
          <w:b/>
          <w:color w:val="000000"/>
          <w:sz w:val="21"/>
          <w:szCs w:val="21"/>
          <w:highlight w:val="none"/>
        </w:rPr>
        <w:t xml:space="preserve">道路的占用、仓储用地、用房</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垃圾清运、成品保护及</w:t>
      </w:r>
      <w:r>
        <w:rPr>
          <w:rFonts w:hint="eastAsia" w:ascii="宋体" w:hAnsi="宋体" w:cs="宋体"/>
          <w:b/>
          <w:color w:val="000000"/>
          <w:sz w:val="21"/>
          <w:szCs w:val="21"/>
          <w:highlight w:val="none"/>
        </w:rPr>
        <w:t xml:space="preserve">供应商</w:t>
      </w:r>
      <w:r>
        <w:rPr>
          <w:rFonts w:ascii="宋体" w:hAnsi="宋体" w:cs="宋体"/>
          <w:b/>
          <w:color w:val="000000"/>
          <w:sz w:val="21"/>
          <w:szCs w:val="21"/>
          <w:highlight w:val="none"/>
        </w:rPr>
        <w:t xml:space="preserve">在合同实施过程中可能需要</w:t>
      </w:r>
      <w:r>
        <w:rPr>
          <w:rFonts w:hint="eastAsia" w:ascii="宋体" w:hAnsi="宋体" w:cs="宋体"/>
          <w:b/>
          <w:color w:val="000000"/>
          <w:sz w:val="21"/>
          <w:szCs w:val="21"/>
          <w:highlight w:val="none"/>
        </w:rPr>
        <w:t xml:space="preserve">其他</w:t>
      </w:r>
      <w:r>
        <w:rPr>
          <w:rFonts w:ascii="宋体" w:hAnsi="宋体" w:cs="宋体"/>
          <w:b/>
          <w:color w:val="000000"/>
          <w:sz w:val="21"/>
          <w:szCs w:val="21"/>
          <w:highlight w:val="none"/>
        </w:rPr>
        <w:t xml:space="preserve">单位提供的配合的费用</w:t>
      </w:r>
      <w:r>
        <w:rPr>
          <w:rFonts w:hint="eastAsia" w:ascii="宋体" w:hAnsi="宋体" w:cs="宋体"/>
          <w:b/>
          <w:color w:val="000000"/>
          <w:sz w:val="21"/>
          <w:szCs w:val="21"/>
          <w:highlight w:val="none"/>
        </w:rPr>
        <w:t xml:space="preserve">等；采购人</w:t>
      </w:r>
      <w:r>
        <w:rPr>
          <w:rFonts w:ascii="宋体" w:hAnsi="宋体" w:cs="宋体"/>
          <w:b/>
          <w:color w:val="000000"/>
          <w:sz w:val="21"/>
          <w:szCs w:val="21"/>
          <w:highlight w:val="none"/>
        </w:rPr>
        <w:t xml:space="preserve">对此类费用在</w:t>
      </w:r>
      <w:r>
        <w:rPr>
          <w:rFonts w:hint="eastAsia" w:ascii="宋体" w:hAnsi="宋体" w:cs="宋体"/>
          <w:b/>
          <w:color w:val="000000"/>
          <w:sz w:val="21"/>
          <w:szCs w:val="21"/>
          <w:highlight w:val="none"/>
        </w:rPr>
        <w:t xml:space="preserve">项目</w:t>
      </w:r>
      <w:r>
        <w:rPr>
          <w:rFonts w:ascii="宋体" w:hAnsi="宋体" w:cs="宋体"/>
          <w:b/>
          <w:color w:val="000000"/>
          <w:sz w:val="21"/>
          <w:szCs w:val="21"/>
          <w:highlight w:val="none"/>
        </w:rPr>
        <w:t xml:space="preserve">实施和结算时不</w:t>
      </w:r>
      <w:r>
        <w:rPr>
          <w:rFonts w:hint="eastAsia" w:ascii="宋体" w:hAnsi="宋体" w:cs="宋体"/>
          <w:b/>
          <w:color w:val="000000"/>
          <w:sz w:val="21"/>
          <w:szCs w:val="21"/>
          <w:highlight w:val="none"/>
        </w:rPr>
        <w:t xml:space="preserve">再</w:t>
      </w:r>
      <w:r>
        <w:rPr>
          <w:rFonts w:ascii="宋体" w:hAnsi="宋体" w:cs="宋体"/>
          <w:b/>
          <w:color w:val="000000"/>
          <w:sz w:val="21"/>
          <w:szCs w:val="21"/>
          <w:highlight w:val="none"/>
        </w:rPr>
        <w:t xml:space="preserve">进行调整</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723"/>
        <w:jc w:val="left"/>
        <w:widowControl/>
        <w:rPr>
          <w:b/>
          <w:sz w:val="28"/>
          <w:szCs w:val="28"/>
        </w:rPr>
      </w:pPr>
      <w:r>
        <w:rPr>
          <w:b/>
          <w:sz w:val="28"/>
          <w:szCs w:val="28"/>
        </w:rPr>
      </w:r>
      <w:r/>
    </w:p>
    <w:p>
      <w:pPr>
        <w:pStyle w:val="723"/>
        <w:jc w:val="center"/>
        <w:keepLines w:val="0"/>
        <w:keepNext w:val="0"/>
        <w:pageBreakBefore w:val="0"/>
        <w:spacing w:line="360" w:lineRule="auto"/>
        <w:widowControl/>
        <w:rPr>
          <w:b/>
          <w:sz w:val="28"/>
          <w:szCs w:val="28"/>
          <w:highlight w:val="yellow"/>
        </w:rPr>
      </w:pPr>
      <w:r>
        <w:rPr>
          <w:b/>
          <w:sz w:val="28"/>
          <w:szCs w:val="28"/>
          <w:highlight w:val="yellow"/>
        </w:rPr>
      </w:r>
      <w:r/>
    </w:p>
    <w:p>
      <w:pPr>
        <w:pStyle w:val="723"/>
        <w:jc w:val="center"/>
        <w:keepLines w:val="0"/>
        <w:keepNext w:val="0"/>
        <w:pageBreakBefore w:val="0"/>
        <w:spacing w:line="360" w:lineRule="auto"/>
        <w:widowControl/>
        <w:rPr>
          <w:b/>
          <w:sz w:val="28"/>
          <w:szCs w:val="28"/>
          <w:highlight w:val="none"/>
        </w:rPr>
      </w:pPr>
      <w:r>
        <w:rPr>
          <w:b/>
          <w:sz w:val="28"/>
          <w:szCs w:val="28"/>
          <w:highlight w:val="none"/>
        </w:rPr>
        <w:t xml:space="preserve">第五章   合同</w:t>
      </w:r>
      <w:r>
        <w:rPr>
          <w:rFonts w:hint="eastAsia"/>
          <w:b/>
          <w:sz w:val="28"/>
          <w:szCs w:val="28"/>
          <w:highlight w:val="none"/>
          <w:lang w:val="en-US" w:eastAsia="zh-CN"/>
        </w:rPr>
        <w:t xml:space="preserve">主要</w:t>
      </w:r>
      <w:r>
        <w:rPr>
          <w:b/>
          <w:sz w:val="28"/>
          <w:szCs w:val="28"/>
          <w:highlight w:val="none"/>
        </w:rPr>
        <w:t xml:space="preserve">条款</w:t>
      </w:r>
      <w:bookmarkEnd w:id="645"/>
      <w:r>
        <w:rPr>
          <w:b/>
          <w:sz w:val="28"/>
          <w:szCs w:val="28"/>
          <w:highlight w:val="none"/>
        </w:rPr>
      </w:r>
      <w:r/>
    </w:p>
    <w:p>
      <w:pPr>
        <w:pStyle w:val="723"/>
        <w:jc w:val="center"/>
        <w:keepLines w:val="0"/>
        <w:keepNext w:val="0"/>
        <w:pageBreakBefore w:val="0"/>
        <w:spacing w:line="360" w:lineRule="auto"/>
        <w:widowControl/>
        <w:rPr>
          <w:rFonts w:ascii="Times New Roman" w:hAnsi="Times New Roman" w:eastAsia="宋体" w:cs="Times New Roman"/>
          <w:b/>
          <w:sz w:val="28"/>
          <w:szCs w:val="28"/>
        </w:rPr>
      </w:pPr>
      <w:r/>
      <w:bookmarkStart w:id="646" w:name="_Toc26150"/>
      <w:r/>
      <w:bookmarkStart w:id="647" w:name="_Toc104818930"/>
      <w:r>
        <w:rPr>
          <w:rFonts w:ascii="Times New Roman" w:hAnsi="Times New Roman" w:eastAsia="宋体" w:cs="Times New Roman"/>
          <w:b/>
          <w:sz w:val="28"/>
          <w:szCs w:val="28"/>
        </w:rPr>
        <w:t xml:space="preserve">拟签订的合同文本</w:t>
      </w:r>
      <w:bookmarkEnd w:id="646"/>
      <w:r>
        <w:rPr>
          <w:rFonts w:ascii="Times New Roman" w:hAnsi="Times New Roman" w:eastAsia="宋体" w:cs="Times New Roman"/>
          <w:b/>
          <w:sz w:val="28"/>
          <w:szCs w:val="28"/>
        </w:rPr>
      </w:r>
      <w:r/>
    </w:p>
    <w:p>
      <w:pPr>
        <w:pStyle w:val="723"/>
        <w:keepLines w:val="0"/>
        <w:keepNext w:val="0"/>
        <w:pageBreakBefore w:val="0"/>
        <w:spacing w:line="360" w:lineRule="auto"/>
        <w:tabs>
          <w:tab w:val="left" w:pos="900" w:leader="none"/>
          <w:tab w:val="left" w:pos="1080" w:leader="none"/>
        </w:tabs>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合同编号：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签约地点：溧阳                  签约时间：</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采购人（甲方）：            </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 成交供应商（乙方）：</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住所地：</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                     住所地：</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根据《中华人民共和国政府采购法》、《中华人民共和国民法典》等法律法规的规定，遵循平等、自愿、公平和诚实信用的原则，双方就下述项目及有关事项经协商一致意见，订立本合同。</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第一条  项目概况</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1.1项目名称：</w:t>
      </w:r>
      <w:r>
        <w:rPr>
          <w:rFonts w:hint="eastAsia" w:ascii="宋体" w:hAnsi="宋体" w:cs="宋体"/>
          <w:bCs/>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1.2项目编号：</w:t>
      </w:r>
      <w:r>
        <w:rPr>
          <w:rFonts w:hint="eastAsia" w:ascii="宋体" w:hAnsi="宋体" w:eastAsia="宋体" w:cs="宋体"/>
          <w:color w:val="000000"/>
          <w:sz w:val="21"/>
          <w:szCs w:val="21"/>
          <w:highlight w:val="none"/>
          <w:lang w:val="en-US"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1.3项目地点：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第二条  承包范围及要求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2.1工程范围：    。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2.2工期：</w:t>
      </w:r>
      <w:r>
        <w:rPr>
          <w:rFonts w:hint="eastAsia" w:ascii="宋体" w:hAnsi="宋体" w:eastAsia="宋体" w:cs="宋体"/>
          <w:color w:val="000000"/>
          <w:sz w:val="21"/>
          <w:szCs w:val="21"/>
          <w:highlight w:val="none"/>
          <w:lang w:val="en-US"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2.3质量标准：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第三条  合同文件构成</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本合同与下列文件一起构成合同文件：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（1）成交通知书；</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（2）竞争性磋商文件；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（3）技术标准与要求；</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（4）图纸；</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（5）响应文件；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（6）其他合同文件。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第四条  签约合同价、合同价格形式、工程结算办法与付款方式</w:t>
      </w:r>
      <w:r>
        <w:rPr>
          <w:rFonts w:hint="eastAsia" w:ascii="宋体" w:hAnsi="宋体" w:eastAsia="宋体" w:cs="宋体"/>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w:t>
      </w:r>
      <w:r>
        <w:rPr>
          <w:rFonts w:hint="eastAsia" w:ascii="宋体" w:hAnsi="宋体" w:eastAsia="宋体" w:cs="宋体"/>
          <w:b w:val="0"/>
          <w:bCs w:val="0"/>
          <w:color w:val="000000"/>
          <w:sz w:val="21"/>
          <w:szCs w:val="21"/>
          <w:highlight w:val="none"/>
        </w:rPr>
        <w:t xml:space="preserve">签约</w:t>
      </w:r>
      <w:r>
        <w:rPr>
          <w:rFonts w:hint="eastAsia" w:ascii="宋体" w:hAnsi="宋体" w:eastAsia="宋体" w:cs="宋体"/>
          <w:b w:val="0"/>
          <w:bCs w:val="0"/>
          <w:color w:val="000000"/>
          <w:sz w:val="21"/>
          <w:szCs w:val="21"/>
          <w:highlight w:val="none"/>
        </w:rPr>
        <w:t xml:space="preserve">合同价：</w:t>
      </w:r>
      <w:r>
        <w:rPr>
          <w:rFonts w:hint="eastAsia" w:ascii="宋体" w:hAnsi="宋体" w:eastAsia="宋体" w:cs="宋体"/>
          <w:b w:val="0"/>
          <w:bCs w:val="0"/>
          <w:color w:val="000000"/>
          <w:sz w:val="21"/>
          <w:szCs w:val="21"/>
          <w:highlight w:val="none"/>
        </w:rPr>
      </w:r>
      <w:r/>
    </w:p>
    <w:p>
      <w:pPr>
        <w:pStyle w:val="723"/>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人民币（大写）：（¥元）。</w:t>
      </w:r>
      <w:r>
        <w:rPr>
          <w:rFonts w:ascii="宋体" w:hAnsi="宋体" w:eastAsia="宋体" w:cs="宋体"/>
          <w:b w:val="0"/>
          <w:bCs w:val="0"/>
          <w:color w:val="000000"/>
          <w:sz w:val="21"/>
          <w:szCs w:val="21"/>
          <w:highlight w:val="none"/>
        </w:rPr>
      </w:r>
      <w:r/>
    </w:p>
    <w:p>
      <w:pPr>
        <w:pStyle w:val="723"/>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其中：</w:t>
      </w:r>
      <w:r>
        <w:rPr>
          <w:rFonts w:ascii="宋体" w:hAnsi="宋体" w:eastAsia="宋体" w:cs="宋体"/>
          <w:b w:val="0"/>
          <w:bCs w:val="0"/>
          <w:color w:val="000000"/>
          <w:sz w:val="21"/>
          <w:szCs w:val="21"/>
          <w:highlight w:val="none"/>
        </w:rPr>
      </w:r>
      <w:r/>
    </w:p>
    <w:p>
      <w:pPr>
        <w:pStyle w:val="723"/>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（1）材料和工程设备暂估价金额：</w:t>
      </w:r>
      <w:r>
        <w:rPr>
          <w:rFonts w:ascii="宋体" w:hAnsi="宋体" w:eastAsia="宋体" w:cs="Times New Roman"/>
          <w:b w:val="0"/>
          <w:bCs w:val="0"/>
          <w:color w:val="000000"/>
          <w:sz w:val="21"/>
          <w:szCs w:val="21"/>
          <w:highlight w:val="none"/>
        </w:rPr>
      </w:r>
      <w:r/>
    </w:p>
    <w:p>
      <w:pPr>
        <w:pStyle w:val="723"/>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人民币（大写）</w:t>
      </w:r>
      <w:r>
        <w:rPr>
          <w:rFonts w:hint="eastAsia" w:ascii="宋体" w:hAnsi="宋体" w:eastAsia="宋体" w:cs="Times New Roman"/>
          <w:b w:val="0"/>
          <w:bCs w:val="0"/>
          <w:color w:val="000000"/>
          <w:sz w:val="21"/>
          <w:szCs w:val="21"/>
          <w:highlight w:val="none"/>
        </w:rPr>
        <w:t xml:space="preserve">：</w:t>
      </w:r>
      <w:r>
        <w:rPr>
          <w:rFonts w:ascii="宋体" w:hAnsi="宋体" w:eastAsia="宋体" w:cs="Times New Roman"/>
          <w:b w:val="0"/>
          <w:bCs w:val="0"/>
          <w:color w:val="000000"/>
          <w:sz w:val="21"/>
          <w:szCs w:val="21"/>
          <w:highlight w:val="none"/>
        </w:rPr>
        <w:t xml:space="preserve"> (¥元)；</w:t>
      </w:r>
      <w:r>
        <w:rPr>
          <w:rFonts w:ascii="宋体" w:hAnsi="宋体" w:eastAsia="宋体" w:cs="Times New Roman"/>
          <w:b w:val="0"/>
          <w:bCs w:val="0"/>
          <w:color w:val="000000"/>
          <w:sz w:val="21"/>
          <w:szCs w:val="21"/>
          <w:highlight w:val="none"/>
        </w:rPr>
      </w:r>
      <w:r/>
    </w:p>
    <w:p>
      <w:pPr>
        <w:pStyle w:val="723"/>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（2）暂列金额：</w:t>
      </w:r>
      <w:r>
        <w:rPr>
          <w:rFonts w:ascii="宋体" w:hAnsi="宋体" w:eastAsia="宋体" w:cs="Times New Roman"/>
          <w:b w:val="0"/>
          <w:bCs w:val="0"/>
          <w:color w:val="000000"/>
          <w:sz w:val="21"/>
          <w:szCs w:val="21"/>
          <w:highlight w:val="none"/>
        </w:rPr>
      </w:r>
      <w:r/>
    </w:p>
    <w:p>
      <w:pPr>
        <w:pStyle w:val="723"/>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人民币（大写）</w:t>
      </w:r>
      <w:r>
        <w:rPr>
          <w:rFonts w:hint="eastAsia" w:ascii="宋体" w:hAnsi="宋体" w:eastAsia="宋体" w:cs="Times New Roman"/>
          <w:b w:val="0"/>
          <w:bCs w:val="0"/>
          <w:color w:val="000000"/>
          <w:sz w:val="21"/>
          <w:szCs w:val="21"/>
          <w:highlight w:val="none"/>
        </w:rPr>
        <w:t xml:space="preserve">：</w:t>
      </w:r>
      <w:r>
        <w:rPr>
          <w:rFonts w:ascii="宋体" w:hAnsi="宋体" w:eastAsia="宋体" w:cs="Times New Roman"/>
          <w:b w:val="0"/>
          <w:bCs w:val="0"/>
          <w:color w:val="000000"/>
          <w:sz w:val="21"/>
          <w:szCs w:val="21"/>
          <w:highlight w:val="none"/>
        </w:rPr>
        <w:t xml:space="preserve">(¥元)。</w:t>
      </w:r>
      <w:r>
        <w:rPr>
          <w:rFonts w:ascii="宋体" w:hAnsi="宋体" w:eastAsia="宋体" w:cs="Times New Roman"/>
          <w:b w:val="0"/>
          <w:bCs w:val="0"/>
          <w:color w:val="000000"/>
          <w:sz w:val="21"/>
          <w:szCs w:val="21"/>
          <w:highlight w:val="none"/>
        </w:rPr>
      </w:r>
      <w:r/>
    </w:p>
    <w:p>
      <w:pPr>
        <w:pStyle w:val="723"/>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w:t>
      </w:r>
      <w:r>
        <w:rPr>
          <w:rFonts w:hint="eastAsia" w:ascii="宋体" w:hAnsi="宋体" w:eastAsia="宋体" w:cs="Times New Roman"/>
          <w:b w:val="0"/>
          <w:bCs w:val="0"/>
          <w:color w:val="000000"/>
          <w:sz w:val="21"/>
          <w:szCs w:val="21"/>
          <w:highlight w:val="none"/>
        </w:rPr>
        <w:t xml:space="preserve">合同价格形式：</w:t>
      </w:r>
      <w:r>
        <w:rPr>
          <w:rFonts w:hint="eastAsia" w:ascii="宋体" w:hAnsi="宋体" w:eastAsia="宋体" w:cs="Times New Roman"/>
          <w:b w:val="0"/>
          <w:bCs w:val="0"/>
          <w:color w:val="000000"/>
          <w:sz w:val="21"/>
          <w:szCs w:val="21"/>
          <w:highlight w:val="none"/>
          <w:u w:val="single"/>
        </w:rPr>
        <w:t xml:space="preserve"> </w:t>
      </w:r>
      <w:r>
        <w:rPr>
          <w:rFonts w:hint="eastAsia" w:ascii="宋体" w:hAnsi="宋体" w:eastAsia="宋体" w:cs="Times New Roman"/>
          <w:b/>
          <w:bCs/>
          <w:color w:val="000000"/>
          <w:sz w:val="21"/>
          <w:szCs w:val="21"/>
          <w:highlight w:val="none"/>
          <w:u w:val="single"/>
        </w:rPr>
        <w:t xml:space="preserve">固定单价合同</w:t>
      </w:r>
      <w:r>
        <w:rPr>
          <w:rFonts w:hint="eastAsia" w:ascii="宋体" w:hAnsi="宋体" w:eastAsia="宋体" w:cs="Times New Roman"/>
          <w:b w:val="0"/>
          <w:bCs w:val="0"/>
          <w:color w:val="000000"/>
          <w:sz w:val="21"/>
          <w:szCs w:val="21"/>
          <w:highlight w:val="none"/>
          <w:u w:val="single"/>
        </w:rPr>
        <w:t xml:space="preserve"> </w:t>
      </w:r>
      <w:r>
        <w:rPr>
          <w:rFonts w:hint="eastAsia" w:ascii="宋体" w:hAnsi="宋体" w:eastAsia="宋体" w:cs="Times New Roman"/>
          <w:b w:val="0"/>
          <w:bCs w:val="0"/>
          <w:color w:val="000000"/>
          <w:sz w:val="21"/>
          <w:szCs w:val="21"/>
          <w:highlight w:val="none"/>
        </w:rPr>
        <w:t xml:space="preserve">形式。</w:t>
      </w:r>
      <w:r>
        <w:rPr>
          <w:rFonts w:ascii="宋体" w:hAnsi="宋体" w:eastAsia="宋体" w:cs="宋体"/>
          <w:b w:val="0"/>
          <w:bCs w:val="0"/>
          <w:color w:val="000000"/>
          <w:sz w:val="21"/>
          <w:szCs w:val="21"/>
          <w:highlight w:val="none"/>
        </w:rPr>
      </w:r>
      <w:r/>
    </w:p>
    <w:p>
      <w:pPr>
        <w:pStyle w:val="723"/>
        <w:ind w:firstLine="48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4.3工程结算办法：</w:t>
      </w:r>
      <w:r>
        <w:rPr>
          <w:rFonts w:ascii="宋体" w:hAnsi="宋体" w:eastAsia="宋体" w:cs="宋体"/>
          <w:b/>
          <w:bCs/>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本合同价款采用固定单价方式确定。</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1）在合同约定的风险范围内综合单价不可调整，工程量清单中的综合单价和其中以总额报价的项目不可调整。</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2）合同中约定的风险范围：</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（1）承包人自行踏勘后的现场施工条件；</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（2）承包人的报价施工方案；</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（3）工程量变化产生的前期费用；</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（4）材料价格；</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（5）采用新的验收标准。</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3）风险范围以外的内容：</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（1）设计变更引起的工程量增减、清单漏项；</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（2）发包人要求的承包范围以外的附加工程量；</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（3）暂定价材料、暂估价项目；</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（4）政策性调整费用包括人工工资调整、税率和税种变化；</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（5）发包人确认的其它项目。</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4）风险范围以外内容的调整方法：</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A、因发包人提出的设计变更，增加项目及签证，造成新增的工程量清单项目，其对应的综合单价结算原则为：</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a.报价书中已有适用于变更工程的综合单价，按报价书中已有的综合单价结算；</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rPr>
          <w:rFonts w:hint="eastAsia" w:ascii="宋体" w:hAnsi="宋体" w:eastAsia="宋体" w:cs="Times New Roman"/>
          <w:b w:val="0"/>
          <w:bCs w:val="0"/>
          <w:color w:val="000000"/>
          <w:sz w:val="21"/>
          <w:szCs w:val="21"/>
          <w:highlight w:val="none"/>
        </w:rPr>
      </w:r>
      <w:r/>
    </w:p>
    <w:p>
      <w:pPr>
        <w:pStyle w:val="723"/>
        <w:numPr>
          <w:ilvl w:val="0"/>
          <w:numId w:val="0"/>
        </w:numPr>
        <w:contextualSpacing/>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c.报价书中无类似综合单价，结算原则为：由承包人依据</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建设工程工程量清单计价标准》（GB/T50500-2024）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《市政工程工程量计算标准》（GB/T50857-2024）、《园林绿化工程工程量计算标准》（GB/T50858-2024）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2007《江苏省园林工程计价定额》、2026</w:t>
      </w:r>
      <w:r>
        <w:rPr>
          <w:rFonts w:hint="eastAsia" w:ascii="宋体" w:hAnsi="宋体" w:eastAsia="宋体" w:cs="宋体"/>
          <w:b w:val="0"/>
          <w:bCs w:val="0"/>
          <w:color w:val="000000"/>
          <w:sz w:val="21"/>
          <w:szCs w:val="21"/>
          <w:highlight w:val="none"/>
          <w:lang w:eastAsia="zh-CN"/>
        </w:rPr>
        <w:t xml:space="preserve">《江苏省市政工程消耗</w:t>
      </w:r>
      <w:r>
        <w:rPr>
          <w:rFonts w:hint="eastAsia" w:ascii="宋体" w:hAnsi="宋体" w:eastAsia="宋体" w:cs="宋体"/>
          <w:b w:val="0"/>
          <w:bCs w:val="0"/>
          <w:color w:val="000000"/>
          <w:sz w:val="21"/>
          <w:szCs w:val="21"/>
          <w:highlight w:val="none"/>
          <w:lang w:val="en-US" w:eastAsia="zh-CN"/>
        </w:rPr>
        <w:t xml:space="preserve">量》、2026</w:t>
      </w:r>
      <w:r>
        <w:rPr>
          <w:rFonts w:hint="eastAsia" w:ascii="宋体" w:hAnsi="宋体" w:eastAsia="宋体" w:cs="宋体"/>
          <w:b w:val="0"/>
          <w:bCs w:val="0"/>
          <w:color w:val="000000"/>
          <w:sz w:val="21"/>
          <w:szCs w:val="21"/>
          <w:highlight w:val="none"/>
          <w:lang w:eastAsia="zh-CN"/>
        </w:rPr>
        <w:t xml:space="preserve">《江苏省建设工程费用参考》及</w:t>
      </w:r>
      <w:r>
        <w:rPr>
          <w:rFonts w:hint="eastAsia" w:ascii="宋体" w:hAnsi="宋体" w:eastAsia="宋体" w:cs="宋体"/>
          <w:b w:val="0"/>
          <w:bCs w:val="0"/>
          <w:color w:val="000000"/>
          <w:sz w:val="21"/>
          <w:szCs w:val="21"/>
          <w:highlight w:val="none"/>
          <w:lang w:val="en-US" w:eastAsia="zh-CN"/>
        </w:rPr>
        <w:t xml:space="preserve">2026</w:t>
      </w:r>
      <w:r>
        <w:rPr>
          <w:rFonts w:hint="eastAsia" w:ascii="宋体" w:hAnsi="宋体" w:eastAsia="宋体" w:cs="宋体"/>
          <w:b w:val="0"/>
          <w:bCs w:val="0"/>
          <w:color w:val="000000"/>
          <w:sz w:val="21"/>
          <w:szCs w:val="21"/>
          <w:highlight w:val="none"/>
          <w:lang w:eastAsia="zh-CN"/>
        </w:rPr>
        <w:t xml:space="preserve">《江苏建设工程施工机具台班费用参考表》</w:t>
      </w:r>
      <w:r>
        <w:rPr>
          <w:rFonts w:hint="eastAsia" w:ascii="宋体" w:hAnsi="宋体" w:eastAsia="宋体" w:cs="宋体"/>
          <w:b w:val="0"/>
          <w:bCs w:val="0"/>
          <w:color w:val="000000"/>
          <w:sz w:val="21"/>
          <w:szCs w:val="21"/>
          <w:highlight w:val="none"/>
        </w:rPr>
        <w:t xml:space="preserve">等计价规范</w:t>
      </w:r>
      <w:r>
        <w:rPr>
          <w:rFonts w:hint="eastAsia" w:ascii="宋体" w:hAnsi="宋体" w:eastAsia="宋体" w:cs="Times New Roman"/>
          <w:b w:val="0"/>
          <w:bCs w:val="0"/>
          <w:color w:val="000000"/>
          <w:sz w:val="21"/>
          <w:szCs w:val="21"/>
          <w:highlight w:val="none"/>
        </w:rPr>
        <w:t xml:space="preserve">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w:t>
      </w:r>
      <w:r>
        <w:rPr>
          <w:rFonts w:hint="eastAsia" w:ascii="宋体" w:hAnsi="宋体" w:eastAsia="宋体" w:cs="宋体"/>
          <w:b w:val="0"/>
          <w:bCs w:val="0"/>
          <w:color w:val="000000"/>
          <w:sz w:val="21"/>
          <w:szCs w:val="21"/>
          <w:highlight w:val="none"/>
        </w:rPr>
        <w:t xml:space="preserve">编制综合单价报监理人，经监理人、发包人和评审单位共同确认。无法套用定额或不适合套用定额的，依据独立费计价原则，经监理人、发包人和评审单位共同确认后执行，确认后的价格不下浮。</w:t>
      </w:r>
      <w:r>
        <w:rPr>
          <w:rFonts w:hint="eastAsia" w:ascii="宋体" w:hAnsi="宋体" w:eastAsia="宋体" w:cs="宋体"/>
          <w:b w:val="0"/>
          <w:bCs w:val="0"/>
          <w:color w:val="000000"/>
          <w:sz w:val="21"/>
          <w:szCs w:val="21"/>
          <w:highlight w:val="none"/>
        </w:rPr>
      </w:r>
      <w:r/>
    </w:p>
    <w:p>
      <w:pPr>
        <w:pStyle w:val="723"/>
        <w:numPr>
          <w:ilvl w:val="0"/>
          <w:numId w:val="0"/>
        </w:numPr>
        <w:contextualSpacing/>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B</w:t>
      </w:r>
      <w:r>
        <w:rPr>
          <w:rFonts w:hint="eastAsia" w:ascii="宋体" w:hAnsi="宋体" w:eastAsia="宋体" w:cs="宋体"/>
          <w:b w:val="0"/>
          <w:bCs w:val="0"/>
          <w:color w:val="000000"/>
          <w:sz w:val="21"/>
          <w:szCs w:val="21"/>
          <w:highlight w:val="none"/>
        </w:rPr>
        <w:t xml:space="preserve">、措施项目费的调整与结算办法：</w:t>
      </w:r>
      <w:r>
        <w:rPr>
          <w:rFonts w:hint="eastAsia" w:ascii="宋体" w:hAnsi="宋体" w:eastAsia="宋体" w:cs="宋体"/>
          <w:b w:val="0"/>
          <w:bCs w:val="0"/>
          <w:color w:val="000000"/>
          <w:sz w:val="21"/>
          <w:szCs w:val="21"/>
          <w:highlight w:val="none"/>
        </w:rPr>
      </w:r>
      <w:r/>
    </w:p>
    <w:p>
      <w:pPr>
        <w:pStyle w:val="723"/>
        <w:numPr>
          <w:ilvl w:val="0"/>
          <w:numId w:val="0"/>
        </w:numPr>
        <w:contextualSpacing/>
        <w:ind w:firstLine="482"/>
        <w:keepLines w:val="0"/>
        <w:keepNext w:val="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①单价措施项目费的结算同分部分项工程的结算方</w:t>
      </w:r>
      <w:r>
        <w:rPr>
          <w:rFonts w:hint="eastAsia" w:ascii="宋体" w:hAnsi="宋体" w:eastAsia="宋体" w:cs="Times New Roman"/>
          <w:b w:val="0"/>
          <w:bCs w:val="0"/>
          <w:color w:val="000000"/>
          <w:sz w:val="21"/>
          <w:szCs w:val="21"/>
          <w:highlight w:val="none"/>
        </w:rPr>
        <w:t xml:space="preserve">式（仅指单价固定、工程量按实结算）。</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②总价与单价措施项目中，以“项”为单位报价的，一次性包干，结算不作调整</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实际施工中未实施的项，则结算时不得计取该项费用</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w:t>
      </w:r>
      <w:r>
        <w:rPr>
          <w:rFonts w:hint="eastAsia" w:ascii="宋体" w:hAnsi="宋体" w:eastAsia="宋体" w:cs="Times New Roman"/>
          <w:b w:val="0"/>
          <w:bCs w:val="0"/>
          <w:color w:val="000000"/>
          <w:sz w:val="21"/>
          <w:szCs w:val="21"/>
          <w:highlight w:val="none"/>
          <w:lang w:val="en-US" w:eastAsia="zh-CN"/>
        </w:rPr>
        <w:t xml:space="preserve">成交</w:t>
      </w:r>
      <w:r>
        <w:rPr>
          <w:rFonts w:hint="eastAsia" w:ascii="宋体" w:hAnsi="宋体" w:eastAsia="宋体" w:cs="Times New Roman"/>
          <w:b w:val="0"/>
          <w:bCs w:val="0"/>
          <w:color w:val="000000"/>
          <w:sz w:val="21"/>
          <w:szCs w:val="21"/>
          <w:highlight w:val="none"/>
        </w:rPr>
        <w:t xml:space="preserve">下浮率=【</w:t>
      </w:r>
      <w:r>
        <w:rPr>
          <w:rFonts w:hint="eastAsia" w:ascii="宋体" w:hAnsi="宋体" w:eastAsia="宋体" w:cs="Times New Roman"/>
          <w:b w:val="0"/>
          <w:bCs w:val="0"/>
          <w:color w:val="000000"/>
          <w:sz w:val="21"/>
          <w:szCs w:val="21"/>
          <w:highlight w:val="none"/>
          <w:lang w:val="en-US" w:eastAsia="zh-CN"/>
        </w:rPr>
        <w:t xml:space="preserve">标底价</w:t>
      </w:r>
      <w:r>
        <w:rPr>
          <w:rFonts w:hint="eastAsia" w:ascii="宋体" w:hAnsi="宋体" w:eastAsia="宋体" w:cs="Times New Roman"/>
          <w:b w:val="0"/>
          <w:bCs w:val="0"/>
          <w:color w:val="000000"/>
          <w:sz w:val="21"/>
          <w:szCs w:val="21"/>
          <w:highlight w:val="none"/>
        </w:rPr>
        <w:t xml:space="preserve">[扣除暂估价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]－成交价[扣除暂估价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w:t>
      </w:r>
      <w:r>
        <w:rPr>
          <w:rFonts w:hint="eastAsia" w:ascii="宋体" w:hAnsi="宋体" w:eastAsia="宋体" w:cs="Times New Roman"/>
          <w:b w:val="0"/>
          <w:bCs w:val="0"/>
          <w:color w:val="000000"/>
          <w:sz w:val="21"/>
          <w:szCs w:val="21"/>
          <w:highlight w:val="none"/>
          <w:lang w:val="en-US" w:eastAsia="zh-CN"/>
        </w:rPr>
        <w:t xml:space="preserve">标底价</w:t>
      </w:r>
      <w:r>
        <w:rPr>
          <w:rFonts w:hint="eastAsia" w:ascii="宋体" w:hAnsi="宋体" w:eastAsia="宋体" w:cs="Times New Roman"/>
          <w:b w:val="0"/>
          <w:bCs w:val="0"/>
          <w:color w:val="000000"/>
          <w:sz w:val="21"/>
          <w:szCs w:val="21"/>
          <w:highlight w:val="none"/>
        </w:rPr>
        <w:t xml:space="preserve">[扣除暂估价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w:t>
      </w:r>
      <w:r>
        <w:rPr>
          <w:rFonts w:hint="eastAsia" w:ascii="宋体" w:hAnsi="宋体" w:eastAsia="宋体" w:cs="Times New Roman"/>
          <w:b w:val="0"/>
          <w:bCs w:val="0"/>
          <w:color w:val="000000"/>
          <w:sz w:val="21"/>
          <w:szCs w:val="21"/>
          <w:highlight w:val="none"/>
          <w:lang w:val="en-US" w:eastAsia="zh-CN"/>
        </w:rPr>
        <w:t xml:space="preserve">本项目标底价为：   元；其中暂列金额（含规费及税金）为：  元；专业工程暂估价（含规费及税金）为：   元。</w:t>
      </w:r>
      <w:r>
        <w:rPr>
          <w:rFonts w:hint="eastAsia" w:ascii="宋体" w:hAnsi="宋体" w:eastAsia="宋体" w:cs="Times New Roman"/>
          <w:b w:val="0"/>
          <w:bCs w:val="0"/>
          <w:color w:val="000000"/>
          <w:sz w:val="21"/>
          <w:szCs w:val="21"/>
          <w:highlight w:val="none"/>
          <w:lang w:eastAsia="zh-CN"/>
        </w:rPr>
        <w:t xml:space="preserve">本项目下浮率为</w:t>
      </w:r>
      <w:r>
        <w:rPr>
          <w:rFonts w:hint="eastAsia" w:ascii="宋体" w:hAnsi="宋体" w:eastAsia="宋体" w:cs="Times New Roman"/>
          <w:b w:val="0"/>
          <w:bCs w:val="0"/>
          <w:color w:val="000000"/>
          <w:sz w:val="21"/>
          <w:szCs w:val="21"/>
          <w:highlight w:val="none"/>
          <w:lang w:val="en-US" w:eastAsia="zh-CN"/>
        </w:rPr>
        <w:t xml:space="preserve">  %。</w:t>
      </w:r>
      <w:r>
        <w:rPr>
          <w:rFonts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6）报价单位如某项报价综合单价超过发包人发布的控制综合单价的，则该项所增加工程量的综合单价按控制综合单价乘（1-报价下浮率）结算。</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rPr>
          <w:rFonts w:hint="eastAsia" w:ascii="宋体" w:hAnsi="宋体" w:eastAsia="宋体" w:cs="Times New Roman"/>
          <w:b w:val="0"/>
          <w:bCs w:val="0"/>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b w:val="0"/>
          <w:bCs w:val="0"/>
          <w:color w:val="000000"/>
          <w:sz w:val="21"/>
          <w:szCs w:val="21"/>
          <w:highlight w:val="none"/>
        </w:rPr>
        <w:t xml:space="preserve">8）报价组价时如违规调整定额人工、暂定价材料、机械消耗量，则按以下结算原则执行：①如遇人工、</w:t>
      </w:r>
      <w:r>
        <w:rPr>
          <w:rFonts w:hint="eastAsia" w:ascii="宋体" w:hAnsi="宋体" w:eastAsia="宋体" w:cs="Times New Roman"/>
          <w:b w:val="0"/>
          <w:bCs w:val="0"/>
          <w:color w:val="000000"/>
          <w:sz w:val="21"/>
          <w:szCs w:val="21"/>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rPr>
          <w:rFonts w:hint="eastAsia" w:ascii="宋体" w:hAnsi="宋体" w:eastAsia="宋体" w:cs="Times New Roman"/>
          <w:color w:val="000000"/>
          <w:sz w:val="24"/>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4.4付款方式：</w:t>
      </w:r>
      <w:r>
        <w:rPr>
          <w:rFonts w:hint="eastAsia" w:ascii="宋体" w:hAnsi="宋体" w:eastAsia="宋体" w:cs="宋体"/>
          <w:b/>
          <w:bCs/>
          <w:color w:val="000000"/>
          <w:sz w:val="21"/>
          <w:szCs w:val="21"/>
          <w:highlight w:val="none"/>
        </w:rPr>
      </w:r>
      <w:r/>
    </w:p>
    <w:p>
      <w:pPr>
        <w:pStyle w:val="825"/>
        <w:numPr>
          <w:ilvl w:val="0"/>
          <w:numId w:val="0"/>
        </w:numPr>
        <w:contextualSpacing/>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（1）工程竣工验收合格后，当年农历12月底前，支付至合同价［扣除暂估价及暂列金（含规费税金）］的60%；</w:t>
      </w:r>
      <w:r>
        <w:rPr>
          <w:rFonts w:hint="eastAsia" w:ascii="宋体" w:hAnsi="宋体" w:eastAsia="宋体" w:cs="宋体"/>
          <w:b/>
          <w:bCs/>
          <w:sz w:val="21"/>
          <w:szCs w:val="21"/>
          <w:highlight w:val="none"/>
          <w:lang w:val="en-US" w:eastAsia="zh-CN"/>
        </w:rPr>
      </w:r>
      <w:r/>
    </w:p>
    <w:p>
      <w:pPr>
        <w:pStyle w:val="825"/>
        <w:numPr>
          <w:ilvl w:val="0"/>
          <w:numId w:val="0"/>
        </w:numPr>
        <w:contextualSpacing/>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（2）工程竣工验收合格后的第二年农历12月底前，支付至审定价的97%；</w:t>
      </w:r>
      <w:r>
        <w:rPr>
          <w:rFonts w:hint="eastAsia" w:ascii="宋体" w:hAnsi="宋体" w:eastAsia="宋体" w:cs="宋体"/>
          <w:b/>
          <w:bCs/>
          <w:sz w:val="21"/>
          <w:szCs w:val="21"/>
          <w:highlight w:val="none"/>
          <w:lang w:val="en-US" w:eastAsia="zh-CN"/>
        </w:rPr>
      </w:r>
      <w:r/>
    </w:p>
    <w:p>
      <w:pPr>
        <w:pStyle w:val="825"/>
        <w:numPr>
          <w:ilvl w:val="0"/>
          <w:numId w:val="0"/>
        </w:numPr>
        <w:contextualSpacing/>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（3）余款在第三年农历12月底前付清；</w:t>
      </w:r>
      <w:r>
        <w:rPr>
          <w:rFonts w:hint="eastAsia" w:ascii="宋体" w:hAnsi="宋体" w:eastAsia="宋体" w:cs="宋体"/>
          <w:b/>
          <w:bCs/>
          <w:sz w:val="21"/>
          <w:szCs w:val="21"/>
          <w:highlight w:val="none"/>
          <w:lang w:val="en-US" w:eastAsia="zh-CN"/>
        </w:rPr>
      </w:r>
      <w:r/>
    </w:p>
    <w:p>
      <w:pPr>
        <w:pStyle w:val="825"/>
        <w:numPr>
          <w:ilvl w:val="0"/>
          <w:numId w:val="0"/>
        </w:numPr>
        <w:contextualSpacing/>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（4）审定价的3％为工程质量保证金，在缺陷责任期满后全部退还。</w:t>
      </w:r>
      <w:r>
        <w:rPr>
          <w:rFonts w:hint="eastAsia" w:ascii="宋体" w:hAnsi="宋体" w:eastAsia="宋体" w:cs="宋体"/>
          <w:b/>
          <w:bCs/>
          <w:sz w:val="21"/>
          <w:szCs w:val="21"/>
          <w:highlight w:val="none"/>
          <w:lang w:val="en-US" w:eastAsia="zh-CN"/>
        </w:rPr>
      </w:r>
      <w:r/>
    </w:p>
    <w:p>
      <w:pPr>
        <w:pStyle w:val="723"/>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支付时，乙方应当向甲方开具相应价款发票，甲方收到发票后支付相应费用。</w:t>
      </w:r>
      <w:r>
        <w:rPr>
          <w:rFonts w:hint="eastAsia" w:ascii="宋体" w:hAnsi="宋体" w:eastAsia="宋体" w:cs="宋体"/>
          <w:color w:val="000000"/>
          <w:sz w:val="21"/>
          <w:szCs w:val="21"/>
          <w:highlight w:val="none"/>
          <w:lang w:val="en-US" w:eastAsia="zh-CN"/>
        </w:rPr>
      </w:r>
      <w:r/>
    </w:p>
    <w:p>
      <w:pPr>
        <w:pStyle w:val="723"/>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2）付款方式：银行转账；</w:t>
      </w:r>
      <w:r>
        <w:rPr>
          <w:rFonts w:hint="eastAsia" w:ascii="宋体" w:hAnsi="宋体" w:eastAsia="宋体" w:cs="宋体"/>
          <w:color w:val="000000"/>
          <w:sz w:val="21"/>
          <w:szCs w:val="21"/>
          <w:highlight w:val="none"/>
          <w:lang w:val="en-US" w:eastAsia="zh-CN"/>
        </w:rPr>
      </w:r>
      <w:r/>
    </w:p>
    <w:p>
      <w:pPr>
        <w:pStyle w:val="723"/>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3）根据国家现行税法对乙方征收的与本合同有关的一切税费均由乙方承担；</w:t>
      </w:r>
      <w:r>
        <w:rPr>
          <w:rFonts w:hint="eastAsia" w:ascii="宋体" w:hAnsi="宋体" w:eastAsia="宋体" w:cs="宋体"/>
          <w:color w:val="000000"/>
          <w:sz w:val="21"/>
          <w:szCs w:val="21"/>
          <w:highlight w:val="none"/>
          <w:lang w:val="en-US"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双方的权利和义务</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的权利和义务</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委派项目负责人：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履行合同的权利和义务。</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应负责提供施工现场、施工条件、基础资料。</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应按合同约定向</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及时支付合同价款。</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有权按照施工进度计划检查</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进度情况。</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有权拒绝</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提供和使用的不合格材料或工程设备，并要求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立即进行更换。</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对未达到合同约定质量标准的工程返工。</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5.1.7合同范围内的全部</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以及有关工作均已完成，竣工资料备齐，</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及时组织竣工验收。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对竣工结算申请单有异议的，有权要求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进行修正和提供补充资料，</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应提交修正后的竣工结算申请单。</w:t>
      </w:r>
      <w:r>
        <w:rPr>
          <w:rFonts w:hint="eastAsia" w:ascii="宋体" w:hAnsi="宋体" w:eastAsia="宋体" w:cs="宋体"/>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5.1.9</w:t>
      </w:r>
      <w:r>
        <w:rPr>
          <w:rFonts w:hint="eastAsia" w:ascii="宋体" w:hAnsi="宋体" w:eastAsia="宋体" w:cs="宋体"/>
          <w:b/>
          <w:bCs/>
          <w:color w:val="000000"/>
          <w:sz w:val="21"/>
          <w:szCs w:val="21"/>
          <w:highlight w:val="none"/>
          <w:lang w:eastAsia="zh-CN"/>
        </w:rPr>
        <w:t xml:space="preserve">甲方</w:t>
      </w:r>
      <w:r>
        <w:rPr>
          <w:rFonts w:hint="eastAsia" w:ascii="宋体" w:hAnsi="宋体" w:eastAsia="宋体" w:cs="宋体"/>
          <w:b/>
          <w:bCs/>
          <w:color w:val="000000"/>
          <w:sz w:val="21"/>
          <w:szCs w:val="21"/>
          <w:highlight w:val="none"/>
        </w:rPr>
        <w:t xml:space="preserve">应要求</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按合同约定</w:t>
      </w:r>
      <w:r>
        <w:rPr>
          <w:rFonts w:hint="eastAsia" w:ascii="宋体" w:hAnsi="宋体" w:eastAsia="宋体" w:cs="宋体"/>
          <w:b/>
          <w:bCs/>
          <w:color w:val="000000"/>
          <w:sz w:val="21"/>
          <w:szCs w:val="21"/>
          <w:highlight w:val="none"/>
          <w:lang w:val="en-US" w:eastAsia="zh-CN"/>
        </w:rPr>
        <w:t xml:space="preserve">对甲方要求的维修事项进行维修</w:t>
      </w:r>
      <w:r>
        <w:rPr>
          <w:rFonts w:hint="eastAsia" w:ascii="宋体" w:hAnsi="宋体" w:eastAsia="宋体" w:cs="宋体"/>
          <w:b/>
          <w:bCs/>
          <w:color w:val="000000"/>
          <w:sz w:val="21"/>
          <w:szCs w:val="21"/>
          <w:highlight w:val="none"/>
        </w:rPr>
        <w:t xml:space="preserve">，并采购或使用符合要求的绿色建材及低挥发性有机化合物产品；强化施工现场监管，确保</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落实绿色建筑及低挥发性有机化合物治理要求，使用符合《需求标准》的绿色建材；根据《需求标准》制定相应的履约验收标准，并与现行验收程序有效融合。</w:t>
      </w:r>
      <w:r>
        <w:rPr>
          <w:rFonts w:hint="eastAsia" w:ascii="宋体" w:hAnsi="宋体" w:eastAsia="宋体" w:cs="宋体"/>
          <w:b/>
          <w:bCs/>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5.1.10</w:t>
      </w:r>
      <w:r>
        <w:rPr>
          <w:rFonts w:hint="eastAsia" w:ascii="宋体" w:hAnsi="宋体" w:eastAsia="宋体" w:cs="宋体"/>
          <w:b/>
          <w:bCs/>
          <w:color w:val="000000"/>
          <w:sz w:val="21"/>
          <w:szCs w:val="21"/>
          <w:highlight w:val="none"/>
          <w:lang w:eastAsia="zh-CN"/>
        </w:rPr>
        <w:t xml:space="preserve">甲方</w:t>
      </w:r>
      <w:r>
        <w:rPr>
          <w:rFonts w:hint="eastAsia" w:ascii="宋体" w:hAnsi="宋体" w:eastAsia="宋体" w:cs="宋体"/>
          <w:b/>
          <w:bCs/>
          <w:color w:val="000000"/>
          <w:sz w:val="21"/>
          <w:szCs w:val="21"/>
          <w:highlight w:val="none"/>
        </w:rPr>
        <w:t xml:space="preserve">应组织对绿色建材、低挥发性有机化合物使用情况进行专项验收，形成专项验收报告并对验收结果负责。绿色建材、低挥发性有机化合物验收结果不合格的，竣工验收不得通过。</w:t>
      </w:r>
      <w:r>
        <w:rPr>
          <w:rFonts w:hint="eastAsia" w:ascii="宋体" w:hAnsi="宋体" w:eastAsia="宋体" w:cs="宋体"/>
          <w:b/>
          <w:bCs/>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5.2</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权利和义务</w:t>
      </w:r>
      <w:r>
        <w:rPr>
          <w:rFonts w:hint="eastAsia" w:ascii="宋体" w:hAnsi="宋体" w:eastAsia="宋体" w:cs="宋体"/>
          <w:b w:val="0"/>
          <w:bCs w:val="0"/>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委派项目负责人：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履行合同的权利和义务。负责现场所有申请单的收发处理和上报，对现场维修需了解情况和进行前期摸底，超过壹万元以上的维修单需将具体做法、</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案、预算报维修工作群同意后才能施工，对申请单维修施工时，具体施工时间需提前一天报在维修工作群里，以便发包方、监理、跟踪审计及时现场查看。</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应按照法律规定及合同约定组织完成</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施工，确保</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质量和安全，不进行转包及违法分包，并在保修期内承担相应的维修责任。</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应为施工现场的全部人员和施工设施办理保险并支付保险费。在涉及施工区域需设置施工围档，因施工区域没有设置围档的发现一次罚款1000元。</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按合同约定的</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内容和施工进度要求，编制施工组织设计和施工措施计划，并对所有施工作业和</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法的完备性和安全可靠性负责。</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提交的施工进度计划的确认，不能减轻或免除</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根据法律规定和合同约定应承担的任何责任或义务。</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质量标准必须符合现行国家和地方有关</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施工质量验收规范和标准的要求。</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质量未达到合同约定标准的，</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必须返工直至</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质量达到合同约定的标准为止，并承担由此增加的费用和（或）延误的工期损失。</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在提出分项工程验收时，需提供完整的施工影像资料（彩色照片），涉及隐蔽工程做法的需要相应照片，达不到</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要求时，不得进入验收及结算程序，</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应承担由此产生的一切后果。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5.2.7</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竣工验收合格后28天内向</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提交竣工结算申请单2份，并提交完整的结算资料2份。</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应编制竣工资料，完成竣工资料立卷及归档，并在</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竣工验收前向</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移交竣工内业资料</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应如期足额的支付施工人员工资，若</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因拖欠施工人员工资导致施工人员阻工、滋事的，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有权直接从工程款中扣留相应金额用于解决</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拖欠的施工人员工资。    </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5.2.10</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必须自行处理好与其它</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的关系和地方矛盾，如因此造成</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进度及质量不能满足要求，一切后果由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自负。</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5.2.11承包范围中所涉及的内容、数量在实际施工中如有增减，</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必须服从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安排。</w:t>
      </w:r>
      <w:r>
        <w:rPr>
          <w:rFonts w:hint="eastAsia" w:ascii="宋体" w:hAnsi="宋体" w:eastAsia="宋体" w:cs="宋体"/>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5.2.12 </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在施工过程中必须保证施工现场的安全及项目质量，如由</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原因造成的安全和质量事故，全部责任及由此造成的费用由</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独立承担。</w:t>
      </w:r>
      <w:r>
        <w:rPr>
          <w:rFonts w:hint="eastAsia" w:ascii="宋体" w:hAnsi="宋体" w:eastAsia="宋体" w:cs="宋体"/>
          <w:b/>
          <w:bCs/>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5.2.13 </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应严格按照设计文件和《绿色建筑和绿色建材政府采购需求标准》的规定、低挥发性有机化合物治理要求以及相关建设项目标准进行施工。</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应建立相应的施工管理体系和组织机构，确定绿色建筑和绿色建材及低挥发性有机化合物产品应用工作责任人。</w:t>
      </w:r>
      <w:r>
        <w:rPr>
          <w:rFonts w:hint="eastAsia" w:ascii="宋体" w:hAnsi="宋体" w:eastAsia="宋体" w:cs="宋体"/>
          <w:b/>
          <w:bCs/>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5.2.14</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rFonts w:hint="eastAsia" w:ascii="宋体" w:hAnsi="宋体" w:eastAsia="宋体" w:cs="宋体"/>
          <w:b/>
          <w:bCs/>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5.2.15</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对涉及使用涂料、胶黏剂、油墨、清洗剂等挥发性有机物产品的，属于强制性标准的，应采购执行国家和我省VOCs含量限制标准的产品，并提供符合要求的检测报告。</w:t>
      </w:r>
      <w:r>
        <w:rPr>
          <w:rFonts w:hint="eastAsia" w:ascii="宋体" w:hAnsi="宋体" w:eastAsia="宋体" w:cs="宋体"/>
          <w:b/>
          <w:bCs/>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5.2.16</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rPr>
          <w:rFonts w:hint="eastAsia" w:ascii="宋体" w:hAnsi="宋体" w:eastAsia="宋体" w:cs="宋体"/>
          <w:b/>
          <w:bCs/>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  </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质量保修范围和内容</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6.1质量保修期：</w:t>
      </w:r>
      <w:r>
        <w:rPr>
          <w:rFonts w:hint="eastAsia" w:ascii="宋体" w:hAnsi="宋体" w:eastAsia="宋体" w:cs="宋体"/>
          <w:color w:val="000000"/>
          <w:sz w:val="21"/>
          <w:szCs w:val="21"/>
          <w:highlight w:val="none"/>
        </w:rPr>
      </w:r>
      <w:r/>
    </w:p>
    <w:p>
      <w:pPr>
        <w:pStyle w:val="723"/>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本项目质保期为2年，自竣工验收合格之日起计算。</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质量保修范围为</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工程承包范围和内容，因</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原因造成的质量责任，由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负责保修。</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6.2质量保修责任</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6.2.1</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应在接到保修通知之日起1天内派人保修。保修期内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不在约定期限内及时派人保修的，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可委托他人修理，相关费用从剩余合同价款内扣除。</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6.2.2发生须紧急抢修事故，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接到通知后，应立即派员到达事故现场进行抢修。非</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施工质量引起的事故，抢修费用由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承担。</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6.2.3在规定的工程合理使用期限内，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确保</w:t>
      </w:r>
      <w:r>
        <w:rPr>
          <w:rFonts w:hint="eastAsia" w:ascii="宋体" w:hAnsi="宋体" w:eastAsia="宋体" w:cs="宋体"/>
          <w:bCs/>
          <w:color w:val="000000"/>
          <w:sz w:val="21"/>
          <w:szCs w:val="21"/>
          <w:highlight w:val="none"/>
          <w:lang w:eastAsia="zh-CN"/>
        </w:rPr>
        <w:t xml:space="preserve">项目</w:t>
      </w:r>
      <w:r>
        <w:rPr>
          <w:rFonts w:hint="eastAsia" w:ascii="宋体" w:hAnsi="宋体" w:eastAsia="宋体" w:cs="宋体"/>
          <w:bCs/>
          <w:color w:val="000000"/>
          <w:sz w:val="21"/>
          <w:szCs w:val="21"/>
          <w:highlight w:val="none"/>
        </w:rPr>
        <w:t xml:space="preserve">的质量。因</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原因致使工程在合理使用期限内造成人身和财产损害的，</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应承担全部赔偿责任。</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6.2.4质量保修完成后，应交由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组织验收。</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违约责任</w:t>
      </w:r>
      <w:r>
        <w:rPr>
          <w:rFonts w:hint="eastAsia" w:ascii="宋体" w:hAnsi="宋体" w:eastAsia="宋体" w:cs="宋体"/>
          <w:color w:val="000000"/>
          <w:sz w:val="21"/>
          <w:szCs w:val="21"/>
          <w:highlight w:val="none"/>
        </w:rPr>
      </w:r>
      <w:r/>
    </w:p>
    <w:p>
      <w:pPr>
        <w:pStyle w:val="723"/>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1、甲方发出的派单乙方必须按要求在规定时间内全面执行，否则按 500 元/次向甲方支付违约金。在接到甲方通知后半小时内响应，4小时内需上门进行维修并在甲方要求的时间内完成维修任务，达到交付使用水平。由于乙方原因，在接到甲方维修通知后未按规定时间响应或未在规定时间内到达指定地点，每延误一次罚500元；由于乙方原因导致</w:t>
      </w:r>
      <w:r>
        <w:rPr>
          <w:rFonts w:hint="eastAsia" w:ascii="宋体" w:hAnsi="宋体" w:eastAsia="宋体" w:cs="宋体"/>
          <w:color w:val="000000"/>
          <w:sz w:val="21"/>
          <w:szCs w:val="21"/>
          <w:highlight w:val="none"/>
        </w:rPr>
        <w:t xml:space="preserve">维修工作延误交付</w:t>
      </w:r>
      <w:r>
        <w:rPr>
          <w:rFonts w:hint="eastAsia" w:ascii="宋体" w:hAnsi="宋体" w:eastAsia="宋体" w:cs="宋体"/>
          <w:b w:val="0"/>
          <w:bCs w:val="0"/>
          <w:color w:val="000000"/>
          <w:sz w:val="21"/>
          <w:szCs w:val="21"/>
          <w:highlight w:val="none"/>
          <w:lang w:val="en-US" w:eastAsia="zh-CN"/>
        </w:rPr>
        <w:t xml:space="preserve">，每延误 24 小时罚 500 元/天。如果乙方在服务过程连续三次未在派单要求时间内完成，甲方有权解除合同，并要求乙方应支付相应违约金。</w:t>
      </w:r>
      <w:r>
        <w:rPr>
          <w:rFonts w:hint="eastAsia" w:ascii="宋体" w:hAnsi="宋体" w:eastAsia="宋体" w:cs="宋体"/>
          <w:b w:val="0"/>
          <w:bCs w:val="0"/>
          <w:color w:val="000000"/>
          <w:sz w:val="21"/>
          <w:szCs w:val="21"/>
          <w:highlight w:val="none"/>
          <w:lang w:val="en-US" w:eastAsia="zh-CN"/>
        </w:rPr>
      </w:r>
      <w:r/>
    </w:p>
    <w:p>
      <w:pPr>
        <w:pStyle w:val="723"/>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2、若因施工造成的维修质量问题，甲方应书面通知乙方并约定时间进行整改。乙方未按时间及时维修，甲方有权扣除维修费 1000-2000 元/次作为乙方向甲方支付的违约金。如果乙方在服务过程连续三次未按要求整改，甲方有权解除合同，并要求乙方应支付相应违约金。</w:t>
      </w:r>
      <w:r>
        <w:rPr>
          <w:rFonts w:hint="eastAsia" w:ascii="宋体" w:hAnsi="宋体" w:eastAsia="宋体" w:cs="宋体"/>
          <w:b w:val="0"/>
          <w:bCs w:val="0"/>
          <w:color w:val="000000"/>
          <w:sz w:val="21"/>
          <w:szCs w:val="21"/>
          <w:highlight w:val="none"/>
          <w:lang w:val="en-US" w:eastAsia="zh-CN"/>
        </w:rPr>
      </w:r>
      <w:r/>
    </w:p>
    <w:p>
      <w:pPr>
        <w:pStyle w:val="723"/>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乙方不按甲方关于工程质量、工程维修进度等要求施工维修的，在经过甲方一次书面警告后，仍不能按甲方要求进行维修施工时，甲方有权终止乙方的维修施工权，并有权安排其他施工维修单位接受乙方的施工维修工程，乙方按中止施工前的工程量进行结算，若因此造成甲方的损失，由乙方承担。</w:t>
      </w:r>
      <w:r>
        <w:rPr>
          <w:rFonts w:hint="eastAsia" w:ascii="宋体" w:hAnsi="宋体" w:eastAsia="宋体" w:cs="宋体"/>
          <w:b w:val="0"/>
          <w:bCs w:val="0"/>
          <w:color w:val="000000"/>
          <w:sz w:val="21"/>
          <w:szCs w:val="21"/>
          <w:highlight w:val="none"/>
          <w:lang w:val="en-US"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第八条  其他约定</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本项目</w:t>
      </w:r>
      <w:r>
        <w:rPr>
          <w:rFonts w:hint="eastAsia" w:ascii="宋体" w:hAnsi="宋体" w:eastAsia="宋体" w:cs="宋体"/>
          <w:color w:val="000000"/>
          <w:sz w:val="21"/>
          <w:szCs w:val="21"/>
          <w:highlight w:val="none"/>
        </w:rPr>
        <w:t xml:space="preserve">所需的材料检测费用承担按现行的《建设工程工程量清单计价标准》（GB/T50500-2024）规定执行，材料样品检测不合格的，该检测费用由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承担，若由此造成工期延误，还应按</w:t>
      </w:r>
      <w:r>
        <w:rPr>
          <w:rFonts w:hint="eastAsia" w:ascii="宋体" w:hAnsi="宋体" w:eastAsia="宋体" w:cs="宋体"/>
          <w:color w:val="000000"/>
          <w:sz w:val="21"/>
          <w:szCs w:val="21"/>
          <w:highlight w:val="none"/>
          <w:lang w:val="en-US" w:eastAsia="zh-CN"/>
        </w:rPr>
        <w:t xml:space="preserve">第七</w:t>
      </w:r>
      <w:r>
        <w:rPr>
          <w:rFonts w:hint="eastAsia" w:ascii="宋体" w:hAnsi="宋体" w:eastAsia="宋体" w:cs="宋体"/>
          <w:color w:val="000000"/>
          <w:sz w:val="21"/>
          <w:szCs w:val="21"/>
          <w:highlight w:val="none"/>
        </w:rPr>
        <w:t xml:space="preserve">条规定承担工期延误的违约责任。</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结算审计核减率超过10%以上部分的审计费由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承担，审计费用按核减额的4%计取。</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合同双方不得以贿赂或变相贿赂的方式，谋取非法利益或损害对方权益。因一方合同当事人的贿赂造成对方损失的，应赔偿损失，并承担相应的法律责任</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争议解决</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合同履行过程中发生争议的，双方可协商解决；协商不成时，任何一方均可向该</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所在地人民法院起诉。</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合同效力</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本合同自双方签字盖章之日起生效。本合同一式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份，具有同等法律效力</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6"/>
        <w:gridCol w:w="4678"/>
      </w:tblGrid>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w:t>
            </w:r>
            <w:r>
              <w:rPr>
                <w:rFonts w:hint="eastAsia" w:ascii="宋体" w:hAnsi="宋体" w:eastAsia="宋体" w:cs="宋体"/>
                <w:color w:val="000000"/>
                <w:sz w:val="21"/>
                <w:szCs w:val="21"/>
                <w:highlight w:val="none"/>
              </w:rPr>
            </w:r>
            <w:r/>
          </w:p>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乙方（盖章）：</w:t>
            </w:r>
            <w:r>
              <w:rPr>
                <w:rFonts w:hint="eastAsia" w:ascii="宋体" w:hAnsi="宋体" w:eastAsia="宋体" w:cs="宋体"/>
                <w:color w:val="000000"/>
                <w:sz w:val="21"/>
                <w:szCs w:val="21"/>
                <w:highlight w:val="none"/>
              </w:rPr>
            </w:r>
            <w:r/>
          </w:p>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20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              </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723"/>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r>
    </w:tbl>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lang w:eastAsia="zh-CN"/>
        </w:rPr>
        <w:t xml:space="preserve">工程质量保修书</w:t>
      </w:r>
      <w:r>
        <w:rPr>
          <w:rFonts w:hint="eastAsia" w:ascii="宋体" w:hAnsi="宋体" w:eastAsia="宋体" w:cs="宋体"/>
          <w:color w:val="000000"/>
          <w:sz w:val="21"/>
          <w:szCs w:val="21"/>
          <w:highlight w:val="none"/>
        </w:rPr>
      </w:r>
      <w:r/>
    </w:p>
    <w:p>
      <w:pPr>
        <w:pStyle w:val="723"/>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3"/>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发包人</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r>
      <w:r/>
    </w:p>
    <w:p>
      <w:pPr>
        <w:pStyle w:val="723"/>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承包人</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2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发包人和承包人根据《中华人民共和国建筑法》和《建设工程质量管理条例》，经协商一致就</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（工程全称）签订工程质量保修书。</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一、工程质量保修范围和内容</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承包人在质量保修期内，按照有关法律规定和合同约定，承担工程质量保修责任。</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1"/>
          <w:szCs w:val="21"/>
          <w:highlight w:val="none"/>
        </w:rPr>
      </w:r>
      <w:r/>
    </w:p>
    <w:p>
      <w:pPr>
        <w:pStyle w:val="723"/>
        <w:jc w:val="left"/>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u w:val="single"/>
          <w:lang w:val="en-US" w:eastAsia="zh-CN"/>
        </w:rPr>
        <w:t xml:space="preserve">按合同中实际承包内容</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二、质量保修期</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根据《建设工程质量管理条例》及有关规定，工程的质量保修期如下：</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1．地基基础工程和主体结构工程为设计文件规定的工程合理使用年限；</w:t>
      </w:r>
      <w:r>
        <w:rPr>
          <w:rFonts w:hint="eastAsia"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屋面防水工程、有防水要求的卫生间、房间和外墙面的防渗</w:t>
      </w:r>
      <w:r>
        <w:rPr>
          <w:rFonts w:hint="eastAsia" w:ascii="宋体" w:hAnsi="宋体" w:eastAsia="宋体" w:cs="Times New Roman"/>
          <w:color w:val="000000"/>
          <w:sz w:val="21"/>
          <w:szCs w:val="21"/>
          <w:highlight w:val="none"/>
        </w:rPr>
        <w:t xml:space="preserve">为</w:t>
      </w:r>
      <w:r>
        <w:rPr>
          <w:rFonts w:hint="eastAsia" w:ascii="宋体" w:hAnsi="宋体" w:eastAsia="宋体" w:cs="Times New Roman"/>
          <w:color w:val="000000"/>
          <w:sz w:val="21"/>
          <w:szCs w:val="21"/>
          <w:highlight w:val="none"/>
          <w:u w:val="single"/>
        </w:rPr>
        <w:t xml:space="preserve">  5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ascii="宋体" w:hAnsi="宋体" w:eastAsia="宋体" w:cs="Times New Roman"/>
          <w:color w:val="000000"/>
          <w:sz w:val="21"/>
          <w:szCs w:val="21"/>
          <w:highlight w:val="none"/>
        </w:rPr>
        <w:t xml:space="preserve">装修工程为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电气管线、给排水管道、设备安装工程为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t xml:space="preserve">供热与供冷系统为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个采暖期、供冷期；</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住宅小区内的给排水设施、道路等配套工程为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ascii="宋体" w:hAnsi="宋体" w:eastAsia="宋体" w:cs="Times New Roman"/>
          <w:color w:val="000000"/>
          <w:sz w:val="21"/>
          <w:szCs w:val="21"/>
          <w:highlight w:val="none"/>
        </w:rPr>
        <w:t xml:space="preserve">其他项目保修期限约定如下：</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本工程质量</w:t>
      </w:r>
      <w:r>
        <w:rPr>
          <w:rFonts w:hint="eastAsia" w:ascii="宋体" w:hAnsi="宋体" w:eastAsia="宋体" w:cs="Times New Roman"/>
          <w:color w:val="000000"/>
          <w:sz w:val="21"/>
          <w:szCs w:val="21"/>
          <w:highlight w:val="none"/>
          <w:u w:val="single"/>
          <w:lang w:eastAsia="zh-CN"/>
        </w:rPr>
        <w:t xml:space="preserve">保修期</w:t>
      </w:r>
      <w:r>
        <w:rPr>
          <w:rFonts w:hint="eastAsia" w:ascii="宋体" w:hAnsi="宋体" w:eastAsia="宋体" w:cs="Times New Roman"/>
          <w:color w:val="000000"/>
          <w:sz w:val="21"/>
          <w:szCs w:val="21"/>
          <w:highlight w:val="none"/>
          <w:u w:val="single"/>
        </w:rPr>
        <w:t xml:space="preserve">为 2 年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质量保修期自工程竣工验收合格之日起计算。</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三、缺陷责任期</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工程缺陷责任期为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24</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个月，缺陷责任期自工程</w:t>
      </w:r>
      <w:r>
        <w:rPr>
          <w:rFonts w:hint="eastAsia" w:ascii="宋体" w:hAnsi="宋体" w:eastAsia="宋体" w:cs="Times New Roman"/>
          <w:color w:val="000000"/>
          <w:sz w:val="21"/>
          <w:szCs w:val="21"/>
          <w:highlight w:val="none"/>
        </w:rPr>
        <w:t xml:space="preserve">通过竣工验收</w:t>
      </w:r>
      <w:r>
        <w:rPr>
          <w:rFonts w:ascii="宋体" w:hAnsi="宋体" w:eastAsia="宋体" w:cs="Times New Roman"/>
          <w:color w:val="000000"/>
          <w:sz w:val="21"/>
          <w:szCs w:val="21"/>
          <w:highlight w:val="none"/>
        </w:rPr>
        <w:t xml:space="preserve">之日起计算。单位工程先于全部工程进行验收，单位工程缺陷责任期自单位工程验收合格之日起算。</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缺陷责任期终止后，发包人应退还剩余的质量保证金。</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四、质量保修责任</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hint="eastAsia"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2．发生紧急事故需抢修的，承包人在接到事故通知后，应当立即到达事故现场抢修。</w:t>
      </w:r>
      <w:r>
        <w:rPr>
          <w:rFonts w:hint="eastAsia"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．质量保修完成后，由发包人组织验收。</w:t>
      </w:r>
      <w:r>
        <w:rPr>
          <w:rFonts w:hint="eastAsia"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五、保修费用</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保修费用由造成质量缺陷的责任方承担。</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六、双方约定的其他工程质量保修事项：</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无</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723"/>
        <w:ind w:firstLine="480"/>
        <w:pageBreakBefore w:val="0"/>
        <w:spacing w:line="360" w:lineRule="auto"/>
        <w:widowControl w:val="off"/>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工程质量保修书由发包人、承包人共同签署，作为施工合同附件，其有效期限至保修期满。</w:t>
      </w:r>
      <w:r>
        <w:rPr>
          <w:rFonts w:hint="eastAsia" w:ascii="宋体" w:hAnsi="宋体" w:eastAsia="宋体" w:cs="Times New Roman"/>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                        承  包  人：                     </w:t>
      </w:r>
      <w:r>
        <w:rPr>
          <w:rFonts w:hint="eastAsia" w:ascii="宋体" w:hAnsi="宋体" w:eastAsia="宋体" w:cs="宋体"/>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                            （盖章）</w:t>
      </w:r>
      <w:r>
        <w:rPr>
          <w:rFonts w:hint="eastAsia" w:ascii="宋体" w:hAnsi="宋体" w:eastAsia="宋体" w:cs="宋体"/>
          <w:color w:val="000000"/>
          <w:sz w:val="21"/>
          <w:szCs w:val="21"/>
          <w:highlight w:val="none"/>
        </w:rPr>
      </w:r>
      <w:r/>
    </w:p>
    <w:p>
      <w:pPr>
        <w:pStyle w:val="723"/>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            </w:t>
      </w:r>
      <w:r>
        <w:rPr>
          <w:rFonts w:hint="eastAsia" w:ascii="宋体" w:hAnsi="宋体" w:eastAsia="宋体" w:cs="宋体"/>
          <w:color w:val="000000"/>
          <w:sz w:val="21"/>
          <w:szCs w:val="21"/>
          <w:highlight w:val="none"/>
        </w:rPr>
      </w:r>
      <w:r/>
    </w:p>
    <w:p>
      <w:pPr>
        <w:pStyle w:val="723"/>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（签字或盖章）                      （签字或盖章）</w:t>
      </w:r>
      <w:r>
        <w:rPr>
          <w:rFonts w:hint="eastAsia" w:ascii="宋体" w:hAnsi="宋体" w:eastAsia="宋体" w:cs="宋体"/>
          <w:color w:val="000000"/>
          <w:sz w:val="21"/>
          <w:szCs w:val="21"/>
          <w:highlight w:val="none"/>
        </w:rPr>
      </w:r>
      <w:r/>
    </w:p>
    <w:p>
      <w:pPr>
        <w:pStyle w:val="723"/>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3"/>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  办  人：                        经  办  人：  </w:t>
      </w:r>
      <w:r>
        <w:rPr>
          <w:rFonts w:hint="eastAsia" w:ascii="宋体" w:hAnsi="宋体" w:eastAsia="宋体" w:cs="宋体"/>
          <w:color w:val="000000"/>
          <w:sz w:val="21"/>
          <w:szCs w:val="21"/>
          <w:highlight w:val="none"/>
        </w:rPr>
      </w:r>
      <w:r/>
    </w:p>
    <w:p>
      <w:pPr>
        <w:pStyle w:val="723"/>
        <w:ind w:firstLine="3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723"/>
        <w:ind w:firstLine="36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28"/>
          <w:szCs w:val="28"/>
        </w:rPr>
      </w:pPr>
      <w:r>
        <w:rPr>
          <w:b/>
          <w:sz w:val="28"/>
          <w:szCs w:val="28"/>
        </w:rPr>
      </w:r>
      <w:r/>
    </w:p>
    <w:p>
      <w:pPr>
        <w:pStyle w:val="757"/>
        <w:jc w:val="center"/>
        <w:spacing w:line="360" w:lineRule="auto"/>
        <w:tabs>
          <w:tab w:val="center" w:pos="4677" w:leader="none"/>
        </w:tabs>
        <w:rPr>
          <w:b/>
          <w:sz w:val="36"/>
          <w:szCs w:val="36"/>
        </w:rPr>
      </w:pPr>
      <w:r>
        <w:rPr>
          <w:b/>
          <w:sz w:val="28"/>
          <w:szCs w:val="28"/>
        </w:rPr>
        <w:t xml:space="preserve">第六章   响应文件格式</w:t>
      </w:r>
      <w:bookmarkEnd w:id="647"/>
      <w:r>
        <w:rPr>
          <w:b/>
          <w:sz w:val="36"/>
          <w:szCs w:val="36"/>
        </w:rPr>
      </w:r>
      <w:r/>
    </w:p>
    <w:p>
      <w:pPr>
        <w:pStyle w:val="723"/>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pStyle w:val="723"/>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723"/>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723"/>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723"/>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723"/>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723"/>
        <w:ind w:left="142"/>
        <w:spacing w:line="360" w:lineRule="auto"/>
        <w:tabs>
          <w:tab w:val="left" w:pos="900" w:leader="none"/>
          <w:tab w:val="left" w:pos="1980" w:leader="none"/>
        </w:tabs>
        <w:rPr>
          <w:sz w:val="24"/>
        </w:rPr>
      </w:pPr>
      <w:r>
        <w:rPr>
          <w:sz w:val="24"/>
        </w:rPr>
      </w:r>
      <w:r/>
    </w:p>
    <w:p>
      <w:pPr>
        <w:pStyle w:val="723"/>
        <w:jc w:val="left"/>
        <w:widowControl/>
        <w:rPr>
          <w:sz w:val="24"/>
        </w:rPr>
      </w:pPr>
      <w:r>
        <w:rPr>
          <w:sz w:val="24"/>
        </w:rPr>
        <w:br w:type="page" w:clear="all"/>
      </w:r>
      <w:r>
        <w:rPr>
          <w:sz w:val="24"/>
        </w:rPr>
      </w:r>
      <w:r/>
    </w:p>
    <w:p>
      <w:pPr>
        <w:pStyle w:val="723"/>
        <w:rPr>
          <w:b/>
          <w:spacing w:val="20"/>
          <w:szCs w:val="21"/>
        </w:rPr>
      </w:pPr>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b/>
          <w:spacing w:val="20"/>
          <w:szCs w:val="21"/>
        </w:rPr>
      </w:r>
      <w:r/>
    </w:p>
    <w:p>
      <w:pPr>
        <w:pStyle w:val="723"/>
        <w:jc w:val="center"/>
        <w:rPr>
          <w:b/>
          <w:spacing w:val="20"/>
          <w:sz w:val="24"/>
        </w:rPr>
      </w:pPr>
      <w:r>
        <w:rPr>
          <w:b/>
          <w:spacing w:val="20"/>
          <w:sz w:val="24"/>
        </w:rPr>
      </w:r>
      <w:r/>
    </w:p>
    <w:p>
      <w:pPr>
        <w:pStyle w:val="723"/>
        <w:jc w:val="center"/>
        <w:rPr>
          <w:b/>
          <w:sz w:val="28"/>
          <w:szCs w:val="28"/>
        </w:rPr>
      </w:pPr>
      <w:r>
        <w:rPr>
          <w:b/>
          <w:spacing w:val="20"/>
          <w:sz w:val="28"/>
          <w:szCs w:val="28"/>
        </w:rPr>
        <w:t xml:space="preserve">响应文件</w:t>
      </w:r>
      <w:r>
        <w:rPr>
          <w:b/>
          <w:sz w:val="28"/>
          <w:szCs w:val="28"/>
        </w:rPr>
        <w:t xml:space="preserve">封面（非实质性格式）</w:t>
      </w:r>
      <w:r>
        <w:rPr>
          <w:b/>
          <w:sz w:val="28"/>
          <w:szCs w:val="28"/>
        </w:rPr>
      </w:r>
      <w:r/>
    </w:p>
    <w:p>
      <w:pPr>
        <w:pStyle w:val="723"/>
        <w:jc w:val="center"/>
        <w:rPr>
          <w:szCs w:val="21"/>
        </w:rPr>
      </w:pPr>
      <w:r>
        <w:rPr>
          <w:szCs w:val="21"/>
        </w:rPr>
      </w:r>
      <w:r/>
    </w:p>
    <w:p>
      <w:pPr>
        <w:pStyle w:val="723"/>
        <w:jc w:val="center"/>
        <w:rPr>
          <w:b/>
          <w:spacing w:val="60"/>
          <w:sz w:val="84"/>
          <w:szCs w:val="84"/>
        </w:rPr>
      </w:pPr>
      <w:r>
        <w:rPr>
          <w:b/>
          <w:spacing w:val="60"/>
          <w:sz w:val="84"/>
          <w:szCs w:val="84"/>
        </w:rPr>
      </w:r>
      <w:r/>
    </w:p>
    <w:p>
      <w:pPr>
        <w:pStyle w:val="723"/>
        <w:jc w:val="center"/>
        <w:rPr>
          <w:b/>
          <w:spacing w:val="60"/>
          <w:sz w:val="84"/>
          <w:szCs w:val="84"/>
        </w:rPr>
      </w:pPr>
      <w:r>
        <w:rPr>
          <w:b/>
          <w:spacing w:val="60"/>
          <w:sz w:val="84"/>
          <w:szCs w:val="84"/>
        </w:rPr>
        <w:t xml:space="preserve">响 应 文 件</w:t>
      </w:r>
      <w:r>
        <w:rPr>
          <w:b/>
          <w:spacing w:val="60"/>
          <w:sz w:val="84"/>
          <w:szCs w:val="84"/>
        </w:rPr>
      </w:r>
      <w:r/>
    </w:p>
    <w:p>
      <w:pPr>
        <w:pStyle w:val="723"/>
        <w:jc w:val="center"/>
        <w:rPr>
          <w:b/>
          <w:spacing w:val="60"/>
          <w:sz w:val="52"/>
          <w:szCs w:val="52"/>
        </w:rPr>
      </w:pPr>
      <w:r>
        <w:rPr>
          <w:b/>
          <w:spacing w:val="60"/>
          <w:sz w:val="52"/>
          <w:szCs w:val="52"/>
        </w:rPr>
      </w:r>
      <w:r/>
    </w:p>
    <w:p>
      <w:pPr>
        <w:pStyle w:val="723"/>
        <w:ind w:firstLine="542"/>
        <w:rPr>
          <w:b/>
          <w:spacing w:val="20"/>
          <w:sz w:val="32"/>
          <w:szCs w:val="32"/>
        </w:rPr>
      </w:pPr>
      <w:r>
        <w:rPr>
          <w:b/>
          <w:spacing w:val="20"/>
          <w:sz w:val="32"/>
          <w:szCs w:val="32"/>
        </w:rPr>
      </w:r>
      <w:r/>
    </w:p>
    <w:p>
      <w:pPr>
        <w:pStyle w:val="723"/>
        <w:ind w:firstLine="542"/>
        <w:rPr>
          <w:b/>
          <w:spacing w:val="20"/>
          <w:sz w:val="32"/>
          <w:szCs w:val="32"/>
        </w:rPr>
      </w:pPr>
      <w:r>
        <w:rPr>
          <w:b/>
          <w:spacing w:val="20"/>
          <w:sz w:val="32"/>
          <w:szCs w:val="32"/>
        </w:rPr>
      </w:r>
      <w:r/>
    </w:p>
    <w:p>
      <w:pPr>
        <w:pStyle w:val="723"/>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724"/>
      </w:pPr>
      <w:r/>
      <w:r/>
    </w:p>
    <w:p>
      <w:pPr>
        <w:pStyle w:val="72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24"/>
      </w:pPr>
      <w:r/>
      <w:r/>
    </w:p>
    <w:p>
      <w:pPr>
        <w:pStyle w:val="723"/>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u w:val="single"/>
        </w:rPr>
      </w:r>
      <w:r/>
    </w:p>
    <w:p>
      <w:pPr>
        <w:pStyle w:val="724"/>
      </w:pPr>
      <w:r/>
      <w:r/>
    </w:p>
    <w:p>
      <w:pPr>
        <w:pStyle w:val="7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23"/>
        <w:jc w:val="center"/>
        <w:rPr>
          <w:b/>
          <w:sz w:val="32"/>
          <w:szCs w:val="32"/>
        </w:rPr>
      </w:pPr>
      <w:r>
        <w:rPr>
          <w:b/>
          <w:sz w:val="32"/>
          <w:szCs w:val="32"/>
        </w:rPr>
      </w:r>
      <w:r/>
    </w:p>
    <w:p>
      <w:pPr>
        <w:pStyle w:val="723"/>
        <w:spacing w:line="360" w:lineRule="auto"/>
        <w:rPr>
          <w:rFonts w:hint="eastAsia" w:ascii="宋体" w:hAnsi="宋体" w:cs="宋体"/>
          <w:szCs w:val="21"/>
        </w:rPr>
      </w:pPr>
      <w:r>
        <w:rPr>
          <w:b/>
          <w:spacing w:val="20"/>
          <w:sz w:val="32"/>
          <w:szCs w:val="32"/>
        </w:rPr>
        <w:br w:type="page" w:clear="all"/>
      </w:r>
      <w:r>
        <w:rPr>
          <w:rFonts w:hint="eastAsia" w:ascii="宋体" w:hAnsi="宋体" w:cs="宋体"/>
          <w:szCs w:val="21"/>
        </w:rPr>
        <w:t xml:space="preserve">1 满足《中华人民共和国政府采购法》第二十二条规定及法律法规的其他规定</w:t>
      </w:r>
      <w:r>
        <w:rPr>
          <w:rFonts w:hint="eastAsia" w:ascii="宋体" w:hAnsi="宋体" w:cs="宋体"/>
          <w:szCs w:val="21"/>
        </w:rPr>
      </w:r>
      <w:r/>
    </w:p>
    <w:p>
      <w:pPr>
        <w:pStyle w:val="723"/>
        <w:spacing w:line="360" w:lineRule="auto"/>
        <w:tabs>
          <w:tab w:val="left" w:pos="900" w:leader="none"/>
          <w:tab w:val="left" w:pos="1980" w:leader="none"/>
        </w:tabs>
        <w:rPr>
          <w:rFonts w:hint="eastAsia" w:ascii="宋体" w:hAnsi="宋体" w:cs="宋体"/>
          <w:b/>
          <w:bCs/>
          <w:szCs w:val="21"/>
        </w:rPr>
      </w:pPr>
      <w:r>
        <w:rPr>
          <w:rFonts w:hint="eastAsia" w:ascii="宋体" w:hAnsi="宋体" w:cs="宋体"/>
          <w:b/>
          <w:bCs/>
          <w:szCs w:val="21"/>
        </w:rPr>
        <w:t xml:space="preserve">1-1 供应商资格声明函（实质性格式）</w:t>
      </w:r>
      <w:r>
        <w:rPr>
          <w:rFonts w:hint="eastAsia" w:ascii="宋体" w:hAnsi="宋体" w:cs="宋体"/>
          <w:b/>
          <w:bCs/>
          <w:szCs w:val="21"/>
        </w:rPr>
      </w:r>
      <w:r/>
    </w:p>
    <w:p>
      <w:pPr>
        <w:pStyle w:val="723"/>
        <w:jc w:val="center"/>
        <w:spacing w:before="120" w:line="360" w:lineRule="auto"/>
        <w:widowControl/>
        <w:rPr>
          <w:rFonts w:hint="eastAsia" w:ascii="宋体" w:hAnsi="宋体" w:cs="宋体"/>
          <w:sz w:val="24"/>
        </w:rPr>
      </w:pPr>
      <w:r>
        <w:rPr>
          <w:rFonts w:hint="eastAsia" w:ascii="宋体" w:hAnsi="宋体" w:cs="宋体"/>
          <w:b/>
          <w:sz w:val="24"/>
        </w:rPr>
        <w:t xml:space="preserve">供应商资格声明函</w:t>
      </w:r>
      <w:r>
        <w:rPr>
          <w:rFonts w:hint="eastAsia" w:ascii="宋体" w:hAnsi="宋体" w:cs="宋体"/>
          <w:sz w:val="24"/>
        </w:rPr>
      </w:r>
      <w:r/>
    </w:p>
    <w:p>
      <w:pPr>
        <w:pStyle w:val="738"/>
        <w:ind w:firstLine="480"/>
        <w:spacing w:line="460" w:lineRule="exact"/>
        <w:rPr>
          <w:rFonts w:hint="eastAsia"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rPr>
          <w:rFonts w:hint="eastAsia" w:hAnsi="宋体" w:cs="宋体"/>
          <w:sz w:val="21"/>
          <w:szCs w:val="21"/>
          <w:u w:val="single"/>
        </w:rPr>
      </w:r>
      <w:r/>
    </w:p>
    <w:p>
      <w:pPr>
        <w:pStyle w:val="738"/>
        <w:ind w:firstLine="480"/>
        <w:spacing w:line="460" w:lineRule="exact"/>
        <w:rPr>
          <w:rFonts w:hint="eastAsia" w:hAnsi="宋体" w:cs="宋体"/>
          <w:sz w:val="21"/>
          <w:szCs w:val="21"/>
        </w:rPr>
      </w:pP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按照《中华人民共和国政府采购法》第二十二条和磋商文件的规定，我单位郑重声明如下：</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二、我单位未被“国家企业信用信息系统”列入经营异常名录或者严重违法企业名单。</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四、我单位依法进行纳税和社会保险申报并实际履行了义务。</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七、我单位具备法律、行政法规规定的其他条件。</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十、我单位无以下不良信用记录情形：</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2、在“中国政府采购网”网站被列入政府采购严重违法失信行为记录名单；</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3、不符合《政府采购法》第二十二条规定的条件。</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                                            供应商：（加盖公章）</w:t>
      </w:r>
      <w:r>
        <w:rPr>
          <w:rFonts w:hint="eastAsia" w:hAnsi="宋体" w:cs="宋体"/>
          <w:sz w:val="21"/>
          <w:szCs w:val="21"/>
        </w:rPr>
      </w:r>
      <w:r/>
    </w:p>
    <w:p>
      <w:pPr>
        <w:pStyle w:val="738"/>
        <w:ind w:firstLine="480"/>
        <w:spacing w:line="460" w:lineRule="exact"/>
        <w:rPr>
          <w:rFonts w:hint="eastAsia" w:hAnsi="宋体" w:cs="宋体"/>
          <w:sz w:val="21"/>
          <w:szCs w:val="21"/>
        </w:rPr>
      </w:pPr>
      <w:r>
        <w:rPr>
          <w:rFonts w:hint="eastAsia" w:hAnsi="宋体" w:cs="宋体"/>
          <w:sz w:val="21"/>
          <w:szCs w:val="21"/>
        </w:rPr>
        <w:t xml:space="preserve">                                           法定代表人（或单位负责人）签字或盖章：</w:t>
      </w:r>
      <w:r>
        <w:rPr>
          <w:rFonts w:hint="eastAsia" w:hAnsi="宋体" w:cs="宋体"/>
          <w:sz w:val="21"/>
          <w:szCs w:val="21"/>
        </w:rPr>
      </w:r>
      <w:r/>
    </w:p>
    <w:p>
      <w:pPr>
        <w:pStyle w:val="738"/>
        <w:ind w:firstLine="4305"/>
        <w:spacing w:line="460" w:lineRule="exact"/>
        <w:rPr>
          <w:rFonts w:hint="eastAsia" w:hAnsi="宋体" w:cs="宋体"/>
          <w:sz w:val="21"/>
          <w:szCs w:val="21"/>
        </w:rPr>
      </w:pPr>
      <w:r>
        <w:rPr>
          <w:rFonts w:hint="eastAsia" w:hAnsi="宋体" w:cs="宋体"/>
          <w:sz w:val="21"/>
          <w:szCs w:val="21"/>
        </w:rPr>
        <w:t xml:space="preserve">日期：    年    月    日</w:t>
      </w:r>
      <w:r>
        <w:rPr>
          <w:rFonts w:hint="eastAsia" w:hAnsi="宋体" w:cs="宋体"/>
          <w:sz w:val="21"/>
          <w:szCs w:val="21"/>
        </w:rPr>
      </w:r>
      <w:r/>
    </w:p>
    <w:p>
      <w:pPr>
        <w:pStyle w:val="723"/>
        <w:spacing w:line="360" w:lineRule="auto"/>
        <w:rPr>
          <w:rFonts w:hint="eastAsia" w:ascii="宋体" w:hAnsi="宋体" w:cs="宋体"/>
          <w:szCs w:val="21"/>
        </w:rPr>
      </w:pPr>
      <w:r>
        <w:rPr>
          <w:rFonts w:hint="eastAsia" w:ascii="宋体" w:hAnsi="宋体" w:cs="宋体"/>
          <w:szCs w:val="21"/>
        </w:rPr>
      </w:r>
      <w:r/>
    </w:p>
    <w:p>
      <w:pPr>
        <w:pStyle w:val="723"/>
        <w:spacing w:line="360" w:lineRule="auto"/>
        <w:rPr>
          <w:rFonts w:hint="eastAsia" w:ascii="宋体" w:hAnsi="宋体" w:cs="宋体"/>
          <w:szCs w:val="21"/>
        </w:rPr>
      </w:pPr>
      <w:r>
        <w:rPr>
          <w:rFonts w:hint="eastAsia" w:ascii="宋体" w:hAnsi="宋体" w:cs="宋体"/>
          <w:szCs w:val="21"/>
        </w:rPr>
      </w:r>
      <w:r/>
    </w:p>
    <w:p>
      <w:pPr>
        <w:pStyle w:val="723"/>
        <w:spacing w:line="360" w:lineRule="auto"/>
        <w:rPr>
          <w:rFonts w:hint="eastAsia" w:ascii="宋体" w:hAnsi="宋体" w:cs="宋体"/>
          <w:szCs w:val="21"/>
        </w:rPr>
      </w:pPr>
      <w:r>
        <w:rPr>
          <w:rFonts w:hint="eastAsia" w:ascii="宋体" w:hAnsi="宋体" w:cs="宋体"/>
          <w:szCs w:val="21"/>
        </w:rPr>
      </w:r>
      <w:r/>
    </w:p>
    <w:p>
      <w:pPr>
        <w:pStyle w:val="723"/>
        <w:spacing w:line="360" w:lineRule="auto"/>
        <w:rPr>
          <w:rFonts w:hint="eastAsia"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rPr>
          <w:rFonts w:hint="eastAsia" w:ascii="宋体" w:hAnsi="宋体" w:cs="宋体"/>
          <w:szCs w:val="21"/>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rPr>
          <w:rFonts w:hint="eastAsia" w:ascii="宋体" w:hAnsi="宋体" w:cs="宋体"/>
          <w:szCs w:val="21"/>
        </w:rPr>
        <w:outlineLvl w:val="2"/>
      </w:pPr>
      <w:r>
        <w:rPr>
          <w:rFonts w:hint="eastAsia" w:ascii="宋体" w:hAnsi="宋体" w:cs="宋体"/>
          <w:szCs w:val="21"/>
        </w:rPr>
      </w:r>
      <w:r/>
    </w:p>
    <w:p>
      <w:pPr>
        <w:pStyle w:val="723"/>
        <w:spacing w:line="360" w:lineRule="auto"/>
        <w:tabs>
          <w:tab w:val="left" w:pos="900" w:leader="none"/>
          <w:tab w:val="left" w:pos="1980" w:leader="none"/>
        </w:tabs>
        <w:rPr>
          <w:rFonts w:hint="eastAsia" w:ascii="宋体" w:hAnsi="宋体" w:cs="宋体"/>
          <w:b/>
          <w:bCs/>
          <w:szCs w:val="21"/>
        </w:rPr>
      </w:pPr>
      <w:r>
        <w:rPr>
          <w:rFonts w:hint="eastAsia" w:ascii="宋体" w:hAnsi="宋体" w:cs="宋体"/>
          <w:b/>
          <w:bCs/>
          <w:szCs w:val="21"/>
        </w:rPr>
        <w:t xml:space="preserve">2 落实政府采购政策需满足的资格要求</w:t>
      </w:r>
      <w:r>
        <w:rPr>
          <w:rFonts w:hint="eastAsia" w:ascii="宋体" w:hAnsi="宋体" w:cs="宋体"/>
          <w:b/>
          <w:bCs/>
          <w:szCs w:val="21"/>
        </w:rPr>
      </w:r>
      <w:r/>
    </w:p>
    <w:p>
      <w:pPr>
        <w:pStyle w:val="723"/>
        <w:spacing w:line="360" w:lineRule="auto"/>
        <w:rPr>
          <w:rFonts w:hint="eastAsia" w:ascii="宋体" w:hAnsi="宋体" w:cs="宋体"/>
          <w:b/>
          <w:bCs/>
          <w:i/>
          <w:szCs w:val="21"/>
        </w:rPr>
        <w:outlineLvl w:val="2"/>
      </w:pPr>
      <w:r>
        <w:rPr>
          <w:rFonts w:hint="eastAsia" w:ascii="宋体" w:hAnsi="宋体" w:cs="宋体"/>
          <w:b/>
          <w:bCs/>
          <w:szCs w:val="21"/>
        </w:rPr>
        <w:t xml:space="preserve">2-1 中小企业声明函（实质性格式）</w:t>
      </w:r>
      <w:r>
        <w:rPr>
          <w:rFonts w:hint="eastAsia" w:ascii="宋体" w:hAnsi="宋体" w:cs="宋体"/>
          <w:b/>
          <w:bCs/>
          <w:i/>
          <w:szCs w:val="21"/>
        </w:rPr>
      </w:r>
      <w:r/>
    </w:p>
    <w:p>
      <w:pPr>
        <w:pStyle w:val="723"/>
        <w:spacing w:line="360" w:lineRule="auto"/>
        <w:rPr>
          <w:rFonts w:hint="eastAsia" w:ascii="宋体" w:hAnsi="宋体" w:cs="宋体"/>
          <w:szCs w:val="21"/>
        </w:rPr>
        <w:outlineLvl w:val="2"/>
      </w:pPr>
      <w:r>
        <w:rPr>
          <w:rFonts w:hint="eastAsia" w:ascii="宋体" w:hAnsi="宋体" w:cs="宋体"/>
          <w:szCs w:val="21"/>
        </w:rPr>
        <w:t xml:space="preserve">说明：</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（4）其它</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rPr>
          <w:rFonts w:hint="eastAsia" w:ascii="宋体" w:hAnsi="宋体" w:cs="宋体"/>
          <w:szCs w:val="21"/>
        </w:rPr>
      </w:r>
      <w:r/>
    </w:p>
    <w:p>
      <w:pPr>
        <w:pStyle w:val="72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Cs w:val="21"/>
        </w:rPr>
      </w:r>
      <w:r/>
    </w:p>
    <w:p>
      <w:pPr>
        <w:pStyle w:val="723"/>
        <w:jc w:val="center"/>
        <w:spacing w:before="240" w:after="240" w:line="360" w:lineRule="auto"/>
        <w:rPr>
          <w:rFonts w:hint="eastAsia" w:ascii="宋体" w:hAnsi="宋体" w:cs="宋体"/>
          <w:b/>
          <w:bCs/>
          <w:color w:val="000000"/>
          <w:sz w:val="36"/>
          <w:szCs w:val="36"/>
        </w:rPr>
      </w:pPr>
      <w:r>
        <w:rPr>
          <w:rFonts w:hint="eastAsia" w:ascii="宋体" w:hAnsi="宋体" w:cs="宋体"/>
          <w:szCs w:val="21"/>
        </w:rPr>
        <w:br w:type="page" w:clear="all"/>
      </w:r>
      <w:r>
        <w:rPr>
          <w:rFonts w:hint="eastAsia" w:ascii="宋体" w:hAnsi="宋体" w:cs="宋体"/>
          <w:b/>
          <w:color w:val="000000"/>
          <w:sz w:val="24"/>
        </w:rPr>
        <w:t xml:space="preserve">中小企业声明函（工程、服务）格式</w:t>
      </w:r>
      <w:r>
        <w:rPr>
          <w:rFonts w:hint="eastAsia" w:ascii="宋体" w:hAnsi="宋体" w:cs="宋体"/>
          <w:b/>
          <w:bCs/>
          <w:color w:val="000000"/>
          <w:sz w:val="36"/>
          <w:szCs w:val="36"/>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hint="eastAsia" w:ascii="宋体" w:hAnsi="宋体" w:cs="宋体"/>
          <w:spacing w:val="6"/>
          <w:szCs w:val="21"/>
        </w:rPr>
      </w:r>
      <w:r/>
    </w:p>
    <w:p>
      <w:pPr>
        <w:pStyle w:val="723"/>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hint="eastAsia" w:ascii="宋体" w:hAnsi="宋体" w:cs="宋体"/>
          <w:spacing w:val="6"/>
          <w:szCs w:val="21"/>
        </w:rPr>
      </w:r>
      <w:r/>
    </w:p>
    <w:p>
      <w:pPr>
        <w:pStyle w:val="723"/>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723"/>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rPr>
          <w:rFonts w:hint="eastAsia" w:ascii="宋体" w:hAnsi="宋体" w:cs="宋体"/>
          <w:color w:val="000000"/>
          <w:szCs w:val="21"/>
        </w:rPr>
      </w:r>
      <w:r/>
    </w:p>
    <w:p>
      <w:pPr>
        <w:pStyle w:val="723"/>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723"/>
        <w:jc w:val="left"/>
        <w:rPr>
          <w:rFonts w:hint="eastAsia" w:ascii="宋体" w:hAnsi="宋体" w:cs="宋体"/>
          <w:color w:val="000000"/>
          <w:szCs w:val="21"/>
        </w:rPr>
      </w:pPr>
      <w:r>
        <w:rPr>
          <w:rFonts w:hint="eastAsia" w:ascii="宋体" w:hAnsi="宋体" w:cs="宋体"/>
          <w:color w:val="000000"/>
          <w:szCs w:val="21"/>
        </w:rPr>
      </w:r>
      <w:r/>
    </w:p>
    <w:p>
      <w:pPr>
        <w:pStyle w:val="723"/>
        <w:jc w:val="left"/>
        <w:rPr>
          <w:rFonts w:hint="eastAsia" w:ascii="宋体" w:hAnsi="宋体" w:cs="宋体"/>
          <w:color w:val="000000"/>
          <w:szCs w:val="21"/>
        </w:rPr>
      </w:pPr>
      <w:r>
        <w:rPr>
          <w:rFonts w:hint="eastAsia"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23"/>
              <w:jc w:val="left"/>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tc>
      </w:tr>
    </w:tbl>
    <w:p>
      <w:pPr>
        <w:pStyle w:val="723"/>
        <w:spacing w:before="240" w:after="240" w:line="360" w:lineRule="auto"/>
        <w:rPr>
          <w:color w:val="000000"/>
          <w:sz w:val="24"/>
        </w:rPr>
      </w:pPr>
      <w:r>
        <w:rPr>
          <w:color w:val="000000"/>
          <w:sz w:val="24"/>
        </w:rPr>
      </w:r>
      <w:r/>
    </w:p>
    <w:p>
      <w:pPr>
        <w:pStyle w:val="723"/>
        <w:jc w:val="center"/>
        <w:spacing w:before="240" w:after="240" w:line="360" w:lineRule="auto"/>
        <w:rPr>
          <w:color w:val="000000"/>
          <w:sz w:val="36"/>
          <w:szCs w:val="36"/>
        </w:rPr>
      </w:pPr>
      <w:r>
        <w:rPr>
          <w:color w:val="000000"/>
          <w:sz w:val="24"/>
          <w:szCs w:val="20"/>
        </w:rPr>
        <w:br w:type="page" w:clear="all"/>
      </w:r>
      <w:r>
        <w:rPr>
          <w:rFonts w:hint="eastAsia"/>
          <w:b/>
          <w:color w:val="000000"/>
          <w:sz w:val="24"/>
        </w:rPr>
        <w:t xml:space="preserve">残疾人福利性单位声明函格式 </w:t>
      </w:r>
      <w:r>
        <w:rPr>
          <w:color w:val="000000"/>
          <w:sz w:val="36"/>
          <w:szCs w:val="36"/>
        </w:rPr>
      </w:r>
      <w:r/>
    </w:p>
    <w:p>
      <w:pPr>
        <w:pStyle w:val="72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72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72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72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72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72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72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72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723"/>
        <w:spacing w:line="360" w:lineRule="auto"/>
        <w:rPr>
          <w:b/>
          <w:color w:val="000000"/>
          <w:sz w:val="24"/>
        </w:rPr>
        <w:outlineLvl w:val="2"/>
      </w:pPr>
      <w:r>
        <w:rPr>
          <w:b/>
          <w:color w:val="000000"/>
          <w:sz w:val="24"/>
        </w:rPr>
      </w:r>
      <w:r/>
    </w:p>
    <w:p>
      <w:pPr>
        <w:pStyle w:val="723"/>
        <w:rPr>
          <w:color w:val="000000"/>
          <w:sz w:val="24"/>
          <w:szCs w:val="20"/>
        </w:rPr>
      </w:pPr>
      <w:r>
        <w:rPr>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rPr>
          <w:rFonts w:hint="eastAsia"/>
          <w:color w:val="000000"/>
          <w:sz w:val="24"/>
          <w:szCs w:val="20"/>
        </w:rPr>
      </w:pPr>
      <w:r>
        <w:rPr>
          <w:rFonts w:hint="eastAsia"/>
          <w:color w:val="000000"/>
          <w:sz w:val="24"/>
          <w:szCs w:val="20"/>
        </w:rPr>
      </w:r>
      <w:r/>
    </w:p>
    <w:p>
      <w:pPr>
        <w:pStyle w:val="723"/>
        <w:rPr>
          <w:rFonts w:hint="eastAsia"/>
          <w:color w:val="000000"/>
          <w:sz w:val="24"/>
          <w:szCs w:val="20"/>
        </w:rPr>
      </w:pPr>
      <w:r>
        <w:rPr>
          <w:rFonts w:hint="eastAsia"/>
          <w:color w:val="000000"/>
          <w:sz w:val="24"/>
          <w:szCs w:val="20"/>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rPr>
      </w:r>
      <w:r/>
    </w:p>
    <w:p>
      <w:pPr>
        <w:pStyle w:val="723"/>
        <w:spacing w:line="360" w:lineRule="auto"/>
        <w:rPr>
          <w:rFonts w:hint="eastAsia" w:ascii="宋体" w:hAnsi="宋体" w:cs="宋体"/>
          <w:b/>
          <w:bCs/>
          <w:sz w:val="24"/>
        </w:rPr>
      </w:pPr>
      <w:r/>
      <w:bookmarkStart w:id="648" w:name="_Toc226337253"/>
      <w:r/>
      <w:bookmarkStart w:id="649" w:name="_Toc142311059"/>
      <w:r/>
      <w:bookmarkStart w:id="650" w:name="_Toc150480795"/>
      <w:r/>
      <w:bookmarkStart w:id="651" w:name="_Toc226965747"/>
      <w:r/>
      <w:bookmarkStart w:id="652" w:name="_Toc195842922"/>
      <w:r/>
      <w:bookmarkStart w:id="653" w:name="_Toc520356218"/>
      <w:r/>
      <w:bookmarkStart w:id="654" w:name="_Toc305158825"/>
      <w:r/>
      <w:bookmarkStart w:id="655" w:name="_Toc264969247"/>
      <w:r/>
      <w:bookmarkStart w:id="656" w:name="_Toc305158899"/>
      <w:r/>
      <w:bookmarkStart w:id="657" w:name="_Toc226309801"/>
      <w:r/>
      <w:bookmarkStart w:id="658" w:name="_Toc265228395"/>
      <w:r/>
      <w:bookmarkStart w:id="659" w:name="_Toc226965830"/>
      <w:r/>
      <w:bookmarkStart w:id="660" w:name="_Toc150774762"/>
      <w:r/>
      <w:bookmarkStart w:id="661" w:name="_Toc127151557"/>
      <w:r/>
      <w:bookmarkStart w:id="662" w:name="_Toc480942350"/>
      <w:r/>
      <w:bookmarkStart w:id="663" w:name="_Ref467988705"/>
      <w:r>
        <w:rPr>
          <w:rFonts w:hint="eastAsia" w:ascii="宋体" w:hAnsi="宋体" w:cs="宋体"/>
          <w:b/>
          <w:bCs/>
          <w:sz w:val="24"/>
        </w:rPr>
      </w:r>
      <w:r/>
    </w:p>
    <w:p>
      <w:pPr>
        <w:pStyle w:val="723"/>
        <w:numPr>
          <w:ilvl w:val="0"/>
          <w:numId w:val="0"/>
        </w:numPr>
        <w:jc w:val="left"/>
        <w:spacing w:line="360" w:lineRule="auto"/>
        <w:widowControl/>
        <w:rPr>
          <w:rFonts w:hint="eastAsia" w:ascii="宋体" w:hAnsi="宋体" w:eastAsia="宋体" w:cs="宋体"/>
          <w:color w:val="000000"/>
          <w:sz w:val="21"/>
          <w:szCs w:val="21"/>
        </w:rPr>
      </w:pPr>
      <w:r>
        <w:rPr>
          <w:rFonts w:hint="eastAsia" w:ascii="宋体" w:hAnsi="宋体" w:eastAsia="宋体" w:cs="宋体"/>
          <w:b/>
          <w:bCs/>
          <w:sz w:val="24"/>
          <w:szCs w:val="24"/>
          <w:lang w:val="en-US" w:eastAsia="zh-CN" w:bidi="ar-SA"/>
        </w:rPr>
        <w:t xml:space="preserve">3、本项目的特定资格要求</w:t>
      </w:r>
      <w:r>
        <w:rPr>
          <w:rFonts w:hint="eastAsia" w:ascii="宋体" w:hAnsi="宋体" w:eastAsia="宋体" w:cs="宋体"/>
          <w:color w:val="000000"/>
          <w:sz w:val="21"/>
          <w:szCs w:val="21"/>
        </w:rPr>
      </w:r>
      <w:r/>
    </w:p>
    <w:p>
      <w:pPr>
        <w:pStyle w:val="723"/>
        <w:ind w:firstLine="420"/>
        <w:keepLines w:val="0"/>
        <w:keepNext w:val="0"/>
        <w:pageBreakBefore w:val="0"/>
        <w:spacing w:line="360" w:lineRule="auto"/>
        <w:rPr>
          <w:rFonts w:hint="eastAsia" w:ascii="宋体" w:hAnsi="宋体" w:eastAsia="宋体" w:cs="宋体"/>
          <w:sz w:val="21"/>
          <w:szCs w:val="21"/>
          <w:highlight w:val="none"/>
          <w:shd w:val="clear" w:color="auto" w:fill="ffffff"/>
          <w:lang w:val="zh-TW" w:eastAsia="zh-CN" w:bidi="ar-SA"/>
        </w:rPr>
      </w:pPr>
      <w:r>
        <w:rPr>
          <w:rFonts w:hint="eastAsia" w:ascii="宋体" w:hAnsi="宋体" w:eastAsia="宋体" w:cs="宋体"/>
          <w:sz w:val="21"/>
          <w:szCs w:val="21"/>
          <w:highlight w:val="none"/>
          <w:shd w:val="clear" w:color="auto" w:fill="ffffff"/>
          <w:lang w:val="en-US" w:eastAsia="zh-CN" w:bidi="ar-SA"/>
        </w:rPr>
        <w:t xml:space="preserve">3.1供应商</w:t>
      </w:r>
      <w:r>
        <w:rPr>
          <w:rFonts w:hint="eastAsia" w:ascii="宋体" w:hAnsi="宋体" w:eastAsia="宋体" w:cs="宋体"/>
          <w:sz w:val="21"/>
          <w:szCs w:val="21"/>
          <w:highlight w:val="none"/>
          <w:shd w:val="clear" w:color="auto" w:fill="ffffff"/>
          <w:lang w:val="zh-TW" w:eastAsia="zh-CN" w:bidi="ar-SA"/>
        </w:rPr>
        <w:t xml:space="preserve">拟派项目负责人须具备林业或园林绿化专业中级（含）以上工程师职称，并承诺投标截止时未在其他项目担任项目负责人岗位（提供加盖单位公章的项目负责人无在建岗位承诺书（格式自拟））；如职称证书未反映林业或园林绿化相关专业，须提供林业或园林绿化专业毕业证书或者职称评审表佐证。</w:t>
      </w:r>
      <w:r>
        <w:rPr>
          <w:rFonts w:hint="eastAsia" w:ascii="宋体" w:hAnsi="宋体" w:eastAsia="宋体" w:cs="宋体"/>
          <w:sz w:val="21"/>
          <w:szCs w:val="21"/>
          <w:highlight w:val="none"/>
          <w:shd w:val="clear" w:color="auto" w:fill="ffffff"/>
          <w:lang w:val="zh-TW" w:eastAsia="zh-CN" w:bidi="ar-SA"/>
        </w:rPr>
      </w:r>
      <w:r/>
    </w:p>
    <w:p>
      <w:pPr>
        <w:pStyle w:val="723"/>
        <w:ind w:firstLine="420"/>
        <w:keepLines w:val="0"/>
        <w:keepNext w:val="0"/>
        <w:pageBreakBefore w:val="0"/>
        <w:spacing w:line="360" w:lineRule="auto"/>
        <w:rPr>
          <w:rFonts w:hint="eastAsia" w:ascii="宋体" w:hAnsi="宋体" w:eastAsia="宋体" w:cs="宋体"/>
          <w:sz w:val="21"/>
          <w:szCs w:val="21"/>
          <w:highlight w:val="none"/>
          <w:shd w:val="clear" w:color="auto" w:fill="ffffff"/>
          <w:lang w:val="zh-TW" w:eastAsia="zh-CN" w:bidi="ar-SA"/>
        </w:rPr>
      </w:pPr>
      <w:r>
        <w:rPr>
          <w:rFonts w:hint="eastAsia" w:ascii="宋体" w:hAnsi="宋体" w:eastAsia="宋体" w:cs="宋体"/>
          <w:sz w:val="21"/>
          <w:szCs w:val="21"/>
          <w:highlight w:val="none"/>
          <w:shd w:val="clear" w:color="auto" w:fill="ffffff"/>
          <w:lang w:val="en-US" w:eastAsia="zh-CN" w:bidi="ar-SA"/>
        </w:rPr>
        <w:t xml:space="preserve">3.2</w:t>
      </w:r>
      <w:r>
        <w:rPr>
          <w:rFonts w:hint="eastAsia" w:ascii="宋体" w:hAnsi="宋体" w:eastAsia="宋体" w:cs="宋体"/>
          <w:sz w:val="21"/>
          <w:szCs w:val="21"/>
          <w:highlight w:val="none"/>
          <w:shd w:val="clear" w:color="auto" w:fill="ffffff"/>
          <w:lang w:val="zh-TW" w:eastAsia="zh-CN" w:bidi="ar-SA"/>
        </w:rPr>
        <w:t xml:space="preserve">项目负责人须为供应商在职人员，提供供应商近</w:t>
      </w:r>
      <w:r>
        <w:rPr>
          <w:rFonts w:hint="eastAsia" w:ascii="宋体" w:hAnsi="宋体" w:eastAsia="宋体" w:cs="宋体"/>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shd w:val="clear" w:color="auto" w:fill="ffffff"/>
          <w:lang w:val="zh-TW" w:eastAsia="zh-CN" w:bidi="ar-SA"/>
        </w:rPr>
        <w:t xml:space="preserve">个月为其缴纳的社保证明。</w:t>
      </w:r>
      <w:r>
        <w:rPr>
          <w:rFonts w:hint="eastAsia" w:ascii="宋体" w:hAnsi="宋体" w:eastAsia="宋体" w:cs="宋体"/>
          <w:sz w:val="21"/>
          <w:szCs w:val="21"/>
          <w:highlight w:val="none"/>
          <w:shd w:val="clear" w:color="auto" w:fill="ffffff"/>
          <w:lang w:val="zh-TW" w:eastAsia="zh-CN" w:bidi="ar-SA"/>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color w:val="000000"/>
          <w:sz w:val="24"/>
          <w:szCs w:val="20"/>
        </w:rPr>
        <w:outlineLvl w:val="2"/>
      </w:pPr>
      <w:r>
        <w:rPr>
          <w:color w:val="000000"/>
          <w:sz w:val="24"/>
          <w:szCs w:val="20"/>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57"/>
        <w:tabs>
          <w:tab w:val="left" w:pos="567" w:leader="none"/>
        </w:tabs>
        <w:rPr>
          <w:rFonts w:hint="eastAsia" w:ascii="宋体" w:hAnsi="宋体" w:cs="宋体"/>
          <w:b/>
          <w:bCs/>
          <w:sz w:val="24"/>
          <w:lang w:val="en-US" w:eastAsia="zh-CN"/>
        </w:rPr>
      </w:pPr>
      <w:r>
        <w:rPr>
          <w:rFonts w:hint="eastAsia" w:ascii="宋体" w:hAnsi="宋体" w:cs="宋体"/>
          <w:b/>
          <w:bCs/>
          <w:sz w:val="24"/>
          <w:lang w:val="en-US" w:eastAsia="zh-CN"/>
        </w:rPr>
      </w:r>
      <w:r/>
    </w:p>
    <w:p>
      <w:pPr>
        <w:pStyle w:val="723"/>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line="360" w:lineRule="auto"/>
        <w:rPr>
          <w:color w:val="000000"/>
          <w:sz w:val="24"/>
          <w:szCs w:val="20"/>
        </w:rPr>
      </w:pPr>
      <w:r>
        <w:rPr>
          <w:rFonts w:hint="eastAsia" w:ascii="宋体" w:hAnsi="宋体" w:cs="宋体"/>
          <w:b/>
          <w:bCs/>
          <w:sz w:val="24"/>
          <w:lang w:val="en-US" w:eastAsia="zh-CN"/>
        </w:rPr>
        <w:t xml:space="preserve">4</w:t>
      </w:r>
      <w:r>
        <w:rPr>
          <w:rFonts w:hint="eastAsia" w:ascii="宋体" w:hAnsi="宋体" w:cs="宋体"/>
          <w:b/>
          <w:bCs/>
          <w:sz w:val="24"/>
        </w:rPr>
        <w:t xml:space="preserve">、响应函（实质性格式）</w:t>
      </w:r>
      <w:r>
        <w:rPr>
          <w:color w:val="000000"/>
          <w:sz w:val="24"/>
          <w:szCs w:val="20"/>
        </w:rPr>
      </w:r>
      <w:r/>
    </w:p>
    <w:p>
      <w:pPr>
        <w:pStyle w:val="723"/>
        <w:spacing w:line="360" w:lineRule="auto"/>
        <w:tabs>
          <w:tab w:val="left" w:pos="5580" w:leader="none"/>
        </w:tabs>
        <w:rPr>
          <w:color w:val="000000"/>
          <w:sz w:val="24"/>
        </w:rPr>
      </w:pPr>
      <w:r>
        <w:rPr>
          <w:color w:val="000000"/>
          <w:sz w:val="24"/>
        </w:rPr>
      </w:r>
      <w:r/>
    </w:p>
    <w:p>
      <w:pPr>
        <w:pStyle w:val="723"/>
        <w:jc w:val="center"/>
        <w:spacing w:line="360" w:lineRule="auto"/>
        <w:rPr>
          <w:b/>
          <w:color w:val="000000"/>
          <w:sz w:val="24"/>
        </w:rPr>
      </w:pPr>
      <w:r>
        <w:rPr>
          <w:rFonts w:hint="eastAsia"/>
          <w:b/>
          <w:color w:val="000000"/>
          <w:sz w:val="24"/>
        </w:rPr>
        <w:t xml:space="preserve">响应函</w:t>
      </w:r>
      <w:r>
        <w:rPr>
          <w:b/>
          <w:color w:val="000000"/>
          <w:sz w:val="24"/>
        </w:rPr>
      </w:r>
      <w:r/>
    </w:p>
    <w:p>
      <w:pPr>
        <w:pStyle w:val="723"/>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rPr>
          <w:rFonts w:hint="eastAsia" w:ascii="宋体" w:hAnsi="宋体" w:cs="宋体"/>
          <w:color w:val="000000"/>
          <w:szCs w:val="21"/>
        </w:rPr>
      </w:r>
      <w:r/>
    </w:p>
    <w:p>
      <w:pPr>
        <w:pStyle w:val="723"/>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723"/>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rPr>
          <w:rFonts w:hint="eastAsia" w:ascii="宋体" w:hAnsi="宋体" w:cs="宋体"/>
          <w:color w:val="000000"/>
          <w:szCs w:val="21"/>
        </w:rPr>
      </w:r>
      <w:r/>
    </w:p>
    <w:p>
      <w:pPr>
        <w:pStyle w:val="723"/>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rPr>
          <w:rFonts w:hint="eastAsia" w:ascii="宋体" w:hAnsi="宋体" w:cs="宋体"/>
          <w:color w:val="000000"/>
          <w:szCs w:val="21"/>
        </w:rPr>
      </w:r>
      <w:r/>
    </w:p>
    <w:p>
      <w:pPr>
        <w:pStyle w:val="723"/>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rPr>
          <w:rFonts w:hint="eastAsia" w:ascii="宋体" w:hAnsi="宋体" w:cs="宋体"/>
          <w:color w:val="000000"/>
          <w:szCs w:val="21"/>
        </w:rPr>
      </w:r>
      <w:r/>
    </w:p>
    <w:p>
      <w:pPr>
        <w:pStyle w:val="723"/>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rPr>
          <w:rFonts w:hint="eastAsia" w:ascii="宋体" w:hAnsi="宋体" w:cs="宋体"/>
          <w:color w:val="000000"/>
          <w:szCs w:val="21"/>
        </w:rPr>
      </w:r>
      <w:r/>
    </w:p>
    <w:p>
      <w:pPr>
        <w:pStyle w:val="723"/>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rPr>
          <w:rFonts w:hint="eastAsia" w:ascii="宋体" w:hAnsi="宋体" w:cs="宋体"/>
          <w:color w:val="000000"/>
          <w:szCs w:val="21"/>
        </w:rPr>
      </w:r>
      <w:r/>
    </w:p>
    <w:p>
      <w:pPr>
        <w:pStyle w:val="723"/>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Cs w:val="21"/>
        </w:rPr>
      </w:r>
      <w:r/>
    </w:p>
    <w:p>
      <w:pPr>
        <w:pStyle w:val="723"/>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rPr>
          <w:rFonts w:hint="eastAsia" w:ascii="宋体" w:hAnsi="宋体" w:cs="宋体"/>
          <w:color w:val="000000"/>
          <w:szCs w:val="21"/>
        </w:rPr>
      </w:r>
      <w:r/>
    </w:p>
    <w:p>
      <w:pPr>
        <w:pStyle w:val="723"/>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与本响应有关的一切正式往来信函请寄：</w:t>
      </w: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供应商名称（加盖公章） ___________</w:t>
      </w: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日期：_____年______月______日    </w:t>
      </w:r>
      <w:r>
        <w:rPr>
          <w:rFonts w:hint="eastAsia" w:ascii="宋体" w:hAnsi="宋体" w:cs="宋体"/>
          <w:color w:val="000000"/>
          <w:szCs w:val="21"/>
        </w:rPr>
      </w:r>
      <w:r/>
    </w:p>
    <w:p>
      <w:pPr>
        <w:pStyle w:val="723"/>
        <w:ind w:left="420"/>
        <w:spacing w:line="360" w:lineRule="auto"/>
        <w:tabs>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723"/>
        <w:jc w:val="left"/>
        <w:widowControl/>
        <w:rPr>
          <w:rFonts w:hint="eastAsia" w:ascii="宋体" w:hAnsi="宋体" w:cs="宋体"/>
          <w:b/>
          <w:bCs/>
          <w:sz w:val="24"/>
        </w:rPr>
      </w:pPr>
      <w:r/>
      <w:bookmarkStart w:id="664" w:name="_Hlt520356243"/>
      <w:r/>
      <w:bookmarkEnd w:id="664"/>
      <w:r/>
      <w:bookmarkStart w:id="665" w:name="_Hlt520355938"/>
      <w:r/>
      <w:bookmarkEnd w:id="665"/>
      <w:r>
        <w:rPr>
          <w:color w:val="000000"/>
          <w:sz w:val="24"/>
        </w:rPr>
        <w:br w:type="page" w:clear="all"/>
      </w:r>
      <w:r>
        <w:rPr>
          <w:rFonts w:hint="eastAsia" w:ascii="宋体" w:hAnsi="宋体" w:cs="宋体"/>
          <w:b/>
          <w:bCs/>
          <w:sz w:val="24"/>
          <w:lang w:val="en-US" w:eastAsia="zh-CN"/>
        </w:rPr>
        <w:t xml:space="preserve">5</w:t>
      </w:r>
      <w:r>
        <w:rPr>
          <w:rFonts w:hint="eastAsia" w:ascii="宋体" w:hAnsi="宋体" w:cs="宋体"/>
          <w:b/>
          <w:bCs/>
          <w:sz w:val="24"/>
        </w:rPr>
        <w:t xml:space="preserve">、法定代表人资格证明书（实质性格式）</w:t>
      </w:r>
      <w:r>
        <w:rPr>
          <w:rFonts w:hint="eastAsia" w:ascii="宋体" w:hAnsi="宋体" w:cs="宋体"/>
          <w:b/>
          <w:bCs/>
          <w:sz w:val="24"/>
        </w:rPr>
      </w:r>
      <w:r/>
    </w:p>
    <w:p>
      <w:pPr>
        <w:pStyle w:val="723"/>
        <w:jc w:val="center"/>
        <w:spacing w:line="360" w:lineRule="auto"/>
        <w:rPr>
          <w:rFonts w:hint="eastAsia" w:ascii="宋体" w:hAnsi="宋体"/>
          <w:b/>
          <w:sz w:val="32"/>
          <w:szCs w:val="32"/>
        </w:rPr>
      </w:pPr>
      <w:r>
        <w:rPr>
          <w:rFonts w:hint="eastAsia" w:ascii="宋体" w:hAnsi="宋体"/>
          <w:b/>
          <w:sz w:val="32"/>
          <w:szCs w:val="32"/>
        </w:rPr>
      </w:r>
      <w:r/>
    </w:p>
    <w:p>
      <w:pPr>
        <w:pStyle w:val="723"/>
        <w:jc w:val="center"/>
        <w:spacing w:line="360" w:lineRule="auto"/>
        <w:rPr>
          <w:rFonts w:hint="eastAsia"/>
          <w:b/>
          <w:color w:val="000000"/>
          <w:sz w:val="24"/>
        </w:rPr>
      </w:pPr>
      <w:r>
        <w:rPr>
          <w:rFonts w:hint="eastAsia"/>
          <w:b/>
          <w:color w:val="000000"/>
          <w:sz w:val="24"/>
        </w:rPr>
        <w:t xml:space="preserve">法定代表人资格证明书</w:t>
      </w:r>
      <w:r>
        <w:rPr>
          <w:rFonts w:hint="eastAsia"/>
          <w:b/>
          <w:color w:val="000000"/>
          <w:sz w:val="24"/>
        </w:rPr>
      </w:r>
      <w:r/>
    </w:p>
    <w:p>
      <w:pPr>
        <w:pStyle w:val="723"/>
        <w:spacing w:line="560" w:lineRule="exact"/>
        <w:rPr>
          <w:rFonts w:hint="eastAsia" w:ascii="宋体" w:hAnsi="宋体"/>
          <w:szCs w:val="21"/>
        </w:rPr>
      </w:pPr>
      <w:r>
        <w:rPr>
          <w:rFonts w:hint="eastAsia" w:ascii="宋体" w:hAnsi="宋体"/>
          <w:szCs w:val="21"/>
        </w:rPr>
        <w:t xml:space="preserve">单位名称：</w:t>
      </w:r>
      <w:r>
        <w:rPr>
          <w:rFonts w:hint="eastAsia" w:ascii="宋体" w:hAnsi="宋体"/>
          <w:szCs w:val="21"/>
        </w:rPr>
      </w:r>
      <w:r/>
    </w:p>
    <w:p>
      <w:pPr>
        <w:pStyle w:val="723"/>
        <w:spacing w:line="56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723"/>
        <w:spacing w:line="560" w:lineRule="exact"/>
        <w:rPr>
          <w:rFonts w:hint="eastAsia" w:ascii="宋体" w:hAnsi="宋体"/>
          <w:szCs w:val="21"/>
        </w:rPr>
      </w:pPr>
      <w:r>
        <w:rPr>
          <w:rFonts w:hint="eastAsia" w:ascii="宋体" w:hAnsi="宋体"/>
          <w:szCs w:val="21"/>
        </w:rPr>
        <w:t xml:space="preserve">姓名：     性别：       年龄：      职务：</w:t>
      </w:r>
      <w:r>
        <w:rPr>
          <w:rFonts w:hint="eastAsia" w:ascii="宋体" w:hAnsi="宋体"/>
          <w:szCs w:val="21"/>
        </w:rPr>
      </w:r>
      <w:r/>
    </w:p>
    <w:p>
      <w:pPr>
        <w:pStyle w:val="72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72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723"/>
        <w:spacing w:line="560" w:lineRule="exact"/>
        <w:rPr>
          <w:rFonts w:ascii="宋体" w:hAnsi="宋体"/>
          <w:szCs w:val="21"/>
        </w:rPr>
      </w:pPr>
      <w:r>
        <w:rPr>
          <w:rFonts w:ascii="宋体" w:hAnsi="宋体"/>
          <w:szCs w:val="21"/>
        </w:rPr>
      </w:r>
      <w:r/>
    </w:p>
    <w:p>
      <w:pPr>
        <w:pStyle w:val="757"/>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723"/>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723"/>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723"/>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72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723"/>
        <w:jc w:val="left"/>
        <w:widowControl/>
        <w:rPr>
          <w:rFonts w:hint="eastAsia"/>
          <w:color w:val="000000"/>
          <w:szCs w:val="21"/>
        </w:rPr>
      </w:pPr>
      <w:r>
        <w:rPr>
          <w:rFonts w:hint="eastAsia"/>
          <w:color w:val="000000"/>
          <w:szCs w:val="21"/>
        </w:rPr>
      </w:r>
      <w:r/>
    </w:p>
    <w:p>
      <w:pPr>
        <w:pStyle w:val="723"/>
        <w:jc w:val="left"/>
        <w:widowControl/>
        <w:rPr>
          <w:rFonts w:hint="eastAsia"/>
          <w:color w:val="000000"/>
          <w:szCs w:val="21"/>
        </w:rPr>
      </w:pPr>
      <w:r>
        <w:rPr>
          <w:rFonts w:hint="eastAsia"/>
          <w:color w:val="000000"/>
          <w:szCs w:val="21"/>
        </w:rPr>
      </w:r>
      <w:r/>
    </w:p>
    <w:p>
      <w:pPr>
        <w:pStyle w:val="723"/>
        <w:jc w:val="center"/>
        <w:spacing w:line="360" w:lineRule="auto"/>
        <w:rPr>
          <w:rFonts w:hint="eastAsia" w:ascii="宋体" w:hAnsi="宋体"/>
          <w:b/>
          <w:sz w:val="28"/>
          <w:szCs w:val="28"/>
        </w:rPr>
      </w:pPr>
      <w:r>
        <w:rPr>
          <w:rFonts w:hint="eastAsia" w:ascii="宋体" w:hAnsi="宋体"/>
          <w:b/>
          <w:sz w:val="28"/>
          <w:szCs w:val="28"/>
        </w:rPr>
      </w:r>
      <w:r/>
    </w:p>
    <w:p>
      <w:pPr>
        <w:pStyle w:val="723"/>
        <w:spacing w:line="360" w:lineRule="auto"/>
        <w:rPr>
          <w:rFonts w:hint="eastAsia" w:ascii="宋体" w:hAnsi="宋体"/>
          <w:b/>
          <w:sz w:val="28"/>
          <w:szCs w:val="28"/>
        </w:rPr>
      </w:pPr>
      <w:r>
        <w:rPr>
          <w:rFonts w:hint="eastAsia" w:ascii="宋体" w:hAnsi="宋体"/>
          <w:b/>
          <w:sz w:val="28"/>
          <w:szCs w:val="28"/>
        </w:rPr>
      </w:r>
      <w:r/>
    </w:p>
    <w:p>
      <w:pPr>
        <w:pStyle w:val="723"/>
        <w:jc w:val="center"/>
        <w:spacing w:line="360" w:lineRule="auto"/>
        <w:rPr>
          <w:rFonts w:hint="eastAsia" w:ascii="宋体" w:hAnsi="宋体"/>
          <w:b/>
          <w:sz w:val="28"/>
          <w:szCs w:val="28"/>
        </w:rPr>
      </w:pPr>
      <w:r>
        <w:rPr>
          <w:rFonts w:hint="eastAsia" w:ascii="宋体" w:hAnsi="宋体"/>
          <w:b/>
          <w:sz w:val="28"/>
          <w:szCs w:val="28"/>
        </w:rPr>
      </w:r>
      <w:r/>
    </w:p>
    <w:p>
      <w:pPr>
        <w:pStyle w:val="723"/>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723"/>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Cs w:val="21"/>
        </w:rPr>
      </w:r>
      <w:r/>
    </w:p>
    <w:p>
      <w:pPr>
        <w:pStyle w:val="723"/>
        <w:jc w:val="left"/>
        <w:spacing w:line="360" w:lineRule="auto"/>
        <w:tabs>
          <w:tab w:val="left" w:pos="5580" w:leader="none"/>
        </w:tabs>
        <w:rPr>
          <w:rFonts w:hint="eastAsia"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rPr>
          <w:rFonts w:hint="eastAsia" w:ascii="宋体" w:hAnsi="宋体" w:cs="宋体"/>
          <w:i/>
          <w:color w:val="000000"/>
          <w:szCs w:val="21"/>
          <w:u w:val="single"/>
        </w:rPr>
      </w:r>
      <w:r/>
    </w:p>
    <w:p>
      <w:pPr>
        <w:pStyle w:val="723"/>
        <w:spacing w:line="360" w:lineRule="auto"/>
        <w:rPr>
          <w:rFonts w:hint="eastAsia" w:ascii="宋体" w:hAnsi="宋体"/>
          <w:b/>
          <w:sz w:val="28"/>
          <w:szCs w:val="28"/>
        </w:rPr>
      </w:pPr>
      <w:r>
        <w:rPr>
          <w:rFonts w:hint="eastAsia" w:ascii="宋体" w:hAnsi="宋体"/>
          <w:b/>
          <w:sz w:val="28"/>
          <w:szCs w:val="28"/>
        </w:rPr>
      </w:r>
      <w:r/>
    </w:p>
    <w:p>
      <w:pPr>
        <w:pStyle w:val="723"/>
        <w:jc w:val="left"/>
        <w:spacing w:line="360" w:lineRule="auto"/>
        <w:rPr>
          <w:rFonts w:hint="eastAsia" w:ascii="宋体" w:hAnsi="宋体" w:cs="宋体"/>
          <w:b/>
          <w:bCs/>
          <w:sz w:val="24"/>
        </w:rPr>
      </w:pPr>
      <w:r>
        <w:rPr>
          <w:rFonts w:hint="eastAsia" w:ascii="宋体" w:hAnsi="宋体" w:cs="宋体"/>
          <w:b/>
          <w:bCs/>
          <w:sz w:val="24"/>
        </w:rPr>
      </w:r>
      <w:r/>
    </w:p>
    <w:p>
      <w:pPr>
        <w:pStyle w:val="723"/>
        <w:contextualSpacing/>
        <w:spacing w:line="360" w:lineRule="auto"/>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、政府采购供应商信用承诺书（实质性格式）</w:t>
      </w:r>
      <w:r>
        <w:rPr>
          <w:rFonts w:hint="eastAsia" w:ascii="宋体" w:hAnsi="宋体" w:cs="宋体"/>
          <w:b/>
          <w:bCs/>
          <w:sz w:val="24"/>
        </w:rPr>
      </w:r>
      <w:r/>
    </w:p>
    <w:p>
      <w:pPr>
        <w:pStyle w:val="72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360" w:lineRule="auto"/>
        <w:rPr>
          <w:rFonts w:hint="eastAsia"/>
          <w:b/>
          <w:color w:val="000000"/>
          <w:sz w:val="24"/>
        </w:rPr>
      </w:pPr>
      <w:r>
        <w:rPr>
          <w:rFonts w:hint="eastAsia"/>
          <w:b/>
          <w:color w:val="000000"/>
          <w:sz w:val="24"/>
        </w:rPr>
        <w:t xml:space="preserve">政府采购供应商信用承诺书</w:t>
      </w:r>
      <w:r>
        <w:rPr>
          <w:rFonts w:hint="eastAsia"/>
          <w:b/>
          <w:color w:val="000000"/>
          <w:sz w:val="24"/>
        </w:rPr>
      </w:r>
      <w:r/>
    </w:p>
    <w:p>
      <w:pPr>
        <w:pStyle w:val="723"/>
        <w:ind w:firstLine="640"/>
      </w:p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为维护公开、公平、公正的政府采购市场秩序，树立诚实守信的供应商形象，本单位在参与政府采购活动中,自愿作出以下承诺：</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一、严格遵守国家法律、法规和规章，全面履行应尽的责任和义务，全面做到履约守信，具备《政府采购法》第二十二条第一款规定的条件。</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五、承诺本单位自觉接受行政管理部门、行业组织、社会公众、新闻舆论的监督。 </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七、承诺本单位在信用中国（江苏）网站中无违法违规、较重或严重失信记录。 </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八、承诺本单位提出政府采购质疑和投诉坚持依法依规、诚实信用原则。</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九、根据政府采购相关法律法规的规定需要作出的其他承诺。 </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pStyle w:val="723"/>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供应商名称（加盖公章）</w:t>
      </w:r>
      <w:r>
        <w:rPr>
          <w:rFonts w:hint="eastAsia" w:ascii="宋体" w:hAnsi="宋体"/>
          <w:color w:val="000000"/>
          <w:szCs w:val="21"/>
          <w:lang w:val="zh-CN"/>
        </w:rPr>
        <w:t xml:space="preserve">：____________</w:t>
      </w:r>
      <w:r>
        <w:rPr>
          <w:rFonts w:hint="eastAsia" w:ascii="宋体" w:hAnsi="宋体"/>
          <w:color w:val="000000"/>
          <w:szCs w:val="21"/>
          <w:lang w:val="zh-CN"/>
        </w:rPr>
      </w:r>
      <w:r/>
    </w:p>
    <w:p>
      <w:pPr>
        <w:pStyle w:val="723"/>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日期：_____年______月______日   </w:t>
      </w:r>
      <w:r>
        <w:rPr>
          <w:rFonts w:hint="eastAsia" w:ascii="宋体" w:hAnsi="宋体"/>
          <w:color w:val="000000"/>
          <w:szCs w:val="21"/>
          <w:lang w:val="zh-CN"/>
        </w:rPr>
      </w:r>
      <w:r/>
    </w:p>
    <w:p>
      <w:pPr>
        <w:pStyle w:val="723"/>
        <w:spacing w:line="360" w:lineRule="auto"/>
        <w:rPr>
          <w:color w:val="000000"/>
          <w:sz w:val="24"/>
          <w:szCs w:val="20"/>
        </w:rPr>
        <w:outlineLvl w:val="2"/>
      </w:pPr>
      <w:r>
        <w:rPr>
          <w:color w:val="000000"/>
          <w:sz w:val="24"/>
          <w:szCs w:val="20"/>
        </w:rPr>
        <w:br w:type="page" w:clear="all"/>
      </w:r>
      <w:r>
        <w:rPr>
          <w:rFonts w:hint="eastAsia" w:ascii="宋体" w:hAnsi="宋体" w:cs="宋体"/>
          <w:b/>
          <w:bCs/>
          <w:sz w:val="24"/>
          <w:lang w:val="en-US" w:eastAsia="zh-CN"/>
        </w:rPr>
        <w:t xml:space="preserve">7</w:t>
      </w:r>
      <w:r>
        <w:rPr>
          <w:rFonts w:hint="eastAsia" w:ascii="宋体" w:hAnsi="宋体" w:cs="宋体"/>
          <w:b/>
          <w:bCs/>
          <w:sz w:val="24"/>
        </w:rPr>
        <w:t xml:space="preserve">、报价一览表</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color w:val="000000"/>
          <w:sz w:val="24"/>
          <w:szCs w:val="20"/>
        </w:rPr>
      </w:r>
      <w:r/>
    </w:p>
    <w:p>
      <w:pPr>
        <w:pStyle w:val="723"/>
        <w:jc w:val="center"/>
        <w:rPr>
          <w:b/>
          <w:color w:val="000000"/>
          <w:sz w:val="24"/>
        </w:rPr>
      </w:pPr>
      <w:r/>
      <w:bookmarkStart w:id="666" w:name="_Toc226337254"/>
      <w:r/>
      <w:bookmarkStart w:id="667" w:name="_Toc305158900"/>
      <w:r/>
      <w:bookmarkStart w:id="668" w:name="_Toc264969248"/>
      <w:r/>
      <w:bookmarkStart w:id="669" w:name="_Toc226965748"/>
      <w:r/>
      <w:bookmarkStart w:id="670" w:name="_Toc226965831"/>
      <w:r/>
      <w:bookmarkStart w:id="671" w:name="_Toc164608827"/>
      <w:r/>
      <w:bookmarkStart w:id="672" w:name="_Toc265228396"/>
      <w:r/>
      <w:bookmarkStart w:id="673" w:name="_Toc305158826"/>
      <w:r/>
      <w:bookmarkStart w:id="674" w:name="_Toc164608672"/>
      <w:r/>
      <w:bookmarkStart w:id="675" w:name="_Toc195842923"/>
      <w:r/>
      <w:bookmarkStart w:id="676" w:name="_Toc226309802"/>
      <w:r>
        <w:rPr>
          <w:rFonts w:hint="eastAsia"/>
          <w:b/>
          <w:color w:val="000000"/>
          <w:sz w:val="24"/>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rPr>
          <w:b/>
          <w:color w:val="000000"/>
          <w:sz w:val="24"/>
        </w:rPr>
      </w:r>
      <w:r/>
    </w:p>
    <w:p>
      <w:pPr>
        <w:pStyle w:val="723"/>
        <w:jc w:val="left"/>
        <w:spacing w:line="360" w:lineRule="auto"/>
        <w:tabs>
          <w:tab w:val="left" w:pos="1800" w:leader="none"/>
          <w:tab w:val="left" w:pos="5580" w:leader="none"/>
        </w:tabs>
        <w:rPr>
          <w:i/>
          <w:color w:val="ff0000"/>
          <w:sz w:val="24"/>
        </w:rPr>
      </w:pPr>
      <w:r>
        <w:rPr>
          <w:i/>
          <w:color w:val="ff0000"/>
          <w:sz w:val="24"/>
        </w:rPr>
      </w:r>
      <w:r/>
    </w:p>
    <w:p>
      <w:pPr>
        <w:pStyle w:val="723"/>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9"/>
        <w:gridCol w:w="3671"/>
        <w:gridCol w:w="2320"/>
        <w:gridCol w:w="2442"/>
      </w:tblGrid>
      <w:tr>
        <w:trPr>
          <w:trHeight w:val="531"/>
        </w:trPr>
        <w:tc>
          <w:tcPr>
            <w:tcW w:w="496" w:type="dxa"/>
            <w:vAlign w:val="center"/>
            <w:vMerge w:val="restart"/>
            <w:textDirection w:val="lrTb"/>
            <w:noWrap w:val="false"/>
          </w:tcPr>
          <w:p>
            <w:pPr>
              <w:pStyle w:val="723"/>
              <w:jc w:val="center"/>
              <w:tabs>
                <w:tab w:val="left" w:pos="55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960" w:type="dxa"/>
            <w:vAlign w:val="center"/>
            <w:vMerge w:val="restart"/>
            <w:textDirection w:val="lrTb"/>
            <w:noWrap w:val="false"/>
          </w:tcPr>
          <w:p>
            <w:pPr>
              <w:pStyle w:val="723"/>
              <w:jc w:val="center"/>
              <w:tabs>
                <w:tab w:val="left" w:pos="5580" w:leader="none"/>
              </w:tabs>
              <w:rPr>
                <w:rFonts w:hint="eastAsia" w:ascii="宋体" w:hAnsi="宋体" w:cs="宋体"/>
                <w:b/>
                <w:szCs w:val="21"/>
              </w:rPr>
            </w:pPr>
            <w:r>
              <w:rPr>
                <w:rFonts w:hint="eastAsia" w:ascii="宋体" w:hAnsi="宋体" w:cs="宋体"/>
                <w:b/>
                <w:szCs w:val="21"/>
              </w:rPr>
              <w:t xml:space="preserve">供应商名称</w:t>
            </w:r>
            <w:r>
              <w:rPr>
                <w:rFonts w:hint="eastAsia" w:ascii="宋体" w:hAnsi="宋体" w:cs="宋体"/>
                <w:b/>
                <w:szCs w:val="21"/>
              </w:rPr>
            </w:r>
            <w:r/>
          </w:p>
        </w:tc>
        <w:tc>
          <w:tcPr>
            <w:gridSpan w:val="2"/>
            <w:tcW w:w="4762" w:type="dxa"/>
            <w:vAlign w:val="center"/>
            <w:textDirection w:val="lrTb"/>
            <w:noWrap w:val="false"/>
          </w:tcPr>
          <w:p>
            <w:pPr>
              <w:pStyle w:val="723"/>
              <w:jc w:val="center"/>
              <w:tabs>
                <w:tab w:val="left" w:pos="5580" w:leader="none"/>
              </w:tabs>
              <w:rPr>
                <w:rFonts w:hint="eastAsia" w:ascii="宋体" w:hAnsi="宋体" w:cs="宋体"/>
                <w:b/>
                <w:szCs w:val="21"/>
              </w:rPr>
            </w:pPr>
            <w:r>
              <w:rPr>
                <w:rFonts w:hint="eastAsia" w:ascii="宋体" w:hAnsi="宋体" w:cs="宋体"/>
                <w:b/>
                <w:szCs w:val="21"/>
              </w:rPr>
              <w:t xml:space="preserve">报价</w:t>
            </w:r>
            <w:r>
              <w:rPr>
                <w:rFonts w:hint="eastAsia" w:ascii="宋体" w:hAnsi="宋体" w:cs="宋体"/>
                <w:b/>
                <w:szCs w:val="21"/>
              </w:rPr>
            </w:r>
            <w:r/>
          </w:p>
        </w:tc>
      </w:tr>
      <w:tr>
        <w:trPr>
          <w:trHeight w:val="674"/>
        </w:trPr>
        <w:tc>
          <w:tcPr>
            <w:tcW w:w="929" w:type="dxa"/>
            <w:vAlign w:val="center"/>
            <w:vMerge w:val="continue"/>
            <w:textDirection w:val="lrTb"/>
            <w:noWrap w:val="false"/>
          </w:tcPr>
          <w:p>
            <w:pPr>
              <w:pStyle w:val="723"/>
              <w:jc w:val="left"/>
              <w:widowControl/>
              <w:rPr>
                <w:rFonts w:hint="eastAsia" w:ascii="宋体" w:hAnsi="宋体" w:cs="宋体"/>
                <w:b/>
                <w:szCs w:val="21"/>
              </w:rPr>
            </w:pPr>
            <w:r>
              <w:rPr>
                <w:rFonts w:hint="eastAsia" w:ascii="宋体" w:hAnsi="宋体" w:cs="宋体"/>
                <w:b/>
                <w:szCs w:val="21"/>
              </w:rPr>
            </w:r>
            <w:r/>
          </w:p>
        </w:tc>
        <w:tc>
          <w:tcPr>
            <w:tcW w:w="3671" w:type="dxa"/>
            <w:vAlign w:val="center"/>
            <w:vMerge w:val="continue"/>
            <w:textDirection w:val="lrTb"/>
            <w:noWrap w:val="false"/>
          </w:tcPr>
          <w:p>
            <w:pPr>
              <w:pStyle w:val="723"/>
              <w:jc w:val="left"/>
              <w:widowControl/>
              <w:rPr>
                <w:rFonts w:hint="eastAsia" w:ascii="宋体" w:hAnsi="宋体" w:cs="宋体"/>
                <w:b/>
                <w:szCs w:val="21"/>
              </w:rPr>
            </w:pPr>
            <w:r>
              <w:rPr>
                <w:rFonts w:hint="eastAsia" w:ascii="宋体" w:hAnsi="宋体" w:cs="宋体"/>
                <w:b/>
                <w:szCs w:val="21"/>
              </w:rPr>
            </w:r>
            <w:r/>
          </w:p>
        </w:tc>
        <w:tc>
          <w:tcPr>
            <w:tcW w:w="1239" w:type="dxa"/>
            <w:vAlign w:val="center"/>
            <w:textDirection w:val="lrTb"/>
            <w:noWrap w:val="false"/>
          </w:tcPr>
          <w:p>
            <w:pPr>
              <w:pStyle w:val="723"/>
              <w:jc w:val="center"/>
              <w:tabs>
                <w:tab w:val="left" w:pos="5580" w:leader="none"/>
              </w:tabs>
              <w:rPr>
                <w:rFonts w:hint="eastAsia" w:ascii="宋体" w:hAnsi="宋体" w:cs="宋体"/>
                <w:b/>
                <w:szCs w:val="21"/>
              </w:rPr>
            </w:pPr>
            <w:r>
              <w:rPr>
                <w:rFonts w:hint="eastAsia" w:ascii="宋体" w:hAnsi="宋体" w:cs="宋体"/>
                <w:b/>
                <w:szCs w:val="21"/>
              </w:rPr>
              <w:t xml:space="preserve">大写</w:t>
            </w:r>
            <w:r>
              <w:rPr>
                <w:rFonts w:hint="eastAsia" w:ascii="宋体" w:hAnsi="宋体" w:cs="宋体"/>
                <w:b/>
                <w:szCs w:val="21"/>
              </w:rPr>
            </w:r>
            <w:r/>
          </w:p>
        </w:tc>
        <w:tc>
          <w:tcPr>
            <w:tcW w:w="1304" w:type="dxa"/>
            <w:vAlign w:val="center"/>
            <w:textDirection w:val="lrTb"/>
            <w:noWrap w:val="false"/>
          </w:tcPr>
          <w:p>
            <w:pPr>
              <w:pStyle w:val="723"/>
              <w:jc w:val="center"/>
              <w:tabs>
                <w:tab w:val="left" w:pos="5580" w:leader="none"/>
              </w:tabs>
              <w:rPr>
                <w:rFonts w:hint="eastAsia" w:ascii="宋体" w:hAnsi="宋体" w:cs="宋体"/>
                <w:b/>
                <w:szCs w:val="21"/>
              </w:rPr>
            </w:pPr>
            <w:r>
              <w:rPr>
                <w:rFonts w:hint="eastAsia" w:ascii="宋体" w:hAnsi="宋体" w:cs="宋体"/>
                <w:b/>
                <w:szCs w:val="21"/>
              </w:rPr>
              <w:t xml:space="preserve">小写</w:t>
            </w:r>
            <w:r>
              <w:rPr>
                <w:rFonts w:hint="eastAsia" w:ascii="宋体" w:hAnsi="宋体" w:cs="宋体"/>
                <w:b/>
                <w:szCs w:val="21"/>
              </w:rPr>
            </w:r>
            <w:r/>
          </w:p>
        </w:tc>
      </w:tr>
      <w:tr>
        <w:trPr>
          <w:trHeight w:val="976"/>
        </w:trPr>
        <w:tc>
          <w:tcPr>
            <w:tcW w:w="496" w:type="dxa"/>
            <w:vAlign w:val="center"/>
            <w:textDirection w:val="lrTb"/>
            <w:noWrap w:val="false"/>
          </w:tcPr>
          <w:p>
            <w:pPr>
              <w:pStyle w:val="723"/>
              <w:jc w:val="center"/>
              <w:tabs>
                <w:tab w:val="left" w:pos="5580" w:leader="none"/>
              </w:tabs>
              <w:rPr>
                <w:rFonts w:hint="eastAsia" w:ascii="宋体" w:hAnsi="宋体" w:cs="宋体"/>
                <w:szCs w:val="21"/>
              </w:rPr>
            </w:pPr>
            <w:r>
              <w:rPr>
                <w:rFonts w:hint="eastAsia" w:ascii="宋体" w:hAnsi="宋体" w:cs="宋体"/>
                <w:szCs w:val="21"/>
              </w:rPr>
            </w:r>
            <w:r/>
          </w:p>
        </w:tc>
        <w:tc>
          <w:tcPr>
            <w:tcW w:w="1960" w:type="dxa"/>
            <w:vAlign w:val="center"/>
            <w:textDirection w:val="lrTb"/>
            <w:noWrap w:val="false"/>
          </w:tcPr>
          <w:p>
            <w:pPr>
              <w:pStyle w:val="723"/>
              <w:jc w:val="center"/>
              <w:tabs>
                <w:tab w:val="left" w:pos="5580" w:leader="none"/>
              </w:tabs>
              <w:rPr>
                <w:rFonts w:hint="eastAsia" w:ascii="宋体" w:hAnsi="宋体" w:cs="宋体"/>
                <w:szCs w:val="21"/>
              </w:rPr>
            </w:pPr>
            <w:r>
              <w:rPr>
                <w:rFonts w:hint="eastAsia" w:ascii="宋体" w:hAnsi="宋体" w:cs="宋体"/>
                <w:szCs w:val="21"/>
              </w:rPr>
            </w:r>
            <w:r/>
          </w:p>
        </w:tc>
        <w:tc>
          <w:tcPr>
            <w:tcW w:w="1239" w:type="dxa"/>
            <w:vAlign w:val="center"/>
            <w:textDirection w:val="lrTb"/>
            <w:noWrap w:val="false"/>
          </w:tcPr>
          <w:p>
            <w:pPr>
              <w:pStyle w:val="723"/>
              <w:jc w:val="center"/>
              <w:tabs>
                <w:tab w:val="left" w:pos="5580" w:leader="none"/>
              </w:tabs>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723"/>
              <w:jc w:val="center"/>
              <w:tabs>
                <w:tab w:val="left" w:pos="5580" w:leader="none"/>
              </w:tabs>
              <w:rPr>
                <w:rFonts w:hint="eastAsia" w:ascii="宋体" w:hAnsi="宋体" w:cs="宋体"/>
                <w:szCs w:val="21"/>
              </w:rPr>
            </w:pPr>
            <w:r>
              <w:rPr>
                <w:rFonts w:hint="eastAsia" w:ascii="宋体" w:hAnsi="宋体" w:cs="宋体"/>
                <w:szCs w:val="21"/>
              </w:rPr>
            </w:r>
            <w:r/>
          </w:p>
        </w:tc>
      </w:tr>
    </w:tbl>
    <w:p>
      <w:pPr>
        <w:pStyle w:val="723"/>
        <w:jc w:val="left"/>
        <w:rPr>
          <w:rFonts w:hint="eastAsia" w:ascii="宋体" w:hAnsi="宋体" w:cs="宋体"/>
          <w:color w:val="000000"/>
          <w:szCs w:val="21"/>
        </w:rPr>
      </w:pPr>
      <w:r>
        <w:rPr>
          <w:rFonts w:hint="eastAsia" w:ascii="宋体" w:hAnsi="宋体" w:cs="宋体"/>
          <w:color w:val="000000"/>
          <w:szCs w:val="21"/>
        </w:rPr>
      </w:r>
      <w:r/>
    </w:p>
    <w:p>
      <w:pPr>
        <w:pStyle w:val="723"/>
        <w:jc w:val="lef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.此表中，每包的报价应和《分项报价表》中的总价相一致。</w:t>
      </w:r>
      <w:r>
        <w:rPr>
          <w:rFonts w:hint="eastAsia" w:ascii="宋体" w:hAnsi="宋体" w:cs="宋体"/>
          <w:color w:val="000000"/>
          <w:szCs w:val="21"/>
        </w:rPr>
      </w:r>
      <w:r/>
    </w:p>
    <w:p>
      <w:pPr>
        <w:pStyle w:val="723"/>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rPr>
          <w:rFonts w:hint="eastAsia" w:ascii="宋体" w:hAnsi="宋体" w:cs="宋体"/>
          <w:color w:val="000000"/>
          <w:szCs w:val="21"/>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23"/>
        <w:spacing w:line="360" w:lineRule="auto"/>
        <w:rPr>
          <w:rFonts w:hint="eastAsia" w:ascii="宋体" w:hAnsi="宋体" w:eastAsia="宋体" w:cs="宋体"/>
          <w:b/>
          <w:bCs/>
          <w:sz w:val="21"/>
          <w:szCs w:val="21"/>
        </w:rPr>
        <w:outlineLvl w:val="2"/>
      </w:pPr>
      <w:r/>
      <w:bookmarkStart w:id="677" w:name="_Toc150480796"/>
      <w:r/>
      <w:bookmarkStart w:id="678" w:name="_Toc195842924"/>
      <w:r/>
      <w:bookmarkStart w:id="679" w:name="_Toc265228397"/>
      <w:r/>
      <w:bookmarkStart w:id="680" w:name="_Toc226965832"/>
      <w:r/>
      <w:bookmarkStart w:id="681" w:name="_Toc226965749"/>
      <w:r/>
      <w:bookmarkStart w:id="682" w:name="_Toc150774763"/>
      <w:r/>
      <w:bookmarkStart w:id="683" w:name="_Toc127151558"/>
      <w:r/>
      <w:bookmarkStart w:id="684" w:name="_Toc264969249"/>
      <w:r/>
      <w:bookmarkStart w:id="685" w:name="_Toc305158827"/>
      <w:r/>
      <w:bookmarkStart w:id="686" w:name="_Toc305158901"/>
      <w:r/>
      <w:bookmarkStart w:id="687" w:name="_Toc142311060"/>
      <w:r/>
      <w:bookmarkStart w:id="688" w:name="_Toc226309803"/>
      <w:r/>
      <w:bookmarkStart w:id="689" w:name="_Toc226337255"/>
      <w:r>
        <w:rPr>
          <w:color w:val="000000"/>
          <w:sz w:val="24"/>
          <w:szCs w:val="20"/>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264969252"/>
      <w:r/>
      <w:bookmarkStart w:id="691" w:name="_Toc305158904"/>
      <w:r/>
      <w:bookmarkStart w:id="692" w:name="_Toc226965835"/>
      <w:r/>
      <w:bookmarkStart w:id="693" w:name="_Toc226965752"/>
      <w:r/>
      <w:bookmarkStart w:id="694" w:name="_Toc265228400"/>
      <w:r/>
      <w:bookmarkStart w:id="695" w:name="_Toc195842927"/>
      <w:r/>
      <w:bookmarkStart w:id="696" w:name="_Toc142311062"/>
      <w:r/>
      <w:bookmarkStart w:id="697" w:name="_Toc150480798"/>
      <w:r/>
      <w:bookmarkStart w:id="698" w:name="_Toc226337258"/>
      <w:r/>
      <w:bookmarkStart w:id="699" w:name="_Toc150774765"/>
      <w:r/>
      <w:bookmarkStart w:id="700" w:name="_Toc305158830"/>
      <w:r/>
      <w:bookmarkStart w:id="701" w:name="_Toc226309806"/>
      <w:r/>
      <w:bookmarkStart w:id="702" w:name="_Toc127151562"/>
      <w:r/>
      <w:bookmarkStart w:id="703" w:name="_Toc226965751"/>
      <w:r/>
      <w:bookmarkStart w:id="704" w:name="_Toc195842926"/>
      <w:r/>
      <w:bookmarkStart w:id="705" w:name="_Toc150774764"/>
      <w:r/>
      <w:bookmarkStart w:id="706" w:name="_Toc264969251"/>
      <w:r/>
      <w:bookmarkStart w:id="707" w:name="_Toc226309805"/>
      <w:r/>
      <w:bookmarkStart w:id="708" w:name="_Toc150480797"/>
      <w:r/>
      <w:bookmarkStart w:id="709" w:name="_Toc265228399"/>
      <w:r/>
      <w:bookmarkStart w:id="710" w:name="_Toc142311061"/>
      <w:r/>
      <w:bookmarkStart w:id="711" w:name="_Toc305158829"/>
      <w:r/>
      <w:bookmarkStart w:id="712" w:name="_Toc305158903"/>
      <w:r/>
      <w:bookmarkStart w:id="713" w:name="_Toc226965834"/>
      <w:r/>
      <w:bookmarkStart w:id="714" w:name="_Toc226337257"/>
      <w:r/>
      <w:bookmarkStart w:id="715" w:name="_Toc127151561"/>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、分项报价表</w:t>
      </w:r>
      <w:r>
        <w:rPr>
          <w:rFonts w:hint="eastAsia" w:ascii="宋体" w:hAnsi="宋体" w:eastAsia="宋体" w:cs="宋体"/>
          <w:b/>
          <w:bCs/>
          <w:sz w:val="21"/>
          <w:szCs w:val="21"/>
        </w:rPr>
      </w:r>
      <w:r/>
    </w:p>
    <w:p>
      <w:pPr>
        <w:pStyle w:val="723"/>
        <w:jc w:val="center"/>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分项报价表</w:t>
      </w:r>
      <w:r>
        <w:rPr>
          <w:rFonts w:hint="eastAsia" w:ascii="Times New Roman" w:hAnsi="Times New Roman" w:eastAsia="宋体" w:cs="Times New Roman"/>
          <w:b/>
          <w:color w:val="000000"/>
          <w:sz w:val="24"/>
          <w:szCs w:val="24"/>
        </w:rPr>
      </w:r>
      <w:r/>
    </w:p>
    <w:p>
      <w:pPr>
        <w:pStyle w:val="723"/>
        <w:contextualSpacing/>
        <w:ind w:firstLine="420"/>
        <w:jc w:val="cente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723"/>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项目编号：___________ 项目名称：__________报价单位：人民币元</w:t>
      </w:r>
      <w:r>
        <w:rPr>
          <w:rFonts w:hint="eastAsia" w:ascii="宋体" w:hAnsi="宋体" w:eastAsia="宋体" w:cs="宋体"/>
          <w:sz w:val="21"/>
          <w:szCs w:val="21"/>
        </w:rPr>
      </w:r>
      <w:r/>
    </w:p>
    <w:p>
      <w:pPr>
        <w:pStyle w:val="723"/>
        <w:contextualSpacing/>
        <w:ind w:firstLine="420"/>
        <w:jc w:val="cente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723"/>
        <w:contextualSpacing/>
        <w:ind w:firstLine="420"/>
        <w:jc w:val="center"/>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按工程量清单报价，详见附件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2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23"/>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w:t>
      </w:r>
      <w:r>
        <w:rPr>
          <w:rFonts w:hint="eastAsia" w:ascii="宋体" w:hAnsi="宋体" w:eastAsia="宋体" w:cs="宋体"/>
          <w:bCs/>
          <w:sz w:val="21"/>
          <w:szCs w:val="21"/>
        </w:rPr>
      </w:r>
      <w:r/>
    </w:p>
    <w:p>
      <w:pPr>
        <w:pStyle w:val="723"/>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1、如果按单价计算的结果与总价不一致，以单价为准修正总价。</w:t>
      </w:r>
      <w:r>
        <w:rPr>
          <w:rFonts w:hint="eastAsia" w:ascii="宋体" w:hAnsi="宋体" w:eastAsia="宋体" w:cs="宋体"/>
          <w:bCs/>
          <w:sz w:val="21"/>
          <w:szCs w:val="21"/>
        </w:rPr>
      </w:r>
      <w:r/>
    </w:p>
    <w:p>
      <w:pPr>
        <w:pStyle w:val="723"/>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2、总价及所有子项目的综合单价均不得高于控制价，否则作为无效投标处理。</w:t>
      </w:r>
      <w:r>
        <w:rPr>
          <w:rFonts w:hint="eastAsia" w:ascii="宋体" w:hAnsi="宋体" w:eastAsia="宋体" w:cs="宋体"/>
          <w:bCs/>
          <w:sz w:val="21"/>
          <w:szCs w:val="21"/>
        </w:rPr>
      </w:r>
      <w:r/>
    </w:p>
    <w:p>
      <w:pPr>
        <w:pStyle w:val="723"/>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3、如果不提供分项报价将视为没有实质性响应磋商文件。</w:t>
      </w:r>
      <w:r>
        <w:rPr>
          <w:rFonts w:hint="eastAsia" w:ascii="宋体" w:hAnsi="宋体" w:eastAsia="宋体" w:cs="宋体"/>
          <w:bCs/>
          <w:sz w:val="21"/>
          <w:szCs w:val="21"/>
        </w:rPr>
      </w:r>
      <w:r/>
    </w:p>
    <w:p>
      <w:pPr>
        <w:pStyle w:val="72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2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72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723"/>
        <w:jc w:val="left"/>
        <w:spacing w:before="240" w:after="240"/>
        <w:rPr>
          <w:color w:val="000000"/>
          <w:sz w:val="24"/>
          <w:szCs w:val="20"/>
        </w:rPr>
      </w:pPr>
      <w:r>
        <w:rPr>
          <w:color w:val="000000"/>
          <w:sz w:val="24"/>
          <w:szCs w:val="20"/>
        </w:rPr>
      </w:r>
      <w:r/>
    </w:p>
    <w:p>
      <w:pPr>
        <w:pStyle w:val="723"/>
        <w:jc w:val="left"/>
        <w:spacing w:before="240" w:after="240"/>
        <w:rPr>
          <w:color w:val="000000"/>
          <w:sz w:val="24"/>
          <w:szCs w:val="20"/>
        </w:rPr>
      </w:pPr>
      <w:r>
        <w:rPr>
          <w:color w:val="000000"/>
          <w:sz w:val="24"/>
          <w:szCs w:val="20"/>
        </w:rPr>
      </w:r>
      <w:r/>
    </w:p>
    <w:p>
      <w:pPr>
        <w:pStyle w:val="723"/>
        <w:jc w:val="left"/>
        <w:spacing w:before="240" w:after="240"/>
        <w:rPr>
          <w:color w:val="000000"/>
          <w:sz w:val="24"/>
          <w:szCs w:val="20"/>
        </w:rPr>
      </w:pPr>
      <w:r>
        <w:rPr>
          <w:color w:val="000000"/>
          <w:sz w:val="24"/>
          <w:szCs w:val="20"/>
        </w:rPr>
      </w:r>
      <w:r/>
    </w:p>
    <w:p>
      <w:pPr>
        <w:pStyle w:val="723"/>
        <w:jc w:val="left"/>
        <w:spacing w:before="240" w:after="240"/>
        <w:rPr>
          <w:color w:val="000000"/>
          <w:sz w:val="24"/>
          <w:szCs w:val="20"/>
        </w:rPr>
      </w:pPr>
      <w:r>
        <w:rPr>
          <w:color w:val="000000"/>
          <w:sz w:val="24"/>
          <w:szCs w:val="20"/>
        </w:rPr>
      </w:r>
      <w:r/>
    </w:p>
    <w:p>
      <w:pPr>
        <w:pStyle w:val="723"/>
        <w:jc w:val="left"/>
        <w:spacing w:before="240" w:after="240"/>
        <w:rPr>
          <w:rFonts w:hint="eastAsia" w:ascii="宋体" w:hAnsi="宋体" w:cs="宋体"/>
          <w:b/>
          <w:bCs/>
          <w:sz w:val="24"/>
        </w:rPr>
      </w:pPr>
      <w:r>
        <w:rPr>
          <w:rFonts w:hint="eastAsia" w:ascii="宋体" w:hAnsi="宋体" w:cs="宋体"/>
          <w:b/>
          <w:bCs/>
          <w:sz w:val="24"/>
        </w:rPr>
      </w:r>
      <w:r/>
    </w:p>
    <w:p>
      <w:pPr>
        <w:pStyle w:val="723"/>
        <w:jc w:val="left"/>
        <w:spacing w:before="240" w:after="240"/>
        <w:rPr>
          <w:rFonts w:hint="eastAsia" w:ascii="宋体" w:hAnsi="宋体" w:cs="宋体"/>
          <w:b/>
          <w:bCs/>
          <w:sz w:val="24"/>
        </w:rPr>
      </w:pPr>
      <w:r>
        <w:rPr>
          <w:rFonts w:hint="eastAsia" w:ascii="宋体" w:hAnsi="宋体" w:cs="宋体"/>
          <w:b/>
          <w:bCs/>
          <w:sz w:val="24"/>
        </w:rPr>
      </w:r>
      <w:r/>
    </w:p>
    <w:p>
      <w:pPr>
        <w:pStyle w:val="723"/>
        <w:jc w:val="left"/>
        <w:spacing w:before="240" w:after="240"/>
        <w:rPr>
          <w:rFonts w:hint="eastAsia" w:ascii="宋体" w:hAnsi="宋体" w:cs="宋体"/>
          <w:b/>
          <w:bCs/>
          <w:sz w:val="24"/>
        </w:rPr>
      </w:pPr>
      <w:r>
        <w:rPr>
          <w:rFonts w:hint="eastAsia" w:ascii="宋体" w:hAnsi="宋体" w:cs="宋体"/>
          <w:b/>
          <w:bCs/>
          <w:sz w:val="24"/>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widowControl/>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cs="宋体"/>
          <w:b/>
          <w:bCs/>
          <w:sz w:val="24"/>
        </w:rPr>
      </w:r>
      <w:r/>
    </w:p>
    <w:p>
      <w:pPr>
        <w:pStyle w:val="723"/>
        <w:jc w:val="center"/>
        <w:rPr>
          <w:rFonts w:hint="eastAsia"/>
          <w:b/>
          <w:color w:val="000000"/>
          <w:sz w:val="24"/>
        </w:rPr>
      </w:pPr>
      <w:r>
        <w:rPr>
          <w:rFonts w:hint="eastAsia"/>
          <w:b/>
          <w:color w:val="000000"/>
          <w:sz w:val="24"/>
        </w:rPr>
      </w:r>
      <w:r/>
    </w:p>
    <w:p>
      <w:pPr>
        <w:pStyle w:val="723"/>
        <w:jc w:val="center"/>
        <w:rPr>
          <w:b/>
          <w:color w:val="000000"/>
          <w:sz w:val="24"/>
        </w:rPr>
      </w:pPr>
      <w:r>
        <w:rPr>
          <w:rFonts w:hint="eastAsia"/>
          <w:b/>
          <w:color w:val="000000"/>
          <w:sz w:val="24"/>
        </w:rPr>
        <w:t xml:space="preserve">合同条款偏离表</w:t>
      </w:r>
      <w:r>
        <w:rPr>
          <w:b/>
          <w:color w:val="000000"/>
          <w:sz w:val="24"/>
        </w:rPr>
      </w:r>
      <w:r/>
    </w:p>
    <w:p>
      <w:pPr>
        <w:pStyle w:val="723"/>
        <w:spacing w:line="360" w:lineRule="auto"/>
        <w:rPr>
          <w:color w:val="000000"/>
          <w:sz w:val="24"/>
          <w:szCs w:val="20"/>
        </w:rPr>
      </w:pPr>
      <w:r>
        <w:rPr>
          <w:color w:val="000000"/>
          <w:sz w:val="24"/>
          <w:szCs w:val="20"/>
        </w:rPr>
      </w:r>
      <w:r/>
    </w:p>
    <w:p>
      <w:pPr>
        <w:pStyle w:val="723"/>
        <w:ind w:firstLine="315"/>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项目名称：_____________________</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trHeight w:val="930"/>
        </w:trPr>
        <w:tc>
          <w:tcPr>
            <w:gridSpan w:val="6"/>
            <w:tcW w:w="9354" w:type="dxa"/>
            <w:vAlign w:val="center"/>
            <w:textDirection w:val="lrTb"/>
            <w:noWrap w:val="false"/>
          </w:tcPr>
          <w:p>
            <w:pPr>
              <w:pStyle w:val="723"/>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rPr>
                <w:rFonts w:hint="eastAsia" w:ascii="宋体" w:hAnsi="宋体" w:cs="宋体"/>
                <w:b/>
                <w:color w:val="000000"/>
                <w:szCs w:val="21"/>
              </w:rPr>
            </w:r>
            <w:r/>
          </w:p>
          <w:p>
            <w:pPr>
              <w:pStyle w:val="723"/>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color w:val="000000"/>
                <w:szCs w:val="21"/>
              </w:rPr>
            </w:r>
            <w:r/>
          </w:p>
          <w:p>
            <w:pPr>
              <w:pStyle w:val="723"/>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rPr>
                <w:rFonts w:hint="eastAsia" w:ascii="宋体" w:hAnsi="宋体" w:cs="宋体"/>
                <w:color w:val="000000"/>
                <w:szCs w:val="21"/>
              </w:rPr>
            </w:r>
            <w:r/>
          </w:p>
        </w:tc>
      </w:tr>
      <w:tr>
        <w:trPr>
          <w:trHeight w:val="930"/>
        </w:trPr>
        <w:tc>
          <w:tcPr>
            <w:tcW w:w="834"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0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0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0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响应文件内容</w:t>
            </w:r>
            <w:r>
              <w:rPr>
                <w:rFonts w:hint="eastAsia" w:ascii="宋体" w:hAnsi="宋体" w:cs="宋体"/>
                <w:color w:val="000000"/>
                <w:szCs w:val="21"/>
              </w:rPr>
            </w:r>
            <w:r/>
          </w:p>
        </w:tc>
        <w:tc>
          <w:tcPr>
            <w:tcW w:w="24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723"/>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78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834"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bl>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72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rPr>
          <w:rFonts w:hint="eastAsia" w:ascii="宋体" w:hAnsi="宋体" w:cs="宋体"/>
          <w:szCs w:val="21"/>
        </w:rPr>
      </w:r>
      <w:r/>
    </w:p>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723"/>
        <w:spacing w:line="360" w:lineRule="auto"/>
        <w:rPr>
          <w:rFonts w:hint="eastAsia" w:ascii="宋体" w:hAnsi="宋体" w:cs="宋体"/>
          <w:color w:val="000000"/>
          <w:szCs w:val="21"/>
        </w:rPr>
      </w:pPr>
      <w:r>
        <w:rPr>
          <w:rFonts w:hint="eastAsia" w:ascii="宋体" w:hAnsi="宋体" w:cs="宋体"/>
          <w:color w:val="000000"/>
          <w:szCs w:val="21"/>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23"/>
        <w:spacing w:line="360" w:lineRule="auto"/>
        <w:rPr>
          <w:rFonts w:hint="eastAsia" w:ascii="宋体" w:hAnsi="宋体" w:cs="宋体"/>
          <w:b/>
          <w:bCs/>
          <w:sz w:val="24"/>
        </w:rPr>
        <w:outlineLvl w:val="2"/>
      </w:pPr>
      <w:r>
        <w:rPr>
          <w:rFonts w:hint="eastAsia" w:ascii="宋体" w:hAnsi="宋体" w:cs="宋体"/>
          <w:color w:val="000000"/>
          <w:szCs w:val="21"/>
        </w:rPr>
        <w:br w:type="page" w:clear="all"/>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、采购需求偏离表</w:t>
      </w:r>
      <w:r>
        <w:rPr>
          <w:rFonts w:hint="eastAsia" w:ascii="宋体" w:hAnsi="宋体" w:cs="宋体"/>
          <w:b/>
          <w:bCs/>
          <w:sz w:val="24"/>
        </w:rPr>
      </w:r>
      <w:r/>
    </w:p>
    <w:p>
      <w:pPr>
        <w:pStyle w:val="723"/>
        <w:jc w:val="center"/>
        <w:rPr>
          <w:b/>
          <w:color w:val="000000"/>
          <w:sz w:val="24"/>
        </w:rPr>
      </w:pPr>
      <w:r>
        <w:rPr>
          <w:rFonts w:hint="eastAsia"/>
          <w:b/>
          <w:color w:val="000000"/>
          <w:sz w:val="24"/>
        </w:rPr>
        <w:t xml:space="preserve">采购需求偏离表</w:t>
      </w:r>
      <w:r>
        <w:rPr>
          <w:b/>
          <w:color w:val="000000"/>
          <w:sz w:val="24"/>
        </w:rPr>
      </w:r>
      <w:r/>
    </w:p>
    <w:p>
      <w:pPr>
        <w:pStyle w:val="723"/>
        <w:jc w:val="center"/>
        <w:rPr>
          <w:color w:val="000000"/>
          <w:sz w:val="36"/>
          <w:szCs w:val="36"/>
        </w:rPr>
      </w:pPr>
      <w:r>
        <w:rPr>
          <w:color w:val="000000"/>
          <w:sz w:val="36"/>
          <w:szCs w:val="36"/>
        </w:rPr>
      </w:r>
      <w:r/>
    </w:p>
    <w:p>
      <w:pPr>
        <w:pStyle w:val="723"/>
        <w:ind w:firstLine="315"/>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rPr>
      </w:r>
      <w:r/>
    </w:p>
    <w:p>
      <w:pPr>
        <w:pStyle w:val="809"/>
      </w:p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723"/>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23"/>
              <w:jc w:val="center"/>
              <w:rPr>
                <w:rFonts w:hint="eastAsia" w:ascii="宋体" w:hAnsi="宋体" w:cs="宋体"/>
                <w:color w:val="000000"/>
                <w:szCs w:val="21"/>
              </w:rPr>
            </w:pPr>
            <w:r>
              <w:rPr>
                <w:rFonts w:hint="eastAsia" w:ascii="宋体" w:hAnsi="宋体" w:cs="宋体"/>
                <w:color w:val="000000"/>
                <w:szCs w:val="21"/>
              </w:rPr>
            </w:r>
            <w:r/>
          </w:p>
        </w:tc>
      </w:tr>
    </w:tbl>
    <w:p>
      <w:pPr>
        <w:pStyle w:val="723"/>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723"/>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72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72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723"/>
        <w:rPr>
          <w:rFonts w:hint="eastAsia" w:ascii="宋体" w:hAnsi="宋体" w:cs="宋体"/>
          <w:color w:val="000000"/>
          <w:szCs w:val="21"/>
        </w:rPr>
      </w:pPr>
      <w:r>
        <w:rPr>
          <w:rFonts w:hint="eastAsia" w:ascii="宋体" w:hAnsi="宋体" w:cs="宋体"/>
          <w:color w:val="000000"/>
          <w:szCs w:val="21"/>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rPr>
          <w:sz w:val="24"/>
          <w:szCs w:val="20"/>
        </w:rPr>
      </w:pPr>
      <w:r>
        <w:rPr>
          <w:rFonts w:hint="eastAsia" w:ascii="宋体" w:hAnsi="宋体" w:eastAsia="宋体" w:cs="宋体"/>
          <w:b/>
          <w:bCs/>
          <w:sz w:val="24"/>
          <w:szCs w:val="24"/>
          <w:lang w:val="en-US" w:eastAsia="zh-CN" w:bidi="ar-SA"/>
        </w:rPr>
        <w:t xml:space="preserve">11、</w:t>
      </w:r>
      <w:r>
        <w:rPr>
          <w:rFonts w:hint="eastAsia"/>
          <w:b/>
          <w:bCs/>
          <w:sz w:val="24"/>
          <w:szCs w:val="20"/>
        </w:rPr>
        <w:t xml:space="preserve">施工组织设计等，包括但不限于如下主题：</w:t>
      </w:r>
      <w:r>
        <w:rPr>
          <w:sz w:val="24"/>
          <w:szCs w:val="20"/>
        </w:rPr>
      </w:r>
      <w:r/>
    </w:p>
    <w:p>
      <w:pPr>
        <w:pStyle w:val="723"/>
        <w:ind w:firstLine="420"/>
        <w:spacing w:line="5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1）项目概况</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23"/>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 w:val="0"/>
          <w:bCs w:val="0"/>
          <w:color w:val="000000"/>
          <w:sz w:val="21"/>
          <w:szCs w:val="21"/>
          <w:highlight w:val="none"/>
          <w:lang w:val="en-US" w:eastAsia="zh-CN" w:bidi="ar-SA"/>
        </w:rPr>
        <w:t xml:space="preserve">苗木供应、起苗包装及运输方案；</w:t>
      </w:r>
      <w:r>
        <w:rPr>
          <w:rFonts w:hint="eastAsia" w:ascii="宋体" w:hAnsi="宋体" w:eastAsia="宋体" w:cs="宋体"/>
          <w:sz w:val="21"/>
          <w:szCs w:val="21"/>
        </w:rPr>
      </w:r>
      <w:r/>
    </w:p>
    <w:p>
      <w:pPr>
        <w:pStyle w:val="723"/>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b w:val="0"/>
          <w:bCs w:val="0"/>
          <w:color w:val="000000"/>
          <w:sz w:val="21"/>
          <w:szCs w:val="21"/>
          <w:highlight w:val="none"/>
          <w:lang w:val="en-US" w:eastAsia="zh-CN" w:bidi="ar-SA"/>
        </w:rPr>
        <w:t xml:space="preserve">苗木供应、起苗包装及运输方案；</w:t>
      </w:r>
      <w:r>
        <w:rPr>
          <w:rFonts w:hint="eastAsia" w:ascii="宋体" w:hAnsi="宋体" w:eastAsia="宋体" w:cs="宋体"/>
          <w:sz w:val="21"/>
          <w:szCs w:val="21"/>
        </w:rPr>
      </w:r>
      <w:r/>
    </w:p>
    <w:p>
      <w:pPr>
        <w:pStyle w:val="723"/>
        <w:ind w:firstLine="420"/>
        <w:spacing w:line="56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sz w:val="21"/>
          <w:szCs w:val="21"/>
        </w:rPr>
        <w:t xml:space="preserve">4）</w:t>
      </w:r>
      <w:r>
        <w:rPr>
          <w:rFonts w:hint="eastAsia" w:ascii="宋体" w:hAnsi="宋体" w:eastAsia="宋体" w:cs="宋体"/>
          <w:b w:val="0"/>
          <w:bCs w:val="0"/>
          <w:color w:val="000000"/>
          <w:sz w:val="21"/>
          <w:szCs w:val="21"/>
          <w:highlight w:val="none"/>
          <w:lang w:val="en-US" w:eastAsia="zh-CN" w:bidi="ar-SA"/>
        </w:rPr>
        <w:t xml:space="preserve">安全文明、环保及河道保护施工方案；</w:t>
      </w:r>
      <w:r>
        <w:rPr>
          <w:rFonts w:hint="eastAsia" w:ascii="宋体" w:hAnsi="宋体" w:eastAsia="宋体" w:cs="宋体"/>
          <w:b w:val="0"/>
          <w:bCs w:val="0"/>
          <w:color w:val="000000"/>
          <w:sz w:val="21"/>
          <w:szCs w:val="21"/>
          <w:highlight w:val="none"/>
          <w:lang w:val="en-US" w:eastAsia="zh-CN" w:bidi="ar-SA"/>
        </w:rPr>
      </w:r>
      <w:r/>
    </w:p>
    <w:p>
      <w:pPr>
        <w:pStyle w:val="723"/>
        <w:ind w:firstLine="420"/>
        <w:spacing w:line="56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5）特殊天气、季节施工方案；</w:t>
      </w:r>
      <w:r>
        <w:rPr>
          <w:rFonts w:hint="eastAsia" w:ascii="宋体" w:hAnsi="宋体" w:eastAsia="宋体" w:cs="宋体"/>
          <w:b w:val="0"/>
          <w:bCs w:val="0"/>
          <w:color w:val="000000"/>
          <w:sz w:val="21"/>
          <w:szCs w:val="21"/>
          <w:highlight w:val="none"/>
          <w:lang w:val="en-US" w:eastAsia="zh-CN" w:bidi="ar-SA"/>
        </w:rPr>
      </w:r>
      <w:r/>
    </w:p>
    <w:p>
      <w:pPr>
        <w:pStyle w:val="723"/>
        <w:ind w:firstLine="420"/>
        <w:spacing w:line="5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）其他。</w:t>
      </w:r>
      <w:r>
        <w:rPr>
          <w:rFonts w:hint="eastAsia" w:ascii="宋体" w:hAnsi="宋体" w:eastAsia="宋体" w:cs="宋体"/>
          <w:sz w:val="21"/>
          <w:szCs w:val="21"/>
        </w:rPr>
      </w:r>
      <w:r/>
    </w:p>
    <w:p>
      <w:pPr>
        <w:pStyle w:val="723"/>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before="25" w:after="2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rPr>
      </w:pPr>
      <w:r>
        <w:rPr>
          <w:rFonts w:hint="eastAsia" w:ascii="宋体" w:hAnsi="宋体" w:cs="宋体"/>
          <w:b/>
          <w:bCs/>
          <w:sz w:val="24"/>
        </w:rPr>
      </w:r>
      <w:r/>
    </w:p>
    <w:p>
      <w:pPr>
        <w:pStyle w:val="723"/>
        <w:spacing w:before="25" w:after="25"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before="25" w:after="25"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before="25" w:after="25"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before="25" w:after="25"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spacing w:before="25" w:after="25" w:line="360" w:lineRule="auto"/>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2</w:t>
      </w:r>
      <w:r>
        <w:rPr>
          <w:rFonts w:hint="eastAsia" w:ascii="宋体" w:hAnsi="宋体" w:cs="宋体"/>
          <w:b/>
          <w:bCs/>
          <w:sz w:val="24"/>
        </w:rPr>
        <w:t xml:space="preserve">、参加本项目人员一览表</w:t>
      </w:r>
      <w:r>
        <w:rPr>
          <w:rFonts w:hint="eastAsia" w:ascii="宋体" w:hAnsi="宋体" w:cs="宋体"/>
          <w:b/>
          <w:bCs/>
          <w:sz w:val="24"/>
        </w:rPr>
      </w:r>
      <w:r/>
    </w:p>
    <w:p>
      <w:pPr>
        <w:pStyle w:val="723"/>
        <w:jc w:val="center"/>
        <w:spacing w:line="360" w:lineRule="auto"/>
        <w:rPr>
          <w:rFonts w:hint="eastAsia" w:ascii="宋体" w:hAnsi="宋体"/>
          <w:b/>
          <w:sz w:val="32"/>
          <w:szCs w:val="32"/>
        </w:rPr>
      </w:pPr>
      <w:r>
        <w:rPr>
          <w:rFonts w:hint="eastAsia" w:ascii="宋体" w:hAnsi="宋体"/>
          <w:b/>
          <w:sz w:val="32"/>
          <w:szCs w:val="32"/>
        </w:rPr>
      </w:r>
      <w:r/>
    </w:p>
    <w:p>
      <w:pPr>
        <w:pStyle w:val="723"/>
        <w:jc w:val="center"/>
        <w:spacing w:line="360" w:lineRule="auto"/>
        <w:rPr>
          <w:rFonts w:ascii="宋体" w:hAnsi="宋体"/>
          <w:b/>
          <w:sz w:val="24"/>
        </w:rPr>
      </w:pPr>
      <w:r>
        <w:rPr>
          <w:rFonts w:hint="eastAsia" w:ascii="宋体" w:hAnsi="宋体"/>
          <w:b/>
          <w:sz w:val="24"/>
        </w:rPr>
        <w:t xml:space="preserve">参加本项目人员一览表</w:t>
      </w:r>
      <w:r>
        <w:rPr>
          <w:rFonts w:ascii="宋体" w:hAnsi="宋体"/>
          <w:b/>
          <w:sz w:val="24"/>
        </w:rPr>
      </w:r>
      <w:r/>
    </w:p>
    <w:p>
      <w:pPr>
        <w:pStyle w:val="723"/>
        <w:spacing w:line="360" w:lineRule="auto"/>
        <w:rPr>
          <w:rFonts w:ascii="宋体" w:hAnsi="宋体"/>
          <w:sz w:val="22"/>
        </w:rPr>
      </w:pPr>
      <w:r>
        <w:rPr>
          <w:rFonts w:ascii="宋体" w:hAnsi="宋体"/>
          <w:sz w:val="22"/>
        </w:rPr>
      </w:r>
      <w:r/>
    </w:p>
    <w:p>
      <w:pPr>
        <w:pStyle w:val="723"/>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35"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36"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36"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36"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36" w:type="dxa"/>
            <w:vAlign w:val="center"/>
            <w:textDirection w:val="lrTb"/>
            <w:noWrap w:val="false"/>
          </w:tcPr>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723"/>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723"/>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723"/>
        <w:tabs>
          <w:tab w:val="left" w:pos="9765" w:leader="none"/>
        </w:tabs>
        <w:rPr>
          <w:rFonts w:ascii="宋体" w:hAnsi="宋体" w:cs="宋体"/>
          <w:b/>
          <w:szCs w:val="21"/>
          <w:lang w:val="zh-CN"/>
        </w:rPr>
      </w:pPr>
      <w:r>
        <w:rPr>
          <w:rFonts w:ascii="宋体" w:hAnsi="宋体" w:cs="宋体"/>
          <w:b/>
          <w:szCs w:val="21"/>
          <w:lang w:val="zh-CN"/>
        </w:rPr>
      </w:r>
      <w:r/>
    </w:p>
    <w:p>
      <w:pPr>
        <w:pStyle w:val="723"/>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rPr>
          <w:rFonts w:ascii="宋体" w:hAnsi="宋体" w:cs="宋体"/>
          <w:b/>
          <w:szCs w:val="21"/>
        </w:rPr>
      </w:r>
      <w:r/>
    </w:p>
    <w:p>
      <w:pPr>
        <w:pStyle w:val="723"/>
        <w:spacing w:line="360" w:lineRule="auto"/>
        <w:rPr>
          <w:rFonts w:ascii="宋体" w:hAnsi="宋体"/>
          <w:szCs w:val="21"/>
        </w:rPr>
      </w:pPr>
      <w:r>
        <w:rPr>
          <w:rFonts w:ascii="宋体" w:hAnsi="宋体"/>
          <w:szCs w:val="21"/>
        </w:rPr>
      </w:r>
      <w:r/>
    </w:p>
    <w:p>
      <w:pPr>
        <w:pStyle w:val="723"/>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723"/>
        <w:spacing w:before="25" w:after="25" w:line="360" w:lineRule="auto"/>
        <w:rPr>
          <w:color w:val="000000"/>
          <w:szCs w:val="21"/>
          <w:lang w:val="zh-CN"/>
        </w:rPr>
      </w:pPr>
      <w:r>
        <w:rPr>
          <w:color w:val="000000"/>
          <w:szCs w:val="21"/>
        </w:rPr>
        <w:t xml:space="preserve">日期：_____年______月______日   </w:t>
      </w:r>
      <w:r>
        <w:rPr>
          <w:color w:val="000000"/>
          <w:szCs w:val="21"/>
          <w:lang w:val="zh-CN"/>
        </w:rPr>
      </w:r>
      <w:r/>
    </w:p>
    <w:p>
      <w:pPr>
        <w:pStyle w:val="723"/>
        <w:rPr>
          <w:rFonts w:hint="eastAsia" w:ascii="宋体" w:hAnsi="宋体" w:cs="宋体"/>
          <w:b/>
          <w:bCs/>
          <w:sz w:val="24"/>
        </w:rPr>
      </w:pPr>
      <w:r>
        <w:rPr>
          <w:sz w:val="22"/>
        </w:rPr>
        <w:br w:type="page" w:clear="all"/>
      </w:r>
      <w:bookmarkStart w:id="716" w:name="_Toc288738839"/>
      <w:r/>
      <w:bookmarkStart w:id="717" w:name="_Toc288738397"/>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、相关业绩案例一览表</w:t>
      </w:r>
      <w:r>
        <w:rPr>
          <w:rFonts w:hint="eastAsia" w:ascii="宋体" w:hAnsi="宋体" w:cs="宋体"/>
          <w:b/>
          <w:bCs/>
          <w:sz w:val="24"/>
        </w:rPr>
      </w:r>
      <w:r/>
    </w:p>
    <w:p>
      <w:pPr>
        <w:pStyle w:val="723"/>
        <w:rPr>
          <w:color w:val="000000"/>
          <w:sz w:val="24"/>
          <w:szCs w:val="20"/>
        </w:rPr>
      </w:pPr>
      <w:r>
        <w:rPr>
          <w:color w:val="000000"/>
          <w:sz w:val="24"/>
          <w:szCs w:val="20"/>
        </w:rPr>
      </w:r>
      <w:r/>
    </w:p>
    <w:p>
      <w:pPr>
        <w:pStyle w:val="723"/>
        <w:jc w:val="center"/>
        <w:rPr>
          <w:rFonts w:ascii="宋体" w:hAnsi="宋体"/>
          <w:b/>
          <w:sz w:val="24"/>
        </w:rPr>
      </w:pPr>
      <w:r>
        <w:rPr>
          <w:rFonts w:hint="eastAsia" w:ascii="宋体" w:hAnsi="宋体"/>
          <w:b/>
          <w:sz w:val="24"/>
        </w:rPr>
        <w:t xml:space="preserve">相关业绩案例一览表</w:t>
      </w:r>
      <w:bookmarkEnd w:id="716"/>
      <w:r/>
      <w:bookmarkEnd w:id="717"/>
      <w:r>
        <w:rPr>
          <w:rFonts w:ascii="宋体" w:hAnsi="宋体"/>
          <w:b/>
          <w:sz w:val="24"/>
        </w:rPr>
      </w:r>
      <w:r/>
    </w:p>
    <w:p>
      <w:pPr>
        <w:pStyle w:val="723"/>
        <w:jc w:val="center"/>
        <w:spacing w:line="360" w:lineRule="auto"/>
        <w:rPr>
          <w:rFonts w:ascii="宋体" w:hAnsi="宋体"/>
          <w:b/>
          <w:sz w:val="28"/>
          <w:szCs w:val="30"/>
        </w:rPr>
      </w:pPr>
      <w:r>
        <w:rPr>
          <w:rFonts w:ascii="宋体" w:hAnsi="宋体"/>
          <w:b/>
          <w:sz w:val="28"/>
          <w:szCs w:val="30"/>
        </w:rPr>
      </w:r>
      <w:r/>
    </w:p>
    <w:p>
      <w:pPr>
        <w:pStyle w:val="72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723"/>
        <w:tabs>
          <w:tab w:val="left" w:pos="9765" w:leader="none"/>
        </w:tabs>
        <w:rPr>
          <w:rFonts w:hint="eastAsia" w:ascii="宋体" w:hAnsi="宋体" w:cs="宋体"/>
          <w:szCs w:val="21"/>
          <w:lang w:val="zh-CN"/>
        </w:rPr>
      </w:pPr>
      <w:r>
        <w:rPr>
          <w:rFonts w:hint="eastAsia" w:ascii="宋体" w:hAnsi="宋体" w:cs="宋体"/>
          <w:szCs w:val="21"/>
          <w:lang w:val="zh-CN"/>
        </w:rPr>
      </w:r>
      <w:r/>
    </w:p>
    <w:p>
      <w:pPr>
        <w:pStyle w:val="723"/>
        <w:spacing w:line="360" w:lineRule="auto"/>
        <w:rPr>
          <w:rFonts w:hint="eastAsia" w:ascii="宋体" w:hAnsi="宋体" w:cs="宋体"/>
          <w:szCs w:val="21"/>
        </w:rPr>
      </w:pPr>
      <w:r>
        <w:rPr>
          <w:rFonts w:hint="eastAsia" w:ascii="宋体" w:hAnsi="宋体" w:cs="宋体"/>
          <w:szCs w:val="21"/>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2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723"/>
        <w:spacing w:line="360" w:lineRule="auto"/>
        <w:rPr>
          <w:rFonts w:hint="eastAsia"/>
          <w:color w:val="000000"/>
          <w:sz w:val="24"/>
          <w:szCs w:val="20"/>
        </w:rPr>
        <w:outlineLvl w:val="2"/>
      </w:pPr>
      <w:r>
        <w:rPr>
          <w:rFonts w:hint="eastAsia"/>
          <w:color w:val="000000"/>
          <w:sz w:val="24"/>
          <w:szCs w:val="20"/>
        </w:rPr>
      </w:r>
      <w:r/>
    </w:p>
    <w:p>
      <w:pPr>
        <w:pStyle w:val="809"/>
        <w:rPr>
          <w:b/>
          <w:sz w:val="36"/>
          <w:szCs w:val="36"/>
        </w:rPr>
      </w:pPr>
      <w:r>
        <w:rPr>
          <w:b/>
          <w:sz w:val="36"/>
          <w:szCs w:val="36"/>
        </w:rPr>
      </w:r>
      <w:r/>
    </w:p>
    <w:p>
      <w:pPr>
        <w:pStyle w:val="809"/>
        <w:rPr>
          <w:rFonts w:hint="eastAsia" w:ascii="宋体" w:hAnsi="宋体" w:cs="宋体"/>
          <w:b/>
          <w:bCs/>
          <w:color w:val="000000"/>
        </w:rPr>
      </w:pPr>
      <w:r>
        <w:rPr>
          <w:rFonts w:hint="eastAsia" w:ascii="宋体" w:hAnsi="宋体" w:cs="宋体"/>
          <w:b/>
          <w:bCs/>
          <w:color w:val="000000"/>
        </w:rPr>
      </w:r>
      <w:r/>
    </w:p>
    <w:p>
      <w:pPr>
        <w:pStyle w:val="723"/>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23"/>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23"/>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23"/>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23"/>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23"/>
        <w:numPr>
          <w:ilvl w:val="0"/>
          <w:numId w:val="0"/>
        </w:num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lang w:val="en-US" w:eastAsia="zh-CN" w:bidi="ar-SA"/>
        </w:rPr>
        <w:t xml:space="preserve">14、</w:t>
      </w:r>
      <w:r>
        <w:rPr>
          <w:rFonts w:hint="eastAsia" w:ascii="宋体" w:hAnsi="宋体"/>
          <w:b/>
          <w:bCs/>
          <w:sz w:val="24"/>
          <w:szCs w:val="24"/>
          <w:lang w:val="en-US" w:eastAsia="zh-CN" w:bidi="ar-SA"/>
        </w:rPr>
        <w:t xml:space="preserve">工程质量保证</w:t>
      </w:r>
      <w:r>
        <w:rPr>
          <w:rFonts w:hint="eastAsia" w:ascii="宋体" w:hAnsi="宋体"/>
          <w:b/>
          <w:bCs/>
          <w:sz w:val="24"/>
          <w:szCs w:val="24"/>
          <w:lang w:val="en-US" w:eastAsia="zh-TW" w:bidi="ar-SA"/>
        </w:rPr>
        <w:t xml:space="preserve">承诺书</w:t>
      </w:r>
      <w:r>
        <w:rPr>
          <w:rFonts w:hint="eastAsia" w:ascii="宋体" w:hAnsi="宋体" w:eastAsia="宋体" w:cs="宋体"/>
          <w:b/>
          <w:bCs/>
          <w:sz w:val="24"/>
          <w:szCs w:val="24"/>
          <w:lang w:val="en-US" w:eastAsia="zh-CN" w:bidi="ar-SA"/>
        </w:rPr>
      </w:r>
      <w:r/>
    </w:p>
    <w:p>
      <w:pPr>
        <w:pStyle w:val="809"/>
        <w:numPr>
          <w:ilvl w:val="0"/>
          <w:numId w:val="0"/>
        </w:numPr>
        <w:rPr>
          <w:rFonts w:hint="eastAsia"/>
        </w:rPr>
      </w:pPr>
      <w:r>
        <w:rPr>
          <w:rFonts w:hint="eastAsia"/>
        </w:rPr>
      </w:r>
      <w:r/>
    </w:p>
    <w:p>
      <w:pPr>
        <w:pStyle w:val="724"/>
        <w:keepLines w:val="0"/>
        <w:keepNext w:val="0"/>
        <w:pageBreakBefore w:val="0"/>
        <w:spacing w:line="360" w:lineRule="auto"/>
        <w:widowControl w:val="off"/>
        <w:tabs>
          <w:tab w:val="left" w:pos="432" w:leader="none"/>
        </w:tabs>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工程质量保证</w:t>
      </w:r>
      <w:r>
        <w:rPr>
          <w:rFonts w:hint="eastAsia" w:ascii="宋体" w:hAnsi="宋体" w:eastAsia="宋体" w:cs="宋体"/>
          <w:b/>
          <w:bCs/>
          <w:color w:val="000000"/>
          <w:sz w:val="24"/>
        </w:rPr>
        <w:t xml:space="preserve">承诺书</w:t>
      </w:r>
      <w:r>
        <w:rPr>
          <w:rFonts w:hint="eastAsia" w:ascii="宋体" w:hAnsi="宋体" w:eastAsia="宋体" w:cs="宋体"/>
          <w:b/>
          <w:bCs/>
          <w:color w:val="000000"/>
          <w:sz w:val="24"/>
        </w:rPr>
      </w:r>
      <w:r/>
    </w:p>
    <w:p>
      <w:pPr>
        <w:pStyle w:val="723"/>
        <w:ind w:firstLine="21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23"/>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工程质量保证</w:t>
      </w:r>
      <w:r>
        <w:rPr>
          <w:rFonts w:hint="eastAsia" w:ascii="宋体" w:hAnsi="宋体" w:cs="宋体"/>
          <w:color w:val="000000"/>
          <w:szCs w:val="21"/>
        </w:rPr>
        <w:t xml:space="preserve">承诺如下：</w:t>
      </w:r>
      <w:r>
        <w:rPr>
          <w:rFonts w:hint="eastAsia" w:ascii="宋体" w:hAnsi="宋体" w:cs="宋体"/>
          <w:color w:val="000000"/>
          <w:szCs w:val="21"/>
        </w:rPr>
      </w:r>
      <w:r/>
    </w:p>
    <w:p>
      <w:pPr>
        <w:pStyle w:val="723"/>
        <w:spacing w:line="360" w:lineRule="auto"/>
        <w:rPr>
          <w:rFonts w:hint="eastAsia" w:ascii="宋体" w:hAnsi="宋体" w:cs="宋体"/>
          <w:szCs w:val="21"/>
        </w:rPr>
      </w:pPr>
      <w:r>
        <w:rPr>
          <w:rFonts w:hint="eastAsia" w:ascii="宋体" w:hAnsi="宋体" w:cs="宋体"/>
          <w:szCs w:val="21"/>
        </w:rPr>
      </w:r>
      <w:r/>
    </w:p>
    <w:p>
      <w:pPr>
        <w:pStyle w:val="723"/>
        <w:spacing w:line="360" w:lineRule="auto"/>
        <w:rPr>
          <w:rFonts w:hint="eastAsia" w:ascii="宋体" w:hAnsi="宋体" w:cs="宋体"/>
          <w:szCs w:val="21"/>
        </w:rPr>
      </w:pPr>
      <w:r>
        <w:rPr>
          <w:rFonts w:hint="eastAsia" w:ascii="宋体" w:hAnsi="宋体" w:cs="宋体"/>
          <w:szCs w:val="21"/>
        </w:rPr>
      </w:r>
      <w:r/>
    </w:p>
    <w:p>
      <w:pPr>
        <w:pStyle w:val="723"/>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23"/>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23"/>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23"/>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rPr>
      </w:r>
      <w:r/>
    </w:p>
    <w:p>
      <w:pPr>
        <w:pStyle w:val="723"/>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法定代表人或代理人（签字或盖章）：_______________</w:t>
      </w:r>
      <w:r>
        <w:rPr>
          <w:rFonts w:hint="eastAsia" w:ascii="宋体" w:hAnsi="宋体" w:eastAsia="宋体" w:cs="宋体"/>
          <w:sz w:val="21"/>
          <w:szCs w:val="21"/>
        </w:rPr>
      </w:r>
      <w:r/>
    </w:p>
    <w:p>
      <w:pPr>
        <w:pStyle w:val="723"/>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日期：______年___月___</w:t>
      </w:r>
      <w:r>
        <w:rPr>
          <w:rFonts w:hint="eastAsia" w:ascii="宋体" w:hAnsi="宋体" w:eastAsia="宋体" w:cs="宋体"/>
          <w:sz w:val="21"/>
          <w:szCs w:val="21"/>
        </w:rPr>
      </w:r>
      <w:r/>
    </w:p>
    <w:p>
      <w:pPr>
        <w:pStyle w:val="809"/>
        <w:rPr>
          <w:rFonts w:hint="eastAsia" w:ascii="宋体" w:hAnsi="宋体" w:eastAsia="宋体" w:cs="宋体"/>
          <w:sz w:val="21"/>
          <w:szCs w:val="21"/>
        </w:rPr>
      </w:pPr>
      <w:r>
        <w:rPr>
          <w:rFonts w:hint="eastAsia" w:ascii="宋体" w:hAnsi="宋体" w:eastAsia="宋体" w:cs="宋体"/>
          <w:sz w:val="21"/>
          <w:szCs w:val="21"/>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15、磋商文件要求提供或供应商认为应附的其他材料</w:t>
      </w:r>
      <w:r>
        <w:rPr>
          <w:rFonts w:hint="eastAsia" w:ascii="宋体" w:hAnsi="宋体" w:eastAsia="宋体" w:cs="宋体"/>
          <w:b/>
          <w:bCs/>
          <w:color w:val="000000"/>
          <w:sz w:val="24"/>
          <w:szCs w:val="24"/>
          <w:lang w:val="en-US" w:eastAsia="zh-CN" w:bidi="ar-SA"/>
        </w:rPr>
      </w:r>
      <w:r/>
    </w:p>
    <w:p>
      <w:pPr>
        <w:pStyle w:val="809"/>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（如营业执照等）</w:t>
      </w:r>
      <w:r/>
    </w:p>
    <w:sectPr>
      <w:headerReference w:type="default" r:id="rId9"/>
      <w:headerReference w:type="even" r:id="rId10"/>
      <w:footerReference w:type="default" r:id="rId11"/>
      <w:footerReference w:type="even" r:id="rId12"/>
      <w:footnotePr/>
      <w:endnotePr/>
      <w:type w:val="nextPage"/>
      <w:pgSz w:w="11907" w:h="16840" w:orient="portrait"/>
      <w:pgMar w:top="1418" w:right="1134" w:bottom="1134" w:left="1417" w:header="1020"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2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fldChar w:fldCharType="begin"/>
    </w:r>
    <w:r>
      <w:rPr>
        <w:rStyle w:val="798"/>
      </w:rPr>
      <w:instrText xml:space="preserve">PAGE  </w:instrText>
    </w:r>
    <w:r>
      <w:rPr>
        <w:rStyle w:val="798"/>
      </w:rPr>
      <w:fldChar w:fldCharType="end"/>
    </w:r>
    <w:r>
      <w:rPr>
        <w:rStyle w:val="798"/>
      </w:rPr>
    </w:r>
    <w:r/>
  </w:p>
  <w:p>
    <w:pPr>
      <w:pStyle w:val="772"/>
      <w:ind w:right="360"/>
      <w:tabs>
        <w:tab w:val="center" w:pos="4153" w:leader="none"/>
        <w:tab w:val="right" w:pos="8306" w:leader="none"/>
      </w:tabs>
    </w:pPr>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left"/>
      <w:widowControl w:val="off"/>
      <w:rPr>
        <w:rFonts w:hint="eastAsia"/>
      </w:rPr>
      <w:pBdr>
        <w:bottom w:val="single" w:color="000000" w:sz="4" w:space="1"/>
      </w:pBdr>
    </w:pPr>
    <w:r>
      <w:rPr>
        <w:rFonts w:hint="eastAsia" w:ascii="Times New Roman" w:hAnsi="Times New Roman" w:eastAsia="宋体" w:cs="Times New Roman"/>
        <w:sz w:val="10"/>
        <w:szCs w:val="10"/>
        <w:lang w:val="en-US" w:eastAsia="zh-CN" w:bidi="ar-SA"/>
      </w:rPr>
      <w:t xml:space="preserve"> </w:t>
    </w: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184615" cy="1822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615" cy="18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eastAsia="宋体" w:cs="宋体"/>
        <w:color w:val="000000"/>
        <w:spacing w:val="2"/>
        <w:sz w:val="18"/>
        <w:szCs w:val="18"/>
        <w:lang w:val="en-US" w:eastAsia="zh-CN" w:bidi="ar-SA"/>
      </w:rPr>
      <w:t xml:space="preserve">溧阳市正投招投标有限公司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p>
    <w:pPr>
      <w:pStyle w:val="7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4941" w:hanging="1140"/>
        <w:tabs>
          <w:tab w:val="num" w:pos="4941" w:leader="none"/>
        </w:tabs>
      </w:pPr>
      <w:rPr>
        <w:rFonts w:hint="eastAsia"/>
      </w:rPr>
    </w:lvl>
    <w:lvl w:ilvl="1">
      <w:start w:val="1"/>
      <w:numFmt w:val="lowerLetter"/>
      <w:isLgl w:val="false"/>
      <w:suff w:val="tab"/>
      <w:lvlText w:val="%2)"/>
      <w:lvlJc w:val="left"/>
      <w:pPr>
        <w:pStyle w:val="723"/>
        <w:ind w:left="4641" w:hanging="420"/>
        <w:tabs>
          <w:tab w:val="num" w:pos="4641" w:leader="none"/>
        </w:tabs>
      </w:pPr>
    </w:lvl>
    <w:lvl w:ilvl="2">
      <w:start w:val="1"/>
      <w:numFmt w:val="lowerRoman"/>
      <w:isLgl w:val="false"/>
      <w:suff w:val="tab"/>
      <w:lvlText w:val="%3."/>
      <w:lvlJc w:val="right"/>
      <w:pPr>
        <w:pStyle w:val="723"/>
        <w:ind w:left="5061" w:hanging="420"/>
        <w:tabs>
          <w:tab w:val="num" w:pos="5061" w:leader="none"/>
        </w:tabs>
      </w:pPr>
    </w:lvl>
    <w:lvl w:ilvl="3">
      <w:start w:val="1"/>
      <w:numFmt w:val="decimal"/>
      <w:isLgl w:val="false"/>
      <w:suff w:val="tab"/>
      <w:lvlText w:val="%4."/>
      <w:lvlJc w:val="left"/>
      <w:pPr>
        <w:pStyle w:val="723"/>
        <w:ind w:left="5481" w:hanging="420"/>
        <w:tabs>
          <w:tab w:val="num" w:pos="5481" w:leader="none"/>
        </w:tabs>
      </w:pPr>
    </w:lvl>
    <w:lvl w:ilvl="4">
      <w:start w:val="1"/>
      <w:numFmt w:val="lowerLetter"/>
      <w:isLgl w:val="false"/>
      <w:suff w:val="tab"/>
      <w:lvlText w:val="%5)"/>
      <w:lvlJc w:val="left"/>
      <w:pPr>
        <w:pStyle w:val="723"/>
        <w:ind w:left="5901" w:hanging="420"/>
        <w:tabs>
          <w:tab w:val="num" w:pos="5901" w:leader="none"/>
        </w:tabs>
      </w:pPr>
    </w:lvl>
    <w:lvl w:ilvl="5">
      <w:start w:val="1"/>
      <w:numFmt w:val="lowerRoman"/>
      <w:isLgl w:val="false"/>
      <w:suff w:val="tab"/>
      <w:lvlText w:val="%6."/>
      <w:lvlJc w:val="right"/>
      <w:pPr>
        <w:pStyle w:val="723"/>
        <w:ind w:left="6321" w:hanging="420"/>
        <w:tabs>
          <w:tab w:val="num" w:pos="6321" w:leader="none"/>
        </w:tabs>
      </w:pPr>
    </w:lvl>
    <w:lvl w:ilvl="6">
      <w:start w:val="1"/>
      <w:numFmt w:val="decimal"/>
      <w:isLgl w:val="false"/>
      <w:suff w:val="tab"/>
      <w:lvlText w:val="%7."/>
      <w:lvlJc w:val="left"/>
      <w:pPr>
        <w:pStyle w:val="723"/>
        <w:ind w:left="6741" w:hanging="420"/>
        <w:tabs>
          <w:tab w:val="num" w:pos="6741" w:leader="none"/>
        </w:tabs>
      </w:pPr>
    </w:lvl>
    <w:lvl w:ilvl="7">
      <w:start w:val="1"/>
      <w:numFmt w:val="lowerLetter"/>
      <w:isLgl w:val="false"/>
      <w:suff w:val="tab"/>
      <w:lvlText w:val="%8)"/>
      <w:lvlJc w:val="left"/>
      <w:pPr>
        <w:pStyle w:val="723"/>
        <w:ind w:left="7161" w:hanging="420"/>
        <w:tabs>
          <w:tab w:val="num" w:pos="7161" w:leader="none"/>
        </w:tabs>
      </w:pPr>
    </w:lvl>
    <w:lvl w:ilvl="8">
      <w:start w:val="1"/>
      <w:numFmt w:val="lowerRoman"/>
      <w:isLgl w:val="false"/>
      <w:suff w:val="tab"/>
      <w:lvlText w:val="%9."/>
      <w:lvlJc w:val="right"/>
      <w:pPr>
        <w:pStyle w:val="723"/>
        <w:ind w:left="7581" w:hanging="420"/>
        <w:tabs>
          <w:tab w:val="num" w:pos="7581" w:leader="none"/>
        </w:tabs>
      </w:pPr>
    </w:lvl>
  </w:abstractNum>
  <w:abstractNum w:abstractNumId="1">
    <w:multiLevelType w:val="hybridMultilevel"/>
    <w:lvl w:ilvl="0">
      <w:start w:val="1"/>
      <w:numFmt w:val="decimal"/>
      <w:pStyle w:val="837"/>
      <w:isLgl w:val="false"/>
      <w:suff w:val="tab"/>
      <w:lvlText w:val="%1."/>
      <w:lvlJc w:val="left"/>
      <w:pPr>
        <w:pStyle w:val="723"/>
        <w:ind w:left="420" w:hanging="420"/>
      </w:pPr>
    </w:lvl>
    <w:lvl w:ilvl="1">
      <w:start w:val="1"/>
      <w:numFmt w:val="decimal"/>
      <w:isLgl w:val="false"/>
      <w:suff w:val="tab"/>
      <w:lvlText w:val="（%2）"/>
      <w:lvlJc w:val="left"/>
      <w:pPr>
        <w:pStyle w:val="723"/>
        <w:ind w:left="1140" w:hanging="720"/>
        <w:tabs>
          <w:tab w:val="num" w:pos="1140" w:leader="none"/>
        </w:tabs>
      </w:pPr>
      <w:rPr>
        <w:rFonts w:hint="eastAsia"/>
      </w:rPr>
    </w:lvl>
    <w:lvl w:ilvl="2">
      <w:start w:val="1"/>
      <w:numFmt w:val="lowerRoman"/>
      <w:isLgl w:val="false"/>
      <w:suff w:val="tab"/>
      <w:lvlText w:val="%3."/>
      <w:lvlJc w:val="right"/>
      <w:pPr>
        <w:pStyle w:val="723"/>
        <w:ind w:left="1260" w:hanging="420"/>
      </w:pPr>
    </w:lvl>
    <w:lvl w:ilvl="3">
      <w:start w:val="1"/>
      <w:numFmt w:val="decimal"/>
      <w:isLgl w:val="false"/>
      <w:suff w:val="tab"/>
      <w:lvlText w:val="%4."/>
      <w:lvlJc w:val="left"/>
      <w:pPr>
        <w:pStyle w:val="723"/>
        <w:ind w:left="1680" w:hanging="420"/>
      </w:pPr>
    </w:lvl>
    <w:lvl w:ilvl="4">
      <w:start w:val="1"/>
      <w:numFmt w:val="lowerLetter"/>
      <w:isLgl w:val="false"/>
      <w:suff w:val="tab"/>
      <w:lvlText w:val="%5)"/>
      <w:lvlJc w:val="left"/>
      <w:pPr>
        <w:pStyle w:val="723"/>
        <w:ind w:left="2100" w:hanging="420"/>
      </w:pPr>
    </w:lvl>
    <w:lvl w:ilvl="5">
      <w:start w:val="1"/>
      <w:numFmt w:val="lowerRoman"/>
      <w:isLgl w:val="false"/>
      <w:suff w:val="tab"/>
      <w:lvlText w:val="%6."/>
      <w:lvlJc w:val="right"/>
      <w:pPr>
        <w:pStyle w:val="723"/>
        <w:ind w:left="2520" w:hanging="420"/>
      </w:pPr>
    </w:lvl>
    <w:lvl w:ilvl="6">
      <w:start w:val="1"/>
      <w:numFmt w:val="decimal"/>
      <w:isLgl w:val="false"/>
      <w:suff w:val="tab"/>
      <w:lvlText w:val="%7."/>
      <w:lvlJc w:val="left"/>
      <w:pPr>
        <w:pStyle w:val="723"/>
        <w:ind w:left="2940" w:hanging="420"/>
      </w:pPr>
    </w:lvl>
    <w:lvl w:ilvl="7">
      <w:start w:val="1"/>
      <w:numFmt w:val="lowerLetter"/>
      <w:isLgl w:val="false"/>
      <w:suff w:val="tab"/>
      <w:lvlText w:val="%8)"/>
      <w:lvlJc w:val="left"/>
      <w:pPr>
        <w:pStyle w:val="723"/>
        <w:ind w:left="3360" w:hanging="420"/>
      </w:pPr>
    </w:lvl>
    <w:lvl w:ilvl="8">
      <w:start w:val="1"/>
      <w:numFmt w:val="lowerRoman"/>
      <w:isLgl w:val="false"/>
      <w:suff w:val="tab"/>
      <w:lvlText w:val="%9."/>
      <w:lvlJc w:val="right"/>
      <w:pPr>
        <w:pStyle w:val="723"/>
        <w:ind w:left="3780" w:hanging="420"/>
      </w:pPr>
    </w:lvl>
  </w:abstractNum>
  <w:abstractNum w:abstractNumId="2">
    <w:multiLevelType w:val="hybridMultilevel"/>
    <w:lvl w:ilvl="0">
      <w:start w:val="1"/>
      <w:numFmt w:val="lowerLetter"/>
      <w:pStyle w:val="911"/>
      <w:isLgl w:val="false"/>
      <w:suff w:val="tab"/>
      <w:lvlText w:val="%1)"/>
      <w:lvlJc w:val="left"/>
      <w:pPr>
        <w:pStyle w:val="723"/>
        <w:ind w:left="902" w:hanging="420"/>
      </w:pPr>
      <w:rPr>
        <w:color w:val="000000"/>
      </w:rPr>
    </w:lvl>
    <w:lvl w:ilvl="1">
      <w:start w:val="1"/>
      <w:numFmt w:val="lowerLetter"/>
      <w:isLgl w:val="false"/>
      <w:suff w:val="tab"/>
      <w:lvlText w:val="%2)"/>
      <w:lvlJc w:val="left"/>
      <w:pPr>
        <w:pStyle w:val="723"/>
        <w:ind w:left="1322" w:hanging="420"/>
      </w:pPr>
    </w:lvl>
    <w:lvl w:ilvl="2">
      <w:start w:val="1"/>
      <w:numFmt w:val="lowerRoman"/>
      <w:isLgl w:val="false"/>
      <w:suff w:val="tab"/>
      <w:lvlText w:val="%3."/>
      <w:lvlJc w:val="right"/>
      <w:pPr>
        <w:pStyle w:val="723"/>
        <w:ind w:left="1742" w:hanging="420"/>
      </w:pPr>
    </w:lvl>
    <w:lvl w:ilvl="3">
      <w:start w:val="1"/>
      <w:numFmt w:val="decimal"/>
      <w:isLgl w:val="false"/>
      <w:suff w:val="tab"/>
      <w:lvlText w:val="%4."/>
      <w:lvlJc w:val="left"/>
      <w:pPr>
        <w:pStyle w:val="723"/>
        <w:ind w:left="2162" w:hanging="420"/>
      </w:pPr>
    </w:lvl>
    <w:lvl w:ilvl="4">
      <w:start w:val="1"/>
      <w:numFmt w:val="lowerLetter"/>
      <w:isLgl w:val="false"/>
      <w:suff w:val="tab"/>
      <w:lvlText w:val="%5)"/>
      <w:lvlJc w:val="left"/>
      <w:pPr>
        <w:pStyle w:val="723"/>
        <w:ind w:left="2582" w:hanging="420"/>
      </w:pPr>
    </w:lvl>
    <w:lvl w:ilvl="5">
      <w:start w:val="1"/>
      <w:numFmt w:val="lowerRoman"/>
      <w:isLgl w:val="false"/>
      <w:suff w:val="tab"/>
      <w:lvlText w:val="%6."/>
      <w:lvlJc w:val="right"/>
      <w:pPr>
        <w:pStyle w:val="723"/>
        <w:ind w:left="3002" w:hanging="420"/>
      </w:pPr>
    </w:lvl>
    <w:lvl w:ilvl="6">
      <w:start w:val="1"/>
      <w:numFmt w:val="decimal"/>
      <w:isLgl w:val="false"/>
      <w:suff w:val="tab"/>
      <w:lvlText w:val="%7."/>
      <w:lvlJc w:val="left"/>
      <w:pPr>
        <w:pStyle w:val="723"/>
        <w:ind w:left="3422" w:hanging="420"/>
      </w:pPr>
    </w:lvl>
    <w:lvl w:ilvl="7">
      <w:start w:val="1"/>
      <w:numFmt w:val="lowerLetter"/>
      <w:isLgl w:val="false"/>
      <w:suff w:val="tab"/>
      <w:lvlText w:val="%8)"/>
      <w:lvlJc w:val="left"/>
      <w:pPr>
        <w:pStyle w:val="723"/>
        <w:ind w:left="3842" w:hanging="420"/>
      </w:pPr>
    </w:lvl>
    <w:lvl w:ilvl="8">
      <w:start w:val="1"/>
      <w:numFmt w:val="lowerRoman"/>
      <w:isLgl w:val="false"/>
      <w:suff w:val="tab"/>
      <w:lvlText w:val="%9."/>
      <w:lvlJc w:val="right"/>
      <w:pPr>
        <w:pStyle w:val="723"/>
        <w:ind w:left="4262" w:hanging="420"/>
      </w:pPr>
    </w:lvl>
  </w:abstractNum>
  <w:abstractNum w:abstractNumId="3">
    <w:multiLevelType w:val="hybridMultilevel"/>
    <w:lvl w:ilvl="0">
      <w:start w:val="1"/>
      <w:numFmt w:val="decimal"/>
      <w:pStyle w:val="882"/>
      <w:isLgl w:val="false"/>
      <w:suff w:val="tab"/>
      <w:lvlText w:val="%1."/>
      <w:lvlJc w:val="left"/>
      <w:pPr>
        <w:pStyle w:val="72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7"/>
      <w:isLgl w:val="false"/>
      <w:suff w:val="nothing"/>
      <w:lvlText w:val="%1　"/>
      <w:lvlJc w:val="left"/>
      <w:pPr>
        <w:pStyle w:val="72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3"/>
        <w:ind w:left="-25" w:firstLine="0"/>
      </w:pPr>
      <w:rPr>
        <w:rFonts w:ascii="Times New Roman" w:hAnsi="Times New Roman" w:eastAsia="黑体"/>
        <w:b/>
        <w:i w:val="0"/>
        <w:sz w:val="28"/>
      </w:rPr>
    </w:lvl>
    <w:lvl w:ilvl="3">
      <w:start w:val="1"/>
      <w:numFmt w:val="decimal"/>
      <w:pStyle w:val="867"/>
      <w:isLgl w:val="false"/>
      <w:suff w:val="nothing"/>
      <w:lvlText w:val="%1.%2.%3.%4　"/>
      <w:lvlJc w:val="left"/>
      <w:pPr>
        <w:pStyle w:val="72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3"/>
        <w:ind w:left="-25" w:firstLine="0"/>
      </w:pPr>
      <w:rPr>
        <w:rFonts w:ascii="Times New Roman" w:hAnsi="Times New Roman" w:eastAsia="宋体"/>
        <w:b/>
        <w:i w:val="0"/>
        <w:sz w:val="28"/>
      </w:rPr>
    </w:lvl>
    <w:lvl w:ilvl="6">
      <w:start w:val="1"/>
      <w:numFmt w:val="lowerLetter"/>
      <w:pStyle w:val="888"/>
      <w:isLgl w:val="false"/>
      <w:suff w:val="tab"/>
      <w:lvlText w:val="%7) "/>
      <w:lvlJc w:val="left"/>
      <w:pPr>
        <w:pStyle w:val="723"/>
        <w:ind w:left="-125" w:firstLine="400"/>
        <w:tabs>
          <w:tab w:val="num" w:pos="635" w:leader="none"/>
        </w:tabs>
      </w:pPr>
      <w:rPr>
        <w:rFonts w:ascii="Times New Roman" w:hAnsi="Times New Roman" w:eastAsia="宋体"/>
        <w:b/>
        <w:i w:val="0"/>
        <w:color w:val="000000"/>
        <w:sz w:val="28"/>
        <w:u w:val="none"/>
      </w:rPr>
    </w:lvl>
    <w:lvl w:ilvl="7">
      <w:start w:val="1"/>
      <w:numFmt w:val="decimal"/>
      <w:pStyle w:val="851"/>
      <w:isLgl w:val="false"/>
      <w:suff w:val="tab"/>
      <w:lvlText w:val="%8) "/>
      <w:lvlJc w:val="left"/>
      <w:pPr>
        <w:pStyle w:val="72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23"/>
        <w:ind w:left="768" w:hanging="360"/>
        <w:tabs>
          <w:tab w:val="num" w:pos="768" w:leader="none"/>
        </w:tabs>
      </w:pPr>
      <w:rPr>
        <w:rFonts w:hint="eastAsia"/>
      </w:rPr>
    </w:lvl>
    <w:lvl w:ilvl="1">
      <w:start w:val="1"/>
      <w:numFmt w:val="decimal"/>
      <w:pStyle w:val="869"/>
      <w:isLgl w:val="false"/>
      <w:suff w:val="tab"/>
      <w:lvlText w:val="%2、"/>
      <w:lvlJc w:val="left"/>
      <w:pPr>
        <w:pStyle w:val="723"/>
        <w:ind w:left="1188" w:hanging="360"/>
        <w:tabs>
          <w:tab w:val="num" w:pos="1188" w:leader="none"/>
        </w:tabs>
      </w:pPr>
      <w:rPr>
        <w:rFonts w:hint="eastAsia"/>
      </w:rPr>
    </w:lvl>
    <w:lvl w:ilvl="2">
      <w:start w:val="1"/>
      <w:numFmt w:val="decimal"/>
      <w:isLgl w:val="false"/>
      <w:suff w:val="tab"/>
      <w:lvlText w:val="（%3）"/>
      <w:lvlJc w:val="left"/>
      <w:pPr>
        <w:pStyle w:val="723"/>
        <w:ind w:left="1968" w:hanging="720"/>
        <w:tabs>
          <w:tab w:val="num" w:pos="1968" w:leader="none"/>
        </w:tabs>
      </w:pPr>
      <w:rPr>
        <w:rFonts w:hint="eastAsia"/>
        <w:u w:val="none"/>
      </w:rPr>
    </w:lvl>
    <w:lvl w:ilvl="3">
      <w:start w:val="1"/>
      <w:numFmt w:val="decimal"/>
      <w:isLgl w:val="false"/>
      <w:suff w:val="tab"/>
      <w:lvlText w:val="%4."/>
      <w:lvlJc w:val="left"/>
      <w:pPr>
        <w:pStyle w:val="723"/>
        <w:ind w:left="2088" w:hanging="420"/>
        <w:tabs>
          <w:tab w:val="num" w:pos="2088" w:leader="none"/>
        </w:tabs>
      </w:pPr>
    </w:lvl>
    <w:lvl w:ilvl="4">
      <w:start w:val="1"/>
      <w:numFmt w:val="lowerLetter"/>
      <w:isLgl w:val="false"/>
      <w:suff w:val="tab"/>
      <w:lvlText w:val="%5)"/>
      <w:lvlJc w:val="left"/>
      <w:pPr>
        <w:pStyle w:val="723"/>
        <w:ind w:left="2508" w:hanging="420"/>
        <w:tabs>
          <w:tab w:val="num" w:pos="2508" w:leader="none"/>
        </w:tabs>
      </w:pPr>
    </w:lvl>
    <w:lvl w:ilvl="5">
      <w:start w:val="1"/>
      <w:numFmt w:val="lowerRoman"/>
      <w:isLgl w:val="false"/>
      <w:suff w:val="tab"/>
      <w:lvlText w:val="%6."/>
      <w:lvlJc w:val="right"/>
      <w:pPr>
        <w:pStyle w:val="723"/>
        <w:ind w:left="2928" w:hanging="420"/>
        <w:tabs>
          <w:tab w:val="num" w:pos="2928" w:leader="none"/>
        </w:tabs>
      </w:pPr>
    </w:lvl>
    <w:lvl w:ilvl="6">
      <w:start w:val="1"/>
      <w:numFmt w:val="decimal"/>
      <w:isLgl w:val="false"/>
      <w:suff w:val="tab"/>
      <w:lvlText w:val="%7."/>
      <w:lvlJc w:val="left"/>
      <w:pPr>
        <w:pStyle w:val="723"/>
        <w:ind w:left="3348" w:hanging="420"/>
        <w:tabs>
          <w:tab w:val="num" w:pos="3348" w:leader="none"/>
        </w:tabs>
      </w:pPr>
    </w:lvl>
    <w:lvl w:ilvl="7">
      <w:start w:val="1"/>
      <w:numFmt w:val="lowerLetter"/>
      <w:isLgl w:val="false"/>
      <w:suff w:val="tab"/>
      <w:lvlText w:val="%8)"/>
      <w:lvlJc w:val="left"/>
      <w:pPr>
        <w:pStyle w:val="723"/>
        <w:ind w:left="3768" w:hanging="420"/>
        <w:tabs>
          <w:tab w:val="num" w:pos="3768" w:leader="none"/>
        </w:tabs>
      </w:pPr>
    </w:lvl>
    <w:lvl w:ilvl="8">
      <w:start w:val="1"/>
      <w:numFmt w:val="lowerRoman"/>
      <w:isLgl w:val="false"/>
      <w:suff w:val="tab"/>
      <w:lvlText w:val="%9."/>
      <w:lvlJc w:val="right"/>
      <w:pPr>
        <w:pStyle w:val="72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23"/>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723"/>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723"/>
        <w:ind w:left="1980" w:hanging="900"/>
        <w:tabs>
          <w:tab w:val="num" w:pos="1980" w:leader="none"/>
        </w:tabs>
      </w:pPr>
      <w:rPr>
        <w:rFonts w:hint="eastAsia"/>
      </w:rPr>
    </w:lvl>
    <w:lvl w:ilvl="3">
      <w:start w:val="1"/>
      <w:numFmt w:val="decimal"/>
      <w:isLgl w:val="false"/>
      <w:suff w:val="tab"/>
      <w:lvlText w:val="%1.%2.%3.%4"/>
      <w:lvlJc w:val="left"/>
      <w:pPr>
        <w:pStyle w:val="723"/>
        <w:ind w:left="900" w:hanging="900"/>
        <w:tabs>
          <w:tab w:val="num" w:pos="900" w:leader="none"/>
        </w:tabs>
      </w:pPr>
      <w:rPr>
        <w:rFonts w:hint="eastAsia"/>
      </w:rPr>
    </w:lvl>
    <w:lvl w:ilvl="4">
      <w:start w:val="1"/>
      <w:numFmt w:val="decimal"/>
      <w:isLgl w:val="false"/>
      <w:suff w:val="tab"/>
      <w:lvlText w:val="%1.%2.%3.%4.%5"/>
      <w:lvlJc w:val="left"/>
      <w:pPr>
        <w:pStyle w:val="723"/>
        <w:ind w:left="900" w:hanging="900"/>
        <w:tabs>
          <w:tab w:val="num" w:pos="900" w:leader="none"/>
        </w:tabs>
      </w:pPr>
      <w:rPr>
        <w:rFonts w:hint="eastAsia"/>
      </w:rPr>
    </w:lvl>
    <w:lvl w:ilvl="5">
      <w:start w:val="1"/>
      <w:numFmt w:val="decimal"/>
      <w:isLgl w:val="false"/>
      <w:suff w:val="tab"/>
      <w:lvlText w:val="%1.%2.%3.%4.%5.%6"/>
      <w:lvlJc w:val="left"/>
      <w:pPr>
        <w:pStyle w:val="723"/>
        <w:ind w:left="900" w:hanging="900"/>
        <w:tabs>
          <w:tab w:val="num" w:pos="900" w:leader="none"/>
        </w:tabs>
      </w:pPr>
      <w:rPr>
        <w:rFonts w:hint="eastAsia"/>
      </w:rPr>
    </w:lvl>
    <w:lvl w:ilvl="6">
      <w:start w:val="1"/>
      <w:numFmt w:val="decimal"/>
      <w:isLgl w:val="false"/>
      <w:suff w:val="tab"/>
      <w:lvlText w:val="%1.%2.%3.%4.%5.%6.%7"/>
      <w:lvlJc w:val="left"/>
      <w:pPr>
        <w:pStyle w:val="723"/>
        <w:ind w:left="900" w:hanging="900"/>
        <w:tabs>
          <w:tab w:val="num" w:pos="900" w:leader="none"/>
        </w:tabs>
      </w:pPr>
      <w:rPr>
        <w:rFonts w:hint="eastAsia"/>
      </w:rPr>
    </w:lvl>
    <w:lvl w:ilvl="7">
      <w:start w:val="1"/>
      <w:numFmt w:val="decimal"/>
      <w:isLgl w:val="false"/>
      <w:suff w:val="tab"/>
      <w:lvlText w:val="%1.%2.%3.%4.%5.%6.%7.%8"/>
      <w:lvlJc w:val="left"/>
      <w:pPr>
        <w:pStyle w:val="723"/>
        <w:ind w:left="900" w:hanging="900"/>
        <w:tabs>
          <w:tab w:val="num" w:pos="900" w:leader="none"/>
        </w:tabs>
      </w:pPr>
      <w:rPr>
        <w:rFonts w:hint="eastAsia"/>
      </w:rPr>
    </w:lvl>
    <w:lvl w:ilvl="8">
      <w:start w:val="1"/>
      <w:numFmt w:val="decimal"/>
      <w:isLgl w:val="false"/>
      <w:suff w:val="tab"/>
      <w:lvlText w:val="%1.%2.%3.%4.%5.%6.%7.%8.%9"/>
      <w:lvlJc w:val="left"/>
      <w:pPr>
        <w:pStyle w:val="723"/>
        <w:ind w:left="900" w:hanging="900"/>
        <w:tabs>
          <w:tab w:val="num" w:pos="900" w:leader="none"/>
        </w:tabs>
      </w:pPr>
      <w:rPr>
        <w:rFonts w:hint="eastAsia"/>
      </w:rPr>
    </w:lvl>
  </w:abstractNum>
  <w:abstractNum w:abstractNumId="7">
    <w:multiLevelType w:val="hybridMultilevel"/>
    <w:lvl w:ilvl="0">
      <w:start w:val="1"/>
      <w:numFmt w:val="decimal"/>
      <w:pStyle w:val="836"/>
      <w:isLgl w:val="false"/>
      <w:suff w:val="tab"/>
      <w:lvlText w:val="%1)"/>
      <w:lvlJc w:val="left"/>
      <w:pPr>
        <w:pStyle w:val="723"/>
        <w:ind w:left="420" w:hanging="420"/>
      </w:pPr>
    </w:lvl>
    <w:lvl w:ilvl="1">
      <w:start w:val="1"/>
      <w:numFmt w:val="lowerLetter"/>
      <w:isLgl w:val="false"/>
      <w:suff w:val="tab"/>
      <w:lvlText w:val="%2)"/>
      <w:lvlJc w:val="left"/>
      <w:pPr>
        <w:pStyle w:val="723"/>
        <w:ind w:left="840" w:hanging="420"/>
      </w:pPr>
    </w:lvl>
    <w:lvl w:ilvl="2">
      <w:start w:val="1"/>
      <w:numFmt w:val="lowerRoman"/>
      <w:isLgl w:val="false"/>
      <w:suff w:val="tab"/>
      <w:lvlText w:val="%3."/>
      <w:lvlJc w:val="right"/>
      <w:pPr>
        <w:pStyle w:val="723"/>
        <w:ind w:left="1260" w:hanging="420"/>
      </w:pPr>
    </w:lvl>
    <w:lvl w:ilvl="3">
      <w:start w:val="1"/>
      <w:numFmt w:val="decimal"/>
      <w:isLgl w:val="false"/>
      <w:suff w:val="tab"/>
      <w:lvlText w:val="%4."/>
      <w:lvlJc w:val="left"/>
      <w:pPr>
        <w:pStyle w:val="723"/>
        <w:ind w:left="1680" w:hanging="420"/>
      </w:pPr>
    </w:lvl>
    <w:lvl w:ilvl="4">
      <w:start w:val="1"/>
      <w:numFmt w:val="lowerLetter"/>
      <w:isLgl w:val="false"/>
      <w:suff w:val="tab"/>
      <w:lvlText w:val="%5)"/>
      <w:lvlJc w:val="left"/>
      <w:pPr>
        <w:pStyle w:val="723"/>
        <w:ind w:left="2100" w:hanging="420"/>
      </w:pPr>
    </w:lvl>
    <w:lvl w:ilvl="5">
      <w:start w:val="1"/>
      <w:numFmt w:val="lowerRoman"/>
      <w:isLgl w:val="false"/>
      <w:suff w:val="tab"/>
      <w:lvlText w:val="%6."/>
      <w:lvlJc w:val="right"/>
      <w:pPr>
        <w:pStyle w:val="723"/>
        <w:ind w:left="2520" w:hanging="420"/>
      </w:pPr>
    </w:lvl>
    <w:lvl w:ilvl="6">
      <w:start w:val="1"/>
      <w:numFmt w:val="decimal"/>
      <w:isLgl w:val="false"/>
      <w:suff w:val="tab"/>
      <w:lvlText w:val="%7."/>
      <w:lvlJc w:val="left"/>
      <w:pPr>
        <w:pStyle w:val="723"/>
        <w:ind w:left="2940" w:hanging="420"/>
      </w:pPr>
    </w:lvl>
    <w:lvl w:ilvl="7">
      <w:start w:val="1"/>
      <w:numFmt w:val="lowerLetter"/>
      <w:isLgl w:val="false"/>
      <w:suff w:val="tab"/>
      <w:lvlText w:val="%8)"/>
      <w:lvlJc w:val="left"/>
      <w:pPr>
        <w:pStyle w:val="723"/>
        <w:ind w:left="3360" w:hanging="420"/>
      </w:pPr>
    </w:lvl>
    <w:lvl w:ilvl="8">
      <w:start w:val="1"/>
      <w:numFmt w:val="lowerRoman"/>
      <w:isLgl w:val="false"/>
      <w:suff w:val="tab"/>
      <w:lvlText w:val="%9."/>
      <w:lvlJc w:val="right"/>
      <w:pPr>
        <w:pStyle w:val="723"/>
        <w:ind w:left="3780" w:hanging="420"/>
      </w:pPr>
    </w:lvl>
  </w:abstractNum>
  <w:abstractNum w:abstractNumId="8">
    <w:multiLevelType w:val="hybridMultilevel"/>
    <w:lvl w:ilvl="0">
      <w:start w:val="1"/>
      <w:numFmt w:val="decimal"/>
      <w:pStyle w:val="936"/>
      <w:isLgl w:val="false"/>
      <w:suff w:val="tab"/>
      <w:lvlText w:val="%1"/>
      <w:lvlJc w:val="left"/>
      <w:pPr>
        <w:pStyle w:val="723"/>
        <w:ind w:left="680" w:hanging="680"/>
      </w:pPr>
      <w:rPr>
        <w:rFonts w:hint="eastAsia" w:ascii="宋体" w:hAnsi="宋体" w:eastAsia="宋体"/>
      </w:rPr>
    </w:lvl>
    <w:lvl w:ilvl="1">
      <w:start w:val="1"/>
      <w:numFmt w:val="decimal"/>
      <w:pStyle w:val="937"/>
      <w:isLgl w:val="false"/>
      <w:suff w:val="tab"/>
      <w:lvlText w:val="%1.%2"/>
      <w:lvlJc w:val="left"/>
      <w:pPr>
        <w:pStyle w:val="723"/>
        <w:ind w:left="851" w:hanging="851"/>
      </w:pPr>
      <w:rPr>
        <w:rFonts w:hint="eastAsia" w:ascii="宋体" w:hAnsi="宋体" w:eastAsia="宋体"/>
        <w:color w:val="000000"/>
      </w:rPr>
    </w:lvl>
    <w:lvl w:ilvl="2">
      <w:start w:val="1"/>
      <w:numFmt w:val="decimal"/>
      <w:pStyle w:val="938"/>
      <w:isLgl w:val="false"/>
      <w:suff w:val="tab"/>
      <w:lvlText w:val="%1.%2.%3"/>
      <w:lvlJc w:val="left"/>
      <w:pPr>
        <w:pStyle w:val="723"/>
        <w:ind w:left="851" w:hanging="851"/>
      </w:pPr>
      <w:rPr>
        <w:rFonts w:hint="eastAsia"/>
      </w:rPr>
    </w:lvl>
    <w:lvl w:ilvl="3">
      <w:start w:val="1"/>
      <w:numFmt w:val="decimal"/>
      <w:isLgl w:val="false"/>
      <w:suff w:val="tab"/>
      <w:lvlText w:val="%1.%2.%3.%4"/>
      <w:lvlJc w:val="left"/>
      <w:pPr>
        <w:pStyle w:val="723"/>
        <w:ind w:left="680" w:hanging="680"/>
      </w:pPr>
      <w:rPr>
        <w:rFonts w:hint="eastAsia"/>
      </w:rPr>
    </w:lvl>
    <w:lvl w:ilvl="4">
      <w:start w:val="1"/>
      <w:numFmt w:val="decimal"/>
      <w:isLgl w:val="false"/>
      <w:suff w:val="tab"/>
      <w:lvlText w:val="%1.%2.%3.%4.%5"/>
      <w:lvlJc w:val="left"/>
      <w:pPr>
        <w:pStyle w:val="723"/>
        <w:ind w:left="680" w:hanging="680"/>
      </w:pPr>
      <w:rPr>
        <w:rFonts w:hint="eastAsia"/>
      </w:rPr>
    </w:lvl>
    <w:lvl w:ilvl="5">
      <w:start w:val="1"/>
      <w:numFmt w:val="decimal"/>
      <w:isLgl w:val="false"/>
      <w:suff w:val="tab"/>
      <w:lvlText w:val="%1.%2.%3.%4.%5.%6"/>
      <w:lvlJc w:val="left"/>
      <w:pPr>
        <w:pStyle w:val="723"/>
        <w:ind w:left="680" w:hanging="680"/>
      </w:pPr>
      <w:rPr>
        <w:rFonts w:hint="eastAsia"/>
      </w:rPr>
    </w:lvl>
    <w:lvl w:ilvl="6">
      <w:start w:val="1"/>
      <w:numFmt w:val="decimal"/>
      <w:isLgl w:val="false"/>
      <w:suff w:val="tab"/>
      <w:lvlText w:val="%1.%2.%3.%4.%5.%6.%7"/>
      <w:lvlJc w:val="left"/>
      <w:pPr>
        <w:pStyle w:val="723"/>
        <w:ind w:left="680" w:hanging="680"/>
      </w:pPr>
      <w:rPr>
        <w:rFonts w:hint="eastAsia"/>
      </w:rPr>
    </w:lvl>
    <w:lvl w:ilvl="7">
      <w:start w:val="1"/>
      <w:numFmt w:val="decimal"/>
      <w:isLgl w:val="false"/>
      <w:suff w:val="tab"/>
      <w:lvlText w:val="%1.%2.%3.%4.%5.%6.%7.%8"/>
      <w:lvlJc w:val="left"/>
      <w:pPr>
        <w:pStyle w:val="723"/>
        <w:ind w:left="680" w:hanging="680"/>
      </w:pPr>
      <w:rPr>
        <w:rFonts w:hint="eastAsia"/>
      </w:rPr>
    </w:lvl>
    <w:lvl w:ilvl="8">
      <w:start w:val="1"/>
      <w:numFmt w:val="decimal"/>
      <w:isLgl w:val="false"/>
      <w:suff w:val="tab"/>
      <w:lvlText w:val="%1.%2.%3.%4.%5.%6.%7.%8.%9"/>
      <w:lvlJc w:val="left"/>
      <w:pPr>
        <w:pStyle w:val="723"/>
        <w:ind w:left="680" w:hanging="680"/>
      </w:pPr>
      <w:rPr>
        <w:rFonts w:hint="eastAsia"/>
      </w:rPr>
    </w:lvl>
  </w:abstractNum>
  <w:abstractNum w:abstractNumId="9">
    <w:multiLevelType w:val="hybridMultilevel"/>
    <w:lvl w:ilvl="0">
      <w:start w:val="1"/>
      <w:numFmt w:val="decimal"/>
      <w:isLgl w:val="false"/>
      <w:suff w:val="tab"/>
      <w:lvlText w:val="%1"/>
      <w:lvlJc w:val="left"/>
      <w:pPr>
        <w:pStyle w:val="723"/>
        <w:ind w:left="900" w:hanging="900"/>
        <w:tabs>
          <w:tab w:val="num" w:pos="900" w:leader="none"/>
        </w:tabs>
      </w:pPr>
      <w:rPr>
        <w:rFonts w:hint="eastAsia"/>
      </w:rPr>
    </w:lvl>
    <w:lvl w:ilvl="1">
      <w:start w:val="1"/>
      <w:numFmt w:val="decimal"/>
      <w:isLgl w:val="false"/>
      <w:suff w:val="tab"/>
      <w:lvlText w:val="%1.%2"/>
      <w:lvlJc w:val="left"/>
      <w:pPr>
        <w:pStyle w:val="723"/>
        <w:ind w:left="1468" w:hanging="900"/>
        <w:tabs>
          <w:tab w:val="num" w:pos="1589" w:leader="none"/>
        </w:tabs>
      </w:pPr>
      <w:rPr>
        <w:rFonts w:ascii="宋体" w:hAnsi="宋体" w:eastAsia="宋体" w:cs="宋体"/>
        <w:b w:val="0"/>
        <w:sz w:val="21"/>
        <w:szCs w:val="21"/>
      </w:rPr>
    </w:lvl>
    <w:lvl w:ilvl="2">
      <w:start w:val="1"/>
      <w:numFmt w:val="decimal"/>
      <w:isLgl w:val="false"/>
      <w:suff w:val="tab"/>
      <w:lvlText w:val="%1.%2.%3"/>
      <w:lvlJc w:val="left"/>
      <w:pPr>
        <w:pStyle w:val="723"/>
        <w:ind w:left="1980" w:hanging="900"/>
        <w:tabs>
          <w:tab w:val="num" w:pos="1980" w:leader="none"/>
        </w:tabs>
      </w:pPr>
      <w:rPr>
        <w:rFonts w:hint="eastAsia"/>
      </w:rPr>
    </w:lvl>
    <w:lvl w:ilvl="3">
      <w:start w:val="1"/>
      <w:numFmt w:val="decimal"/>
      <w:isLgl w:val="false"/>
      <w:suff w:val="tab"/>
      <w:lvlText w:val="%1.%2.%3.%4"/>
      <w:lvlJc w:val="left"/>
      <w:pPr>
        <w:pStyle w:val="723"/>
        <w:ind w:left="900" w:hanging="900"/>
        <w:tabs>
          <w:tab w:val="num" w:pos="900" w:leader="none"/>
        </w:tabs>
      </w:pPr>
      <w:rPr>
        <w:rFonts w:hint="eastAsia"/>
      </w:rPr>
    </w:lvl>
    <w:lvl w:ilvl="4">
      <w:start w:val="1"/>
      <w:numFmt w:val="decimal"/>
      <w:isLgl w:val="false"/>
      <w:suff w:val="tab"/>
      <w:lvlText w:val="%1.%2.%3.%4.%5"/>
      <w:lvlJc w:val="left"/>
      <w:pPr>
        <w:pStyle w:val="723"/>
        <w:ind w:left="900" w:hanging="900"/>
        <w:tabs>
          <w:tab w:val="num" w:pos="900" w:leader="none"/>
        </w:tabs>
      </w:pPr>
      <w:rPr>
        <w:rFonts w:hint="eastAsia"/>
      </w:rPr>
    </w:lvl>
    <w:lvl w:ilvl="5">
      <w:start w:val="1"/>
      <w:numFmt w:val="decimal"/>
      <w:isLgl w:val="false"/>
      <w:suff w:val="tab"/>
      <w:lvlText w:val="%1.%2.%3.%4.%5.%6"/>
      <w:lvlJc w:val="left"/>
      <w:pPr>
        <w:pStyle w:val="723"/>
        <w:ind w:left="900" w:hanging="900"/>
        <w:tabs>
          <w:tab w:val="num" w:pos="900" w:leader="none"/>
        </w:tabs>
      </w:pPr>
      <w:rPr>
        <w:rFonts w:hint="eastAsia"/>
      </w:rPr>
    </w:lvl>
    <w:lvl w:ilvl="6">
      <w:start w:val="1"/>
      <w:numFmt w:val="decimal"/>
      <w:isLgl w:val="false"/>
      <w:suff w:val="tab"/>
      <w:lvlText w:val="%1.%2.%3.%4.%5.%6.%7"/>
      <w:lvlJc w:val="left"/>
      <w:pPr>
        <w:pStyle w:val="723"/>
        <w:ind w:left="900" w:hanging="900"/>
        <w:tabs>
          <w:tab w:val="num" w:pos="900" w:leader="none"/>
        </w:tabs>
      </w:pPr>
      <w:rPr>
        <w:rFonts w:hint="eastAsia"/>
      </w:rPr>
    </w:lvl>
    <w:lvl w:ilvl="7">
      <w:start w:val="1"/>
      <w:numFmt w:val="decimal"/>
      <w:isLgl w:val="false"/>
      <w:suff w:val="tab"/>
      <w:lvlText w:val="%1.%2.%3.%4.%5.%6.%7.%8"/>
      <w:lvlJc w:val="left"/>
      <w:pPr>
        <w:pStyle w:val="723"/>
        <w:ind w:left="900" w:hanging="900"/>
        <w:tabs>
          <w:tab w:val="num" w:pos="900" w:leader="none"/>
        </w:tabs>
      </w:pPr>
      <w:rPr>
        <w:rFonts w:hint="eastAsia"/>
      </w:rPr>
    </w:lvl>
    <w:lvl w:ilvl="8">
      <w:start w:val="1"/>
      <w:numFmt w:val="decimal"/>
      <w:isLgl w:val="false"/>
      <w:suff w:val="tab"/>
      <w:lvlText w:val="%1.%2.%3.%4.%5.%6.%7.%8.%9"/>
      <w:lvlJc w:val="left"/>
      <w:pPr>
        <w:pStyle w:val="72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3"/>
    <w:next w:val="7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3"/>
    <w:next w:val="7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3"/>
    <w:next w:val="7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3"/>
    <w:next w:val="723"/>
    <w:uiPriority w:val="39"/>
    <w:unhideWhenUsed/>
    <w:pPr>
      <w:ind w:left="0" w:right="0" w:firstLine="0"/>
      <w:spacing w:after="57"/>
    </w:p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sz w:val="21"/>
      <w:szCs w:val="24"/>
      <w:lang w:val="en-US" w:eastAsia="zh-CN" w:bidi="ar-SA"/>
    </w:rPr>
  </w:style>
  <w:style w:type="paragraph" w:styleId="724">
    <w:name w:val="标题 1"/>
    <w:basedOn w:val="723"/>
    <w:next w:val="723"/>
    <w:link w:val="735"/>
    <w:qFormat/>
    <w:pPr>
      <w:jc w:val="center"/>
      <w:keepLines/>
      <w:keepNext/>
      <w:spacing w:before="240" w:after="120" w:line="300" w:lineRule="auto"/>
      <w:outlineLvl w:val="0"/>
    </w:pPr>
    <w:rPr>
      <w:rFonts w:ascii="宋体"/>
      <w:b/>
      <w:sz w:val="32"/>
      <w:szCs w:val="20"/>
    </w:rPr>
  </w:style>
  <w:style w:type="paragraph" w:styleId="725">
    <w:name w:val="标题 2"/>
    <w:basedOn w:val="723"/>
    <w:next w:val="737"/>
    <w:link w:val="736"/>
    <w:qFormat/>
    <w:pPr>
      <w:jc w:val="center"/>
      <w:keepLines/>
      <w:keepNext/>
      <w:spacing w:before="120" w:line="300" w:lineRule="auto"/>
      <w:outlineLvl w:val="1"/>
    </w:pPr>
    <w:rPr>
      <w:rFonts w:ascii="Arial" w:hAnsi="Arial" w:eastAsia="黑体"/>
      <w:b/>
      <w:sz w:val="30"/>
      <w:szCs w:val="20"/>
    </w:rPr>
  </w:style>
  <w:style w:type="paragraph" w:styleId="726">
    <w:name w:val="标题 3"/>
    <w:basedOn w:val="723"/>
    <w:next w:val="723"/>
    <w:link w:val="742"/>
    <w:qFormat/>
    <w:pPr>
      <w:jc w:val="left"/>
      <w:keepLines/>
      <w:keepNext/>
      <w:spacing w:before="360" w:after="120"/>
      <w:outlineLvl w:val="2"/>
    </w:pPr>
    <w:rPr>
      <w:rFonts w:ascii="宋体"/>
      <w:b/>
      <w:sz w:val="24"/>
      <w:szCs w:val="20"/>
      <w:u w:val="single"/>
    </w:rPr>
  </w:style>
  <w:style w:type="paragraph" w:styleId="727">
    <w:name w:val="标题 4"/>
    <w:basedOn w:val="723"/>
    <w:next w:val="723"/>
    <w:link w:val="743"/>
    <w:qFormat/>
    <w:pPr>
      <w:keepLines/>
      <w:keepNext/>
      <w:spacing w:before="280" w:after="290" w:line="376" w:lineRule="atLeast"/>
      <w:outlineLvl w:val="3"/>
    </w:pPr>
    <w:rPr>
      <w:rFonts w:ascii="Arial" w:hAnsi="Arial" w:eastAsia="黑体"/>
      <w:b/>
      <w:sz w:val="28"/>
      <w:szCs w:val="20"/>
    </w:rPr>
  </w:style>
  <w:style w:type="paragraph" w:styleId="728">
    <w:name w:val="标题 5"/>
    <w:basedOn w:val="723"/>
    <w:next w:val="723"/>
    <w:link w:val="744"/>
    <w:qFormat/>
    <w:pPr>
      <w:keepLines/>
      <w:keepNext/>
      <w:spacing w:before="280" w:after="290" w:line="376" w:lineRule="atLeast"/>
      <w:outlineLvl w:val="4"/>
    </w:pPr>
    <w:rPr>
      <w:b/>
      <w:sz w:val="28"/>
      <w:szCs w:val="20"/>
    </w:rPr>
  </w:style>
  <w:style w:type="paragraph" w:styleId="729">
    <w:name w:val="标题 6"/>
    <w:basedOn w:val="723"/>
    <w:next w:val="723"/>
    <w:link w:val="745"/>
    <w:qFormat/>
    <w:pPr>
      <w:keepLines/>
      <w:keepNext/>
      <w:spacing w:before="240" w:after="64" w:line="320" w:lineRule="atLeast"/>
      <w:outlineLvl w:val="5"/>
    </w:pPr>
    <w:rPr>
      <w:rFonts w:ascii="Arial" w:hAnsi="Arial" w:eastAsia="黑体"/>
      <w:b/>
      <w:sz w:val="24"/>
      <w:szCs w:val="20"/>
    </w:rPr>
  </w:style>
  <w:style w:type="paragraph" w:styleId="730">
    <w:name w:val="标题 7"/>
    <w:basedOn w:val="723"/>
    <w:next w:val="723"/>
    <w:link w:val="746"/>
    <w:qFormat/>
    <w:pPr>
      <w:keepLines/>
      <w:keepNext/>
      <w:spacing w:before="240" w:after="64" w:line="320" w:lineRule="atLeast"/>
      <w:outlineLvl w:val="6"/>
    </w:pPr>
    <w:rPr>
      <w:b/>
      <w:sz w:val="24"/>
      <w:szCs w:val="20"/>
    </w:rPr>
  </w:style>
  <w:style w:type="paragraph" w:styleId="731">
    <w:name w:val="标题 8"/>
    <w:basedOn w:val="723"/>
    <w:next w:val="723"/>
    <w:link w:val="747"/>
    <w:qFormat/>
    <w:pPr>
      <w:keepLines/>
      <w:keepNext/>
      <w:spacing w:before="240" w:after="64" w:line="320" w:lineRule="atLeast"/>
      <w:outlineLvl w:val="7"/>
    </w:pPr>
    <w:rPr>
      <w:rFonts w:ascii="Arial" w:hAnsi="Arial" w:eastAsia="黑体"/>
      <w:sz w:val="24"/>
      <w:szCs w:val="20"/>
    </w:rPr>
  </w:style>
  <w:style w:type="paragraph" w:styleId="732">
    <w:name w:val="标题 9"/>
    <w:basedOn w:val="723"/>
    <w:next w:val="723"/>
    <w:link w:val="748"/>
    <w:qFormat/>
    <w:pPr>
      <w:keepLines/>
      <w:keepNext/>
      <w:spacing w:before="240" w:after="64" w:line="320" w:lineRule="atLeast"/>
      <w:outlineLvl w:val="8"/>
    </w:pPr>
    <w:rPr>
      <w:rFonts w:ascii="Arial" w:hAnsi="Arial" w:eastAsia="黑体"/>
      <w:szCs w:val="20"/>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character" w:styleId="735">
    <w:name w:val="标题 1 Char"/>
    <w:basedOn w:val="733"/>
    <w:next w:val="735"/>
    <w:link w:val="724"/>
    <w:qFormat/>
    <w:rPr>
      <w:rFonts w:ascii="宋体"/>
      <w:b/>
      <w:sz w:val="32"/>
    </w:rPr>
  </w:style>
  <w:style w:type="character" w:styleId="736">
    <w:name w:val="标题 2 Char1"/>
    <w:next w:val="736"/>
    <w:link w:val="725"/>
    <w:qFormat/>
    <w:rPr>
      <w:rFonts w:ascii="Arial" w:hAnsi="Arial" w:eastAsia="黑体"/>
      <w:b/>
      <w:sz w:val="30"/>
      <w:lang w:val="en-US" w:eastAsia="zh-CN" w:bidi="ar-SA"/>
    </w:rPr>
  </w:style>
  <w:style w:type="paragraph" w:styleId="737">
    <w:name w:val="Í¼±íÕýÎÄ"/>
    <w:basedOn w:val="723"/>
    <w:next w:val="738"/>
    <w:link w:val="723"/>
    <w:qFormat/>
    <w:pPr>
      <w:ind w:firstLine="420"/>
    </w:pPr>
    <w:rPr>
      <w:sz w:val="24"/>
    </w:rPr>
  </w:style>
  <w:style w:type="paragraph" w:styleId="738">
    <w:name w:val="正文缩进"/>
    <w:basedOn w:val="723"/>
    <w:next w:val="740"/>
    <w:link w:val="739"/>
    <w:qFormat/>
    <w:pPr>
      <w:ind w:firstLine="420"/>
      <w:jc w:val="left"/>
    </w:pPr>
    <w:rPr>
      <w:rFonts w:ascii="宋体"/>
      <w:sz w:val="24"/>
    </w:rPr>
  </w:style>
  <w:style w:type="character" w:styleId="739">
    <w:name w:val="正文缩进 Char1"/>
    <w:next w:val="739"/>
    <w:link w:val="738"/>
    <w:qFormat/>
    <w:rPr>
      <w:rFonts w:ascii="宋体" w:eastAsia="宋体"/>
      <w:sz w:val="24"/>
      <w:szCs w:val="24"/>
      <w:lang w:val="en-US" w:eastAsia="zh-CN" w:bidi="ar-SA"/>
    </w:rPr>
  </w:style>
  <w:style w:type="paragraph" w:styleId="740">
    <w:name w:val="批注框文本"/>
    <w:basedOn w:val="723"/>
    <w:next w:val="740"/>
    <w:link w:val="741"/>
    <w:qFormat/>
    <w:rPr>
      <w:sz w:val="18"/>
      <w:szCs w:val="18"/>
    </w:rPr>
  </w:style>
  <w:style w:type="character" w:styleId="741">
    <w:name w:val="批注框文本 Char"/>
    <w:basedOn w:val="733"/>
    <w:next w:val="741"/>
    <w:link w:val="740"/>
    <w:qFormat/>
    <w:rPr>
      <w:sz w:val="18"/>
      <w:szCs w:val="18"/>
    </w:rPr>
  </w:style>
  <w:style w:type="character" w:styleId="742">
    <w:name w:val="标题 3 Char1"/>
    <w:next w:val="742"/>
    <w:link w:val="726"/>
    <w:qFormat/>
    <w:rPr>
      <w:rFonts w:ascii="宋体" w:eastAsia="宋体"/>
      <w:b/>
      <w:sz w:val="24"/>
      <w:u w:val="single"/>
      <w:lang w:val="en-US" w:eastAsia="zh-CN" w:bidi="ar-SA"/>
    </w:rPr>
  </w:style>
  <w:style w:type="character" w:styleId="743">
    <w:name w:val="标题 4 Char"/>
    <w:basedOn w:val="733"/>
    <w:next w:val="743"/>
    <w:link w:val="727"/>
    <w:qFormat/>
    <w:rPr>
      <w:rFonts w:ascii="Arial" w:hAnsi="Arial" w:eastAsia="黑体"/>
      <w:b/>
      <w:sz w:val="28"/>
    </w:rPr>
  </w:style>
  <w:style w:type="character" w:styleId="744">
    <w:name w:val="标题 5 Char"/>
    <w:basedOn w:val="733"/>
    <w:next w:val="744"/>
    <w:link w:val="728"/>
    <w:qFormat/>
    <w:rPr>
      <w:b/>
      <w:sz w:val="28"/>
    </w:rPr>
  </w:style>
  <w:style w:type="character" w:styleId="745">
    <w:name w:val="标题 6 Char"/>
    <w:basedOn w:val="733"/>
    <w:next w:val="745"/>
    <w:link w:val="729"/>
    <w:qFormat/>
    <w:rPr>
      <w:rFonts w:ascii="Arial" w:hAnsi="Arial" w:eastAsia="黑体"/>
      <w:b/>
      <w:sz w:val="24"/>
    </w:rPr>
  </w:style>
  <w:style w:type="character" w:styleId="746">
    <w:name w:val="标题 7 Char"/>
    <w:basedOn w:val="733"/>
    <w:next w:val="746"/>
    <w:link w:val="730"/>
    <w:qFormat/>
    <w:rPr>
      <w:b/>
      <w:sz w:val="24"/>
    </w:rPr>
  </w:style>
  <w:style w:type="character" w:styleId="747">
    <w:name w:val="标题 8 Char"/>
    <w:basedOn w:val="733"/>
    <w:next w:val="747"/>
    <w:link w:val="731"/>
    <w:qFormat/>
    <w:rPr>
      <w:rFonts w:ascii="Arial" w:hAnsi="Arial" w:eastAsia="黑体"/>
      <w:sz w:val="24"/>
    </w:rPr>
  </w:style>
  <w:style w:type="character" w:styleId="748">
    <w:name w:val="标题 9 Char"/>
    <w:basedOn w:val="733"/>
    <w:next w:val="748"/>
    <w:link w:val="732"/>
    <w:qFormat/>
    <w:rPr>
      <w:rFonts w:ascii="Arial" w:hAnsi="Arial" w:eastAsia="黑体"/>
      <w:sz w:val="21"/>
    </w:rPr>
  </w:style>
  <w:style w:type="paragraph" w:styleId="749">
    <w:name w:val="目录 7"/>
    <w:basedOn w:val="723"/>
    <w:next w:val="723"/>
    <w:link w:val="723"/>
    <w:qFormat/>
    <w:pPr>
      <w:ind w:left="2520"/>
    </w:pPr>
  </w:style>
  <w:style w:type="paragraph" w:styleId="750">
    <w:name w:val="题注"/>
    <w:basedOn w:val="723"/>
    <w:next w:val="723"/>
    <w:link w:val="723"/>
    <w:qFormat/>
    <w:pPr>
      <w:spacing w:line="480" w:lineRule="auto"/>
    </w:pPr>
    <w:rPr>
      <w:rFonts w:ascii="华文中宋" w:hAnsi="华文中宋" w:eastAsia="华文中宋"/>
      <w:sz w:val="36"/>
      <w:szCs w:val="20"/>
    </w:rPr>
  </w:style>
  <w:style w:type="paragraph" w:styleId="751">
    <w:name w:val="文档结构图"/>
    <w:basedOn w:val="723"/>
    <w:next w:val="751"/>
    <w:link w:val="752"/>
    <w:qFormat/>
    <w:pPr>
      <w:shd w:val="clear" w:color="auto" w:fill="000080"/>
    </w:pPr>
  </w:style>
  <w:style w:type="character" w:styleId="752">
    <w:name w:val="文档结构图 Char"/>
    <w:basedOn w:val="733"/>
    <w:next w:val="752"/>
    <w:link w:val="751"/>
    <w:qFormat/>
    <w:rPr>
      <w:sz w:val="21"/>
      <w:szCs w:val="24"/>
      <w:shd w:val="clear" w:color="auto" w:fill="000080"/>
    </w:rPr>
  </w:style>
  <w:style w:type="paragraph" w:styleId="753">
    <w:name w:val="批注文字"/>
    <w:basedOn w:val="723"/>
    <w:next w:val="753"/>
    <w:link w:val="754"/>
    <w:uiPriority w:val="99"/>
    <w:qFormat/>
    <w:pPr>
      <w:jc w:val="left"/>
    </w:pPr>
  </w:style>
  <w:style w:type="character" w:styleId="754">
    <w:name w:val="批注文字 Char1"/>
    <w:next w:val="754"/>
    <w:link w:val="753"/>
    <w:uiPriority w:val="99"/>
    <w:qFormat/>
    <w:rPr>
      <w:sz w:val="21"/>
      <w:szCs w:val="24"/>
    </w:rPr>
  </w:style>
  <w:style w:type="paragraph" w:styleId="755">
    <w:name w:val="正文文本 3"/>
    <w:basedOn w:val="723"/>
    <w:next w:val="755"/>
    <w:link w:val="756"/>
    <w:qFormat/>
    <w:pPr>
      <w:spacing w:after="120"/>
    </w:pPr>
    <w:rPr>
      <w:sz w:val="16"/>
      <w:szCs w:val="16"/>
    </w:rPr>
  </w:style>
  <w:style w:type="character" w:styleId="756">
    <w:name w:val="正文文本 3 Char"/>
    <w:basedOn w:val="733"/>
    <w:next w:val="756"/>
    <w:link w:val="755"/>
    <w:qFormat/>
    <w:rPr>
      <w:sz w:val="16"/>
      <w:szCs w:val="16"/>
    </w:rPr>
  </w:style>
  <w:style w:type="paragraph" w:styleId="757">
    <w:name w:val="正文文本"/>
    <w:basedOn w:val="723"/>
    <w:next w:val="723"/>
    <w:link w:val="758"/>
    <w:qFormat/>
    <w:pPr>
      <w:spacing w:before="120" w:line="22" w:lineRule="atLeast"/>
      <w:tabs>
        <w:tab w:val="left" w:pos="567" w:leader="none"/>
      </w:tabs>
    </w:pPr>
    <w:rPr>
      <w:rFonts w:ascii="宋体" w:hAnsi="宋体"/>
      <w:sz w:val="24"/>
    </w:rPr>
  </w:style>
  <w:style w:type="character" w:styleId="758">
    <w:name w:val="正文文本 Char"/>
    <w:basedOn w:val="733"/>
    <w:next w:val="758"/>
    <w:link w:val="757"/>
    <w:qFormat/>
    <w:rPr>
      <w:rFonts w:ascii="宋体" w:hAnsi="宋体"/>
      <w:sz w:val="24"/>
      <w:szCs w:val="24"/>
    </w:rPr>
  </w:style>
  <w:style w:type="paragraph" w:styleId="759">
    <w:name w:val="正文文本缩进"/>
    <w:basedOn w:val="723"/>
    <w:next w:val="723"/>
    <w:link w:val="760"/>
    <w:qFormat/>
    <w:pPr>
      <w:ind w:firstLine="570"/>
      <w:spacing w:line="360" w:lineRule="auto"/>
    </w:pPr>
    <w:rPr>
      <w:sz w:val="24"/>
    </w:rPr>
  </w:style>
  <w:style w:type="character" w:styleId="760">
    <w:name w:val="正文文本缩进 Char2"/>
    <w:next w:val="760"/>
    <w:link w:val="759"/>
    <w:qFormat/>
    <w:rPr>
      <w:rFonts w:eastAsia="宋体"/>
      <w:sz w:val="24"/>
      <w:szCs w:val="24"/>
      <w:lang w:val="en-US" w:eastAsia="zh-CN" w:bidi="ar-SA"/>
    </w:rPr>
  </w:style>
  <w:style w:type="paragraph" w:styleId="761">
    <w:name w:val="列表 2"/>
    <w:basedOn w:val="723"/>
    <w:next w:val="761"/>
    <w:link w:val="723"/>
    <w:qFormat/>
    <w:pPr>
      <w:ind w:left="100" w:hanging="200"/>
    </w:pPr>
  </w:style>
  <w:style w:type="paragraph" w:styleId="762">
    <w:name w:val="文本块"/>
    <w:basedOn w:val="723"/>
    <w:next w:val="762"/>
    <w:link w:val="723"/>
    <w:qFormat/>
    <w:pPr>
      <w:ind w:left="480" w:right="-341" w:firstLine="513"/>
      <w:widowControl/>
    </w:pPr>
    <w:rPr>
      <w:sz w:val="24"/>
      <w:szCs w:val="20"/>
    </w:rPr>
  </w:style>
  <w:style w:type="paragraph" w:styleId="763">
    <w:name w:val="目录 5"/>
    <w:basedOn w:val="723"/>
    <w:next w:val="723"/>
    <w:link w:val="723"/>
    <w:qFormat/>
    <w:pPr>
      <w:ind w:left="1680"/>
    </w:pPr>
  </w:style>
  <w:style w:type="paragraph" w:styleId="764">
    <w:name w:val="目录 3"/>
    <w:basedOn w:val="723"/>
    <w:next w:val="723"/>
    <w:link w:val="723"/>
    <w:uiPriority w:val="39"/>
    <w:qFormat/>
    <w:pPr>
      <w:ind w:left="840"/>
    </w:pPr>
  </w:style>
  <w:style w:type="paragraph" w:styleId="765">
    <w:name w:val="纯文本"/>
    <w:basedOn w:val="723"/>
    <w:next w:val="738"/>
    <w:link w:val="766"/>
    <w:qFormat/>
    <w:rPr>
      <w:rFonts w:hint="eastAsia" w:ascii="宋体" w:hAnsi="Courier New"/>
      <w:szCs w:val="20"/>
    </w:rPr>
  </w:style>
  <w:style w:type="character" w:styleId="766">
    <w:name w:val="纯文本 Char"/>
    <w:basedOn w:val="733"/>
    <w:next w:val="766"/>
    <w:link w:val="765"/>
    <w:qFormat/>
    <w:rPr>
      <w:rFonts w:hint="eastAsia" w:ascii="宋体" w:hAnsi="Courier New" w:eastAsia="宋体" w:cs="宋体"/>
      <w:sz w:val="21"/>
    </w:rPr>
  </w:style>
  <w:style w:type="paragraph" w:styleId="767">
    <w:name w:val="目录 8"/>
    <w:basedOn w:val="723"/>
    <w:next w:val="723"/>
    <w:link w:val="723"/>
    <w:qFormat/>
    <w:pPr>
      <w:ind w:left="2940"/>
    </w:pPr>
  </w:style>
  <w:style w:type="paragraph" w:styleId="768">
    <w:name w:val="日期"/>
    <w:basedOn w:val="723"/>
    <w:next w:val="723"/>
    <w:link w:val="769"/>
    <w:qFormat/>
    <w:pPr>
      <w:ind w:left="100"/>
    </w:pPr>
    <w:rPr>
      <w:rFonts w:ascii="仿宋_GB2312" w:hAnsi="宋体" w:eastAsia="仿宋_GB2312"/>
      <w:color w:val="000000"/>
      <w:sz w:val="24"/>
    </w:rPr>
  </w:style>
  <w:style w:type="character" w:styleId="769">
    <w:name w:val="日期 Char"/>
    <w:basedOn w:val="733"/>
    <w:next w:val="769"/>
    <w:link w:val="768"/>
    <w:qFormat/>
    <w:rPr>
      <w:rFonts w:ascii="仿宋_GB2312" w:hAnsi="宋体" w:eastAsia="仿宋_GB2312"/>
      <w:color w:val="000000"/>
      <w:sz w:val="24"/>
      <w:szCs w:val="24"/>
    </w:rPr>
  </w:style>
  <w:style w:type="paragraph" w:styleId="770">
    <w:name w:val="正文文本缩进 2"/>
    <w:basedOn w:val="723"/>
    <w:next w:val="770"/>
    <w:link w:val="771"/>
    <w:qFormat/>
    <w:pPr>
      <w:ind w:firstLine="480"/>
    </w:pPr>
    <w:rPr>
      <w:rFonts w:ascii="仿宋_GB2312" w:eastAsia="仿宋_GB2312"/>
      <w:sz w:val="24"/>
    </w:rPr>
  </w:style>
  <w:style w:type="character" w:styleId="771">
    <w:name w:val="正文文本缩进 2 Char"/>
    <w:basedOn w:val="733"/>
    <w:next w:val="771"/>
    <w:link w:val="770"/>
    <w:qFormat/>
    <w:rPr>
      <w:rFonts w:ascii="仿宋_GB2312" w:eastAsia="仿宋_GB2312"/>
      <w:sz w:val="24"/>
      <w:szCs w:val="24"/>
    </w:rPr>
  </w:style>
  <w:style w:type="paragraph" w:styleId="772">
    <w:name w:val="页脚"/>
    <w:basedOn w:val="723"/>
    <w:next w:val="772"/>
    <w:link w:val="773"/>
    <w:uiPriority w:val="99"/>
    <w:qFormat/>
    <w:pPr>
      <w:jc w:val="left"/>
      <w:tabs>
        <w:tab w:val="center" w:pos="4153" w:leader="none"/>
        <w:tab w:val="right" w:pos="8306" w:leader="none"/>
      </w:tabs>
    </w:pPr>
    <w:rPr>
      <w:rFonts w:ascii="宋体"/>
      <w:sz w:val="18"/>
      <w:szCs w:val="20"/>
    </w:rPr>
  </w:style>
  <w:style w:type="character" w:styleId="773">
    <w:name w:val="页脚 Char1"/>
    <w:next w:val="773"/>
    <w:link w:val="772"/>
    <w:uiPriority w:val="99"/>
    <w:qFormat/>
    <w:rPr>
      <w:rFonts w:ascii="宋体" w:eastAsia="宋体"/>
      <w:sz w:val="18"/>
      <w:lang w:val="en-US" w:eastAsia="zh-CN" w:bidi="ar-SA"/>
    </w:rPr>
  </w:style>
  <w:style w:type="paragraph" w:styleId="774">
    <w:name w:val="页眉"/>
    <w:basedOn w:val="723"/>
    <w:next w:val="774"/>
    <w:link w:val="775"/>
    <w:qFormat/>
    <w:pPr>
      <w:jc w:val="center"/>
      <w:tabs>
        <w:tab w:val="center" w:pos="4153" w:leader="none"/>
        <w:tab w:val="right" w:pos="8306" w:leader="none"/>
      </w:tabs>
      <w:pBdr>
        <w:bottom w:val="single" w:color="000000" w:sz="6" w:space="1"/>
      </w:pBdr>
    </w:pPr>
    <w:rPr>
      <w:sz w:val="18"/>
      <w:szCs w:val="18"/>
    </w:rPr>
  </w:style>
  <w:style w:type="character" w:styleId="775">
    <w:name w:val="页眉 Char1"/>
    <w:next w:val="775"/>
    <w:link w:val="774"/>
    <w:qFormat/>
    <w:rPr>
      <w:rFonts w:eastAsia="宋体"/>
      <w:sz w:val="18"/>
      <w:szCs w:val="18"/>
      <w:lang w:val="en-US" w:eastAsia="zh-CN" w:bidi="ar-SA"/>
    </w:rPr>
  </w:style>
  <w:style w:type="paragraph" w:styleId="776">
    <w:name w:val="目录 1"/>
    <w:basedOn w:val="723"/>
    <w:next w:val="723"/>
    <w:link w:val="723"/>
    <w:uiPriority w:val="39"/>
    <w:qFormat/>
    <w:pPr>
      <w:spacing w:line="300" w:lineRule="auto"/>
      <w:tabs>
        <w:tab w:val="left" w:pos="1050" w:leader="none"/>
        <w:tab w:val="right" w:pos="8937" w:leader="dot"/>
      </w:tabs>
    </w:pPr>
    <w:rPr>
      <w:rFonts w:ascii="宋体" w:hAnsi="宋体"/>
      <w:b/>
      <w:sz w:val="24"/>
    </w:rPr>
  </w:style>
  <w:style w:type="paragraph" w:styleId="777">
    <w:name w:val="目录 4"/>
    <w:basedOn w:val="723"/>
    <w:next w:val="723"/>
    <w:link w:val="723"/>
    <w:qFormat/>
    <w:pPr>
      <w:ind w:left="1260"/>
    </w:pPr>
  </w:style>
  <w:style w:type="paragraph" w:styleId="778">
    <w:name w:val="目录 6"/>
    <w:basedOn w:val="723"/>
    <w:next w:val="723"/>
    <w:link w:val="723"/>
    <w:qFormat/>
    <w:pPr>
      <w:ind w:left="2100"/>
    </w:pPr>
  </w:style>
  <w:style w:type="paragraph" w:styleId="779">
    <w:name w:val="正文文本缩进 3"/>
    <w:basedOn w:val="723"/>
    <w:next w:val="779"/>
    <w:link w:val="780"/>
    <w:qFormat/>
    <w:pPr>
      <w:ind w:left="720" w:firstLine="480"/>
      <w:jc w:val="left"/>
      <w:spacing w:before="120" w:line="22" w:lineRule="atLeast"/>
    </w:pPr>
    <w:rPr>
      <w:rFonts w:ascii="宋体"/>
      <w:sz w:val="24"/>
      <w:szCs w:val="20"/>
    </w:rPr>
  </w:style>
  <w:style w:type="character" w:styleId="780">
    <w:name w:val="正文文本缩进 3 Char"/>
    <w:basedOn w:val="733"/>
    <w:next w:val="780"/>
    <w:link w:val="779"/>
    <w:qFormat/>
    <w:rPr>
      <w:rFonts w:ascii="宋体"/>
      <w:sz w:val="24"/>
    </w:rPr>
  </w:style>
  <w:style w:type="paragraph" w:styleId="781">
    <w:name w:val="目录 2"/>
    <w:basedOn w:val="723"/>
    <w:next w:val="723"/>
    <w:link w:val="723"/>
    <w:uiPriority w:val="39"/>
    <w:qFormat/>
    <w:pPr>
      <w:ind w:left="420"/>
      <w:spacing w:line="312" w:lineRule="auto"/>
      <w:tabs>
        <w:tab w:val="right" w:pos="8937" w:leader="dot"/>
      </w:tabs>
    </w:pPr>
  </w:style>
  <w:style w:type="paragraph" w:styleId="782">
    <w:name w:val="目录 9"/>
    <w:basedOn w:val="723"/>
    <w:next w:val="723"/>
    <w:link w:val="723"/>
    <w:qFormat/>
    <w:pPr>
      <w:ind w:left="3360"/>
    </w:pPr>
  </w:style>
  <w:style w:type="paragraph" w:styleId="783">
    <w:name w:val="HTML 预设格式"/>
    <w:basedOn w:val="723"/>
    <w:next w:val="7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4">
    <w:name w:val="HTML 预设格式 Char"/>
    <w:basedOn w:val="733"/>
    <w:next w:val="784"/>
    <w:link w:val="783"/>
    <w:qFormat/>
    <w:rPr>
      <w:rFonts w:ascii="宋体" w:hAnsi="宋体" w:cs="宋体"/>
      <w:sz w:val="24"/>
      <w:szCs w:val="24"/>
    </w:rPr>
  </w:style>
  <w:style w:type="paragraph" w:styleId="785">
    <w:name w:val="普通(网站)"/>
    <w:basedOn w:val="723"/>
    <w:next w:val="785"/>
    <w:link w:val="723"/>
    <w:uiPriority w:val="99"/>
    <w:unhideWhenUsed/>
    <w:qFormat/>
    <w:pPr>
      <w:jc w:val="left"/>
      <w:spacing w:before="100" w:beforeAutospacing="1" w:after="100" w:afterAutospacing="1"/>
      <w:widowControl/>
    </w:pPr>
    <w:rPr>
      <w:rFonts w:ascii="宋体" w:hAnsi="宋体" w:cs="宋体"/>
      <w:sz w:val="24"/>
    </w:rPr>
  </w:style>
  <w:style w:type="paragraph" w:styleId="786">
    <w:name w:val="索引 1"/>
    <w:basedOn w:val="723"/>
    <w:next w:val="723"/>
    <w:link w:val="723"/>
    <w:qFormat/>
    <w:rPr>
      <w:szCs w:val="20"/>
    </w:rPr>
  </w:style>
  <w:style w:type="paragraph" w:styleId="787">
    <w:name w:val="标题"/>
    <w:basedOn w:val="723"/>
    <w:next w:val="787"/>
    <w:link w:val="788"/>
    <w:qFormat/>
    <w:pPr>
      <w:jc w:val="center"/>
      <w:outlineLvl w:val="0"/>
    </w:pPr>
    <w:rPr>
      <w:b/>
      <w:sz w:val="32"/>
      <w:szCs w:val="20"/>
    </w:rPr>
  </w:style>
  <w:style w:type="character" w:styleId="788">
    <w:name w:val="标题 Char1"/>
    <w:next w:val="788"/>
    <w:link w:val="787"/>
    <w:qFormat/>
    <w:rPr>
      <w:b/>
      <w:sz w:val="32"/>
    </w:rPr>
  </w:style>
  <w:style w:type="paragraph" w:styleId="789">
    <w:name w:val="批注主题"/>
    <w:basedOn w:val="753"/>
    <w:next w:val="753"/>
    <w:link w:val="790"/>
    <w:qFormat/>
    <w:rPr>
      <w:b/>
      <w:bCs/>
    </w:rPr>
  </w:style>
  <w:style w:type="character" w:styleId="790">
    <w:name w:val="批注主题 Char"/>
    <w:basedOn w:val="791"/>
    <w:next w:val="790"/>
    <w:link w:val="789"/>
    <w:qFormat/>
    <w:rPr>
      <w:rFonts w:ascii="Times New Roman" w:hAnsi="Times New Roman" w:eastAsia="宋体" w:cs="Times New Roman"/>
      <w:b/>
      <w:bCs/>
      <w:sz w:val="21"/>
      <w:szCs w:val="24"/>
      <w:lang w:val="en-US" w:eastAsia="zh-CN" w:bidi="ar-SA"/>
    </w:rPr>
  </w:style>
  <w:style w:type="character" w:styleId="791">
    <w:name w:val="批注文字 字符"/>
    <w:next w:val="791"/>
    <w:link w:val="723"/>
    <w:uiPriority w:val="99"/>
    <w:qFormat/>
    <w:rPr>
      <w:rFonts w:ascii="Times New Roman" w:hAnsi="Times New Roman" w:eastAsia="宋体" w:cs="Times New Roman"/>
      <w:sz w:val="24"/>
      <w:lang w:val="en-US" w:eastAsia="zh-CN" w:bidi="ar-SA"/>
    </w:rPr>
  </w:style>
  <w:style w:type="paragraph" w:styleId="792">
    <w:name w:val="正文首行缩进"/>
    <w:basedOn w:val="757"/>
    <w:next w:val="792"/>
    <w:link w:val="723"/>
    <w:qFormat/>
    <w:pPr>
      <w:ind w:firstLine="420"/>
      <w:tabs>
        <w:tab w:val="left" w:pos="567" w:leader="none"/>
      </w:tabs>
    </w:pPr>
    <w:rPr>
      <w:szCs w:val="24"/>
    </w:rPr>
  </w:style>
  <w:style w:type="paragraph" w:styleId="793">
    <w:name w:val="正文首行缩进 2"/>
    <w:basedOn w:val="759"/>
    <w:next w:val="723"/>
    <w:link w:val="794"/>
    <w:qFormat/>
    <w:pPr>
      <w:ind w:left="420" w:firstLine="420"/>
      <w:spacing w:after="120" w:line="480" w:lineRule="exact"/>
    </w:pPr>
    <w:rPr>
      <w:szCs w:val="20"/>
    </w:rPr>
  </w:style>
  <w:style w:type="character" w:styleId="794">
    <w:name w:val="正文首行缩进 2 Char"/>
    <w:basedOn w:val="760"/>
    <w:next w:val="794"/>
    <w:link w:val="793"/>
    <w:qFormat/>
    <w:rPr>
      <w:rFonts w:eastAsia="宋体"/>
      <w:sz w:val="24"/>
      <w:szCs w:val="24"/>
      <w:lang w:val="en-US" w:eastAsia="zh-CN" w:bidi="ar-SA"/>
    </w:rPr>
  </w:style>
  <w:style w:type="table" w:styleId="795">
    <w:name w:val="网格型"/>
    <w:basedOn w:val="734"/>
    <w:next w:val="795"/>
    <w:link w:val="723"/>
    <w:uiPriority w:val="39"/>
    <w:qFormat/>
    <w:tblPr/>
  </w:style>
  <w:style w:type="table" w:styleId="796">
    <w:name w:val="中等深浅网格 1 - 强调文字颜色 2"/>
    <w:basedOn w:val="734"/>
    <w:next w:val="796"/>
    <w:link w:val="723"/>
    <w:qFormat/>
    <w:rPr>
      <w:sz w:val="21"/>
      <w:szCs w:val="24"/>
    </w:rPr>
    <w:tblPr/>
  </w:style>
  <w:style w:type="character" w:styleId="797">
    <w:name w:val="要点"/>
    <w:basedOn w:val="733"/>
    <w:next w:val="797"/>
    <w:link w:val="723"/>
    <w:qFormat/>
    <w:rPr>
      <w:b/>
      <w:bCs/>
    </w:rPr>
  </w:style>
  <w:style w:type="character" w:styleId="798">
    <w:name w:val="页码"/>
    <w:basedOn w:val="733"/>
    <w:next w:val="798"/>
    <w:link w:val="723"/>
    <w:qFormat/>
  </w:style>
  <w:style w:type="character" w:styleId="799">
    <w:name w:val="已访问的超链接"/>
    <w:next w:val="799"/>
    <w:link w:val="723"/>
    <w:qFormat/>
    <w:rPr>
      <w:color w:val="800080"/>
      <w:u w:val="single"/>
    </w:rPr>
  </w:style>
  <w:style w:type="character" w:styleId="800">
    <w:name w:val="强调"/>
    <w:next w:val="800"/>
    <w:link w:val="723"/>
    <w:qFormat/>
    <w:rPr>
      <w:color w:val="cc0033"/>
    </w:rPr>
  </w:style>
  <w:style w:type="character" w:styleId="801">
    <w:name w:val="超链接"/>
    <w:basedOn w:val="733"/>
    <w:next w:val="801"/>
    <w:link w:val="723"/>
    <w:uiPriority w:val="99"/>
    <w:qFormat/>
    <w:rPr>
      <w:color w:val="0000ff"/>
      <w:u w:val="single"/>
    </w:rPr>
  </w:style>
  <w:style w:type="character" w:styleId="802">
    <w:name w:val="批注引用"/>
    <w:next w:val="802"/>
    <w:link w:val="723"/>
    <w:uiPriority w:val="99"/>
    <w:qFormat/>
    <w:rPr>
      <w:sz w:val="21"/>
      <w:szCs w:val="21"/>
    </w:rPr>
  </w:style>
  <w:style w:type="character" w:styleId="803">
    <w:name w:val="HTML 引文"/>
    <w:next w:val="803"/>
    <w:link w:val="723"/>
    <w:qFormat/>
    <w:rPr>
      <w:i/>
      <w:iCs/>
    </w:rPr>
  </w:style>
  <w:style w:type="paragraph" w:styleId="804">
    <w:name w:val="段"/>
    <w:basedOn w:val="723"/>
    <w:next w:val="723"/>
    <w:link w:val="723"/>
    <w:qFormat/>
    <w:pPr>
      <w:ind w:firstLine="200"/>
      <w:widowControl/>
    </w:pPr>
    <w:rPr>
      <w:rFonts w:hint="eastAsia" w:ascii="宋体"/>
    </w:rPr>
  </w:style>
  <w:style w:type="character" w:styleId="805">
    <w:name w:val="标题 2 Char"/>
    <w:next w:val="805"/>
    <w:link w:val="723"/>
    <w:qFormat/>
    <w:rPr>
      <w:rFonts w:ascii="Arial" w:hAnsi="Arial" w:eastAsia="黑体"/>
      <w:b/>
      <w:sz w:val="30"/>
      <w:lang w:val="en-US" w:eastAsia="zh-CN" w:bidi="ar-SA"/>
    </w:rPr>
  </w:style>
  <w:style w:type="paragraph" w:styleId="806">
    <w:name w:val="一级条标题"/>
    <w:basedOn w:val="807"/>
    <w:next w:val="723"/>
    <w:link w:val="723"/>
    <w:qFormat/>
    <w:pPr>
      <w:numPr>
        <w:ilvl w:val="1"/>
      </w:numPr>
      <w:ind w:left="0" w:hanging="840"/>
      <w:tabs>
        <w:tab w:val="left" w:pos="360" w:leader="none"/>
        <w:tab w:val="left" w:pos="840" w:leader="none"/>
      </w:tabs>
      <w:outlineLvl w:val="1"/>
    </w:pPr>
  </w:style>
  <w:style w:type="paragraph" w:styleId="807">
    <w:name w:val="章标题"/>
    <w:next w:val="723"/>
    <w:link w:val="72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08">
    <w:name w:val="索引 41"/>
    <w:basedOn w:val="723"/>
    <w:next w:val="723"/>
    <w:link w:val="723"/>
    <w:semiHidden/>
    <w:qFormat/>
    <w:pPr>
      <w:ind w:left="1260"/>
    </w:pPr>
    <w:rPr>
      <w:rFonts w:ascii="Calibri" w:hAnsi="Calibri" w:eastAsia="Calibri" w:cs="宋体"/>
      <w:sz w:val="20"/>
      <w:lang w:val="zh-CN"/>
    </w:rPr>
  </w:style>
  <w:style w:type="paragraph" w:styleId="809">
    <w:name w:val="Default"/>
    <w:next w:val="809"/>
    <w:link w:val="723"/>
    <w:qFormat/>
    <w:pPr>
      <w:widowControl w:val="off"/>
    </w:pPr>
    <w:rPr>
      <w:rFonts w:ascii="Symbol" w:hAnsi="Symbol" w:cs="Symbol"/>
      <w:color w:val="000000"/>
      <w:sz w:val="24"/>
      <w:szCs w:val="24"/>
      <w:lang w:val="en-US" w:eastAsia="zh-CN" w:bidi="ar-SA"/>
    </w:rPr>
  </w:style>
  <w:style w:type="character" w:styleId="810">
    <w:name w:val="c21"/>
    <w:next w:val="810"/>
    <w:link w:val="723"/>
    <w:qFormat/>
    <w:rPr>
      <w:rFonts w:ascii="ˎ̥" w:hAnsi="ˎ̥"/>
      <w:color w:val="000000"/>
      <w:sz w:val="20"/>
      <w:szCs w:val="20"/>
      <w:u w:val="none"/>
    </w:rPr>
  </w:style>
  <w:style w:type="character" w:styleId="811">
    <w:name w:val="title4"/>
    <w:next w:val="811"/>
    <w:link w:val="723"/>
    <w:qFormat/>
    <w:rPr>
      <w:b/>
      <w:bCs/>
      <w:color w:val="1d87b3"/>
      <w:sz w:val="15"/>
      <w:szCs w:val="15"/>
    </w:rPr>
  </w:style>
  <w:style w:type="character" w:styleId="812">
    <w:name w:val="标题 2 Char Char"/>
    <w:next w:val="812"/>
    <w:link w:val="723"/>
    <w:qFormat/>
    <w:rPr>
      <w:rFonts w:ascii="Arial" w:hAnsi="Arial" w:eastAsia="黑体"/>
      <w:b/>
      <w:bCs/>
      <w:sz w:val="32"/>
      <w:szCs w:val="32"/>
      <w:lang w:val="en-US" w:eastAsia="zh-CN" w:bidi="ar-SA"/>
    </w:rPr>
  </w:style>
  <w:style w:type="character" w:styleId="813">
    <w:name w:val="black1"/>
    <w:next w:val="813"/>
    <w:link w:val="723"/>
    <w:qFormat/>
    <w:rPr>
      <w:color w:val="000000"/>
    </w:rPr>
  </w:style>
  <w:style w:type="character" w:styleId="814">
    <w:name w:val="street-address"/>
    <w:basedOn w:val="733"/>
    <w:next w:val="814"/>
    <w:link w:val="723"/>
    <w:qFormat/>
  </w:style>
  <w:style w:type="character" w:styleId="815">
    <w:name w:val="locality"/>
    <w:basedOn w:val="733"/>
    <w:next w:val="815"/>
    <w:link w:val="723"/>
    <w:qFormat/>
  </w:style>
  <w:style w:type="character" w:styleId="816">
    <w:name w:val="正文文本缩进 Char1"/>
    <w:next w:val="816"/>
    <w:link w:val="817"/>
    <w:qFormat/>
    <w:rPr>
      <w:rFonts w:ascii="宋体" w:hAnsi="宋体" w:eastAsia="宋体"/>
      <w:sz w:val="24"/>
      <w:szCs w:val="24"/>
      <w:lang w:bidi="ar-SA"/>
    </w:rPr>
  </w:style>
  <w:style w:type="paragraph" w:styleId="817">
    <w:name w:val="正文文本缩进1"/>
    <w:basedOn w:val="723"/>
    <w:next w:val="817"/>
    <w:link w:val="816"/>
    <w:qFormat/>
    <w:pPr>
      <w:ind w:firstLine="480"/>
      <w:spacing w:line="480" w:lineRule="exact"/>
    </w:pPr>
    <w:rPr>
      <w:rFonts w:ascii="宋体" w:hAnsi="宋体"/>
      <w:sz w:val="24"/>
    </w:rPr>
  </w:style>
  <w:style w:type="character" w:styleId="818">
    <w:name w:val="Char Char11"/>
    <w:next w:val="818"/>
    <w:link w:val="723"/>
    <w:qFormat/>
    <w:rPr>
      <w:rFonts w:ascii="宋体" w:eastAsia="宋体"/>
      <w:b/>
      <w:sz w:val="24"/>
      <w:u w:val="single"/>
      <w:lang w:val="en-US" w:eastAsia="zh-CN" w:bidi="ar-SA"/>
    </w:rPr>
  </w:style>
  <w:style w:type="character" w:styleId="819">
    <w:name w:val="txt"/>
    <w:basedOn w:val="733"/>
    <w:next w:val="819"/>
    <w:link w:val="723"/>
    <w:qFormat/>
  </w:style>
  <w:style w:type="character" w:styleId="820">
    <w:name w:val="正文缩进 Char Char"/>
    <w:next w:val="820"/>
    <w:link w:val="821"/>
    <w:qFormat/>
    <w:rPr>
      <w:rFonts w:ascii="宋体" w:eastAsia="宋体"/>
      <w:color w:val="000000"/>
      <w:sz w:val="28"/>
      <w:lang w:bidi="ar-SA"/>
    </w:rPr>
  </w:style>
  <w:style w:type="paragraph" w:styleId="821">
    <w:name w:val="正文缩进1"/>
    <w:basedOn w:val="723"/>
    <w:next w:val="821"/>
    <w:link w:val="820"/>
    <w:qFormat/>
    <w:pPr>
      <w:ind w:firstLine="567"/>
      <w:spacing w:line="480" w:lineRule="exact"/>
      <w:widowControl/>
    </w:pPr>
    <w:rPr>
      <w:rFonts w:ascii="宋体"/>
      <w:color w:val="000000"/>
      <w:sz w:val="28"/>
      <w:szCs w:val="20"/>
    </w:rPr>
  </w:style>
  <w:style w:type="character" w:styleId="822">
    <w:name w:val="普通文字1 Char1"/>
    <w:next w:val="822"/>
    <w:link w:val="723"/>
    <w:qFormat/>
    <w:rPr>
      <w:rFonts w:ascii="宋体" w:hAnsi="Courier New" w:eastAsia="宋体"/>
      <w:sz w:val="21"/>
      <w:lang w:val="en-US" w:eastAsia="zh-CN" w:bidi="ar-SA"/>
    </w:rPr>
  </w:style>
  <w:style w:type="character" w:styleId="823">
    <w:name w:val="chanpin1"/>
    <w:next w:val="823"/>
    <w:link w:val="723"/>
    <w:qFormat/>
    <w:rPr>
      <w:rFonts w:ascii="ˎ̥" w:hAnsi="ˎ̥"/>
      <w:color w:val="000000"/>
      <w:sz w:val="20"/>
      <w:szCs w:val="20"/>
      <w:u w:val="none"/>
    </w:rPr>
  </w:style>
  <w:style w:type="character" w:styleId="824">
    <w:name w:val="列出段落 Char1"/>
    <w:next w:val="824"/>
    <w:link w:val="825"/>
    <w:uiPriority w:val="34"/>
    <w:qFormat/>
    <w:rPr>
      <w:rFonts w:ascii="Calibri" w:hAnsi="Calibri" w:eastAsia="宋体"/>
      <w:sz w:val="21"/>
      <w:szCs w:val="22"/>
      <w:lang w:val="en-US" w:eastAsia="zh-CN" w:bidi="ar-SA"/>
    </w:rPr>
  </w:style>
  <w:style w:type="paragraph" w:styleId="825">
    <w:name w:val="列出段落"/>
    <w:basedOn w:val="723"/>
    <w:next w:val="825"/>
    <w:link w:val="824"/>
    <w:uiPriority w:val="34"/>
    <w:qFormat/>
    <w:pPr>
      <w:ind w:firstLine="420"/>
    </w:pPr>
    <w:rPr>
      <w:rFonts w:ascii="Calibri" w:hAnsi="Calibri"/>
      <w:szCs w:val="22"/>
    </w:rPr>
  </w:style>
  <w:style w:type="character" w:styleId="826">
    <w:name w:val="标题 3 Char Char"/>
    <w:next w:val="826"/>
    <w:link w:val="723"/>
    <w:qFormat/>
    <w:rPr>
      <w:rFonts w:eastAsia="宋体"/>
      <w:b/>
      <w:bCs/>
      <w:sz w:val="32"/>
      <w:szCs w:val="32"/>
      <w:lang w:val="en-US" w:eastAsia="zh-CN" w:bidi="ar-SA"/>
    </w:rPr>
  </w:style>
  <w:style w:type="character" w:styleId="827">
    <w:name w:val="段1 Char"/>
    <w:next w:val="827"/>
    <w:link w:val="723"/>
    <w:qFormat/>
    <w:rPr>
      <w:rFonts w:ascii="宋体" w:eastAsia="宋体"/>
      <w:sz w:val="24"/>
      <w:lang w:val="en-US" w:eastAsia="zh-CN" w:bidi="ar-SA"/>
    </w:rPr>
  </w:style>
  <w:style w:type="character" w:styleId="828">
    <w:name w:val="chanpin拷贝"/>
    <w:basedOn w:val="733"/>
    <w:next w:val="828"/>
    <w:link w:val="723"/>
    <w:qFormat/>
  </w:style>
  <w:style w:type="character" w:styleId="829">
    <w:name w:val="纯文本 Char1"/>
    <w:next w:val="829"/>
    <w:link w:val="723"/>
    <w:qFormat/>
    <w:rPr>
      <w:rFonts w:ascii="宋体" w:hAnsi="Courier New" w:eastAsia="宋体"/>
      <w:sz w:val="21"/>
      <w:lang w:val="en-US" w:eastAsia="zh-CN" w:bidi="ar-SA"/>
    </w:rPr>
  </w:style>
  <w:style w:type="character" w:styleId="830">
    <w:name w:val="apple-style-span"/>
    <w:next w:val="830"/>
    <w:link w:val="723"/>
    <w:qFormat/>
    <w:rPr>
      <w:rFonts w:cs="Times New Roman"/>
    </w:rPr>
  </w:style>
  <w:style w:type="paragraph" w:styleId="831">
    <w:name w:val="二级条标题"/>
    <w:basedOn w:val="806"/>
    <w:next w:val="723"/>
    <w:link w:val="723"/>
    <w:qFormat/>
    <w:pPr>
      <w:numPr>
        <w:ilvl w:val="0"/>
        <w:numId w:val="0"/>
      </w:numPr>
      <w:ind w:hanging="840"/>
      <w:tabs>
        <w:tab w:val="left" w:pos="360" w:leader="none"/>
        <w:tab w:val="left" w:pos="840" w:leader="none"/>
      </w:tabs>
      <w:outlineLvl w:val="2"/>
    </w:pPr>
    <w:rPr>
      <w:rFonts w:ascii="宋体" w:eastAsia="宋体"/>
      <w:b w:val="0"/>
    </w:rPr>
  </w:style>
  <w:style w:type="paragraph" w:styleId="832">
    <w:name w:val="font7"/>
    <w:basedOn w:val="723"/>
    <w:next w:val="832"/>
    <w:link w:val="723"/>
    <w:qFormat/>
    <w:pPr>
      <w:jc w:val="left"/>
      <w:spacing w:before="100" w:beforeAutospacing="1" w:after="100" w:afterAutospacing="1"/>
      <w:widowControl/>
    </w:pPr>
    <w:rPr>
      <w:rFonts w:eastAsia="Arial Unicode MS"/>
      <w:b/>
      <w:bCs/>
      <w:color w:val="000000"/>
      <w:sz w:val="20"/>
      <w:szCs w:val="20"/>
    </w:rPr>
  </w:style>
  <w:style w:type="paragraph" w:styleId="833">
    <w:name w:val="字元 字元"/>
    <w:basedOn w:val="723"/>
    <w:next w:val="833"/>
    <w:link w:val="723"/>
    <w:qFormat/>
    <w:rPr>
      <w:rFonts w:ascii="Tahoma" w:hAnsi="Tahoma"/>
      <w:sz w:val="24"/>
      <w:szCs w:val="20"/>
    </w:rPr>
  </w:style>
  <w:style w:type="paragraph" w:styleId="834">
    <w:name w:val="Char3 Char Char Char"/>
    <w:basedOn w:val="723"/>
    <w:next w:val="834"/>
    <w:link w:val="723"/>
    <w:qFormat/>
    <w:rPr>
      <w:rFonts w:ascii="Tahoma" w:hAnsi="Tahoma"/>
      <w:sz w:val="24"/>
      <w:szCs w:val="20"/>
    </w:rPr>
  </w:style>
  <w:style w:type="paragraph" w:styleId="835">
    <w:name w:val="font6"/>
    <w:basedOn w:val="723"/>
    <w:next w:val="835"/>
    <w:link w:val="723"/>
    <w:qFormat/>
    <w:pPr>
      <w:jc w:val="left"/>
      <w:spacing w:before="100" w:beforeAutospacing="1" w:after="100" w:afterAutospacing="1"/>
      <w:widowControl/>
    </w:pPr>
    <w:rPr>
      <w:rFonts w:ascii="宋体" w:hAnsi="宋体" w:cs="宋体"/>
      <w:sz w:val="20"/>
      <w:szCs w:val="20"/>
    </w:rPr>
  </w:style>
  <w:style w:type="paragraph" w:styleId="836">
    <w:name w:val="项目编号2"/>
    <w:basedOn w:val="837"/>
    <w:next w:val="836"/>
    <w:link w:val="723"/>
    <w:qFormat/>
    <w:pPr>
      <w:numPr>
        <w:numId w:val="3"/>
      </w:numPr>
    </w:pPr>
  </w:style>
  <w:style w:type="paragraph" w:styleId="837">
    <w:name w:val="项目编号1"/>
    <w:basedOn w:val="723"/>
    <w:next w:val="837"/>
    <w:link w:val="723"/>
    <w:qFormat/>
    <w:pPr>
      <w:numPr>
        <w:ilvl w:val="0"/>
        <w:numId w:val="2"/>
      </w:numPr>
      <w:spacing w:before="100" w:beforeAutospacing="1" w:after="100" w:afterAutospacing="1" w:line="360" w:lineRule="auto"/>
    </w:pPr>
    <w:rPr>
      <w:sz w:val="24"/>
    </w:rPr>
  </w:style>
  <w:style w:type="paragraph" w:styleId="838">
    <w:name w:val="图中文字"/>
    <w:basedOn w:val="723"/>
    <w:next w:val="838"/>
    <w:link w:val="723"/>
    <w:qFormat/>
    <w:pPr>
      <w:jc w:val="center"/>
      <w:spacing w:line="0" w:lineRule="atLeast"/>
    </w:pPr>
    <w:rPr>
      <w:sz w:val="24"/>
      <w:szCs w:val="20"/>
    </w:rPr>
  </w:style>
  <w:style w:type="paragraph" w:styleId="839">
    <w:name w:val="xl46"/>
    <w:basedOn w:val="723"/>
    <w:next w:val="839"/>
    <w:link w:val="7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0">
    <w:name w:val="xl25"/>
    <w:basedOn w:val="723"/>
    <w:next w:val="84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1">
    <w:name w:val="Char2"/>
    <w:basedOn w:val="723"/>
    <w:next w:val="841"/>
    <w:link w:val="723"/>
    <w:qFormat/>
    <w:rPr>
      <w:rFonts w:ascii="Tahoma" w:hAnsi="Tahoma"/>
      <w:sz w:val="24"/>
      <w:szCs w:val="20"/>
    </w:rPr>
  </w:style>
  <w:style w:type="paragraph" w:styleId="842">
    <w:name w:val="xl35"/>
    <w:basedOn w:val="723"/>
    <w:next w:val="842"/>
    <w:link w:val="7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3">
    <w:name w:val="xl40"/>
    <w:basedOn w:val="723"/>
    <w:next w:val="84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4">
    <w:name w:val="xl52"/>
    <w:basedOn w:val="723"/>
    <w:next w:val="844"/>
    <w:link w:val="7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5">
    <w:name w:val="xl43"/>
    <w:basedOn w:val="723"/>
    <w:next w:val="845"/>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6">
    <w:name w:val="background1"/>
    <w:basedOn w:val="723"/>
    <w:next w:val="846"/>
    <w:link w:val="723"/>
    <w:qFormat/>
    <w:pPr>
      <w:jc w:val="left"/>
      <w:spacing w:before="100" w:beforeAutospacing="1" w:after="100" w:afterAutospacing="1"/>
      <w:widowControl/>
    </w:pPr>
    <w:rPr>
      <w:rFonts w:ascii="宋体" w:hAnsi="宋体" w:cs="宋体"/>
      <w:sz w:val="24"/>
    </w:rPr>
  </w:style>
  <w:style w:type="paragraph" w:styleId="847">
    <w:name w:val="Char Char Char Char Char Char Char"/>
    <w:basedOn w:val="723"/>
    <w:next w:val="847"/>
    <w:link w:val="723"/>
    <w:qFormat/>
    <w:pPr>
      <w:ind w:firstLine="200"/>
      <w:spacing w:line="360" w:lineRule="auto"/>
    </w:pPr>
    <w:rPr>
      <w:rFonts w:eastAsia="仿宋_GB2312"/>
      <w:sz w:val="24"/>
    </w:rPr>
  </w:style>
  <w:style w:type="paragraph" w:styleId="848">
    <w:name w:val="xl38"/>
    <w:basedOn w:val="723"/>
    <w:next w:val="848"/>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9">
    <w:name w:val="xl36"/>
    <w:basedOn w:val="723"/>
    <w:next w:val="849"/>
    <w:link w:val="7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0">
    <w:name w:val="正文 + 宋体"/>
    <w:basedOn w:val="723"/>
    <w:next w:val="850"/>
    <w:link w:val="723"/>
    <w:qFormat/>
    <w:pPr>
      <w:ind w:left="360" w:hanging="360"/>
      <w:jc w:val="left"/>
      <w:widowControl/>
    </w:pPr>
    <w:rPr>
      <w:rFonts w:ascii="宋体" w:hAnsi="宋体" w:cs="宋体"/>
      <w:b/>
      <w:bCs/>
      <w:color w:val="000000"/>
      <w:sz w:val="18"/>
      <w:szCs w:val="18"/>
    </w:rPr>
  </w:style>
  <w:style w:type="paragraph" w:styleId="851">
    <w:name w:val="正文列项_数字"/>
    <w:basedOn w:val="723"/>
    <w:next w:val="851"/>
    <w:link w:val="723"/>
    <w:qFormat/>
    <w:pPr>
      <w:numPr>
        <w:ilvl w:val="7"/>
        <w:numId w:val="1"/>
      </w:numPr>
      <w:ind w:left="680" w:hanging="150"/>
      <w:spacing w:line="460" w:lineRule="exact"/>
      <w:tabs>
        <w:tab w:val="clear" w:pos="860" w:leader="none"/>
      </w:tabs>
      <w:outlineLvl w:val="7"/>
    </w:pPr>
    <w:rPr>
      <w:rFonts w:ascii="宋体"/>
      <w:sz w:val="28"/>
      <w:szCs w:val="20"/>
    </w:rPr>
  </w:style>
  <w:style w:type="paragraph" w:styleId="852">
    <w:name w:val="xl39"/>
    <w:basedOn w:val="723"/>
    <w:next w:val="85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3">
    <w:name w:val="xl37"/>
    <w:basedOn w:val="723"/>
    <w:next w:val="853"/>
    <w:link w:val="7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name w:val="xl32"/>
    <w:basedOn w:val="723"/>
    <w:next w:val="854"/>
    <w:link w:val="7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5">
    <w:name w:val="font8"/>
    <w:basedOn w:val="723"/>
    <w:next w:val="855"/>
    <w:link w:val="723"/>
    <w:qFormat/>
    <w:pPr>
      <w:jc w:val="left"/>
      <w:spacing w:before="100" w:beforeAutospacing="1" w:after="100" w:afterAutospacing="1"/>
      <w:widowControl/>
    </w:pPr>
    <w:rPr>
      <w:sz w:val="36"/>
      <w:szCs w:val="36"/>
    </w:rPr>
  </w:style>
  <w:style w:type="paragraph" w:styleId="856">
    <w:name w:val="Char"/>
    <w:basedOn w:val="723"/>
    <w:next w:val="856"/>
    <w:link w:val="723"/>
    <w:qFormat/>
    <w:pPr>
      <w:tabs>
        <w:tab w:val="left" w:pos="360" w:leader="none"/>
      </w:tabs>
    </w:pPr>
    <w:rPr>
      <w:sz w:val="24"/>
    </w:rPr>
  </w:style>
  <w:style w:type="paragraph" w:styleId="857">
    <w:name w:val="Char Char Char Char Char Char Char Char Char Char Char Char Char Char Char Char"/>
    <w:basedOn w:val="723"/>
    <w:next w:val="857"/>
    <w:link w:val="723"/>
    <w:qFormat/>
    <w:pPr>
      <w:jc w:val="center"/>
      <w:spacing w:after="160" w:line="240" w:lineRule="exact"/>
      <w:widowControl/>
    </w:pPr>
    <w:rPr>
      <w:rFonts w:ascii="宋体" w:hAnsi="宋体"/>
      <w:b/>
      <w:sz w:val="30"/>
      <w:szCs w:val="30"/>
      <w:lang w:eastAsia="en-US"/>
    </w:rPr>
  </w:style>
  <w:style w:type="paragraph" w:styleId="858">
    <w:name w:val="xl45"/>
    <w:basedOn w:val="723"/>
    <w:next w:val="858"/>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9">
    <w:name w:val="Char Char1 Char Char Char Char Char Char"/>
    <w:basedOn w:val="723"/>
    <w:next w:val="859"/>
    <w:link w:val="723"/>
    <w:qFormat/>
    <w:pPr>
      <w:jc w:val="left"/>
      <w:spacing w:after="160" w:line="240" w:lineRule="exact"/>
      <w:widowControl/>
    </w:pPr>
    <w:rPr>
      <w:rFonts w:ascii="Verdana" w:hAnsi="Verdana" w:eastAsia="仿宋_GB2312"/>
      <w:sz w:val="24"/>
      <w:szCs w:val="20"/>
      <w:lang w:eastAsia="en-US"/>
    </w:rPr>
  </w:style>
  <w:style w:type="paragraph" w:styleId="860">
    <w:name w:val="Char Char1"/>
    <w:basedOn w:val="751"/>
    <w:next w:val="860"/>
    <w:link w:val="723"/>
    <w:qFormat/>
    <w:rPr>
      <w:rFonts w:ascii="Tahoma" w:hAnsi="Tahoma"/>
      <w:sz w:val="24"/>
    </w:rPr>
  </w:style>
  <w:style w:type="paragraph" w:styleId="861">
    <w:name w:val="xl26"/>
    <w:basedOn w:val="723"/>
    <w:next w:val="861"/>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2">
    <w:name w:val="xl30"/>
    <w:basedOn w:val="723"/>
    <w:next w:val="86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3">
    <w:name w:val="xl41"/>
    <w:basedOn w:val="723"/>
    <w:next w:val="863"/>
    <w:link w:val="7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4">
    <w:name w:val="样式 宋体 五号 行距: 单倍行距"/>
    <w:basedOn w:val="723"/>
    <w:next w:val="864"/>
    <w:link w:val="723"/>
    <w:qFormat/>
    <w:pPr>
      <w:jc w:val="left"/>
    </w:pPr>
    <w:rPr>
      <w:rFonts w:ascii="宋体" w:hAnsi="宋体"/>
      <w:szCs w:val="20"/>
    </w:rPr>
  </w:style>
  <w:style w:type="paragraph" w:styleId="865">
    <w:name w:val="Char1 Char Char Char1"/>
    <w:basedOn w:val="723"/>
    <w:next w:val="865"/>
    <w:link w:val="723"/>
    <w:qFormat/>
    <w:rPr>
      <w:rFonts w:ascii="Tahoma" w:hAnsi="Tahoma" w:cs="仿宋_GB2312"/>
      <w:sz w:val="24"/>
      <w:szCs w:val="28"/>
    </w:rPr>
  </w:style>
  <w:style w:type="paragraph" w:styleId="866">
    <w:name w:val="四级条标题"/>
    <w:basedOn w:val="867"/>
    <w:next w:val="723"/>
    <w:link w:val="723"/>
    <w:qFormat/>
    <w:pPr>
      <w:numPr>
        <w:ilvl w:val="4"/>
      </w:numPr>
      <w:ind w:left="0" w:hanging="840"/>
      <w:tabs>
        <w:tab w:val="left" w:pos="360" w:leader="none"/>
        <w:tab w:val="left" w:pos="840" w:leader="none"/>
      </w:tabs>
      <w:outlineLvl w:val="4"/>
    </w:pPr>
  </w:style>
  <w:style w:type="paragraph" w:styleId="867">
    <w:name w:val="三级条标题"/>
    <w:basedOn w:val="831"/>
    <w:next w:val="723"/>
    <w:link w:val="723"/>
    <w:qFormat/>
    <w:pPr>
      <w:numPr>
        <w:ilvl w:val="3"/>
        <w:numId w:val="1"/>
      </w:numPr>
      <w:ind w:left="0" w:hanging="840"/>
      <w:tabs>
        <w:tab w:val="left" w:pos="360" w:leader="none"/>
        <w:tab w:val="left" w:pos="840" w:leader="none"/>
      </w:tabs>
      <w:outlineLvl w:val="3"/>
    </w:pPr>
  </w:style>
  <w:style w:type="paragraph" w:styleId="868">
    <w:name w:val="??"/>
    <w:next w:val="868"/>
    <w:link w:val="723"/>
    <w:qFormat/>
    <w:pPr>
      <w:jc w:val="both"/>
      <w:widowControl w:val="off"/>
    </w:pPr>
    <w:rPr>
      <w:sz w:val="21"/>
      <w:lang w:val="en-US" w:eastAsia="en-US" w:bidi="ar-SA"/>
    </w:rPr>
  </w:style>
  <w:style w:type="paragraph" w:styleId="869">
    <w:name w:val="样式 标题 2 + 宋体 五号 行距: 单倍行距"/>
    <w:basedOn w:val="725"/>
    <w:next w:val="869"/>
    <w:link w:val="72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0">
    <w:name w:val="List Paragraph1"/>
    <w:basedOn w:val="723"/>
    <w:next w:val="870"/>
    <w:link w:val="723"/>
    <w:qFormat/>
    <w:pPr>
      <w:ind w:firstLine="420"/>
    </w:pPr>
    <w:rPr>
      <w:rFonts w:ascii="Calibri" w:hAnsi="Calibri"/>
      <w:szCs w:val="22"/>
    </w:rPr>
  </w:style>
  <w:style w:type="paragraph" w:styleId="871">
    <w:name w:val="项目符号1"/>
    <w:basedOn w:val="872"/>
    <w:next w:val="871"/>
    <w:link w:val="723"/>
    <w:qFormat/>
    <w:pPr>
      <w:ind w:left="-25" w:firstLine="0"/>
    </w:pPr>
  </w:style>
  <w:style w:type="paragraph" w:styleId="872">
    <w:name w:val="正文文本样式"/>
    <w:basedOn w:val="723"/>
    <w:next w:val="872"/>
    <w:link w:val="723"/>
    <w:qFormat/>
    <w:pPr>
      <w:ind w:firstLine="482"/>
      <w:spacing w:line="360" w:lineRule="auto"/>
    </w:pPr>
    <w:rPr>
      <w:rFonts w:cs="宋体"/>
      <w:sz w:val="24"/>
      <w:szCs w:val="20"/>
    </w:rPr>
  </w:style>
  <w:style w:type="paragraph" w:styleId="873">
    <w:name w:val="xl27"/>
    <w:basedOn w:val="723"/>
    <w:next w:val="873"/>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4">
    <w:name w:val="font5"/>
    <w:basedOn w:val="723"/>
    <w:next w:val="874"/>
    <w:link w:val="723"/>
    <w:qFormat/>
    <w:pPr>
      <w:jc w:val="left"/>
      <w:spacing w:before="100" w:beforeAutospacing="1" w:after="100" w:afterAutospacing="1"/>
      <w:widowControl/>
    </w:pPr>
    <w:rPr>
      <w:rFonts w:ascii="宋体" w:hAnsi="宋体" w:cs="宋体"/>
      <w:sz w:val="18"/>
      <w:szCs w:val="18"/>
    </w:rPr>
  </w:style>
  <w:style w:type="paragraph" w:styleId="875">
    <w:name w:val="五级条标题"/>
    <w:basedOn w:val="866"/>
    <w:next w:val="723"/>
    <w:link w:val="723"/>
    <w:qFormat/>
    <w:pPr>
      <w:numPr>
        <w:ilvl w:val="5"/>
      </w:numPr>
      <w:ind w:left="0" w:hanging="840"/>
      <w:tabs>
        <w:tab w:val="left" w:pos="360" w:leader="none"/>
        <w:tab w:val="left" w:pos="840" w:leader="none"/>
      </w:tabs>
      <w:outlineLvl w:val="5"/>
    </w:pPr>
  </w:style>
  <w:style w:type="paragraph" w:styleId="876">
    <w:name w:val="xl49"/>
    <w:basedOn w:val="723"/>
    <w:next w:val="876"/>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7">
    <w:name w:val="文档正文"/>
    <w:basedOn w:val="723"/>
    <w:next w:val="877"/>
    <w:link w:val="723"/>
    <w:qFormat/>
    <w:pPr>
      <w:spacing w:before="120" w:after="120" w:line="180" w:lineRule="auto"/>
    </w:pPr>
    <w:rPr>
      <w:rFonts w:ascii="Arial" w:hAnsi="Arial"/>
      <w:szCs w:val="20"/>
    </w:rPr>
  </w:style>
  <w:style w:type="paragraph" w:styleId="878">
    <w:name w:val="xl33"/>
    <w:basedOn w:val="723"/>
    <w:next w:val="878"/>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9">
    <w:name w:val="xl42"/>
    <w:basedOn w:val="723"/>
    <w:next w:val="879"/>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0">
    <w:name w:val="Char Char Char1 Char"/>
    <w:basedOn w:val="723"/>
    <w:next w:val="880"/>
    <w:link w:val="723"/>
    <w:qFormat/>
    <w:rPr>
      <w:rFonts w:ascii="Tahoma" w:hAnsi="Tahoma"/>
      <w:sz w:val="24"/>
      <w:szCs w:val="20"/>
    </w:rPr>
  </w:style>
  <w:style w:type="paragraph" w:styleId="881">
    <w:name w:val="xl44"/>
    <w:basedOn w:val="723"/>
    <w:next w:val="881"/>
    <w:link w:val="7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2">
    <w:name w:val="1名"/>
    <w:basedOn w:val="723"/>
    <w:next w:val="882"/>
    <w:link w:val="723"/>
    <w:qFormat/>
    <w:pPr>
      <w:numPr>
        <w:ilvl w:val="0"/>
        <w:numId w:val="5"/>
      </w:numPr>
      <w:spacing w:before="120"/>
      <w:tabs>
        <w:tab w:val="left" w:pos="360" w:leader="none"/>
      </w:tabs>
    </w:pPr>
    <w:rPr>
      <w:rFonts w:ascii="宋体"/>
      <w:sz w:val="28"/>
      <w:szCs w:val="20"/>
    </w:rPr>
  </w:style>
  <w:style w:type="paragraph" w:styleId="883">
    <w:name w:val="font9"/>
    <w:basedOn w:val="723"/>
    <w:next w:val="883"/>
    <w:link w:val="723"/>
    <w:qFormat/>
    <w:pPr>
      <w:jc w:val="left"/>
      <w:spacing w:before="100" w:beforeAutospacing="1" w:after="100" w:afterAutospacing="1"/>
      <w:widowControl/>
    </w:pPr>
    <w:rPr>
      <w:rFonts w:hint="eastAsia" w:ascii="宋体" w:hAnsi="宋体" w:cs="Arial Unicode MS"/>
      <w:color w:val="000000"/>
      <w:sz w:val="20"/>
      <w:szCs w:val="20"/>
    </w:rPr>
  </w:style>
  <w:style w:type="paragraph" w:styleId="884">
    <w:name w:val="Char Char Char1 Char1"/>
    <w:basedOn w:val="723"/>
    <w:next w:val="884"/>
    <w:link w:val="723"/>
    <w:qFormat/>
    <w:rPr>
      <w:rFonts w:ascii="Tahoma" w:hAnsi="Tahoma"/>
      <w:sz w:val="24"/>
      <w:szCs w:val="20"/>
    </w:rPr>
  </w:style>
  <w:style w:type="paragraph" w:styleId="885">
    <w:name w:val="Char Char Char Char Char Char Char Char Char Char"/>
    <w:basedOn w:val="723"/>
    <w:next w:val="885"/>
    <w:link w:val="723"/>
    <w:qFormat/>
  </w:style>
  <w:style w:type="paragraph" w:styleId="886">
    <w:name w:val="Char Char1 Char Char Char Char Char Char Char Char"/>
    <w:basedOn w:val="723"/>
    <w:next w:val="886"/>
    <w:link w:val="723"/>
    <w:qFormat/>
    <w:pPr>
      <w:jc w:val="left"/>
      <w:spacing w:after="160" w:line="240" w:lineRule="exact"/>
      <w:widowControl/>
    </w:pPr>
    <w:rPr>
      <w:rFonts w:ascii="Verdana" w:hAnsi="Verdana"/>
      <w:sz w:val="20"/>
      <w:szCs w:val="20"/>
      <w:lang w:eastAsia="en-US"/>
    </w:rPr>
  </w:style>
  <w:style w:type="paragraph" w:styleId="887">
    <w:name w:val="Char1"/>
    <w:basedOn w:val="723"/>
    <w:next w:val="887"/>
    <w:link w:val="723"/>
    <w:qFormat/>
    <w:pPr>
      <w:tabs>
        <w:tab w:val="left" w:pos="360" w:leader="none"/>
      </w:tabs>
    </w:pPr>
    <w:rPr>
      <w:sz w:val="24"/>
    </w:rPr>
  </w:style>
  <w:style w:type="paragraph" w:styleId="888">
    <w:name w:val="正文列项_字母"/>
    <w:basedOn w:val="723"/>
    <w:next w:val="888"/>
    <w:link w:val="723"/>
    <w:qFormat/>
    <w:pPr>
      <w:numPr>
        <w:ilvl w:val="6"/>
        <w:numId w:val="1"/>
      </w:numPr>
      <w:ind w:left="480" w:hanging="180"/>
      <w:spacing w:line="460" w:lineRule="exact"/>
      <w:tabs>
        <w:tab w:val="clear" w:pos="635" w:leader="none"/>
      </w:tabs>
      <w:outlineLvl w:val="6"/>
    </w:pPr>
    <w:rPr>
      <w:rFonts w:ascii="宋体"/>
      <w:sz w:val="28"/>
      <w:szCs w:val="20"/>
    </w:rPr>
  </w:style>
  <w:style w:type="paragraph" w:styleId="889">
    <w:name w:val="xl28"/>
    <w:basedOn w:val="723"/>
    <w:next w:val="889"/>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0">
    <w:name w:val="xl47"/>
    <w:basedOn w:val="723"/>
    <w:next w:val="890"/>
    <w:link w:val="7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1">
    <w:name w:val="默认段落字体 Para Char Char Char Char"/>
    <w:basedOn w:val="723"/>
    <w:next w:val="891"/>
    <w:link w:val="723"/>
    <w:qFormat/>
    <w:rPr>
      <w:rFonts w:ascii="Arial" w:hAnsi="Arial" w:cs="Arial"/>
      <w:szCs w:val="21"/>
    </w:rPr>
  </w:style>
  <w:style w:type="paragraph" w:styleId="892">
    <w:name w:val="xl48"/>
    <w:basedOn w:val="723"/>
    <w:next w:val="89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3">
    <w:name w:val="xl31"/>
    <w:basedOn w:val="723"/>
    <w:next w:val="893"/>
    <w:link w:val="7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4">
    <w:name w:val="xl53"/>
    <w:basedOn w:val="723"/>
    <w:next w:val="89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Char Char Char"/>
    <w:basedOn w:val="723"/>
    <w:next w:val="895"/>
    <w:link w:val="723"/>
    <w:qFormat/>
    <w:rPr>
      <w:rFonts w:ascii="Tahoma" w:hAnsi="Tahoma"/>
      <w:sz w:val="24"/>
      <w:szCs w:val="20"/>
    </w:rPr>
  </w:style>
  <w:style w:type="paragraph" w:styleId="896">
    <w:name w:val="xl50"/>
    <w:basedOn w:val="723"/>
    <w:next w:val="896"/>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7">
    <w:name w:val="缺省文本"/>
    <w:basedOn w:val="723"/>
    <w:next w:val="897"/>
    <w:link w:val="723"/>
    <w:qFormat/>
    <w:pPr>
      <w:jc w:val="left"/>
    </w:pPr>
    <w:rPr>
      <w:sz w:val="24"/>
    </w:rPr>
  </w:style>
  <w:style w:type="paragraph" w:styleId="898">
    <w:name w:val="Char Char Char1"/>
    <w:basedOn w:val="723"/>
    <w:next w:val="898"/>
    <w:link w:val="723"/>
    <w:qFormat/>
    <w:rPr>
      <w:rFonts w:ascii="Tahoma" w:hAnsi="Tahoma"/>
      <w:sz w:val="24"/>
      <w:szCs w:val="20"/>
    </w:rPr>
  </w:style>
  <w:style w:type="paragraph" w:styleId="899">
    <w:name w:val="Char Char Char Char Char Char Char1"/>
    <w:basedOn w:val="723"/>
    <w:next w:val="899"/>
    <w:link w:val="723"/>
    <w:qFormat/>
    <w:pPr>
      <w:ind w:firstLine="200"/>
      <w:spacing w:line="360" w:lineRule="auto"/>
    </w:pPr>
    <w:rPr>
      <w:rFonts w:eastAsia="仿宋_GB2312"/>
      <w:sz w:val="24"/>
    </w:rPr>
  </w:style>
  <w:style w:type="paragraph" w:styleId="900">
    <w:name w:val="xl51"/>
    <w:basedOn w:val="723"/>
    <w:next w:val="900"/>
    <w:link w:val="7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样式2"/>
    <w:basedOn w:val="786"/>
    <w:next w:val="901"/>
    <w:link w:val="723"/>
    <w:qFormat/>
    <w:pPr>
      <w:jc w:val="center"/>
      <w:spacing w:line="360" w:lineRule="auto"/>
    </w:pPr>
    <w:rPr>
      <w:sz w:val="24"/>
    </w:rPr>
  </w:style>
  <w:style w:type="paragraph" w:styleId="902">
    <w:name w:val="xl24"/>
    <w:basedOn w:val="723"/>
    <w:next w:val="90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3">
    <w:name w:val="xl29"/>
    <w:basedOn w:val="723"/>
    <w:next w:val="903"/>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4">
    <w:name w:val="正文 + 楷体_GB2312"/>
    <w:basedOn w:val="723"/>
    <w:next w:val="904"/>
    <w:link w:val="723"/>
    <w:qFormat/>
    <w:pPr>
      <w:jc w:val="left"/>
      <w:widowControl/>
    </w:pPr>
    <w:rPr>
      <w:rFonts w:ascii="楷体_GB2312" w:eastAsia="楷体_GB2312" w:cs="Arial"/>
      <w:sz w:val="24"/>
    </w:rPr>
  </w:style>
  <w:style w:type="paragraph" w:styleId="905">
    <w:name w:val="xl34"/>
    <w:basedOn w:val="723"/>
    <w:next w:val="905"/>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6">
    <w:name w:val="1 Char Char Char Char"/>
    <w:basedOn w:val="723"/>
    <w:next w:val="906"/>
    <w:link w:val="723"/>
    <w:qFormat/>
    <w:rPr>
      <w:rFonts w:ascii="Tahoma" w:hAnsi="Tahoma"/>
      <w:sz w:val="24"/>
      <w:szCs w:val="20"/>
    </w:rPr>
  </w:style>
  <w:style w:type="paragraph" w:styleId="907">
    <w:name w:val="列出段落1"/>
    <w:basedOn w:val="723"/>
    <w:next w:val="907"/>
    <w:link w:val="723"/>
    <w:qFormat/>
    <w:pPr>
      <w:ind w:firstLine="420"/>
    </w:pPr>
    <w:rPr>
      <w:rFonts w:ascii="Calibri" w:hAnsi="Calibri"/>
      <w:szCs w:val="22"/>
    </w:rPr>
  </w:style>
  <w:style w:type="paragraph" w:styleId="908">
    <w:name w:val="default"/>
    <w:basedOn w:val="723"/>
    <w:next w:val="908"/>
    <w:link w:val="723"/>
    <w:qFormat/>
    <w:pPr>
      <w:jc w:val="left"/>
      <w:spacing w:before="100" w:beforeAutospacing="1" w:after="100" w:afterAutospacing="1"/>
      <w:widowControl/>
    </w:pPr>
    <w:rPr>
      <w:rFonts w:ascii="宋体" w:hAnsi="宋体" w:cs="宋体"/>
      <w:sz w:val="24"/>
    </w:rPr>
  </w:style>
  <w:style w:type="paragraph" w:styleId="909">
    <w:name w:val="字元 字元1"/>
    <w:basedOn w:val="723"/>
    <w:next w:val="909"/>
    <w:link w:val="723"/>
    <w:qFormat/>
    <w:rPr>
      <w:rFonts w:ascii="Tahoma" w:hAnsi="Tahoma"/>
      <w:sz w:val="24"/>
      <w:szCs w:val="20"/>
    </w:rPr>
  </w:style>
  <w:style w:type="paragraph" w:styleId="910">
    <w:name w:val="_Style 160"/>
    <w:next w:val="910"/>
    <w:link w:val="723"/>
    <w:qFormat/>
    <w:rPr>
      <w:sz w:val="21"/>
      <w:szCs w:val="24"/>
      <w:lang w:val="en-US" w:eastAsia="zh-CN" w:bidi="ar-SA"/>
    </w:rPr>
  </w:style>
  <w:style w:type="paragraph" w:styleId="911">
    <w:name w:val="项目编号3"/>
    <w:basedOn w:val="872"/>
    <w:next w:val="911"/>
    <w:link w:val="723"/>
    <w:qFormat/>
    <w:pPr>
      <w:numPr>
        <w:ilvl w:val="0"/>
        <w:numId w:val="6"/>
      </w:numPr>
    </w:pPr>
  </w:style>
  <w:style w:type="paragraph" w:styleId="912">
    <w:name w:val="Char21"/>
    <w:basedOn w:val="723"/>
    <w:next w:val="912"/>
    <w:link w:val="723"/>
    <w:qFormat/>
    <w:rPr>
      <w:rFonts w:ascii="Tahoma" w:hAnsi="Tahoma"/>
      <w:sz w:val="24"/>
      <w:szCs w:val="20"/>
    </w:rPr>
  </w:style>
  <w:style w:type="paragraph" w:styleId="913">
    <w:name w:val="表格文字"/>
    <w:basedOn w:val="759"/>
    <w:next w:val="913"/>
    <w:link w:val="723"/>
    <w:qFormat/>
    <w:pPr>
      <w:ind w:firstLine="0"/>
      <w:spacing w:before="20" w:after="20" w:line="240" w:lineRule="auto"/>
    </w:pPr>
    <w:rPr>
      <w:rFonts w:ascii="Century Gothic" w:hAnsi="Century Gothic"/>
      <w:sz w:val="20"/>
      <w:szCs w:val="20"/>
    </w:rPr>
  </w:style>
  <w:style w:type="paragraph" w:styleId="914">
    <w:name w:val="Char Char Char Char Char Char Char Char Char Char1"/>
    <w:basedOn w:val="723"/>
    <w:next w:val="914"/>
    <w:link w:val="723"/>
    <w:qFormat/>
    <w:rPr>
      <w:rFonts w:ascii="宋体" w:hAnsi="宋体" w:cs="Courier New"/>
      <w:sz w:val="32"/>
      <w:szCs w:val="32"/>
    </w:rPr>
  </w:style>
  <w:style w:type="paragraph" w:styleId="915">
    <w:name w:val="正文文本样式 加粗"/>
    <w:basedOn w:val="872"/>
    <w:next w:val="915"/>
    <w:link w:val="723"/>
    <w:qFormat/>
    <w:rPr>
      <w:b/>
    </w:rPr>
  </w:style>
  <w:style w:type="paragraph" w:styleId="916">
    <w:name w:val="Char2 Char Char Char Char Char Char"/>
    <w:basedOn w:val="723"/>
    <w:next w:val="916"/>
    <w:link w:val="723"/>
    <w:qFormat/>
    <w:pPr>
      <w:jc w:val="center"/>
      <w:spacing w:line="400" w:lineRule="exact"/>
      <w:widowControl/>
    </w:pPr>
  </w:style>
  <w:style w:type="paragraph" w:styleId="917">
    <w:name w:val="Char Char4"/>
    <w:basedOn w:val="723"/>
    <w:next w:val="917"/>
    <w:link w:val="723"/>
    <w:qFormat/>
    <w:pPr>
      <w:jc w:val="center"/>
      <w:spacing w:line="400" w:lineRule="exact"/>
      <w:widowControl/>
    </w:pPr>
  </w:style>
  <w:style w:type="paragraph" w:styleId="918">
    <w:name w:val="Char3 Char Char Char1"/>
    <w:basedOn w:val="723"/>
    <w:next w:val="918"/>
    <w:link w:val="723"/>
    <w:qFormat/>
    <w:rPr>
      <w:rFonts w:ascii="Tahoma" w:hAnsi="Tahoma"/>
      <w:sz w:val="24"/>
      <w:szCs w:val="20"/>
    </w:rPr>
  </w:style>
  <w:style w:type="paragraph" w:styleId="919">
    <w:name w:val="无间隔"/>
    <w:next w:val="919"/>
    <w:link w:val="723"/>
    <w:qFormat/>
    <w:pPr>
      <w:jc w:val="both"/>
      <w:widowControl w:val="off"/>
    </w:pPr>
    <w:rPr>
      <w:sz w:val="21"/>
      <w:szCs w:val="24"/>
      <w:lang w:val="en-US" w:eastAsia="zh-CN" w:bidi="ar-SA"/>
    </w:rPr>
  </w:style>
  <w:style w:type="paragraph" w:styleId="920">
    <w:name w:val="22222222222222"/>
    <w:basedOn w:val="723"/>
    <w:next w:val="920"/>
    <w:link w:val="723"/>
    <w:qFormat/>
    <w:pPr>
      <w:ind w:firstLine="480"/>
      <w:jc w:val="left"/>
      <w:spacing w:line="360" w:lineRule="auto"/>
      <w:widowControl/>
    </w:pPr>
    <w:rPr>
      <w:color w:val="ff0000"/>
      <w:sz w:val="24"/>
      <w:szCs w:val="20"/>
    </w:rPr>
  </w:style>
  <w:style w:type="character" w:styleId="921">
    <w:name w:val="中等深浅网格 1 - 强调文字颜色 2 Char"/>
    <w:next w:val="921"/>
    <w:link w:val="922"/>
    <w:qFormat/>
    <w:rPr>
      <w:sz w:val="21"/>
      <w:szCs w:val="24"/>
      <w:lang w:val="zh-CN" w:eastAsia="zh-CN" w:bidi="ar-SA"/>
    </w:rPr>
  </w:style>
  <w:style w:type="paragraph" w:styleId="922">
    <w:name w:val="1"/>
    <w:next w:val="922"/>
    <w:link w:val="921"/>
    <w:qFormat/>
    <w:rPr>
      <w:sz w:val="21"/>
      <w:szCs w:val="24"/>
      <w:lang w:val="zh-CN" w:eastAsia="zh-CN" w:bidi="ar-SA"/>
    </w:rPr>
  </w:style>
  <w:style w:type="paragraph" w:styleId="923">
    <w:name w:val="图文"/>
    <w:basedOn w:val="723"/>
    <w:next w:val="923"/>
    <w:link w:val="723"/>
    <w:qFormat/>
    <w:pPr>
      <w:spacing w:after="50" w:line="360" w:lineRule="auto"/>
    </w:pPr>
    <w:rPr>
      <w:sz w:val="24"/>
    </w:rPr>
  </w:style>
  <w:style w:type="paragraph" w:styleId="924">
    <w:name w:val="xl23"/>
    <w:basedOn w:val="723"/>
    <w:next w:val="924"/>
    <w:link w:val="723"/>
    <w:qFormat/>
    <w:pPr>
      <w:spacing w:before="100" w:beforeAutospacing="1" w:after="100" w:afterAutospacing="1" w:line="360" w:lineRule="auto"/>
      <w:widowControl/>
    </w:pPr>
    <w:rPr>
      <w:sz w:val="24"/>
      <w:szCs w:val="20"/>
    </w:rPr>
  </w:style>
  <w:style w:type="paragraph" w:styleId="925">
    <w:name w:val="正文表格"/>
    <w:basedOn w:val="723"/>
    <w:next w:val="925"/>
    <w:link w:val="926"/>
    <w:qFormat/>
    <w:pPr>
      <w:jc w:val="left"/>
    </w:pPr>
    <w:rPr>
      <w:rFonts w:ascii="宋体" w:hAnsi="宋体"/>
      <w:color w:val="000000"/>
      <w:szCs w:val="21"/>
    </w:rPr>
  </w:style>
  <w:style w:type="character" w:styleId="926">
    <w:name w:val="正文表格 Char"/>
    <w:next w:val="926"/>
    <w:link w:val="925"/>
    <w:qFormat/>
    <w:rPr>
      <w:rFonts w:ascii="宋体" w:hAnsi="宋体"/>
      <w:color w:val="000000"/>
      <w:sz w:val="21"/>
      <w:szCs w:val="21"/>
    </w:rPr>
  </w:style>
  <w:style w:type="paragraph" w:styleId="927">
    <w:name w:val="正文重点"/>
    <w:basedOn w:val="723"/>
    <w:next w:val="927"/>
    <w:link w:val="928"/>
    <w:qFormat/>
    <w:pPr>
      <w:ind w:firstLine="482"/>
      <w:jc w:val="left"/>
      <w:spacing w:line="360" w:lineRule="auto"/>
    </w:pPr>
    <w:rPr>
      <w:b/>
      <w:sz w:val="24"/>
      <w:szCs w:val="20"/>
    </w:rPr>
  </w:style>
  <w:style w:type="character" w:styleId="928">
    <w:name w:val="正文重点 Char"/>
    <w:next w:val="928"/>
    <w:link w:val="927"/>
    <w:qFormat/>
    <w:rPr>
      <w:b/>
      <w:sz w:val="24"/>
    </w:rPr>
  </w:style>
  <w:style w:type="paragraph" w:styleId="929">
    <w:name w:val="标题1-附件"/>
    <w:basedOn w:val="724"/>
    <w:next w:val="929"/>
    <w:link w:val="723"/>
    <w:qFormat/>
    <w:pPr>
      <w:jc w:val="left"/>
    </w:pPr>
    <w:rPr>
      <w:sz w:val="24"/>
      <w:szCs w:val="24"/>
    </w:rPr>
  </w:style>
  <w:style w:type="paragraph" w:styleId="930">
    <w:name w:val="正文小标题"/>
    <w:basedOn w:val="723"/>
    <w:next w:val="738"/>
    <w:link w:val="931"/>
    <w:qFormat/>
    <w:pPr>
      <w:ind w:firstLine="482"/>
      <w:jc w:val="left"/>
      <w:spacing w:before="312" w:after="312"/>
    </w:pPr>
    <w:rPr>
      <w:rFonts w:ascii="宋体" w:hAnsi="宋体"/>
      <w:b/>
      <w:i/>
      <w:color w:val="ff0000"/>
      <w:sz w:val="24"/>
      <w:szCs w:val="20"/>
    </w:rPr>
  </w:style>
  <w:style w:type="character" w:styleId="931">
    <w:name w:val="正文小标题 Char"/>
    <w:next w:val="931"/>
    <w:link w:val="930"/>
    <w:qFormat/>
    <w:rPr>
      <w:rFonts w:ascii="宋体" w:hAnsi="宋体"/>
      <w:b/>
      <w:i/>
      <w:color w:val="ff0000"/>
      <w:sz w:val="24"/>
    </w:rPr>
  </w:style>
  <w:style w:type="paragraph" w:styleId="932">
    <w:name w:val="正文大标题"/>
    <w:basedOn w:val="930"/>
    <w:next w:val="738"/>
    <w:link w:val="933"/>
    <w:qFormat/>
    <w:pPr>
      <w:jc w:val="center"/>
    </w:pPr>
    <w:rPr>
      <w:i w:val="0"/>
      <w:color w:val="000000"/>
      <w:sz w:val="28"/>
      <w:szCs w:val="21"/>
    </w:rPr>
  </w:style>
  <w:style w:type="character" w:styleId="933">
    <w:name w:val="正文大标题 Char"/>
    <w:next w:val="933"/>
    <w:link w:val="932"/>
    <w:qFormat/>
    <w:rPr>
      <w:rFonts w:ascii="宋体" w:hAnsi="宋体"/>
      <w:b/>
      <w:color w:val="000000"/>
      <w:sz w:val="28"/>
      <w:szCs w:val="21"/>
    </w:rPr>
  </w:style>
  <w:style w:type="paragraph" w:styleId="934">
    <w:name w:val="注释"/>
    <w:basedOn w:val="723"/>
    <w:next w:val="934"/>
    <w:link w:val="935"/>
    <w:qFormat/>
    <w:pPr>
      <w:ind w:left="420" w:hanging="420"/>
      <w:jc w:val="left"/>
    </w:pPr>
    <w:rPr>
      <w:rFonts w:ascii="宋体" w:hAnsi="宋体"/>
      <w:szCs w:val="21"/>
    </w:rPr>
  </w:style>
  <w:style w:type="character" w:styleId="935">
    <w:name w:val="注释 Char"/>
    <w:next w:val="935"/>
    <w:link w:val="934"/>
    <w:qFormat/>
    <w:rPr>
      <w:rFonts w:ascii="宋体" w:hAnsi="宋体"/>
      <w:sz w:val="21"/>
      <w:szCs w:val="21"/>
    </w:rPr>
  </w:style>
  <w:style w:type="paragraph" w:styleId="936">
    <w:name w:val="正文须知-1级"/>
    <w:basedOn w:val="723"/>
    <w:next w:val="723"/>
    <w:link w:val="723"/>
    <w:qFormat/>
    <w:pPr>
      <w:numPr>
        <w:ilvl w:val="0"/>
        <w:numId w:val="7"/>
      </w:numPr>
      <w:spacing w:line="300" w:lineRule="auto"/>
    </w:pPr>
    <w:rPr>
      <w:rFonts w:ascii="宋体" w:hAnsi="Calibri"/>
      <w:sz w:val="24"/>
      <w:szCs w:val="21"/>
    </w:rPr>
  </w:style>
  <w:style w:type="paragraph" w:styleId="937">
    <w:name w:val="正文须知-2级"/>
    <w:basedOn w:val="723"/>
    <w:next w:val="937"/>
    <w:link w:val="723"/>
    <w:qFormat/>
    <w:pPr>
      <w:numPr>
        <w:ilvl w:val="1"/>
        <w:numId w:val="7"/>
      </w:numPr>
      <w:spacing w:line="300" w:lineRule="auto"/>
    </w:pPr>
    <w:rPr>
      <w:rFonts w:ascii="宋体" w:hAnsi="Calibri"/>
      <w:sz w:val="24"/>
      <w:szCs w:val="21"/>
    </w:rPr>
  </w:style>
  <w:style w:type="paragraph" w:styleId="938">
    <w:name w:val="正文须知-3级"/>
    <w:basedOn w:val="723"/>
    <w:next w:val="938"/>
    <w:link w:val="723"/>
    <w:qFormat/>
    <w:pPr>
      <w:numPr>
        <w:ilvl w:val="2"/>
        <w:numId w:val="7"/>
      </w:numPr>
      <w:ind w:hanging="355"/>
      <w:spacing w:line="300" w:lineRule="auto"/>
    </w:pPr>
    <w:rPr>
      <w:rFonts w:ascii="宋体" w:hAnsi="Calibri"/>
      <w:sz w:val="24"/>
      <w:szCs w:val="21"/>
    </w:rPr>
  </w:style>
  <w:style w:type="character" w:styleId="939">
    <w:name w:val="纯文本 字符"/>
    <w:next w:val="939"/>
    <w:link w:val="723"/>
    <w:uiPriority w:val="99"/>
    <w:qFormat/>
    <w:rPr>
      <w:rFonts w:ascii="宋体" w:hAnsi="Courier New" w:eastAsia="宋体" w:cs="Times New Roman"/>
      <w:sz w:val="21"/>
      <w:szCs w:val="21"/>
      <w:lang w:val="en-US" w:eastAsia="zh-CN" w:bidi="ar-SA"/>
    </w:rPr>
  </w:style>
  <w:style w:type="paragraph" w:styleId="940">
    <w:name w:val="表格1"/>
    <w:basedOn w:val="723"/>
    <w:next w:val="940"/>
    <w:link w:val="723"/>
    <w:qFormat/>
    <w:pPr>
      <w:ind w:firstLine="480"/>
      <w:jc w:val="center"/>
    </w:pPr>
    <w:rPr>
      <w:sz w:val="24"/>
      <w:szCs w:val="20"/>
    </w:rPr>
  </w:style>
  <w:style w:type="character" w:styleId="941">
    <w:name w:val="纯文本 字符1"/>
    <w:next w:val="941"/>
    <w:link w:val="723"/>
    <w:qFormat/>
    <w:rPr>
      <w:rFonts w:ascii="宋体" w:hAnsi="Courier New"/>
    </w:rPr>
  </w:style>
  <w:style w:type="character" w:styleId="942">
    <w:name w:val="bjh-p"/>
    <w:next w:val="942"/>
    <w:link w:val="723"/>
    <w:qFormat/>
  </w:style>
  <w:style w:type="paragraph" w:styleId="943">
    <w:name w:val="无标题条"/>
    <w:next w:val="723"/>
    <w:link w:val="723"/>
    <w:qFormat/>
    <w:pPr>
      <w:jc w:val="both"/>
    </w:pPr>
    <w:rPr>
      <w:sz w:val="21"/>
      <w:lang w:val="en-US" w:eastAsia="zh-CN" w:bidi="ar-SA"/>
    </w:rPr>
  </w:style>
  <w:style w:type="character" w:styleId="944">
    <w:name w:val="正文格式 Char"/>
    <w:next w:val="944"/>
    <w:link w:val="945"/>
    <w:qFormat/>
    <w:rPr>
      <w:rFonts w:ascii="宋体" w:hAnsi="宋体"/>
      <w:sz w:val="24"/>
      <w:szCs w:val="24"/>
      <w:lang w:val="en-GB"/>
    </w:rPr>
  </w:style>
  <w:style w:type="paragraph" w:styleId="945">
    <w:name w:val="正文格式"/>
    <w:basedOn w:val="723"/>
    <w:next w:val="945"/>
    <w:link w:val="944"/>
    <w:qFormat/>
    <w:pPr>
      <w:ind w:firstLine="480"/>
      <w:spacing w:line="360" w:lineRule="auto"/>
    </w:pPr>
    <w:rPr>
      <w:rFonts w:ascii="宋体" w:hAnsi="宋体"/>
      <w:sz w:val="24"/>
      <w:lang w:val="en-GB"/>
    </w:rPr>
  </w:style>
  <w:style w:type="character" w:styleId="946">
    <w:name w:val="标题 3 Char"/>
    <w:next w:val="946"/>
    <w:link w:val="723"/>
    <w:qFormat/>
    <w:rPr>
      <w:rFonts w:ascii="宋体" w:eastAsia="宋体"/>
      <w:b/>
      <w:sz w:val="24"/>
      <w:u w:val="single"/>
      <w:lang w:val="en-US" w:eastAsia="zh-CN" w:bidi="ar-SA"/>
    </w:rPr>
  </w:style>
  <w:style w:type="character" w:styleId="947">
    <w:name w:val="正文缩进 Char"/>
    <w:next w:val="947"/>
    <w:link w:val="723"/>
    <w:qFormat/>
    <w:rPr>
      <w:rFonts w:ascii="宋体" w:eastAsia="宋体"/>
      <w:sz w:val="24"/>
      <w:szCs w:val="24"/>
      <w:lang w:val="en-US" w:eastAsia="zh-CN" w:bidi="ar-SA"/>
    </w:rPr>
  </w:style>
  <w:style w:type="character" w:styleId="948">
    <w:name w:val="Char Char111"/>
    <w:next w:val="948"/>
    <w:link w:val="723"/>
    <w:qFormat/>
    <w:rPr>
      <w:rFonts w:ascii="宋体" w:eastAsia="宋体"/>
      <w:b/>
      <w:sz w:val="24"/>
      <w:u w:val="single"/>
      <w:lang w:val="en-US" w:eastAsia="zh-CN" w:bidi="ar-SA"/>
    </w:rPr>
  </w:style>
  <w:style w:type="character" w:styleId="949">
    <w:name w:val="正文文本缩进 Char"/>
    <w:next w:val="949"/>
    <w:link w:val="723"/>
    <w:qFormat/>
    <w:rPr>
      <w:rFonts w:eastAsia="宋体"/>
      <w:sz w:val="24"/>
      <w:szCs w:val="24"/>
      <w:lang w:val="en-US" w:eastAsia="zh-CN" w:bidi="ar-SA"/>
    </w:rPr>
  </w:style>
  <w:style w:type="character" w:styleId="950">
    <w:name w:val="列出段落 Char"/>
    <w:next w:val="950"/>
    <w:link w:val="723"/>
    <w:qFormat/>
    <w:rPr>
      <w:rFonts w:ascii="Calibri" w:hAnsi="Calibri" w:eastAsia="宋体"/>
      <w:sz w:val="21"/>
      <w:szCs w:val="22"/>
      <w:lang w:val="en-US" w:eastAsia="zh-CN" w:bidi="ar-SA"/>
    </w:rPr>
  </w:style>
  <w:style w:type="character" w:styleId="951">
    <w:name w:val="页眉 Char"/>
    <w:next w:val="951"/>
    <w:link w:val="723"/>
    <w:qFormat/>
    <w:rPr>
      <w:rFonts w:eastAsia="宋体"/>
      <w:sz w:val="18"/>
      <w:szCs w:val="18"/>
      <w:lang w:val="en-US" w:eastAsia="zh-CN" w:bidi="ar-SA"/>
    </w:rPr>
  </w:style>
  <w:style w:type="paragraph" w:styleId="952">
    <w:name w:val="字元 字元2"/>
    <w:basedOn w:val="723"/>
    <w:next w:val="952"/>
    <w:link w:val="723"/>
    <w:qFormat/>
    <w:rPr>
      <w:rFonts w:ascii="Tahoma" w:hAnsi="Tahoma"/>
      <w:sz w:val="24"/>
      <w:szCs w:val="20"/>
    </w:rPr>
  </w:style>
  <w:style w:type="paragraph" w:styleId="953">
    <w:name w:val="Char3 Char Char Char2"/>
    <w:basedOn w:val="723"/>
    <w:next w:val="953"/>
    <w:link w:val="723"/>
    <w:qFormat/>
    <w:rPr>
      <w:rFonts w:ascii="Tahoma" w:hAnsi="Tahoma"/>
      <w:sz w:val="24"/>
      <w:szCs w:val="20"/>
    </w:rPr>
  </w:style>
  <w:style w:type="paragraph" w:styleId="954">
    <w:name w:val="正文文本缩进2"/>
    <w:basedOn w:val="723"/>
    <w:next w:val="954"/>
    <w:link w:val="723"/>
    <w:qFormat/>
    <w:pPr>
      <w:ind w:firstLine="480"/>
      <w:spacing w:line="480" w:lineRule="exact"/>
    </w:pPr>
    <w:rPr>
      <w:rFonts w:ascii="宋体" w:hAnsi="宋体"/>
      <w:sz w:val="24"/>
      <w:lang w:val="zh-CN" w:eastAsia="zh-CN"/>
    </w:rPr>
  </w:style>
  <w:style w:type="paragraph" w:styleId="955">
    <w:name w:val="Char3"/>
    <w:basedOn w:val="723"/>
    <w:next w:val="955"/>
    <w:link w:val="723"/>
    <w:qFormat/>
    <w:pPr>
      <w:tabs>
        <w:tab w:val="left" w:pos="360" w:leader="none"/>
      </w:tabs>
    </w:pPr>
    <w:rPr>
      <w:sz w:val="24"/>
    </w:rPr>
  </w:style>
  <w:style w:type="paragraph" w:styleId="956">
    <w:name w:val="Char Char Char Char Char Char Char Char Char Char Char Char Char Char Char Char1"/>
    <w:basedOn w:val="723"/>
    <w:next w:val="956"/>
    <w:link w:val="723"/>
    <w:qFormat/>
    <w:pPr>
      <w:jc w:val="center"/>
      <w:spacing w:after="160" w:line="240" w:lineRule="exact"/>
      <w:widowControl/>
    </w:pPr>
    <w:rPr>
      <w:rFonts w:ascii="宋体" w:hAnsi="宋体"/>
      <w:b/>
      <w:sz w:val="30"/>
      <w:szCs w:val="30"/>
      <w:lang w:eastAsia="en-US"/>
    </w:rPr>
  </w:style>
  <w:style w:type="paragraph" w:styleId="957">
    <w:name w:val="Char Char1 Char Char Char Char Char Char1"/>
    <w:basedOn w:val="723"/>
    <w:next w:val="957"/>
    <w:link w:val="723"/>
    <w:qFormat/>
    <w:pPr>
      <w:jc w:val="left"/>
      <w:spacing w:after="160" w:line="240" w:lineRule="exact"/>
      <w:widowControl/>
    </w:pPr>
    <w:rPr>
      <w:rFonts w:ascii="Verdana" w:hAnsi="Verdana" w:eastAsia="仿宋_GB2312"/>
      <w:sz w:val="24"/>
      <w:szCs w:val="20"/>
      <w:lang w:eastAsia="en-US"/>
    </w:rPr>
  </w:style>
  <w:style w:type="paragraph" w:styleId="958">
    <w:name w:val="列出段落2"/>
    <w:basedOn w:val="723"/>
    <w:next w:val="958"/>
    <w:link w:val="723"/>
    <w:qFormat/>
    <w:pPr>
      <w:ind w:firstLine="420"/>
    </w:pPr>
    <w:rPr>
      <w:rFonts w:ascii="Calibri" w:hAnsi="Calibri"/>
      <w:szCs w:val="22"/>
    </w:rPr>
  </w:style>
  <w:style w:type="paragraph" w:styleId="959">
    <w:name w:val="Char Char Char1 Char2"/>
    <w:basedOn w:val="723"/>
    <w:next w:val="959"/>
    <w:link w:val="723"/>
    <w:qFormat/>
    <w:rPr>
      <w:rFonts w:ascii="Tahoma" w:hAnsi="Tahoma"/>
      <w:sz w:val="24"/>
      <w:szCs w:val="20"/>
    </w:rPr>
  </w:style>
  <w:style w:type="paragraph" w:styleId="960">
    <w:name w:val="Char Char Char2"/>
    <w:basedOn w:val="723"/>
    <w:next w:val="960"/>
    <w:link w:val="723"/>
    <w:qFormat/>
    <w:rPr>
      <w:rFonts w:ascii="Tahoma" w:hAnsi="Tahoma"/>
      <w:sz w:val="24"/>
      <w:szCs w:val="20"/>
    </w:rPr>
  </w:style>
  <w:style w:type="paragraph" w:styleId="961">
    <w:name w:val="Char Char Char Char Char Char Char2"/>
    <w:basedOn w:val="723"/>
    <w:next w:val="961"/>
    <w:link w:val="723"/>
    <w:qFormat/>
    <w:pPr>
      <w:ind w:firstLine="200"/>
      <w:spacing w:line="360" w:lineRule="auto"/>
    </w:pPr>
    <w:rPr>
      <w:rFonts w:eastAsia="仿宋_GB2312"/>
      <w:sz w:val="24"/>
    </w:rPr>
  </w:style>
  <w:style w:type="paragraph" w:styleId="962">
    <w:name w:val="正文缩进2"/>
    <w:basedOn w:val="723"/>
    <w:next w:val="962"/>
    <w:link w:val="723"/>
    <w:qFormat/>
    <w:pPr>
      <w:ind w:firstLine="567"/>
      <w:spacing w:line="480" w:lineRule="exact"/>
      <w:widowControl/>
    </w:pPr>
    <w:rPr>
      <w:rFonts w:ascii="宋体"/>
      <w:color w:val="000000"/>
      <w:sz w:val="28"/>
      <w:szCs w:val="20"/>
      <w:lang w:val="zh-CN" w:eastAsia="zh-CN"/>
    </w:rPr>
  </w:style>
  <w:style w:type="paragraph" w:styleId="963">
    <w:name w:val="Revision"/>
    <w:next w:val="963"/>
    <w:link w:val="723"/>
    <w:qFormat/>
    <w:rPr>
      <w:sz w:val="21"/>
      <w:szCs w:val="24"/>
      <w:lang w:val="en-US" w:eastAsia="zh-CN" w:bidi="ar-SA"/>
    </w:rPr>
  </w:style>
  <w:style w:type="paragraph" w:styleId="964">
    <w:name w:val="Char22"/>
    <w:basedOn w:val="723"/>
    <w:next w:val="964"/>
    <w:link w:val="723"/>
    <w:qFormat/>
    <w:rPr>
      <w:rFonts w:ascii="Tahoma" w:hAnsi="Tahoma"/>
      <w:sz w:val="24"/>
      <w:szCs w:val="20"/>
    </w:rPr>
  </w:style>
  <w:style w:type="paragraph" w:styleId="965">
    <w:name w:val="Char Char Char Char Char Char Char Char Char Char2"/>
    <w:basedOn w:val="723"/>
    <w:next w:val="965"/>
    <w:link w:val="723"/>
    <w:qFormat/>
    <w:rPr>
      <w:rFonts w:ascii="宋体" w:hAnsi="宋体" w:cs="Courier New"/>
      <w:sz w:val="32"/>
      <w:szCs w:val="32"/>
    </w:rPr>
  </w:style>
  <w:style w:type="paragraph" w:styleId="966">
    <w:name w:val="Char2 Char Char Char Char Char Char1"/>
    <w:basedOn w:val="723"/>
    <w:next w:val="966"/>
    <w:link w:val="723"/>
    <w:qFormat/>
    <w:pPr>
      <w:jc w:val="center"/>
      <w:spacing w:line="400" w:lineRule="exact"/>
      <w:widowControl/>
    </w:pPr>
  </w:style>
  <w:style w:type="character" w:styleId="967">
    <w:name w:val="页脚 Char"/>
    <w:next w:val="967"/>
    <w:link w:val="723"/>
    <w:qFormat/>
    <w:rPr>
      <w:rFonts w:ascii="宋体" w:eastAsia="宋体"/>
      <w:sz w:val="18"/>
      <w:lang w:val="en-US" w:eastAsia="zh-CN" w:bidi="ar-SA"/>
    </w:rPr>
  </w:style>
  <w:style w:type="paragraph" w:styleId="968">
    <w:name w:val="Char Char41"/>
    <w:basedOn w:val="723"/>
    <w:next w:val="968"/>
    <w:link w:val="723"/>
    <w:qFormat/>
    <w:pPr>
      <w:jc w:val="center"/>
      <w:spacing w:line="400" w:lineRule="exact"/>
      <w:widowControl/>
    </w:pPr>
  </w:style>
  <w:style w:type="character" w:styleId="969">
    <w:name w:val="批注文字 Char"/>
    <w:next w:val="969"/>
    <w:link w:val="723"/>
    <w:uiPriority w:val="99"/>
    <w:qFormat/>
    <w:rPr>
      <w:sz w:val="21"/>
      <w:szCs w:val="24"/>
    </w:rPr>
  </w:style>
  <w:style w:type="character" w:styleId="970">
    <w:name w:val="标题 Char"/>
    <w:next w:val="970"/>
    <w:link w:val="723"/>
    <w:qFormat/>
    <w:rPr>
      <w:b/>
      <w:sz w:val="32"/>
    </w:rPr>
  </w:style>
  <w:style w:type="paragraph" w:styleId="971">
    <w:name w:val="图例"/>
    <w:basedOn w:val="723"/>
    <w:next w:val="971"/>
    <w:link w:val="723"/>
    <w:qFormat/>
    <w:pPr>
      <w:jc w:val="center"/>
      <w:spacing w:before="120" w:after="120" w:line="360" w:lineRule="auto"/>
    </w:pPr>
    <w:rPr>
      <w:rFonts w:eastAsia="仿宋_GB2312"/>
      <w:b/>
      <w:sz w:val="24"/>
      <w:szCs w:val="20"/>
    </w:rPr>
  </w:style>
  <w:style w:type="paragraph" w:styleId="972">
    <w:name w:val="Table Paragraph"/>
    <w:basedOn w:val="723"/>
    <w:next w:val="972"/>
    <w:link w:val="723"/>
    <w:uiPriority w:val="1"/>
    <w:qFormat/>
    <w:pPr>
      <w:jc w:val="left"/>
    </w:pPr>
    <w:rPr>
      <w:rFonts w:ascii="宋体" w:hAnsi="宋体" w:cs="宋体"/>
      <w:sz w:val="22"/>
      <w:szCs w:val="22"/>
      <w:lang w:eastAsia="en-US"/>
    </w:rPr>
  </w:style>
  <w:style w:type="table" w:styleId="973">
    <w:name w:val="Table Normal"/>
    <w:next w:val="973"/>
    <w:link w:val="723"/>
    <w:uiPriority w:val="2"/>
    <w:semiHidden/>
    <w:qFormat/>
    <w:pPr>
      <w:widowControl w:val="off"/>
    </w:pPr>
    <w:rPr>
      <w:rFonts w:ascii="Calibri" w:hAnsi="Calibri"/>
      <w:sz w:val="22"/>
      <w:szCs w:val="22"/>
      <w:lang w:val="en-US" w:eastAsia="en-US" w:bidi="ar-SA"/>
    </w:rPr>
    <w:tblPr/>
  </w:style>
  <w:style w:type="paragraph" w:styleId="974">
    <w:name w:val="成文日期"/>
    <w:basedOn w:val="723"/>
    <w:next w:val="974"/>
    <w:link w:val="975"/>
    <w:qFormat/>
    <w:pPr>
      <w:ind w:right="400" w:firstLine="200"/>
      <w:jc w:val="right"/>
      <w:spacing w:line="570" w:lineRule="exact"/>
    </w:pPr>
    <w:rPr>
      <w:rFonts w:ascii="仿宋_GB2312" w:eastAsia="仿宋_GB2312"/>
      <w:sz w:val="32"/>
      <w:szCs w:val="20"/>
    </w:rPr>
  </w:style>
  <w:style w:type="character" w:styleId="975">
    <w:name w:val="成文日期 Char"/>
    <w:next w:val="975"/>
    <w:link w:val="974"/>
    <w:rPr>
      <w:rFonts w:ascii="仿宋_GB2312" w:eastAsia="仿宋_GB2312"/>
      <w:sz w:val="32"/>
    </w:rPr>
  </w:style>
  <w:style w:type="character" w:styleId="976">
    <w:name w:val="font01"/>
    <w:basedOn w:val="733"/>
    <w:next w:val="976"/>
    <w:link w:val="723"/>
    <w:qFormat/>
    <w:rPr>
      <w:rFonts w:ascii="Calibri" w:hAnsi="Calibri" w:cs="Calibri"/>
      <w:color w:val="000000"/>
      <w:sz w:val="18"/>
      <w:szCs w:val="18"/>
      <w:u w:val="none"/>
    </w:rPr>
  </w:style>
  <w:style w:type="paragraph" w:styleId="977">
    <w:name w:val="无间隔1"/>
    <w:basedOn w:val="723"/>
    <w:next w:val="977"/>
    <w:link w:val="723"/>
    <w:uiPriority w:val="99"/>
    <w:qFormat/>
  </w:style>
  <w:style w:type="paragraph" w:styleId="978">
    <w:name w:val="首行缩进"/>
    <w:basedOn w:val="723"/>
    <w:next w:val="978"/>
    <w:link w:val="723"/>
    <w:qFormat/>
    <w:pPr>
      <w:ind w:firstLine="480"/>
      <w:jc w:val="left"/>
      <w:spacing w:line="360" w:lineRule="auto"/>
    </w:pPr>
    <w:rPr>
      <w:rFonts w:ascii="宋体" w:hAnsi="宋体"/>
      <w:sz w:val="24"/>
    </w:rPr>
  </w:style>
  <w:style w:type="paragraph" w:styleId="979">
    <w:name w:val="PlainText1"/>
    <w:basedOn w:val="723"/>
    <w:next w:val="979"/>
    <w:link w:val="723"/>
    <w:uiPriority w:val="99"/>
    <w:qFormat/>
    <w:rPr>
      <w:rFonts w:ascii="宋体" w:hAnsi="Courier New"/>
    </w:rPr>
  </w:style>
  <w:style w:type="paragraph" w:styleId="980">
    <w:name w:val="正文文本1"/>
    <w:next w:val="723"/>
    <w:link w:val="723"/>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81">
    <w:name w:val="标题 21"/>
    <w:next w:val="723"/>
    <w:link w:val="723"/>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paragraph" w:styleId="982">
    <w:name w:val="彩色列表1"/>
    <w:basedOn w:val="723"/>
    <w:next w:val="982"/>
    <w:link w:val="723"/>
    <w:uiPriority w:val="34"/>
    <w:qFormat/>
    <w:pPr>
      <w:ind w:firstLine="420"/>
    </w:pPr>
    <w:rPr>
      <w:rFonts w:ascii="Calibri" w:hAnsi="Calibri"/>
      <w:szCs w:val="22"/>
    </w:rPr>
  </w:style>
  <w:style w:type="character" w:styleId="14099" w:default="1">
    <w:name w:val="Default Paragraph Font"/>
    <w:uiPriority w:val="1"/>
    <w:semiHidden/>
    <w:unhideWhenUsed/>
  </w:style>
  <w:style w:type="numbering" w:styleId="14100" w:default="1">
    <w:name w:val="No List"/>
    <w:uiPriority w:val="99"/>
    <w:semiHidden/>
    <w:unhideWhenUsed/>
  </w:style>
  <w:style w:type="table" w:styleId="14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蒋咏来</cp:lastModifiedBy>
  <cp:revision>5</cp:revision>
  <dcterms:created xsi:type="dcterms:W3CDTF">2022-05-30T08:03:00Z</dcterms:created>
  <dcterms:modified xsi:type="dcterms:W3CDTF">2026-09-09T07:19:16Z</dcterms:modified>
</cp:coreProperties>
</file>