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BB0DF0">
      <w:pPr>
        <w:jc w:val="center"/>
        <w:rPr>
          <w:b/>
          <w:sz w:val="84"/>
          <w:szCs w:val="84"/>
        </w:rPr>
      </w:pPr>
    </w:p>
    <w:p w14:paraId="59C822E8">
      <w:pPr>
        <w:jc w:val="center"/>
        <w:rPr>
          <w:b/>
          <w:sz w:val="84"/>
          <w:szCs w:val="84"/>
        </w:rPr>
      </w:pPr>
      <w:r>
        <w:rPr>
          <w:b/>
          <w:sz w:val="84"/>
          <w:szCs w:val="84"/>
        </w:rPr>
        <w:t>南通市海门区政府采购</w:t>
      </w:r>
    </w:p>
    <w:p w14:paraId="144C0E27">
      <w:pPr>
        <w:jc w:val="center"/>
        <w:rPr>
          <w:b/>
          <w:sz w:val="84"/>
          <w:szCs w:val="84"/>
        </w:rPr>
      </w:pPr>
      <w:r>
        <w:rPr>
          <w:b/>
          <w:sz w:val="84"/>
          <w:szCs w:val="84"/>
        </w:rPr>
        <w:t>招标文件</w:t>
      </w:r>
    </w:p>
    <w:p w14:paraId="35BBF9CC">
      <w:pPr>
        <w:spacing w:line="500" w:lineRule="exact"/>
        <w:outlineLvl w:val="0"/>
        <w:rPr>
          <w:sz w:val="44"/>
          <w:szCs w:val="44"/>
        </w:rPr>
      </w:pPr>
    </w:p>
    <w:p w14:paraId="1CF8AE4A">
      <w:pPr>
        <w:shd w:val="clear" w:color="000000" w:fill="FFFFFF"/>
        <w:spacing w:line="360" w:lineRule="auto"/>
        <w:ind w:firstLine="320"/>
        <w:rPr>
          <w:sz w:val="32"/>
          <w:szCs w:val="32"/>
        </w:rPr>
      </w:pPr>
    </w:p>
    <w:p w14:paraId="5619EE15">
      <w:pPr>
        <w:spacing w:after="120"/>
      </w:pPr>
    </w:p>
    <w:p w14:paraId="12D88ECE">
      <w:pPr>
        <w:spacing w:after="120"/>
      </w:pPr>
    </w:p>
    <w:p w14:paraId="53A70C2E">
      <w:pPr>
        <w:spacing w:after="120"/>
      </w:pPr>
    </w:p>
    <w:p w14:paraId="3C39EDC0">
      <w:pPr>
        <w:spacing w:after="120"/>
      </w:pPr>
    </w:p>
    <w:p w14:paraId="381551D5">
      <w:pPr>
        <w:spacing w:after="120"/>
      </w:pPr>
    </w:p>
    <w:p w14:paraId="7AC438BA">
      <w:pPr>
        <w:spacing w:after="120"/>
      </w:pPr>
    </w:p>
    <w:p w14:paraId="5FC4B930">
      <w:pPr>
        <w:spacing w:line="500" w:lineRule="exact"/>
        <w:ind w:firstLine="600"/>
        <w:jc w:val="left"/>
        <w:rPr>
          <w:sz w:val="30"/>
          <w:szCs w:val="30"/>
        </w:rPr>
      </w:pPr>
    </w:p>
    <w:p w14:paraId="3B662EF3">
      <w:pPr>
        <w:shd w:val="clear" w:color="000000" w:fill="FFFFFF"/>
        <w:spacing w:before="150" w:after="150" w:line="480" w:lineRule="auto"/>
        <w:ind w:left="3489" w:hanging="2229"/>
        <w:jc w:val="left"/>
        <w:rPr>
          <w:rFonts w:hint="eastAsia" w:eastAsia="宋体"/>
          <w:sz w:val="30"/>
          <w:szCs w:val="30"/>
          <w:lang w:val="en-US" w:eastAsia="zh-CN"/>
        </w:rPr>
      </w:pPr>
      <w:r>
        <w:rPr>
          <w:sz w:val="30"/>
          <w:szCs w:val="30"/>
        </w:rPr>
        <w:t>项目名称：</w:t>
      </w:r>
      <w:r>
        <w:rPr>
          <w:rFonts w:hint="eastAsia"/>
          <w:sz w:val="30"/>
          <w:szCs w:val="30"/>
          <w:u w:val="single"/>
          <w:lang w:val="en-US" w:eastAsia="zh-CN"/>
        </w:rPr>
        <w:t>南通市海门区人民政府海门街道办事处采购农村污水处理设施运维服务项目</w:t>
      </w:r>
    </w:p>
    <w:p w14:paraId="138BE3CC">
      <w:pPr>
        <w:shd w:val="clear" w:color="000000" w:fill="FFFFFF"/>
        <w:spacing w:before="150" w:after="150" w:line="480" w:lineRule="auto"/>
        <w:ind w:left="3489" w:hanging="2229"/>
        <w:jc w:val="left"/>
        <w:rPr>
          <w:color w:val="3D4B64"/>
          <w:sz w:val="19"/>
          <w:szCs w:val="19"/>
          <w:u w:val="single"/>
        </w:rPr>
      </w:pPr>
      <w:r>
        <w:rPr>
          <w:sz w:val="30"/>
          <w:szCs w:val="30"/>
        </w:rPr>
        <w:t>项目编号：</w:t>
      </w:r>
      <w:r>
        <w:rPr>
          <w:sz w:val="30"/>
          <w:szCs w:val="30"/>
          <w:u w:val="single"/>
        </w:rPr>
        <w:t xml:space="preserve">  </w:t>
      </w:r>
      <w:r>
        <w:rPr>
          <w:rFonts w:hint="eastAsia"/>
          <w:sz w:val="30"/>
          <w:szCs w:val="30"/>
          <w:u w:val="single"/>
        </w:rPr>
        <w:t xml:space="preserve"> </w:t>
      </w:r>
      <w:r>
        <w:rPr>
          <w:rFonts w:hint="eastAsia"/>
          <w:sz w:val="30"/>
          <w:szCs w:val="30"/>
          <w:u w:val="single"/>
          <w:lang w:val="en-US" w:eastAsia="zh-CN"/>
        </w:rPr>
        <w:t xml:space="preserve"> JSZC-320614-NTJC-G2026-0015</w:t>
      </w:r>
      <w:r>
        <w:rPr>
          <w:rFonts w:hint="eastAsia"/>
          <w:sz w:val="30"/>
          <w:szCs w:val="30"/>
          <w:u w:val="single"/>
        </w:rPr>
        <w:t xml:space="preserve">  </w:t>
      </w:r>
      <w:r>
        <w:rPr>
          <w:sz w:val="30"/>
          <w:szCs w:val="30"/>
          <w:u w:val="single"/>
        </w:rPr>
        <w:t xml:space="preserve"> </w:t>
      </w:r>
    </w:p>
    <w:p w14:paraId="2484EE87">
      <w:pPr>
        <w:spacing w:line="480" w:lineRule="auto"/>
        <w:ind w:left="3489" w:hanging="2229"/>
        <w:jc w:val="left"/>
        <w:rPr>
          <w:sz w:val="30"/>
          <w:szCs w:val="30"/>
        </w:rPr>
      </w:pPr>
      <w:r>
        <w:rPr>
          <w:sz w:val="30"/>
          <w:szCs w:val="30"/>
        </w:rPr>
        <w:t>采购单位：</w:t>
      </w:r>
      <w:r>
        <w:rPr>
          <w:sz w:val="30"/>
          <w:szCs w:val="30"/>
          <w:u w:val="single"/>
        </w:rPr>
        <w:t xml:space="preserve">    </w:t>
      </w:r>
      <w:r>
        <w:rPr>
          <w:rFonts w:hint="eastAsia"/>
          <w:sz w:val="30"/>
          <w:szCs w:val="30"/>
          <w:u w:val="single"/>
          <w:lang w:val="en-US" w:eastAsia="zh-CN"/>
        </w:rPr>
        <w:t>南通市海门区人民政府海门街道办事处</w:t>
      </w:r>
      <w:r>
        <w:rPr>
          <w:sz w:val="30"/>
          <w:szCs w:val="30"/>
          <w:u w:val="single"/>
        </w:rPr>
        <w:t xml:space="preserve">     </w:t>
      </w:r>
      <w:r>
        <w:rPr>
          <w:rFonts w:hint="eastAsia"/>
          <w:sz w:val="30"/>
          <w:szCs w:val="30"/>
          <w:u w:val="single"/>
        </w:rPr>
        <w:t xml:space="preserve"> </w:t>
      </w:r>
    </w:p>
    <w:p w14:paraId="04920804">
      <w:pPr>
        <w:spacing w:line="480" w:lineRule="auto"/>
        <w:ind w:left="3489" w:hanging="2229"/>
        <w:jc w:val="left"/>
        <w:rPr>
          <w:sz w:val="30"/>
          <w:szCs w:val="30"/>
        </w:rPr>
      </w:pPr>
      <w:r>
        <w:rPr>
          <w:sz w:val="30"/>
          <w:szCs w:val="30"/>
        </w:rPr>
        <w:t>代理单位：</w:t>
      </w:r>
      <w:r>
        <w:rPr>
          <w:sz w:val="30"/>
          <w:szCs w:val="30"/>
          <w:u w:val="single"/>
        </w:rPr>
        <w:t xml:space="preserve">  </w:t>
      </w:r>
      <w:r>
        <w:rPr>
          <w:rFonts w:hint="eastAsia"/>
          <w:sz w:val="30"/>
          <w:szCs w:val="30"/>
          <w:u w:val="single"/>
        </w:rPr>
        <w:t xml:space="preserve">   </w:t>
      </w:r>
      <w:r>
        <w:rPr>
          <w:sz w:val="30"/>
          <w:szCs w:val="30"/>
          <w:u w:val="single"/>
        </w:rPr>
        <w:t>南通</w:t>
      </w:r>
      <w:r>
        <w:rPr>
          <w:rFonts w:hint="eastAsia"/>
          <w:sz w:val="30"/>
          <w:szCs w:val="30"/>
          <w:u w:val="single"/>
          <w:lang w:val="en-US" w:eastAsia="zh-CN"/>
        </w:rPr>
        <w:t>建辰工程咨询有限公司</w:t>
      </w:r>
      <w:r>
        <w:rPr>
          <w:rFonts w:hint="eastAsia"/>
          <w:sz w:val="30"/>
          <w:szCs w:val="30"/>
          <w:u w:val="single"/>
        </w:rPr>
        <w:t xml:space="preserve">       </w:t>
      </w:r>
    </w:p>
    <w:p w14:paraId="321BD2E7">
      <w:pPr>
        <w:spacing w:after="120"/>
        <w:rPr>
          <w:sz w:val="24"/>
        </w:rPr>
      </w:pPr>
    </w:p>
    <w:p w14:paraId="68ABC90B">
      <w:pPr>
        <w:spacing w:after="120"/>
        <w:rPr>
          <w:sz w:val="24"/>
        </w:rPr>
      </w:pPr>
    </w:p>
    <w:p w14:paraId="63202C11">
      <w:pPr>
        <w:spacing w:line="700" w:lineRule="exact"/>
        <w:jc w:val="center"/>
        <w:rPr>
          <w:b/>
          <w:spacing w:val="19"/>
          <w:sz w:val="32"/>
          <w:szCs w:val="32"/>
        </w:rPr>
      </w:pPr>
      <w:r>
        <w:rPr>
          <w:b/>
          <w:sz w:val="32"/>
          <w:szCs w:val="32"/>
          <w:u w:val="single"/>
        </w:rPr>
        <w:t>二</w:t>
      </w:r>
      <w:r>
        <w:rPr>
          <w:rFonts w:hint="eastAsia" w:ascii="宋体" w:hAnsi="宋体" w:cs="宋体"/>
          <w:b/>
          <w:sz w:val="32"/>
          <w:szCs w:val="32"/>
          <w:u w:val="single"/>
        </w:rPr>
        <w:t>○</w:t>
      </w:r>
      <w:r>
        <w:rPr>
          <w:b/>
          <w:sz w:val="32"/>
          <w:szCs w:val="32"/>
          <w:u w:val="single"/>
        </w:rPr>
        <w:t>二</w:t>
      </w:r>
      <w:r>
        <w:rPr>
          <w:rFonts w:hint="eastAsia"/>
          <w:b/>
          <w:sz w:val="32"/>
          <w:szCs w:val="32"/>
          <w:u w:val="single"/>
          <w:lang w:val="en-US" w:eastAsia="zh-CN"/>
        </w:rPr>
        <w:t>六</w:t>
      </w:r>
      <w:r>
        <w:rPr>
          <w:b/>
          <w:sz w:val="32"/>
          <w:szCs w:val="32"/>
        </w:rPr>
        <w:t>年</w:t>
      </w:r>
      <w:r>
        <w:rPr>
          <w:rFonts w:hint="eastAsia"/>
          <w:b/>
          <w:sz w:val="32"/>
          <w:szCs w:val="32"/>
          <w:lang w:eastAsia="zh-CN"/>
        </w:rPr>
        <w:t>九</w:t>
      </w:r>
      <w:r>
        <w:rPr>
          <w:b/>
          <w:sz w:val="32"/>
          <w:szCs w:val="32"/>
        </w:rPr>
        <w:t>月</w:t>
      </w:r>
    </w:p>
    <w:p w14:paraId="4889474E">
      <w:pPr>
        <w:pBdr>
          <w:top w:val="none" w:color="000000" w:sz="0" w:space="0"/>
          <w:left w:val="none" w:color="000000" w:sz="0" w:space="0"/>
          <w:bottom w:val="none" w:color="000000" w:sz="0" w:space="0"/>
          <w:right w:val="none" w:color="000000" w:sz="0" w:space="0"/>
        </w:pBdr>
        <w:spacing w:line="499" w:lineRule="atLeast"/>
        <w:rPr>
          <w:bCs/>
          <w:sz w:val="36"/>
          <w:szCs w:val="36"/>
        </w:rPr>
      </w:pPr>
    </w:p>
    <w:p w14:paraId="7602865B">
      <w:pPr>
        <w:pBdr>
          <w:top w:val="none" w:color="000000" w:sz="0" w:space="0"/>
          <w:left w:val="none" w:color="000000" w:sz="0" w:space="0"/>
          <w:bottom w:val="none" w:color="000000" w:sz="0" w:space="0"/>
          <w:right w:val="none" w:color="000000" w:sz="0" w:space="0"/>
        </w:pBdr>
        <w:spacing w:line="499" w:lineRule="atLeast"/>
        <w:jc w:val="center"/>
        <w:rPr>
          <w:bCs/>
          <w:color w:val="000000"/>
          <w:sz w:val="36"/>
          <w:szCs w:val="36"/>
        </w:rPr>
      </w:pPr>
    </w:p>
    <w:p w14:paraId="3B25F69E">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firstLine="0"/>
        <w:jc w:val="center"/>
      </w:pPr>
      <w:r>
        <w:rPr>
          <w:b/>
          <w:color w:val="000000"/>
          <w:sz w:val="36"/>
        </w:rPr>
        <w:t xml:space="preserve">第一部分 </w:t>
      </w:r>
      <w:r>
        <w:rPr>
          <w:rFonts w:hint="eastAsia"/>
          <w:b/>
          <w:color w:val="000000"/>
          <w:sz w:val="36"/>
        </w:rPr>
        <w:t xml:space="preserve"> </w:t>
      </w:r>
      <w:r>
        <w:rPr>
          <w:b/>
          <w:color w:val="000000"/>
          <w:sz w:val="36"/>
        </w:rPr>
        <w:t>招标公告</w:t>
      </w:r>
    </w:p>
    <w:p w14:paraId="5630793E">
      <w:pPr>
        <w:keepNext w:val="0"/>
        <w:keepLines w:val="0"/>
        <w:pageBreakBefore w:val="0"/>
        <w:widowControl w:val="0"/>
        <w:pBdr>
          <w:top w:val="single" w:color="000000" w:sz="4" w:space="1"/>
          <w:left w:val="single" w:color="000000" w:sz="4" w:space="4"/>
          <w:bottom w:val="single" w:color="000000" w:sz="4" w:space="1"/>
          <w:right w:val="single" w:color="000000" w:sz="4" w:space="4"/>
        </w:pBdr>
        <w:spacing w:line="360" w:lineRule="auto"/>
        <w:ind w:left="0" w:firstLine="480"/>
        <w:contextualSpacing/>
        <w:rPr>
          <w:sz w:val="24"/>
        </w:rPr>
      </w:pPr>
      <w:r>
        <w:rPr>
          <w:sz w:val="24"/>
        </w:rPr>
        <w:t>项目概况</w:t>
      </w:r>
    </w:p>
    <w:p w14:paraId="486FD895">
      <w:pPr>
        <w:keepNext w:val="0"/>
        <w:keepLines w:val="0"/>
        <w:pageBreakBefore w:val="0"/>
        <w:widowControl w:val="0"/>
        <w:pBdr>
          <w:top w:val="single" w:color="000000" w:sz="4" w:space="1"/>
          <w:left w:val="single" w:color="000000" w:sz="4" w:space="4"/>
          <w:bottom w:val="single" w:color="000000" w:sz="4" w:space="1"/>
          <w:right w:val="single" w:color="000000" w:sz="4" w:space="4"/>
        </w:pBdr>
        <w:spacing w:line="360" w:lineRule="auto"/>
        <w:ind w:left="0" w:firstLine="508"/>
        <w:contextualSpacing/>
        <w:rPr>
          <w:bCs/>
          <w:sz w:val="24"/>
        </w:rPr>
      </w:pPr>
      <w:r>
        <w:rPr>
          <w:rFonts w:hint="eastAsia"/>
          <w:spacing w:val="7"/>
          <w:sz w:val="24"/>
          <w:u w:val="single"/>
        </w:rPr>
        <w:t>南通市海门区人民政府海门街道办事处采购农村污水处理设施运维服务项目</w:t>
      </w:r>
      <w:r>
        <w:rPr>
          <w:spacing w:val="7"/>
          <w:sz w:val="24"/>
          <w:u w:val="single"/>
        </w:rPr>
        <w:t>（项目编号：</w:t>
      </w:r>
      <w:r>
        <w:rPr>
          <w:rFonts w:hint="eastAsia"/>
          <w:spacing w:val="7"/>
          <w:sz w:val="24"/>
          <w:u w:val="single"/>
        </w:rPr>
        <w:t>JSZC-320614-NTJC-G2026-0015</w:t>
      </w:r>
      <w:r>
        <w:rPr>
          <w:rFonts w:hint="eastAsia"/>
          <w:spacing w:val="7"/>
          <w:sz w:val="24"/>
          <w:u w:val="single"/>
          <w:lang w:val="en-US" w:eastAsia="zh-CN"/>
        </w:rPr>
        <w:t xml:space="preserve">  </w:t>
      </w:r>
      <w:r>
        <w:rPr>
          <w:spacing w:val="7"/>
          <w:sz w:val="24"/>
          <w:u w:val="single"/>
        </w:rPr>
        <w:t>）</w:t>
      </w:r>
      <w:r>
        <w:rPr>
          <w:spacing w:val="7"/>
          <w:sz w:val="24"/>
        </w:rPr>
        <w:t>招标项目的潜在投标人应在江苏政府采购网获取招标文件，</w:t>
      </w:r>
      <w:r>
        <w:rPr>
          <w:sz w:val="24"/>
        </w:rPr>
        <w:t>并于</w:t>
      </w:r>
      <w:r>
        <w:rPr>
          <w:sz w:val="24"/>
          <w:u w:val="single"/>
        </w:rPr>
        <w:t>202</w:t>
      </w:r>
      <w:r>
        <w:rPr>
          <w:rFonts w:hint="eastAsia"/>
          <w:sz w:val="24"/>
          <w:u w:val="single"/>
          <w:lang w:val="en-US" w:eastAsia="zh-CN"/>
        </w:rPr>
        <w:t>6</w:t>
      </w:r>
      <w:r>
        <w:rPr>
          <w:sz w:val="24"/>
          <w:u w:val="single"/>
        </w:rPr>
        <w:t>年</w:t>
      </w:r>
      <w:r>
        <w:rPr>
          <w:rFonts w:hint="eastAsia"/>
          <w:sz w:val="24"/>
          <w:u w:val="single"/>
          <w:lang w:val="en-US" w:eastAsia="zh-CN"/>
        </w:rPr>
        <w:t>9</w:t>
      </w:r>
      <w:r>
        <w:rPr>
          <w:sz w:val="24"/>
          <w:u w:val="single"/>
        </w:rPr>
        <w:t>月</w:t>
      </w:r>
      <w:r>
        <w:rPr>
          <w:rFonts w:hint="eastAsia"/>
          <w:sz w:val="24"/>
          <w:u w:val="single"/>
          <w:lang w:val="en-US" w:eastAsia="zh-CN"/>
        </w:rPr>
        <w:t>24</w:t>
      </w:r>
      <w:r>
        <w:rPr>
          <w:sz w:val="24"/>
          <w:u w:val="single"/>
        </w:rPr>
        <w:t>日</w:t>
      </w:r>
      <w:r>
        <w:rPr>
          <w:rFonts w:hint="eastAsia"/>
          <w:sz w:val="24"/>
          <w:u w:val="single"/>
          <w:lang w:val="en-US" w:eastAsia="zh-CN"/>
        </w:rPr>
        <w:t>09</w:t>
      </w:r>
      <w:r>
        <w:rPr>
          <w:sz w:val="24"/>
          <w:u w:val="single"/>
        </w:rPr>
        <w:t>点</w:t>
      </w:r>
      <w:r>
        <w:rPr>
          <w:rFonts w:hint="eastAsia"/>
          <w:sz w:val="24"/>
          <w:u w:val="single"/>
          <w:lang w:val="en-US" w:eastAsia="zh-CN"/>
        </w:rPr>
        <w:t xml:space="preserve"> 00</w:t>
      </w:r>
      <w:r>
        <w:rPr>
          <w:sz w:val="24"/>
          <w:u w:val="single"/>
        </w:rPr>
        <w:t>分</w:t>
      </w:r>
      <w:r>
        <w:rPr>
          <w:sz w:val="24"/>
        </w:rPr>
        <w:t>（北京时间）</w:t>
      </w:r>
      <w:r>
        <w:rPr>
          <w:spacing w:val="7"/>
          <w:sz w:val="24"/>
        </w:rPr>
        <w:t>前递交投标文件。</w:t>
      </w:r>
    </w:p>
    <w:p w14:paraId="396131A4">
      <w:pPr>
        <w:keepNext w:val="0"/>
        <w:keepLines w:val="0"/>
        <w:pageBreakBefore w:val="0"/>
        <w:widowControl w:val="0"/>
        <w:shd w:val="clear" w:color="000000" w:fill="FFFFFF"/>
        <w:spacing w:before="360" w:line="440" w:lineRule="exact"/>
        <w:ind w:left="0" w:firstLine="510"/>
        <w:contextualSpacing/>
        <w:rPr>
          <w:b/>
          <w:spacing w:val="7"/>
          <w:sz w:val="24"/>
        </w:rPr>
      </w:pPr>
      <w:r>
        <w:rPr>
          <w:b/>
          <w:spacing w:val="7"/>
          <w:sz w:val="24"/>
        </w:rPr>
        <w:t>一、项目基本情况</w:t>
      </w:r>
    </w:p>
    <w:p w14:paraId="789C7DCD">
      <w:pPr>
        <w:keepNext w:val="0"/>
        <w:keepLines w:val="0"/>
        <w:pageBreakBefore w:val="0"/>
        <w:widowControl w:val="0"/>
        <w:shd w:val="clear" w:color="000000" w:fill="FFFFFF"/>
        <w:spacing w:line="440" w:lineRule="exact"/>
        <w:ind w:left="0" w:firstLine="508"/>
        <w:contextualSpacing/>
        <w:rPr>
          <w:spacing w:val="7"/>
          <w:sz w:val="24"/>
        </w:rPr>
      </w:pPr>
      <w:r>
        <w:rPr>
          <w:spacing w:val="7"/>
          <w:sz w:val="24"/>
        </w:rPr>
        <w:t>1.项目编号：</w:t>
      </w:r>
    </w:p>
    <w:p w14:paraId="02894DEB">
      <w:pPr>
        <w:keepNext w:val="0"/>
        <w:keepLines w:val="0"/>
        <w:pageBreakBefore w:val="0"/>
        <w:widowControl w:val="0"/>
        <w:shd w:val="clear" w:color="000000" w:fill="FFFFFF"/>
        <w:spacing w:line="440" w:lineRule="exact"/>
        <w:ind w:left="0" w:firstLine="508"/>
        <w:contextualSpacing/>
        <w:rPr>
          <w:rFonts w:hint="eastAsia" w:eastAsia="宋体"/>
          <w:spacing w:val="7"/>
          <w:sz w:val="24"/>
          <w:lang w:eastAsia="zh-CN"/>
        </w:rPr>
      </w:pPr>
      <w:r>
        <w:rPr>
          <w:spacing w:val="7"/>
          <w:sz w:val="24"/>
        </w:rPr>
        <w:t>2.项目名称：</w:t>
      </w:r>
      <w:r>
        <w:rPr>
          <w:rFonts w:hint="eastAsia"/>
          <w:spacing w:val="7"/>
          <w:sz w:val="24"/>
        </w:rPr>
        <w:t>南通市海门区人民政府海门街道办事处采购农村污水处理设施运维服务项目</w:t>
      </w:r>
    </w:p>
    <w:p w14:paraId="012BFCBB">
      <w:pPr>
        <w:keepNext w:val="0"/>
        <w:keepLines w:val="0"/>
        <w:pageBreakBefore w:val="0"/>
        <w:widowControl w:val="0"/>
        <w:shd w:val="clear" w:color="000000" w:fill="FFFFFF"/>
        <w:spacing w:line="440" w:lineRule="exact"/>
        <w:ind w:left="0" w:firstLine="508"/>
        <w:contextualSpacing/>
        <w:rPr>
          <w:spacing w:val="7"/>
          <w:sz w:val="24"/>
        </w:rPr>
      </w:pPr>
      <w:r>
        <w:rPr>
          <w:spacing w:val="7"/>
          <w:sz w:val="24"/>
        </w:rPr>
        <w:t>3.采购方式：公开招标</w:t>
      </w:r>
    </w:p>
    <w:p w14:paraId="1C74F004">
      <w:pPr>
        <w:keepNext w:val="0"/>
        <w:keepLines w:val="0"/>
        <w:pageBreakBefore w:val="0"/>
        <w:widowControl w:val="0"/>
        <w:shd w:val="clear" w:color="000000" w:fill="FFFFFF"/>
        <w:spacing w:line="440" w:lineRule="exact"/>
        <w:ind w:left="0" w:firstLine="508"/>
        <w:contextualSpacing/>
        <w:rPr>
          <w:spacing w:val="7"/>
          <w:sz w:val="24"/>
        </w:rPr>
      </w:pPr>
      <w:r>
        <w:rPr>
          <w:spacing w:val="7"/>
          <w:sz w:val="24"/>
        </w:rPr>
        <w:t>4.项目类型：服务</w:t>
      </w:r>
    </w:p>
    <w:p w14:paraId="4C0DC096">
      <w:pPr>
        <w:keepNext w:val="0"/>
        <w:keepLines w:val="0"/>
        <w:pageBreakBefore w:val="0"/>
        <w:widowControl w:val="0"/>
        <w:shd w:val="clear" w:color="000000" w:fill="FFFFFF"/>
        <w:spacing w:line="440" w:lineRule="exact"/>
        <w:ind w:left="0" w:firstLine="508"/>
        <w:contextualSpacing/>
        <w:rPr>
          <w:spacing w:val="7"/>
          <w:sz w:val="24"/>
        </w:rPr>
      </w:pPr>
      <w:r>
        <w:rPr>
          <w:spacing w:val="7"/>
          <w:sz w:val="24"/>
        </w:rPr>
        <w:t>5.项目所属行业</w:t>
      </w:r>
      <w:r>
        <w:rPr>
          <w:rFonts w:hint="eastAsia"/>
          <w:spacing w:val="7"/>
          <w:sz w:val="24"/>
          <w:lang w:eastAsia="zh-CN"/>
        </w:rPr>
        <w:t>：</w:t>
      </w:r>
      <w:r>
        <w:rPr>
          <w:rFonts w:hint="eastAsia"/>
          <w:spacing w:val="7"/>
          <w:sz w:val="24"/>
        </w:rPr>
        <w:t>其他未列明行业</w:t>
      </w:r>
    </w:p>
    <w:p w14:paraId="53768360">
      <w:pPr>
        <w:keepNext w:val="0"/>
        <w:keepLines w:val="0"/>
        <w:pageBreakBefore w:val="0"/>
        <w:widowControl w:val="0"/>
        <w:shd w:val="clear" w:color="000000" w:fill="FFFFFF"/>
        <w:spacing w:line="440" w:lineRule="exact"/>
        <w:ind w:left="0" w:firstLine="508"/>
        <w:contextualSpacing/>
        <w:rPr>
          <w:spacing w:val="7"/>
          <w:sz w:val="24"/>
          <w:highlight w:val="none"/>
        </w:rPr>
      </w:pPr>
      <w:r>
        <w:rPr>
          <w:spacing w:val="7"/>
          <w:sz w:val="24"/>
        </w:rPr>
        <w:t>6.预算金</w:t>
      </w:r>
      <w:r>
        <w:rPr>
          <w:spacing w:val="7"/>
          <w:sz w:val="24"/>
          <w:highlight w:val="none"/>
        </w:rPr>
        <w:t>额：</w:t>
      </w:r>
      <w:r>
        <w:rPr>
          <w:rFonts w:hint="eastAsia"/>
          <w:color w:val="FF0000"/>
          <w:spacing w:val="7"/>
          <w:sz w:val="24"/>
          <w:highlight w:val="none"/>
          <w:lang w:val="en-US" w:eastAsia="zh-CN"/>
        </w:rPr>
        <w:t>180.18</w:t>
      </w:r>
      <w:r>
        <w:rPr>
          <w:color w:val="FF0000"/>
          <w:spacing w:val="7"/>
          <w:sz w:val="24"/>
          <w:highlight w:val="none"/>
        </w:rPr>
        <w:t>万元</w:t>
      </w:r>
      <w:r>
        <w:rPr>
          <w:spacing w:val="7"/>
          <w:sz w:val="24"/>
          <w:highlight w:val="none"/>
        </w:rPr>
        <w:t>。</w:t>
      </w:r>
    </w:p>
    <w:p w14:paraId="6D3B389F">
      <w:pPr>
        <w:keepNext w:val="0"/>
        <w:keepLines w:val="0"/>
        <w:pageBreakBefore w:val="0"/>
        <w:widowControl w:val="0"/>
        <w:shd w:val="clear" w:color="000000" w:fill="FFFFFF"/>
        <w:spacing w:line="440" w:lineRule="exact"/>
        <w:ind w:left="0" w:firstLine="508"/>
        <w:contextualSpacing/>
        <w:rPr>
          <w:rFonts w:ascii="Times New Roman" w:hAnsi="Times New Roman" w:eastAsia="宋体"/>
          <w:color w:val="auto"/>
          <w:sz w:val="24"/>
          <w:szCs w:val="24"/>
          <w:highlight w:val="none"/>
        </w:rPr>
      </w:pPr>
      <w:r>
        <w:rPr>
          <w:spacing w:val="7"/>
          <w:sz w:val="24"/>
          <w:highlight w:val="none"/>
        </w:rPr>
        <w:t>7.最高限价</w:t>
      </w:r>
      <w:r>
        <w:rPr>
          <w:color w:val="auto"/>
          <w:spacing w:val="7"/>
          <w:sz w:val="24"/>
          <w:highlight w:val="none"/>
        </w:rPr>
        <w:t>：</w:t>
      </w:r>
      <w:r>
        <w:rPr>
          <w:rFonts w:hint="eastAsia"/>
          <w:color w:val="FF0000"/>
          <w:spacing w:val="7"/>
          <w:sz w:val="24"/>
          <w:highlight w:val="none"/>
          <w:lang w:val="en-US" w:eastAsia="zh-CN"/>
        </w:rPr>
        <w:t>180.18</w:t>
      </w:r>
      <w:r>
        <w:rPr>
          <w:rFonts w:hint="eastAsia"/>
          <w:color w:val="FF0000"/>
          <w:spacing w:val="7"/>
          <w:sz w:val="24"/>
          <w:highlight w:val="none"/>
        </w:rPr>
        <w:t>万元</w:t>
      </w:r>
      <w:r>
        <w:rPr>
          <w:rFonts w:ascii="Times New Roman" w:hAnsi="Times New Roman" w:eastAsia="宋体"/>
          <w:color w:val="auto"/>
          <w:sz w:val="24"/>
          <w:szCs w:val="24"/>
          <w:highlight w:val="none"/>
        </w:rPr>
        <w:t>。</w:t>
      </w:r>
      <w:r>
        <w:rPr>
          <w:rFonts w:hint="eastAsia" w:ascii="Times New Roman" w:hAnsi="Times New Roman" w:eastAsia="宋体"/>
          <w:color w:val="auto"/>
          <w:sz w:val="24"/>
          <w:szCs w:val="24"/>
          <w:highlight w:val="none"/>
        </w:rPr>
        <w:t>投标报价超过最高限价的为无效投标。</w:t>
      </w:r>
    </w:p>
    <w:p w14:paraId="64EB5E23">
      <w:pPr>
        <w:keepNext w:val="0"/>
        <w:keepLines w:val="0"/>
        <w:pageBreakBefore w:val="0"/>
        <w:widowControl w:val="0"/>
        <w:shd w:val="clear" w:color="000000" w:fill="FFFFFF"/>
        <w:spacing w:line="440" w:lineRule="exact"/>
        <w:ind w:left="0" w:firstLine="508"/>
        <w:contextualSpacing/>
        <w:rPr>
          <w:spacing w:val="7"/>
          <w:sz w:val="24"/>
          <w:highlight w:val="none"/>
        </w:rPr>
      </w:pPr>
      <w:r>
        <w:rPr>
          <w:spacing w:val="7"/>
          <w:sz w:val="24"/>
          <w:highlight w:val="none"/>
        </w:rPr>
        <w:t>8.采购需求：详见项目需求。</w:t>
      </w:r>
    </w:p>
    <w:p w14:paraId="0793BEA6">
      <w:pPr>
        <w:keepNext w:val="0"/>
        <w:keepLines w:val="0"/>
        <w:pageBreakBefore w:val="0"/>
        <w:widowControl w:val="0"/>
        <w:shd w:val="clear" w:color="000000" w:fill="FFFFFF"/>
        <w:spacing w:line="440" w:lineRule="exact"/>
        <w:ind w:left="0" w:firstLine="508"/>
        <w:contextualSpacing/>
        <w:rPr>
          <w:spacing w:val="7"/>
          <w:sz w:val="24"/>
          <w:highlight w:val="none"/>
        </w:rPr>
      </w:pPr>
      <w:r>
        <w:rPr>
          <w:spacing w:val="7"/>
          <w:sz w:val="24"/>
          <w:highlight w:val="none"/>
        </w:rPr>
        <w:t>9.合同履行期限：详见项目需求</w:t>
      </w:r>
      <w:r>
        <w:rPr>
          <w:rFonts w:hint="eastAsia"/>
          <w:spacing w:val="7"/>
          <w:sz w:val="24"/>
          <w:highlight w:val="none"/>
        </w:rPr>
        <w:t>。</w:t>
      </w:r>
    </w:p>
    <w:p w14:paraId="1FBD0C64">
      <w:pPr>
        <w:keepNext w:val="0"/>
        <w:keepLines w:val="0"/>
        <w:pageBreakBefore w:val="0"/>
        <w:widowControl w:val="0"/>
        <w:spacing w:line="440" w:lineRule="exact"/>
        <w:ind w:left="0" w:firstLine="480"/>
        <w:contextualSpacing/>
        <w:rPr>
          <w:rFonts w:hint="eastAsia"/>
          <w:color w:val="auto"/>
          <w:spacing w:val="7"/>
          <w:sz w:val="24"/>
          <w:highlight w:val="none"/>
        </w:rPr>
      </w:pPr>
      <w:r>
        <w:rPr>
          <w:color w:val="auto"/>
          <w:spacing w:val="7"/>
          <w:sz w:val="24"/>
          <w:highlight w:val="none"/>
        </w:rPr>
        <w:t>10.</w:t>
      </w:r>
      <w:r>
        <w:rPr>
          <w:rFonts w:hint="eastAsia"/>
          <w:color w:val="auto"/>
          <w:spacing w:val="7"/>
          <w:sz w:val="24"/>
          <w:highlight w:val="none"/>
        </w:rPr>
        <w:t>本项目（是/否）接受联合体：否。</w:t>
      </w:r>
    </w:p>
    <w:p w14:paraId="3384D8C9">
      <w:pPr>
        <w:keepNext w:val="0"/>
        <w:keepLines w:val="0"/>
        <w:pageBreakBefore w:val="0"/>
        <w:widowControl w:val="0"/>
        <w:shd w:val="clear" w:color="000000" w:fill="FFFFFF"/>
        <w:spacing w:line="440" w:lineRule="exact"/>
        <w:ind w:left="0" w:firstLine="510"/>
        <w:contextualSpacing/>
        <w:rPr>
          <w:b/>
          <w:spacing w:val="7"/>
          <w:sz w:val="24"/>
        </w:rPr>
      </w:pPr>
      <w:r>
        <w:rPr>
          <w:b/>
          <w:spacing w:val="7"/>
          <w:sz w:val="24"/>
        </w:rPr>
        <w:t>二、申请人的资格要求</w:t>
      </w:r>
    </w:p>
    <w:p w14:paraId="6D342313">
      <w:pPr>
        <w:keepNext w:val="0"/>
        <w:keepLines w:val="0"/>
        <w:pageBreakBefore w:val="0"/>
        <w:widowControl w:val="0"/>
        <w:spacing w:line="440" w:lineRule="exact"/>
        <w:ind w:left="0" w:firstLine="480"/>
        <w:contextualSpacing/>
        <w:rPr>
          <w:sz w:val="24"/>
        </w:rPr>
      </w:pPr>
      <w:r>
        <w:rPr>
          <w:sz w:val="24"/>
        </w:rPr>
        <w:t>（一）满足《中华人民共和国政府采购法》第二十二条规定：</w:t>
      </w:r>
    </w:p>
    <w:p w14:paraId="7CCFBDC9">
      <w:pPr>
        <w:keepNext w:val="0"/>
        <w:keepLines w:val="0"/>
        <w:pageBreakBefore w:val="0"/>
        <w:widowControl w:val="0"/>
        <w:shd w:val="clear" w:color="000000" w:fill="FFFFFF"/>
        <w:spacing w:line="440" w:lineRule="exact"/>
        <w:ind w:left="0" w:firstLine="508"/>
        <w:contextualSpacing/>
        <w:rPr>
          <w:spacing w:val="7"/>
          <w:sz w:val="24"/>
        </w:rPr>
      </w:pPr>
      <w:r>
        <w:rPr>
          <w:spacing w:val="7"/>
          <w:sz w:val="24"/>
        </w:rPr>
        <w:t>1.投标人符合《政府采购法》第二十二条规定条件的声明函；</w:t>
      </w:r>
    </w:p>
    <w:p w14:paraId="0DBF5EF3">
      <w:pPr>
        <w:keepNext w:val="0"/>
        <w:keepLines w:val="0"/>
        <w:pageBreakBefore w:val="0"/>
        <w:widowControl w:val="0"/>
        <w:shd w:val="clear" w:color="000000" w:fill="FFFFFF"/>
        <w:spacing w:line="440" w:lineRule="exact"/>
        <w:ind w:left="0" w:firstLine="508"/>
        <w:contextualSpacing/>
        <w:rPr>
          <w:spacing w:val="7"/>
          <w:sz w:val="24"/>
        </w:rPr>
      </w:pPr>
      <w:r>
        <w:rPr>
          <w:spacing w:val="7"/>
          <w:sz w:val="24"/>
        </w:rPr>
        <w:t>2.法定代表人身份证明书；</w:t>
      </w:r>
    </w:p>
    <w:p w14:paraId="394A6AC0">
      <w:pPr>
        <w:keepNext w:val="0"/>
        <w:keepLines w:val="0"/>
        <w:pageBreakBefore w:val="0"/>
        <w:widowControl w:val="0"/>
        <w:shd w:val="clear" w:color="000000" w:fill="FFFFFF"/>
        <w:spacing w:line="440" w:lineRule="exact"/>
        <w:ind w:left="0" w:firstLine="508"/>
        <w:contextualSpacing/>
        <w:rPr>
          <w:spacing w:val="7"/>
          <w:sz w:val="24"/>
        </w:rPr>
      </w:pPr>
      <w:r>
        <w:rPr>
          <w:spacing w:val="7"/>
          <w:sz w:val="24"/>
        </w:rPr>
        <w:t>3.法定代表人授权委托书原件，投标代表本人身份证</w:t>
      </w:r>
      <w:r>
        <w:rPr>
          <w:rFonts w:hint="eastAsia"/>
          <w:spacing w:val="7"/>
          <w:sz w:val="24"/>
        </w:rPr>
        <w:t>扫描</w:t>
      </w:r>
      <w:r>
        <w:rPr>
          <w:spacing w:val="7"/>
          <w:sz w:val="24"/>
        </w:rPr>
        <w:t>件；</w:t>
      </w:r>
    </w:p>
    <w:p w14:paraId="1F15D0D4">
      <w:pPr>
        <w:keepNext w:val="0"/>
        <w:keepLines w:val="0"/>
        <w:pageBreakBefore w:val="0"/>
        <w:widowControl w:val="0"/>
        <w:shd w:val="clear" w:color="000000" w:fill="FFFFFF"/>
        <w:spacing w:line="440" w:lineRule="exact"/>
        <w:ind w:left="0" w:firstLine="508"/>
        <w:contextualSpacing/>
        <w:rPr>
          <w:spacing w:val="7"/>
          <w:sz w:val="24"/>
        </w:rPr>
      </w:pPr>
      <w:r>
        <w:rPr>
          <w:rFonts w:hint="eastAsia"/>
          <w:spacing w:val="7"/>
          <w:sz w:val="24"/>
          <w:lang w:val="en-US" w:eastAsia="zh-CN"/>
        </w:rPr>
        <w:t>4</w:t>
      </w:r>
      <w:r>
        <w:rPr>
          <w:rFonts w:hint="eastAsia"/>
          <w:spacing w:val="7"/>
          <w:sz w:val="24"/>
        </w:rPr>
        <w:t>.诚信承诺函；</w:t>
      </w:r>
    </w:p>
    <w:p w14:paraId="431CE526">
      <w:pPr>
        <w:keepNext w:val="0"/>
        <w:keepLines w:val="0"/>
        <w:pageBreakBefore w:val="0"/>
        <w:widowControl w:val="0"/>
        <w:shd w:val="clear" w:color="000000" w:fill="FFFFFF"/>
        <w:spacing w:line="440" w:lineRule="exact"/>
        <w:ind w:left="0" w:firstLine="508"/>
        <w:contextualSpacing/>
        <w:rPr>
          <w:spacing w:val="7"/>
          <w:sz w:val="24"/>
        </w:rPr>
      </w:pPr>
      <w:r>
        <w:rPr>
          <w:rFonts w:hint="eastAsia"/>
          <w:spacing w:val="7"/>
          <w:sz w:val="24"/>
        </w:rPr>
        <w:t>5.在“信用中国”网站（www.creditchina.gov.cn）查询，无被列入失信被执行人、重大税收违法案件当事人名单、政府采购严重失信行为记录名单；</w:t>
      </w:r>
    </w:p>
    <w:p w14:paraId="118E87CA">
      <w:pPr>
        <w:keepNext w:val="0"/>
        <w:keepLines w:val="0"/>
        <w:pageBreakBefore w:val="0"/>
        <w:widowControl w:val="0"/>
        <w:shd w:val="clear" w:color="000000" w:fill="FFFFFF"/>
        <w:spacing w:line="440" w:lineRule="exact"/>
        <w:ind w:left="0" w:firstLine="508"/>
        <w:contextualSpacing/>
        <w:rPr>
          <w:spacing w:val="7"/>
          <w:sz w:val="24"/>
        </w:rPr>
      </w:pPr>
      <w:r>
        <w:rPr>
          <w:rFonts w:hint="eastAsia"/>
          <w:spacing w:val="7"/>
          <w:sz w:val="24"/>
          <w:lang w:val="en-US" w:eastAsia="zh-CN"/>
        </w:rPr>
        <w:t>6</w:t>
      </w:r>
      <w:r>
        <w:rPr>
          <w:spacing w:val="7"/>
          <w:sz w:val="24"/>
        </w:rPr>
        <w:t>.其它需要提交的资格审查证明材料。</w:t>
      </w:r>
    </w:p>
    <w:p w14:paraId="316A06CA">
      <w:pPr>
        <w:keepNext w:val="0"/>
        <w:keepLines w:val="0"/>
        <w:pageBreakBefore w:val="0"/>
        <w:widowControl w:val="0"/>
        <w:spacing w:line="440" w:lineRule="exact"/>
        <w:ind w:left="0" w:firstLine="480"/>
        <w:contextualSpacing/>
        <w:rPr>
          <w:color w:val="auto"/>
          <w:sz w:val="24"/>
        </w:rPr>
      </w:pPr>
      <w:r>
        <w:rPr>
          <w:sz w:val="24"/>
        </w:rPr>
        <w:t>（二）落实政府采购政策需满足的资格要求：</w:t>
      </w:r>
      <w:r>
        <w:rPr>
          <w:rFonts w:hint="eastAsia" w:ascii="宋体" w:hAnsi="宋体" w:eastAsia="宋体"/>
          <w:color w:val="000000" w:themeColor="text1"/>
          <w:sz w:val="24"/>
          <w:szCs w:val="24"/>
          <w:highlight w:val="none"/>
          <w14:textFill>
            <w14:solidFill>
              <w14:schemeClr w14:val="tx1"/>
            </w14:solidFill>
          </w14:textFill>
        </w:rPr>
        <w:t>本项目为专门面向中小企业（含残疾人福利性单位、监狱企业）采购的项目</w:t>
      </w:r>
      <w:r>
        <w:rPr>
          <w:rFonts w:hint="eastAsia" w:ascii="宋体" w:hAnsi="宋体" w:eastAsia="宋体"/>
          <w:color w:val="auto"/>
          <w:sz w:val="24"/>
          <w:szCs w:val="24"/>
          <w:highlight w:val="none"/>
        </w:rPr>
        <w:t>,供应商</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含联合体</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均</w:t>
      </w:r>
      <w:r>
        <w:rPr>
          <w:rFonts w:hint="eastAsia" w:ascii="宋体" w:hAnsi="宋体" w:eastAsia="宋体"/>
          <w:color w:val="auto"/>
          <w:sz w:val="24"/>
          <w:szCs w:val="24"/>
          <w:highlight w:val="none"/>
        </w:rPr>
        <w:t>应为中小微企业或残疾人福利性单位或监狱企业，并按照采购文件要求提供《中小企业声明函》或《残疾人福利性单位声明函》或监狱和戒毒企业证明材料</w:t>
      </w:r>
      <w:r>
        <w:rPr>
          <w:color w:val="auto"/>
          <w:sz w:val="24"/>
          <w:highlight w:val="none"/>
        </w:rPr>
        <w:t>。</w:t>
      </w:r>
    </w:p>
    <w:p w14:paraId="0BEABE7B">
      <w:pPr>
        <w:keepNext w:val="0"/>
        <w:keepLines w:val="0"/>
        <w:pageBreakBefore w:val="0"/>
        <w:widowControl w:val="0"/>
        <w:spacing w:line="440" w:lineRule="exact"/>
        <w:ind w:left="0" w:firstLine="480"/>
        <w:contextualSpacing/>
        <w:rPr>
          <w:rFonts w:hint="eastAsia" w:eastAsia="宋体"/>
          <w:color w:val="auto"/>
          <w:sz w:val="24"/>
          <w:lang w:val="en-US" w:eastAsia="zh-CN"/>
        </w:rPr>
      </w:pPr>
      <w:r>
        <w:rPr>
          <w:color w:val="auto"/>
          <w:sz w:val="24"/>
        </w:rPr>
        <w:t>（三）本项目的特定资格要求：</w:t>
      </w:r>
      <w:r>
        <w:rPr>
          <w:rFonts w:hint="eastAsia"/>
          <w:color w:val="auto"/>
          <w:sz w:val="24"/>
          <w:lang w:val="en-US" w:eastAsia="zh-CN"/>
        </w:rPr>
        <w:t>无。</w:t>
      </w:r>
    </w:p>
    <w:p w14:paraId="49AD0F3D">
      <w:pPr>
        <w:keepNext w:val="0"/>
        <w:keepLines w:val="0"/>
        <w:pageBreakBefore w:val="0"/>
        <w:widowControl w:val="0"/>
        <w:shd w:val="clear" w:color="000000" w:fill="FFFFFF"/>
        <w:spacing w:line="440" w:lineRule="exact"/>
        <w:ind w:left="0" w:firstLine="510"/>
        <w:contextualSpacing/>
        <w:rPr>
          <w:b/>
          <w:spacing w:val="7"/>
          <w:sz w:val="24"/>
        </w:rPr>
      </w:pPr>
      <w:r>
        <w:rPr>
          <w:b/>
          <w:spacing w:val="7"/>
          <w:sz w:val="24"/>
        </w:rPr>
        <w:t>三、获取招标文件</w:t>
      </w:r>
    </w:p>
    <w:p w14:paraId="7C9D1F81">
      <w:pPr>
        <w:keepNext w:val="0"/>
        <w:keepLines w:val="0"/>
        <w:pageBreakBefore w:val="0"/>
        <w:widowControl w:val="0"/>
        <w:spacing w:line="440" w:lineRule="exact"/>
        <w:ind w:left="0" w:firstLine="480"/>
        <w:contextualSpacing/>
        <w:rPr>
          <w:sz w:val="24"/>
        </w:rPr>
      </w:pPr>
      <w:r>
        <w:rPr>
          <w:sz w:val="24"/>
        </w:rPr>
        <w:t>时间：202</w:t>
      </w:r>
      <w:r>
        <w:rPr>
          <w:rFonts w:hint="eastAsia"/>
          <w:sz w:val="24"/>
          <w:lang w:val="en-US" w:eastAsia="zh-CN"/>
        </w:rPr>
        <w:t>6</w:t>
      </w:r>
      <w:r>
        <w:rPr>
          <w:sz w:val="24"/>
        </w:rPr>
        <w:t>年</w:t>
      </w:r>
      <w:r>
        <w:rPr>
          <w:rFonts w:hint="eastAsia"/>
          <w:sz w:val="24"/>
          <w:lang w:val="en-US" w:eastAsia="zh-CN"/>
        </w:rPr>
        <w:t>9</w:t>
      </w:r>
      <w:r>
        <w:rPr>
          <w:sz w:val="24"/>
        </w:rPr>
        <w:t>月</w:t>
      </w:r>
      <w:r>
        <w:rPr>
          <w:rFonts w:hint="eastAsia"/>
          <w:sz w:val="24"/>
          <w:lang w:val="en-US" w:eastAsia="zh-CN"/>
        </w:rPr>
        <w:t>4</w:t>
      </w:r>
      <w:bookmarkStart w:id="110" w:name="_GoBack"/>
      <w:bookmarkEnd w:id="110"/>
      <w:r>
        <w:rPr>
          <w:sz w:val="24"/>
        </w:rPr>
        <w:t>日至202</w:t>
      </w:r>
      <w:r>
        <w:rPr>
          <w:rFonts w:hint="eastAsia"/>
          <w:sz w:val="24"/>
          <w:lang w:val="en-US" w:eastAsia="zh-CN"/>
        </w:rPr>
        <w:t>6</w:t>
      </w:r>
      <w:r>
        <w:rPr>
          <w:sz w:val="24"/>
        </w:rPr>
        <w:t>年</w:t>
      </w:r>
      <w:r>
        <w:rPr>
          <w:rFonts w:hint="eastAsia"/>
          <w:sz w:val="24"/>
          <w:lang w:val="en-US" w:eastAsia="zh-CN"/>
        </w:rPr>
        <w:t>9</w:t>
      </w:r>
      <w:r>
        <w:rPr>
          <w:sz w:val="24"/>
        </w:rPr>
        <w:t>月</w:t>
      </w:r>
      <w:r>
        <w:rPr>
          <w:rFonts w:hint="eastAsia"/>
          <w:sz w:val="24"/>
          <w:lang w:val="en-US" w:eastAsia="zh-CN"/>
        </w:rPr>
        <w:t>11</w:t>
      </w:r>
      <w:r>
        <w:rPr>
          <w:sz w:val="24"/>
        </w:rPr>
        <w:t xml:space="preserve">日，每天上午00:00-12:00，下午12:00-23:59 （北京时间，法定节假日除外） </w:t>
      </w:r>
    </w:p>
    <w:p w14:paraId="463A3F05">
      <w:pPr>
        <w:keepNext w:val="0"/>
        <w:keepLines w:val="0"/>
        <w:pageBreakBefore w:val="0"/>
        <w:widowControl w:val="0"/>
        <w:spacing w:line="440" w:lineRule="exact"/>
        <w:ind w:left="0" w:firstLine="480"/>
        <w:contextualSpacing/>
        <w:rPr>
          <w:sz w:val="24"/>
        </w:rPr>
      </w:pPr>
      <w:r>
        <w:rPr>
          <w:sz w:val="24"/>
        </w:rPr>
        <w:t>地点：江苏政府采购网 </w:t>
      </w:r>
    </w:p>
    <w:p w14:paraId="56625496">
      <w:pPr>
        <w:keepNext w:val="0"/>
        <w:keepLines w:val="0"/>
        <w:pageBreakBefore w:val="0"/>
        <w:widowControl w:val="0"/>
        <w:spacing w:line="440" w:lineRule="exact"/>
        <w:ind w:left="0" w:firstLine="480"/>
        <w:contextualSpacing/>
        <w:rPr>
          <w:sz w:val="24"/>
        </w:rPr>
      </w:pPr>
      <w:r>
        <w:rPr>
          <w:sz w:val="24"/>
        </w:rPr>
        <w:t>方式：在“江苏政府采购网”自行免费下载招标文件 </w:t>
      </w:r>
    </w:p>
    <w:p w14:paraId="0B5BABEC">
      <w:pPr>
        <w:keepNext w:val="0"/>
        <w:keepLines w:val="0"/>
        <w:pageBreakBefore w:val="0"/>
        <w:widowControl w:val="0"/>
        <w:spacing w:line="440" w:lineRule="exact"/>
        <w:ind w:left="0" w:firstLine="480"/>
        <w:contextualSpacing/>
        <w:rPr>
          <w:sz w:val="24"/>
        </w:rPr>
      </w:pPr>
      <w:r>
        <w:rPr>
          <w:sz w:val="24"/>
        </w:rPr>
        <w:t>售价：0.00元 </w:t>
      </w:r>
    </w:p>
    <w:p w14:paraId="7AA8D003">
      <w:pPr>
        <w:keepNext w:val="0"/>
        <w:keepLines w:val="0"/>
        <w:pageBreakBefore w:val="0"/>
        <w:widowControl w:val="0"/>
        <w:shd w:val="clear" w:color="000000" w:fill="FFFFFF"/>
        <w:spacing w:line="440" w:lineRule="exact"/>
        <w:ind w:left="0" w:firstLine="510"/>
        <w:contextualSpacing/>
        <w:rPr>
          <w:b/>
          <w:spacing w:val="7"/>
          <w:sz w:val="24"/>
        </w:rPr>
      </w:pPr>
      <w:r>
        <w:rPr>
          <w:b/>
          <w:spacing w:val="7"/>
          <w:sz w:val="24"/>
        </w:rPr>
        <w:t>四、提交投标文件截止时间、开标时间和地点</w:t>
      </w:r>
    </w:p>
    <w:p w14:paraId="42FF5DDF">
      <w:pPr>
        <w:keepNext w:val="0"/>
        <w:keepLines w:val="0"/>
        <w:pageBreakBefore w:val="0"/>
        <w:widowControl w:val="0"/>
        <w:spacing w:line="440" w:lineRule="exact"/>
        <w:ind w:left="0" w:firstLine="480"/>
        <w:contextualSpacing/>
        <w:rPr>
          <w:sz w:val="24"/>
        </w:rPr>
      </w:pPr>
      <w:r>
        <w:rPr>
          <w:sz w:val="24"/>
        </w:rPr>
        <w:t>截止时间：</w:t>
      </w:r>
      <w:r>
        <w:rPr>
          <w:sz w:val="24"/>
          <w:u w:val="single"/>
        </w:rPr>
        <w:t>202</w:t>
      </w:r>
      <w:r>
        <w:rPr>
          <w:rFonts w:hint="eastAsia"/>
          <w:sz w:val="24"/>
          <w:u w:val="single"/>
          <w:lang w:val="en-US" w:eastAsia="zh-CN"/>
        </w:rPr>
        <w:t>6</w:t>
      </w:r>
      <w:r>
        <w:rPr>
          <w:sz w:val="24"/>
          <w:u w:val="single"/>
        </w:rPr>
        <w:t>年</w:t>
      </w:r>
      <w:r>
        <w:rPr>
          <w:rFonts w:hint="eastAsia"/>
          <w:sz w:val="24"/>
          <w:u w:val="single"/>
          <w:lang w:val="en-US" w:eastAsia="zh-CN"/>
        </w:rPr>
        <w:t>9</w:t>
      </w:r>
      <w:r>
        <w:rPr>
          <w:sz w:val="24"/>
          <w:u w:val="single"/>
        </w:rPr>
        <w:t>月</w:t>
      </w:r>
      <w:r>
        <w:rPr>
          <w:rFonts w:hint="eastAsia"/>
          <w:sz w:val="24"/>
          <w:u w:val="single"/>
          <w:lang w:val="en-US" w:eastAsia="zh-CN"/>
        </w:rPr>
        <w:t>24</w:t>
      </w:r>
      <w:r>
        <w:rPr>
          <w:sz w:val="24"/>
          <w:u w:val="single"/>
        </w:rPr>
        <w:t>日</w:t>
      </w:r>
      <w:r>
        <w:rPr>
          <w:rFonts w:hint="eastAsia"/>
          <w:sz w:val="24"/>
          <w:u w:val="single"/>
          <w:lang w:val="en-US" w:eastAsia="zh-CN"/>
        </w:rPr>
        <w:t>9</w:t>
      </w:r>
      <w:r>
        <w:rPr>
          <w:sz w:val="24"/>
          <w:u w:val="single"/>
        </w:rPr>
        <w:t>点00分</w:t>
      </w:r>
      <w:r>
        <w:rPr>
          <w:sz w:val="24"/>
        </w:rPr>
        <w:t>（北京时间）</w:t>
      </w:r>
    </w:p>
    <w:p w14:paraId="72536EEF">
      <w:pPr>
        <w:keepNext w:val="0"/>
        <w:keepLines w:val="0"/>
        <w:pageBreakBefore w:val="0"/>
        <w:widowControl w:val="0"/>
        <w:spacing w:line="440" w:lineRule="exact"/>
        <w:ind w:left="0" w:firstLine="480"/>
        <w:contextualSpacing/>
        <w:rPr>
          <w:sz w:val="24"/>
        </w:rPr>
      </w:pPr>
      <w:r>
        <w:rPr>
          <w:sz w:val="24"/>
        </w:rPr>
        <w:t>地点：“苏采云”政府采购交易系统网上开标大厅 </w:t>
      </w:r>
    </w:p>
    <w:p w14:paraId="1BA4519B">
      <w:pPr>
        <w:keepNext w:val="0"/>
        <w:keepLines w:val="0"/>
        <w:pageBreakBefore w:val="0"/>
        <w:widowControl w:val="0"/>
        <w:spacing w:line="440" w:lineRule="exact"/>
        <w:ind w:left="0" w:firstLine="482"/>
        <w:contextualSpacing/>
        <w:rPr>
          <w:b/>
          <w:bCs/>
          <w:sz w:val="24"/>
        </w:rPr>
      </w:pPr>
      <w:r>
        <w:rPr>
          <w:b/>
          <w:bCs/>
          <w:sz w:val="24"/>
        </w:rPr>
        <w:t>五、公告期限</w:t>
      </w:r>
    </w:p>
    <w:p w14:paraId="34CA0D85">
      <w:pPr>
        <w:keepNext w:val="0"/>
        <w:keepLines w:val="0"/>
        <w:pageBreakBefore w:val="0"/>
        <w:widowControl w:val="0"/>
        <w:spacing w:line="440" w:lineRule="exact"/>
        <w:ind w:left="0" w:firstLine="480"/>
        <w:contextualSpacing/>
        <w:rPr>
          <w:sz w:val="24"/>
        </w:rPr>
      </w:pPr>
      <w:r>
        <w:rPr>
          <w:sz w:val="24"/>
        </w:rPr>
        <w:t>自本公告发布之日起5个工作日。</w:t>
      </w:r>
    </w:p>
    <w:p w14:paraId="50231812">
      <w:pPr>
        <w:keepNext w:val="0"/>
        <w:keepLines w:val="0"/>
        <w:pageBreakBefore w:val="0"/>
        <w:widowControl w:val="0"/>
        <w:spacing w:line="440" w:lineRule="exact"/>
        <w:ind w:left="0" w:firstLine="482"/>
        <w:contextualSpacing/>
        <w:rPr>
          <w:b/>
          <w:bCs/>
          <w:sz w:val="24"/>
        </w:rPr>
      </w:pPr>
      <w:r>
        <w:rPr>
          <w:b/>
          <w:bCs/>
          <w:sz w:val="24"/>
        </w:rPr>
        <w:t>六、其他补充事宜</w:t>
      </w:r>
    </w:p>
    <w:p w14:paraId="755B1B90">
      <w:pPr>
        <w:keepNext w:val="0"/>
        <w:keepLines w:val="0"/>
        <w:pageBreakBefore w:val="0"/>
        <w:widowControl w:val="0"/>
        <w:spacing w:line="440" w:lineRule="exact"/>
        <w:ind w:left="0" w:firstLine="480"/>
        <w:contextualSpacing/>
        <w:rPr>
          <w:sz w:val="24"/>
        </w:rPr>
      </w:pPr>
      <w:r>
        <w:rPr>
          <w:sz w:val="24"/>
        </w:rPr>
        <w:t>1.投标保证金：</w:t>
      </w:r>
      <w:r>
        <w:rPr>
          <w:rFonts w:hint="eastAsia"/>
          <w:sz w:val="24"/>
        </w:rPr>
        <w:t>免收</w:t>
      </w:r>
    </w:p>
    <w:p w14:paraId="08EDDBD2">
      <w:pPr>
        <w:keepNext w:val="0"/>
        <w:keepLines w:val="0"/>
        <w:pageBreakBefore w:val="0"/>
        <w:widowControl w:val="0"/>
        <w:spacing w:line="440" w:lineRule="exact"/>
        <w:ind w:left="0" w:firstLine="480"/>
        <w:contextualSpacing/>
        <w:rPr>
          <w:sz w:val="24"/>
        </w:rPr>
      </w:pPr>
      <w:r>
        <w:rPr>
          <w:sz w:val="24"/>
        </w:rPr>
        <w:t>2.对项目需求部分的询问、质疑请向采购人提出，由采购人负责答复。系统操作过程中如遇问题，请致电“苏采云”客服0519-86722801。</w:t>
      </w:r>
    </w:p>
    <w:p w14:paraId="1BE63933">
      <w:pPr>
        <w:keepNext w:val="0"/>
        <w:keepLines w:val="0"/>
        <w:pageBreakBefore w:val="0"/>
        <w:widowControl w:val="0"/>
        <w:spacing w:line="440" w:lineRule="exact"/>
        <w:ind w:left="0" w:firstLine="480"/>
        <w:contextualSpacing/>
        <w:rPr>
          <w:sz w:val="24"/>
        </w:rPr>
      </w:pPr>
      <w:r>
        <w:rPr>
          <w:sz w:val="24"/>
        </w:rPr>
        <w:t>3.潜在供应商访问电子招标响应交易平台的网络地址和方法：</w:t>
      </w:r>
    </w:p>
    <w:p w14:paraId="159B85E7">
      <w:pPr>
        <w:keepNext w:val="0"/>
        <w:keepLines w:val="0"/>
        <w:pageBreakBefore w:val="0"/>
        <w:widowControl w:val="0"/>
        <w:spacing w:line="440" w:lineRule="exact"/>
        <w:ind w:left="0" w:firstLine="480"/>
        <w:contextualSpacing/>
        <w:rPr>
          <w:sz w:val="24"/>
        </w:rPr>
      </w:pPr>
      <w:r>
        <w:rPr>
          <w:sz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4932A00A">
      <w:pPr>
        <w:keepNext w:val="0"/>
        <w:keepLines w:val="0"/>
        <w:pageBreakBefore w:val="0"/>
        <w:widowControl w:val="0"/>
        <w:tabs>
          <w:tab w:val="left" w:pos="8400"/>
        </w:tabs>
        <w:spacing w:line="440" w:lineRule="exact"/>
        <w:ind w:left="0" w:firstLine="480"/>
        <w:contextualSpacing/>
        <w:rPr>
          <w:sz w:val="24"/>
        </w:rPr>
      </w:pPr>
      <w:r>
        <w:rPr>
          <w:sz w:val="24"/>
        </w:rPr>
        <w:t>4.“CA数字证书”的获取：</w:t>
      </w:r>
    </w:p>
    <w:p w14:paraId="56C43C3B">
      <w:pPr>
        <w:keepNext w:val="0"/>
        <w:keepLines w:val="0"/>
        <w:pageBreakBefore w:val="0"/>
        <w:widowControl w:val="0"/>
        <w:spacing w:line="440" w:lineRule="exact"/>
        <w:ind w:left="0" w:firstLine="480"/>
        <w:contextualSpacing/>
        <w:rPr>
          <w:sz w:val="24"/>
        </w:rPr>
      </w:pPr>
      <w:r>
        <w:rPr>
          <w:sz w:val="24"/>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2020ACD7">
      <w:pPr>
        <w:keepNext w:val="0"/>
        <w:keepLines w:val="0"/>
        <w:pageBreakBefore w:val="0"/>
        <w:widowControl w:val="0"/>
        <w:spacing w:line="440" w:lineRule="exact"/>
        <w:ind w:left="0" w:firstLine="480"/>
        <w:contextualSpacing/>
        <w:rPr>
          <w:sz w:val="24"/>
        </w:rPr>
      </w:pPr>
      <w:r>
        <w:rPr>
          <w:sz w:val="24"/>
        </w:rPr>
        <w:t>5.采购文件（后缀名为“.kedt”）、供应商操作手册及政府采购客户端工具可通过“苏采云”系统--已报名项目--报名详情页面内相应链接进行下载。</w:t>
      </w:r>
    </w:p>
    <w:p w14:paraId="57F87F98">
      <w:pPr>
        <w:keepNext w:val="0"/>
        <w:keepLines w:val="0"/>
        <w:pageBreakBefore w:val="0"/>
        <w:widowControl w:val="0"/>
        <w:spacing w:line="440" w:lineRule="exact"/>
        <w:ind w:left="0" w:firstLine="480"/>
        <w:contextualSpacing/>
        <w:rPr>
          <w:sz w:val="24"/>
        </w:rPr>
      </w:pPr>
      <w:r>
        <w:rPr>
          <w:sz w:val="24"/>
        </w:rPr>
        <w:t>6.招标代理机构（采购代理机构）将数据电文形式的采购文件加载至“苏采云”系统，供潜在供应商下载或者查阅。</w:t>
      </w:r>
    </w:p>
    <w:p w14:paraId="24A53C93">
      <w:pPr>
        <w:keepNext w:val="0"/>
        <w:keepLines w:val="0"/>
        <w:pageBreakBefore w:val="0"/>
        <w:widowControl w:val="0"/>
        <w:spacing w:line="440" w:lineRule="exact"/>
        <w:ind w:left="0" w:firstLine="480"/>
        <w:contextualSpacing/>
        <w:rPr>
          <w:sz w:val="24"/>
        </w:rPr>
      </w:pPr>
      <w:r>
        <w:rPr>
          <w:sz w:val="24"/>
        </w:rPr>
        <w:t>7.请潜在投标单位提前安装相应的控件（详见《江苏省政府采购管理交易系统（苏采云）供应商操作手册》）并使用谷歌浏览器登录“苏采云”系统参与不见面开评标。</w:t>
      </w:r>
    </w:p>
    <w:p w14:paraId="689D5A5F">
      <w:pPr>
        <w:keepNext w:val="0"/>
        <w:keepLines w:val="0"/>
        <w:pageBreakBefore w:val="0"/>
        <w:widowControl w:val="0"/>
        <w:spacing w:line="440" w:lineRule="exact"/>
        <w:ind w:left="0" w:firstLine="480"/>
        <w:contextualSpacing/>
        <w:rPr>
          <w:sz w:val="24"/>
        </w:rPr>
      </w:pPr>
      <w:r>
        <w:rPr>
          <w:sz w:val="24"/>
        </w:rPr>
        <w:t>8.项目开标活动模式：不见面远程开标模式，投标人在各自地点通过不见面交易系统参加开标会。</w:t>
      </w:r>
    </w:p>
    <w:p w14:paraId="7A48466A">
      <w:pPr>
        <w:keepNext w:val="0"/>
        <w:keepLines w:val="0"/>
        <w:pageBreakBefore w:val="0"/>
        <w:widowControl w:val="0"/>
        <w:spacing w:line="440" w:lineRule="exact"/>
        <w:ind w:left="0" w:firstLine="480"/>
        <w:contextualSpacing/>
        <w:rPr>
          <w:sz w:val="24"/>
        </w:rPr>
      </w:pPr>
      <w:r>
        <w:rPr>
          <w:sz w:val="24"/>
        </w:rPr>
        <w:t>注：各供应商请关注开标大厅交流区，在开标结束后，请勿离开开标大厅。</w:t>
      </w:r>
    </w:p>
    <w:p w14:paraId="570425F1">
      <w:pPr>
        <w:keepNext w:val="0"/>
        <w:keepLines w:val="0"/>
        <w:pageBreakBefore w:val="0"/>
        <w:widowControl w:val="0"/>
        <w:spacing w:line="440" w:lineRule="exact"/>
        <w:ind w:left="0" w:firstLine="480"/>
        <w:contextualSpacing/>
        <w:rPr>
          <w:sz w:val="24"/>
        </w:rPr>
      </w:pPr>
      <w:r>
        <w:rPr>
          <w:sz w:val="24"/>
        </w:rPr>
        <w:t>9.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b/>
          <w:bCs/>
          <w:sz w:val="24"/>
        </w:rPr>
        <w:t>投标供应商解密限定在开标后30分钟之内完成。</w:t>
      </w:r>
      <w:r>
        <w:rPr>
          <w:sz w:val="24"/>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sz w:val="24"/>
        </w:rPr>
        <w:t>因采购人原因或网上招投标平台发生故障，导致无法按时完成响应文件解密或开、评标工作无法进行的，可根据实际情况相应延迟解密时间或调整开、评标时间。</w:t>
      </w:r>
    </w:p>
    <w:p w14:paraId="77056B9B">
      <w:pPr>
        <w:keepNext w:val="0"/>
        <w:keepLines w:val="0"/>
        <w:pageBreakBefore w:val="0"/>
        <w:widowControl w:val="0"/>
        <w:spacing w:line="440" w:lineRule="exact"/>
        <w:ind w:left="0" w:firstLine="480"/>
        <w:contextualSpacing/>
        <w:rPr>
          <w:sz w:val="24"/>
        </w:rPr>
      </w:pPr>
      <w:r>
        <w:rPr>
          <w:sz w:val="24"/>
        </w:rPr>
        <w:t>10.项目演示、样品、答辩等（如有请描述）：无。</w:t>
      </w:r>
    </w:p>
    <w:p w14:paraId="064A6D66">
      <w:pPr>
        <w:keepNext w:val="0"/>
        <w:keepLines w:val="0"/>
        <w:pageBreakBefore w:val="0"/>
        <w:widowControl w:val="0"/>
        <w:spacing w:line="440" w:lineRule="exact"/>
        <w:ind w:left="0" w:firstLine="480"/>
        <w:contextualSpacing/>
        <w:rPr>
          <w:sz w:val="24"/>
        </w:rPr>
      </w:pPr>
      <w:r>
        <w:rPr>
          <w:sz w:val="24"/>
        </w:rPr>
        <w:t>11.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技术、软件支持电话：0519-86722801；0519-86722806</w:t>
      </w:r>
    </w:p>
    <w:p w14:paraId="6F04AECA">
      <w:pPr>
        <w:keepNext w:val="0"/>
        <w:keepLines w:val="0"/>
        <w:pageBreakBefore w:val="0"/>
        <w:widowControl w:val="0"/>
        <w:spacing w:line="440" w:lineRule="exact"/>
        <w:ind w:left="0" w:firstLine="480"/>
        <w:contextualSpacing/>
        <w:rPr>
          <w:sz w:val="24"/>
        </w:rPr>
      </w:pPr>
      <w:r>
        <w:rPr>
          <w:sz w:val="24"/>
        </w:rPr>
        <w:t>12.有关本次采购的事项若存在变动或修改，敬请及时关注“江苏政府采购网”发布的信息更正公告。</w:t>
      </w:r>
    </w:p>
    <w:p w14:paraId="1988834A">
      <w:pPr>
        <w:keepNext w:val="0"/>
        <w:keepLines w:val="0"/>
        <w:pageBreakBefore w:val="0"/>
        <w:widowControl w:val="0"/>
        <w:spacing w:line="440" w:lineRule="exact"/>
        <w:ind w:left="0" w:firstLine="480"/>
        <w:contextualSpacing/>
        <w:rPr>
          <w:sz w:val="24"/>
        </w:rPr>
      </w:pPr>
      <w:r>
        <w:rPr>
          <w:sz w:val="24"/>
        </w:rPr>
        <w:t>13.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5D368C73">
      <w:pPr>
        <w:keepNext w:val="0"/>
        <w:keepLines w:val="0"/>
        <w:pageBreakBefore w:val="0"/>
        <w:widowControl w:val="0"/>
        <w:spacing w:line="440" w:lineRule="exact"/>
        <w:ind w:left="0" w:firstLine="482"/>
        <w:contextualSpacing/>
        <w:rPr>
          <w:b/>
          <w:bCs/>
          <w:sz w:val="24"/>
        </w:rPr>
      </w:pPr>
      <w:r>
        <w:rPr>
          <w:b/>
          <w:bCs/>
          <w:sz w:val="24"/>
        </w:rPr>
        <w:t>七、对本次招标提出询问，请按以下方式联系。</w:t>
      </w:r>
    </w:p>
    <w:p w14:paraId="4DFF52AF">
      <w:pPr>
        <w:keepNext w:val="0"/>
        <w:keepLines w:val="0"/>
        <w:pageBreakBefore w:val="0"/>
        <w:widowControl w:val="0"/>
        <w:shd w:val="clear" w:color="000000" w:fill="FFFFFF"/>
        <w:spacing w:line="440" w:lineRule="exact"/>
        <w:ind w:left="0" w:firstLine="508"/>
        <w:contextualSpacing/>
        <w:rPr>
          <w:spacing w:val="7"/>
          <w:sz w:val="24"/>
        </w:rPr>
      </w:pPr>
      <w:r>
        <w:rPr>
          <w:spacing w:val="7"/>
          <w:sz w:val="24"/>
        </w:rPr>
        <w:t>1.采购人信息</w:t>
      </w:r>
    </w:p>
    <w:p w14:paraId="12A70FCC">
      <w:pPr>
        <w:keepNext w:val="0"/>
        <w:keepLines w:val="0"/>
        <w:pageBreakBefore w:val="0"/>
        <w:widowControl w:val="0"/>
        <w:spacing w:line="440" w:lineRule="exact"/>
        <w:ind w:left="0" w:firstLine="480"/>
        <w:contextualSpacing/>
        <w:rPr>
          <w:sz w:val="24"/>
        </w:rPr>
      </w:pPr>
      <w:r>
        <w:rPr>
          <w:sz w:val="24"/>
        </w:rPr>
        <w:t>单位名称：</w:t>
      </w:r>
      <w:r>
        <w:rPr>
          <w:rFonts w:hint="eastAsia"/>
          <w:sz w:val="24"/>
        </w:rPr>
        <w:t>南通市海门区人民政府海门街道办事处</w:t>
      </w:r>
    </w:p>
    <w:p w14:paraId="04DDBCAB">
      <w:pPr>
        <w:keepNext w:val="0"/>
        <w:keepLines w:val="0"/>
        <w:pageBreakBefore w:val="0"/>
        <w:widowControl w:val="0"/>
        <w:spacing w:line="440" w:lineRule="exact"/>
        <w:ind w:left="0" w:firstLine="480"/>
        <w:contextualSpacing/>
        <w:rPr>
          <w:sz w:val="24"/>
        </w:rPr>
      </w:pPr>
      <w:r>
        <w:rPr>
          <w:sz w:val="24"/>
        </w:rPr>
        <w:t>地    址：</w:t>
      </w:r>
      <w:r>
        <w:rPr>
          <w:rFonts w:hint="eastAsia"/>
          <w:sz w:val="24"/>
        </w:rPr>
        <w:t>南通市海门区海门街道秀山西路581号</w:t>
      </w:r>
      <w:r>
        <w:rPr>
          <w:sz w:val="24"/>
        </w:rPr>
        <w:t xml:space="preserve">  </w:t>
      </w:r>
    </w:p>
    <w:p w14:paraId="444B34E7">
      <w:pPr>
        <w:keepNext w:val="0"/>
        <w:keepLines w:val="0"/>
        <w:pageBreakBefore w:val="0"/>
        <w:widowControl w:val="0"/>
        <w:spacing w:line="440" w:lineRule="exact"/>
        <w:ind w:left="0" w:firstLine="480"/>
        <w:contextualSpacing/>
        <w:rPr>
          <w:color w:val="auto"/>
          <w:sz w:val="24"/>
        </w:rPr>
      </w:pPr>
      <w:r>
        <w:rPr>
          <w:color w:val="auto"/>
          <w:sz w:val="24"/>
        </w:rPr>
        <w:t>联系方式：</w:t>
      </w:r>
      <w:r>
        <w:rPr>
          <w:rFonts w:hint="eastAsia"/>
          <w:color w:val="auto"/>
          <w:sz w:val="24"/>
          <w:lang w:val="en-US" w:eastAsia="zh-CN"/>
        </w:rPr>
        <w:t>施</w:t>
      </w:r>
      <w:r>
        <w:rPr>
          <w:color w:val="auto"/>
          <w:sz w:val="24"/>
        </w:rPr>
        <w:t>先生   联系电话：</w:t>
      </w:r>
      <w:r>
        <w:rPr>
          <w:rFonts w:hint="eastAsia"/>
          <w:color w:val="auto"/>
          <w:sz w:val="24"/>
          <w:lang w:val="en-US" w:eastAsia="zh-CN"/>
        </w:rPr>
        <w:t>15862812680</w:t>
      </w:r>
      <w:r>
        <w:rPr>
          <w:color w:val="auto"/>
          <w:sz w:val="24"/>
        </w:rPr>
        <w:t xml:space="preserve"> </w:t>
      </w:r>
    </w:p>
    <w:p w14:paraId="7DF19841">
      <w:pPr>
        <w:keepNext w:val="0"/>
        <w:keepLines w:val="0"/>
        <w:pageBreakBefore w:val="0"/>
        <w:widowControl w:val="0"/>
        <w:shd w:val="clear" w:color="000000" w:fill="FFFFFF"/>
        <w:spacing w:line="440" w:lineRule="exact"/>
        <w:ind w:left="0" w:firstLine="508"/>
        <w:contextualSpacing/>
        <w:rPr>
          <w:color w:val="auto"/>
          <w:spacing w:val="7"/>
          <w:sz w:val="24"/>
        </w:rPr>
      </w:pPr>
      <w:r>
        <w:rPr>
          <w:color w:val="auto"/>
          <w:spacing w:val="7"/>
          <w:sz w:val="24"/>
        </w:rPr>
        <w:t>2.采购代理机构信息</w:t>
      </w:r>
    </w:p>
    <w:p w14:paraId="27935344">
      <w:pPr>
        <w:keepNext w:val="0"/>
        <w:keepLines w:val="0"/>
        <w:pageBreakBefore w:val="0"/>
        <w:widowControl w:val="0"/>
        <w:spacing w:line="440" w:lineRule="exact"/>
        <w:ind w:left="0" w:firstLine="480"/>
        <w:contextualSpacing/>
        <w:rPr>
          <w:rFonts w:hint="default" w:eastAsia="宋体"/>
          <w:sz w:val="24"/>
          <w:lang w:val="en-US" w:eastAsia="zh-CN"/>
        </w:rPr>
      </w:pPr>
      <w:r>
        <w:rPr>
          <w:sz w:val="24"/>
        </w:rPr>
        <w:t>名    称：南通</w:t>
      </w:r>
      <w:r>
        <w:rPr>
          <w:rFonts w:hint="eastAsia"/>
          <w:sz w:val="24"/>
          <w:lang w:val="en-US" w:eastAsia="zh-CN"/>
        </w:rPr>
        <w:t>建辰工程咨询有限公司</w:t>
      </w:r>
    </w:p>
    <w:p w14:paraId="6326DFE8">
      <w:pPr>
        <w:keepNext w:val="0"/>
        <w:keepLines w:val="0"/>
        <w:pageBreakBefore w:val="0"/>
        <w:widowControl w:val="0"/>
        <w:spacing w:line="440" w:lineRule="exact"/>
        <w:ind w:left="0" w:firstLine="480"/>
        <w:contextualSpacing/>
        <w:rPr>
          <w:rFonts w:hint="eastAsia" w:eastAsia="宋体"/>
          <w:sz w:val="24"/>
          <w:lang w:val="en-US" w:eastAsia="zh-CN"/>
        </w:rPr>
      </w:pPr>
      <w:r>
        <w:rPr>
          <w:sz w:val="24"/>
        </w:rPr>
        <w:t>地　　址：南通市海门区海门街道</w:t>
      </w:r>
      <w:r>
        <w:rPr>
          <w:rFonts w:hint="eastAsia"/>
          <w:sz w:val="24"/>
          <w:lang w:val="en-US" w:eastAsia="zh-CN"/>
        </w:rPr>
        <w:t>嘉禾苑</w:t>
      </w:r>
    </w:p>
    <w:p w14:paraId="418DC106">
      <w:pPr>
        <w:keepNext w:val="0"/>
        <w:keepLines w:val="0"/>
        <w:pageBreakBefore w:val="0"/>
        <w:widowControl w:val="0"/>
        <w:spacing w:line="440" w:lineRule="exact"/>
        <w:ind w:left="0" w:firstLine="480"/>
        <w:contextualSpacing/>
        <w:rPr>
          <w:rFonts w:hint="default" w:eastAsia="宋体"/>
          <w:sz w:val="24"/>
          <w:lang w:val="en-US" w:eastAsia="zh-CN"/>
        </w:rPr>
      </w:pPr>
      <w:r>
        <w:rPr>
          <w:sz w:val="24"/>
        </w:rPr>
        <w:t>联系方式：</w:t>
      </w:r>
      <w:r>
        <w:rPr>
          <w:rFonts w:hint="eastAsia"/>
          <w:sz w:val="24"/>
          <w:lang w:val="en-US" w:eastAsia="zh-CN"/>
        </w:rPr>
        <w:t>龚</w:t>
      </w:r>
      <w:r>
        <w:rPr>
          <w:sz w:val="24"/>
        </w:rPr>
        <w:t>女士  　联系电话：</w:t>
      </w:r>
      <w:r>
        <w:rPr>
          <w:rFonts w:hint="eastAsia"/>
          <w:sz w:val="24"/>
          <w:lang w:val="en-US" w:eastAsia="zh-CN"/>
        </w:rPr>
        <w:t>18106283917</w:t>
      </w:r>
    </w:p>
    <w:p w14:paraId="1F9019F3">
      <w:pPr>
        <w:keepNext w:val="0"/>
        <w:keepLines w:val="0"/>
        <w:pageBreakBefore w:val="0"/>
        <w:widowControl w:val="0"/>
        <w:spacing w:line="440" w:lineRule="exact"/>
        <w:ind w:left="0" w:firstLine="480"/>
        <w:contextualSpacing/>
        <w:rPr>
          <w:sz w:val="24"/>
        </w:rPr>
      </w:pPr>
      <w:r>
        <w:rPr>
          <w:sz w:val="24"/>
        </w:rPr>
        <w:t>3.软件技术支持：0519-86722801</w:t>
      </w:r>
    </w:p>
    <w:p w14:paraId="6AD1D271">
      <w:pPr>
        <w:spacing w:line="440" w:lineRule="exact"/>
        <w:ind w:firstLine="480"/>
        <w:contextualSpacing/>
        <w:rPr>
          <w:sz w:val="24"/>
        </w:rPr>
      </w:pPr>
      <w:bookmarkStart w:id="0" w:name="OLE_LINK7"/>
      <w:bookmarkStart w:id="1" w:name="OLE_LINK6"/>
      <w:bookmarkStart w:id="2" w:name="OLE_LINK5"/>
      <w:r>
        <w:rPr>
          <w:sz w:val="24"/>
        </w:rPr>
        <w:br w:type="page" w:clear="all"/>
      </w:r>
    </w:p>
    <w:p w14:paraId="21A0C288">
      <w:pPr>
        <w:spacing w:line="440" w:lineRule="exact"/>
        <w:jc w:val="center"/>
        <w:rPr>
          <w:bCs/>
          <w:sz w:val="36"/>
          <w:szCs w:val="36"/>
        </w:rPr>
      </w:pPr>
      <w:r>
        <w:rPr>
          <w:bCs/>
          <w:sz w:val="36"/>
          <w:szCs w:val="36"/>
        </w:rPr>
        <w:t>第二部分  投标须知</w:t>
      </w:r>
    </w:p>
    <w:p w14:paraId="26658706">
      <w:pPr>
        <w:pStyle w:val="244"/>
        <w:spacing w:before="0" w:after="0" w:line="440" w:lineRule="exact"/>
        <w:rPr>
          <w:sz w:val="24"/>
          <w:szCs w:val="24"/>
        </w:rPr>
      </w:pPr>
      <w:bookmarkStart w:id="3" w:name="_Toc513029203"/>
      <w:bookmarkStart w:id="4" w:name="_Toc120614214"/>
      <w:bookmarkStart w:id="5" w:name="_Toc16938519"/>
      <w:bookmarkStart w:id="6" w:name="_Toc20823275"/>
      <w:r>
        <w:rPr>
          <w:sz w:val="24"/>
          <w:szCs w:val="24"/>
        </w:rPr>
        <w:t>（一）总则</w:t>
      </w:r>
      <w:bookmarkEnd w:id="3"/>
      <w:bookmarkEnd w:id="4"/>
      <w:bookmarkEnd w:id="5"/>
      <w:bookmarkEnd w:id="6"/>
    </w:p>
    <w:p w14:paraId="1AD4D83F">
      <w:pPr>
        <w:pStyle w:val="245"/>
        <w:spacing w:line="500" w:lineRule="exact"/>
        <w:ind w:firstLine="560"/>
        <w:jc w:val="both"/>
        <w:rPr>
          <w:rFonts w:eastAsia="宋体"/>
          <w:b/>
          <w:bCs/>
          <w:sz w:val="24"/>
          <w:szCs w:val="24"/>
        </w:rPr>
      </w:pPr>
      <w:bookmarkStart w:id="7" w:name="_Hlt16619475"/>
      <w:bookmarkEnd w:id="7"/>
      <w:bookmarkStart w:id="8" w:name="_Toc458694821"/>
      <w:bookmarkStart w:id="9" w:name="_Toc20823276"/>
      <w:bookmarkStart w:id="10" w:name="_Toc16938520"/>
      <w:bookmarkStart w:id="11" w:name="_Toc513029204"/>
      <w:r>
        <w:rPr>
          <w:rFonts w:eastAsia="宋体"/>
          <w:sz w:val="24"/>
          <w:szCs w:val="24"/>
        </w:rPr>
        <w:t>1</w:t>
      </w:r>
      <w:bookmarkEnd w:id="8"/>
      <w:r>
        <w:rPr>
          <w:rFonts w:eastAsia="宋体"/>
          <w:sz w:val="24"/>
          <w:szCs w:val="24"/>
        </w:rPr>
        <w:t>.招标方式</w:t>
      </w:r>
      <w:bookmarkEnd w:id="9"/>
      <w:bookmarkEnd w:id="10"/>
      <w:bookmarkEnd w:id="11"/>
    </w:p>
    <w:p w14:paraId="115AC3CE">
      <w:pPr>
        <w:spacing w:line="500" w:lineRule="exact"/>
        <w:ind w:firstLine="560"/>
        <w:rPr>
          <w:sz w:val="24"/>
        </w:rPr>
      </w:pPr>
      <w:r>
        <w:rPr>
          <w:sz w:val="24"/>
        </w:rPr>
        <w:t>1.1 本次招标采取公开招标方式，本招标文件仅适用于招标公告中所述项目。</w:t>
      </w:r>
    </w:p>
    <w:p w14:paraId="0503843C">
      <w:pPr>
        <w:pStyle w:val="245"/>
        <w:spacing w:line="500" w:lineRule="exact"/>
        <w:ind w:firstLine="560"/>
        <w:jc w:val="both"/>
        <w:rPr>
          <w:rFonts w:eastAsia="宋体"/>
          <w:b/>
          <w:bCs/>
          <w:sz w:val="24"/>
          <w:szCs w:val="24"/>
        </w:rPr>
      </w:pPr>
      <w:bookmarkStart w:id="12" w:name="_Toc20823277"/>
      <w:bookmarkStart w:id="13" w:name="_Toc16938521"/>
      <w:bookmarkStart w:id="14" w:name="_Toc513029205"/>
      <w:r>
        <w:rPr>
          <w:rFonts w:eastAsia="宋体"/>
          <w:sz w:val="24"/>
          <w:szCs w:val="24"/>
        </w:rPr>
        <w:t>2.合格的投标人</w:t>
      </w:r>
      <w:bookmarkEnd w:id="12"/>
      <w:bookmarkEnd w:id="13"/>
      <w:bookmarkEnd w:id="14"/>
    </w:p>
    <w:p w14:paraId="2DCAA140">
      <w:pPr>
        <w:spacing w:line="500" w:lineRule="exact"/>
        <w:ind w:firstLine="560"/>
        <w:rPr>
          <w:sz w:val="24"/>
        </w:rPr>
      </w:pPr>
      <w:r>
        <w:rPr>
          <w:sz w:val="24"/>
        </w:rPr>
        <w:t>2.1满足招标公告中供应商的资格要求的规定。</w:t>
      </w:r>
    </w:p>
    <w:p w14:paraId="2F6D3456">
      <w:pPr>
        <w:spacing w:line="500" w:lineRule="exact"/>
        <w:ind w:firstLine="560"/>
        <w:rPr>
          <w:sz w:val="24"/>
        </w:rPr>
      </w:pPr>
      <w:r>
        <w:rPr>
          <w:sz w:val="24"/>
        </w:rPr>
        <w:t>2.2 满足本文件实质性条款的规定。</w:t>
      </w:r>
    </w:p>
    <w:p w14:paraId="36EB0019">
      <w:pPr>
        <w:pStyle w:val="245"/>
        <w:spacing w:line="500" w:lineRule="exact"/>
        <w:ind w:firstLine="560"/>
        <w:jc w:val="both"/>
        <w:rPr>
          <w:rFonts w:eastAsia="宋体"/>
          <w:b/>
          <w:bCs/>
          <w:sz w:val="24"/>
          <w:szCs w:val="24"/>
        </w:rPr>
      </w:pPr>
      <w:bookmarkStart w:id="15" w:name="_Toc513029206"/>
      <w:bookmarkStart w:id="16" w:name="_Toc20823278"/>
      <w:bookmarkStart w:id="17" w:name="_Toc16938522"/>
      <w:r>
        <w:rPr>
          <w:rFonts w:eastAsia="宋体"/>
          <w:sz w:val="24"/>
          <w:szCs w:val="24"/>
        </w:rPr>
        <w:t>3.适用法律</w:t>
      </w:r>
      <w:bookmarkEnd w:id="15"/>
      <w:bookmarkEnd w:id="16"/>
      <w:bookmarkEnd w:id="17"/>
    </w:p>
    <w:p w14:paraId="568DB5A7">
      <w:pPr>
        <w:spacing w:line="500" w:lineRule="exact"/>
        <w:ind w:firstLine="560"/>
        <w:rPr>
          <w:sz w:val="24"/>
        </w:rPr>
      </w:pPr>
      <w:r>
        <w:rPr>
          <w:sz w:val="24"/>
        </w:rPr>
        <w:t>3.1 本次招标及由此产生的合同受中华人民共和国有关的法律法规制约和保护。</w:t>
      </w:r>
    </w:p>
    <w:p w14:paraId="161521FA">
      <w:pPr>
        <w:pStyle w:val="245"/>
        <w:spacing w:line="500" w:lineRule="exact"/>
        <w:ind w:firstLine="560"/>
        <w:jc w:val="both"/>
        <w:rPr>
          <w:rFonts w:eastAsia="宋体"/>
          <w:b/>
          <w:bCs/>
          <w:sz w:val="24"/>
          <w:szCs w:val="24"/>
        </w:rPr>
      </w:pPr>
      <w:bookmarkStart w:id="18" w:name="_Toc513029207"/>
      <w:bookmarkStart w:id="19" w:name="_Toc20823279"/>
      <w:bookmarkStart w:id="20" w:name="_Toc462564067"/>
      <w:bookmarkStart w:id="21" w:name="_Toc16938523"/>
      <w:r>
        <w:rPr>
          <w:rFonts w:eastAsia="宋体"/>
          <w:sz w:val="24"/>
          <w:szCs w:val="24"/>
        </w:rPr>
        <w:t>4.投标费用</w:t>
      </w:r>
      <w:bookmarkEnd w:id="18"/>
      <w:bookmarkEnd w:id="19"/>
      <w:bookmarkEnd w:id="20"/>
      <w:bookmarkEnd w:id="21"/>
    </w:p>
    <w:p w14:paraId="3829AC14">
      <w:pPr>
        <w:spacing w:line="500" w:lineRule="exact"/>
        <w:ind w:firstLine="560"/>
        <w:rPr>
          <w:bCs/>
          <w:sz w:val="24"/>
        </w:rPr>
      </w:pPr>
      <w:r>
        <w:rPr>
          <w:bCs/>
          <w:sz w:val="24"/>
        </w:rPr>
        <w:t>4.1 供应商应自行承担所有与参加招标有关的费用，无论招标过程中的做法和结果如何，采购人在任何情况下均无义务和责任承担这些费用。</w:t>
      </w:r>
    </w:p>
    <w:p w14:paraId="61C54503">
      <w:pPr>
        <w:spacing w:line="500" w:lineRule="exact"/>
        <w:ind w:firstLine="560"/>
        <w:rPr>
          <w:sz w:val="24"/>
        </w:rPr>
      </w:pPr>
      <w:r>
        <w:rPr>
          <w:bCs/>
          <w:sz w:val="24"/>
        </w:rPr>
        <w:t>4.2本项目对政府采购信用档案中无不良记录的中小企业免收履约保证金。</w:t>
      </w:r>
    </w:p>
    <w:p w14:paraId="30F4DC97">
      <w:pPr>
        <w:pStyle w:val="245"/>
        <w:spacing w:line="500" w:lineRule="exact"/>
        <w:ind w:firstLine="560"/>
        <w:jc w:val="both"/>
        <w:rPr>
          <w:rFonts w:eastAsia="宋体"/>
          <w:b/>
          <w:bCs/>
          <w:sz w:val="24"/>
          <w:szCs w:val="24"/>
        </w:rPr>
      </w:pPr>
      <w:r>
        <w:rPr>
          <w:rFonts w:eastAsia="宋体"/>
          <w:sz w:val="24"/>
          <w:szCs w:val="24"/>
        </w:rPr>
        <w:t>5.招标文件的约束力</w:t>
      </w:r>
    </w:p>
    <w:p w14:paraId="2AF25AB3">
      <w:pPr>
        <w:spacing w:line="500" w:lineRule="exact"/>
        <w:ind w:firstLine="560"/>
        <w:rPr>
          <w:sz w:val="24"/>
        </w:rPr>
      </w:pPr>
      <w:r>
        <w:rPr>
          <w:bCs/>
          <w:sz w:val="24"/>
        </w:rPr>
        <w:t>5.1</w:t>
      </w:r>
      <w:r>
        <w:rPr>
          <w:sz w:val="24"/>
        </w:rPr>
        <w:t xml:space="preserve"> 投标人一旦参加本项目采购活动，即被认为接受了本招标文件的规定和约束。</w:t>
      </w:r>
    </w:p>
    <w:p w14:paraId="7C4E756F">
      <w:pPr>
        <w:pStyle w:val="245"/>
        <w:spacing w:line="500" w:lineRule="exact"/>
        <w:ind w:firstLine="560"/>
        <w:jc w:val="both"/>
        <w:rPr>
          <w:rFonts w:eastAsia="宋体"/>
          <w:sz w:val="24"/>
          <w:szCs w:val="24"/>
        </w:rPr>
      </w:pPr>
      <w:r>
        <w:rPr>
          <w:rFonts w:eastAsia="宋体"/>
          <w:sz w:val="24"/>
          <w:szCs w:val="24"/>
        </w:rPr>
        <w:t>6.招标文件的解释</w:t>
      </w:r>
    </w:p>
    <w:p w14:paraId="1FDC7D43">
      <w:pPr>
        <w:spacing w:line="500" w:lineRule="exact"/>
        <w:ind w:firstLine="560"/>
        <w:rPr>
          <w:sz w:val="24"/>
        </w:rPr>
      </w:pPr>
      <w:r>
        <w:rPr>
          <w:bCs/>
          <w:sz w:val="24"/>
        </w:rPr>
        <w:t>6.1</w:t>
      </w:r>
      <w:r>
        <w:rPr>
          <w:sz w:val="24"/>
        </w:rPr>
        <w:t>招标文件需求部分（供应商资格要求、项目需求、商务技术评分标准）由采购人解释，其它部分由采购代理机构解释。</w:t>
      </w:r>
    </w:p>
    <w:p w14:paraId="1881FAF4">
      <w:pPr>
        <w:pStyle w:val="244"/>
        <w:spacing w:before="0" w:after="0" w:line="500" w:lineRule="exact"/>
        <w:rPr>
          <w:sz w:val="24"/>
          <w:szCs w:val="24"/>
        </w:rPr>
      </w:pPr>
      <w:bookmarkStart w:id="22" w:name="_Toc120614215"/>
      <w:bookmarkStart w:id="23" w:name="_Toc16938525"/>
      <w:bookmarkStart w:id="24" w:name="_Toc513029209"/>
      <w:bookmarkStart w:id="25" w:name="_Toc20823281"/>
      <w:r>
        <w:rPr>
          <w:sz w:val="24"/>
          <w:szCs w:val="24"/>
        </w:rPr>
        <w:t>（二）招标文件</w:t>
      </w:r>
      <w:bookmarkEnd w:id="22"/>
      <w:bookmarkEnd w:id="23"/>
      <w:bookmarkEnd w:id="24"/>
      <w:bookmarkEnd w:id="25"/>
    </w:p>
    <w:p w14:paraId="5EF82741">
      <w:pPr>
        <w:pStyle w:val="245"/>
        <w:spacing w:line="500" w:lineRule="exact"/>
        <w:ind w:firstLine="560"/>
        <w:jc w:val="both"/>
        <w:rPr>
          <w:rFonts w:eastAsia="宋体"/>
          <w:b/>
          <w:bCs/>
          <w:sz w:val="24"/>
          <w:szCs w:val="24"/>
        </w:rPr>
      </w:pPr>
      <w:bookmarkStart w:id="26" w:name="_Toc20823282"/>
      <w:bookmarkStart w:id="27" w:name="_Toc16938526"/>
      <w:bookmarkStart w:id="28" w:name="_Toc513029210"/>
      <w:r>
        <w:rPr>
          <w:rFonts w:eastAsia="宋体"/>
          <w:sz w:val="24"/>
          <w:szCs w:val="24"/>
        </w:rPr>
        <w:t>1.招标文件构成</w:t>
      </w:r>
      <w:bookmarkEnd w:id="26"/>
      <w:bookmarkEnd w:id="27"/>
      <w:bookmarkEnd w:id="28"/>
    </w:p>
    <w:p w14:paraId="43C3061C">
      <w:pPr>
        <w:spacing w:line="500" w:lineRule="exact"/>
        <w:ind w:firstLine="560"/>
        <w:rPr>
          <w:sz w:val="24"/>
        </w:rPr>
      </w:pPr>
      <w:r>
        <w:rPr>
          <w:bCs/>
          <w:sz w:val="24"/>
        </w:rPr>
        <w:t>1.1</w:t>
      </w:r>
      <w:r>
        <w:rPr>
          <w:sz w:val="24"/>
        </w:rPr>
        <w:t xml:space="preserve"> 招标文件由以下部分组成：</w:t>
      </w:r>
    </w:p>
    <w:p w14:paraId="0C954DE8">
      <w:pPr>
        <w:spacing w:line="500" w:lineRule="exact"/>
        <w:ind w:firstLine="420"/>
        <w:rPr>
          <w:sz w:val="24"/>
        </w:rPr>
      </w:pPr>
      <w:r>
        <w:rPr>
          <w:sz w:val="24"/>
        </w:rPr>
        <w:t>（1）招标公告</w:t>
      </w:r>
    </w:p>
    <w:p w14:paraId="34D732EA">
      <w:pPr>
        <w:spacing w:line="500" w:lineRule="exact"/>
        <w:ind w:firstLine="420"/>
        <w:rPr>
          <w:sz w:val="24"/>
        </w:rPr>
      </w:pPr>
      <w:r>
        <w:rPr>
          <w:sz w:val="24"/>
        </w:rPr>
        <w:t>（2）投标须知</w:t>
      </w:r>
    </w:p>
    <w:p w14:paraId="7BC2E790">
      <w:pPr>
        <w:spacing w:line="500" w:lineRule="exact"/>
        <w:ind w:firstLine="420"/>
        <w:rPr>
          <w:sz w:val="24"/>
        </w:rPr>
      </w:pPr>
      <w:r>
        <w:rPr>
          <w:sz w:val="24"/>
        </w:rPr>
        <w:t>（3）项目需求</w:t>
      </w:r>
    </w:p>
    <w:p w14:paraId="60B84E52">
      <w:pPr>
        <w:spacing w:line="500" w:lineRule="exact"/>
        <w:ind w:firstLine="420"/>
        <w:rPr>
          <w:sz w:val="24"/>
        </w:rPr>
      </w:pPr>
      <w:r>
        <w:rPr>
          <w:sz w:val="24"/>
        </w:rPr>
        <w:t>（4）开标和评标</w:t>
      </w:r>
    </w:p>
    <w:p w14:paraId="39F6B1F3">
      <w:pPr>
        <w:spacing w:line="500" w:lineRule="exact"/>
        <w:ind w:firstLine="420"/>
        <w:rPr>
          <w:sz w:val="24"/>
        </w:rPr>
      </w:pPr>
      <w:r>
        <w:rPr>
          <w:sz w:val="24"/>
        </w:rPr>
        <w:t>（5）投标文件组成</w:t>
      </w:r>
    </w:p>
    <w:p w14:paraId="393527E6">
      <w:pPr>
        <w:spacing w:line="500" w:lineRule="exact"/>
        <w:ind w:firstLine="420"/>
        <w:rPr>
          <w:sz w:val="24"/>
        </w:rPr>
      </w:pPr>
      <w:r>
        <w:rPr>
          <w:sz w:val="24"/>
        </w:rPr>
        <w:t>（6）附件（如有）</w:t>
      </w:r>
    </w:p>
    <w:p w14:paraId="1A68135B">
      <w:pPr>
        <w:spacing w:line="500" w:lineRule="exact"/>
        <w:ind w:firstLine="560"/>
        <w:rPr>
          <w:sz w:val="24"/>
        </w:rPr>
      </w:pPr>
      <w:r>
        <w:rPr>
          <w:sz w:val="24"/>
        </w:rPr>
        <w:t>请仔细检查招标文件是否齐全，如有缺漏请立即与采购人或采购代理机构联系解决。</w:t>
      </w:r>
    </w:p>
    <w:p w14:paraId="1C1D918A">
      <w:pPr>
        <w:spacing w:line="500" w:lineRule="exact"/>
        <w:ind w:firstLine="560"/>
        <w:rPr>
          <w:sz w:val="24"/>
        </w:rPr>
      </w:pPr>
      <w:r>
        <w:rPr>
          <w:bCs/>
          <w:sz w:val="24"/>
        </w:rPr>
        <w:t>1.2</w:t>
      </w:r>
      <w:r>
        <w:rPr>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FCD293C">
      <w:pPr>
        <w:pStyle w:val="245"/>
        <w:spacing w:line="500" w:lineRule="exact"/>
        <w:ind w:firstLine="560"/>
        <w:jc w:val="both"/>
        <w:rPr>
          <w:rFonts w:eastAsia="宋体"/>
          <w:b/>
          <w:bCs/>
          <w:sz w:val="24"/>
          <w:szCs w:val="24"/>
        </w:rPr>
      </w:pPr>
      <w:bookmarkStart w:id="29" w:name="_Toc16938527"/>
      <w:bookmarkStart w:id="30" w:name="_Toc20823283"/>
      <w:bookmarkStart w:id="31" w:name="_Toc513029211"/>
      <w:bookmarkStart w:id="32" w:name="_Toc462564070"/>
      <w:r>
        <w:rPr>
          <w:rFonts w:eastAsia="宋体"/>
          <w:sz w:val="24"/>
          <w:szCs w:val="24"/>
        </w:rPr>
        <w:t>2.招标文件的澄清</w:t>
      </w:r>
      <w:bookmarkEnd w:id="29"/>
      <w:bookmarkEnd w:id="30"/>
      <w:bookmarkEnd w:id="31"/>
      <w:bookmarkEnd w:id="32"/>
    </w:p>
    <w:p w14:paraId="1B32CAE0">
      <w:pPr>
        <w:spacing w:line="500" w:lineRule="exact"/>
        <w:ind w:firstLine="560"/>
        <w:rPr>
          <w:sz w:val="24"/>
        </w:rPr>
      </w:pPr>
      <w:r>
        <w:rPr>
          <w:bCs/>
          <w:sz w:val="24"/>
        </w:rPr>
        <w:t>2.1</w:t>
      </w:r>
      <w:r>
        <w:rPr>
          <w:sz w:val="24"/>
        </w:rPr>
        <w:t xml:space="preserve"> 任何要求对招标文件进行澄清的投标人，应在投标截止期十日前按招标公告中的通讯地址，以书面形式通知采购人。采购人有权对发出的招标文件进行必要的澄清或修改。</w:t>
      </w:r>
    </w:p>
    <w:p w14:paraId="73F21843">
      <w:pPr>
        <w:spacing w:line="500" w:lineRule="exact"/>
        <w:ind w:firstLine="560"/>
        <w:rPr>
          <w:sz w:val="24"/>
        </w:rPr>
      </w:pPr>
      <w:r>
        <w:rPr>
          <w:sz w:val="24"/>
        </w:rPr>
        <w:t>2.2采购人视情组织答疑会。</w:t>
      </w:r>
    </w:p>
    <w:p w14:paraId="528B963E">
      <w:pPr>
        <w:pStyle w:val="245"/>
        <w:spacing w:line="500" w:lineRule="exact"/>
        <w:ind w:firstLine="560"/>
        <w:jc w:val="both"/>
        <w:rPr>
          <w:rFonts w:eastAsia="宋体"/>
          <w:b/>
          <w:bCs/>
          <w:sz w:val="24"/>
          <w:szCs w:val="24"/>
        </w:rPr>
      </w:pPr>
      <w:bookmarkStart w:id="33" w:name="_Toc462564071"/>
      <w:bookmarkStart w:id="34" w:name="_Toc20823284"/>
      <w:bookmarkStart w:id="35" w:name="_Toc513029212"/>
      <w:bookmarkStart w:id="36" w:name="_Toc16938528"/>
      <w:r>
        <w:rPr>
          <w:rFonts w:eastAsia="宋体"/>
          <w:sz w:val="24"/>
          <w:szCs w:val="24"/>
        </w:rPr>
        <w:t>3.招标文件的修改</w:t>
      </w:r>
      <w:bookmarkEnd w:id="33"/>
      <w:bookmarkEnd w:id="34"/>
      <w:bookmarkEnd w:id="35"/>
      <w:bookmarkEnd w:id="36"/>
    </w:p>
    <w:p w14:paraId="302EFF88">
      <w:pPr>
        <w:spacing w:line="500" w:lineRule="exact"/>
        <w:ind w:firstLine="560"/>
        <w:rPr>
          <w:sz w:val="24"/>
        </w:rPr>
      </w:pPr>
      <w:r>
        <w:rPr>
          <w:bCs/>
          <w:sz w:val="24"/>
        </w:rPr>
        <w:t>3.1</w:t>
      </w:r>
      <w:r>
        <w:rPr>
          <w:sz w:val="24"/>
        </w:rPr>
        <w:t xml:space="preserve"> 在投标截止时间前，采购人或采购代理机构可以对招标文件进行修改。</w:t>
      </w:r>
    </w:p>
    <w:p w14:paraId="021BC510">
      <w:pPr>
        <w:spacing w:line="500" w:lineRule="exact"/>
        <w:ind w:firstLine="560"/>
        <w:rPr>
          <w:sz w:val="24"/>
        </w:rPr>
      </w:pPr>
      <w:r>
        <w:rPr>
          <w:bCs/>
          <w:sz w:val="24"/>
        </w:rPr>
        <w:t xml:space="preserve">3.2 </w:t>
      </w:r>
      <w:r>
        <w:rPr>
          <w:sz w:val="24"/>
        </w:rPr>
        <w:t>采购人或采购代理机构有权按照法定的要求推迟投标截止日期和开标日期。</w:t>
      </w:r>
    </w:p>
    <w:p w14:paraId="5EAB83D8">
      <w:pPr>
        <w:spacing w:line="500" w:lineRule="exact"/>
        <w:ind w:firstLine="560"/>
        <w:rPr>
          <w:sz w:val="24"/>
        </w:rPr>
      </w:pPr>
      <w:r>
        <w:rPr>
          <w:bCs/>
          <w:sz w:val="24"/>
        </w:rPr>
        <w:t xml:space="preserve">3.3 </w:t>
      </w:r>
      <w:r>
        <w:rPr>
          <w:sz w:val="24"/>
        </w:rPr>
        <w:t>招标文件的修改将在江苏政府采购网公布，补充文件将作为招标文件的组成部分，并对投标人具有约束力。</w:t>
      </w:r>
    </w:p>
    <w:p w14:paraId="7E4A7787">
      <w:pPr>
        <w:spacing w:line="500" w:lineRule="exact"/>
        <w:ind w:firstLine="560"/>
        <w:rPr>
          <w:sz w:val="24"/>
        </w:rPr>
      </w:pPr>
      <w:r>
        <w:rPr>
          <w:sz w:val="24"/>
        </w:rPr>
        <w:t>4.在投标响应截止日期前，采购单位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p>
    <w:p w14:paraId="576C9787">
      <w:pPr>
        <w:spacing w:line="500" w:lineRule="exact"/>
        <w:ind w:firstLine="560"/>
        <w:rPr>
          <w:sz w:val="24"/>
        </w:rPr>
      </w:pPr>
      <w:r>
        <w:rPr>
          <w:sz w:val="24"/>
        </w:rPr>
        <w:t>5.投标人对采购人提供的采购文件所做出的推论、解释和结论，采购人概不负责。供应商由于对采购文件的任何推论和误解以及采购人对有关问题的口头解释所造成的后果，均由各潜在投标人自负。</w:t>
      </w:r>
    </w:p>
    <w:p w14:paraId="63EA2148">
      <w:pPr>
        <w:pStyle w:val="244"/>
        <w:spacing w:before="0" w:after="0" w:line="500" w:lineRule="exact"/>
        <w:rPr>
          <w:sz w:val="24"/>
          <w:szCs w:val="24"/>
        </w:rPr>
      </w:pPr>
      <w:bookmarkStart w:id="37" w:name="_Toc20823285"/>
      <w:bookmarkStart w:id="38" w:name="_Toc16938529"/>
      <w:bookmarkStart w:id="39" w:name="_Toc120614216"/>
      <w:bookmarkStart w:id="40" w:name="_Toc513029213"/>
      <w:bookmarkStart w:id="41" w:name="_Toc462564072"/>
      <w:r>
        <w:rPr>
          <w:sz w:val="24"/>
          <w:szCs w:val="24"/>
        </w:rPr>
        <w:t>（三）投标文件的编制</w:t>
      </w:r>
      <w:bookmarkEnd w:id="37"/>
      <w:bookmarkEnd w:id="38"/>
      <w:bookmarkEnd w:id="39"/>
      <w:bookmarkEnd w:id="40"/>
      <w:bookmarkEnd w:id="41"/>
    </w:p>
    <w:p w14:paraId="63EC9E8B">
      <w:pPr>
        <w:pStyle w:val="245"/>
        <w:spacing w:line="500" w:lineRule="exact"/>
        <w:ind w:firstLine="560"/>
        <w:jc w:val="both"/>
        <w:rPr>
          <w:rFonts w:eastAsia="宋体"/>
          <w:bCs/>
          <w:sz w:val="24"/>
          <w:szCs w:val="24"/>
        </w:rPr>
      </w:pPr>
      <w:bookmarkStart w:id="42" w:name="_Toc16938530"/>
      <w:bookmarkStart w:id="43" w:name="_Toc513029214"/>
      <w:bookmarkStart w:id="44" w:name="_Toc20823286"/>
      <w:bookmarkStart w:id="45" w:name="_Toc462564073"/>
      <w:r>
        <w:rPr>
          <w:rFonts w:eastAsia="宋体"/>
          <w:sz w:val="24"/>
          <w:szCs w:val="24"/>
        </w:rPr>
        <w:t>1.投标文件的语言及度量衡单位</w:t>
      </w:r>
      <w:bookmarkEnd w:id="42"/>
      <w:bookmarkEnd w:id="43"/>
      <w:bookmarkEnd w:id="44"/>
      <w:bookmarkEnd w:id="45"/>
    </w:p>
    <w:p w14:paraId="3DEB9782">
      <w:pPr>
        <w:spacing w:line="500" w:lineRule="exact"/>
        <w:ind w:firstLine="560"/>
        <w:rPr>
          <w:sz w:val="24"/>
        </w:rPr>
      </w:pPr>
      <w:r>
        <w:rPr>
          <w:bCs/>
          <w:sz w:val="24"/>
        </w:rPr>
        <w:t>1.1</w:t>
      </w:r>
      <w:r>
        <w:rPr>
          <w:sz w:val="24"/>
        </w:rPr>
        <w:t xml:space="preserve"> 投标人提交的投标文件以及投标人与采购人或采购代理机构就有关投标的所有来往通知、函件和文件均应使用</w:t>
      </w:r>
      <w:r>
        <w:rPr>
          <w:bCs/>
          <w:sz w:val="24"/>
        </w:rPr>
        <w:t>简体中文</w:t>
      </w:r>
      <w:r>
        <w:rPr>
          <w:sz w:val="24"/>
        </w:rPr>
        <w:t>。</w:t>
      </w:r>
    </w:p>
    <w:p w14:paraId="206BD994">
      <w:pPr>
        <w:spacing w:line="500" w:lineRule="exact"/>
        <w:ind w:firstLine="560"/>
        <w:rPr>
          <w:sz w:val="24"/>
        </w:rPr>
      </w:pPr>
      <w:r>
        <w:rPr>
          <w:bCs/>
          <w:sz w:val="24"/>
        </w:rPr>
        <w:t>1.2</w:t>
      </w:r>
      <w:r>
        <w:rPr>
          <w:sz w:val="24"/>
        </w:rPr>
        <w:t xml:space="preserve"> 除技术性能另有规定外，投标文件所使用的度量衡单位，均须采用国家法定计量单位。</w:t>
      </w:r>
    </w:p>
    <w:p w14:paraId="7DDD3EBA">
      <w:pPr>
        <w:pStyle w:val="245"/>
        <w:spacing w:line="500" w:lineRule="exact"/>
        <w:ind w:firstLine="560"/>
        <w:jc w:val="both"/>
        <w:rPr>
          <w:rFonts w:eastAsia="宋体"/>
          <w:b/>
          <w:bCs/>
          <w:sz w:val="24"/>
          <w:szCs w:val="24"/>
        </w:rPr>
      </w:pPr>
      <w:bookmarkStart w:id="46" w:name="_Toc513029215"/>
      <w:bookmarkStart w:id="47" w:name="_Toc462564074"/>
      <w:bookmarkStart w:id="48" w:name="_Toc16938531"/>
      <w:bookmarkStart w:id="49" w:name="_Toc20823287"/>
      <w:r>
        <w:rPr>
          <w:rFonts w:eastAsia="宋体"/>
          <w:sz w:val="24"/>
          <w:szCs w:val="24"/>
        </w:rPr>
        <w:t>2.投标文件构成</w:t>
      </w:r>
      <w:bookmarkEnd w:id="46"/>
      <w:bookmarkEnd w:id="47"/>
      <w:bookmarkEnd w:id="48"/>
      <w:bookmarkEnd w:id="49"/>
    </w:p>
    <w:p w14:paraId="3380998C">
      <w:pPr>
        <w:spacing w:line="500" w:lineRule="exact"/>
        <w:ind w:firstLine="560"/>
        <w:rPr>
          <w:sz w:val="24"/>
        </w:rPr>
      </w:pPr>
      <w:r>
        <w:rPr>
          <w:bCs/>
          <w:sz w:val="24"/>
        </w:rPr>
        <w:t>2.1</w:t>
      </w:r>
      <w:r>
        <w:rPr>
          <w:sz w:val="24"/>
        </w:rPr>
        <w:t xml:space="preserve"> 投标人编写的投标文件应包括资格审查证明材料文件，商务、技术标文件，价格标文件。供应商按“第五部分 投标文件组成”要求编写投标文件</w:t>
      </w:r>
      <w:r>
        <w:rPr>
          <w:rFonts w:hint="eastAsia"/>
          <w:sz w:val="24"/>
        </w:rPr>
        <w:t>。</w:t>
      </w:r>
    </w:p>
    <w:p w14:paraId="25A8C4D7">
      <w:pPr>
        <w:pStyle w:val="245"/>
        <w:spacing w:line="500" w:lineRule="exact"/>
        <w:ind w:firstLine="560"/>
        <w:jc w:val="both"/>
        <w:rPr>
          <w:rFonts w:eastAsia="宋体"/>
          <w:b/>
          <w:bCs/>
          <w:sz w:val="24"/>
          <w:szCs w:val="24"/>
        </w:rPr>
      </w:pPr>
      <w:bookmarkStart w:id="50" w:name="_Hlt26668975"/>
      <w:bookmarkEnd w:id="50"/>
      <w:bookmarkStart w:id="51" w:name="_Hlt26954838"/>
      <w:bookmarkEnd w:id="51"/>
      <w:bookmarkStart w:id="52" w:name="_Hlt26670360"/>
      <w:bookmarkEnd w:id="52"/>
      <w:bookmarkStart w:id="53" w:name="_Toc14577360"/>
      <w:bookmarkStart w:id="54" w:name="_Toc49090511"/>
      <w:r>
        <w:rPr>
          <w:rFonts w:eastAsia="宋体"/>
          <w:sz w:val="24"/>
          <w:szCs w:val="24"/>
        </w:rPr>
        <w:t>3.投标有效期</w:t>
      </w:r>
      <w:bookmarkEnd w:id="53"/>
      <w:bookmarkEnd w:id="54"/>
    </w:p>
    <w:p w14:paraId="672701C7">
      <w:pPr>
        <w:spacing w:line="500" w:lineRule="exact"/>
        <w:ind w:firstLine="560"/>
        <w:rPr>
          <w:bCs/>
          <w:sz w:val="24"/>
        </w:rPr>
      </w:pPr>
      <w:r>
        <w:rPr>
          <w:bCs/>
          <w:sz w:val="24"/>
        </w:rPr>
        <w:t>3.1投标有效期为招标文件规定的开标之日后</w:t>
      </w:r>
      <w:r>
        <w:rPr>
          <w:b/>
          <w:sz w:val="24"/>
          <w:u w:val="single"/>
        </w:rPr>
        <w:t>六十（60）天</w:t>
      </w:r>
      <w:r>
        <w:rPr>
          <w:bCs/>
          <w:sz w:val="24"/>
        </w:rPr>
        <w:t>。投标有效期比规定短的将被视为非响应性投标而予以拒绝。</w:t>
      </w:r>
    </w:p>
    <w:p w14:paraId="43744F0A">
      <w:pPr>
        <w:pStyle w:val="245"/>
        <w:spacing w:line="500" w:lineRule="exact"/>
        <w:ind w:firstLine="560"/>
        <w:jc w:val="both"/>
        <w:rPr>
          <w:rFonts w:eastAsia="宋体"/>
          <w:b/>
          <w:bCs/>
          <w:sz w:val="24"/>
          <w:szCs w:val="24"/>
        </w:rPr>
      </w:pPr>
      <w:r>
        <w:rPr>
          <w:rFonts w:eastAsia="宋体"/>
          <w:sz w:val="24"/>
          <w:szCs w:val="24"/>
        </w:rPr>
        <w:t>4.投标有效期的延长</w:t>
      </w:r>
    </w:p>
    <w:p w14:paraId="07198B51">
      <w:pPr>
        <w:spacing w:line="500" w:lineRule="exact"/>
        <w:ind w:firstLine="560"/>
        <w:rPr>
          <w:bCs/>
          <w:sz w:val="24"/>
        </w:rPr>
      </w:pPr>
      <w:r>
        <w:rPr>
          <w:bCs/>
          <w:sz w:val="24"/>
        </w:rPr>
        <w:t>4.1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w:t>
      </w:r>
      <w:r>
        <w:rPr>
          <w:sz w:val="24"/>
        </w:rPr>
        <w:t>受投标有效期约束的所有权利与义务均延长至新的有效期</w:t>
      </w:r>
      <w:r>
        <w:rPr>
          <w:bCs/>
          <w:sz w:val="24"/>
        </w:rPr>
        <w:t>。</w:t>
      </w:r>
    </w:p>
    <w:p w14:paraId="0370F3B2">
      <w:pPr>
        <w:spacing w:line="500" w:lineRule="exact"/>
        <w:ind w:firstLine="560"/>
        <w:rPr>
          <w:bCs/>
          <w:sz w:val="24"/>
        </w:rPr>
      </w:pPr>
      <w:r>
        <w:rPr>
          <w:bCs/>
          <w:sz w:val="24"/>
        </w:rPr>
        <w:t>5.电子响应文件其他要求</w:t>
      </w:r>
    </w:p>
    <w:p w14:paraId="53BA48DB">
      <w:pPr>
        <w:spacing w:line="500" w:lineRule="exact"/>
        <w:ind w:firstLine="560"/>
        <w:rPr>
          <w:bCs/>
          <w:sz w:val="24"/>
        </w:rPr>
      </w:pPr>
      <w:r>
        <w:rPr>
          <w:bCs/>
          <w:sz w:val="24"/>
        </w:rPr>
        <w:t>5.1电子招标投标交易平台（即“苏采云”系统）相关要求是本采购文件的组成部分。</w:t>
      </w:r>
    </w:p>
    <w:p w14:paraId="614510E2">
      <w:pPr>
        <w:spacing w:line="500" w:lineRule="exact"/>
        <w:ind w:firstLine="560"/>
        <w:rPr>
          <w:bCs/>
          <w:sz w:val="24"/>
        </w:rPr>
      </w:pPr>
      <w:r>
        <w:rPr>
          <w:bCs/>
          <w:sz w:val="24"/>
        </w:rPr>
        <w:t>5.2投标人应对CA证书妥善保管，如被他人盗用投标，因此带来的结果均由供应商自行承担。</w:t>
      </w:r>
    </w:p>
    <w:p w14:paraId="43294A94">
      <w:pPr>
        <w:spacing w:line="500" w:lineRule="exact"/>
        <w:ind w:firstLine="560"/>
        <w:rPr>
          <w:bCs/>
          <w:sz w:val="24"/>
        </w:rPr>
      </w:pPr>
      <w:r>
        <w:rPr>
          <w:bCs/>
          <w:sz w:val="24"/>
        </w:rPr>
        <w:t>5.3投标人应当对采购文件提出的实质性要求和条件作出实质性响应，并在电子投标系统逐条应答。</w:t>
      </w:r>
    </w:p>
    <w:p w14:paraId="3AE9D7EA">
      <w:pPr>
        <w:spacing w:line="500" w:lineRule="exact"/>
        <w:ind w:firstLine="560"/>
        <w:rPr>
          <w:bCs/>
          <w:sz w:val="24"/>
        </w:rPr>
      </w:pPr>
      <w:r>
        <w:rPr>
          <w:bCs/>
          <w:sz w:val="24"/>
        </w:rPr>
        <w:t xml:space="preserve">5.4投标人应对要求提供的资格证明文件（如资质证书、资格证书）、技术资料（如白皮书、彩页、手册、检测报告等）扫描上传至投标系统。 </w:t>
      </w:r>
    </w:p>
    <w:p w14:paraId="76D2CE14">
      <w:pPr>
        <w:spacing w:line="500" w:lineRule="exact"/>
        <w:ind w:firstLine="560"/>
        <w:rPr>
          <w:bCs/>
          <w:sz w:val="24"/>
        </w:rPr>
      </w:pPr>
      <w:r>
        <w:rPr>
          <w:bCs/>
          <w:sz w:val="24"/>
        </w:rPr>
        <w:t>6.投标人应当在采购文件要求提交投标文件的截止时间前，将投标文件提交至“苏采云”系统，逾期提交的投标文件，“苏采云”系统将自动拒收。各投标人应在规定时间内凭CA证书进行网上解密。</w:t>
      </w:r>
    </w:p>
    <w:p w14:paraId="10B6EF72">
      <w:pPr>
        <w:pStyle w:val="244"/>
        <w:spacing w:before="0" w:after="0" w:line="500" w:lineRule="exact"/>
        <w:rPr>
          <w:sz w:val="24"/>
          <w:szCs w:val="24"/>
        </w:rPr>
      </w:pPr>
      <w:bookmarkStart w:id="55" w:name="_Hlt26954739"/>
      <w:bookmarkEnd w:id="55"/>
      <w:bookmarkStart w:id="56" w:name="_Hlt26954852"/>
      <w:bookmarkEnd w:id="56"/>
      <w:bookmarkStart w:id="57" w:name="_Toc16938540"/>
      <w:bookmarkStart w:id="58" w:name="_Toc20823296"/>
      <w:bookmarkStart w:id="59" w:name="_Toc513029224"/>
      <w:bookmarkStart w:id="60" w:name="_Toc120614217"/>
      <w:r>
        <w:rPr>
          <w:sz w:val="24"/>
          <w:szCs w:val="24"/>
        </w:rPr>
        <w:t>（四）投标文件的递交</w:t>
      </w:r>
      <w:bookmarkEnd w:id="57"/>
      <w:bookmarkEnd w:id="58"/>
      <w:bookmarkEnd w:id="59"/>
      <w:bookmarkEnd w:id="60"/>
    </w:p>
    <w:p w14:paraId="450D2BFD">
      <w:pPr>
        <w:pStyle w:val="245"/>
        <w:spacing w:line="500" w:lineRule="exact"/>
        <w:ind w:firstLine="560"/>
        <w:jc w:val="both"/>
        <w:rPr>
          <w:rFonts w:eastAsia="宋体"/>
          <w:b/>
          <w:bCs/>
          <w:sz w:val="24"/>
          <w:szCs w:val="24"/>
        </w:rPr>
      </w:pPr>
      <w:bookmarkStart w:id="61" w:name="_Toc16938541"/>
      <w:bookmarkStart w:id="62" w:name="_Toc513029225"/>
      <w:bookmarkStart w:id="63" w:name="_Toc20823297"/>
      <w:bookmarkStart w:id="64" w:name="_Toc462564084"/>
      <w:r>
        <w:rPr>
          <w:rFonts w:eastAsia="宋体"/>
          <w:sz w:val="24"/>
          <w:szCs w:val="24"/>
        </w:rPr>
        <w:t>1.投标文件</w:t>
      </w:r>
      <w:bookmarkEnd w:id="61"/>
      <w:bookmarkEnd w:id="62"/>
      <w:bookmarkEnd w:id="63"/>
      <w:bookmarkEnd w:id="64"/>
      <w:r>
        <w:rPr>
          <w:rFonts w:eastAsia="宋体"/>
          <w:sz w:val="24"/>
          <w:szCs w:val="24"/>
        </w:rPr>
        <w:t>的递交</w:t>
      </w:r>
    </w:p>
    <w:p w14:paraId="3F478540">
      <w:pPr>
        <w:spacing w:line="500" w:lineRule="exact"/>
        <w:ind w:firstLine="556"/>
        <w:rPr>
          <w:bCs/>
          <w:sz w:val="24"/>
        </w:rPr>
      </w:pPr>
      <w:bookmarkStart w:id="65" w:name="_Toc16938542"/>
      <w:bookmarkStart w:id="66" w:name="_Toc20823298"/>
      <w:bookmarkStart w:id="67" w:name="_Toc513029226"/>
      <w:r>
        <w:rPr>
          <w:bCs/>
          <w:sz w:val="24"/>
        </w:rPr>
        <w:t>1.1线上提交与接收地点：供应商应当通过“苏采云”系统提交数据电文形式的响应文件（即电子投标），“苏采云”系统自动接收。</w:t>
      </w:r>
    </w:p>
    <w:p w14:paraId="2137589A">
      <w:pPr>
        <w:spacing w:line="500" w:lineRule="exact"/>
        <w:ind w:firstLine="556"/>
        <w:rPr>
          <w:bCs/>
          <w:sz w:val="24"/>
        </w:rPr>
      </w:pPr>
      <w:r>
        <w:rPr>
          <w:bCs/>
          <w:sz w:val="24"/>
        </w:rPr>
        <w:t>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p>
    <w:p w14:paraId="1ED736EE">
      <w:pPr>
        <w:spacing w:line="500" w:lineRule="exact"/>
        <w:ind w:firstLine="560"/>
        <w:rPr>
          <w:b/>
          <w:sz w:val="24"/>
        </w:rPr>
      </w:pPr>
      <w:r>
        <w:rPr>
          <w:sz w:val="24"/>
        </w:rPr>
        <w:t>2.投标截止日期</w:t>
      </w:r>
      <w:bookmarkEnd w:id="65"/>
      <w:bookmarkEnd w:id="66"/>
      <w:bookmarkEnd w:id="67"/>
    </w:p>
    <w:p w14:paraId="60917DDA">
      <w:pPr>
        <w:spacing w:line="500" w:lineRule="exact"/>
        <w:ind w:firstLine="560"/>
        <w:rPr>
          <w:bCs/>
          <w:sz w:val="24"/>
        </w:rPr>
      </w:pPr>
      <w:r>
        <w:rPr>
          <w:bCs/>
          <w:sz w:val="24"/>
        </w:rPr>
        <w:t>2.1 投标人上传电子投标文件的时间不得迟于招标公告中规定的投标截止时间。</w:t>
      </w:r>
    </w:p>
    <w:p w14:paraId="41691840">
      <w:pPr>
        <w:spacing w:line="500" w:lineRule="exact"/>
        <w:ind w:firstLine="560"/>
        <w:rPr>
          <w:bCs/>
          <w:sz w:val="24"/>
        </w:rPr>
      </w:pPr>
      <w:r>
        <w:rPr>
          <w:bCs/>
          <w:sz w:val="24"/>
        </w:rPr>
        <w:t>投标人应充分考虑到网络环境、网络带宽等风险因素，如因投标人自身原因造成的电子投标文件上传不成功由投标人自行承担全部责任。</w:t>
      </w:r>
    </w:p>
    <w:p w14:paraId="262335E5">
      <w:pPr>
        <w:spacing w:line="500" w:lineRule="exact"/>
        <w:ind w:firstLine="560"/>
        <w:rPr>
          <w:bCs/>
          <w:sz w:val="24"/>
        </w:rPr>
      </w:pPr>
      <w:r>
        <w:rPr>
          <w:sz w:val="24"/>
        </w:rPr>
        <w:t>2.2</w:t>
      </w:r>
      <w:r>
        <w:rPr>
          <w:bCs/>
          <w:sz w:val="24"/>
        </w:rPr>
        <w:t xml:space="preserve"> </w:t>
      </w:r>
      <w:r>
        <w:rPr>
          <w:sz w:val="24"/>
        </w:rPr>
        <w:t>采购人或采购代理机构</w:t>
      </w:r>
      <w:r>
        <w:rPr>
          <w:bCs/>
          <w:sz w:val="24"/>
        </w:rPr>
        <w:t>可以按照规定，通过修改招标文件酌情延长投标截止日期，在此情况下，投标人的所有权利和义务以及投标人受制的截止日期均应以延长后新的截止日期为准。</w:t>
      </w:r>
      <w:bookmarkStart w:id="68" w:name="_Toc513029227"/>
      <w:bookmarkStart w:id="69" w:name="_Toc16938543"/>
      <w:bookmarkStart w:id="70" w:name="_Toc20823299"/>
    </w:p>
    <w:p w14:paraId="5BDFC2E6">
      <w:pPr>
        <w:spacing w:line="500" w:lineRule="exact"/>
        <w:ind w:firstLine="560"/>
        <w:rPr>
          <w:sz w:val="24"/>
        </w:rPr>
      </w:pPr>
      <w:r>
        <w:rPr>
          <w:sz w:val="24"/>
        </w:rPr>
        <w:t>3.投标文件的密封（加密）要求：</w:t>
      </w:r>
    </w:p>
    <w:p w14:paraId="5289EE52">
      <w:pPr>
        <w:spacing w:line="500" w:lineRule="exact"/>
        <w:ind w:firstLine="560"/>
        <w:rPr>
          <w:sz w:val="24"/>
        </w:rPr>
      </w:pPr>
      <w:r>
        <w:rPr>
          <w:sz w:val="24"/>
        </w:rPr>
        <w:t>3.1投标人应当按照采购文件和“苏采云”系统的要求编制并加密响应文件。本项目投标人须通过“苏采云”系统提供的政府采购客户端工具（使用“CA数字证书”）对其数据电文形式的投标文件加密。</w:t>
      </w:r>
    </w:p>
    <w:p w14:paraId="27F3A61D">
      <w:pPr>
        <w:spacing w:line="500" w:lineRule="exact"/>
        <w:ind w:firstLine="560"/>
        <w:rPr>
          <w:sz w:val="24"/>
        </w:rPr>
      </w:pPr>
      <w:r>
        <w:rPr>
          <w:sz w:val="24"/>
        </w:rPr>
        <w:t>3.2投标人须通过“苏采云”系统提供的政府采购客户端工具（使用“CA数字证书”）加盖电子签章。</w:t>
      </w:r>
    </w:p>
    <w:p w14:paraId="59C9D0C9">
      <w:pPr>
        <w:spacing w:line="500" w:lineRule="exact"/>
        <w:ind w:firstLine="560"/>
        <w:rPr>
          <w:sz w:val="24"/>
        </w:rPr>
      </w:pPr>
      <w:r>
        <w:rPr>
          <w:sz w:val="24"/>
        </w:rPr>
        <w:t>说明：投标人应在用CA数字证书以及自备的能够登录“苏采云”系统的笔记本电脑，在达到开标时间后，使用CA数字证书解密各自投标文件。</w:t>
      </w:r>
    </w:p>
    <w:p w14:paraId="39038912">
      <w:pPr>
        <w:pStyle w:val="245"/>
        <w:spacing w:line="500" w:lineRule="exact"/>
        <w:ind w:firstLine="560"/>
        <w:jc w:val="both"/>
        <w:rPr>
          <w:rFonts w:eastAsia="宋体"/>
          <w:sz w:val="24"/>
          <w:szCs w:val="24"/>
        </w:rPr>
      </w:pPr>
      <w:r>
        <w:rPr>
          <w:rFonts w:eastAsia="宋体"/>
          <w:sz w:val="24"/>
          <w:szCs w:val="24"/>
        </w:rPr>
        <w:t>3.3投标人未按规定加密的投标文件，“苏采云”系统应当拒收并提示。</w:t>
      </w:r>
    </w:p>
    <w:p w14:paraId="1C592E03">
      <w:pPr>
        <w:pStyle w:val="245"/>
        <w:spacing w:line="500" w:lineRule="exact"/>
        <w:ind w:firstLine="560"/>
        <w:jc w:val="both"/>
        <w:rPr>
          <w:rFonts w:eastAsia="宋体"/>
          <w:b/>
          <w:bCs/>
          <w:sz w:val="24"/>
          <w:szCs w:val="24"/>
        </w:rPr>
      </w:pPr>
      <w:r>
        <w:rPr>
          <w:rFonts w:eastAsia="宋体"/>
          <w:sz w:val="24"/>
          <w:szCs w:val="24"/>
        </w:rPr>
        <w:t>4.投标文件</w:t>
      </w:r>
      <w:bookmarkEnd w:id="68"/>
      <w:bookmarkEnd w:id="69"/>
      <w:bookmarkEnd w:id="70"/>
      <w:r>
        <w:rPr>
          <w:rFonts w:eastAsia="宋体"/>
          <w:sz w:val="24"/>
          <w:szCs w:val="24"/>
        </w:rPr>
        <w:t>的拒收</w:t>
      </w:r>
    </w:p>
    <w:p w14:paraId="23FD029D">
      <w:pPr>
        <w:spacing w:line="500" w:lineRule="exact"/>
        <w:ind w:firstLine="560"/>
        <w:rPr>
          <w:bCs/>
          <w:sz w:val="24"/>
        </w:rPr>
      </w:pPr>
      <w:r>
        <w:rPr>
          <w:bCs/>
          <w:sz w:val="24"/>
        </w:rPr>
        <w:t>4.1 采购人或采购代理机构拒绝接收在其规定的投标截止时间后上传的任何投标文件。</w:t>
      </w:r>
    </w:p>
    <w:p w14:paraId="70970333">
      <w:pPr>
        <w:pStyle w:val="245"/>
        <w:spacing w:line="500" w:lineRule="exact"/>
        <w:ind w:firstLine="560"/>
        <w:jc w:val="both"/>
        <w:rPr>
          <w:rFonts w:eastAsia="宋体"/>
          <w:b/>
          <w:bCs/>
          <w:sz w:val="24"/>
          <w:szCs w:val="24"/>
        </w:rPr>
      </w:pPr>
      <w:bookmarkStart w:id="71" w:name="_Toc20823300"/>
      <w:bookmarkStart w:id="72" w:name="_Toc513029228"/>
      <w:bookmarkStart w:id="73" w:name="_Toc16938544"/>
      <w:r>
        <w:rPr>
          <w:rFonts w:eastAsia="宋体"/>
          <w:sz w:val="24"/>
          <w:szCs w:val="24"/>
        </w:rPr>
        <w:t>5.投标文件的撤回和修改</w:t>
      </w:r>
      <w:bookmarkEnd w:id="71"/>
      <w:bookmarkEnd w:id="72"/>
      <w:bookmarkEnd w:id="73"/>
    </w:p>
    <w:p w14:paraId="726B70A7">
      <w:pPr>
        <w:spacing w:line="500" w:lineRule="exact"/>
        <w:ind w:firstLine="560"/>
        <w:rPr>
          <w:sz w:val="24"/>
        </w:rPr>
      </w:pPr>
      <w:r>
        <w:rPr>
          <w:sz w:val="24"/>
        </w:rPr>
        <w:t>5.1 投标文件的撤回</w:t>
      </w:r>
    </w:p>
    <w:p w14:paraId="7CEF43D6">
      <w:pPr>
        <w:spacing w:line="500" w:lineRule="exact"/>
        <w:ind w:firstLine="560"/>
        <w:rPr>
          <w:sz w:val="24"/>
        </w:rPr>
      </w:pPr>
      <w:r>
        <w:rPr>
          <w:sz w:val="24"/>
        </w:rPr>
        <w:t>5.1.1 电子投标文件的撤回</w:t>
      </w:r>
    </w:p>
    <w:p w14:paraId="4C8BE876">
      <w:pPr>
        <w:spacing w:line="500" w:lineRule="exact"/>
        <w:ind w:firstLine="560"/>
        <w:rPr>
          <w:sz w:val="24"/>
        </w:rPr>
      </w:pPr>
      <w:r>
        <w:rPr>
          <w:sz w:val="24"/>
        </w:rPr>
        <w:t>投标人可在投标截止时间前，撤回其电子投标文件，具体操作方法见《江苏省政府采购（供应商）CA数字证书及电子签章办理指南》。</w:t>
      </w:r>
    </w:p>
    <w:p w14:paraId="6435411E">
      <w:pPr>
        <w:spacing w:line="500" w:lineRule="exact"/>
        <w:ind w:firstLine="560"/>
        <w:rPr>
          <w:sz w:val="24"/>
        </w:rPr>
      </w:pPr>
      <w:r>
        <w:rPr>
          <w:sz w:val="24"/>
        </w:rPr>
        <w:t>5.1.2 投标人撤回电子投标文件，则认为其不再参与本项目投标活动。</w:t>
      </w:r>
    </w:p>
    <w:p w14:paraId="7B37011F">
      <w:pPr>
        <w:spacing w:line="500" w:lineRule="exact"/>
        <w:ind w:firstLine="560"/>
        <w:rPr>
          <w:sz w:val="24"/>
        </w:rPr>
      </w:pPr>
      <w:r>
        <w:rPr>
          <w:sz w:val="24"/>
        </w:rPr>
        <w:t>5.2 投标文件的修改</w:t>
      </w:r>
    </w:p>
    <w:p w14:paraId="7C9557EB">
      <w:pPr>
        <w:spacing w:line="500" w:lineRule="exact"/>
        <w:ind w:firstLine="555"/>
        <w:rPr>
          <w:bCs/>
          <w:sz w:val="24"/>
        </w:rPr>
      </w:pPr>
      <w:r>
        <w:rPr>
          <w:bCs/>
          <w:sz w:val="24"/>
        </w:rPr>
        <w:t>投标人可在投标截止时间前，对其电子投标文件进行修改。</w:t>
      </w:r>
    </w:p>
    <w:p w14:paraId="42B8CEC8">
      <w:pPr>
        <w:spacing w:line="500" w:lineRule="exact"/>
        <w:ind w:firstLine="555"/>
        <w:rPr>
          <w:bCs/>
          <w:sz w:val="24"/>
        </w:rPr>
      </w:pPr>
      <w:r>
        <w:rPr>
          <w:sz w:val="24"/>
        </w:rPr>
        <w:t>5.3</w:t>
      </w:r>
      <w:r>
        <w:rPr>
          <w:bCs/>
          <w:sz w:val="24"/>
        </w:rPr>
        <w:t xml:space="preserve"> 在投标截止时间之后，投标人不得对其电子投标文件作任何修改。</w:t>
      </w:r>
    </w:p>
    <w:p w14:paraId="391787C2">
      <w:pPr>
        <w:spacing w:line="500" w:lineRule="exact"/>
        <w:ind w:firstLine="555"/>
        <w:rPr>
          <w:bCs/>
          <w:sz w:val="24"/>
        </w:rPr>
      </w:pPr>
      <w:r>
        <w:rPr>
          <w:sz w:val="24"/>
        </w:rPr>
        <w:t>5.4</w:t>
      </w:r>
      <w:r>
        <w:rPr>
          <w:bCs/>
          <w:sz w:val="24"/>
        </w:rPr>
        <w:t xml:space="preserve"> 在投标截止时间至招标文件中规定的投标有效期满之间的这段时间内，投标人不得撤回其投标。</w:t>
      </w:r>
    </w:p>
    <w:p w14:paraId="007BB503">
      <w:pPr>
        <w:pStyle w:val="244"/>
        <w:spacing w:before="0" w:after="0" w:line="500" w:lineRule="exact"/>
        <w:rPr>
          <w:sz w:val="24"/>
          <w:szCs w:val="24"/>
        </w:rPr>
      </w:pPr>
      <w:bookmarkStart w:id="74" w:name="_Toc20823301"/>
      <w:bookmarkStart w:id="75" w:name="_Toc120614218"/>
      <w:bookmarkStart w:id="76" w:name="_Toc16938545"/>
      <w:bookmarkStart w:id="77" w:name="_Toc513029229"/>
      <w:r>
        <w:rPr>
          <w:sz w:val="24"/>
          <w:szCs w:val="24"/>
        </w:rPr>
        <w:t>（五）开标与评标</w:t>
      </w:r>
      <w:bookmarkEnd w:id="74"/>
      <w:bookmarkEnd w:id="75"/>
      <w:bookmarkEnd w:id="76"/>
      <w:bookmarkEnd w:id="77"/>
    </w:p>
    <w:p w14:paraId="62B8FA93">
      <w:pPr>
        <w:pStyle w:val="245"/>
        <w:spacing w:line="500" w:lineRule="exact"/>
        <w:ind w:firstLine="560"/>
        <w:jc w:val="both"/>
        <w:rPr>
          <w:rFonts w:eastAsia="宋体"/>
          <w:b/>
          <w:bCs/>
          <w:sz w:val="24"/>
          <w:szCs w:val="24"/>
        </w:rPr>
      </w:pPr>
      <w:bookmarkStart w:id="78" w:name="_Toc20823302"/>
      <w:bookmarkStart w:id="79" w:name="_Toc513029230"/>
      <w:bookmarkStart w:id="80" w:name="_Toc16938546"/>
      <w:r>
        <w:rPr>
          <w:rFonts w:eastAsia="宋体"/>
          <w:sz w:val="24"/>
          <w:szCs w:val="24"/>
        </w:rPr>
        <w:t>1.开标</w:t>
      </w:r>
      <w:bookmarkEnd w:id="78"/>
      <w:bookmarkEnd w:id="79"/>
      <w:bookmarkEnd w:id="80"/>
    </w:p>
    <w:p w14:paraId="0D6F0D9D">
      <w:pPr>
        <w:spacing w:line="500" w:lineRule="exact"/>
        <w:ind w:firstLine="556"/>
        <w:rPr>
          <w:bCs/>
          <w:sz w:val="24"/>
        </w:rPr>
      </w:pPr>
      <w:r>
        <w:rPr>
          <w:bCs/>
          <w:sz w:val="24"/>
        </w:rPr>
        <w:t>1.1 采购人或采购代理机构将在招标公告中规定的时间和地点组织公开开标。</w:t>
      </w:r>
    </w:p>
    <w:p w14:paraId="0389ADD8">
      <w:pPr>
        <w:spacing w:line="500" w:lineRule="exact"/>
        <w:ind w:firstLine="556"/>
        <w:rPr>
          <w:bCs/>
          <w:sz w:val="24"/>
        </w:rPr>
      </w:pPr>
      <w:r>
        <w:rPr>
          <w:bCs/>
          <w:sz w:val="24"/>
        </w:rPr>
        <w:t>开标当天投标人及时登录不见面开标大厅，投标文件递交截止时间后，采购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p>
    <w:p w14:paraId="7F7668D6">
      <w:pPr>
        <w:spacing w:line="500" w:lineRule="exact"/>
        <w:ind w:firstLine="556"/>
        <w:rPr>
          <w:sz w:val="24"/>
        </w:rPr>
      </w:pPr>
      <w:r>
        <w:rPr>
          <w:bCs/>
          <w:sz w:val="24"/>
        </w:rPr>
        <w:t>1.2开标仪</w:t>
      </w:r>
      <w:r>
        <w:rPr>
          <w:sz w:val="24"/>
        </w:rPr>
        <w:t>式由采购代理机构组织，在不见面交易系统中进行开标，并公布各投标人的《开标一览表》。</w:t>
      </w:r>
    </w:p>
    <w:p w14:paraId="4955B138">
      <w:pPr>
        <w:pStyle w:val="245"/>
        <w:spacing w:line="500" w:lineRule="exact"/>
        <w:ind w:firstLine="560"/>
        <w:jc w:val="both"/>
        <w:rPr>
          <w:rFonts w:eastAsia="宋体"/>
          <w:b/>
          <w:bCs/>
          <w:sz w:val="24"/>
          <w:szCs w:val="24"/>
        </w:rPr>
      </w:pPr>
      <w:bookmarkStart w:id="81" w:name="_Toc16938547"/>
      <w:bookmarkStart w:id="82" w:name="_Toc513029231"/>
      <w:bookmarkStart w:id="83" w:name="_Toc20823303"/>
      <w:r>
        <w:rPr>
          <w:rFonts w:eastAsia="宋体"/>
          <w:sz w:val="24"/>
          <w:szCs w:val="24"/>
        </w:rPr>
        <w:t>2.评标委员会</w:t>
      </w:r>
    </w:p>
    <w:p w14:paraId="2EF3AAA3">
      <w:pPr>
        <w:spacing w:line="500" w:lineRule="exact"/>
        <w:ind w:firstLine="560"/>
        <w:rPr>
          <w:b/>
          <w:sz w:val="24"/>
        </w:rPr>
      </w:pPr>
      <w:r>
        <w:rPr>
          <w:sz w:val="24"/>
        </w:rPr>
        <w:t>2.1</w:t>
      </w:r>
      <w:r>
        <w:rPr>
          <w:b/>
          <w:sz w:val="24"/>
        </w:rPr>
        <w:t xml:space="preserve"> </w:t>
      </w:r>
      <w:r>
        <w:rPr>
          <w:sz w:val="24"/>
        </w:rPr>
        <w:t>开标后，采购人或采购代理机构将立即组织评标委员会（以下简称评委会）进行评标。</w:t>
      </w:r>
    </w:p>
    <w:p w14:paraId="3CBCAFD0">
      <w:pPr>
        <w:spacing w:line="500" w:lineRule="exact"/>
        <w:ind w:firstLine="560"/>
        <w:rPr>
          <w:sz w:val="24"/>
        </w:rPr>
      </w:pPr>
      <w:r>
        <w:rPr>
          <w:sz w:val="24"/>
        </w:rPr>
        <w:t>2.2 评委会由采购人代表和有关技术、经济等方面的专家组成，且人员构成符合政府采购有关规定。</w:t>
      </w:r>
    </w:p>
    <w:p w14:paraId="63E643EB">
      <w:pPr>
        <w:spacing w:line="500" w:lineRule="exact"/>
        <w:ind w:firstLine="560"/>
        <w:rPr>
          <w:sz w:val="24"/>
        </w:rPr>
      </w:pPr>
      <w:r>
        <w:rPr>
          <w:sz w:val="24"/>
        </w:rPr>
        <w:t>2.3评委会独立工作，负责评审所有投标文件并确定中标侯选人。</w:t>
      </w:r>
    </w:p>
    <w:p w14:paraId="6EA26454">
      <w:pPr>
        <w:pStyle w:val="245"/>
        <w:spacing w:line="500" w:lineRule="exact"/>
        <w:ind w:firstLine="560"/>
        <w:jc w:val="both"/>
        <w:rPr>
          <w:rFonts w:eastAsia="宋体"/>
          <w:b/>
          <w:bCs/>
          <w:sz w:val="24"/>
          <w:szCs w:val="24"/>
        </w:rPr>
      </w:pPr>
      <w:r>
        <w:rPr>
          <w:rFonts w:eastAsia="宋体"/>
          <w:sz w:val="24"/>
          <w:szCs w:val="24"/>
        </w:rPr>
        <w:t>3.评标过程的保密与公正</w:t>
      </w:r>
      <w:bookmarkEnd w:id="81"/>
      <w:bookmarkEnd w:id="82"/>
      <w:bookmarkEnd w:id="83"/>
    </w:p>
    <w:p w14:paraId="09FBA2BE">
      <w:pPr>
        <w:spacing w:line="500" w:lineRule="exact"/>
        <w:ind w:firstLine="560"/>
        <w:rPr>
          <w:bCs/>
          <w:sz w:val="24"/>
        </w:rPr>
      </w:pPr>
      <w:r>
        <w:rPr>
          <w:sz w:val="24"/>
        </w:rPr>
        <w:t>3.1</w:t>
      </w:r>
      <w:r>
        <w:rPr>
          <w:bCs/>
          <w:sz w:val="24"/>
        </w:rPr>
        <w:t>公开开标后，直至向中标的投标人授予合同时止，凡是与审查、澄清、评价和比较投标的有关资料以及授标建议等，采购人、评委、采购代理机构均不得向投标人或与评标无关的其他人员透露。</w:t>
      </w:r>
    </w:p>
    <w:p w14:paraId="7FC1E6FE">
      <w:pPr>
        <w:spacing w:line="500" w:lineRule="exact"/>
        <w:ind w:firstLine="560"/>
        <w:rPr>
          <w:sz w:val="24"/>
        </w:rPr>
      </w:pPr>
      <w:r>
        <w:rPr>
          <w:sz w:val="24"/>
        </w:rPr>
        <w:t>3.2在评标过程中，投标人不得以任何行为影响评标过程，否则其投标文件将被作为无效投标文件。</w:t>
      </w:r>
    </w:p>
    <w:p w14:paraId="705CF2D1">
      <w:pPr>
        <w:spacing w:line="500" w:lineRule="exact"/>
        <w:ind w:firstLine="560"/>
        <w:rPr>
          <w:sz w:val="24"/>
        </w:rPr>
      </w:pPr>
      <w:r>
        <w:rPr>
          <w:sz w:val="24"/>
        </w:rPr>
        <w:t>3.3在评标期间，采购代理机构将设专门人员与投标人联系。</w:t>
      </w:r>
    </w:p>
    <w:p w14:paraId="79721CA0">
      <w:pPr>
        <w:spacing w:line="500" w:lineRule="exact"/>
        <w:ind w:firstLine="560"/>
        <w:rPr>
          <w:sz w:val="24"/>
        </w:rPr>
      </w:pPr>
      <w:r>
        <w:rPr>
          <w:sz w:val="24"/>
        </w:rPr>
        <w:t>3.4采购人或采购代理机构和评标委员会不向未中标的投标人解释未中标原因，也不公布评标过程中的相关细节。</w:t>
      </w:r>
    </w:p>
    <w:p w14:paraId="7CFF1B87">
      <w:pPr>
        <w:spacing w:line="500" w:lineRule="exact"/>
        <w:ind w:firstLine="560"/>
        <w:rPr>
          <w:sz w:val="24"/>
        </w:rPr>
      </w:pPr>
      <w:r>
        <w:rPr>
          <w:sz w:val="24"/>
        </w:rPr>
        <w:t>3.5采用综合评分法的项目，公布评标结果时一并公布所有投标人的评审得分及排序情况。</w:t>
      </w:r>
    </w:p>
    <w:p w14:paraId="13D1F6CE">
      <w:pPr>
        <w:pStyle w:val="245"/>
        <w:spacing w:line="500" w:lineRule="exact"/>
        <w:ind w:firstLine="560"/>
        <w:jc w:val="both"/>
        <w:rPr>
          <w:rFonts w:eastAsia="宋体"/>
          <w:b/>
          <w:bCs/>
          <w:sz w:val="24"/>
          <w:szCs w:val="24"/>
        </w:rPr>
      </w:pPr>
      <w:bookmarkStart w:id="84" w:name="_Toc20823304"/>
      <w:bookmarkStart w:id="85" w:name="_Toc513029232"/>
      <w:bookmarkStart w:id="86" w:name="_Toc16938548"/>
      <w:r>
        <w:rPr>
          <w:rFonts w:eastAsia="宋体"/>
          <w:sz w:val="24"/>
          <w:szCs w:val="24"/>
        </w:rPr>
        <w:t>4.投标的澄清</w:t>
      </w:r>
      <w:bookmarkEnd w:id="84"/>
      <w:bookmarkEnd w:id="85"/>
      <w:bookmarkEnd w:id="86"/>
    </w:p>
    <w:p w14:paraId="643F7837">
      <w:pPr>
        <w:spacing w:line="500" w:lineRule="exact"/>
        <w:ind w:firstLine="560"/>
        <w:rPr>
          <w:sz w:val="24"/>
        </w:rPr>
      </w:pPr>
      <w:r>
        <w:rPr>
          <w:sz w:val="24"/>
        </w:rPr>
        <w:t>4.1评标期间，为有助于对投标文件的审查、评价和比较，评委会有权以电子函件形式要求投标人对其投标文件进行澄清，但并非对每个投标人都作澄清要求。</w:t>
      </w:r>
    </w:p>
    <w:p w14:paraId="357C0B1D">
      <w:pPr>
        <w:spacing w:line="500" w:lineRule="exact"/>
        <w:rPr>
          <w:sz w:val="24"/>
        </w:rPr>
      </w:pPr>
      <w:r>
        <w:rPr>
          <w:sz w:val="24"/>
        </w:rPr>
        <w:t xml:space="preserve">    4.2接到评委会澄清要求的投标人应派人按评委会规定的时间和格式在“不见面交易系统”中做出澄清，澄清的内容作为投标文件的补充部分，但投标的价格和实质性的内容不得做任何更改。</w:t>
      </w:r>
    </w:p>
    <w:p w14:paraId="6D5FA870">
      <w:pPr>
        <w:spacing w:line="500" w:lineRule="exact"/>
        <w:rPr>
          <w:sz w:val="24"/>
        </w:rPr>
      </w:pPr>
      <w:r>
        <w:rPr>
          <w:sz w:val="24"/>
        </w:rPr>
        <w:t xml:space="preserve">    4.3 接到评委会澄清要求的投标人如未按规定做出澄清，其风险由投标人自行承担。</w:t>
      </w:r>
    </w:p>
    <w:p w14:paraId="42755581">
      <w:pPr>
        <w:pStyle w:val="245"/>
        <w:spacing w:line="500" w:lineRule="exact"/>
        <w:ind w:firstLine="560"/>
        <w:jc w:val="both"/>
        <w:rPr>
          <w:rFonts w:eastAsia="宋体"/>
          <w:b/>
          <w:bCs/>
          <w:sz w:val="24"/>
          <w:szCs w:val="24"/>
        </w:rPr>
      </w:pPr>
      <w:bookmarkStart w:id="87" w:name="_Toc513029233"/>
      <w:bookmarkStart w:id="88" w:name="_Toc16938549"/>
      <w:bookmarkStart w:id="89" w:name="_Toc20823305"/>
      <w:r>
        <w:rPr>
          <w:rFonts w:eastAsia="宋体"/>
          <w:sz w:val="24"/>
          <w:szCs w:val="24"/>
        </w:rPr>
        <w:t>5.对投标文件的初审</w:t>
      </w:r>
      <w:bookmarkEnd w:id="87"/>
      <w:bookmarkEnd w:id="88"/>
      <w:bookmarkEnd w:id="89"/>
    </w:p>
    <w:p w14:paraId="4C5F24C8">
      <w:pPr>
        <w:spacing w:line="500" w:lineRule="exact"/>
        <w:ind w:firstLine="560"/>
        <w:rPr>
          <w:bCs/>
          <w:sz w:val="24"/>
        </w:rPr>
      </w:pPr>
      <w:r>
        <w:rPr>
          <w:sz w:val="24"/>
        </w:rPr>
        <w:t>5.1</w:t>
      </w:r>
      <w:r>
        <w:rPr>
          <w:bCs/>
          <w:sz w:val="24"/>
        </w:rPr>
        <w:t>投标文件初审分为资格审查和符合性审查。</w:t>
      </w:r>
    </w:p>
    <w:p w14:paraId="722DDBB8">
      <w:pPr>
        <w:spacing w:line="500" w:lineRule="exact"/>
        <w:ind w:firstLine="560"/>
        <w:rPr>
          <w:bCs/>
          <w:sz w:val="24"/>
        </w:rPr>
      </w:pPr>
      <w:r>
        <w:rPr>
          <w:bCs/>
          <w:sz w:val="24"/>
        </w:rPr>
        <w:t>5.1.1 资格审查：依据法律法规和招标文件的规定，由采购人对投标文件中的资格证明文件进行审查。资格审查的结论，采购人以书面形式向评委会进行反馈。</w:t>
      </w:r>
    </w:p>
    <w:p w14:paraId="102FBB5F">
      <w:pPr>
        <w:spacing w:line="500" w:lineRule="exact"/>
        <w:ind w:firstLine="562"/>
        <w:rPr>
          <w:b/>
          <w:bCs/>
          <w:sz w:val="24"/>
        </w:rPr>
      </w:pPr>
      <w:r>
        <w:rPr>
          <w:b/>
          <w:bCs/>
          <w:sz w:val="24"/>
        </w:rPr>
        <w:t>采购人在进行资格性审查的同时，评标委员会从“信用中国”网站查询供应商的信用记录，以确定供应商是否具备资格。</w:t>
      </w:r>
    </w:p>
    <w:p w14:paraId="775E523E">
      <w:pPr>
        <w:spacing w:line="500" w:lineRule="exact"/>
        <w:ind w:firstLine="562"/>
        <w:rPr>
          <w:b/>
          <w:bCs/>
          <w:color w:val="auto"/>
          <w:sz w:val="24"/>
          <w:lang w:val="en-US" w:eastAsia="zh-CN"/>
        </w:rPr>
      </w:pPr>
      <w:r>
        <w:rPr>
          <w:rFonts w:hint="eastAsia"/>
          <w:b/>
          <w:bCs/>
          <w:color w:val="auto"/>
          <w:sz w:val="24"/>
          <w:lang w:val="en-US" w:eastAsia="zh-CN"/>
        </w:rPr>
        <w:t>采购人或采购代理机构在投标文件递交截止时间当日，登录“江苏省建筑市场监管与诚信信息一体化平台”，检查投标人的建筑业企业资质动态监管状态，对动态监管处于不合格状态的投标人进行截图保存，提供给评标委员会，资格审查不通过。</w:t>
      </w:r>
    </w:p>
    <w:p w14:paraId="53C88069">
      <w:pPr>
        <w:spacing w:line="500" w:lineRule="exact"/>
        <w:ind w:firstLine="560"/>
        <w:rPr>
          <w:bCs/>
          <w:sz w:val="24"/>
        </w:rPr>
      </w:pPr>
      <w:r>
        <w:rPr>
          <w:bCs/>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3DD0A55C">
      <w:pPr>
        <w:spacing w:line="500" w:lineRule="exact"/>
        <w:ind w:firstLine="560"/>
        <w:rPr>
          <w:bCs/>
          <w:sz w:val="24"/>
        </w:rPr>
      </w:pPr>
      <w:r>
        <w:rPr>
          <w:bCs/>
          <w:sz w:val="24"/>
        </w:rPr>
        <w:t>5.1.2 符合性审查：依据招标文件的规定，由评委会从投标文件的有效性、完整性和对招标文件的响应程度进行审查，以确定是否对招标文件的实质性要求作出响应。</w:t>
      </w:r>
    </w:p>
    <w:p w14:paraId="2763F2E5">
      <w:pPr>
        <w:spacing w:line="500" w:lineRule="exact"/>
        <w:ind w:firstLine="560"/>
        <w:rPr>
          <w:bCs/>
          <w:sz w:val="24"/>
        </w:rPr>
      </w:pPr>
      <w:r>
        <w:rPr>
          <w:bCs/>
          <w:sz w:val="24"/>
        </w:rPr>
        <w:t>5.1.3 未通过资格审查或符合性审查的投标人，采购人或采购代理机构告知未通过资格审查或符合性审查的原因，评审结束后，采购人或采购代理机构将不再告知未通过资格审查或符合性审查的原因。</w:t>
      </w:r>
    </w:p>
    <w:p w14:paraId="65C6B04B">
      <w:pPr>
        <w:spacing w:line="500" w:lineRule="exact"/>
        <w:ind w:firstLine="560"/>
        <w:rPr>
          <w:sz w:val="24"/>
        </w:rPr>
      </w:pPr>
      <w:r>
        <w:rPr>
          <w:sz w:val="24"/>
        </w:rPr>
        <w:t>5.2在详细评标之前，评委会将首先审查每份投标文件是否实质性响应了招标文件的要求。实质性响应的投标应该是与招标文件要求的全部条款、条件和规格相符，没有重大偏离或保留的投标。</w:t>
      </w:r>
    </w:p>
    <w:p w14:paraId="52FD9DF8">
      <w:pPr>
        <w:spacing w:line="500" w:lineRule="exact"/>
        <w:ind w:firstLine="560"/>
        <w:rPr>
          <w:bCs/>
          <w:sz w:val="24"/>
        </w:rPr>
      </w:pPr>
      <w:r>
        <w:rPr>
          <w:sz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bCs/>
          <w:sz w:val="24"/>
        </w:rPr>
        <w:t>评委决定投标文件的响应性只根据投标文件本身的内容，而不寻求外部的证据。</w:t>
      </w:r>
    </w:p>
    <w:p w14:paraId="6ED54FC7">
      <w:pPr>
        <w:spacing w:line="500" w:lineRule="exact"/>
        <w:ind w:firstLine="560"/>
        <w:rPr>
          <w:bCs/>
          <w:sz w:val="24"/>
        </w:rPr>
      </w:pPr>
      <w:r>
        <w:rPr>
          <w:sz w:val="24"/>
        </w:rPr>
        <w:t>5.3</w:t>
      </w:r>
      <w:r>
        <w:rPr>
          <w:bCs/>
          <w:sz w:val="24"/>
        </w:rPr>
        <w:t>如果投标文件实质上没有响应招标文件的要求，评委会将予以拒绝，投标人不得通过修改或撤销不合要求的偏离或保留而使其投标成为实质性响应的投标。</w:t>
      </w:r>
    </w:p>
    <w:p w14:paraId="168E4E4B">
      <w:pPr>
        <w:spacing w:line="500" w:lineRule="exact"/>
        <w:ind w:firstLine="560"/>
        <w:rPr>
          <w:bCs/>
          <w:sz w:val="24"/>
        </w:rPr>
      </w:pPr>
      <w:r>
        <w:rPr>
          <w:sz w:val="24"/>
        </w:rPr>
        <w:t>5.4</w:t>
      </w:r>
      <w:r>
        <w:rPr>
          <w:bCs/>
          <w:sz w:val="24"/>
        </w:rPr>
        <w:t>评委会将对确定为实质性响应的投标进行进一步审核，看其是否有计算上或累加上的算术错误，修正错误的原则如下：</w:t>
      </w:r>
    </w:p>
    <w:p w14:paraId="692209A1">
      <w:pPr>
        <w:spacing w:line="500" w:lineRule="exact"/>
        <w:ind w:firstLine="560"/>
        <w:rPr>
          <w:sz w:val="24"/>
        </w:rPr>
      </w:pPr>
      <w:r>
        <w:rPr>
          <w:sz w:val="24"/>
        </w:rPr>
        <w:t>（1）投标文件中开标一览表内容与投标文件中相应内容不一致的，以开标一览表为准。</w:t>
      </w:r>
    </w:p>
    <w:p w14:paraId="5C543D2E">
      <w:pPr>
        <w:spacing w:line="500" w:lineRule="exact"/>
        <w:ind w:firstLine="560"/>
        <w:rPr>
          <w:sz w:val="24"/>
        </w:rPr>
      </w:pPr>
      <w:r>
        <w:rPr>
          <w:sz w:val="24"/>
        </w:rPr>
        <w:t>（2）大写金额和小写金额不一致的，以大写金额为准。</w:t>
      </w:r>
    </w:p>
    <w:p w14:paraId="51D2C78B">
      <w:pPr>
        <w:spacing w:line="500" w:lineRule="exact"/>
        <w:ind w:firstLine="560"/>
        <w:rPr>
          <w:sz w:val="24"/>
        </w:rPr>
      </w:pPr>
      <w:r>
        <w:rPr>
          <w:sz w:val="24"/>
        </w:rPr>
        <w:t>（3）单价金额小数点或者百分比有明显错位的，以开标一览表的总价为准，并修改单价。</w:t>
      </w:r>
    </w:p>
    <w:p w14:paraId="615AC540">
      <w:pPr>
        <w:spacing w:line="500" w:lineRule="exact"/>
        <w:ind w:firstLine="560"/>
        <w:rPr>
          <w:sz w:val="24"/>
        </w:rPr>
      </w:pPr>
      <w:r>
        <w:rPr>
          <w:sz w:val="24"/>
        </w:rPr>
        <w:t>（4）总价金额与按单价汇总金额不一致的，以单价金额计算结果为准。</w:t>
      </w:r>
    </w:p>
    <w:p w14:paraId="7D0F237C">
      <w:pPr>
        <w:spacing w:line="500" w:lineRule="exact"/>
        <w:ind w:firstLine="560"/>
        <w:rPr>
          <w:sz w:val="24"/>
        </w:rPr>
      </w:pPr>
      <w:r>
        <w:rPr>
          <w:sz w:val="24"/>
        </w:rPr>
        <w:t>同时出现两种以上错误的，按照前款规定的顺序修正。</w:t>
      </w:r>
    </w:p>
    <w:p w14:paraId="2390E921">
      <w:pPr>
        <w:spacing w:line="500" w:lineRule="exact"/>
        <w:ind w:firstLine="560"/>
        <w:rPr>
          <w:bCs/>
          <w:sz w:val="24"/>
        </w:rPr>
      </w:pPr>
      <w:r>
        <w:rPr>
          <w:sz w:val="24"/>
        </w:rPr>
        <w:t>5.5</w:t>
      </w:r>
      <w:r>
        <w:rPr>
          <w:bCs/>
          <w:sz w:val="24"/>
        </w:rPr>
        <w:t>评委会将按上述修正错误的方法调整投标文件中的投标报价，并告知投标人，调整后的价格应对投标人具有约束力。如果投标人不接受修正后的价格，则其投标将被拒绝。</w:t>
      </w:r>
    </w:p>
    <w:p w14:paraId="3EC05016">
      <w:pPr>
        <w:spacing w:line="500" w:lineRule="exact"/>
        <w:ind w:firstLine="560"/>
        <w:rPr>
          <w:bCs/>
          <w:sz w:val="24"/>
        </w:rPr>
      </w:pPr>
      <w:r>
        <w:rPr>
          <w:sz w:val="24"/>
        </w:rPr>
        <w:t>5.6</w:t>
      </w:r>
      <w:r>
        <w:rPr>
          <w:bCs/>
          <w:sz w:val="24"/>
        </w:rPr>
        <w:t>评委会将允许修正投标文件中不构成重大偏离的、微小的、非正规的、不一致的或不规则的地方，但这些修改不能影响任何投标人相应的名次排列。</w:t>
      </w:r>
    </w:p>
    <w:p w14:paraId="32AE4280">
      <w:pPr>
        <w:spacing w:line="500" w:lineRule="exact"/>
        <w:ind w:firstLine="560"/>
        <w:rPr>
          <w:sz w:val="24"/>
        </w:rPr>
      </w:pPr>
      <w:bookmarkStart w:id="90" w:name="_Toc20823306"/>
      <w:bookmarkStart w:id="91" w:name="_Toc513029234"/>
      <w:bookmarkStart w:id="92" w:name="_Toc16938550"/>
      <w:r>
        <w:rPr>
          <w:sz w:val="24"/>
        </w:rPr>
        <w:t>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6B98FBBE">
      <w:pPr>
        <w:spacing w:line="500" w:lineRule="exact"/>
        <w:ind w:firstLine="560"/>
        <w:rPr>
          <w:sz w:val="24"/>
        </w:rPr>
      </w:pPr>
      <w:r>
        <w:rPr>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0849BC6">
      <w:pPr>
        <w:spacing w:line="500" w:lineRule="exact"/>
        <w:ind w:firstLine="420"/>
        <w:rPr>
          <w:sz w:val="24"/>
        </w:rPr>
      </w:pPr>
      <w:r>
        <w:rPr>
          <w:sz w:val="24"/>
        </w:rPr>
        <w:t>非单一产品采购项目，招标文件中将载明其中的核心产品。多家投标人提供的核心产品品牌相同的，按前两款规定处理。</w:t>
      </w:r>
    </w:p>
    <w:p w14:paraId="317056A2">
      <w:pPr>
        <w:spacing w:line="500" w:lineRule="exact"/>
        <w:ind w:firstLine="420"/>
        <w:rPr>
          <w:sz w:val="24"/>
        </w:rPr>
      </w:pPr>
      <w:r>
        <w:rPr>
          <w:sz w:val="24"/>
        </w:rPr>
        <w:t>5.8 投标人在开、评标全过程中应保持通讯畅通，并安排专人与采购人或采购代理机构及评标委员会联系。</w:t>
      </w:r>
      <w:bookmarkEnd w:id="90"/>
      <w:bookmarkEnd w:id="91"/>
      <w:bookmarkEnd w:id="92"/>
    </w:p>
    <w:p w14:paraId="54836228">
      <w:pPr>
        <w:pStyle w:val="245"/>
        <w:spacing w:line="500" w:lineRule="exact"/>
        <w:ind w:firstLine="560"/>
        <w:jc w:val="both"/>
        <w:rPr>
          <w:rFonts w:eastAsia="宋体"/>
          <w:b/>
          <w:bCs/>
          <w:sz w:val="24"/>
          <w:szCs w:val="24"/>
        </w:rPr>
      </w:pPr>
      <w:r>
        <w:rPr>
          <w:rFonts w:eastAsia="宋体"/>
          <w:sz w:val="24"/>
          <w:szCs w:val="24"/>
        </w:rPr>
        <w:t>6.无效投标条款和废标条款</w:t>
      </w:r>
    </w:p>
    <w:p w14:paraId="045CA378">
      <w:pPr>
        <w:spacing w:line="500" w:lineRule="exact"/>
        <w:ind w:firstLine="560"/>
        <w:rPr>
          <w:bCs/>
          <w:sz w:val="24"/>
        </w:rPr>
      </w:pPr>
      <w:bookmarkStart w:id="93" w:name="_Toc16938551"/>
      <w:bookmarkStart w:id="94" w:name="_Toc513029235"/>
      <w:bookmarkStart w:id="95" w:name="_Toc20823307"/>
      <w:r>
        <w:rPr>
          <w:bCs/>
          <w:sz w:val="24"/>
        </w:rPr>
        <w:t>6.1无效投标条款</w:t>
      </w:r>
    </w:p>
    <w:p w14:paraId="66DF9A1C">
      <w:pPr>
        <w:spacing w:line="500" w:lineRule="exact"/>
        <w:ind w:firstLine="560"/>
        <w:rPr>
          <w:bCs/>
          <w:sz w:val="24"/>
        </w:rPr>
      </w:pPr>
      <w:r>
        <w:rPr>
          <w:bCs/>
          <w:sz w:val="24"/>
        </w:rPr>
        <w:t>6.1.1 投标人在规定的时间内未成功解密电子投标文件的。</w:t>
      </w:r>
    </w:p>
    <w:p w14:paraId="309D2445">
      <w:pPr>
        <w:spacing w:line="500" w:lineRule="exact"/>
        <w:ind w:firstLine="560"/>
        <w:rPr>
          <w:bCs/>
          <w:sz w:val="24"/>
        </w:rPr>
      </w:pPr>
      <w:r>
        <w:rPr>
          <w:bCs/>
          <w:sz w:val="24"/>
        </w:rPr>
        <w:t>6.1.2 投标人未按照招标文件要求上传电子投标文件的。</w:t>
      </w:r>
    </w:p>
    <w:p w14:paraId="6E2FB1C1">
      <w:pPr>
        <w:spacing w:line="500" w:lineRule="exact"/>
        <w:ind w:firstLine="560"/>
        <w:rPr>
          <w:bCs/>
          <w:sz w:val="24"/>
        </w:rPr>
      </w:pPr>
      <w:r>
        <w:rPr>
          <w:bCs/>
          <w:sz w:val="24"/>
        </w:rPr>
        <w:t>6.1.3同一投标人提交两个（含两个）以上不同的投标报价的。</w:t>
      </w:r>
    </w:p>
    <w:p w14:paraId="1585A86F">
      <w:pPr>
        <w:spacing w:line="500" w:lineRule="exact"/>
        <w:ind w:firstLine="560"/>
        <w:rPr>
          <w:bCs/>
          <w:sz w:val="24"/>
        </w:rPr>
      </w:pPr>
      <w:r>
        <w:rPr>
          <w:bCs/>
          <w:sz w:val="24"/>
        </w:rPr>
        <w:t>6.1.4投标人不具备招标文件中规定资格要求的。</w:t>
      </w:r>
    </w:p>
    <w:p w14:paraId="12166A74">
      <w:pPr>
        <w:spacing w:line="500" w:lineRule="exact"/>
        <w:ind w:firstLine="560"/>
        <w:rPr>
          <w:bCs/>
          <w:sz w:val="24"/>
        </w:rPr>
      </w:pPr>
      <w:r>
        <w:rPr>
          <w:bCs/>
          <w:sz w:val="24"/>
        </w:rPr>
        <w:t>6.1.5投标人的报价超过了采购预算或最高限价的。</w:t>
      </w:r>
    </w:p>
    <w:p w14:paraId="70A49869">
      <w:pPr>
        <w:spacing w:line="500" w:lineRule="exact"/>
        <w:ind w:firstLine="560"/>
        <w:rPr>
          <w:bCs/>
          <w:i/>
          <w:sz w:val="24"/>
          <w:u w:val="single"/>
        </w:rPr>
      </w:pPr>
      <w:r>
        <w:rPr>
          <w:bCs/>
          <w:sz w:val="24"/>
        </w:rPr>
        <w:t>6.1.6未通过符合性检查的。</w:t>
      </w:r>
    </w:p>
    <w:p w14:paraId="155EB8EF">
      <w:pPr>
        <w:spacing w:line="500" w:lineRule="exact"/>
        <w:ind w:firstLine="420"/>
        <w:rPr>
          <w:bCs/>
          <w:i/>
          <w:sz w:val="24"/>
          <w:u w:val="single"/>
        </w:rPr>
      </w:pPr>
      <w:r>
        <w:rPr>
          <w:bCs/>
          <w:sz w:val="24"/>
        </w:rPr>
        <w:t xml:space="preserve"> 6.1.7不符合招标文件中规定的其他实质性要求和条件的。</w:t>
      </w:r>
    </w:p>
    <w:p w14:paraId="17E2B97C">
      <w:pPr>
        <w:spacing w:line="500" w:lineRule="exact"/>
        <w:ind w:firstLine="560"/>
        <w:rPr>
          <w:bCs/>
          <w:sz w:val="24"/>
        </w:rPr>
      </w:pPr>
      <w:r>
        <w:rPr>
          <w:bCs/>
          <w:sz w:val="24"/>
        </w:rPr>
        <w:t>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14:paraId="05762210">
      <w:pPr>
        <w:spacing w:line="500" w:lineRule="exact"/>
        <w:ind w:firstLine="560"/>
        <w:rPr>
          <w:bCs/>
          <w:sz w:val="24"/>
        </w:rPr>
      </w:pPr>
      <w:r>
        <w:rPr>
          <w:bCs/>
          <w:sz w:val="24"/>
        </w:rPr>
        <w:t>6.1.9 投标文件含有采购人不能接受的附加条件的。</w:t>
      </w:r>
    </w:p>
    <w:p w14:paraId="42A5ADF5">
      <w:pPr>
        <w:spacing w:line="500" w:lineRule="exact"/>
        <w:ind w:firstLine="560"/>
        <w:rPr>
          <w:rFonts w:hint="eastAsia"/>
          <w:b/>
          <w:bCs w:val="0"/>
          <w:sz w:val="24"/>
          <w:highlight w:val="none"/>
        </w:rPr>
      </w:pPr>
      <w:r>
        <w:rPr>
          <w:b/>
          <w:bCs w:val="0"/>
          <w:sz w:val="24"/>
          <w:highlight w:val="none"/>
        </w:rPr>
        <w:t>6.1.10</w:t>
      </w:r>
      <w:r>
        <w:rPr>
          <w:rFonts w:hint="eastAsia"/>
          <w:b/>
          <w:bCs w:val="0"/>
          <w:sz w:val="24"/>
          <w:highlight w:val="none"/>
        </w:rPr>
        <w:t>异常低价投标审查：</w:t>
      </w:r>
    </w:p>
    <w:p w14:paraId="6D344F47">
      <w:pPr>
        <w:spacing w:line="500" w:lineRule="exact"/>
        <w:ind w:firstLine="560"/>
        <w:rPr>
          <w:rFonts w:hint="eastAsia"/>
          <w:b/>
          <w:bCs w:val="0"/>
          <w:sz w:val="24"/>
          <w:highlight w:val="none"/>
        </w:rPr>
      </w:pPr>
      <w:r>
        <w:rPr>
          <w:rFonts w:hint="eastAsia"/>
          <w:b/>
          <w:bCs w:val="0"/>
          <w:sz w:val="24"/>
          <w:highlight w:val="none"/>
        </w:rPr>
        <w:t>评标过程中出现下列情形之一的，评标委员会应当启动异常低价投标审查程序：</w:t>
      </w:r>
    </w:p>
    <w:p w14:paraId="626966D6">
      <w:pPr>
        <w:spacing w:line="500" w:lineRule="exact"/>
        <w:ind w:firstLine="560"/>
        <w:rPr>
          <w:rFonts w:hint="eastAsia"/>
          <w:b/>
          <w:bCs w:val="0"/>
          <w:sz w:val="24"/>
          <w:highlight w:val="none"/>
        </w:rPr>
      </w:pPr>
      <w:r>
        <w:rPr>
          <w:rFonts w:hint="eastAsia"/>
          <w:b/>
          <w:bCs w:val="0"/>
          <w:sz w:val="24"/>
          <w:highlight w:val="none"/>
        </w:rPr>
        <w:t>（1）投标（响应）报价低于全部通过符合性审查供应商投标（响应）报价平均值50%的，即投标（响应）报价&lt;全部通过符合性审查供应商投标（响应）报价平均值×50%；</w:t>
      </w:r>
    </w:p>
    <w:p w14:paraId="5D7AEC64">
      <w:pPr>
        <w:spacing w:line="500" w:lineRule="exact"/>
        <w:ind w:firstLine="560"/>
        <w:rPr>
          <w:rFonts w:hint="eastAsia"/>
          <w:b/>
          <w:bCs w:val="0"/>
          <w:sz w:val="24"/>
          <w:highlight w:val="none"/>
        </w:rPr>
      </w:pPr>
      <w:r>
        <w:rPr>
          <w:rFonts w:hint="eastAsia"/>
          <w:b/>
          <w:bCs w:val="0"/>
          <w:sz w:val="24"/>
          <w:highlight w:val="none"/>
        </w:rPr>
        <w:t>（2）投标（响应）报价低于通过符合性审查的次低报价供应商投标（响应）报价50%的，即投标（响应）报价&lt;通过符合性审查的次低报价供应商投标（响应）报价×50%；</w:t>
      </w:r>
    </w:p>
    <w:p w14:paraId="2A3BEF50">
      <w:pPr>
        <w:spacing w:line="500" w:lineRule="exact"/>
        <w:ind w:firstLine="560"/>
        <w:rPr>
          <w:rFonts w:hint="eastAsia"/>
          <w:b/>
          <w:bCs w:val="0"/>
          <w:sz w:val="24"/>
          <w:highlight w:val="none"/>
        </w:rPr>
      </w:pPr>
      <w:r>
        <w:rPr>
          <w:rFonts w:hint="eastAsia"/>
          <w:b/>
          <w:bCs w:val="0"/>
          <w:sz w:val="24"/>
          <w:highlight w:val="none"/>
        </w:rPr>
        <w:t>（3）投标（响应）报价低于采购项目最高限价45%的，即投标（响应）报价&lt;采购项目最高限价×45%；</w:t>
      </w:r>
    </w:p>
    <w:p w14:paraId="4582502A">
      <w:pPr>
        <w:spacing w:line="500" w:lineRule="exact"/>
        <w:ind w:firstLine="560"/>
        <w:rPr>
          <w:rFonts w:hint="eastAsia"/>
          <w:b/>
          <w:bCs w:val="0"/>
          <w:sz w:val="24"/>
          <w:highlight w:val="none"/>
        </w:rPr>
      </w:pPr>
      <w:r>
        <w:rPr>
          <w:rFonts w:hint="eastAsia"/>
          <w:b/>
          <w:bCs w:val="0"/>
          <w:sz w:val="24"/>
          <w:highlight w:val="none"/>
        </w:rPr>
        <w:t>（4）评标委员会基于专业判断，认为供应商报价过低，有可能影响产品质量或者不能诚信履约的其他情形。</w:t>
      </w:r>
    </w:p>
    <w:p w14:paraId="2BF2255E">
      <w:pPr>
        <w:spacing w:line="500" w:lineRule="exact"/>
        <w:ind w:firstLine="560"/>
        <w:rPr>
          <w:rFonts w:hint="eastAsia"/>
          <w:b/>
          <w:bCs w:val="0"/>
          <w:sz w:val="24"/>
          <w:highlight w:val="none"/>
        </w:rPr>
      </w:pPr>
      <w:r>
        <w:rPr>
          <w:rFonts w:hint="eastAsia"/>
          <w:b/>
          <w:bCs w:val="0"/>
          <w:sz w:val="24"/>
          <w:highlight w:val="none"/>
        </w:rPr>
        <w:t>评标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44E215B1">
      <w:pPr>
        <w:spacing w:line="500" w:lineRule="exact"/>
        <w:ind w:firstLine="560"/>
        <w:rPr>
          <w:rFonts w:hint="eastAsia"/>
          <w:b w:val="0"/>
          <w:bCs/>
          <w:sz w:val="24"/>
          <w:highlight w:val="none"/>
        </w:rPr>
      </w:pPr>
      <w:r>
        <w:rPr>
          <w:rFonts w:hint="eastAsia"/>
          <w:b w:val="0"/>
          <w:bCs/>
          <w:sz w:val="24"/>
          <w:highlight w:val="none"/>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56993A70">
      <w:pPr>
        <w:spacing w:line="500" w:lineRule="exact"/>
        <w:ind w:firstLine="560"/>
        <w:rPr>
          <w:rFonts w:hint="eastAsia"/>
          <w:b w:val="0"/>
          <w:bCs/>
          <w:sz w:val="24"/>
          <w:highlight w:val="none"/>
        </w:rPr>
      </w:pPr>
      <w:r>
        <w:rPr>
          <w:rFonts w:hint="eastAsia"/>
          <w:b w:val="0"/>
          <w:bCs/>
          <w:sz w:val="24"/>
          <w:highlight w:val="none"/>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0F5321D0">
      <w:pPr>
        <w:spacing w:line="500" w:lineRule="exact"/>
        <w:ind w:firstLine="560"/>
        <w:rPr>
          <w:b w:val="0"/>
          <w:bCs/>
          <w:sz w:val="24"/>
          <w:highlight w:val="yellow"/>
        </w:rPr>
      </w:pPr>
      <w:r>
        <w:rPr>
          <w:rFonts w:hint="eastAsia"/>
          <w:b w:val="0"/>
          <w:bCs/>
          <w:sz w:val="24"/>
          <w:highlight w:val="none"/>
        </w:rPr>
        <w:t>异常低价投标（响应）审查的启动原因、审查意见和审查结果应当在评审报告中记录，并随供应商提供的相关书面说明及证明材料，以及评标委员会有关互联网浏览、查询历史一并归档。</w:t>
      </w:r>
    </w:p>
    <w:p w14:paraId="68739D03">
      <w:pPr>
        <w:spacing w:line="500" w:lineRule="exact"/>
        <w:ind w:firstLine="560"/>
        <w:rPr>
          <w:bCs/>
          <w:sz w:val="24"/>
        </w:rPr>
      </w:pPr>
      <w:r>
        <w:rPr>
          <w:bCs/>
          <w:sz w:val="24"/>
        </w:rPr>
        <w:t>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693BBFEC">
      <w:pPr>
        <w:spacing w:line="500" w:lineRule="exact"/>
        <w:ind w:firstLine="480"/>
        <w:rPr>
          <w:bCs/>
          <w:sz w:val="24"/>
        </w:rPr>
      </w:pPr>
      <w:r>
        <w:rPr>
          <w:bCs/>
          <w:sz w:val="24"/>
        </w:rPr>
        <w:t xml:space="preserve"> 6.1.12中标供应商对涉及商品的包装应按照《关于印发</w:t>
      </w:r>
      <w:r>
        <w:rPr>
          <w:rFonts w:hint="eastAsia"/>
          <w:bCs/>
          <w:sz w:val="24"/>
        </w:rPr>
        <w:t>&lt;</w:t>
      </w:r>
      <w:r>
        <w:rPr>
          <w:bCs/>
          <w:sz w:val="24"/>
        </w:rPr>
        <w:t>商品包装政府采购需求标准（试行）</w:t>
      </w:r>
      <w:r>
        <w:rPr>
          <w:rFonts w:hint="eastAsia"/>
          <w:bCs/>
          <w:sz w:val="24"/>
        </w:rPr>
        <w:t>&gt;</w:t>
      </w:r>
      <w:r>
        <w:rPr>
          <w:bCs/>
          <w:sz w:val="24"/>
        </w:rPr>
        <w:t>、</w:t>
      </w:r>
      <w:r>
        <w:rPr>
          <w:rFonts w:hint="eastAsia"/>
          <w:bCs/>
          <w:sz w:val="24"/>
        </w:rPr>
        <w:t>&lt;</w:t>
      </w:r>
      <w:r>
        <w:rPr>
          <w:bCs/>
          <w:sz w:val="24"/>
        </w:rPr>
        <w:t>快递包装政府采购需求标准（试行）</w:t>
      </w:r>
      <w:r>
        <w:rPr>
          <w:rFonts w:hint="eastAsia"/>
          <w:bCs/>
          <w:sz w:val="24"/>
        </w:rPr>
        <w:t>&gt;</w:t>
      </w:r>
      <w:r>
        <w:rPr>
          <w:bCs/>
          <w:sz w:val="24"/>
        </w:rPr>
        <w:t>的通知》</w:t>
      </w:r>
      <w:r>
        <w:rPr>
          <w:rFonts w:hint="eastAsia"/>
          <w:bCs/>
          <w:sz w:val="24"/>
        </w:rPr>
        <w:t>（</w:t>
      </w:r>
      <w:r>
        <w:rPr>
          <w:bCs/>
          <w:sz w:val="24"/>
        </w:rPr>
        <w:t>财办库〔2020〕123号</w:t>
      </w:r>
      <w:r>
        <w:rPr>
          <w:rFonts w:hint="eastAsia"/>
          <w:bCs/>
          <w:sz w:val="24"/>
        </w:rPr>
        <w:t>）</w:t>
      </w:r>
      <w:r>
        <w:rPr>
          <w:bCs/>
          <w:sz w:val="24"/>
        </w:rPr>
        <w:t>执行；涉及设备运维参考《绿色数据中心政府采购需求标准（试行）》（财库〔2023〕7号文）执行。中标人应提供绿化利用率，倡导城市绿化低碳环保理念、因地制宜促进资源的可持续性发展。</w:t>
      </w:r>
    </w:p>
    <w:p w14:paraId="32EF95DC">
      <w:pPr>
        <w:spacing w:line="500" w:lineRule="exact"/>
        <w:ind w:firstLine="560"/>
        <w:rPr>
          <w:bCs/>
          <w:sz w:val="24"/>
        </w:rPr>
      </w:pPr>
      <w:r>
        <w:rPr>
          <w:bCs/>
          <w:sz w:val="24"/>
        </w:rPr>
        <w:t>6.1.13投标文件未按照招标文件要求加盖电子签章。</w:t>
      </w:r>
    </w:p>
    <w:p w14:paraId="425AB68E">
      <w:pPr>
        <w:spacing w:line="500" w:lineRule="exact"/>
        <w:ind w:firstLine="560"/>
        <w:rPr>
          <w:bCs/>
          <w:sz w:val="24"/>
        </w:rPr>
      </w:pPr>
      <w:r>
        <w:rPr>
          <w:bCs/>
          <w:sz w:val="24"/>
        </w:rPr>
        <w:t>6.1.14不同的投标人投标文件制作机器码、文件创建标识码一致的。</w:t>
      </w:r>
    </w:p>
    <w:p w14:paraId="0F949661">
      <w:pPr>
        <w:spacing w:line="500" w:lineRule="exact"/>
        <w:ind w:firstLine="560"/>
        <w:rPr>
          <w:bCs/>
          <w:sz w:val="24"/>
        </w:rPr>
      </w:pPr>
      <w:r>
        <w:rPr>
          <w:bCs/>
          <w:sz w:val="24"/>
        </w:rPr>
        <w:t>6.1.15投标人的商务、技术部分得分相差悬殊，评标委员会认为得分畸低者没有实质性响应的。</w:t>
      </w:r>
    </w:p>
    <w:p w14:paraId="0E35C522">
      <w:pPr>
        <w:spacing w:line="500" w:lineRule="exact"/>
        <w:ind w:firstLine="560"/>
        <w:rPr>
          <w:bCs/>
          <w:sz w:val="24"/>
        </w:rPr>
      </w:pPr>
      <w:r>
        <w:rPr>
          <w:bCs/>
          <w:sz w:val="24"/>
        </w:rPr>
        <w:t>6.1.16其他法律、法规及本招标文件规定的属无效投标的情形。</w:t>
      </w:r>
    </w:p>
    <w:p w14:paraId="15939A11">
      <w:pPr>
        <w:spacing w:line="500" w:lineRule="exact"/>
        <w:ind w:firstLine="560"/>
        <w:rPr>
          <w:bCs/>
          <w:sz w:val="24"/>
        </w:rPr>
      </w:pPr>
      <w:r>
        <w:rPr>
          <w:bCs/>
          <w:sz w:val="24"/>
        </w:rPr>
        <w:t>6.2废标条款：</w:t>
      </w:r>
    </w:p>
    <w:p w14:paraId="72BEEBD2">
      <w:pPr>
        <w:spacing w:line="500" w:lineRule="exact"/>
        <w:ind w:firstLine="560"/>
        <w:rPr>
          <w:bCs/>
          <w:sz w:val="24"/>
        </w:rPr>
      </w:pPr>
      <w:r>
        <w:rPr>
          <w:bCs/>
          <w:sz w:val="24"/>
        </w:rPr>
        <w:t>6.2.1符合专业条件的供应商或者对招标文件作实质响应的供应商不足三家的。</w:t>
      </w:r>
    </w:p>
    <w:p w14:paraId="07676A89">
      <w:pPr>
        <w:spacing w:line="500" w:lineRule="exact"/>
        <w:ind w:firstLine="560"/>
        <w:rPr>
          <w:bCs/>
          <w:sz w:val="24"/>
        </w:rPr>
      </w:pPr>
      <w:r>
        <w:rPr>
          <w:bCs/>
          <w:sz w:val="24"/>
        </w:rPr>
        <w:t>6.2.2出现影响采购公正的违法、违规行为的。</w:t>
      </w:r>
    </w:p>
    <w:p w14:paraId="3DCE05DA">
      <w:pPr>
        <w:spacing w:line="500" w:lineRule="exact"/>
        <w:ind w:firstLine="560"/>
        <w:rPr>
          <w:bCs/>
          <w:sz w:val="24"/>
        </w:rPr>
      </w:pPr>
      <w:r>
        <w:rPr>
          <w:bCs/>
          <w:sz w:val="24"/>
        </w:rPr>
        <w:t>6.2.3因重大变故，采购任务取消的。</w:t>
      </w:r>
    </w:p>
    <w:p w14:paraId="40F2327C">
      <w:pPr>
        <w:spacing w:line="500" w:lineRule="exact"/>
        <w:ind w:firstLine="560"/>
        <w:rPr>
          <w:bCs/>
          <w:sz w:val="24"/>
        </w:rPr>
      </w:pPr>
      <w:r>
        <w:rPr>
          <w:bCs/>
          <w:sz w:val="24"/>
        </w:rPr>
        <w:t>6.2.4评标委员会认定招标文件存在歧义、重大缺陷导致评审工作无法进行。</w:t>
      </w:r>
    </w:p>
    <w:p w14:paraId="253A10B3">
      <w:pPr>
        <w:spacing w:line="500" w:lineRule="exact"/>
        <w:ind w:firstLine="560"/>
        <w:rPr>
          <w:bCs/>
          <w:sz w:val="24"/>
        </w:rPr>
      </w:pPr>
      <w:r>
        <w:rPr>
          <w:bCs/>
          <w:sz w:val="24"/>
        </w:rPr>
        <w:t>6.2.5 因系统故障原因造成开标不成功的。</w:t>
      </w:r>
    </w:p>
    <w:p w14:paraId="6384A7D0">
      <w:pPr>
        <w:spacing w:line="500" w:lineRule="exact"/>
        <w:ind w:firstLine="560"/>
        <w:rPr>
          <w:bCs/>
          <w:sz w:val="24"/>
        </w:rPr>
      </w:pPr>
      <w:r>
        <w:rPr>
          <w:bCs/>
          <w:sz w:val="24"/>
        </w:rPr>
        <w:t>6.3 投标截止时间结束后参加投标的供应商不足三家的处理：</w:t>
      </w:r>
    </w:p>
    <w:p w14:paraId="46A3E0DA">
      <w:pPr>
        <w:spacing w:line="500" w:lineRule="exact"/>
        <w:ind w:firstLine="560"/>
        <w:rPr>
          <w:bCs/>
          <w:sz w:val="24"/>
        </w:rPr>
      </w:pPr>
      <w:r>
        <w:rPr>
          <w:bCs/>
          <w:sz w:val="24"/>
        </w:rPr>
        <w:t>6.3.1如出现投标截止时间结束后参加投标的供应商或者在评标期间对招标文件做出实质响应的供应商不足三家情况，按政府采购相关规定执行。</w:t>
      </w:r>
      <w:bookmarkEnd w:id="93"/>
      <w:bookmarkEnd w:id="94"/>
      <w:bookmarkEnd w:id="95"/>
    </w:p>
    <w:p w14:paraId="4FE7EE6B">
      <w:pPr>
        <w:pStyle w:val="244"/>
        <w:spacing w:before="0" w:after="0" w:line="500" w:lineRule="exact"/>
        <w:rPr>
          <w:sz w:val="24"/>
          <w:szCs w:val="24"/>
        </w:rPr>
      </w:pPr>
      <w:bookmarkStart w:id="96" w:name="_Toc120614219"/>
      <w:r>
        <w:rPr>
          <w:sz w:val="24"/>
          <w:szCs w:val="24"/>
        </w:rPr>
        <w:t>（六）定标</w:t>
      </w:r>
      <w:bookmarkEnd w:id="96"/>
    </w:p>
    <w:p w14:paraId="6343EC89">
      <w:pPr>
        <w:pStyle w:val="245"/>
        <w:spacing w:line="500" w:lineRule="exact"/>
        <w:ind w:firstLine="560"/>
        <w:jc w:val="both"/>
        <w:rPr>
          <w:rFonts w:eastAsia="宋体"/>
          <w:b/>
          <w:sz w:val="24"/>
          <w:szCs w:val="24"/>
        </w:rPr>
      </w:pPr>
      <w:bookmarkStart w:id="97" w:name="_Toc16938554"/>
      <w:bookmarkStart w:id="98" w:name="_Toc20823310"/>
      <w:r>
        <w:rPr>
          <w:rFonts w:eastAsia="宋体"/>
          <w:sz w:val="24"/>
          <w:szCs w:val="24"/>
        </w:rPr>
        <w:t>1.确定</w:t>
      </w:r>
      <w:bookmarkEnd w:id="97"/>
      <w:bookmarkEnd w:id="98"/>
      <w:r>
        <w:rPr>
          <w:rFonts w:eastAsia="宋体"/>
          <w:sz w:val="24"/>
          <w:szCs w:val="24"/>
        </w:rPr>
        <w:t>中标单位</w:t>
      </w:r>
    </w:p>
    <w:p w14:paraId="6246ACCB">
      <w:pPr>
        <w:spacing w:line="500" w:lineRule="exact"/>
        <w:ind w:firstLine="560"/>
        <w:rPr>
          <w:bCs/>
          <w:sz w:val="24"/>
        </w:rPr>
      </w:pPr>
      <w:r>
        <w:rPr>
          <w:bCs/>
          <w:sz w:val="24"/>
        </w:rPr>
        <w:t xml:space="preserve">1.1中标候选人的选取原则和数量见招标文件第四部分规定。 </w:t>
      </w:r>
    </w:p>
    <w:p w14:paraId="654B4B45">
      <w:pPr>
        <w:spacing w:line="500" w:lineRule="exact"/>
        <w:ind w:firstLine="560"/>
        <w:rPr>
          <w:bCs/>
          <w:sz w:val="24"/>
        </w:rPr>
      </w:pPr>
      <w:r>
        <w:rPr>
          <w:bCs/>
          <w:sz w:val="24"/>
        </w:rPr>
        <w:t>1.2采购人应根据评标委员会推荐的中标候选供应商确定成交供应商。</w:t>
      </w:r>
    </w:p>
    <w:p w14:paraId="63F89473">
      <w:pPr>
        <w:spacing w:line="500" w:lineRule="exact"/>
        <w:ind w:firstLine="560"/>
        <w:rPr>
          <w:sz w:val="24"/>
        </w:rPr>
      </w:pPr>
      <w:r>
        <w:rPr>
          <w:bCs/>
          <w:sz w:val="24"/>
        </w:rPr>
        <w:t xml:space="preserve">1.3 </w:t>
      </w:r>
      <w:r>
        <w:rPr>
          <w:sz w:val="24"/>
        </w:rPr>
        <w:t>采购人或采购代理机构将在“江苏政府采购网”发布中标公告，公告期限为1个工作日。</w:t>
      </w:r>
    </w:p>
    <w:p w14:paraId="35570395">
      <w:pPr>
        <w:spacing w:line="500" w:lineRule="exact"/>
        <w:ind w:firstLine="560"/>
        <w:rPr>
          <w:sz w:val="24"/>
        </w:rPr>
      </w:pPr>
      <w:r>
        <w:rPr>
          <w:sz w:val="24"/>
        </w:rPr>
        <w:t>1.4若有充分证据证明，中标人出现下列情况之一的，一经查实，将被取消中标资格：</w:t>
      </w:r>
    </w:p>
    <w:p w14:paraId="1DAD8A2A">
      <w:pPr>
        <w:spacing w:line="500" w:lineRule="exact"/>
        <w:ind w:firstLine="560"/>
        <w:rPr>
          <w:sz w:val="24"/>
        </w:rPr>
      </w:pPr>
      <w:r>
        <w:rPr>
          <w:sz w:val="24"/>
        </w:rPr>
        <w:t>1.4.1提供虚假材料谋取中标的。</w:t>
      </w:r>
    </w:p>
    <w:p w14:paraId="5F43CD71">
      <w:pPr>
        <w:spacing w:line="500" w:lineRule="exact"/>
        <w:ind w:firstLine="560"/>
        <w:rPr>
          <w:sz w:val="24"/>
        </w:rPr>
      </w:pPr>
      <w:r>
        <w:rPr>
          <w:sz w:val="24"/>
        </w:rPr>
        <w:t>1.4.2向采购人或采购代理机构行贿或者评审专家提供其他不正当利益的。</w:t>
      </w:r>
    </w:p>
    <w:p w14:paraId="53710E45">
      <w:pPr>
        <w:spacing w:line="500" w:lineRule="exact"/>
        <w:ind w:firstLine="560"/>
        <w:rPr>
          <w:sz w:val="24"/>
        </w:rPr>
      </w:pPr>
      <w:r>
        <w:rPr>
          <w:sz w:val="24"/>
        </w:rPr>
        <w:t>1.4.3恶意竞争，投标总报价明显低于其自身合理成本且又无法提供证明的。</w:t>
      </w:r>
    </w:p>
    <w:p w14:paraId="24DEBC7A">
      <w:pPr>
        <w:spacing w:line="500" w:lineRule="exact"/>
        <w:ind w:firstLine="560"/>
        <w:rPr>
          <w:sz w:val="24"/>
        </w:rPr>
      </w:pPr>
      <w:r>
        <w:rPr>
          <w:sz w:val="24"/>
        </w:rPr>
        <w:t>1.4.4属于本文件规定的无效条件，但在评标过程中又未被评委会发现的。</w:t>
      </w:r>
    </w:p>
    <w:p w14:paraId="0E71D5EA">
      <w:pPr>
        <w:spacing w:line="500" w:lineRule="exact"/>
        <w:ind w:firstLine="560"/>
        <w:rPr>
          <w:sz w:val="24"/>
        </w:rPr>
      </w:pPr>
      <w:r>
        <w:rPr>
          <w:sz w:val="24"/>
        </w:rPr>
        <w:t>1.4.5与采购人或者其他供应商恶意串通的。</w:t>
      </w:r>
    </w:p>
    <w:p w14:paraId="7ACC6FA8">
      <w:pPr>
        <w:spacing w:line="500" w:lineRule="exact"/>
        <w:ind w:firstLine="560"/>
        <w:rPr>
          <w:sz w:val="24"/>
        </w:rPr>
      </w:pPr>
      <w:r>
        <w:rPr>
          <w:sz w:val="24"/>
        </w:rPr>
        <w:t>1.4.6采取不正当手段诋毁、排挤其他供应商的。</w:t>
      </w:r>
    </w:p>
    <w:p w14:paraId="4BA7C50C">
      <w:pPr>
        <w:spacing w:line="500" w:lineRule="exact"/>
        <w:ind w:firstLine="560"/>
        <w:rPr>
          <w:sz w:val="24"/>
        </w:rPr>
      </w:pPr>
      <w:bookmarkStart w:id="99" w:name="_Toc200451960"/>
      <w:r>
        <w:rPr>
          <w:sz w:val="24"/>
        </w:rPr>
        <w:t>1.5有下列情形之一的，视为投标人串通投标，投标无效：</w:t>
      </w:r>
    </w:p>
    <w:p w14:paraId="024DE836">
      <w:pPr>
        <w:spacing w:line="500" w:lineRule="exact"/>
        <w:ind w:firstLine="560"/>
        <w:rPr>
          <w:sz w:val="24"/>
        </w:rPr>
      </w:pPr>
      <w:r>
        <w:rPr>
          <w:sz w:val="24"/>
        </w:rPr>
        <w:t>1.5.1不同投标人的投标文件由同一单位或者个人编制；</w:t>
      </w:r>
    </w:p>
    <w:p w14:paraId="1A97D08C">
      <w:pPr>
        <w:spacing w:line="500" w:lineRule="exact"/>
        <w:ind w:firstLine="560"/>
        <w:rPr>
          <w:sz w:val="24"/>
        </w:rPr>
      </w:pPr>
      <w:r>
        <w:rPr>
          <w:sz w:val="24"/>
        </w:rPr>
        <w:t>1.5.2不同投标人委托同一单位或者个人办理投标事宜；</w:t>
      </w:r>
    </w:p>
    <w:p w14:paraId="05EC9D87">
      <w:pPr>
        <w:spacing w:line="500" w:lineRule="exact"/>
        <w:ind w:firstLine="560"/>
        <w:rPr>
          <w:sz w:val="24"/>
        </w:rPr>
      </w:pPr>
      <w:r>
        <w:rPr>
          <w:sz w:val="24"/>
        </w:rPr>
        <w:t>1.5.3不同投标人的投标文件载明的项目管理成员或者联系人员为同一人；</w:t>
      </w:r>
    </w:p>
    <w:p w14:paraId="5D8540CF">
      <w:pPr>
        <w:spacing w:line="500" w:lineRule="exact"/>
        <w:ind w:firstLine="560"/>
        <w:rPr>
          <w:sz w:val="24"/>
        </w:rPr>
      </w:pPr>
      <w:r>
        <w:rPr>
          <w:sz w:val="24"/>
        </w:rPr>
        <w:t>1.5.4不同投标人的投标文件异常一致或者投标报价呈规律性差异；</w:t>
      </w:r>
    </w:p>
    <w:p w14:paraId="536E5582">
      <w:pPr>
        <w:spacing w:line="500" w:lineRule="exact"/>
        <w:ind w:firstLine="560"/>
        <w:rPr>
          <w:sz w:val="24"/>
        </w:rPr>
      </w:pPr>
      <w:r>
        <w:rPr>
          <w:sz w:val="24"/>
        </w:rPr>
        <w:t>1.5.5不同投标人的投标文件相互混装；</w:t>
      </w:r>
    </w:p>
    <w:p w14:paraId="44DF2B8C">
      <w:pPr>
        <w:pStyle w:val="245"/>
        <w:spacing w:line="500" w:lineRule="exact"/>
        <w:ind w:firstLine="560"/>
        <w:jc w:val="both"/>
        <w:rPr>
          <w:rFonts w:eastAsia="宋体"/>
          <w:b/>
          <w:sz w:val="24"/>
          <w:szCs w:val="24"/>
        </w:rPr>
      </w:pPr>
      <w:r>
        <w:rPr>
          <w:rFonts w:eastAsia="宋体"/>
          <w:sz w:val="24"/>
          <w:szCs w:val="24"/>
        </w:rPr>
        <w:t>2.质疑处理</w:t>
      </w:r>
      <w:bookmarkEnd w:id="99"/>
    </w:p>
    <w:p w14:paraId="46D05250">
      <w:pPr>
        <w:spacing w:line="500" w:lineRule="exact"/>
        <w:ind w:firstLine="560"/>
        <w:rPr>
          <w:sz w:val="24"/>
        </w:rPr>
      </w:pPr>
      <w:r>
        <w:rPr>
          <w:sz w:val="24"/>
        </w:rPr>
        <w:t>2.1 提出质疑的供应商应当是参与所质疑项目采购活动的供应商。潜在供应商依法获取其可质疑的采购文件的，可以对采购文件提出质疑。</w:t>
      </w:r>
    </w:p>
    <w:p w14:paraId="79BCB112">
      <w:pPr>
        <w:spacing w:line="500" w:lineRule="exact"/>
        <w:ind w:firstLine="560"/>
        <w:rPr>
          <w:sz w:val="24"/>
        </w:rPr>
      </w:pPr>
      <w:r>
        <w:rPr>
          <w:sz w:val="24"/>
        </w:rPr>
        <w:t>2.2供应商认为采购文件、采购过程和采购结果使自己的权益受到损害的，可以在知道或应知其权益受到损害之日起七个工作日内，以书面形式向采购人或采购代理机构提出质疑。上述应知其权益受到损害之日，是指：</w:t>
      </w:r>
    </w:p>
    <w:p w14:paraId="529555C3">
      <w:pPr>
        <w:spacing w:line="500" w:lineRule="exact"/>
        <w:ind w:firstLine="560"/>
        <w:jc w:val="left"/>
        <w:rPr>
          <w:sz w:val="24"/>
        </w:rPr>
      </w:pPr>
      <w:r>
        <w:rPr>
          <w:sz w:val="24"/>
        </w:rPr>
        <w:t>2.2.1对可以质疑的采购文件提出质疑的，为收到采购文件之日或者采购文件公告期限届满之日；</w:t>
      </w:r>
    </w:p>
    <w:p w14:paraId="74AE279E">
      <w:pPr>
        <w:spacing w:line="500" w:lineRule="exact"/>
        <w:ind w:firstLine="560"/>
        <w:jc w:val="left"/>
        <w:rPr>
          <w:sz w:val="24"/>
        </w:rPr>
      </w:pPr>
      <w:r>
        <w:rPr>
          <w:sz w:val="24"/>
        </w:rPr>
        <w:t>2.2.2对采购过程提出质疑的，为各采购程序环节结束之日；</w:t>
      </w:r>
    </w:p>
    <w:p w14:paraId="40FD000C">
      <w:pPr>
        <w:spacing w:line="500" w:lineRule="exact"/>
        <w:ind w:firstLine="560"/>
        <w:jc w:val="left"/>
        <w:rPr>
          <w:sz w:val="24"/>
        </w:rPr>
      </w:pPr>
      <w:r>
        <w:rPr>
          <w:sz w:val="24"/>
        </w:rPr>
        <w:t>2.2.3对中标或者成交结果提出质疑的，为中标或者成交结果公告期限届满之日。</w:t>
      </w:r>
    </w:p>
    <w:p w14:paraId="5CCC6D0F">
      <w:pPr>
        <w:spacing w:line="500" w:lineRule="exact"/>
        <w:ind w:firstLine="560"/>
        <w:rPr>
          <w:sz w:val="24"/>
        </w:rPr>
      </w:pPr>
      <w:r>
        <w:rPr>
          <w:sz w:val="24"/>
        </w:rPr>
        <w:t>供应商应当在法定质疑期内一次性提出针对同一采购程序环节的质疑。</w:t>
      </w:r>
    </w:p>
    <w:p w14:paraId="056461A9">
      <w:pPr>
        <w:spacing w:line="500" w:lineRule="exact"/>
        <w:ind w:firstLine="560"/>
        <w:rPr>
          <w:sz w:val="24"/>
        </w:rPr>
      </w:pPr>
      <w:r>
        <w:rPr>
          <w:sz w:val="24"/>
        </w:rPr>
        <w:t>2.3质疑函必须按照本招标文件中《质疑函范本》要求的格式和内容进行填写。供应商如组成联合体参加投标，则《质疑函范本》中要求签字、盖章、加盖公章之处，联合体各方均须按要求签字、盖章、加盖公章。</w:t>
      </w:r>
    </w:p>
    <w:p w14:paraId="357ACB49">
      <w:pPr>
        <w:spacing w:line="500" w:lineRule="exact"/>
        <w:ind w:firstLine="560"/>
        <w:rPr>
          <w:sz w:val="24"/>
        </w:rPr>
      </w:pPr>
      <w:r>
        <w:rPr>
          <w:sz w:val="24"/>
        </w:rPr>
        <w:t>2.4质疑答复依据《政府采购质疑和投诉办法》（财政部令第94号）。</w:t>
      </w:r>
    </w:p>
    <w:p w14:paraId="266FD4E7">
      <w:pPr>
        <w:spacing w:line="500" w:lineRule="exact"/>
        <w:ind w:firstLine="560"/>
        <w:rPr>
          <w:sz w:val="24"/>
        </w:rPr>
      </w:pPr>
      <w:r>
        <w:rPr>
          <w:sz w:val="24"/>
        </w:rPr>
        <w:t>采购人质疑接收人及联系方式，见招标文件第一部分。</w:t>
      </w:r>
    </w:p>
    <w:p w14:paraId="25591060">
      <w:pPr>
        <w:spacing w:line="500" w:lineRule="exact"/>
        <w:ind w:firstLine="560"/>
        <w:rPr>
          <w:sz w:val="24"/>
        </w:rPr>
      </w:pPr>
      <w:r>
        <w:rPr>
          <w:sz w:val="24"/>
        </w:rPr>
        <w:t>2.5以下情形的质疑不予受理</w:t>
      </w:r>
    </w:p>
    <w:p w14:paraId="419C233E">
      <w:pPr>
        <w:spacing w:line="500" w:lineRule="exact"/>
        <w:ind w:firstLine="560"/>
        <w:rPr>
          <w:sz w:val="24"/>
        </w:rPr>
      </w:pPr>
      <w:r>
        <w:rPr>
          <w:sz w:val="24"/>
        </w:rPr>
        <w:t>2.5.1内容不符合《政府采购质疑和投诉办法》第十二条规定的质疑。</w:t>
      </w:r>
    </w:p>
    <w:p w14:paraId="75934AB8">
      <w:pPr>
        <w:spacing w:line="500" w:lineRule="exact"/>
        <w:ind w:firstLine="560"/>
        <w:rPr>
          <w:sz w:val="24"/>
        </w:rPr>
      </w:pPr>
      <w:r>
        <w:rPr>
          <w:sz w:val="24"/>
        </w:rPr>
        <w:t>2.5.2超出政府采购法定期限的质疑。</w:t>
      </w:r>
    </w:p>
    <w:p w14:paraId="527F62BB">
      <w:pPr>
        <w:spacing w:line="500" w:lineRule="exact"/>
        <w:ind w:firstLine="560"/>
        <w:rPr>
          <w:sz w:val="24"/>
        </w:rPr>
      </w:pPr>
      <w:r>
        <w:rPr>
          <w:sz w:val="24"/>
        </w:rPr>
        <w:t>2.5.3未参加投标活动的供应商或在投标活动中自身权益未受到损害的供应商所提出的质疑。</w:t>
      </w:r>
    </w:p>
    <w:p w14:paraId="0DBFBECB">
      <w:pPr>
        <w:spacing w:line="500" w:lineRule="exact"/>
        <w:ind w:firstLine="560"/>
        <w:rPr>
          <w:sz w:val="24"/>
        </w:rPr>
      </w:pPr>
      <w:r>
        <w:rPr>
          <w:sz w:val="24"/>
        </w:rPr>
        <w:t>2.5.4供应商组成联合体参加投标，联合体中任何一方或多方未按要求签字、盖章、加盖公章的质疑。</w:t>
      </w:r>
    </w:p>
    <w:p w14:paraId="6435A97D">
      <w:pPr>
        <w:spacing w:line="500" w:lineRule="exact"/>
        <w:ind w:firstLine="546"/>
        <w:rPr>
          <w:sz w:val="24"/>
        </w:rPr>
      </w:pPr>
      <w:r>
        <w:rPr>
          <w:sz w:val="24"/>
        </w:rPr>
        <w:t>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68A6C546">
      <w:pPr>
        <w:pStyle w:val="245"/>
        <w:spacing w:line="500" w:lineRule="exact"/>
        <w:ind w:firstLine="560"/>
        <w:jc w:val="both"/>
        <w:rPr>
          <w:rFonts w:eastAsia="宋体"/>
          <w:b/>
          <w:sz w:val="24"/>
          <w:szCs w:val="24"/>
        </w:rPr>
      </w:pPr>
      <w:r>
        <w:rPr>
          <w:rFonts w:eastAsia="宋体"/>
          <w:sz w:val="24"/>
          <w:szCs w:val="24"/>
        </w:rPr>
        <w:t>3.中标通知书</w:t>
      </w:r>
    </w:p>
    <w:p w14:paraId="7B0E4060">
      <w:pPr>
        <w:spacing w:line="500" w:lineRule="exact"/>
        <w:ind w:firstLine="560"/>
        <w:rPr>
          <w:sz w:val="24"/>
        </w:rPr>
      </w:pPr>
      <w:r>
        <w:rPr>
          <w:sz w:val="24"/>
        </w:rPr>
        <w:t>3.l</w:t>
      </w:r>
      <w:r>
        <w:rPr>
          <w:b/>
          <w:sz w:val="24"/>
        </w:rPr>
        <w:t xml:space="preserve"> </w:t>
      </w:r>
      <w:r>
        <w:rPr>
          <w:sz w:val="24"/>
        </w:rPr>
        <w:t>中标结果确定后，</w:t>
      </w:r>
      <w:r>
        <w:rPr>
          <w:bCs/>
          <w:sz w:val="24"/>
        </w:rPr>
        <w:t>采购人或采购代理机构</w:t>
      </w:r>
      <w:r>
        <w:rPr>
          <w:sz w:val="24"/>
        </w:rPr>
        <w:t>将向中标供应商发出中标通知书。</w:t>
      </w:r>
    </w:p>
    <w:p w14:paraId="13F8B798">
      <w:pPr>
        <w:spacing w:line="500" w:lineRule="exact"/>
        <w:ind w:firstLine="560"/>
        <w:rPr>
          <w:sz w:val="24"/>
        </w:rPr>
      </w:pPr>
      <w:r>
        <w:rPr>
          <w:sz w:val="24"/>
        </w:rPr>
        <w:t>3.2中标通知书将是合同的一个组成部分。对采购人和中标供应商均具有法律效力。中标通知书发出后，采购人改变中标结果的，或者中标供应商放弃中标项目的，应当依法承担法律责任。</w:t>
      </w:r>
    </w:p>
    <w:p w14:paraId="6BA13B5A">
      <w:pPr>
        <w:pStyle w:val="244"/>
        <w:spacing w:before="0" w:after="0" w:line="500" w:lineRule="exact"/>
        <w:rPr>
          <w:sz w:val="24"/>
          <w:szCs w:val="24"/>
        </w:rPr>
      </w:pPr>
      <w:bookmarkStart w:id="100" w:name="_Toc120614220"/>
      <w:bookmarkStart w:id="101" w:name="_Toc16938552"/>
      <w:bookmarkStart w:id="102" w:name="_Toc513029236"/>
      <w:bookmarkStart w:id="103" w:name="_Toc20823308"/>
      <w:r>
        <w:rPr>
          <w:sz w:val="24"/>
          <w:szCs w:val="24"/>
        </w:rPr>
        <w:t>（七）授予合同</w:t>
      </w:r>
      <w:bookmarkEnd w:id="100"/>
      <w:bookmarkEnd w:id="101"/>
      <w:bookmarkEnd w:id="102"/>
      <w:bookmarkEnd w:id="103"/>
    </w:p>
    <w:p w14:paraId="64D7849E">
      <w:pPr>
        <w:pStyle w:val="245"/>
        <w:spacing w:line="500" w:lineRule="exact"/>
        <w:ind w:firstLine="560"/>
        <w:jc w:val="both"/>
        <w:rPr>
          <w:rFonts w:eastAsia="宋体"/>
          <w:b/>
          <w:sz w:val="24"/>
          <w:szCs w:val="24"/>
        </w:rPr>
      </w:pPr>
      <w:bookmarkStart w:id="104" w:name="_Toc513029237"/>
      <w:bookmarkStart w:id="105" w:name="_Toc20823309"/>
      <w:bookmarkStart w:id="106" w:name="_Toc16938553"/>
      <w:r>
        <w:rPr>
          <w:rFonts w:eastAsia="宋体"/>
          <w:sz w:val="24"/>
          <w:szCs w:val="24"/>
        </w:rPr>
        <w:t>1.签订合同</w:t>
      </w:r>
    </w:p>
    <w:p w14:paraId="665C3369">
      <w:pPr>
        <w:spacing w:line="500" w:lineRule="exact"/>
        <w:ind w:firstLine="560"/>
        <w:rPr>
          <w:sz w:val="24"/>
        </w:rPr>
      </w:pPr>
      <w:r>
        <w:rPr>
          <w:bCs/>
          <w:sz w:val="24"/>
        </w:rPr>
        <w:t>1</w:t>
      </w:r>
      <w:r>
        <w:rPr>
          <w:sz w:val="24"/>
        </w:rPr>
        <w:t>.l中标人应当在中标通知书发出之日起三十日内，按照招标文件确定的事项与采购人签订政府采购合同。</w:t>
      </w:r>
    </w:p>
    <w:p w14:paraId="07C2A9DD">
      <w:pPr>
        <w:spacing w:line="500" w:lineRule="exact"/>
        <w:ind w:firstLine="560"/>
        <w:rPr>
          <w:sz w:val="24"/>
        </w:rPr>
      </w:pPr>
      <w:r>
        <w:rPr>
          <w:sz w:val="24"/>
        </w:rPr>
        <w:t>1.2招标文件、中标人的投标文件及招标过程中有关澄清、承诺文件均应作为合同附件。</w:t>
      </w:r>
    </w:p>
    <w:p w14:paraId="0C0401A3">
      <w:pPr>
        <w:spacing w:line="500" w:lineRule="exact"/>
        <w:ind w:firstLine="560"/>
        <w:rPr>
          <w:sz w:val="24"/>
        </w:rPr>
      </w:pPr>
      <w:r>
        <w:rPr>
          <w:sz w:val="24"/>
        </w:rPr>
        <w:t>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p>
    <w:p w14:paraId="5C3FB35D">
      <w:pPr>
        <w:pStyle w:val="245"/>
        <w:spacing w:line="500" w:lineRule="exact"/>
        <w:ind w:firstLine="560"/>
        <w:jc w:val="both"/>
        <w:rPr>
          <w:rFonts w:eastAsia="宋体"/>
          <w:b/>
          <w:sz w:val="24"/>
          <w:szCs w:val="24"/>
        </w:rPr>
      </w:pPr>
      <w:r>
        <w:rPr>
          <w:rFonts w:eastAsia="宋体"/>
          <w:sz w:val="24"/>
          <w:szCs w:val="24"/>
        </w:rPr>
        <w:t>2.货物和服务的追加、减少和添购。</w:t>
      </w:r>
    </w:p>
    <w:p w14:paraId="551CBEC3">
      <w:pPr>
        <w:spacing w:line="500" w:lineRule="exact"/>
        <w:ind w:firstLine="560"/>
        <w:rPr>
          <w:sz w:val="24"/>
        </w:rPr>
      </w:pPr>
      <w:r>
        <w:rPr>
          <w:sz w:val="24"/>
        </w:rPr>
        <w:t>2.1政府采购合同履行中，采购人需追加与合同标的相同的货物和服务的，在不改变合同其他条款的前提下，可以与中标人协商签订补充合同，但所有补充合同的采购金额不超过原合同金额10%。</w:t>
      </w:r>
    </w:p>
    <w:p w14:paraId="3DF1B9DB">
      <w:pPr>
        <w:spacing w:line="500" w:lineRule="exact"/>
        <w:ind w:firstLine="560"/>
        <w:rPr>
          <w:b/>
          <w:sz w:val="24"/>
        </w:rPr>
      </w:pPr>
      <w:r>
        <w:rPr>
          <w:sz w:val="24"/>
        </w:rPr>
        <w:t>2.2采购结束后，采购人若由于各种客观原因，必须对采购项目所牵涉的货物和服务进行适当的减少时，在双方协商一致的前提下，可以按照招标采购时的价格水平做相应的调减，并据此签订补充合同。</w:t>
      </w:r>
      <w:bookmarkEnd w:id="104"/>
      <w:bookmarkEnd w:id="105"/>
      <w:bookmarkEnd w:id="106"/>
    </w:p>
    <w:p w14:paraId="15AE8A6E">
      <w:pPr>
        <w:spacing w:line="480" w:lineRule="exact"/>
        <w:ind w:firstLine="480"/>
        <w:rPr>
          <w:sz w:val="24"/>
        </w:rPr>
      </w:pPr>
      <w:r>
        <w:rPr>
          <w:sz w:val="24"/>
        </w:rPr>
        <w:t>3.政府采购履约资金扶持政策</w:t>
      </w:r>
    </w:p>
    <w:p w14:paraId="06C77E81">
      <w:pPr>
        <w:spacing w:line="480" w:lineRule="exact"/>
        <w:ind w:firstLine="480"/>
        <w:rPr>
          <w:sz w:val="24"/>
        </w:rPr>
      </w:pPr>
      <w:r>
        <w:rPr>
          <w:sz w:val="24"/>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3DEE345E">
      <w:pPr>
        <w:pStyle w:val="244"/>
        <w:spacing w:before="0" w:after="0" w:line="500" w:lineRule="exact"/>
        <w:rPr>
          <w:sz w:val="24"/>
          <w:szCs w:val="24"/>
        </w:rPr>
      </w:pPr>
      <w:r>
        <w:rPr>
          <w:sz w:val="24"/>
          <w:szCs w:val="24"/>
        </w:rPr>
        <w:t>（八）其他说明</w:t>
      </w:r>
    </w:p>
    <w:p w14:paraId="1A5ACCAE">
      <w:pPr>
        <w:spacing w:line="480" w:lineRule="exact"/>
        <w:ind w:firstLine="480"/>
        <w:rPr>
          <w:sz w:val="24"/>
        </w:rPr>
      </w:pPr>
      <w:r>
        <w:rPr>
          <w:sz w:val="24"/>
        </w:rPr>
        <w:t>1.无论投标结果如何，投标人自行承担与投标相应有关的全部费用。</w:t>
      </w:r>
    </w:p>
    <w:p w14:paraId="27FAF64C">
      <w:pPr>
        <w:spacing w:line="480" w:lineRule="exact"/>
        <w:ind w:firstLine="480"/>
        <w:rPr>
          <w:sz w:val="24"/>
        </w:rPr>
      </w:pPr>
      <w:r>
        <w:rPr>
          <w:sz w:val="24"/>
        </w:rPr>
        <w:t>2.投标全费用</w:t>
      </w:r>
      <w:r>
        <w:rPr>
          <w:rFonts w:hint="eastAsia"/>
          <w:sz w:val="24"/>
        </w:rPr>
        <w:t>预算</w:t>
      </w:r>
      <w:r>
        <w:rPr>
          <w:sz w:val="24"/>
        </w:rPr>
        <w:t>单价包含但不仅限于施工所涉及的人工费、材料费、机械费、运输费、进退场费、安全文明施工措施费、其他各类措施费用、保险费以及管理费、利润、税金等一切费用在内。</w:t>
      </w:r>
    </w:p>
    <w:p w14:paraId="3E8A7AF7">
      <w:pPr>
        <w:spacing w:line="480" w:lineRule="exact"/>
        <w:ind w:firstLine="480"/>
        <w:rPr>
          <w:rFonts w:hint="eastAsia"/>
          <w:sz w:val="24"/>
        </w:rPr>
      </w:pPr>
      <w:r>
        <w:rPr>
          <w:sz w:val="24"/>
        </w:rPr>
        <w:t>3.</w:t>
      </w:r>
      <w:r>
        <w:rPr>
          <w:rFonts w:hint="eastAsia"/>
          <w:sz w:val="24"/>
        </w:rPr>
        <w:t>招标代理服务费应包含（分摊）在投标报价中，但不单独列出。中标供应商在领取中标通知书前向招标代理人支付，招标代理服务费按《招标代理服务收费管理暂行办法》计价格[2002]1980号文收费标准的80%计取。投标单位应综合考虑该费用。</w:t>
      </w:r>
    </w:p>
    <w:p w14:paraId="445ECEB0">
      <w:pPr>
        <w:keepNext w:val="0"/>
        <w:keepLines w:val="0"/>
        <w:pageBreakBefore w:val="0"/>
        <w:widowControl w:val="0"/>
        <w:spacing w:line="360" w:lineRule="exact"/>
        <w:ind w:firstLine="561"/>
        <w:rPr>
          <w:rFonts w:hint="eastAsia"/>
          <w:sz w:val="24"/>
        </w:rPr>
      </w:pPr>
    </w:p>
    <w:p w14:paraId="704BEBC7">
      <w:pPr>
        <w:rPr>
          <w:b/>
          <w:sz w:val="36"/>
          <w:szCs w:val="36"/>
        </w:rPr>
      </w:pPr>
      <w:r>
        <w:rPr>
          <w:b/>
          <w:sz w:val="36"/>
          <w:szCs w:val="36"/>
        </w:rPr>
        <w:br w:type="page"/>
      </w:r>
    </w:p>
    <w:p w14:paraId="7040E2EB">
      <w:pPr>
        <w:spacing w:line="500" w:lineRule="exact"/>
        <w:jc w:val="center"/>
        <w:outlineLvl w:val="0"/>
        <w:rPr>
          <w:b/>
          <w:sz w:val="36"/>
          <w:szCs w:val="36"/>
        </w:rPr>
      </w:pPr>
      <w:r>
        <w:rPr>
          <w:b/>
          <w:sz w:val="36"/>
          <w:szCs w:val="36"/>
        </w:rPr>
        <w:t>第三部分  项目需求</w:t>
      </w:r>
    </w:p>
    <w:p w14:paraId="7360C9ED">
      <w:pPr>
        <w:keepNext w:val="0"/>
        <w:keepLines w:val="0"/>
        <w:pageBreakBefore w:val="0"/>
        <w:widowControl w:val="0"/>
        <w:spacing w:line="440" w:lineRule="exact"/>
        <w:ind w:firstLine="561"/>
        <w:rPr>
          <w:b/>
          <w:bCs/>
          <w:sz w:val="24"/>
        </w:rPr>
      </w:pPr>
      <w:r>
        <w:rPr>
          <w:b/>
          <w:bCs/>
          <w:sz w:val="24"/>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6C82B9F0">
      <w:pPr>
        <w:keepNext w:val="0"/>
        <w:keepLines w:val="0"/>
        <w:pageBreakBefore w:val="0"/>
        <w:widowControl w:val="0"/>
        <w:spacing w:line="440" w:lineRule="exact"/>
        <w:ind w:firstLine="561"/>
        <w:rPr>
          <w:b/>
          <w:bCs/>
          <w:sz w:val="24"/>
        </w:rPr>
      </w:pPr>
      <w:r>
        <w:rPr>
          <w:b/>
          <w:bCs/>
          <w:sz w:val="24"/>
        </w:rPr>
        <w:t>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bookmarkEnd w:id="0"/>
      <w:bookmarkEnd w:id="1"/>
      <w:bookmarkEnd w:id="2"/>
    </w:p>
    <w:p w14:paraId="0FEF4E90">
      <w:pPr>
        <w:keepNext w:val="0"/>
        <w:keepLines w:val="0"/>
        <w:pageBreakBefore w:val="0"/>
        <w:widowControl w:val="0"/>
        <w:spacing w:line="440" w:lineRule="exact"/>
        <w:jc w:val="center"/>
        <w:rPr>
          <w:rFonts w:hint="eastAsia" w:ascii="宋体" w:hAnsi="宋体"/>
          <w:b/>
          <w:sz w:val="28"/>
          <w:szCs w:val="28"/>
          <w:lang w:val="zh-CN"/>
        </w:rPr>
      </w:pPr>
    </w:p>
    <w:p w14:paraId="446AD6C8">
      <w:pPr>
        <w:keepNext w:val="0"/>
        <w:keepLines w:val="0"/>
        <w:pageBreakBefore w:val="0"/>
        <w:widowControl w:val="0"/>
        <w:spacing w:line="440" w:lineRule="exact"/>
        <w:jc w:val="center"/>
        <w:rPr>
          <w:rFonts w:hint="eastAsia" w:ascii="宋体" w:hAnsi="宋体"/>
          <w:b/>
          <w:sz w:val="28"/>
          <w:szCs w:val="28"/>
        </w:rPr>
      </w:pPr>
      <w:r>
        <w:rPr>
          <w:rFonts w:hint="eastAsia" w:ascii="宋体" w:hAnsi="宋体"/>
          <w:b/>
          <w:sz w:val="28"/>
          <w:szCs w:val="28"/>
          <w:lang w:val="zh-CN"/>
        </w:rPr>
        <w:t>第一章  采购项目总体要求</w:t>
      </w:r>
    </w:p>
    <w:p w14:paraId="47E28E75">
      <w:pPr>
        <w:keepNext w:val="0"/>
        <w:keepLines w:val="0"/>
        <w:pageBreakBefore w:val="0"/>
        <w:widowControl w:val="0"/>
        <w:spacing w:line="440" w:lineRule="exact"/>
        <w:ind w:firstLine="424"/>
        <w:rPr>
          <w:rFonts w:hint="eastAsia" w:asciiTheme="minorEastAsia" w:hAnsiTheme="minorEastAsia" w:eastAsiaTheme="minorEastAsia" w:cstheme="minorEastAsia"/>
          <w:sz w:val="24"/>
          <w:lang w:val="en-US" w:eastAsia="zh-CN"/>
        </w:rPr>
      </w:pPr>
      <w:r>
        <w:rPr>
          <w:rFonts w:hint="eastAsia"/>
          <w:sz w:val="24"/>
        </w:rPr>
        <w:t xml:space="preserve"> </w:t>
      </w:r>
      <w:r>
        <w:rPr>
          <w:rFonts w:hint="eastAsia" w:asciiTheme="minorEastAsia" w:hAnsiTheme="minorEastAsia" w:eastAsiaTheme="minorEastAsia" w:cstheme="minorEastAsia"/>
          <w:sz w:val="24"/>
        </w:rPr>
        <w:t xml:space="preserve"> 一、</w:t>
      </w:r>
      <w:r>
        <w:rPr>
          <w:rFonts w:hint="eastAsia" w:asciiTheme="minorEastAsia" w:hAnsiTheme="minorEastAsia" w:eastAsiaTheme="minorEastAsia" w:cstheme="minorEastAsia"/>
          <w:sz w:val="24"/>
          <w:lang w:val="en-US" w:eastAsia="zh-CN"/>
        </w:rPr>
        <w:t>项目概况</w:t>
      </w:r>
    </w:p>
    <w:p w14:paraId="09980571">
      <w:pPr>
        <w:pStyle w:val="5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 1、服务项目内容及规模：对海门街道2020、2022、2023、2024年度建设的农村污水处理设施（包括动力设施77套、提升泵站2套、无动力设施1430套，含所有设施配套管网及电力线缆）提供运维服务。</w:t>
      </w:r>
    </w:p>
    <w:p w14:paraId="1508697B">
      <w:pPr>
        <w:keepNext w:val="0"/>
        <w:keepLines w:val="0"/>
        <w:pageBreakBefore w:val="0"/>
        <w:widowControl w:val="0"/>
        <w:spacing w:line="440" w:lineRule="exact"/>
        <w:ind w:firstLine="498"/>
        <w:jc w:val="center"/>
        <w:rPr>
          <w:rFonts w:hint="eastAsia" w:ascii="宋体" w:hAnsi="宋体"/>
          <w:b/>
          <w:sz w:val="28"/>
          <w:szCs w:val="28"/>
        </w:rPr>
      </w:pPr>
    </w:p>
    <w:p w14:paraId="16E4F071">
      <w:pPr>
        <w:keepNext w:val="0"/>
        <w:keepLines w:val="0"/>
        <w:pageBreakBefore w:val="0"/>
        <w:widowControl w:val="0"/>
        <w:spacing w:line="440" w:lineRule="exact"/>
        <w:ind w:firstLine="498"/>
        <w:jc w:val="center"/>
        <w:rPr>
          <w:rFonts w:hint="eastAsia" w:ascii="宋体" w:hAnsi="宋体"/>
          <w:b/>
          <w:sz w:val="28"/>
          <w:szCs w:val="28"/>
        </w:rPr>
      </w:pPr>
      <w:r>
        <w:rPr>
          <w:rFonts w:hint="eastAsia" w:ascii="宋体" w:hAnsi="宋体"/>
          <w:b/>
          <w:sz w:val="28"/>
          <w:szCs w:val="28"/>
        </w:rPr>
        <w:t>第二章  采购项目范围内容</w:t>
      </w:r>
    </w:p>
    <w:p w14:paraId="19366BB5">
      <w:pPr>
        <w:keepNext w:val="0"/>
        <w:keepLines w:val="0"/>
        <w:pageBreakBefore w:val="0"/>
        <w:widowControl w:val="0"/>
        <w:spacing w:line="440" w:lineRule="exact"/>
        <w:ind w:firstLine="426"/>
        <w:rPr>
          <w:rFonts w:hint="default" w:ascii="宋体" w:hAnsi="宋体" w:eastAsia="宋体"/>
          <w:b/>
          <w:sz w:val="24"/>
          <w:szCs w:val="20"/>
          <w:lang w:val="en-US" w:eastAsia="zh-CN"/>
        </w:rPr>
      </w:pPr>
      <w:r>
        <w:rPr>
          <w:rFonts w:hint="eastAsia" w:ascii="宋体" w:hAnsi="宋体"/>
          <w:b/>
          <w:sz w:val="24"/>
          <w:szCs w:val="20"/>
        </w:rPr>
        <w:t>一、项目范围</w:t>
      </w:r>
      <w:r>
        <w:rPr>
          <w:rFonts w:hint="eastAsia" w:ascii="宋体" w:hAnsi="宋体"/>
          <w:b/>
          <w:sz w:val="24"/>
          <w:szCs w:val="20"/>
          <w:lang w:val="en-US" w:eastAsia="zh-CN"/>
        </w:rPr>
        <w:t>及内容</w:t>
      </w:r>
    </w:p>
    <w:tbl>
      <w:tblPr>
        <w:tblStyle w:val="42"/>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8"/>
        <w:gridCol w:w="1508"/>
        <w:gridCol w:w="2777"/>
        <w:gridCol w:w="2767"/>
        <w:gridCol w:w="1122"/>
        <w:gridCol w:w="698"/>
      </w:tblGrid>
      <w:tr w14:paraId="00227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2" w:hRule="atLeast"/>
        </w:trPr>
        <w:tc>
          <w:tcPr>
            <w:tcW w:w="698" w:type="dxa"/>
            <w:tcBorders>
              <w:top w:val="single" w:color="000000" w:sz="8" w:space="0"/>
              <w:left w:val="single" w:color="000000" w:sz="8" w:space="0"/>
              <w:bottom w:val="single" w:color="000000" w:sz="4" w:space="0"/>
              <w:right w:val="single" w:color="000000" w:sz="4" w:space="0"/>
            </w:tcBorders>
            <w:shd w:val="clear" w:color="auto" w:fill="FFFFFF" w:themeFill="background1"/>
            <w:noWrap/>
            <w:vAlign w:val="center"/>
          </w:tcPr>
          <w:p w14:paraId="40FAFAF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508" w:type="dxa"/>
            <w:tcBorders>
              <w:top w:val="single" w:color="000000" w:sz="8" w:space="0"/>
              <w:left w:val="single" w:color="000000" w:sz="4" w:space="0"/>
              <w:bottom w:val="single" w:color="000000" w:sz="4" w:space="0"/>
              <w:right w:val="single" w:color="000000" w:sz="4" w:space="0"/>
            </w:tcBorders>
            <w:shd w:val="clear" w:color="auto" w:fill="FFFFFF" w:themeFill="background1"/>
            <w:noWrap/>
            <w:vAlign w:val="center"/>
          </w:tcPr>
          <w:p w14:paraId="3C49855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设施名称</w:t>
            </w:r>
          </w:p>
        </w:tc>
        <w:tc>
          <w:tcPr>
            <w:tcW w:w="2777" w:type="dxa"/>
            <w:tcBorders>
              <w:top w:val="single" w:color="000000" w:sz="8" w:space="0"/>
              <w:left w:val="single" w:color="000000" w:sz="4" w:space="0"/>
              <w:bottom w:val="single" w:color="000000" w:sz="4" w:space="0"/>
              <w:right w:val="single" w:color="000000" w:sz="4" w:space="0"/>
            </w:tcBorders>
            <w:shd w:val="clear" w:color="auto" w:fill="FFFFFF" w:themeFill="background1"/>
            <w:noWrap/>
            <w:vAlign w:val="center"/>
          </w:tcPr>
          <w:p w14:paraId="751F2FF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设备规格和容量</w:t>
            </w:r>
          </w:p>
        </w:tc>
        <w:tc>
          <w:tcPr>
            <w:tcW w:w="2767" w:type="dxa"/>
            <w:tcBorders>
              <w:top w:val="single" w:color="000000" w:sz="8" w:space="0"/>
              <w:left w:val="single" w:color="000000" w:sz="4" w:space="0"/>
              <w:bottom w:val="single" w:color="000000" w:sz="4" w:space="0"/>
              <w:right w:val="single" w:color="000000" w:sz="4" w:space="0"/>
            </w:tcBorders>
            <w:shd w:val="clear" w:color="auto" w:fill="FFFFFF" w:themeFill="background1"/>
            <w:noWrap/>
            <w:vAlign w:val="center"/>
          </w:tcPr>
          <w:p w14:paraId="27206AC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地址</w:t>
            </w:r>
          </w:p>
        </w:tc>
        <w:tc>
          <w:tcPr>
            <w:tcW w:w="1122" w:type="dxa"/>
            <w:tcBorders>
              <w:top w:val="single" w:color="000000" w:sz="8" w:space="0"/>
              <w:left w:val="single" w:color="000000" w:sz="4" w:space="0"/>
              <w:bottom w:val="single" w:color="000000" w:sz="4" w:space="0"/>
              <w:right w:val="single" w:color="000000" w:sz="4" w:space="0"/>
            </w:tcBorders>
            <w:shd w:val="clear" w:color="auto" w:fill="FFFFFF" w:themeFill="background1"/>
            <w:noWrap/>
            <w:vAlign w:val="center"/>
          </w:tcPr>
          <w:p w14:paraId="5025D53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数量·月</w:t>
            </w:r>
          </w:p>
        </w:tc>
        <w:tc>
          <w:tcPr>
            <w:tcW w:w="698" w:type="dxa"/>
            <w:tcBorders>
              <w:top w:val="single" w:color="000000" w:sz="8" w:space="0"/>
              <w:left w:val="single" w:color="000000" w:sz="4" w:space="0"/>
              <w:bottom w:val="single" w:color="000000" w:sz="4" w:space="0"/>
              <w:right w:val="single" w:color="000000" w:sz="8" w:space="0"/>
            </w:tcBorders>
            <w:shd w:val="clear" w:color="auto" w:fill="FFFFFF" w:themeFill="background1"/>
            <w:noWrap/>
            <w:vAlign w:val="center"/>
          </w:tcPr>
          <w:p w14:paraId="36B9106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lang w:val="en-US" w:eastAsia="zh-CN"/>
              </w:rPr>
            </w:pPr>
            <w:r>
              <w:rPr>
                <w:rFonts w:hint="eastAsia" w:ascii="宋体" w:hAnsi="宋体" w:cs="宋体"/>
                <w:b/>
                <w:bCs/>
                <w:i w:val="0"/>
                <w:iCs w:val="0"/>
                <w:color w:val="000000"/>
                <w:sz w:val="24"/>
                <w:szCs w:val="24"/>
                <w:u w:val="none"/>
                <w:lang w:val="en-US" w:eastAsia="zh-CN"/>
              </w:rPr>
              <w:t>备注</w:t>
            </w:r>
          </w:p>
        </w:tc>
      </w:tr>
      <w:tr w14:paraId="5AB56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698"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F1F731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一、</w:t>
            </w:r>
          </w:p>
        </w:tc>
        <w:tc>
          <w:tcPr>
            <w:tcW w:w="8872"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F1FC7">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2020年度建设的污水处理设施</w:t>
            </w:r>
          </w:p>
        </w:tc>
      </w:tr>
      <w:tr w14:paraId="5A72D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8"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111E2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508" w:type="dxa"/>
            <w:vMerge w:val="restart"/>
            <w:tcBorders>
              <w:top w:val="nil"/>
              <w:left w:val="single" w:color="000000" w:sz="4" w:space="0"/>
              <w:bottom w:val="nil"/>
              <w:right w:val="single" w:color="000000" w:sz="4" w:space="0"/>
            </w:tcBorders>
            <w:shd w:val="clear" w:color="auto" w:fill="auto"/>
            <w:vAlign w:val="center"/>
          </w:tcPr>
          <w:p w14:paraId="27E1F8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376"/>
                <w:sz w:val="21"/>
                <w:szCs w:val="21"/>
                <w:lang w:val="en-US" w:eastAsia="zh-CN" w:bidi="ar"/>
              </w:rPr>
              <w:t>有动力处理设施</w:t>
            </w:r>
            <w:r>
              <w:rPr>
                <w:rFonts w:hint="eastAsia" w:ascii="宋体" w:hAnsi="宋体" w:eastAsia="宋体" w:cs="宋体"/>
                <w:b/>
                <w:bCs/>
                <w:i w:val="0"/>
                <w:iCs w:val="0"/>
                <w:color w:val="000000"/>
                <w:kern w:val="0"/>
                <w:sz w:val="21"/>
                <w:szCs w:val="21"/>
                <w:u w:val="none"/>
                <w:lang w:val="en-US" w:eastAsia="zh-CN" w:bidi="ar"/>
              </w:rPr>
              <w:t>（16座）</w:t>
            </w:r>
          </w:p>
        </w:tc>
        <w:tc>
          <w:tcPr>
            <w:tcW w:w="2777" w:type="dxa"/>
            <w:tcBorders>
              <w:top w:val="nil"/>
              <w:left w:val="single" w:color="000000" w:sz="4" w:space="0"/>
              <w:bottom w:val="single" w:color="000000" w:sz="4" w:space="0"/>
              <w:right w:val="single" w:color="000000" w:sz="4" w:space="0"/>
            </w:tcBorders>
            <w:shd w:val="clear" w:color="auto" w:fill="auto"/>
            <w:vAlign w:val="center"/>
          </w:tcPr>
          <w:p w14:paraId="616CB4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一体化污水处理设施1t/d</w:t>
            </w:r>
          </w:p>
        </w:tc>
        <w:tc>
          <w:tcPr>
            <w:tcW w:w="2767" w:type="dxa"/>
            <w:tcBorders>
              <w:top w:val="nil"/>
              <w:left w:val="single" w:color="000000" w:sz="4" w:space="0"/>
              <w:bottom w:val="single" w:color="000000" w:sz="4" w:space="0"/>
              <w:right w:val="single" w:color="000000" w:sz="4" w:space="0"/>
            </w:tcBorders>
            <w:shd w:val="clear" w:color="auto" w:fill="auto"/>
            <w:noWrap/>
            <w:vAlign w:val="center"/>
          </w:tcPr>
          <w:p w14:paraId="6A21D0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德新村8组、12组</w:t>
            </w:r>
          </w:p>
        </w:tc>
        <w:tc>
          <w:tcPr>
            <w:tcW w:w="1122" w:type="dxa"/>
            <w:tcBorders>
              <w:top w:val="nil"/>
              <w:left w:val="single" w:color="000000" w:sz="4" w:space="0"/>
              <w:bottom w:val="single" w:color="000000" w:sz="4" w:space="0"/>
              <w:right w:val="single" w:color="000000" w:sz="4" w:space="0"/>
            </w:tcBorders>
            <w:shd w:val="clear" w:color="auto" w:fill="auto"/>
            <w:noWrap/>
            <w:vAlign w:val="center"/>
          </w:tcPr>
          <w:p w14:paraId="31C7FF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4*12</w:t>
            </w:r>
          </w:p>
        </w:tc>
        <w:tc>
          <w:tcPr>
            <w:tcW w:w="698" w:type="dxa"/>
            <w:vMerge w:val="restart"/>
            <w:tcBorders>
              <w:top w:val="nil"/>
              <w:left w:val="single" w:color="000000" w:sz="4" w:space="0"/>
              <w:right w:val="single" w:color="000000" w:sz="8" w:space="0"/>
            </w:tcBorders>
            <w:shd w:val="clear" w:color="auto" w:fill="auto"/>
            <w:noWrap/>
            <w:vAlign w:val="center"/>
          </w:tcPr>
          <w:p w14:paraId="450E0559">
            <w:pPr>
              <w:keepNext w:val="0"/>
              <w:keepLines w:val="0"/>
              <w:widowControl/>
              <w:suppressLineNumbers w:val="0"/>
              <w:jc w:val="center"/>
              <w:textAlignment w:val="center"/>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 xml:space="preserve"> </w:t>
            </w:r>
          </w:p>
          <w:p w14:paraId="17974A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FFC000"/>
                <w:kern w:val="0"/>
                <w:sz w:val="21"/>
                <w:szCs w:val="21"/>
                <w:u w:val="none"/>
                <w:lang w:val="en-US" w:eastAsia="zh-CN" w:bidi="ar"/>
              </w:rPr>
              <w:t xml:space="preserve"> </w:t>
            </w:r>
          </w:p>
        </w:tc>
      </w:tr>
      <w:tr w14:paraId="71464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98"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954D5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508" w:type="dxa"/>
            <w:vMerge w:val="continue"/>
            <w:tcBorders>
              <w:top w:val="nil"/>
              <w:left w:val="single" w:color="000000" w:sz="4" w:space="0"/>
              <w:bottom w:val="nil"/>
              <w:right w:val="single" w:color="000000" w:sz="4" w:space="0"/>
            </w:tcBorders>
            <w:shd w:val="clear" w:color="auto" w:fill="auto"/>
            <w:vAlign w:val="center"/>
          </w:tcPr>
          <w:p w14:paraId="4E45E527">
            <w:pPr>
              <w:jc w:val="center"/>
              <w:rPr>
                <w:rFonts w:hint="eastAsia" w:ascii="宋体" w:hAnsi="宋体" w:eastAsia="宋体" w:cs="宋体"/>
                <w:i w:val="0"/>
                <w:iCs w:val="0"/>
                <w:color w:val="000000"/>
                <w:sz w:val="21"/>
                <w:szCs w:val="21"/>
                <w:u w:val="none"/>
              </w:rPr>
            </w:pP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88B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一体化污水处理设施2t/d</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9FD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德新村22组、23组，文俊村4组，建南村17组、31组，三圩村24组</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EF2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6*12</w:t>
            </w:r>
          </w:p>
        </w:tc>
        <w:tc>
          <w:tcPr>
            <w:tcW w:w="698" w:type="dxa"/>
            <w:vMerge w:val="continue"/>
            <w:tcBorders>
              <w:left w:val="single" w:color="000000" w:sz="4" w:space="0"/>
              <w:right w:val="single" w:color="000000" w:sz="8" w:space="0"/>
            </w:tcBorders>
            <w:shd w:val="clear" w:color="auto" w:fill="auto"/>
            <w:noWrap/>
            <w:vAlign w:val="center"/>
          </w:tcPr>
          <w:p w14:paraId="3D5BBE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0C37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4" w:hRule="atLeast"/>
        </w:trPr>
        <w:tc>
          <w:tcPr>
            <w:tcW w:w="698"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059BC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508" w:type="dxa"/>
            <w:vMerge w:val="continue"/>
            <w:tcBorders>
              <w:top w:val="nil"/>
              <w:left w:val="single" w:color="000000" w:sz="4" w:space="0"/>
              <w:bottom w:val="nil"/>
              <w:right w:val="single" w:color="000000" w:sz="4" w:space="0"/>
            </w:tcBorders>
            <w:shd w:val="clear" w:color="auto" w:fill="auto"/>
            <w:vAlign w:val="center"/>
          </w:tcPr>
          <w:p w14:paraId="54D3D7C5">
            <w:pPr>
              <w:jc w:val="center"/>
              <w:rPr>
                <w:rFonts w:hint="eastAsia" w:ascii="宋体" w:hAnsi="宋体" w:eastAsia="宋体" w:cs="宋体"/>
                <w:i w:val="0"/>
                <w:iCs w:val="0"/>
                <w:color w:val="000000"/>
                <w:sz w:val="21"/>
                <w:szCs w:val="21"/>
                <w:u w:val="none"/>
              </w:rPr>
            </w:pP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0FC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一体化污水处理设施5t/d</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349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德新村22组，文俊村5组、31组，建南村27组，利北村16组、20组</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E5B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6*12</w:t>
            </w:r>
          </w:p>
        </w:tc>
        <w:tc>
          <w:tcPr>
            <w:tcW w:w="698" w:type="dxa"/>
            <w:vMerge w:val="continue"/>
            <w:tcBorders>
              <w:left w:val="single" w:color="000000" w:sz="4" w:space="0"/>
              <w:right w:val="single" w:color="000000" w:sz="8" w:space="0"/>
            </w:tcBorders>
            <w:shd w:val="clear" w:color="auto" w:fill="auto"/>
            <w:noWrap/>
            <w:vAlign w:val="center"/>
          </w:tcPr>
          <w:p w14:paraId="340515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14E46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9" w:hRule="atLeast"/>
        </w:trPr>
        <w:tc>
          <w:tcPr>
            <w:tcW w:w="698"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AE6EF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242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376"/>
                <w:sz w:val="21"/>
                <w:szCs w:val="21"/>
                <w:lang w:val="en-US" w:eastAsia="zh-CN" w:bidi="ar"/>
              </w:rPr>
              <w:t>一体化提升泵站</w:t>
            </w:r>
            <w:r>
              <w:rPr>
                <w:rFonts w:hint="eastAsia" w:ascii="宋体" w:hAnsi="宋体" w:eastAsia="宋体" w:cs="宋体"/>
                <w:b/>
                <w:bCs/>
                <w:i w:val="0"/>
                <w:iCs w:val="0"/>
                <w:color w:val="000000"/>
                <w:kern w:val="0"/>
                <w:sz w:val="21"/>
                <w:szCs w:val="21"/>
                <w:u w:val="none"/>
                <w:lang w:val="en-US" w:eastAsia="zh-CN" w:bidi="ar"/>
              </w:rPr>
              <w:t>（2座）</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33B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φ1200*4550mm</w:t>
            </w:r>
          </w:p>
        </w:tc>
        <w:tc>
          <w:tcPr>
            <w:tcW w:w="2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5B33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双桥村17组，三圩村34组</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333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2*12</w:t>
            </w:r>
          </w:p>
        </w:tc>
        <w:tc>
          <w:tcPr>
            <w:tcW w:w="698" w:type="dxa"/>
            <w:vMerge w:val="continue"/>
            <w:tcBorders>
              <w:left w:val="single" w:color="000000" w:sz="4" w:space="0"/>
              <w:bottom w:val="single" w:color="000000" w:sz="4" w:space="0"/>
              <w:right w:val="single" w:color="000000" w:sz="8" w:space="0"/>
            </w:tcBorders>
            <w:shd w:val="clear" w:color="auto" w:fill="auto"/>
            <w:noWrap/>
            <w:vAlign w:val="center"/>
          </w:tcPr>
          <w:p w14:paraId="3ABFC3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CE21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9" w:hRule="atLeast"/>
        </w:trPr>
        <w:tc>
          <w:tcPr>
            <w:tcW w:w="698"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C7D1DB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二、</w:t>
            </w:r>
          </w:p>
        </w:tc>
        <w:tc>
          <w:tcPr>
            <w:tcW w:w="8872" w:type="dxa"/>
            <w:gridSpan w:val="5"/>
            <w:tcBorders>
              <w:top w:val="single" w:color="000000" w:sz="4" w:space="0"/>
              <w:left w:val="single" w:color="000000" w:sz="4" w:space="0"/>
              <w:bottom w:val="single" w:color="000000" w:sz="4" w:space="0"/>
              <w:right w:val="single" w:color="000000" w:sz="8" w:space="0"/>
            </w:tcBorders>
            <w:shd w:val="clear" w:color="auto" w:fill="auto"/>
            <w:vAlign w:val="center"/>
          </w:tcPr>
          <w:p w14:paraId="49BC6544">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2022年度建设的污水处理设施</w:t>
            </w:r>
          </w:p>
        </w:tc>
      </w:tr>
      <w:tr w14:paraId="4DDF5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8"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2A39E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508" w:type="dxa"/>
            <w:vMerge w:val="restart"/>
            <w:tcBorders>
              <w:top w:val="nil"/>
              <w:left w:val="single" w:color="000000" w:sz="4" w:space="0"/>
              <w:bottom w:val="nil"/>
              <w:right w:val="single" w:color="000000" w:sz="4" w:space="0"/>
            </w:tcBorders>
            <w:shd w:val="clear" w:color="auto" w:fill="auto"/>
            <w:vAlign w:val="center"/>
          </w:tcPr>
          <w:p w14:paraId="308E94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376"/>
                <w:sz w:val="21"/>
                <w:szCs w:val="21"/>
                <w:lang w:val="en-US" w:eastAsia="zh-CN" w:bidi="ar"/>
              </w:rPr>
              <w:t>有动力处理设施</w:t>
            </w:r>
            <w:r>
              <w:rPr>
                <w:rFonts w:hint="eastAsia" w:ascii="宋体" w:hAnsi="宋体" w:eastAsia="宋体" w:cs="宋体"/>
                <w:b/>
                <w:bCs/>
                <w:i w:val="0"/>
                <w:iCs w:val="0"/>
                <w:color w:val="000000"/>
                <w:kern w:val="0"/>
                <w:sz w:val="21"/>
                <w:szCs w:val="21"/>
                <w:u w:val="none"/>
                <w:lang w:val="en-US" w:eastAsia="zh-CN" w:bidi="ar"/>
              </w:rPr>
              <w:t>（45座）</w:t>
            </w:r>
          </w:p>
        </w:tc>
        <w:tc>
          <w:tcPr>
            <w:tcW w:w="2777" w:type="dxa"/>
            <w:tcBorders>
              <w:top w:val="nil"/>
              <w:left w:val="single" w:color="000000" w:sz="4" w:space="0"/>
              <w:bottom w:val="single" w:color="000000" w:sz="4" w:space="0"/>
              <w:right w:val="single" w:color="000000" w:sz="4" w:space="0"/>
            </w:tcBorders>
            <w:shd w:val="clear" w:color="auto" w:fill="auto"/>
            <w:vAlign w:val="center"/>
          </w:tcPr>
          <w:p w14:paraId="362506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一体化污水处理设施1t/d</w:t>
            </w:r>
          </w:p>
        </w:tc>
        <w:tc>
          <w:tcPr>
            <w:tcW w:w="2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E9D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详见附表</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163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1*12</w:t>
            </w:r>
          </w:p>
        </w:tc>
        <w:tc>
          <w:tcPr>
            <w:tcW w:w="698" w:type="dxa"/>
            <w:vMerge w:val="restart"/>
            <w:tcBorders>
              <w:top w:val="single" w:color="000000" w:sz="4" w:space="0"/>
              <w:left w:val="single" w:color="000000" w:sz="4" w:space="0"/>
              <w:right w:val="single" w:color="000000" w:sz="8" w:space="0"/>
            </w:tcBorders>
            <w:shd w:val="clear" w:color="auto" w:fill="auto"/>
            <w:noWrap/>
            <w:vAlign w:val="center"/>
          </w:tcPr>
          <w:p w14:paraId="423B72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70C0"/>
                <w:kern w:val="0"/>
                <w:sz w:val="21"/>
                <w:szCs w:val="21"/>
                <w:u w:val="none"/>
                <w:lang w:val="en-US" w:eastAsia="zh-CN" w:bidi="ar"/>
              </w:rPr>
              <w:t xml:space="preserve"> </w:t>
            </w:r>
          </w:p>
          <w:p w14:paraId="4F89CF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2060"/>
                <w:kern w:val="0"/>
                <w:sz w:val="21"/>
                <w:szCs w:val="21"/>
                <w:u w:val="none"/>
                <w:lang w:val="en-US" w:eastAsia="zh-CN" w:bidi="ar"/>
              </w:rPr>
              <w:t xml:space="preserve"> </w:t>
            </w:r>
          </w:p>
        </w:tc>
      </w:tr>
      <w:tr w14:paraId="027B9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8"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9675F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508" w:type="dxa"/>
            <w:vMerge w:val="continue"/>
            <w:tcBorders>
              <w:top w:val="nil"/>
              <w:left w:val="single" w:color="000000" w:sz="4" w:space="0"/>
              <w:bottom w:val="nil"/>
              <w:right w:val="single" w:color="000000" w:sz="4" w:space="0"/>
            </w:tcBorders>
            <w:shd w:val="clear" w:color="auto" w:fill="auto"/>
            <w:vAlign w:val="center"/>
          </w:tcPr>
          <w:p w14:paraId="1641C62A">
            <w:pPr>
              <w:jc w:val="center"/>
              <w:rPr>
                <w:rFonts w:hint="eastAsia" w:ascii="宋体" w:hAnsi="宋体" w:eastAsia="宋体" w:cs="宋体"/>
                <w:i w:val="0"/>
                <w:iCs w:val="0"/>
                <w:color w:val="000000"/>
                <w:sz w:val="21"/>
                <w:szCs w:val="21"/>
                <w:u w:val="none"/>
              </w:rPr>
            </w:pP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16E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一体化污水处理设施2t/d</w:t>
            </w:r>
          </w:p>
        </w:tc>
        <w:tc>
          <w:tcPr>
            <w:tcW w:w="2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910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详见附表</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869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21*12</w:t>
            </w:r>
          </w:p>
        </w:tc>
        <w:tc>
          <w:tcPr>
            <w:tcW w:w="698" w:type="dxa"/>
            <w:vMerge w:val="continue"/>
            <w:tcBorders>
              <w:left w:val="single" w:color="000000" w:sz="4" w:space="0"/>
              <w:right w:val="single" w:color="000000" w:sz="8" w:space="0"/>
            </w:tcBorders>
            <w:shd w:val="clear" w:color="auto" w:fill="auto"/>
            <w:noWrap/>
            <w:vAlign w:val="center"/>
          </w:tcPr>
          <w:p w14:paraId="7347F6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CD24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8"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E7194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508" w:type="dxa"/>
            <w:vMerge w:val="continue"/>
            <w:tcBorders>
              <w:top w:val="nil"/>
              <w:left w:val="single" w:color="000000" w:sz="4" w:space="0"/>
              <w:bottom w:val="nil"/>
              <w:right w:val="single" w:color="000000" w:sz="4" w:space="0"/>
            </w:tcBorders>
            <w:shd w:val="clear" w:color="auto" w:fill="auto"/>
            <w:vAlign w:val="center"/>
          </w:tcPr>
          <w:p w14:paraId="52C9F03D">
            <w:pPr>
              <w:jc w:val="center"/>
              <w:rPr>
                <w:rFonts w:hint="eastAsia" w:ascii="宋体" w:hAnsi="宋体" w:eastAsia="宋体" w:cs="宋体"/>
                <w:i w:val="0"/>
                <w:iCs w:val="0"/>
                <w:color w:val="000000"/>
                <w:sz w:val="21"/>
                <w:szCs w:val="21"/>
                <w:u w:val="none"/>
              </w:rPr>
            </w:pP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AE9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一体化污水处理设施5t/d</w:t>
            </w:r>
          </w:p>
        </w:tc>
        <w:tc>
          <w:tcPr>
            <w:tcW w:w="2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00F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详见附表</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9E4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21*12</w:t>
            </w:r>
          </w:p>
        </w:tc>
        <w:tc>
          <w:tcPr>
            <w:tcW w:w="698" w:type="dxa"/>
            <w:vMerge w:val="continue"/>
            <w:tcBorders>
              <w:left w:val="single" w:color="000000" w:sz="4" w:space="0"/>
              <w:right w:val="single" w:color="000000" w:sz="8" w:space="0"/>
            </w:tcBorders>
            <w:shd w:val="clear" w:color="auto" w:fill="auto"/>
            <w:noWrap/>
            <w:vAlign w:val="center"/>
          </w:tcPr>
          <w:p w14:paraId="460E78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F1DF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8"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3EAB7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508" w:type="dxa"/>
            <w:vMerge w:val="continue"/>
            <w:tcBorders>
              <w:top w:val="nil"/>
              <w:left w:val="single" w:color="000000" w:sz="4" w:space="0"/>
              <w:bottom w:val="nil"/>
              <w:right w:val="single" w:color="000000" w:sz="4" w:space="0"/>
            </w:tcBorders>
            <w:shd w:val="clear" w:color="auto" w:fill="auto"/>
            <w:vAlign w:val="center"/>
          </w:tcPr>
          <w:p w14:paraId="0D54F1BD">
            <w:pPr>
              <w:jc w:val="center"/>
              <w:rPr>
                <w:rFonts w:hint="eastAsia" w:ascii="宋体" w:hAnsi="宋体" w:eastAsia="宋体" w:cs="宋体"/>
                <w:i w:val="0"/>
                <w:iCs w:val="0"/>
                <w:color w:val="000000"/>
                <w:sz w:val="21"/>
                <w:szCs w:val="21"/>
                <w:u w:val="none"/>
              </w:rPr>
            </w:pP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C14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一体化污水处理设施10t/d</w:t>
            </w:r>
          </w:p>
        </w:tc>
        <w:tc>
          <w:tcPr>
            <w:tcW w:w="2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F17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详见附表</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0EB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2*12</w:t>
            </w:r>
          </w:p>
        </w:tc>
        <w:tc>
          <w:tcPr>
            <w:tcW w:w="698" w:type="dxa"/>
            <w:vMerge w:val="continue"/>
            <w:tcBorders>
              <w:left w:val="single" w:color="000000" w:sz="4" w:space="0"/>
              <w:right w:val="single" w:color="000000" w:sz="8" w:space="0"/>
            </w:tcBorders>
            <w:shd w:val="clear" w:color="auto" w:fill="auto"/>
            <w:noWrap/>
            <w:vAlign w:val="center"/>
          </w:tcPr>
          <w:p w14:paraId="1AE5A3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6D4A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2" w:hRule="atLeast"/>
        </w:trPr>
        <w:tc>
          <w:tcPr>
            <w:tcW w:w="698"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CB7E8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508" w:type="dxa"/>
            <w:tcBorders>
              <w:top w:val="single" w:color="000000" w:sz="4" w:space="0"/>
              <w:left w:val="single" w:color="000000" w:sz="4" w:space="0"/>
              <w:bottom w:val="nil"/>
              <w:right w:val="single" w:color="000000" w:sz="4" w:space="0"/>
            </w:tcBorders>
            <w:shd w:val="clear" w:color="auto" w:fill="auto"/>
            <w:vAlign w:val="center"/>
          </w:tcPr>
          <w:p w14:paraId="4BC407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376"/>
                <w:sz w:val="21"/>
                <w:szCs w:val="21"/>
                <w:lang w:val="en-US" w:eastAsia="zh-CN" w:bidi="ar"/>
              </w:rPr>
              <w:t>无动力处理设施</w:t>
            </w:r>
            <w:r>
              <w:rPr>
                <w:rFonts w:hint="eastAsia" w:ascii="宋体" w:hAnsi="宋体" w:eastAsia="宋体" w:cs="宋体"/>
                <w:b/>
                <w:bCs/>
                <w:i w:val="0"/>
                <w:iCs w:val="0"/>
                <w:color w:val="000000"/>
                <w:kern w:val="0"/>
                <w:sz w:val="21"/>
                <w:szCs w:val="21"/>
                <w:u w:val="none"/>
                <w:lang w:val="en-US" w:eastAsia="zh-CN" w:bidi="ar"/>
              </w:rPr>
              <w:t>（424座）</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575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1.5m3/座</w:t>
            </w:r>
          </w:p>
        </w:tc>
        <w:tc>
          <w:tcPr>
            <w:tcW w:w="2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020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详见附表</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E22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424*12</w:t>
            </w:r>
          </w:p>
        </w:tc>
        <w:tc>
          <w:tcPr>
            <w:tcW w:w="698" w:type="dxa"/>
            <w:vMerge w:val="continue"/>
            <w:tcBorders>
              <w:left w:val="single" w:color="000000" w:sz="4" w:space="0"/>
              <w:bottom w:val="single" w:color="000000" w:sz="4" w:space="0"/>
              <w:right w:val="single" w:color="000000" w:sz="8" w:space="0"/>
            </w:tcBorders>
            <w:shd w:val="clear" w:color="auto" w:fill="auto"/>
            <w:noWrap/>
            <w:vAlign w:val="center"/>
          </w:tcPr>
          <w:p w14:paraId="797052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4A90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9" w:hRule="atLeast"/>
        </w:trPr>
        <w:tc>
          <w:tcPr>
            <w:tcW w:w="698"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CB39AC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三、</w:t>
            </w:r>
          </w:p>
        </w:tc>
        <w:tc>
          <w:tcPr>
            <w:tcW w:w="8872" w:type="dxa"/>
            <w:gridSpan w:val="5"/>
            <w:tcBorders>
              <w:top w:val="single" w:color="000000" w:sz="4" w:space="0"/>
              <w:left w:val="single" w:color="000000" w:sz="4" w:space="0"/>
              <w:bottom w:val="single" w:color="000000" w:sz="4" w:space="0"/>
              <w:right w:val="single" w:color="000000" w:sz="8" w:space="0"/>
            </w:tcBorders>
            <w:shd w:val="clear" w:color="auto" w:fill="auto"/>
            <w:vAlign w:val="center"/>
          </w:tcPr>
          <w:p w14:paraId="159C2BC0">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2023年度建设的污水处理设施</w:t>
            </w:r>
          </w:p>
        </w:tc>
      </w:tr>
      <w:tr w14:paraId="47103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8"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30064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508" w:type="dxa"/>
            <w:vMerge w:val="restart"/>
            <w:tcBorders>
              <w:top w:val="nil"/>
              <w:left w:val="single" w:color="000000" w:sz="4" w:space="0"/>
              <w:bottom w:val="single" w:color="000000" w:sz="4" w:space="0"/>
              <w:right w:val="single" w:color="000000" w:sz="4" w:space="0"/>
            </w:tcBorders>
            <w:shd w:val="clear" w:color="auto" w:fill="auto"/>
            <w:vAlign w:val="center"/>
          </w:tcPr>
          <w:p w14:paraId="1919DE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376"/>
                <w:sz w:val="21"/>
                <w:szCs w:val="21"/>
                <w:lang w:val="en-US" w:eastAsia="zh-CN" w:bidi="ar"/>
              </w:rPr>
              <w:t>有动力处理设施</w:t>
            </w:r>
            <w:r>
              <w:rPr>
                <w:rFonts w:hint="eastAsia" w:ascii="宋体" w:hAnsi="宋体" w:eastAsia="宋体" w:cs="宋体"/>
                <w:b/>
                <w:bCs/>
                <w:i w:val="0"/>
                <w:iCs w:val="0"/>
                <w:color w:val="000000"/>
                <w:kern w:val="0"/>
                <w:sz w:val="21"/>
                <w:szCs w:val="21"/>
                <w:u w:val="none"/>
                <w:lang w:val="en-US" w:eastAsia="zh-CN" w:bidi="ar"/>
              </w:rPr>
              <w:t>（14座）</w:t>
            </w:r>
          </w:p>
        </w:tc>
        <w:tc>
          <w:tcPr>
            <w:tcW w:w="2777" w:type="dxa"/>
            <w:tcBorders>
              <w:top w:val="nil"/>
              <w:left w:val="single" w:color="000000" w:sz="4" w:space="0"/>
              <w:bottom w:val="single" w:color="000000" w:sz="4" w:space="0"/>
              <w:right w:val="single" w:color="000000" w:sz="4" w:space="0"/>
            </w:tcBorders>
            <w:shd w:val="clear" w:color="auto" w:fill="auto"/>
            <w:vAlign w:val="center"/>
          </w:tcPr>
          <w:p w14:paraId="41B1B7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一体化污水处理设施1t/d</w:t>
            </w:r>
          </w:p>
        </w:tc>
        <w:tc>
          <w:tcPr>
            <w:tcW w:w="2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EE1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详见附表</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28D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4*12</w:t>
            </w:r>
          </w:p>
        </w:tc>
        <w:tc>
          <w:tcPr>
            <w:tcW w:w="698" w:type="dxa"/>
            <w:vMerge w:val="restart"/>
            <w:tcBorders>
              <w:top w:val="single" w:color="000000" w:sz="4" w:space="0"/>
              <w:left w:val="single" w:color="000000" w:sz="4" w:space="0"/>
              <w:right w:val="single" w:color="000000" w:sz="8" w:space="0"/>
            </w:tcBorders>
            <w:shd w:val="clear" w:color="auto" w:fill="auto"/>
            <w:noWrap/>
            <w:vAlign w:val="center"/>
          </w:tcPr>
          <w:p w14:paraId="5B90D1B2">
            <w:pPr>
              <w:keepNext w:val="0"/>
              <w:keepLines w:val="0"/>
              <w:widowControl/>
              <w:suppressLineNumbers w:val="0"/>
              <w:jc w:val="center"/>
              <w:textAlignment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kern w:val="0"/>
                <w:sz w:val="21"/>
                <w:szCs w:val="21"/>
                <w:u w:val="none"/>
                <w:lang w:val="en-US" w:eastAsia="zh-CN" w:bidi="ar"/>
              </w:rPr>
              <w:t xml:space="preserve"> </w:t>
            </w:r>
          </w:p>
          <w:p w14:paraId="300452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p w14:paraId="44BB7BB1">
            <w:pPr>
              <w:pStyle w:val="50"/>
              <w:rPr>
                <w:rFonts w:hint="eastAsia" w:ascii="宋体" w:hAnsi="宋体" w:eastAsia="宋体" w:cs="宋体"/>
                <w:i w:val="0"/>
                <w:iCs w:val="0"/>
                <w:color w:val="FF0000"/>
                <w:kern w:val="0"/>
                <w:sz w:val="21"/>
                <w:szCs w:val="21"/>
                <w:u w:val="none"/>
                <w:lang w:val="en-US" w:eastAsia="zh-CN" w:bidi="ar"/>
              </w:rPr>
            </w:pPr>
          </w:p>
          <w:p w14:paraId="68D8A284">
            <w:pPr>
              <w:keepNext w:val="0"/>
              <w:keepLines w:val="0"/>
              <w:widowControl/>
              <w:suppressLineNumbers w:val="0"/>
              <w:jc w:val="center"/>
              <w:textAlignment w:val="center"/>
              <w:rPr>
                <w:rFonts w:hint="eastAsia" w:ascii="宋体" w:hAnsi="宋体" w:eastAsia="宋体" w:cs="宋体"/>
                <w:i w:val="0"/>
                <w:iCs w:val="0"/>
                <w:color w:val="00B050"/>
                <w:sz w:val="21"/>
                <w:szCs w:val="21"/>
                <w:u w:val="none"/>
              </w:rPr>
            </w:pPr>
          </w:p>
          <w:p w14:paraId="05F4F818">
            <w:pPr>
              <w:pStyle w:val="50"/>
              <w:rPr>
                <w:rFonts w:hint="eastAsia"/>
                <w:sz w:val="21"/>
                <w:szCs w:val="21"/>
              </w:rPr>
            </w:pPr>
          </w:p>
          <w:p w14:paraId="4F5148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p w14:paraId="42AE4043">
            <w:pPr>
              <w:pStyle w:val="50"/>
              <w:rPr>
                <w:rFonts w:hint="eastAsia"/>
                <w:sz w:val="21"/>
                <w:szCs w:val="21"/>
              </w:rPr>
            </w:pPr>
          </w:p>
          <w:p w14:paraId="22772DB2">
            <w:pPr>
              <w:keepNext w:val="0"/>
              <w:keepLines w:val="0"/>
              <w:widowControl/>
              <w:suppressLineNumbers w:val="0"/>
              <w:jc w:val="center"/>
              <w:textAlignment w:val="center"/>
              <w:rPr>
                <w:rFonts w:hint="eastAsia" w:ascii="宋体" w:hAnsi="宋体" w:eastAsia="宋体" w:cs="宋体"/>
                <w:i w:val="0"/>
                <w:iCs w:val="0"/>
                <w:color w:val="7030A0"/>
                <w:sz w:val="21"/>
                <w:szCs w:val="21"/>
                <w:u w:val="none"/>
              </w:rPr>
            </w:pPr>
          </w:p>
          <w:p w14:paraId="075C8291">
            <w:pPr>
              <w:pStyle w:val="50"/>
              <w:rPr>
                <w:rFonts w:hint="eastAsia"/>
                <w:sz w:val="21"/>
                <w:szCs w:val="21"/>
              </w:rPr>
            </w:pPr>
          </w:p>
          <w:p w14:paraId="787724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p w14:paraId="196C89CF">
            <w:pPr>
              <w:pStyle w:val="50"/>
              <w:rPr>
                <w:rFonts w:hint="eastAsia"/>
                <w:sz w:val="21"/>
                <w:szCs w:val="21"/>
              </w:rPr>
            </w:pPr>
          </w:p>
          <w:p w14:paraId="2AD2CA70">
            <w:pPr>
              <w:keepNext w:val="0"/>
              <w:keepLines w:val="0"/>
              <w:widowControl/>
              <w:suppressLineNumbers w:val="0"/>
              <w:jc w:val="center"/>
              <w:textAlignment w:val="center"/>
              <w:rPr>
                <w:rFonts w:hint="eastAsia" w:ascii="宋体" w:hAnsi="宋体" w:eastAsia="宋体" w:cs="宋体"/>
                <w:i w:val="0"/>
                <w:iCs w:val="0"/>
                <w:color w:val="002060"/>
                <w:sz w:val="21"/>
                <w:szCs w:val="21"/>
                <w:u w:val="none"/>
              </w:rPr>
            </w:pPr>
          </w:p>
          <w:p w14:paraId="584A996E">
            <w:pPr>
              <w:pStyle w:val="50"/>
              <w:rPr>
                <w:rFonts w:hint="eastAsia"/>
                <w:sz w:val="21"/>
                <w:szCs w:val="21"/>
              </w:rPr>
            </w:pPr>
          </w:p>
          <w:p w14:paraId="7AE7DA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p w14:paraId="11A3CAED">
            <w:pPr>
              <w:pStyle w:val="50"/>
              <w:rPr>
                <w:rFonts w:hint="eastAsia"/>
                <w:sz w:val="21"/>
                <w:szCs w:val="21"/>
              </w:rPr>
            </w:pPr>
          </w:p>
        </w:tc>
      </w:tr>
      <w:tr w14:paraId="4A925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8"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850BD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508" w:type="dxa"/>
            <w:vMerge w:val="continue"/>
            <w:tcBorders>
              <w:top w:val="nil"/>
              <w:left w:val="single" w:color="000000" w:sz="4" w:space="0"/>
              <w:bottom w:val="single" w:color="000000" w:sz="4" w:space="0"/>
              <w:right w:val="single" w:color="000000" w:sz="4" w:space="0"/>
            </w:tcBorders>
            <w:shd w:val="clear" w:color="auto" w:fill="auto"/>
            <w:vAlign w:val="center"/>
          </w:tcPr>
          <w:p w14:paraId="69138CC3">
            <w:pPr>
              <w:jc w:val="center"/>
              <w:rPr>
                <w:rFonts w:hint="eastAsia" w:ascii="宋体" w:hAnsi="宋体" w:eastAsia="宋体" w:cs="宋体"/>
                <w:i w:val="0"/>
                <w:iCs w:val="0"/>
                <w:color w:val="000000"/>
                <w:sz w:val="21"/>
                <w:szCs w:val="21"/>
                <w:u w:val="none"/>
              </w:rPr>
            </w:pP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D16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一体化污水处理设施2t/d</w:t>
            </w:r>
          </w:p>
        </w:tc>
        <w:tc>
          <w:tcPr>
            <w:tcW w:w="2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67C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详见附表</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B5A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5*12</w:t>
            </w:r>
          </w:p>
        </w:tc>
        <w:tc>
          <w:tcPr>
            <w:tcW w:w="698" w:type="dxa"/>
            <w:vMerge w:val="continue"/>
            <w:tcBorders>
              <w:left w:val="single" w:color="000000" w:sz="4" w:space="0"/>
              <w:right w:val="single" w:color="000000" w:sz="8" w:space="0"/>
            </w:tcBorders>
            <w:shd w:val="clear" w:color="auto" w:fill="auto"/>
            <w:noWrap/>
            <w:vAlign w:val="center"/>
          </w:tcPr>
          <w:p w14:paraId="6B2D7D33">
            <w:pPr>
              <w:pStyle w:val="50"/>
              <w:rPr>
                <w:rFonts w:hint="eastAsia"/>
                <w:sz w:val="21"/>
                <w:szCs w:val="21"/>
              </w:rPr>
            </w:pPr>
          </w:p>
        </w:tc>
      </w:tr>
      <w:tr w14:paraId="7B9E6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698"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FE406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508" w:type="dxa"/>
            <w:vMerge w:val="continue"/>
            <w:tcBorders>
              <w:top w:val="nil"/>
              <w:left w:val="single" w:color="000000" w:sz="4" w:space="0"/>
              <w:bottom w:val="single" w:color="000000" w:sz="4" w:space="0"/>
              <w:right w:val="single" w:color="000000" w:sz="4" w:space="0"/>
            </w:tcBorders>
            <w:shd w:val="clear" w:color="auto" w:fill="auto"/>
            <w:vAlign w:val="center"/>
          </w:tcPr>
          <w:p w14:paraId="165D0E46">
            <w:pPr>
              <w:jc w:val="center"/>
              <w:rPr>
                <w:rFonts w:hint="eastAsia" w:ascii="宋体" w:hAnsi="宋体" w:eastAsia="宋体" w:cs="宋体"/>
                <w:i w:val="0"/>
                <w:iCs w:val="0"/>
                <w:color w:val="000000"/>
                <w:sz w:val="21"/>
                <w:szCs w:val="21"/>
                <w:u w:val="none"/>
              </w:rPr>
            </w:pP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0A4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一体化污水处理设施5t/d</w:t>
            </w:r>
          </w:p>
        </w:tc>
        <w:tc>
          <w:tcPr>
            <w:tcW w:w="2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8AC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详见附表</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6A4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5*12</w:t>
            </w:r>
          </w:p>
        </w:tc>
        <w:tc>
          <w:tcPr>
            <w:tcW w:w="698" w:type="dxa"/>
            <w:vMerge w:val="continue"/>
            <w:tcBorders>
              <w:left w:val="single" w:color="000000" w:sz="4" w:space="0"/>
              <w:right w:val="single" w:color="000000" w:sz="8" w:space="0"/>
            </w:tcBorders>
            <w:shd w:val="clear" w:color="auto" w:fill="auto"/>
            <w:noWrap/>
            <w:vAlign w:val="center"/>
          </w:tcPr>
          <w:p w14:paraId="66EEB6BF">
            <w:pPr>
              <w:pStyle w:val="50"/>
              <w:rPr>
                <w:rFonts w:hint="eastAsia"/>
                <w:sz w:val="21"/>
                <w:szCs w:val="21"/>
              </w:rPr>
            </w:pPr>
          </w:p>
        </w:tc>
      </w:tr>
      <w:tr w14:paraId="4912D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698"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77009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508" w:type="dxa"/>
            <w:tcBorders>
              <w:top w:val="nil"/>
              <w:left w:val="single" w:color="000000" w:sz="4" w:space="0"/>
              <w:bottom w:val="single" w:color="000000" w:sz="4" w:space="0"/>
              <w:right w:val="single" w:color="000000" w:sz="4" w:space="0"/>
            </w:tcBorders>
            <w:shd w:val="clear" w:color="auto" w:fill="auto"/>
            <w:vAlign w:val="center"/>
          </w:tcPr>
          <w:p w14:paraId="1A45BC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376"/>
                <w:sz w:val="21"/>
                <w:szCs w:val="21"/>
                <w:lang w:val="en-US" w:eastAsia="zh-CN" w:bidi="ar"/>
              </w:rPr>
              <w:t>无动力处理设施</w:t>
            </w:r>
            <w:r>
              <w:rPr>
                <w:rFonts w:hint="eastAsia" w:ascii="宋体" w:hAnsi="宋体" w:eastAsia="宋体" w:cs="宋体"/>
                <w:b/>
                <w:bCs/>
                <w:i w:val="0"/>
                <w:iCs w:val="0"/>
                <w:color w:val="000000"/>
                <w:kern w:val="0"/>
                <w:sz w:val="21"/>
                <w:szCs w:val="21"/>
                <w:u w:val="none"/>
                <w:lang w:val="en-US" w:eastAsia="zh-CN" w:bidi="ar"/>
              </w:rPr>
              <w:t>（422座）</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CF0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1.5m3/座</w:t>
            </w:r>
          </w:p>
        </w:tc>
        <w:tc>
          <w:tcPr>
            <w:tcW w:w="2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18E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详见附表</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FA0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422*12</w:t>
            </w:r>
          </w:p>
        </w:tc>
        <w:tc>
          <w:tcPr>
            <w:tcW w:w="698" w:type="dxa"/>
            <w:vMerge w:val="continue"/>
            <w:tcBorders>
              <w:left w:val="single" w:color="000000" w:sz="4" w:space="0"/>
              <w:right w:val="single" w:color="000000" w:sz="8" w:space="0"/>
            </w:tcBorders>
            <w:shd w:val="clear" w:color="auto" w:fill="auto"/>
            <w:noWrap/>
            <w:vAlign w:val="center"/>
          </w:tcPr>
          <w:p w14:paraId="571741DD">
            <w:pPr>
              <w:pStyle w:val="50"/>
              <w:rPr>
                <w:rFonts w:hint="eastAsia"/>
                <w:sz w:val="21"/>
                <w:szCs w:val="21"/>
              </w:rPr>
            </w:pPr>
          </w:p>
        </w:tc>
      </w:tr>
      <w:tr w14:paraId="412EB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698" w:type="dxa"/>
            <w:tcBorders>
              <w:top w:val="single" w:color="000000" w:sz="4" w:space="0"/>
              <w:left w:val="single" w:color="000000" w:sz="8" w:space="0"/>
              <w:bottom w:val="nil"/>
              <w:right w:val="nil"/>
            </w:tcBorders>
            <w:shd w:val="clear" w:color="auto" w:fill="auto"/>
            <w:noWrap/>
            <w:vAlign w:val="center"/>
          </w:tcPr>
          <w:p w14:paraId="43A925E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四、</w:t>
            </w:r>
          </w:p>
        </w:tc>
        <w:tc>
          <w:tcPr>
            <w:tcW w:w="8872" w:type="dxa"/>
            <w:gridSpan w:val="5"/>
            <w:tcBorders>
              <w:top w:val="single" w:color="000000" w:sz="4" w:space="0"/>
              <w:left w:val="single" w:color="000000" w:sz="4" w:space="0"/>
              <w:bottom w:val="single" w:color="000000" w:sz="4" w:space="0"/>
              <w:right w:val="single" w:color="000000" w:sz="8" w:space="0"/>
            </w:tcBorders>
            <w:shd w:val="clear" w:color="auto" w:fill="auto"/>
            <w:vAlign w:val="center"/>
          </w:tcPr>
          <w:p w14:paraId="7DD7C990">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2024年度建设的污水处理设施</w:t>
            </w:r>
          </w:p>
        </w:tc>
      </w:tr>
      <w:tr w14:paraId="62B31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698" w:type="dxa"/>
            <w:tcBorders>
              <w:top w:val="single" w:color="000000" w:sz="4" w:space="0"/>
              <w:left w:val="single" w:color="000000" w:sz="8" w:space="0"/>
              <w:bottom w:val="nil"/>
              <w:right w:val="nil"/>
            </w:tcBorders>
            <w:shd w:val="clear" w:color="auto" w:fill="auto"/>
            <w:noWrap/>
            <w:vAlign w:val="center"/>
          </w:tcPr>
          <w:p w14:paraId="278BB36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1</w:t>
            </w:r>
          </w:p>
        </w:tc>
        <w:tc>
          <w:tcPr>
            <w:tcW w:w="1508" w:type="dxa"/>
            <w:tcBorders>
              <w:top w:val="single" w:color="000000" w:sz="4" w:space="0"/>
              <w:left w:val="single" w:color="000000" w:sz="4" w:space="0"/>
              <w:bottom w:val="nil"/>
              <w:right w:val="single" w:color="000000" w:sz="4" w:space="0"/>
            </w:tcBorders>
            <w:shd w:val="clear" w:color="auto" w:fill="auto"/>
            <w:vAlign w:val="center"/>
          </w:tcPr>
          <w:p w14:paraId="3B080C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有动力处理设（2座）</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26A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一体化污水处理设施2t/d</w:t>
            </w:r>
          </w:p>
        </w:tc>
        <w:tc>
          <w:tcPr>
            <w:tcW w:w="2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A13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详见附表</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1AD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2*12</w:t>
            </w:r>
          </w:p>
        </w:tc>
        <w:tc>
          <w:tcPr>
            <w:tcW w:w="698" w:type="dxa"/>
            <w:vMerge w:val="restart"/>
            <w:tcBorders>
              <w:top w:val="single" w:color="000000" w:sz="4" w:space="0"/>
              <w:left w:val="single" w:color="000000" w:sz="4" w:space="0"/>
              <w:right w:val="single" w:color="000000" w:sz="8" w:space="0"/>
            </w:tcBorders>
            <w:shd w:val="clear" w:color="auto" w:fill="auto"/>
            <w:noWrap/>
            <w:vAlign w:val="center"/>
          </w:tcPr>
          <w:p w14:paraId="51A6FFE6">
            <w:pPr>
              <w:pStyle w:val="50"/>
              <w:rPr>
                <w:rFonts w:hint="eastAsia"/>
                <w:sz w:val="21"/>
                <w:szCs w:val="21"/>
              </w:rPr>
            </w:pPr>
          </w:p>
          <w:p w14:paraId="1E488C9E">
            <w:pPr>
              <w:pStyle w:val="51"/>
              <w:rPr>
                <w:rFonts w:hint="eastAsia"/>
                <w:sz w:val="21"/>
                <w:szCs w:val="21"/>
              </w:rPr>
            </w:pPr>
          </w:p>
          <w:p w14:paraId="1F4597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p w14:paraId="4819E1D2">
            <w:pPr>
              <w:pStyle w:val="50"/>
              <w:rPr>
                <w:rFonts w:hint="eastAsia"/>
                <w:sz w:val="21"/>
                <w:szCs w:val="21"/>
              </w:rPr>
            </w:pPr>
          </w:p>
          <w:p w14:paraId="0103A6B8">
            <w:pPr>
              <w:keepNext w:val="0"/>
              <w:keepLines w:val="0"/>
              <w:widowControl/>
              <w:suppressLineNumbers w:val="0"/>
              <w:jc w:val="center"/>
              <w:textAlignment w:val="center"/>
              <w:rPr>
                <w:rFonts w:hint="eastAsia" w:ascii="宋体" w:hAnsi="宋体" w:eastAsia="宋体" w:cs="宋体"/>
                <w:i w:val="0"/>
                <w:iCs w:val="0"/>
                <w:color w:val="002060"/>
                <w:kern w:val="0"/>
                <w:sz w:val="21"/>
                <w:szCs w:val="21"/>
                <w:u w:val="none"/>
                <w:lang w:val="en-US" w:eastAsia="zh-CN" w:bidi="ar"/>
              </w:rPr>
            </w:pPr>
          </w:p>
          <w:p w14:paraId="6B2D0977">
            <w:pPr>
              <w:keepNext w:val="0"/>
              <w:keepLines w:val="0"/>
              <w:widowControl/>
              <w:suppressLineNumbers w:val="0"/>
              <w:jc w:val="center"/>
              <w:textAlignment w:val="center"/>
              <w:rPr>
                <w:rFonts w:hint="eastAsia" w:ascii="宋体" w:hAnsi="宋体" w:eastAsia="宋体" w:cs="宋体"/>
                <w:i w:val="0"/>
                <w:iCs w:val="0"/>
                <w:color w:val="002060"/>
                <w:sz w:val="21"/>
                <w:szCs w:val="21"/>
                <w:u w:val="none"/>
              </w:rPr>
            </w:pPr>
            <w:r>
              <w:rPr>
                <w:rFonts w:hint="eastAsia" w:ascii="宋体" w:hAnsi="宋体" w:eastAsia="宋体" w:cs="宋体"/>
                <w:i w:val="0"/>
                <w:iCs w:val="0"/>
                <w:color w:val="002060"/>
                <w:kern w:val="0"/>
                <w:sz w:val="21"/>
                <w:szCs w:val="21"/>
                <w:u w:val="none"/>
                <w:lang w:val="en-US" w:eastAsia="zh-CN" w:bidi="ar"/>
              </w:rPr>
              <w:t xml:space="preserve"> </w:t>
            </w:r>
          </w:p>
          <w:p w14:paraId="58E911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p w14:paraId="522E9F9D">
            <w:pPr>
              <w:pStyle w:val="50"/>
              <w:rPr>
                <w:rFonts w:hint="eastAsia"/>
                <w:sz w:val="21"/>
                <w:szCs w:val="21"/>
              </w:rPr>
            </w:pPr>
          </w:p>
        </w:tc>
      </w:tr>
      <w:tr w14:paraId="4CA49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5" w:hRule="atLeast"/>
        </w:trPr>
        <w:tc>
          <w:tcPr>
            <w:tcW w:w="698" w:type="dxa"/>
            <w:tcBorders>
              <w:top w:val="single" w:color="000000" w:sz="4" w:space="0"/>
              <w:left w:val="single" w:color="000000" w:sz="8" w:space="0"/>
              <w:bottom w:val="nil"/>
              <w:right w:val="nil"/>
            </w:tcBorders>
            <w:shd w:val="clear" w:color="auto" w:fill="auto"/>
            <w:noWrap/>
            <w:vAlign w:val="center"/>
          </w:tcPr>
          <w:p w14:paraId="04AB12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508" w:type="dxa"/>
            <w:tcBorders>
              <w:top w:val="single" w:color="000000" w:sz="4" w:space="0"/>
              <w:left w:val="single" w:color="000000" w:sz="4" w:space="0"/>
              <w:bottom w:val="nil"/>
              <w:right w:val="single" w:color="000000" w:sz="4" w:space="0"/>
            </w:tcBorders>
            <w:shd w:val="clear" w:color="auto" w:fill="auto"/>
            <w:vAlign w:val="center"/>
          </w:tcPr>
          <w:p w14:paraId="07AACD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无动力处理设施（584座）</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120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1.5m3/座</w:t>
            </w:r>
          </w:p>
        </w:tc>
        <w:tc>
          <w:tcPr>
            <w:tcW w:w="2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3EB1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详见附表</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201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584*12</w:t>
            </w:r>
          </w:p>
        </w:tc>
        <w:tc>
          <w:tcPr>
            <w:tcW w:w="698" w:type="dxa"/>
            <w:vMerge w:val="continue"/>
            <w:tcBorders>
              <w:left w:val="single" w:color="000000" w:sz="4" w:space="0"/>
              <w:bottom w:val="single" w:color="000000" w:sz="4" w:space="0"/>
              <w:right w:val="single" w:color="000000" w:sz="8" w:space="0"/>
            </w:tcBorders>
            <w:shd w:val="clear" w:color="auto" w:fill="auto"/>
            <w:noWrap/>
            <w:vAlign w:val="center"/>
          </w:tcPr>
          <w:p w14:paraId="0ED2166F">
            <w:pPr>
              <w:pStyle w:val="50"/>
              <w:rPr>
                <w:rFonts w:hint="eastAsia"/>
                <w:sz w:val="21"/>
                <w:szCs w:val="21"/>
              </w:rPr>
            </w:pPr>
          </w:p>
        </w:tc>
      </w:tr>
      <w:tr w14:paraId="5D8CE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698"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C7D66B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五、</w:t>
            </w:r>
          </w:p>
        </w:tc>
        <w:tc>
          <w:tcPr>
            <w:tcW w:w="887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F047F12">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污水处理设施间连通管网</w:t>
            </w:r>
          </w:p>
        </w:tc>
      </w:tr>
      <w:tr w14:paraId="058C2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2" w:hRule="atLeast"/>
        </w:trPr>
        <w:tc>
          <w:tcPr>
            <w:tcW w:w="698"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DE161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52F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376"/>
                <w:sz w:val="21"/>
                <w:szCs w:val="21"/>
                <w:lang w:val="en-US" w:eastAsia="zh-CN" w:bidi="ar"/>
              </w:rPr>
              <w:t>管网</w:t>
            </w:r>
            <w:r>
              <w:rPr>
                <w:rFonts w:hint="eastAsia" w:ascii="宋体" w:hAnsi="宋体" w:eastAsia="宋体" w:cs="宋体"/>
                <w:b/>
                <w:bCs/>
                <w:i w:val="0"/>
                <w:iCs w:val="0"/>
                <w:color w:val="000000"/>
                <w:kern w:val="0"/>
                <w:sz w:val="21"/>
                <w:szCs w:val="21"/>
                <w:u w:val="none"/>
                <w:lang w:val="en-US" w:eastAsia="zh-CN" w:bidi="ar"/>
              </w:rPr>
              <w:t>（暂估25000m）</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57A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各类规格</w:t>
            </w:r>
          </w:p>
        </w:tc>
        <w:tc>
          <w:tcPr>
            <w:tcW w:w="2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F87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详按实际路线</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FA4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25000*12</w:t>
            </w:r>
          </w:p>
        </w:tc>
        <w:tc>
          <w:tcPr>
            <w:tcW w:w="698"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D230D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p w14:paraId="026BD7DA">
            <w:pPr>
              <w:pStyle w:val="50"/>
              <w:rPr>
                <w:rFonts w:hint="eastAsia"/>
                <w:sz w:val="21"/>
                <w:szCs w:val="21"/>
              </w:rPr>
            </w:pPr>
          </w:p>
        </w:tc>
      </w:tr>
      <w:tr w14:paraId="26D2B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3" w:hRule="atLeast"/>
        </w:trPr>
        <w:tc>
          <w:tcPr>
            <w:tcW w:w="9570" w:type="dxa"/>
            <w:gridSpan w:val="6"/>
            <w:tcBorders>
              <w:top w:val="single" w:color="000000" w:sz="4" w:space="0"/>
              <w:left w:val="single" w:color="000000" w:sz="8" w:space="0"/>
              <w:bottom w:val="single" w:color="000000" w:sz="8" w:space="0"/>
              <w:right w:val="single" w:color="000000" w:sz="8" w:space="0"/>
            </w:tcBorders>
            <w:shd w:val="clear" w:color="auto" w:fill="auto"/>
            <w:vAlign w:val="top"/>
          </w:tcPr>
          <w:p w14:paraId="55E84919">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备注：                                                                                                            上述污水处理设施点位多、分布广泛，请投标供应商自行熟悉踏勘了解现况，中标后不得以不了解情况为由，提出任何增加费用的要求。</w:t>
            </w:r>
          </w:p>
        </w:tc>
      </w:tr>
    </w:tbl>
    <w:p w14:paraId="4606227D">
      <w:pPr>
        <w:pStyle w:val="51"/>
        <w:rPr>
          <w:sz w:val="21"/>
          <w:szCs w:val="21"/>
        </w:rPr>
      </w:pPr>
    </w:p>
    <w:p w14:paraId="245B495C">
      <w:pPr>
        <w:pStyle w:val="5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0"/>
          <w:highlight w:val="none"/>
        </w:rPr>
      </w:pPr>
      <w:r>
        <w:rPr>
          <w:rFonts w:hint="eastAsia" w:asciiTheme="minorEastAsia" w:hAnsiTheme="minorEastAsia" w:eastAsiaTheme="minorEastAsia" w:cstheme="minorEastAsia"/>
          <w:sz w:val="24"/>
          <w:lang w:val="en-US" w:eastAsia="zh-CN"/>
        </w:rPr>
        <w:t>二、承包方式：运维服务外包。</w:t>
      </w:r>
    </w:p>
    <w:p w14:paraId="32AC1CCC">
      <w:pPr>
        <w:rPr>
          <w:rFonts w:hint="eastAsia" w:ascii="宋体" w:hAnsi="宋体"/>
          <w:b/>
          <w:sz w:val="28"/>
          <w:szCs w:val="28"/>
        </w:rPr>
      </w:pPr>
      <w:r>
        <w:rPr>
          <w:rFonts w:hint="eastAsia" w:ascii="宋体" w:hAnsi="宋体"/>
          <w:b/>
          <w:sz w:val="28"/>
          <w:szCs w:val="28"/>
        </w:rPr>
        <w:br w:type="page"/>
      </w:r>
    </w:p>
    <w:p w14:paraId="7D26A815">
      <w:pPr>
        <w:rPr>
          <w:rFonts w:hint="eastAsia" w:ascii="宋体" w:hAnsi="宋体"/>
          <w:b/>
          <w:sz w:val="28"/>
          <w:szCs w:val="28"/>
          <w:lang w:eastAsia="zh-CN"/>
        </w:rPr>
      </w:pPr>
      <w:r>
        <w:rPr>
          <w:rFonts w:hint="eastAsia" w:ascii="宋体" w:hAnsi="宋体"/>
          <w:b/>
          <w:sz w:val="28"/>
          <w:szCs w:val="28"/>
          <w:lang w:eastAsia="zh-CN"/>
        </w:rPr>
        <w:t>附表（</w:t>
      </w:r>
      <w:r>
        <w:rPr>
          <w:rFonts w:hint="eastAsia" w:ascii="宋体" w:hAnsi="宋体" w:eastAsia="宋体" w:cs="宋体"/>
          <w:b/>
          <w:bCs/>
          <w:i w:val="0"/>
          <w:iCs w:val="0"/>
          <w:color w:val="000000"/>
          <w:kern w:val="0"/>
          <w:sz w:val="28"/>
          <w:szCs w:val="28"/>
          <w:u w:val="none"/>
          <w:lang w:val="en-US" w:eastAsia="zh-CN" w:bidi="ar"/>
        </w:rPr>
        <w:t>动力设施77套、提升泵站2套</w:t>
      </w:r>
      <w:r>
        <w:rPr>
          <w:rFonts w:hint="eastAsia" w:ascii="宋体" w:hAnsi="宋体"/>
          <w:b/>
          <w:sz w:val="28"/>
          <w:szCs w:val="28"/>
          <w:lang w:eastAsia="zh-CN"/>
        </w:rPr>
        <w:t>）：</w:t>
      </w:r>
    </w:p>
    <w:tbl>
      <w:tblPr>
        <w:tblStyle w:val="42"/>
        <w:tblW w:w="975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01"/>
        <w:gridCol w:w="1188"/>
        <w:gridCol w:w="1956"/>
        <w:gridCol w:w="1426"/>
        <w:gridCol w:w="1499"/>
        <w:gridCol w:w="1411"/>
        <w:gridCol w:w="1369"/>
      </w:tblGrid>
      <w:tr w14:paraId="4CE40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975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F58641C">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海门街道2020、2022、2023、2024年度建设的农村污水处理设施（动力设施77套、提升泵站2套）清单</w:t>
            </w:r>
          </w:p>
        </w:tc>
      </w:tr>
      <w:tr w14:paraId="32295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F437A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31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9784E9">
            <w:pPr>
              <w:jc w:val="center"/>
              <w:rPr>
                <w:rFonts w:hint="eastAsia" w:ascii="宋体" w:hAnsi="宋体" w:eastAsia="宋体" w:cs="宋体"/>
                <w:b/>
                <w:bCs/>
                <w:i w:val="0"/>
                <w:iCs w:val="0"/>
                <w:color w:val="000000"/>
                <w:sz w:val="20"/>
                <w:szCs w:val="20"/>
                <w:u w:val="none"/>
              </w:rPr>
            </w:pPr>
          </w:p>
        </w:tc>
        <w:tc>
          <w:tcPr>
            <w:tcW w:w="406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62DEEFD">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329AB">
            <w:pPr>
              <w:rPr>
                <w:rFonts w:hint="eastAsia" w:ascii="宋体" w:hAnsi="宋体" w:eastAsia="宋体" w:cs="宋体"/>
                <w:b/>
                <w:bCs/>
                <w:i w:val="0"/>
                <w:iCs w:val="0"/>
                <w:color w:val="000000"/>
                <w:sz w:val="20"/>
                <w:szCs w:val="20"/>
                <w:u w:val="none"/>
              </w:rPr>
            </w:pPr>
          </w:p>
        </w:tc>
      </w:tr>
      <w:tr w14:paraId="7036E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AB32C">
            <w:pPr>
              <w:jc w:val="center"/>
              <w:rPr>
                <w:rFonts w:hint="eastAsia" w:ascii="宋体" w:hAnsi="宋体" w:eastAsia="宋体" w:cs="宋体"/>
                <w:b/>
                <w:bCs/>
                <w:i w:val="0"/>
                <w:iCs w:val="0"/>
                <w:color w:val="000000"/>
                <w:sz w:val="20"/>
                <w:szCs w:val="20"/>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10C0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行政村名称</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81BB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自然村名称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1356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规模()</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95FC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经度</w:t>
            </w:r>
          </w:p>
        </w:tc>
        <w:tc>
          <w:tcPr>
            <w:tcW w:w="1455" w:type="dxa"/>
            <w:tcBorders>
              <w:top w:val="single" w:color="000000" w:sz="4" w:space="0"/>
              <w:left w:val="single" w:color="000000" w:sz="4" w:space="0"/>
              <w:bottom w:val="single" w:color="000000" w:sz="4" w:space="0"/>
              <w:right w:val="nil"/>
            </w:tcBorders>
            <w:shd w:val="clear" w:color="auto" w:fill="auto"/>
            <w:vAlign w:val="center"/>
          </w:tcPr>
          <w:p w14:paraId="0CF16F8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纬度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1E01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建成时间</w:t>
            </w:r>
          </w:p>
        </w:tc>
      </w:tr>
      <w:tr w14:paraId="33448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EE789F">
            <w:pPr>
              <w:keepNext w:val="0"/>
              <w:keepLines w:val="0"/>
              <w:widowControl/>
              <w:suppressLineNumbers w:val="0"/>
              <w:jc w:val="center"/>
              <w:textAlignment w:val="bottom"/>
              <w:rPr>
                <w:rFonts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1</w:t>
            </w:r>
          </w:p>
        </w:tc>
        <w:tc>
          <w:tcPr>
            <w:tcW w:w="0" w:type="auto"/>
            <w:tcBorders>
              <w:top w:val="single" w:color="000000" w:sz="4" w:space="0"/>
              <w:left w:val="nil"/>
              <w:bottom w:val="single" w:color="000000" w:sz="4" w:space="0"/>
              <w:right w:val="single" w:color="000000" w:sz="4" w:space="0"/>
            </w:tcBorders>
            <w:shd w:val="clear" w:color="auto" w:fill="auto"/>
            <w:noWrap/>
            <w:vAlign w:val="bottom"/>
          </w:tcPr>
          <w:p w14:paraId="2BEB76CE">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补南村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939861">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补南村26组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F1902F">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489B3D">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121.126944</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511E3E0F">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31.926666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DCC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3A521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C6D568">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2</w:t>
            </w:r>
          </w:p>
        </w:tc>
        <w:tc>
          <w:tcPr>
            <w:tcW w:w="0" w:type="auto"/>
            <w:tcBorders>
              <w:top w:val="single" w:color="000000" w:sz="4" w:space="0"/>
              <w:left w:val="nil"/>
              <w:bottom w:val="single" w:color="000000" w:sz="4" w:space="0"/>
              <w:right w:val="single" w:color="000000" w:sz="4" w:space="0"/>
            </w:tcBorders>
            <w:shd w:val="clear" w:color="auto" w:fill="auto"/>
            <w:noWrap/>
            <w:vAlign w:val="bottom"/>
          </w:tcPr>
          <w:p w14:paraId="1F85EC18">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补南村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8254F8">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补南村27组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F02766">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0979E9">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121.124166</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3EAA265A">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31.926388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63F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4A8D7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E3F249">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3</w:t>
            </w:r>
          </w:p>
        </w:tc>
        <w:tc>
          <w:tcPr>
            <w:tcW w:w="0" w:type="auto"/>
            <w:tcBorders>
              <w:top w:val="single" w:color="000000" w:sz="4" w:space="0"/>
              <w:left w:val="nil"/>
              <w:bottom w:val="single" w:color="000000" w:sz="4" w:space="0"/>
              <w:right w:val="single" w:color="000000" w:sz="4" w:space="0"/>
            </w:tcBorders>
            <w:shd w:val="clear" w:color="auto" w:fill="auto"/>
            <w:noWrap/>
            <w:vAlign w:val="bottom"/>
          </w:tcPr>
          <w:p w14:paraId="51C55738">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补南村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5B5A26">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补南村28组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388F1D">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768819">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121.124166</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218F849E">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31.924444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8FC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3BE53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E1B464">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4</w:t>
            </w:r>
          </w:p>
        </w:tc>
        <w:tc>
          <w:tcPr>
            <w:tcW w:w="0" w:type="auto"/>
            <w:tcBorders>
              <w:top w:val="single" w:color="000000" w:sz="4" w:space="0"/>
              <w:left w:val="nil"/>
              <w:bottom w:val="single" w:color="000000" w:sz="4" w:space="0"/>
              <w:right w:val="single" w:color="000000" w:sz="4" w:space="0"/>
            </w:tcBorders>
            <w:shd w:val="clear" w:color="auto" w:fill="auto"/>
            <w:noWrap/>
            <w:vAlign w:val="bottom"/>
          </w:tcPr>
          <w:p w14:paraId="23C6CCC2">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补南村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F256EA">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补南村28组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9796C4">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8C4C0C">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121.122777</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241D5CB6">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31.924444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F1C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7D6CA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42DA37">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5</w:t>
            </w:r>
          </w:p>
        </w:tc>
        <w:tc>
          <w:tcPr>
            <w:tcW w:w="0" w:type="auto"/>
            <w:tcBorders>
              <w:top w:val="single" w:color="000000" w:sz="4" w:space="0"/>
              <w:left w:val="nil"/>
              <w:bottom w:val="single" w:color="000000" w:sz="4" w:space="0"/>
              <w:right w:val="single" w:color="000000" w:sz="4" w:space="0"/>
            </w:tcBorders>
            <w:shd w:val="clear" w:color="auto" w:fill="auto"/>
            <w:noWrap/>
            <w:vAlign w:val="bottom"/>
          </w:tcPr>
          <w:p w14:paraId="18FE15E9">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补南村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47B539">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补南村28组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511CC8">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7AA3CD">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121.124166</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1B089498">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31.925277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BAC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4EDF4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78F589">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6</w:t>
            </w:r>
          </w:p>
        </w:tc>
        <w:tc>
          <w:tcPr>
            <w:tcW w:w="0" w:type="auto"/>
            <w:tcBorders>
              <w:top w:val="single" w:color="000000" w:sz="4" w:space="0"/>
              <w:left w:val="nil"/>
              <w:bottom w:val="single" w:color="000000" w:sz="4" w:space="0"/>
              <w:right w:val="single" w:color="000000" w:sz="4" w:space="0"/>
            </w:tcBorders>
            <w:shd w:val="clear" w:color="auto" w:fill="auto"/>
            <w:noWrap/>
            <w:vAlign w:val="bottom"/>
          </w:tcPr>
          <w:p w14:paraId="44C036D8">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补南村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C65DD3">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补南村32组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E26C58">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6033BC">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121.121666</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3EE6EC8B">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31.926388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CFD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44AFE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FCB547">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7</w:t>
            </w:r>
          </w:p>
        </w:tc>
        <w:tc>
          <w:tcPr>
            <w:tcW w:w="0" w:type="auto"/>
            <w:tcBorders>
              <w:top w:val="single" w:color="000000" w:sz="4" w:space="0"/>
              <w:left w:val="nil"/>
              <w:bottom w:val="single" w:color="000000" w:sz="4" w:space="0"/>
              <w:right w:val="single" w:color="000000" w:sz="4" w:space="0"/>
            </w:tcBorders>
            <w:shd w:val="clear" w:color="auto" w:fill="auto"/>
            <w:noWrap/>
            <w:vAlign w:val="bottom"/>
          </w:tcPr>
          <w:p w14:paraId="57FE8871">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补南村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34A497">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补南村33组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65CCF7">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D58046">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121.121944</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538F1CD2">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31.929444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093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74191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C87AE8">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8</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5EA3D4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三和村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515D1C">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三和村13组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D8CEF9">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EB3ABC">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121.098923</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1CD3284E">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31.875537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B10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w:t>
            </w:r>
          </w:p>
        </w:tc>
      </w:tr>
      <w:tr w14:paraId="1659F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F9C987">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9</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4ACF49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三和村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F6524F">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三和村15组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89A63D">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EBE733">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121.096895</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3D94F2FF">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31.876155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B56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w:t>
            </w:r>
          </w:p>
        </w:tc>
      </w:tr>
      <w:tr w14:paraId="760E3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766ACE">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10</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08CA13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三和村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384BF6">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三和村15组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1DA375">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579734">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121.094987</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32238169">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31.874583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85C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w:t>
            </w:r>
          </w:p>
        </w:tc>
      </w:tr>
      <w:tr w14:paraId="171C3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AAAA6C">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11</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12235D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三和村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887E19">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三和村16组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44F9B0">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615DEB">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121.094873</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35D3913F">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31.872839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0DF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w:t>
            </w:r>
          </w:p>
        </w:tc>
      </w:tr>
      <w:tr w14:paraId="1141A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73F10E">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12</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3CB36B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三和村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4264A5">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三和村18组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0CC5F5">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D25B1D">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121.093725</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30EC7E27">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31.871243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2BB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w:t>
            </w:r>
          </w:p>
        </w:tc>
      </w:tr>
      <w:tr w14:paraId="39A92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2C3789">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13</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7AA215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三和村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605425">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三和村25组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A061EE">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E6FBA3">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121.097047</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7A22B1F4">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31.880031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36D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w:t>
            </w:r>
          </w:p>
        </w:tc>
      </w:tr>
      <w:tr w14:paraId="32137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CB5374">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14</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2A0FF0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三和村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40B5A9">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三和村25组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8A519E">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D7A3D2">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121.096714</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1895F712">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31.881596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D4F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w:t>
            </w:r>
          </w:p>
        </w:tc>
      </w:tr>
      <w:tr w14:paraId="0CAC4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00AA23">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15</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423D99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双高村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6203A7">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双高村14组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6136A1">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1A969C">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121.128959 </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457F265F">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31.893885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06C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14329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023584">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16</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0F0066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双高村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C7B243">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双高村16组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06632B">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D7EA29">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121.126173 </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20992789">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31.894092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C11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569FF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E5E6F6">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17</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714B42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双高村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709564">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双高村23组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4BF59E">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26C162">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121.119675</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1B11B304">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31.898138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BA5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4818F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88378F">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18</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540F69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双高村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4A51C5">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双高村25组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B2BFB5">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2B81AD">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121.124924</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3DEDD1F0">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31.898133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FFC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0AC2E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44094C">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19</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47CAA9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双高村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C3E3F7">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双高村26组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508C9D">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9BE99A">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121.128616</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557B113D">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31.896502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DEE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71E9F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40C5D6">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20</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747479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双高村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1E6962">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双高村30组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BA6C13">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7097F2">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121.116435</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5705ED71">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31.897856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215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7B926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B5386E">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21</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1E5038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双高村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EFB0BC">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双高村31组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7419D5">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8599BC">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121.122044</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45AD079A">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31.903082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3A8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7B660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C49271">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22</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0CAAE5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7577ED">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兄弟村3组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6E8C82">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0FEE97">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121.080457</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6D81850E">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31.887018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9CE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47A4D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47C4B0">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23</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6FA7F1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w:t>
            </w:r>
          </w:p>
        </w:tc>
        <w:tc>
          <w:tcPr>
            <w:tcW w:w="0" w:type="auto"/>
            <w:tcBorders>
              <w:top w:val="nil"/>
              <w:left w:val="single" w:color="000000" w:sz="4" w:space="0"/>
              <w:bottom w:val="single" w:color="000000" w:sz="4" w:space="0"/>
              <w:right w:val="single" w:color="000000" w:sz="4" w:space="0"/>
            </w:tcBorders>
            <w:shd w:val="clear" w:color="auto" w:fill="auto"/>
            <w:noWrap/>
            <w:vAlign w:val="bottom"/>
          </w:tcPr>
          <w:p w14:paraId="69C96569">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兄弟村5组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9B59E9">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093622">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121.086235</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7D9B6EC8">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31.893512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594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32EBC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3F179E">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24</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3691FB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B88D93">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兄弟村6组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8201EC">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F0195B">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121.087158</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2B1D7636">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31.892259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540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641C9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55C8B0">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25</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653393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6ADAD3">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兄弟村6组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CDC6EF">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6AFDB6">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121.085372</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2156997A">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31.890735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5AB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0AC14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CA3C43">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26</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3EDA9D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1C27BA">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兄弟村7组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920BBE">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B6AAE1">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121.088165</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76F3799D">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31.893255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4A7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5D52B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456EDE">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27</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05B142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049885">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兄弟村11组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B955B7">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83ED5F">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121.175245</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3D693010">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31.889004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AAD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64908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B3C836">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28</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5AC385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E50AD8">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兄弟村12组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362C57">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15C44D">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121.080636</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14475F43">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31.890912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3A1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541C1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036F4A">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29</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5C996B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DD3348">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兄弟村18组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73A66B">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227899">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121.090017</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30EC3BE2">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31.876264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D19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378E8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66612C">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30</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2E950C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7C05C4">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兄弟村19组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A2B266">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70DEA4">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121.084408</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6C4E7B1F">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31.882616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600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72C23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7B2AEB">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31</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4CA5EE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10099B">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兄弟村21组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9FFA3B">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3F29FD">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121.080639</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3BA30D31">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31.882105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F26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5AF1D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480803">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32</w:t>
            </w:r>
          </w:p>
        </w:tc>
        <w:tc>
          <w:tcPr>
            <w:tcW w:w="1305" w:type="dxa"/>
            <w:tcBorders>
              <w:top w:val="single" w:color="000000" w:sz="4" w:space="0"/>
              <w:left w:val="nil"/>
              <w:bottom w:val="nil"/>
              <w:right w:val="single" w:color="000000" w:sz="4" w:space="0"/>
            </w:tcBorders>
            <w:shd w:val="clear" w:color="auto" w:fill="auto"/>
            <w:vAlign w:val="center"/>
          </w:tcPr>
          <w:p w14:paraId="23C3FC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w:t>
            </w:r>
          </w:p>
        </w:tc>
        <w:tc>
          <w:tcPr>
            <w:tcW w:w="0" w:type="auto"/>
            <w:tcBorders>
              <w:top w:val="single" w:color="000000" w:sz="4" w:space="0"/>
              <w:left w:val="single" w:color="000000" w:sz="4" w:space="0"/>
              <w:bottom w:val="nil"/>
              <w:right w:val="single" w:color="000000" w:sz="4" w:space="0"/>
            </w:tcBorders>
            <w:shd w:val="clear" w:color="auto" w:fill="auto"/>
            <w:noWrap/>
            <w:vAlign w:val="bottom"/>
          </w:tcPr>
          <w:p w14:paraId="069B7A4C">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兄弟村22组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E0959D">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475BB3">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121.082851</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72DCBFC7">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31.876159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179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16349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5BE8A1">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33</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4982A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4FE0D2">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三江村37组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99B7B9">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0FE844">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121.0885</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4390026B">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31.8621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30E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62B43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0E2EBF">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34</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67C1D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84FB0B">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三江村39组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3579AF">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F08184">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121.0875</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32A8AEDD">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31.8599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DE4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46812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6A1F76">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35</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B3B62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DD050C">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三江村36组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0D5D59">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9436F2">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121.0919</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61C6E0FD">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31.8587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BF1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1F552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3ACD08">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36</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3F8587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D35771">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三江村35组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9A7A9B">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AF4A09">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121.0947</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00E63143">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31.8576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C7D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32832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03DA23">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37</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F75ED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26F69E">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三江村18组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F6F0FD">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7B5172">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121.0870</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2E8FBE93">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31.8585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058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6968A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3FC93B">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38</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0BD93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389323">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三江村19组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3D6A68">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F9872D">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121.0867</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32C48D14">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31.8571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015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3F3EB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A08876">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39</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168D0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F60C58">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三江村21组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1C4991">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9DE504">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121.0845</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516C5964">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31.8555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1CB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6D00E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8EA86B">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40</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252DA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37532A">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三江村17组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633857">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393A23">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121.0883</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4460731A">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31.8538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A6F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33DAE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20EF5E">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41</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EFD6A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D6148A">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三江村14组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2285FB">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95A8C9">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121.0932</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3494B6D3">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31.8537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75C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0E80A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EA5DB0">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42</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4EC2A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A6B2ED">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三江村25组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717D79">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A7E14A">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121.0902</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74D72FE4">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31.8504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531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48331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6F6500">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43</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FFF61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557BB5">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三江村8组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FCF477">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F49912">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121.0927</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06539787">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31.8398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6BF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285FD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3290D0">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44</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A1AA4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培新村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90D4A6">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培新村12组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50D613">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7F4178">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121.118956</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47FE6DAC">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31.877863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471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72196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C4FB4F">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45</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3278BF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培新村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C3B221">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培新村14组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58DE22">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7C61DB">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121.121724</w:t>
            </w:r>
          </w:p>
        </w:tc>
        <w:tc>
          <w:tcPr>
            <w:tcW w:w="0" w:type="auto"/>
            <w:tcBorders>
              <w:top w:val="single" w:color="000000" w:sz="4" w:space="0"/>
              <w:left w:val="single" w:color="000000" w:sz="4" w:space="0"/>
              <w:bottom w:val="single" w:color="000000" w:sz="4" w:space="0"/>
              <w:right w:val="nil"/>
            </w:tcBorders>
            <w:shd w:val="clear" w:color="auto" w:fill="auto"/>
            <w:noWrap/>
            <w:vAlign w:val="bottom"/>
          </w:tcPr>
          <w:p w14:paraId="5824CD3A">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31.877089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409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2022.7</w:t>
            </w:r>
          </w:p>
        </w:tc>
      </w:tr>
      <w:tr w14:paraId="48E6B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4E6CE8">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46</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2669E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德新村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C5A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德新村8组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A4A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FBD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121.150284</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202963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31.940221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366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2020.7</w:t>
            </w:r>
          </w:p>
        </w:tc>
      </w:tr>
      <w:tr w14:paraId="3E336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1ED4A4">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47</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1CB51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德新村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080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德新村8组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96C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057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121.150528</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57A96E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31.939244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D35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2020.7</w:t>
            </w:r>
          </w:p>
        </w:tc>
      </w:tr>
      <w:tr w14:paraId="7FDC6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45DBF7">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48</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6A44F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德新村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440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德新村8组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08A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917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121.150374</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117F85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31.938005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A2B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2020.7</w:t>
            </w:r>
          </w:p>
        </w:tc>
      </w:tr>
      <w:tr w14:paraId="75F1B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01B86A">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49</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3DFF5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德新村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966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德新村21组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6F0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F95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121.148838</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26F743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31.945698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D82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2020.7</w:t>
            </w:r>
          </w:p>
        </w:tc>
      </w:tr>
      <w:tr w14:paraId="63B8A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F43A03">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50</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5AA35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德新村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6D2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德新村22组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A25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B1F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121.145318</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1FF3FD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31.946245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59E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2020.7</w:t>
            </w:r>
          </w:p>
        </w:tc>
      </w:tr>
      <w:tr w14:paraId="0B977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DDCEB4">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51</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7D9B0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德新村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1CE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德新村23组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C8A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53D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121.144641</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0CE2C7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31.944682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B01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2020.7</w:t>
            </w:r>
          </w:p>
        </w:tc>
      </w:tr>
      <w:tr w14:paraId="38D43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B765F7">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52</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2766E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德新村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889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德新村22组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CE7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846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121.147002</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386EE9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31.946017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3CF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2020.7</w:t>
            </w:r>
          </w:p>
        </w:tc>
      </w:tr>
      <w:tr w14:paraId="0643E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BB93F0">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53</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ABBE0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文俊村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D8C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文俊村4组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AAA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D91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121.217734</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03F58D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31.933884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B70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2020.7</w:t>
            </w:r>
          </w:p>
        </w:tc>
      </w:tr>
      <w:tr w14:paraId="3D774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66B599">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54</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25B43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文俊村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C1C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文俊村5组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B54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DF7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121.215990 </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13B4B1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31.933801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C8A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2020.7</w:t>
            </w:r>
          </w:p>
        </w:tc>
      </w:tr>
      <w:tr w14:paraId="41602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1FFA48">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55</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4F7EC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文俊村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7B5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文俊村31组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32C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98B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121.191322</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3A57E4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31.942071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435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2020.7</w:t>
            </w:r>
          </w:p>
        </w:tc>
      </w:tr>
      <w:tr w14:paraId="0EC3E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28D273">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56</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207CA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建南村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104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建南村27组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429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029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121.208945</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1666F6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31.914676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31F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w:t>
            </w:r>
          </w:p>
        </w:tc>
      </w:tr>
      <w:tr w14:paraId="39A77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E80C73">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57</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D57E3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建南村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354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建南村17组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9BF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nil"/>
              <w:left w:val="nil"/>
              <w:bottom w:val="nil"/>
              <w:right w:val="nil"/>
            </w:tcBorders>
            <w:shd w:val="clear" w:color="auto" w:fill="auto"/>
            <w:noWrap/>
            <w:vAlign w:val="center"/>
          </w:tcPr>
          <w:p w14:paraId="17C56D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121.208745</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46F9AB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31.909450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575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w:t>
            </w:r>
          </w:p>
        </w:tc>
      </w:tr>
      <w:tr w14:paraId="4C505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67D3F6">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58</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3C35BD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建南村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99A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建南村31组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6F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98B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121.208477</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5C7612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31.916746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230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w:t>
            </w:r>
          </w:p>
        </w:tc>
      </w:tr>
      <w:tr w14:paraId="2A933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0EF268">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59</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3D2DBF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利北村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126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利北村20组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277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98E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121.207517</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08E2B0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31.918542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C7A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2020.9</w:t>
            </w:r>
          </w:p>
        </w:tc>
      </w:tr>
      <w:tr w14:paraId="5CB8B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DCBD0E">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60</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BDF61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利北村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0AC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利北村16组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8B9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577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121.207340 </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41D32F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31.913703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0EB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2020.9</w:t>
            </w:r>
          </w:p>
        </w:tc>
      </w:tr>
      <w:tr w14:paraId="2DD8C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B2EA0B">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61</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731C9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三圩村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859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三圩村24组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BAB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00E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121.133661</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325207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31.856686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432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2020.9</w:t>
            </w:r>
          </w:p>
        </w:tc>
      </w:tr>
      <w:tr w14:paraId="1E850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4B68A7">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62</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0E2F38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中海村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A91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中海村42组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218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3B7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121.201834</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52210C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31.868439</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D46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2023 </w:t>
            </w:r>
          </w:p>
        </w:tc>
      </w:tr>
      <w:tr w14:paraId="547A4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B01273">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63</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5ED22B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中海村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BB6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中海村42组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2C9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AA6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121.199914</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3D5D12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31.866824</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A00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2023 </w:t>
            </w:r>
          </w:p>
        </w:tc>
      </w:tr>
      <w:tr w14:paraId="37675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CA64EB">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64</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50640D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中海村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9E0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中海村1组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716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975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121.219098</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494A5A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31.863743</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3ED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2023 </w:t>
            </w:r>
          </w:p>
        </w:tc>
      </w:tr>
      <w:tr w14:paraId="2F2BD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94E2E6">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65</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5CE455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中海村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AE3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中海村9组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C1D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E23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121.219554</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72A7B0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31.868699</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0FF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2023 </w:t>
            </w:r>
          </w:p>
        </w:tc>
      </w:tr>
      <w:tr w14:paraId="53B5A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0218B6">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66</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8C969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151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兄弟村44组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C9E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311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121.087563</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5819EA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31.876975</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B13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2023 </w:t>
            </w:r>
          </w:p>
        </w:tc>
      </w:tr>
      <w:tr w14:paraId="739EE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5B3064">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67</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4EFB4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A48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兄弟村30组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1C8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5D8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121.089306</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094C83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31.870678</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949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2023 </w:t>
            </w:r>
          </w:p>
        </w:tc>
      </w:tr>
      <w:tr w14:paraId="3FE4C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128792">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68</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47188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75D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兄弟村44组14#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635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B54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121.089176</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72EB3F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31.873343</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BD0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2023 </w:t>
            </w:r>
          </w:p>
        </w:tc>
      </w:tr>
      <w:tr w14:paraId="0F023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2BDB78">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69</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7D8FC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CD5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兄弟村45组12#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80D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974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121.089020 </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5BC910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31.875348</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594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2023 </w:t>
            </w:r>
          </w:p>
        </w:tc>
      </w:tr>
      <w:tr w14:paraId="49EBA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CC3927">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70</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E13B4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F1E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兄弟村45组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556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EB3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121.089214</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7432CB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31.878164</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6F9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2023 </w:t>
            </w:r>
          </w:p>
        </w:tc>
      </w:tr>
      <w:tr w14:paraId="6D417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DAF13D">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71</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90FFE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补南村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2A0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补南村8组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3B5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939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121.130203</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5BCE60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31.923516</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BD5E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2023 </w:t>
            </w:r>
          </w:p>
        </w:tc>
      </w:tr>
      <w:tr w14:paraId="44BCD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987112">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72</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F5614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补南村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86A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补南村13组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545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48F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121.130379</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2FFFB5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31.924429</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8E2E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2023 </w:t>
            </w:r>
          </w:p>
        </w:tc>
      </w:tr>
      <w:tr w14:paraId="65A1D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75BAAB">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73</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3A6C78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补南村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79B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补南村11组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4FB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4BF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121.126197</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5E6EAA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31.923861</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E6C2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2023 </w:t>
            </w:r>
          </w:p>
        </w:tc>
      </w:tr>
      <w:tr w14:paraId="0C15D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892796">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74</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2CB67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补南村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5AB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补南村12组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D79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C46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121.123529</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7BFA1E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31.923853</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BBB6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2023 </w:t>
            </w:r>
          </w:p>
        </w:tc>
      </w:tr>
      <w:tr w14:paraId="23FF4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158AC0">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75</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FC6CF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补南村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932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补南村12组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3FD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05D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121.122040 </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177B04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31.923218</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911D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2023 </w:t>
            </w:r>
          </w:p>
        </w:tc>
      </w:tr>
      <w:tr w14:paraId="6E97D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9692C9">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76</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F6E00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高桥村</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023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高桥村5组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D44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C87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121.134640 </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38C1A1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31.909533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169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w:t>
            </w:r>
          </w:p>
        </w:tc>
      </w:tr>
      <w:tr w14:paraId="2F0E1F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4EBEA2">
            <w:pPr>
              <w:keepNext w:val="0"/>
              <w:keepLines w:val="0"/>
              <w:widowControl/>
              <w:suppressLineNumbers w:val="0"/>
              <w:jc w:val="center"/>
              <w:textAlignment w:val="bottom"/>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77</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E3C78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高桥村</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C79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高桥村7组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FC7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E48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121.131379</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63D21C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31.909588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D15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w:t>
            </w:r>
          </w:p>
        </w:tc>
      </w:tr>
      <w:tr w14:paraId="679CD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9520A">
            <w:pPr>
              <w:keepNext w:val="0"/>
              <w:keepLines w:val="0"/>
              <w:widowControl/>
              <w:suppressLineNumbers w:val="0"/>
              <w:jc w:val="center"/>
              <w:textAlignment w:val="bottom"/>
              <w:rPr>
                <w:rFonts w:hint="default" w:ascii="Calibri" w:hAnsi="Calibri" w:eastAsia="宋体" w:cs="Calibri"/>
                <w:i w:val="0"/>
                <w:iCs w:val="0"/>
                <w:color w:val="auto"/>
                <w:sz w:val="21"/>
                <w:szCs w:val="21"/>
                <w:u w:val="none"/>
              </w:rPr>
            </w:pPr>
            <w:r>
              <w:rPr>
                <w:rFonts w:hint="default" w:ascii="Calibri" w:hAnsi="Calibri" w:eastAsia="宋体" w:cs="Calibri"/>
                <w:i w:val="0"/>
                <w:iCs w:val="0"/>
                <w:color w:val="auto"/>
                <w:kern w:val="0"/>
                <w:sz w:val="21"/>
                <w:szCs w:val="21"/>
                <w:u w:val="none"/>
                <w:lang w:val="en-US" w:eastAsia="zh-CN" w:bidi="ar"/>
              </w:rPr>
              <w:t>78</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6EAA6E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双桥村</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F56E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双桥村</w:t>
            </w:r>
            <w:r>
              <w:rPr>
                <w:rStyle w:val="377"/>
                <w:rFonts w:eastAsia="宋体"/>
                <w:color w:val="auto"/>
                <w:lang w:val="en-US" w:eastAsia="zh-CN" w:bidi="ar"/>
              </w:rPr>
              <w:t>17</w:t>
            </w:r>
            <w:r>
              <w:rPr>
                <w:rStyle w:val="378"/>
                <w:color w:val="auto"/>
                <w:lang w:val="en-US" w:eastAsia="zh-CN" w:bidi="ar"/>
              </w:rPr>
              <w:t>组（提升泵）</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2BEB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φ1200*4550mm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F8A1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121.200647</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3AC2D85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31.925595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9F0D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2020</w:t>
            </w:r>
          </w:p>
        </w:tc>
      </w:tr>
      <w:tr w14:paraId="5E47A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BCD6A">
            <w:pPr>
              <w:keepNext w:val="0"/>
              <w:keepLines w:val="0"/>
              <w:widowControl/>
              <w:suppressLineNumbers w:val="0"/>
              <w:jc w:val="center"/>
              <w:textAlignment w:val="bottom"/>
              <w:rPr>
                <w:rFonts w:hint="default" w:ascii="Calibri" w:hAnsi="Calibri" w:eastAsia="宋体" w:cs="Calibri"/>
                <w:i w:val="0"/>
                <w:iCs w:val="0"/>
                <w:color w:val="auto"/>
                <w:sz w:val="21"/>
                <w:szCs w:val="21"/>
                <w:u w:val="none"/>
              </w:rPr>
            </w:pPr>
            <w:r>
              <w:rPr>
                <w:rFonts w:hint="default" w:ascii="Calibri" w:hAnsi="Calibri" w:eastAsia="宋体" w:cs="Calibri"/>
                <w:i w:val="0"/>
                <w:iCs w:val="0"/>
                <w:color w:val="auto"/>
                <w:kern w:val="0"/>
                <w:sz w:val="21"/>
                <w:szCs w:val="21"/>
                <w:u w:val="none"/>
                <w:lang w:val="en-US" w:eastAsia="zh-CN" w:bidi="ar"/>
              </w:rPr>
              <w:t>79</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C804EA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三圩村</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935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三圩村</w:t>
            </w:r>
            <w:r>
              <w:rPr>
                <w:rStyle w:val="377"/>
                <w:rFonts w:eastAsia="宋体"/>
                <w:color w:val="auto"/>
                <w:lang w:val="en-US" w:eastAsia="zh-CN" w:bidi="ar"/>
              </w:rPr>
              <w:t xml:space="preserve">34 </w:t>
            </w:r>
            <w:r>
              <w:rPr>
                <w:rStyle w:val="378"/>
                <w:color w:val="auto"/>
                <w:lang w:val="en-US" w:eastAsia="zh-CN" w:bidi="ar"/>
              </w:rPr>
              <w:t>组（提升泵）</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E0F0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φ1200*4550mm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EA52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121.135083</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2F60181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31.852942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355B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2020</w:t>
            </w:r>
          </w:p>
        </w:tc>
      </w:tr>
    </w:tbl>
    <w:p w14:paraId="42D2F209">
      <w:pPr>
        <w:rPr>
          <w:rFonts w:hint="eastAsia" w:ascii="宋体" w:hAnsi="宋体"/>
          <w:b/>
          <w:sz w:val="28"/>
          <w:szCs w:val="28"/>
        </w:rPr>
      </w:pPr>
      <w:r>
        <w:rPr>
          <w:rFonts w:hint="eastAsia" w:ascii="宋体" w:hAnsi="宋体"/>
          <w:b/>
          <w:sz w:val="28"/>
          <w:szCs w:val="28"/>
        </w:rPr>
        <w:br w:type="page"/>
      </w:r>
    </w:p>
    <w:p w14:paraId="6F476B80">
      <w:pPr>
        <w:rPr>
          <w:rFonts w:hint="eastAsia" w:ascii="宋体" w:hAnsi="宋体"/>
          <w:b/>
          <w:sz w:val="28"/>
          <w:szCs w:val="28"/>
          <w:lang w:eastAsia="zh-CN"/>
        </w:rPr>
      </w:pPr>
      <w:r>
        <w:rPr>
          <w:rFonts w:hint="eastAsia" w:ascii="宋体" w:hAnsi="宋体"/>
          <w:b/>
          <w:sz w:val="28"/>
          <w:szCs w:val="28"/>
          <w:lang w:eastAsia="zh-CN"/>
        </w:rPr>
        <w:t>附表（无动力设施1430套）</w:t>
      </w:r>
    </w:p>
    <w:tbl>
      <w:tblPr>
        <w:tblStyle w:val="42"/>
        <w:tblW w:w="92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304"/>
        <w:gridCol w:w="4154"/>
        <w:gridCol w:w="2767"/>
      </w:tblGrid>
      <w:tr w14:paraId="2F645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922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0F73C">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海门街道无动力设备情况汇总表2024</w:t>
            </w:r>
          </w:p>
        </w:tc>
      </w:tr>
      <w:tr w14:paraId="1A4FB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712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海门街道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3B6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村名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1EC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单位（套）</w:t>
            </w:r>
          </w:p>
        </w:tc>
      </w:tr>
      <w:tr w14:paraId="5E34A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E344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6D4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岸角村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26E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r>
      <w:tr w14:paraId="67B66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B2C5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1AE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高桥村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461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w:t>
            </w:r>
          </w:p>
        </w:tc>
      </w:tr>
      <w:tr w14:paraId="73537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509B2">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55C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建南村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28A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p>
        </w:tc>
      </w:tr>
      <w:tr w14:paraId="3E368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14C1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833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双桥村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750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w:t>
            </w:r>
          </w:p>
        </w:tc>
      </w:tr>
      <w:tr w14:paraId="2C50C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95826">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E05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文俊村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AC1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r>
      <w:tr w14:paraId="5AC1F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CE44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BE3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三圩村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B20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r>
      <w:tr w14:paraId="11C04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D67F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DEA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德新村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117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r>
      <w:tr w14:paraId="12133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A9A1F">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FEC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陶港村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5BE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w:t>
            </w:r>
          </w:p>
        </w:tc>
      </w:tr>
      <w:tr w14:paraId="3FC81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E1F3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FBB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5F9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584</w:t>
            </w:r>
          </w:p>
        </w:tc>
      </w:tr>
      <w:tr w14:paraId="64D03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772D5">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海门街道无动力设备情况汇总表2023</w:t>
            </w:r>
          </w:p>
        </w:tc>
      </w:tr>
      <w:tr w14:paraId="0EBB3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734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海门街道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CAD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村名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ABF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单位（套）</w:t>
            </w:r>
          </w:p>
        </w:tc>
      </w:tr>
      <w:tr w14:paraId="2029B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37AC6">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0F8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三和村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F0B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188</w:t>
            </w:r>
          </w:p>
        </w:tc>
      </w:tr>
      <w:tr w14:paraId="4441F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ED956">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AC3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528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r>
      <w:tr w14:paraId="192B8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DAA1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98C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双高村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C63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w:t>
            </w:r>
          </w:p>
        </w:tc>
      </w:tr>
      <w:tr w14:paraId="29A12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826D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630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中海村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014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r>
      <w:tr w14:paraId="1159E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33D15">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D2B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补南村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6BF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r>
      <w:tr w14:paraId="40D95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AECD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1D2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9E7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422</w:t>
            </w:r>
          </w:p>
        </w:tc>
      </w:tr>
      <w:tr w14:paraId="3B23B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14E69">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海门街道无动力设备情况汇总表2022</w:t>
            </w:r>
          </w:p>
        </w:tc>
      </w:tr>
      <w:tr w14:paraId="269BF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8DB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海门街道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775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村名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1AA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单位（套）</w:t>
            </w:r>
          </w:p>
        </w:tc>
      </w:tr>
      <w:tr w14:paraId="416CD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18C37">
            <w:pPr>
              <w:jc w:val="center"/>
              <w:rPr>
                <w:rFonts w:hint="eastAsia" w:ascii="宋体" w:hAnsi="宋体" w:eastAsia="宋体" w:cs="宋体"/>
                <w:i w:val="0"/>
                <w:iCs w:val="0"/>
                <w:color w:val="000000"/>
                <w:sz w:val="22"/>
                <w:szCs w:val="22"/>
                <w:u w:val="none"/>
              </w:rPr>
            </w:pP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3BF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大兴村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90C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298</w:t>
            </w:r>
          </w:p>
        </w:tc>
      </w:tr>
      <w:tr w14:paraId="3123D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A5CC5">
            <w:pPr>
              <w:jc w:val="center"/>
              <w:rPr>
                <w:rFonts w:hint="eastAsia" w:ascii="宋体" w:hAnsi="宋体" w:eastAsia="宋体" w:cs="宋体"/>
                <w:i w:val="0"/>
                <w:iCs w:val="0"/>
                <w:color w:val="000000"/>
                <w:sz w:val="22"/>
                <w:szCs w:val="22"/>
                <w:u w:val="none"/>
              </w:rPr>
            </w:pP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4E5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09C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r>
      <w:tr w14:paraId="32A64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8D169">
            <w:pPr>
              <w:jc w:val="center"/>
              <w:rPr>
                <w:rFonts w:hint="eastAsia" w:ascii="宋体" w:hAnsi="宋体" w:eastAsia="宋体" w:cs="宋体"/>
                <w:i w:val="0"/>
                <w:iCs w:val="0"/>
                <w:color w:val="000000"/>
                <w:sz w:val="22"/>
                <w:szCs w:val="22"/>
                <w:u w:val="none"/>
              </w:rPr>
            </w:pP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AE1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三和村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272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r>
      <w:tr w14:paraId="76EFA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CC69D">
            <w:pPr>
              <w:jc w:val="center"/>
              <w:rPr>
                <w:rFonts w:hint="eastAsia" w:ascii="宋体" w:hAnsi="宋体" w:eastAsia="宋体" w:cs="宋体"/>
                <w:i w:val="0"/>
                <w:iCs w:val="0"/>
                <w:color w:val="000000"/>
                <w:sz w:val="22"/>
                <w:szCs w:val="22"/>
                <w:u w:val="none"/>
              </w:rPr>
            </w:pP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EF8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三江村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C7F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r>
      <w:tr w14:paraId="24FBE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91145">
            <w:pPr>
              <w:jc w:val="center"/>
              <w:rPr>
                <w:rFonts w:hint="eastAsia" w:ascii="宋体" w:hAnsi="宋体" w:eastAsia="宋体" w:cs="宋体"/>
                <w:i w:val="0"/>
                <w:iCs w:val="0"/>
                <w:color w:val="000000"/>
                <w:sz w:val="22"/>
                <w:szCs w:val="22"/>
                <w:u w:val="none"/>
              </w:rPr>
            </w:pP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F22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高店村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FCA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1653F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AA920">
            <w:pPr>
              <w:jc w:val="center"/>
              <w:rPr>
                <w:rFonts w:hint="eastAsia" w:ascii="宋体" w:hAnsi="宋体" w:eastAsia="宋体" w:cs="宋体"/>
                <w:i w:val="0"/>
                <w:iCs w:val="0"/>
                <w:color w:val="000000"/>
                <w:sz w:val="22"/>
                <w:szCs w:val="22"/>
                <w:u w:val="none"/>
              </w:rPr>
            </w:pP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ADE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补南村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C58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r>
      <w:tr w14:paraId="0A611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92964">
            <w:pPr>
              <w:jc w:val="center"/>
              <w:rPr>
                <w:rFonts w:hint="eastAsia" w:ascii="宋体" w:hAnsi="宋体" w:eastAsia="宋体" w:cs="宋体"/>
                <w:i w:val="0"/>
                <w:iCs w:val="0"/>
                <w:color w:val="000000"/>
                <w:sz w:val="22"/>
                <w:szCs w:val="22"/>
                <w:u w:val="none"/>
              </w:rPr>
            </w:pP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5A1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317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424</w:t>
            </w:r>
          </w:p>
        </w:tc>
      </w:tr>
    </w:tbl>
    <w:p w14:paraId="32E76AF1">
      <w:pPr>
        <w:jc w:val="center"/>
        <w:rPr>
          <w:rFonts w:ascii="Cambria" w:hAnsi="Cambria" w:eastAsia="新宋体"/>
          <w:b/>
          <w:bCs/>
          <w:szCs w:val="21"/>
        </w:rPr>
      </w:pPr>
      <w:r>
        <w:rPr>
          <w:rFonts w:hint="eastAsia" w:ascii="宋体" w:hAnsi="宋体"/>
          <w:b/>
          <w:sz w:val="28"/>
          <w:szCs w:val="28"/>
        </w:rPr>
        <w:br w:type="page"/>
      </w:r>
      <w:r>
        <w:rPr>
          <w:rFonts w:hint="eastAsia" w:ascii="宋体" w:hAnsi="宋体"/>
          <w:b/>
          <w:sz w:val="28"/>
          <w:szCs w:val="28"/>
        </w:rPr>
        <w:t>第三章  采购项目商务要求</w:t>
      </w:r>
    </w:p>
    <w:p w14:paraId="7B730B27">
      <w:pPr>
        <w:keepNext w:val="0"/>
        <w:keepLines w:val="0"/>
        <w:pageBreakBefore w:val="0"/>
        <w:widowControl w:val="0"/>
        <w:tabs>
          <w:tab w:val="left" w:pos="360"/>
        </w:tabs>
        <w:spacing w:line="440" w:lineRule="exact"/>
        <w:ind w:firstLine="426"/>
        <w:rPr>
          <w:rFonts w:hint="eastAsia" w:ascii="宋体" w:hAnsi="宋体"/>
          <w:b/>
          <w:sz w:val="24"/>
          <w:szCs w:val="20"/>
        </w:rPr>
      </w:pPr>
      <w:r>
        <w:rPr>
          <w:rFonts w:hint="eastAsia" w:ascii="宋体" w:hAnsi="宋体"/>
          <w:b/>
          <w:sz w:val="24"/>
          <w:szCs w:val="20"/>
        </w:rPr>
        <w:t>一、服务时间、地点</w:t>
      </w:r>
    </w:p>
    <w:p w14:paraId="5FAE4A67">
      <w:pPr>
        <w:pStyle w:val="52"/>
        <w:keepNext w:val="0"/>
        <w:keepLines w:val="0"/>
        <w:pageBreakBefore w:val="0"/>
        <w:widowControl w:val="0"/>
        <w:spacing w:before="0" w:after="0" w:line="440" w:lineRule="exact"/>
        <w:ind w:firstLine="424"/>
        <w:rPr>
          <w:rFonts w:hint="eastAsia" w:ascii="宋体" w:hAnsi="宋体"/>
          <w:sz w:val="24"/>
          <w:szCs w:val="20"/>
        </w:rPr>
      </w:pPr>
      <w:r>
        <w:rPr>
          <w:rFonts w:hint="eastAsia" w:ascii="宋体" w:hAnsi="宋体"/>
          <w:sz w:val="24"/>
          <w:szCs w:val="20"/>
        </w:rPr>
        <w:t>1、服务时间：合同签订后一年。</w:t>
      </w:r>
    </w:p>
    <w:p w14:paraId="5D8E620D">
      <w:pPr>
        <w:pStyle w:val="52"/>
        <w:keepNext w:val="0"/>
        <w:keepLines w:val="0"/>
        <w:pageBreakBefore w:val="0"/>
        <w:widowControl w:val="0"/>
        <w:spacing w:before="0" w:after="0" w:line="440" w:lineRule="exact"/>
        <w:ind w:firstLine="424"/>
        <w:rPr>
          <w:rFonts w:hint="eastAsia" w:ascii="宋体" w:hAnsi="宋体"/>
          <w:color w:val="FF0000"/>
          <w:sz w:val="24"/>
          <w:highlight w:val="none"/>
        </w:rPr>
      </w:pPr>
      <w:r>
        <w:rPr>
          <w:rFonts w:hint="eastAsia" w:ascii="宋体" w:hAnsi="宋体"/>
          <w:sz w:val="24"/>
          <w:szCs w:val="20"/>
        </w:rPr>
        <w:t>如在合同履行期间，根据上级部门要求，运维主体发生改变，如由区级部门统一负责运维工作的，则招标人可终止本合同。</w:t>
      </w:r>
    </w:p>
    <w:p w14:paraId="21864316">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2、服务地点：南通市海门区。</w:t>
      </w:r>
    </w:p>
    <w:p w14:paraId="55255E24">
      <w:pPr>
        <w:keepNext w:val="0"/>
        <w:keepLines w:val="0"/>
        <w:pageBreakBefore w:val="0"/>
        <w:widowControl w:val="0"/>
        <w:spacing w:line="440" w:lineRule="exact"/>
        <w:ind w:firstLine="426"/>
        <w:rPr>
          <w:rFonts w:hint="eastAsia" w:ascii="宋体" w:hAnsi="宋体"/>
          <w:b/>
          <w:sz w:val="24"/>
          <w:szCs w:val="20"/>
          <w:highlight w:val="none"/>
        </w:rPr>
      </w:pPr>
      <w:r>
        <w:rPr>
          <w:rFonts w:hint="eastAsia" w:ascii="宋体" w:hAnsi="宋体"/>
          <w:b/>
          <w:sz w:val="24"/>
          <w:szCs w:val="20"/>
          <w:highlight w:val="none"/>
        </w:rPr>
        <w:t>二、服务要求</w:t>
      </w:r>
    </w:p>
    <w:p w14:paraId="42168A97">
      <w:pPr>
        <w:keepNext w:val="0"/>
        <w:keepLines w:val="0"/>
        <w:pageBreakBefore w:val="0"/>
        <w:widowControl w:val="0"/>
        <w:spacing w:line="440" w:lineRule="exact"/>
        <w:ind w:firstLine="424"/>
        <w:rPr>
          <w:rFonts w:hint="eastAsia" w:ascii="宋体" w:hAnsi="宋体"/>
          <w:b/>
          <w:bCs/>
          <w:sz w:val="24"/>
          <w:szCs w:val="20"/>
          <w:highlight w:val="none"/>
        </w:rPr>
      </w:pPr>
      <w:r>
        <w:rPr>
          <w:rFonts w:hint="eastAsia" w:ascii="宋体" w:hAnsi="宋体"/>
          <w:b/>
          <w:bCs/>
          <w:sz w:val="24"/>
          <w:szCs w:val="20"/>
          <w:highlight w:val="none"/>
        </w:rPr>
        <w:t>明确事项：</w:t>
      </w:r>
    </w:p>
    <w:p w14:paraId="79980D21">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1、在整个委托运营期限内，供应商应始终谨慎运营和维护所有的项目设施，使其处于良好的运营状态，因供应商在污水处理设施管理中运行不当，未及时发现存在问题等管理失职，所产生的一切经济损失由供应商负责。</w:t>
      </w:r>
    </w:p>
    <w:p w14:paraId="307BB715">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2、因片区地理环境复杂，各投标单位在投标前需自行到现场对处理设施、管网、接入户数等相关要求认真勘察现场。若不现场勘察的投标单位，须对文件中无法完全写明确的内容、偏差及损失自行承担相应责任。</w:t>
      </w:r>
    </w:p>
    <w:p w14:paraId="55AE7BD7">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 xml:space="preserve">3、供应商报价单价包括服务期内完成该项目工作所需的所有费用，包含但不限于人工费、劳动保护费、车油费、通讯费、水质检测费、维修消耗费、设备配件的维修更换费、管理费、利润、保险费、税金（6%）等所有费用在内，但污水提升泵站及污水处理设施自身使用的水电费由采购人承担。                                                                                                   </w:t>
      </w:r>
    </w:p>
    <w:p w14:paraId="2BC55D70">
      <w:pPr>
        <w:keepNext w:val="0"/>
        <w:keepLines w:val="0"/>
        <w:pageBreakBefore w:val="0"/>
        <w:widowControl w:val="0"/>
        <w:spacing w:line="440" w:lineRule="exact"/>
        <w:ind w:firstLine="424"/>
        <w:rPr>
          <w:rFonts w:hint="eastAsia" w:ascii="宋体" w:hAnsi="宋体"/>
          <w:b/>
          <w:bCs/>
          <w:sz w:val="24"/>
          <w:szCs w:val="20"/>
          <w:highlight w:val="none"/>
        </w:rPr>
      </w:pPr>
      <w:r>
        <w:rPr>
          <w:rFonts w:hint="eastAsia" w:ascii="宋体" w:hAnsi="宋体"/>
          <w:b/>
          <w:bCs/>
          <w:sz w:val="24"/>
          <w:szCs w:val="20"/>
          <w:highlight w:val="none"/>
        </w:rPr>
        <w:t>维护事项：</w:t>
      </w:r>
    </w:p>
    <w:p w14:paraId="1A8A7CBD">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污水处理设施运营期间的药剂投放、菌群补充更换及污泥清理处置由中标人负责。运营期出水水质满足《江苏省农村生活污水处理设施水污染物排放标准》（DB32/3462-2020）相关规定。</w:t>
      </w:r>
    </w:p>
    <w:p w14:paraId="39CAC15A">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污水处理设施管理办法</w:t>
      </w:r>
    </w:p>
    <w:p w14:paraId="6712503B">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（一）目的和范围</w:t>
      </w:r>
    </w:p>
    <w:p w14:paraId="6ABB4559">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1、实施目的：确保污水处理设施及配套管网正常安全运行，污水排放水质达到实施标准。</w:t>
      </w:r>
    </w:p>
    <w:p w14:paraId="519B993E">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2、适用范围：经验收合格移交运行管理的农村污水处理设施及配套管网。</w:t>
      </w:r>
    </w:p>
    <w:p w14:paraId="62ACA586">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（二）污水处理设施范围内的管网设施</w:t>
      </w:r>
    </w:p>
    <w:p w14:paraId="67E977DD">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1、管道通畅，无淤积、破损、堵塞。</w:t>
      </w:r>
    </w:p>
    <w:p w14:paraId="4A56BD16">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2、管道回填面无下陷、开裂、接口无脱落，管道无破损。</w:t>
      </w:r>
    </w:p>
    <w:p w14:paraId="3C42D19A">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3、检查井井盖、井圈、井口无破损、倾斜、沉降、塌陷。</w:t>
      </w:r>
    </w:p>
    <w:p w14:paraId="5BCC7A74">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4、井盖能正常打开。</w:t>
      </w:r>
    </w:p>
    <w:p w14:paraId="62045036">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5、井内壁防渗层无破损、渗漏。</w:t>
      </w:r>
    </w:p>
    <w:p w14:paraId="26E61DD2">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6、井内无杂物堆积、堵塞，流槽无淤积。</w:t>
      </w:r>
    </w:p>
    <w:p w14:paraId="4B191CD9">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（三）污水处理设施</w:t>
      </w:r>
    </w:p>
    <w:p w14:paraId="3C9A74E6">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1、分散处理设施（设施主体部分）</w:t>
      </w:r>
    </w:p>
    <w:p w14:paraId="7530B79E">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2、格栅完好、齐全，过水通畅。</w:t>
      </w:r>
    </w:p>
    <w:p w14:paraId="2EB86B2C">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3、各池体无垃圾、无堵塞，水位正常，填料完好，挂膜良好。</w:t>
      </w:r>
    </w:p>
    <w:p w14:paraId="054C0FD6">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4、出水井出水正常，排水通畅。</w:t>
      </w:r>
    </w:p>
    <w:p w14:paraId="719ADB1D">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5、如有流量计的确保运行和数据显示正常。</w:t>
      </w:r>
    </w:p>
    <w:p w14:paraId="69E9EA64">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6、水泵、液位计运行正常，接口无脱落，管道无破损。</w:t>
      </w:r>
    </w:p>
    <w:p w14:paraId="4DD0A9CB">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7、风机或气泵曝气系统运行正常，曝气均匀，运行参数符合要求。</w:t>
      </w:r>
    </w:p>
    <w:p w14:paraId="6530D751">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8、污泥、污水回流系统运行正常，运行参数符合要求。</w:t>
      </w:r>
    </w:p>
    <w:p w14:paraId="70F6311A">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9、废弃物妥善处置。</w:t>
      </w:r>
    </w:p>
    <w:p w14:paraId="3A42A735">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10、护栏、围挡和爬梯等完整牢固，无破损。</w:t>
      </w:r>
    </w:p>
    <w:p w14:paraId="3515FB65">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11、设备房结构稳定，上锁，无破损，房内设施布置规范、整洁。</w:t>
      </w:r>
    </w:p>
    <w:p w14:paraId="41A43857">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12、大标识牌内容完整、表述正确，安装牢固。</w:t>
      </w:r>
    </w:p>
    <w:p w14:paraId="4D59B5C3">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13、工艺流程小标牌数量齐全、内容明晰、安装牢固。</w:t>
      </w:r>
    </w:p>
    <w:p w14:paraId="50A16983">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14、现场整洁、美观，与村庄环境协调。</w:t>
      </w:r>
    </w:p>
    <w:p w14:paraId="633C7ACD">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（四）处理投诉</w:t>
      </w:r>
    </w:p>
    <w:p w14:paraId="4C36C4AB">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接到的投诉能迅速处理。承包人在接到投诉2小时内到达现场进行处置。一般性问题24小时内完成应急处理，复杂性问题须及时上报发包人，并在在48小时内处理完成。</w:t>
      </w:r>
    </w:p>
    <w:p w14:paraId="684D4488">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四、责任分工</w:t>
      </w:r>
    </w:p>
    <w:p w14:paraId="33F866C2">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1、南通市海门区人民政府海门街道办事处为本辖区农村污水处理设施运行管理的监督部门，负责对设施运行管理情况进行监督、检查。</w:t>
      </w:r>
    </w:p>
    <w:p w14:paraId="1A1803FF">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2、设施运行管理单位具体负责设施的日常运行、巡查养护、维修管理等工作。</w:t>
      </w:r>
    </w:p>
    <w:p w14:paraId="6702DCDD">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五、运行管理标准</w:t>
      </w:r>
    </w:p>
    <w:p w14:paraId="49F1C7AB">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1、台账管理</w:t>
      </w:r>
    </w:p>
    <w:p w14:paraId="0DE61FF0">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设施日常巡检、养护、水质检测应做好台账记录，形成一站一档，每周一检一档。</w:t>
      </w:r>
    </w:p>
    <w:p w14:paraId="769D5C60">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2、日常管理</w:t>
      </w:r>
    </w:p>
    <w:p w14:paraId="2A757D48">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（1）环境卫生：包括设施范围内垃圾、杂草清理、池体漂浮物清理。</w:t>
      </w:r>
    </w:p>
    <w:p w14:paraId="5C79DFF2">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（2）收集系统：包括提升泵井、隔油池、化粪池、窨井、污水管网等污水收集和预处理设施，应定期巡查，菌群的补充更换及时清理垃圾及沉积物等，确保收集系统无堵塞、无漫溢、无渗漏。</w:t>
      </w:r>
    </w:p>
    <w:p w14:paraId="18D2907F">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（3）处理系统：包括格栅、调节池、生化（处理）池等，定期开展巡查，检查池体完好情况、生化系统情况、植物生长情况，确保设施各处理单元效能正常发挥作用。</w:t>
      </w:r>
    </w:p>
    <w:p w14:paraId="57873933">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（4）设备管理养护：包括水泵、风机、电控设备、流量计等设备，应定期检查、维修养护，确保正常运行。</w:t>
      </w:r>
    </w:p>
    <w:p w14:paraId="63A7E5B5">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（5）标识管理：实行公示牌制度，应按照要求标识设施信息、警示等。</w:t>
      </w:r>
    </w:p>
    <w:p w14:paraId="281854BF">
      <w:pPr>
        <w:keepNext w:val="0"/>
        <w:keepLines w:val="0"/>
        <w:pageBreakBefore w:val="0"/>
        <w:widowControl w:val="0"/>
        <w:spacing w:line="440" w:lineRule="exact"/>
        <w:ind w:firstLine="424"/>
        <w:rPr>
          <w:rFonts w:hint="eastAsia" w:ascii="宋体" w:hAnsi="宋体"/>
          <w:color w:val="auto"/>
          <w:sz w:val="24"/>
          <w:szCs w:val="20"/>
          <w:highlight w:val="none"/>
        </w:rPr>
      </w:pPr>
      <w:r>
        <w:rPr>
          <w:rFonts w:hint="eastAsia" w:ascii="宋体" w:hAnsi="宋体"/>
          <w:color w:val="auto"/>
          <w:sz w:val="24"/>
          <w:szCs w:val="20"/>
          <w:highlight w:val="none"/>
        </w:rPr>
        <w:t>（6）出水标准：定期开展水质自检和抽检，出水水质满足《江苏省农村生活污水处理设施水污染物排放标准》（DB32/3462-2020）相关规定，20吨以上设施站点每季度检测水质并出具CMA资质认证（含八项指标）水质检测报告。20吨以下每年检测一次20%的设施站点并出具CMA资质认证（含八项指标）水质检测报告，所有检测报告均包含进出水检测，具体检测要求根据上级文件通知适时调整。</w:t>
      </w:r>
    </w:p>
    <w:p w14:paraId="50519B5A">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（7）安全管理：包括用电设施日常管理，确保无私接用电等现象；设施场地日常监管，防止游客进入设施危险区域。</w:t>
      </w:r>
    </w:p>
    <w:p w14:paraId="34BA33CD">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3、应急管理</w:t>
      </w:r>
    </w:p>
    <w:p w14:paraId="15722EFE">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及时反馈并解决故障报警及水质不合格预警信息，及时处理、修复。</w:t>
      </w:r>
    </w:p>
    <w:p w14:paraId="4DE40571">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六、设施巡视事项要求</w:t>
      </w:r>
    </w:p>
    <w:p w14:paraId="2F75A991">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1、中标范围内的污水处理设施及管道的日常运营管理。</w:t>
      </w:r>
    </w:p>
    <w:p w14:paraId="313995CC">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2、村污水处理设施日常运营管理和维护，每周不少于1次的日常巡查，并做好巡查记录，要求每周不少于1次对污水处理设施的出水进行水质自检，并做好记录，如出现水质超标必须立刻汇报业主查明原因，2小时内查明，12小时内排除问题，并保留水样时间不少于2天。</w:t>
      </w:r>
    </w:p>
    <w:p w14:paraId="4A17DD4A">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七、人员配备要求</w:t>
      </w:r>
    </w:p>
    <w:p w14:paraId="60EB449D">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1、为保证污水处理设施设备及配套管网的运行正常，保证水质排放达标，配备的维修服务人员须及时对站点、污水处理设施等进行巡逻、检查，水质检测及设施故障维修。</w:t>
      </w:r>
    </w:p>
    <w:p w14:paraId="70882D13">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2、运行值班操作人员及维修服务人员，专业工龄在1年以上，均应需熟悉项目服务内所有设备的设计参数、技术性能和工作特性，具有设备检查、润滑、保养、维护、维修、故障抢修、技术改造方案实施的能力和服务质量控制能力，并具有丰富的现场维护经验。</w:t>
      </w:r>
    </w:p>
    <w:p w14:paraId="3DAE5A8A">
      <w:pPr>
        <w:keepNext w:val="0"/>
        <w:keepLines w:val="0"/>
        <w:pageBreakBefore w:val="0"/>
        <w:widowControl w:val="0"/>
        <w:spacing w:line="440" w:lineRule="exact"/>
        <w:ind w:firstLine="424"/>
        <w:rPr>
          <w:rFonts w:hint="eastAsia" w:ascii="宋体" w:hAnsi="宋体"/>
          <w:color w:val="auto"/>
          <w:sz w:val="24"/>
          <w:szCs w:val="20"/>
          <w:highlight w:val="none"/>
        </w:rPr>
      </w:pPr>
      <w:r>
        <w:rPr>
          <w:rFonts w:hint="eastAsia" w:ascii="宋体" w:hAnsi="宋体"/>
          <w:color w:val="auto"/>
          <w:sz w:val="24"/>
          <w:szCs w:val="20"/>
          <w:highlight w:val="none"/>
        </w:rPr>
        <w:t>3、运维人员中需配备1名技术总负责人员，须具有高级工程师证（提供由省人社厅颁发的工程师证书），至少1名污水处理工程师（具有污水处理工程师证书），至少1名污水化验工（具有污水化验检测工证书）。</w:t>
      </w:r>
    </w:p>
    <w:p w14:paraId="3DD5E437">
      <w:pPr>
        <w:keepNext w:val="0"/>
        <w:keepLines w:val="0"/>
        <w:pageBreakBefore w:val="0"/>
        <w:widowControl w:val="0"/>
        <w:spacing w:line="440" w:lineRule="exact"/>
        <w:ind w:firstLine="424"/>
        <w:rPr>
          <w:rFonts w:hint="eastAsia" w:ascii="宋体" w:hAnsi="宋体"/>
          <w:b/>
          <w:bCs/>
          <w:sz w:val="24"/>
          <w:szCs w:val="20"/>
          <w:highlight w:val="none"/>
        </w:rPr>
      </w:pPr>
      <w:r>
        <w:rPr>
          <w:rFonts w:hint="eastAsia" w:ascii="宋体" w:hAnsi="宋体"/>
          <w:b/>
          <w:bCs/>
          <w:color w:val="auto"/>
          <w:sz w:val="24"/>
          <w:szCs w:val="20"/>
          <w:highlight w:val="none"/>
        </w:rPr>
        <w:t>注：上述人员的相关证书及投标供应商为上述人员缴纳的202</w:t>
      </w:r>
      <w:r>
        <w:rPr>
          <w:rFonts w:hint="eastAsia" w:ascii="宋体" w:hAnsi="宋体"/>
          <w:b/>
          <w:bCs/>
          <w:color w:val="auto"/>
          <w:sz w:val="24"/>
          <w:szCs w:val="20"/>
          <w:highlight w:val="none"/>
          <w:lang w:val="en-US" w:eastAsia="zh-CN"/>
        </w:rPr>
        <w:t>6</w:t>
      </w:r>
      <w:r>
        <w:rPr>
          <w:rFonts w:hint="eastAsia" w:ascii="宋体" w:hAnsi="宋体"/>
          <w:b/>
          <w:bCs/>
          <w:color w:val="auto"/>
          <w:sz w:val="24"/>
          <w:szCs w:val="20"/>
          <w:highlight w:val="none"/>
        </w:rPr>
        <w:t>年0</w:t>
      </w:r>
      <w:r>
        <w:rPr>
          <w:rFonts w:hint="eastAsia" w:ascii="宋体" w:hAnsi="宋体"/>
          <w:b/>
          <w:bCs/>
          <w:color w:val="auto"/>
          <w:sz w:val="24"/>
          <w:szCs w:val="20"/>
          <w:highlight w:val="none"/>
          <w:lang w:val="en-US" w:eastAsia="zh-CN"/>
        </w:rPr>
        <w:t>6</w:t>
      </w:r>
      <w:r>
        <w:rPr>
          <w:rFonts w:hint="eastAsia" w:ascii="宋体" w:hAnsi="宋体"/>
          <w:b/>
          <w:bCs/>
          <w:color w:val="auto"/>
          <w:sz w:val="24"/>
          <w:szCs w:val="20"/>
          <w:highlight w:val="none"/>
        </w:rPr>
        <w:t>月到0</w:t>
      </w:r>
      <w:r>
        <w:rPr>
          <w:rFonts w:hint="eastAsia" w:ascii="宋体" w:hAnsi="宋体"/>
          <w:b/>
          <w:bCs/>
          <w:color w:val="auto"/>
          <w:sz w:val="24"/>
          <w:szCs w:val="20"/>
          <w:highlight w:val="none"/>
          <w:lang w:val="en-US" w:eastAsia="zh-CN"/>
        </w:rPr>
        <w:t>8</w:t>
      </w:r>
      <w:r>
        <w:rPr>
          <w:rFonts w:hint="eastAsia" w:ascii="宋体" w:hAnsi="宋体"/>
          <w:b/>
          <w:bCs/>
          <w:color w:val="auto"/>
          <w:sz w:val="24"/>
          <w:szCs w:val="20"/>
          <w:highlight w:val="none"/>
        </w:rPr>
        <w:t>月中任意一个月的基本养老保险缴费证明材料需在本次投标资料中体现，否则符合性审查不予通过</w:t>
      </w:r>
      <w:r>
        <w:rPr>
          <w:rFonts w:hint="eastAsia" w:ascii="宋体" w:hAnsi="宋体"/>
          <w:b/>
          <w:bCs/>
          <w:sz w:val="24"/>
          <w:szCs w:val="20"/>
          <w:highlight w:val="none"/>
        </w:rPr>
        <w:t>。</w:t>
      </w:r>
    </w:p>
    <w:p w14:paraId="5AA7F1F4">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4、3名必备人员（技术总负责人员、污水处理工程师、污水化验工）不得更换，其余人员不得随意更换，若要更换须经甲方同意，并确保更换的人员与原始配备人员具有同等的资格条件。</w:t>
      </w:r>
    </w:p>
    <w:p w14:paraId="34476F41">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八、设备配备要求</w:t>
      </w:r>
    </w:p>
    <w:p w14:paraId="73B35518">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1、配备至少2辆工程车或运维巡检车；（车辆为自有车辆，提供在投标企业或投标企业法定代表人名下的有效的车辆行驶证或登记证）</w:t>
      </w:r>
    </w:p>
    <w:p w14:paraId="29D1B5F7">
      <w:pPr>
        <w:keepNext w:val="0"/>
        <w:keepLines w:val="0"/>
        <w:pageBreakBefore w:val="0"/>
        <w:widowControl w:val="0"/>
        <w:spacing w:line="440" w:lineRule="exact"/>
        <w:ind w:firstLine="424"/>
        <w:rPr>
          <w:rFonts w:hint="eastAsia" w:ascii="宋体" w:hAnsi="宋体"/>
          <w:sz w:val="24"/>
          <w:szCs w:val="20"/>
          <w:highlight w:val="none"/>
        </w:rPr>
      </w:pPr>
      <w:r>
        <w:rPr>
          <w:rFonts w:hint="eastAsia" w:ascii="宋体" w:hAnsi="宋体"/>
          <w:sz w:val="24"/>
          <w:szCs w:val="20"/>
          <w:highlight w:val="none"/>
        </w:rPr>
        <w:t>2、配备至少一台一体化便携式多参数水质测定仪、至少一台智能多参数水质测定仪、至少一台多功能消解仪。（提供检测设备照片及投标企业购买该设备的发票）</w:t>
      </w:r>
    </w:p>
    <w:p w14:paraId="39C5E8F5">
      <w:pPr>
        <w:keepNext w:val="0"/>
        <w:keepLines w:val="0"/>
        <w:pageBreakBefore w:val="0"/>
        <w:widowControl w:val="0"/>
        <w:spacing w:line="440" w:lineRule="exact"/>
        <w:ind w:firstLine="424"/>
        <w:rPr>
          <w:rFonts w:hint="eastAsia" w:ascii="宋体" w:hAnsi="宋体"/>
          <w:b/>
          <w:bCs/>
          <w:sz w:val="24"/>
          <w:szCs w:val="20"/>
          <w:highlight w:val="none"/>
        </w:rPr>
      </w:pPr>
      <w:r>
        <w:rPr>
          <w:rFonts w:hint="eastAsia" w:ascii="宋体" w:hAnsi="宋体"/>
          <w:b/>
          <w:bCs/>
          <w:sz w:val="24"/>
          <w:szCs w:val="20"/>
          <w:highlight w:val="none"/>
        </w:rPr>
        <w:t>注：以上设备需提供的证明材料需体现在本次投标资料中，否则符合性审查不予通过。</w:t>
      </w:r>
    </w:p>
    <w:p w14:paraId="28E4F178">
      <w:pPr>
        <w:keepNext w:val="0"/>
        <w:keepLines w:val="0"/>
        <w:pageBreakBefore w:val="0"/>
        <w:widowControl w:val="0"/>
        <w:spacing w:line="440" w:lineRule="exact"/>
        <w:ind w:firstLine="424"/>
        <w:rPr>
          <w:rFonts w:hint="eastAsia" w:ascii="宋体" w:hAnsi="宋体"/>
          <w:b/>
          <w:bCs/>
          <w:sz w:val="24"/>
          <w:szCs w:val="20"/>
          <w:highlight w:val="none"/>
        </w:rPr>
      </w:pPr>
      <w:r>
        <w:rPr>
          <w:rFonts w:hint="eastAsia" w:ascii="宋体" w:hAnsi="宋体"/>
          <w:b/>
          <w:bCs/>
          <w:sz w:val="24"/>
          <w:szCs w:val="20"/>
          <w:highlight w:val="none"/>
        </w:rPr>
        <w:t>九、考核机制</w:t>
      </w:r>
    </w:p>
    <w:p w14:paraId="312DF644">
      <w:pPr>
        <w:keepNext w:val="0"/>
        <w:keepLines w:val="0"/>
        <w:pageBreakBefore w:val="0"/>
        <w:widowControl w:val="0"/>
        <w:spacing w:line="440" w:lineRule="exact"/>
        <w:ind w:firstLine="424"/>
        <w:rPr>
          <w:rFonts w:hint="eastAsia" w:ascii="宋体" w:hAnsi="宋体"/>
          <w:b w:val="0"/>
          <w:bCs w:val="0"/>
          <w:sz w:val="24"/>
          <w:szCs w:val="20"/>
          <w:highlight w:val="none"/>
        </w:rPr>
      </w:pPr>
      <w:r>
        <w:rPr>
          <w:rFonts w:hint="eastAsia" w:ascii="宋体" w:hAnsi="宋体"/>
          <w:b w:val="0"/>
          <w:bCs w:val="0"/>
          <w:sz w:val="24"/>
          <w:szCs w:val="20"/>
          <w:highlight w:val="none"/>
        </w:rPr>
        <w:t>（一）服务质量考核标准</w:t>
      </w:r>
    </w:p>
    <w:p w14:paraId="5D7B1230">
      <w:pPr>
        <w:keepNext w:val="0"/>
        <w:keepLines w:val="0"/>
        <w:pageBreakBefore w:val="0"/>
        <w:widowControl w:val="0"/>
        <w:spacing w:line="440" w:lineRule="exact"/>
        <w:ind w:firstLine="424"/>
        <w:rPr>
          <w:rFonts w:hint="eastAsia" w:ascii="宋体" w:hAnsi="宋体"/>
          <w:b w:val="0"/>
          <w:bCs w:val="0"/>
          <w:sz w:val="24"/>
          <w:szCs w:val="20"/>
          <w:highlight w:val="none"/>
        </w:rPr>
      </w:pPr>
      <w:r>
        <w:rPr>
          <w:rFonts w:hint="eastAsia" w:ascii="宋体" w:hAnsi="宋体"/>
          <w:b w:val="0"/>
          <w:bCs w:val="0"/>
          <w:sz w:val="24"/>
          <w:szCs w:val="20"/>
          <w:highlight w:val="none"/>
        </w:rPr>
        <w:t>1、服务考核标准详见附件：《一体化污水处理设施及配套管网运维服务考核表》</w:t>
      </w:r>
    </w:p>
    <w:p w14:paraId="5E363054">
      <w:pPr>
        <w:keepNext w:val="0"/>
        <w:keepLines w:val="0"/>
        <w:pageBreakBefore w:val="0"/>
        <w:widowControl w:val="0"/>
        <w:spacing w:line="440" w:lineRule="exact"/>
        <w:ind w:firstLine="424"/>
        <w:rPr>
          <w:rFonts w:hint="eastAsia" w:ascii="宋体" w:hAnsi="宋体"/>
          <w:b w:val="0"/>
          <w:bCs w:val="0"/>
          <w:sz w:val="24"/>
          <w:szCs w:val="20"/>
          <w:highlight w:val="none"/>
        </w:rPr>
      </w:pPr>
      <w:r>
        <w:rPr>
          <w:rFonts w:hint="eastAsia" w:ascii="宋体" w:hAnsi="宋体"/>
          <w:b w:val="0"/>
          <w:bCs w:val="0"/>
          <w:sz w:val="24"/>
          <w:szCs w:val="20"/>
          <w:highlight w:val="none"/>
        </w:rPr>
        <w:t>（二）考核方式</w:t>
      </w:r>
    </w:p>
    <w:p w14:paraId="401A8678">
      <w:pPr>
        <w:keepNext w:val="0"/>
        <w:keepLines w:val="0"/>
        <w:pageBreakBefore w:val="0"/>
        <w:widowControl w:val="0"/>
        <w:spacing w:line="440" w:lineRule="exact"/>
        <w:ind w:firstLine="424"/>
        <w:rPr>
          <w:rFonts w:hint="eastAsia" w:ascii="宋体" w:hAnsi="宋体"/>
          <w:b w:val="0"/>
          <w:bCs w:val="0"/>
          <w:sz w:val="24"/>
          <w:szCs w:val="20"/>
          <w:highlight w:val="none"/>
        </w:rPr>
      </w:pPr>
      <w:r>
        <w:rPr>
          <w:rFonts w:hint="eastAsia" w:ascii="宋体" w:hAnsi="宋体"/>
          <w:b w:val="0"/>
          <w:bCs w:val="0"/>
          <w:sz w:val="24"/>
          <w:szCs w:val="20"/>
          <w:highlight w:val="none"/>
        </w:rPr>
        <w:t>1、考核组织机构：由招标人负责考核，考核形式以</w:t>
      </w:r>
      <w:r>
        <w:rPr>
          <w:rFonts w:hint="eastAsia" w:ascii="宋体" w:hAnsi="宋体"/>
          <w:b w:val="0"/>
          <w:bCs w:val="0"/>
          <w:sz w:val="24"/>
          <w:szCs w:val="20"/>
          <w:highlight w:val="none"/>
          <w:lang w:val="en-US" w:eastAsia="zh-CN"/>
        </w:rPr>
        <w:t>月</w:t>
      </w:r>
      <w:r>
        <w:rPr>
          <w:rFonts w:hint="eastAsia" w:ascii="宋体" w:hAnsi="宋体"/>
          <w:b w:val="0"/>
          <w:bCs w:val="0"/>
          <w:sz w:val="24"/>
          <w:szCs w:val="20"/>
          <w:highlight w:val="none"/>
        </w:rPr>
        <w:t>考核形式开展。</w:t>
      </w:r>
    </w:p>
    <w:p w14:paraId="278722B8">
      <w:pPr>
        <w:keepNext w:val="0"/>
        <w:keepLines w:val="0"/>
        <w:pageBreakBefore w:val="0"/>
        <w:widowControl w:val="0"/>
        <w:spacing w:line="440" w:lineRule="exact"/>
        <w:ind w:firstLine="424"/>
        <w:rPr>
          <w:rFonts w:hint="eastAsia" w:ascii="宋体" w:hAnsi="宋体"/>
          <w:b w:val="0"/>
          <w:bCs w:val="0"/>
          <w:sz w:val="24"/>
          <w:szCs w:val="20"/>
          <w:highlight w:val="none"/>
        </w:rPr>
      </w:pPr>
      <w:r>
        <w:rPr>
          <w:rFonts w:hint="eastAsia" w:ascii="宋体" w:hAnsi="宋体"/>
          <w:b w:val="0"/>
          <w:bCs w:val="0"/>
          <w:sz w:val="24"/>
          <w:szCs w:val="20"/>
          <w:highlight w:val="none"/>
        </w:rPr>
        <w:t>2、考核方法：考核采取百分制。（具体详见附件）</w:t>
      </w:r>
    </w:p>
    <w:p w14:paraId="68C1EC90">
      <w:pPr>
        <w:keepNext w:val="0"/>
        <w:keepLines w:val="0"/>
        <w:pageBreakBefore w:val="0"/>
        <w:spacing w:line="440" w:lineRule="exact"/>
        <w:ind w:firstLine="482" w:firstLineChars="200"/>
        <w:rPr>
          <w:rFonts w:hint="eastAsia" w:ascii="宋体" w:hAnsi="宋体"/>
          <w:b/>
          <w:sz w:val="24"/>
          <w:szCs w:val="20"/>
        </w:rPr>
      </w:pPr>
      <w:r>
        <w:rPr>
          <w:rFonts w:hint="eastAsia" w:ascii="宋体" w:hAnsi="宋体"/>
          <w:b/>
          <w:sz w:val="24"/>
          <w:szCs w:val="20"/>
          <w:lang w:val="en-US" w:eastAsia="zh-CN"/>
        </w:rPr>
        <w:t>十</w:t>
      </w:r>
      <w:r>
        <w:rPr>
          <w:rFonts w:hint="eastAsia" w:ascii="宋体" w:hAnsi="宋体"/>
          <w:b/>
          <w:sz w:val="24"/>
          <w:szCs w:val="20"/>
        </w:rPr>
        <w:t>、</w:t>
      </w:r>
      <w:r>
        <w:rPr>
          <w:rFonts w:hint="eastAsia" w:ascii="宋体" w:hAnsi="宋体"/>
          <w:b/>
          <w:sz w:val="24"/>
          <w:szCs w:val="20"/>
          <w:highlight w:val="none"/>
        </w:rPr>
        <w:t>付款方式：</w:t>
      </w:r>
    </w:p>
    <w:p w14:paraId="010FBF5A">
      <w:pPr>
        <w:keepNext w:val="0"/>
        <w:keepLines w:val="0"/>
        <w:pageBreakBefore w:val="0"/>
        <w:spacing w:line="440" w:lineRule="exact"/>
        <w:ind w:right="-1" w:firstLine="426"/>
        <w:rPr>
          <w:rFonts w:hint="eastAsia" w:ascii="宋体" w:hAnsi="宋体" w:cs="宋体"/>
          <w:b w:val="0"/>
          <w:bCs/>
          <w:sz w:val="24"/>
        </w:rPr>
      </w:pPr>
      <w:r>
        <w:rPr>
          <w:rFonts w:hint="eastAsia" w:ascii="宋体" w:hAnsi="宋体" w:cs="宋体"/>
          <w:b w:val="0"/>
          <w:bCs/>
          <w:sz w:val="24"/>
        </w:rPr>
        <w:t>服务期满后一个月内，根据考核结果支付合同金额（具体以</w:t>
      </w:r>
      <w:r>
        <w:rPr>
          <w:rFonts w:hint="eastAsia" w:ascii="宋体" w:hAnsi="宋体" w:cs="宋体"/>
          <w:b w:val="0"/>
          <w:bCs/>
          <w:sz w:val="24"/>
          <w:lang w:val="en-US" w:eastAsia="zh-CN"/>
        </w:rPr>
        <w:t>月</w:t>
      </w:r>
      <w:r>
        <w:rPr>
          <w:rFonts w:hint="eastAsia" w:ascii="宋体" w:hAnsi="宋体" w:cs="宋体"/>
          <w:b w:val="0"/>
          <w:bCs/>
          <w:sz w:val="24"/>
        </w:rPr>
        <w:t>考核结果为准，考核标准详见附件），付款前乙方须开具等额增值税发票交甲方财务入账为必要条件。以上进度付款均不计息。</w:t>
      </w:r>
    </w:p>
    <w:p w14:paraId="3097470E">
      <w:pPr>
        <w:keepNext w:val="0"/>
        <w:keepLines w:val="0"/>
        <w:pageBreakBefore w:val="0"/>
        <w:spacing w:line="440" w:lineRule="exact"/>
        <w:ind w:right="-1" w:firstLine="426"/>
        <w:rPr>
          <w:rFonts w:hint="eastAsia" w:ascii="宋体" w:hAnsi="宋体" w:cs="宋体"/>
          <w:b w:val="0"/>
          <w:bCs/>
          <w:sz w:val="24"/>
        </w:rPr>
      </w:pPr>
      <w:r>
        <w:rPr>
          <w:rFonts w:hint="eastAsia" w:ascii="宋体" w:hAnsi="宋体" w:cs="宋体"/>
          <w:b w:val="0"/>
          <w:bCs/>
          <w:sz w:val="24"/>
        </w:rPr>
        <w:t>注：合同金额包括但不限于：①人员经费：包含人员工资、奖金、福利费、各种保险等费用；②管理费：包含站点垃圾清理费、电话费、车辆使用费、正常维护费、运行管理、设施修理人工费、水质检测费、清淤费、菌群的补充更换费、药剂费、管网疏通费、所有设备配套管网的维护费用等一切费用；③维修消耗费：包含活性污泥的投放、井盖，栅栏的修补更换、破损管网的修复、风机及水泵、电力线缆等部件的维修更换等；④其他费用：办公用品、职工培训费（上岗证等）、营业税等各种税费。如遇到污水处理设施损坏需要整体更换等大修项目，设备由业主方提供。</w:t>
      </w:r>
    </w:p>
    <w:p w14:paraId="0E4DE27E">
      <w:pPr>
        <w:keepNext w:val="0"/>
        <w:keepLines w:val="0"/>
        <w:pageBreakBefore w:val="0"/>
        <w:spacing w:line="440" w:lineRule="exact"/>
        <w:ind w:right="-1" w:firstLine="426"/>
        <w:rPr>
          <w:rFonts w:hint="eastAsia" w:ascii="宋体" w:hAnsi="宋体"/>
          <w:sz w:val="24"/>
          <w:szCs w:val="20"/>
        </w:rPr>
      </w:pPr>
      <w:r>
        <w:rPr>
          <w:rFonts w:hint="eastAsia" w:ascii="宋体" w:hAnsi="宋体" w:cs="宋体"/>
          <w:b/>
          <w:sz w:val="24"/>
          <w:lang w:val="en-US" w:eastAsia="zh-CN"/>
        </w:rPr>
        <w:t>十一</w:t>
      </w:r>
      <w:r>
        <w:rPr>
          <w:rFonts w:hint="eastAsia" w:ascii="宋体" w:hAnsi="宋体" w:cs="宋体"/>
          <w:b/>
          <w:sz w:val="24"/>
          <w:lang w:eastAsia="zh-CN"/>
        </w:rPr>
        <w:t>、</w:t>
      </w:r>
      <w:r>
        <w:rPr>
          <w:rFonts w:hint="eastAsia" w:ascii="宋体" w:hAnsi="宋体" w:cs="宋体"/>
          <w:b/>
          <w:sz w:val="24"/>
          <w:lang w:val="en-US" w:eastAsia="zh-CN"/>
        </w:rPr>
        <w:t>质量标准</w:t>
      </w:r>
      <w:r>
        <w:rPr>
          <w:rFonts w:hint="eastAsia" w:ascii="宋体" w:hAnsi="宋体" w:cs="宋体"/>
          <w:b/>
          <w:sz w:val="24"/>
        </w:rPr>
        <w:t>：</w:t>
      </w:r>
      <w:r>
        <w:rPr>
          <w:rFonts w:hint="eastAsia" w:ascii="宋体" w:hAnsi="宋体" w:cs="宋体"/>
          <w:b w:val="0"/>
          <w:bCs/>
          <w:sz w:val="24"/>
        </w:rPr>
        <w:t>运营期出水水质满足《江苏省农村生活污水处理设施水污染物排放标准》（DB32/3462-2020）相关规定。</w:t>
      </w:r>
    </w:p>
    <w:p w14:paraId="0C1AC1AB">
      <w:pPr>
        <w:keepNext w:val="0"/>
        <w:keepLines w:val="0"/>
        <w:pageBreakBefore w:val="0"/>
        <w:tabs>
          <w:tab w:val="left" w:pos="5325"/>
        </w:tabs>
        <w:spacing w:line="440" w:lineRule="exact"/>
        <w:ind w:firstLine="472"/>
        <w:contextualSpacing/>
        <w:rPr>
          <w:b/>
          <w:sz w:val="24"/>
        </w:rPr>
      </w:pPr>
      <w:r>
        <w:rPr>
          <w:rFonts w:hint="eastAsia"/>
          <w:b/>
          <w:sz w:val="24"/>
          <w:lang w:val="en-US" w:eastAsia="zh-CN"/>
        </w:rPr>
        <w:t>十二</w:t>
      </w:r>
      <w:r>
        <w:rPr>
          <w:rFonts w:hint="eastAsia"/>
          <w:b/>
          <w:sz w:val="24"/>
        </w:rPr>
        <w:t>、</w:t>
      </w:r>
      <w:r>
        <w:rPr>
          <w:b/>
          <w:sz w:val="24"/>
        </w:rPr>
        <w:t>其它相关说明：</w:t>
      </w:r>
    </w:p>
    <w:p w14:paraId="47A9F936">
      <w:pPr>
        <w:keepNext w:val="0"/>
        <w:keepLines w:val="0"/>
        <w:pageBreakBefore w:val="0"/>
        <w:widowControl/>
        <w:spacing w:line="440" w:lineRule="exact"/>
        <w:ind w:firstLine="480"/>
        <w:jc w:val="left"/>
        <w:rPr>
          <w:sz w:val="24"/>
        </w:rPr>
      </w:pPr>
      <w:r>
        <w:rPr>
          <w:sz w:val="24"/>
        </w:rPr>
        <w:t>1</w:t>
      </w:r>
      <w:r>
        <w:rPr>
          <w:rFonts w:hint="eastAsia"/>
          <w:sz w:val="24"/>
        </w:rPr>
        <w:t>.</w:t>
      </w:r>
      <w:r>
        <w:rPr>
          <w:sz w:val="24"/>
        </w:rPr>
        <w:t>本项目投标有效期为开标后60天。</w:t>
      </w:r>
    </w:p>
    <w:p w14:paraId="3B1C53BA">
      <w:pPr>
        <w:keepNext w:val="0"/>
        <w:keepLines w:val="0"/>
        <w:pageBreakBefore w:val="0"/>
        <w:widowControl w:val="0"/>
        <w:spacing w:line="440" w:lineRule="exact"/>
        <w:ind w:firstLine="480"/>
        <w:jc w:val="left"/>
        <w:rPr>
          <w:sz w:val="24"/>
          <w:lang w:val="zh-CN"/>
        </w:rPr>
      </w:pPr>
      <w:r>
        <w:rPr>
          <w:sz w:val="24"/>
        </w:rPr>
        <w:t>2.</w:t>
      </w:r>
      <w:r>
        <w:rPr>
          <w:sz w:val="24"/>
          <w:lang w:val="zh-CN"/>
        </w:rPr>
        <w:t>无论投标结果如何，投标人自行承担与投标相应有关的全部费用</w:t>
      </w:r>
      <w:r>
        <w:rPr>
          <w:rFonts w:hint="eastAsia"/>
          <w:sz w:val="24"/>
          <w:lang w:val="zh-CN"/>
        </w:rPr>
        <w:t>，</w:t>
      </w:r>
      <w:r>
        <w:rPr>
          <w:sz w:val="24"/>
          <w:lang w:val="zh-CN"/>
        </w:rPr>
        <w:t>采购单位不收取任何费用。</w:t>
      </w:r>
    </w:p>
    <w:p w14:paraId="69406A33">
      <w:pPr>
        <w:keepNext w:val="0"/>
        <w:keepLines w:val="0"/>
        <w:pageBreakBefore w:val="0"/>
        <w:widowControl w:val="0"/>
        <w:spacing w:line="440" w:lineRule="exact"/>
        <w:ind w:firstLine="480"/>
        <w:jc w:val="left"/>
        <w:rPr>
          <w:sz w:val="24"/>
          <w:lang w:val="zh-CN"/>
        </w:rPr>
      </w:pPr>
      <w:r>
        <w:rPr>
          <w:rFonts w:hint="eastAsia"/>
          <w:sz w:val="24"/>
          <w:lang w:val="zh-CN"/>
        </w:rPr>
        <w:t>3.建议投标人自行踏勘现场，充分了解现场任何影响报价之情况，根据现场情况考虑相应的投标报价，任何忽视、猜测、或误解项目情况而导致的成本增加等申请一律不予认可。</w:t>
      </w:r>
    </w:p>
    <w:p w14:paraId="0870ED9B">
      <w:pPr>
        <w:keepNext w:val="0"/>
        <w:keepLines w:val="0"/>
        <w:pageBreakBefore w:val="0"/>
        <w:widowControl w:val="0"/>
        <w:spacing w:line="440" w:lineRule="exact"/>
        <w:ind w:firstLine="480"/>
        <w:jc w:val="left"/>
        <w:rPr>
          <w:sz w:val="24"/>
          <w:lang w:val="zh-CN"/>
        </w:rPr>
      </w:pPr>
      <w:r>
        <w:rPr>
          <w:rFonts w:hint="eastAsia"/>
          <w:sz w:val="24"/>
        </w:rPr>
        <w:t>4</w:t>
      </w:r>
      <w:r>
        <w:rPr>
          <w:sz w:val="24"/>
        </w:rPr>
        <w:t>.</w:t>
      </w:r>
      <w:r>
        <w:rPr>
          <w:sz w:val="24"/>
          <w:lang w:val="zh-CN"/>
        </w:rPr>
        <w:t>本项目履约保证金为</w:t>
      </w:r>
      <w:r>
        <w:rPr>
          <w:rFonts w:hint="eastAsia"/>
          <w:sz w:val="24"/>
          <w:lang w:val="zh-CN"/>
        </w:rPr>
        <w:t>项目成交价的5%</w:t>
      </w:r>
      <w:r>
        <w:rPr>
          <w:sz w:val="24"/>
          <w:lang w:val="zh-CN"/>
        </w:rPr>
        <w:t>，</w:t>
      </w:r>
      <w:r>
        <w:rPr>
          <w:rFonts w:hint="eastAsia"/>
          <w:sz w:val="24"/>
          <w:lang w:val="zh-CN"/>
        </w:rPr>
        <w:t>以数字人民币、支票、汇票或者</w:t>
      </w:r>
      <w:r>
        <w:rPr>
          <w:rFonts w:hint="eastAsia"/>
          <w:sz w:val="24"/>
          <w:lang w:val="en-US" w:eastAsia="zh-CN"/>
        </w:rPr>
        <w:t>银行</w:t>
      </w:r>
      <w:r>
        <w:rPr>
          <w:rFonts w:hint="eastAsia"/>
          <w:sz w:val="24"/>
          <w:lang w:val="zh-CN"/>
        </w:rPr>
        <w:t>保函等非现金形式提交，缴纳至采购人指定账户，并按中标通知书规定时间与采购单位签订合同，回访期满且无质量问题后30日内退还。如未按时签订合同，则视为自动放弃成交资格。</w:t>
      </w:r>
    </w:p>
    <w:p w14:paraId="5B38C4E9">
      <w:pPr>
        <w:keepNext w:val="0"/>
        <w:keepLines w:val="0"/>
        <w:pageBreakBefore w:val="0"/>
        <w:widowControl/>
        <w:spacing w:line="440" w:lineRule="exact"/>
        <w:ind w:firstLine="480"/>
        <w:jc w:val="left"/>
        <w:rPr>
          <w:sz w:val="24"/>
        </w:rPr>
      </w:pPr>
      <w:r>
        <w:rPr>
          <w:rFonts w:hint="eastAsia"/>
          <w:sz w:val="24"/>
        </w:rPr>
        <w:t>5</w:t>
      </w:r>
      <w:r>
        <w:rPr>
          <w:sz w:val="24"/>
        </w:rPr>
        <w:t>.发生以下情况的，履约保证金不予退还或部分退还：</w:t>
      </w:r>
    </w:p>
    <w:p w14:paraId="586CA908">
      <w:pPr>
        <w:keepNext w:val="0"/>
        <w:keepLines w:val="0"/>
        <w:pageBreakBefore w:val="0"/>
        <w:widowControl w:val="0"/>
        <w:spacing w:line="440" w:lineRule="exact"/>
        <w:ind w:firstLine="480"/>
        <w:jc w:val="left"/>
        <w:rPr>
          <w:sz w:val="24"/>
          <w:lang w:val="zh-CN"/>
        </w:rPr>
      </w:pPr>
      <w:r>
        <w:rPr>
          <w:sz w:val="24"/>
          <w:lang w:val="zh-CN"/>
        </w:rPr>
        <w:t>①签订合同后，成交供应商不履行合同义务的，采购单位有权全额扣除履约保证金，全额不予退还，同时采购单位亦有权终止合同，中标供应商还须承担相应的法律赔偿责任。</w:t>
      </w:r>
    </w:p>
    <w:p w14:paraId="6B3AAEBF">
      <w:pPr>
        <w:keepNext w:val="0"/>
        <w:keepLines w:val="0"/>
        <w:pageBreakBefore w:val="0"/>
        <w:widowControl/>
        <w:spacing w:line="440" w:lineRule="exact"/>
        <w:ind w:firstLine="480"/>
        <w:jc w:val="left"/>
        <w:rPr>
          <w:sz w:val="24"/>
          <w:lang w:val="zh-CN"/>
        </w:rPr>
      </w:pPr>
      <w:r>
        <w:rPr>
          <w:sz w:val="24"/>
          <w:lang w:val="zh-CN"/>
        </w:rPr>
        <w:t>②成交供应商在履约过程中发生违约行为，给采购单位造成损失的，采购单位有权在成交供应商缴纳的履约保证金中予以扣款，以弥补采购单位经济损失，不足的部分成交供应商另外补齐。</w:t>
      </w:r>
    </w:p>
    <w:p w14:paraId="4DF01FA8">
      <w:pPr>
        <w:keepNext w:val="0"/>
        <w:keepLines w:val="0"/>
        <w:pageBreakBefore w:val="0"/>
        <w:widowControl/>
        <w:spacing w:line="440" w:lineRule="exact"/>
        <w:ind w:firstLine="480"/>
        <w:jc w:val="left"/>
        <w:rPr>
          <w:sz w:val="24"/>
        </w:rPr>
      </w:pPr>
      <w:r>
        <w:rPr>
          <w:rFonts w:hint="eastAsia"/>
          <w:sz w:val="24"/>
        </w:rPr>
        <w:t>6</w:t>
      </w:r>
      <w:r>
        <w:rPr>
          <w:sz w:val="24"/>
        </w:rPr>
        <w:t>.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p>
    <w:p w14:paraId="18DCA60D">
      <w:pPr>
        <w:keepNext w:val="0"/>
        <w:keepLines w:val="0"/>
        <w:pageBreakBefore w:val="0"/>
        <w:widowControl/>
        <w:spacing w:line="440" w:lineRule="exact"/>
        <w:ind w:firstLine="480"/>
        <w:jc w:val="left"/>
        <w:rPr>
          <w:sz w:val="24"/>
        </w:rPr>
      </w:pPr>
      <w:r>
        <w:rPr>
          <w:rFonts w:hint="eastAsia"/>
          <w:sz w:val="24"/>
        </w:rPr>
        <w:t>7</w:t>
      </w:r>
      <w:r>
        <w:rPr>
          <w:sz w:val="24"/>
        </w:rPr>
        <w:t>.若供应商中标后无故弃标，采购人将其移交政府采购监管部门，按政府采购相关法律法规处理。</w:t>
      </w:r>
    </w:p>
    <w:p w14:paraId="09ACCFD1">
      <w:pPr>
        <w:spacing w:line="400" w:lineRule="exact"/>
        <w:ind w:firstLine="482"/>
        <w:rPr>
          <w:b/>
          <w:bCs/>
          <w:sz w:val="24"/>
        </w:rPr>
      </w:pPr>
    </w:p>
    <w:p w14:paraId="01FBE19A">
      <w:pPr>
        <w:spacing w:line="400" w:lineRule="exact"/>
        <w:ind w:firstLine="482"/>
        <w:rPr>
          <w:b/>
          <w:bCs/>
          <w:sz w:val="24"/>
        </w:rPr>
      </w:pPr>
    </w:p>
    <w:p w14:paraId="145387EE">
      <w:pPr>
        <w:spacing w:line="400" w:lineRule="exact"/>
        <w:ind w:firstLine="482"/>
        <w:rPr>
          <w:b/>
          <w:bCs/>
          <w:sz w:val="24"/>
        </w:rPr>
      </w:pPr>
    </w:p>
    <w:p w14:paraId="6F7B50E5">
      <w:pPr>
        <w:spacing w:line="400" w:lineRule="exact"/>
        <w:ind w:firstLine="482"/>
        <w:rPr>
          <w:b/>
          <w:bCs/>
          <w:sz w:val="24"/>
        </w:rPr>
      </w:pPr>
    </w:p>
    <w:p w14:paraId="7F5DD556">
      <w:pPr>
        <w:spacing w:line="400" w:lineRule="exact"/>
        <w:ind w:firstLine="482"/>
        <w:rPr>
          <w:b/>
          <w:bCs/>
          <w:sz w:val="24"/>
          <w:szCs w:val="24"/>
        </w:rPr>
      </w:pPr>
    </w:p>
    <w:p w14:paraId="67001DAB">
      <w:pPr>
        <w:rPr>
          <w:rFonts w:hint="eastAsia"/>
          <w:b/>
          <w:sz w:val="24"/>
          <w:lang w:val="en-US" w:eastAsia="zh-CN"/>
        </w:rPr>
      </w:pPr>
      <w:r>
        <w:rPr>
          <w:rFonts w:hint="eastAsia"/>
          <w:b/>
          <w:sz w:val="24"/>
          <w:lang w:val="en-US" w:eastAsia="zh-CN"/>
        </w:rPr>
        <w:br w:type="page"/>
      </w:r>
    </w:p>
    <w:p w14:paraId="105C2530">
      <w:pPr>
        <w:spacing w:line="400" w:lineRule="exact"/>
        <w:ind w:firstLine="482"/>
        <w:rPr>
          <w:sz w:val="24"/>
          <w:lang w:val="zh-CN"/>
        </w:rPr>
      </w:pPr>
      <w:r>
        <w:rPr>
          <w:rFonts w:hint="eastAsia"/>
          <w:b/>
          <w:sz w:val="24"/>
          <w:lang w:val="en-US" w:eastAsia="zh-CN"/>
        </w:rPr>
        <w:t>十三</w:t>
      </w:r>
      <w:r>
        <w:rPr>
          <w:b/>
          <w:sz w:val="24"/>
        </w:rPr>
        <w:t>、</w:t>
      </w:r>
      <w:r>
        <w:rPr>
          <w:b/>
          <w:sz w:val="24"/>
          <w:lang w:val="zh-CN"/>
        </w:rPr>
        <w:t>拟签订合同：</w:t>
      </w:r>
    </w:p>
    <w:p w14:paraId="480CB856">
      <w:pPr>
        <w:spacing w:before="240" w:line="500" w:lineRule="exact"/>
        <w:ind w:left="848" w:hanging="420"/>
        <w:jc w:val="center"/>
        <w:rPr>
          <w:rFonts w:hint="eastAsia" w:ascii="宋体" w:hAnsi="宋体"/>
          <w:b/>
          <w:bCs/>
          <w:sz w:val="44"/>
          <w:szCs w:val="44"/>
        </w:rPr>
      </w:pPr>
      <w:r>
        <w:rPr>
          <w:rFonts w:hint="eastAsia" w:ascii="宋体" w:hAnsi="宋体"/>
          <w:b/>
          <w:bCs/>
          <w:sz w:val="44"/>
          <w:szCs w:val="44"/>
        </w:rPr>
        <w:t>拟签订的合同文本</w:t>
      </w:r>
    </w:p>
    <w:p w14:paraId="460ED6DC">
      <w:pPr>
        <w:keepNext w:val="0"/>
        <w:keepLines w:val="0"/>
        <w:pageBreakBefore w:val="0"/>
        <w:widowControl w:val="0"/>
        <w:spacing w:line="460" w:lineRule="exact"/>
        <w:ind w:left="0" w:firstLine="422"/>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b/>
          <w:sz w:val="24"/>
          <w:szCs w:val="24"/>
        </w:rPr>
        <w:t xml:space="preserve">甲方(需方)：南通市海门区人民政府海门街道办事处      </w:t>
      </w:r>
      <w:r>
        <w:rPr>
          <w:rFonts w:hint="eastAsia" w:asciiTheme="minorEastAsia" w:hAnsiTheme="minorEastAsia" w:eastAsiaTheme="minorEastAsia" w:cstheme="minorEastAsia"/>
          <w:sz w:val="24"/>
          <w:szCs w:val="24"/>
        </w:rPr>
        <w:t>签订地点：</w:t>
      </w:r>
      <w:r>
        <w:rPr>
          <w:rFonts w:hint="eastAsia" w:asciiTheme="minorEastAsia" w:hAnsiTheme="minorEastAsia" w:eastAsiaTheme="minorEastAsia" w:cstheme="minorEastAsia"/>
          <w:b/>
          <w:sz w:val="24"/>
          <w:szCs w:val="24"/>
          <w:u w:val="single"/>
        </w:rPr>
        <w:t xml:space="preserve">           </w:t>
      </w:r>
    </w:p>
    <w:p w14:paraId="7C2D69BD">
      <w:pPr>
        <w:keepNext w:val="0"/>
        <w:keepLines w:val="0"/>
        <w:pageBreakBefore w:val="0"/>
        <w:widowControl w:val="0"/>
        <w:spacing w:line="460" w:lineRule="exact"/>
        <w:ind w:left="0" w:firstLine="422"/>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b/>
          <w:sz w:val="24"/>
          <w:szCs w:val="24"/>
        </w:rPr>
        <w:t>乙方(供方)：</w:t>
      </w:r>
      <w:r>
        <w:rPr>
          <w:rFonts w:hint="eastAsia" w:asciiTheme="minorEastAsia" w:hAnsiTheme="minorEastAsia" w:eastAsiaTheme="minorEastAsia" w:cstheme="minorEastAsia"/>
          <w:b/>
          <w:sz w:val="24"/>
          <w:szCs w:val="24"/>
          <w:u w:val="single"/>
        </w:rPr>
        <w:t xml:space="preserve">                              </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签订时间：</w:t>
      </w:r>
      <w:r>
        <w:rPr>
          <w:rFonts w:hint="eastAsia" w:asciiTheme="minorEastAsia" w:hAnsiTheme="minorEastAsia" w:eastAsiaTheme="minorEastAsia" w:cstheme="minorEastAsia"/>
          <w:b/>
          <w:sz w:val="24"/>
          <w:szCs w:val="24"/>
          <w:u w:val="single"/>
        </w:rPr>
        <w:t xml:space="preserve">           </w:t>
      </w:r>
    </w:p>
    <w:p w14:paraId="7FF40E59">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为保证海门街道区域内污水处理设施及配套管网正常安全运行及水质排放达标，甲方将本项目发包给乙方负责运行、维护和管理。</w:t>
      </w:r>
      <w:r>
        <w:rPr>
          <w:rFonts w:hint="eastAsia" w:asciiTheme="minorEastAsia" w:hAnsiTheme="minorEastAsia" w:eastAsiaTheme="minorEastAsia" w:cstheme="minorEastAsia"/>
          <w:sz w:val="24"/>
          <w:szCs w:val="24"/>
          <w:lang w:val="en-US" w:eastAsia="zh-CN"/>
        </w:rPr>
        <w:t>根据中标结果，并</w:t>
      </w:r>
      <w:r>
        <w:rPr>
          <w:rFonts w:hint="eastAsia" w:asciiTheme="minorEastAsia" w:hAnsiTheme="minorEastAsia" w:eastAsiaTheme="minorEastAsia" w:cstheme="minorEastAsia"/>
          <w:sz w:val="24"/>
          <w:szCs w:val="24"/>
        </w:rPr>
        <w:t>经双方协商</w:t>
      </w:r>
      <w:r>
        <w:rPr>
          <w:rFonts w:hint="eastAsia" w:asciiTheme="minorEastAsia" w:hAnsiTheme="minorEastAsia" w:eastAsiaTheme="minorEastAsia" w:cstheme="minorEastAsia"/>
          <w:sz w:val="24"/>
          <w:szCs w:val="24"/>
          <w:lang w:val="en-US" w:eastAsia="zh-CN"/>
        </w:rPr>
        <w:t>一致</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就</w:t>
      </w:r>
      <w:r>
        <w:rPr>
          <w:rFonts w:hint="eastAsia" w:asciiTheme="minorEastAsia" w:hAnsiTheme="minorEastAsia" w:eastAsiaTheme="minorEastAsia" w:cstheme="minorEastAsia"/>
          <w:sz w:val="24"/>
          <w:szCs w:val="24"/>
          <w:lang w:eastAsia="zh-CN"/>
        </w:rPr>
        <w:t>南通市海门区人民政府海门街道办事处采购农村污水处理设施运维服务项目</w:t>
      </w:r>
      <w:r>
        <w:rPr>
          <w:rFonts w:hint="eastAsia" w:asciiTheme="minorEastAsia" w:hAnsiTheme="minorEastAsia" w:eastAsiaTheme="minorEastAsia" w:cstheme="minorEastAsia"/>
          <w:sz w:val="24"/>
          <w:szCs w:val="24"/>
        </w:rPr>
        <w:t>，达成如下协议：</w:t>
      </w:r>
    </w:p>
    <w:p w14:paraId="1BFFABBC">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一、服务项目内容及规模：</w:t>
      </w:r>
    </w:p>
    <w:p w14:paraId="63295FE9">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对海门街道2020、2022、2023、2024年度建设的农村污水处理设施（包括动力设施77套、提升泵站2套、无动力设施1430套，含所有设施配套管网及电力线缆）提供运维服务。</w:t>
      </w:r>
    </w:p>
    <w:p w14:paraId="0E531FDC">
      <w:pPr>
        <w:keepNext w:val="0"/>
        <w:keepLines w:val="0"/>
        <w:pageBreakBefore w:val="0"/>
        <w:spacing w:line="500" w:lineRule="exact"/>
        <w:ind w:firstLine="48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二、服务地点：南通市海门区海门街道区域范围</w:t>
      </w:r>
      <w:r>
        <w:rPr>
          <w:rFonts w:hint="eastAsia" w:asciiTheme="minorEastAsia" w:hAnsiTheme="minorEastAsia" w:eastAsiaTheme="minorEastAsia" w:cstheme="minorEastAsia"/>
          <w:sz w:val="24"/>
          <w:szCs w:val="24"/>
          <w:lang w:eastAsia="zh-CN"/>
        </w:rPr>
        <w:t>。</w:t>
      </w:r>
    </w:p>
    <w:p w14:paraId="4F0873A1">
      <w:pPr>
        <w:keepNext w:val="0"/>
        <w:keepLines w:val="0"/>
        <w:pageBreakBefore w:val="0"/>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三、维护服务期限：</w:t>
      </w:r>
      <w:r>
        <w:rPr>
          <w:rFonts w:hint="eastAsia" w:asciiTheme="minorEastAsia" w:hAnsiTheme="minorEastAsia" w:eastAsiaTheme="minorEastAsia" w:cstheme="minorEastAsia"/>
          <w:sz w:val="24"/>
          <w:szCs w:val="24"/>
          <w:lang w:val="zh-CN"/>
        </w:rPr>
        <w:t>合同签订后一年。如在合同履行期间，根据上级部门要求，运维主体发生改变，如由区级部门统一负责运维工作的，则甲方可终止本合同。</w:t>
      </w:r>
    </w:p>
    <w:p w14:paraId="2F8AF40A">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四、服务费用和支付方式</w:t>
      </w:r>
    </w:p>
    <w:p w14:paraId="56D70BD2">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1、一年的服务费用为人民币大写：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eastAsia="zh-CN"/>
        </w:rPr>
        <w:t>（</w:t>
      </w:r>
      <w:r>
        <w:rPr>
          <w:rFonts w:hint="eastAsia" w:asciiTheme="minorEastAsia" w:hAnsiTheme="minorEastAsia" w:eastAsiaTheme="minorEastAsia" w:cstheme="minorEastAsia"/>
          <w:sz w:val="24"/>
          <w:szCs w:val="24"/>
        </w:rPr>
        <w:t>小写：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元</w:t>
      </w:r>
      <w:r>
        <w:rPr>
          <w:rFonts w:hint="eastAsia" w:asciiTheme="minorEastAsia" w:hAnsiTheme="minorEastAsia" w:eastAsiaTheme="minorEastAsia" w:cstheme="minorEastAsia"/>
          <w:sz w:val="24"/>
          <w:szCs w:val="24"/>
          <w:u w:val="none"/>
          <w:lang w:eastAsia="zh-CN"/>
        </w:rPr>
        <w:t>）。</w:t>
      </w:r>
    </w:p>
    <w:p w14:paraId="645867D4">
      <w:pPr>
        <w:spacing w:line="500" w:lineRule="exact"/>
        <w:ind w:firstLine="482"/>
        <w:rPr>
          <w:rFonts w:hint="eastAsia" w:asciiTheme="minorEastAsia" w:hAnsiTheme="minorEastAsia" w:eastAsiaTheme="minorEastAsia" w:cstheme="minorEastAsia"/>
          <w:b/>
          <w:bCs/>
          <w:color w:val="000000"/>
          <w:sz w:val="24"/>
          <w:szCs w:val="24"/>
          <w:lang w:val="zh-CN"/>
        </w:rPr>
      </w:pPr>
      <w:r>
        <w:rPr>
          <w:rFonts w:hint="eastAsia" w:asciiTheme="minorEastAsia" w:hAnsiTheme="minorEastAsia" w:eastAsiaTheme="minorEastAsia" w:cstheme="minorEastAsia"/>
          <w:b/>
          <w:bCs/>
          <w:sz w:val="24"/>
          <w:szCs w:val="24"/>
        </w:rPr>
        <w:t>2、</w:t>
      </w:r>
      <w:r>
        <w:rPr>
          <w:rFonts w:hint="eastAsia" w:asciiTheme="minorEastAsia" w:hAnsiTheme="minorEastAsia" w:eastAsiaTheme="minorEastAsia" w:cstheme="minorEastAsia"/>
          <w:b/>
          <w:bCs/>
          <w:color w:val="000000"/>
          <w:sz w:val="24"/>
          <w:szCs w:val="24"/>
          <w:lang w:val="zh-CN"/>
        </w:rPr>
        <w:t>服务期满后一个月内，根据考核结果支付合同金额（具体以</w:t>
      </w:r>
      <w:r>
        <w:rPr>
          <w:rFonts w:hint="eastAsia" w:asciiTheme="minorEastAsia" w:hAnsiTheme="minorEastAsia" w:eastAsiaTheme="minorEastAsia" w:cstheme="minorEastAsia"/>
          <w:b/>
          <w:bCs/>
          <w:color w:val="000000"/>
          <w:sz w:val="24"/>
          <w:szCs w:val="24"/>
          <w:lang w:val="en-US" w:eastAsia="zh-CN"/>
        </w:rPr>
        <w:t>月</w:t>
      </w:r>
      <w:r>
        <w:rPr>
          <w:rFonts w:hint="eastAsia" w:asciiTheme="minorEastAsia" w:hAnsiTheme="minorEastAsia" w:eastAsiaTheme="minorEastAsia" w:cstheme="minorEastAsia"/>
          <w:b/>
          <w:bCs/>
          <w:color w:val="000000"/>
          <w:sz w:val="24"/>
          <w:szCs w:val="24"/>
          <w:lang w:val="zh-CN"/>
        </w:rPr>
        <w:t>考核结果为准，考核标准详见附件），</w:t>
      </w:r>
      <w:r>
        <w:rPr>
          <w:rFonts w:hint="eastAsia" w:asciiTheme="minorEastAsia" w:hAnsiTheme="minorEastAsia" w:eastAsiaTheme="minorEastAsia" w:cstheme="minorEastAsia"/>
          <w:b/>
          <w:bCs/>
          <w:color w:val="000000"/>
          <w:sz w:val="24"/>
          <w:szCs w:val="24"/>
          <w:lang w:val="en-US" w:eastAsia="zh-CN"/>
        </w:rPr>
        <w:t>付款前，</w:t>
      </w:r>
      <w:r>
        <w:rPr>
          <w:rFonts w:hint="eastAsia" w:asciiTheme="minorEastAsia" w:hAnsiTheme="minorEastAsia" w:eastAsiaTheme="minorEastAsia" w:cstheme="minorEastAsia"/>
          <w:b/>
          <w:bCs/>
          <w:color w:val="000000"/>
          <w:sz w:val="24"/>
          <w:szCs w:val="24"/>
          <w:lang w:val="zh-CN"/>
        </w:rPr>
        <w:t>乙方须开具等额增值税发票交甲方财务入账为必要条件。以上</w:t>
      </w:r>
      <w:r>
        <w:rPr>
          <w:rFonts w:hint="eastAsia" w:asciiTheme="minorEastAsia" w:hAnsiTheme="minorEastAsia" w:eastAsiaTheme="minorEastAsia" w:cstheme="minorEastAsia"/>
          <w:b/>
          <w:bCs/>
          <w:color w:val="000000"/>
          <w:sz w:val="24"/>
          <w:szCs w:val="24"/>
          <w:lang w:val="en-US" w:eastAsia="zh-CN"/>
        </w:rPr>
        <w:t>进度付款</w:t>
      </w:r>
      <w:r>
        <w:rPr>
          <w:rFonts w:hint="eastAsia" w:asciiTheme="minorEastAsia" w:hAnsiTheme="minorEastAsia" w:eastAsiaTheme="minorEastAsia" w:cstheme="minorEastAsia"/>
          <w:b/>
          <w:bCs/>
          <w:color w:val="000000"/>
          <w:sz w:val="24"/>
          <w:szCs w:val="24"/>
          <w:lang w:val="zh-CN"/>
        </w:rPr>
        <w:t>均不计息。</w:t>
      </w:r>
    </w:p>
    <w:p w14:paraId="38C63831">
      <w:pPr>
        <w:keepNext w:val="0"/>
        <w:keepLines w:val="0"/>
        <w:pageBreakBefore w:val="0"/>
        <w:widowControl/>
        <w:spacing w:line="500" w:lineRule="exact"/>
        <w:ind w:firstLine="4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注：合同金额包括但不限于：①人员经费：包含人员工资、奖金、福利费、各种保险等费用；②管理费：包含站点垃圾清理费、电话费、车辆使用费、正常维护费、运行管理、设施修理人工费、水质检测费、清淤费、</w:t>
      </w:r>
      <w:r>
        <w:rPr>
          <w:rFonts w:hint="eastAsia" w:asciiTheme="minorEastAsia" w:hAnsiTheme="minorEastAsia" w:eastAsiaTheme="minorEastAsia" w:cstheme="minorEastAsia"/>
          <w:color w:val="000000"/>
          <w:sz w:val="24"/>
          <w:szCs w:val="24"/>
        </w:rPr>
        <w:t>菌群的补充更换费、药剂费、</w:t>
      </w:r>
      <w:r>
        <w:rPr>
          <w:rFonts w:hint="eastAsia" w:asciiTheme="minorEastAsia" w:hAnsiTheme="minorEastAsia" w:eastAsiaTheme="minorEastAsia" w:cstheme="minorEastAsia"/>
          <w:sz w:val="24"/>
          <w:szCs w:val="24"/>
          <w:lang w:val="zh-CN"/>
        </w:rPr>
        <w:t>管网疏通费、所有设备配套管网的维护费用等一切费用；③维修消耗费：包含活性污泥的投放、井盖，栅栏的修补更换、破损管网的修复、风机及水泵等部件的维修更换等；④其他费用：办公用品、职工培训费（上岗证等）、营业税等各种税费。如遇到污水处理设施损坏需要整体更换等大修项目，设备由甲方提供。</w:t>
      </w:r>
    </w:p>
    <w:p w14:paraId="470B89D7">
      <w:pPr>
        <w:keepNext w:val="0"/>
        <w:keepLines w:val="0"/>
        <w:pageBreakBefore w:val="0"/>
        <w:spacing w:line="500" w:lineRule="exact"/>
        <w:ind w:firstLine="48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2、甲方将根据区级以上攻坚办或生态环境部门定期或不定期排放水质检测通报，如出现不达标的，每发现一次将按照考核条款扣减相应金额。甲方有权要求整改直至排放水质达标，若发现同一设备</w:t>
      </w:r>
      <w:r>
        <w:rPr>
          <w:rFonts w:hint="eastAsia" w:asciiTheme="minorEastAsia" w:hAnsiTheme="minorEastAsia" w:eastAsiaTheme="minorEastAsia" w:cstheme="minorEastAsia"/>
          <w:color w:val="000000"/>
          <w:sz w:val="24"/>
          <w:szCs w:val="24"/>
          <w:lang w:val="en-US" w:eastAsia="zh-CN"/>
        </w:rPr>
        <w:t>累计</w:t>
      </w:r>
      <w:r>
        <w:rPr>
          <w:rFonts w:hint="eastAsia" w:asciiTheme="minorEastAsia" w:hAnsiTheme="minorEastAsia" w:eastAsiaTheme="minorEastAsia" w:cstheme="minorEastAsia"/>
          <w:color w:val="000000"/>
          <w:sz w:val="24"/>
          <w:szCs w:val="24"/>
        </w:rPr>
        <w:t>三次被通报排放水质不达标，甲方有权单方面终止合同，已产生的服务费用按50%进行支付。若因此对甲方造成损失的，一切损失均由乙方负责赔偿。</w:t>
      </w:r>
    </w:p>
    <w:p w14:paraId="3069B19B">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五、质量标准：运营期出水水质满足《江苏省农村生活污水处理设施水污染物排放标准》</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DB32/3462-2020</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相关规定。</w:t>
      </w:r>
    </w:p>
    <w:p w14:paraId="35C50420">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六、履约保证金</w:t>
      </w:r>
    </w:p>
    <w:p w14:paraId="1AA1575C">
      <w:pPr>
        <w:keepNext w:val="0"/>
        <w:keepLines w:val="0"/>
        <w:pageBreakBefore w:val="0"/>
        <w:spacing w:line="500" w:lineRule="exact"/>
        <w:ind w:firstLine="48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w:t>
      </w:r>
      <w:r>
        <w:rPr>
          <w:sz w:val="24"/>
          <w:lang w:val="zh-CN"/>
        </w:rPr>
        <w:t>本项目</w:t>
      </w:r>
      <w:r>
        <w:rPr>
          <w:rFonts w:hint="eastAsia" w:asciiTheme="minorEastAsia" w:hAnsiTheme="minorEastAsia" w:eastAsiaTheme="minorEastAsia" w:cstheme="minorEastAsia"/>
          <w:sz w:val="24"/>
          <w:szCs w:val="24"/>
        </w:rPr>
        <w:t>成交后的</w:t>
      </w:r>
      <w:r>
        <w:rPr>
          <w:sz w:val="24"/>
          <w:lang w:val="zh-CN"/>
        </w:rPr>
        <w:t>履约保证金为</w:t>
      </w:r>
      <w:r>
        <w:rPr>
          <w:rFonts w:hint="eastAsia"/>
          <w:sz w:val="24"/>
          <w:lang w:val="zh-CN"/>
        </w:rPr>
        <w:t>项目成交价的5%</w:t>
      </w:r>
      <w:r>
        <w:rPr>
          <w:sz w:val="24"/>
          <w:lang w:val="zh-CN"/>
        </w:rPr>
        <w:t>，</w:t>
      </w:r>
      <w:r>
        <w:rPr>
          <w:rFonts w:hint="eastAsia"/>
          <w:sz w:val="24"/>
          <w:lang w:val="zh-CN"/>
        </w:rPr>
        <w:t>以数字人民币、支票、汇票或者</w:t>
      </w:r>
      <w:r>
        <w:rPr>
          <w:rFonts w:hint="eastAsia"/>
          <w:sz w:val="24"/>
          <w:lang w:val="en-US" w:eastAsia="zh-CN"/>
        </w:rPr>
        <w:t>银行</w:t>
      </w:r>
      <w:r>
        <w:rPr>
          <w:rFonts w:hint="eastAsia"/>
          <w:sz w:val="24"/>
          <w:lang w:val="zh-CN"/>
        </w:rPr>
        <w:t>保函</w:t>
      </w:r>
      <w:r>
        <w:rPr>
          <w:rFonts w:hint="eastAsia"/>
          <w:sz w:val="24"/>
          <w:highlight w:val="none"/>
          <w:lang w:val="zh-CN"/>
        </w:rPr>
        <w:t>等</w:t>
      </w:r>
      <w:r>
        <w:rPr>
          <w:rFonts w:hint="eastAsia"/>
          <w:sz w:val="24"/>
          <w:lang w:val="zh-CN"/>
        </w:rPr>
        <w:t>非现金形式提交，缴纳至采购人指定账户，并按中标通知书规定时间与采购单位签订合同，回访期满且无质量问题后30日内退还。如未按时签订合同，则视为自动放弃成交资格。</w:t>
      </w:r>
      <w:r>
        <w:rPr>
          <w:rFonts w:hint="eastAsia" w:asciiTheme="minorEastAsia" w:hAnsiTheme="minorEastAsia" w:eastAsiaTheme="minorEastAsia" w:cstheme="minorEastAsia"/>
          <w:sz w:val="24"/>
          <w:szCs w:val="24"/>
        </w:rPr>
        <w:t>履约完成，设备正常运行交接后无息退还</w:t>
      </w:r>
      <w:r>
        <w:rPr>
          <w:rFonts w:hint="eastAsia" w:asciiTheme="minorEastAsia" w:hAnsiTheme="minorEastAsia" w:eastAsiaTheme="minorEastAsia" w:cstheme="minorEastAsia"/>
          <w:sz w:val="24"/>
          <w:szCs w:val="24"/>
          <w:lang w:eastAsia="zh-CN"/>
        </w:rPr>
        <w:t>。</w:t>
      </w:r>
    </w:p>
    <w:p w14:paraId="667C7BA3">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2、发生以下情况的，履约保证金不予退还或部分退还：</w:t>
      </w:r>
    </w:p>
    <w:p w14:paraId="780743B2">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①签订合同后，乙方不履行合同义务的，甲方有权全额扣除履约保证金，全额不予退还，同时甲方亦有权终止合同，乙方还须承担相应的法律赔偿责任。</w:t>
      </w:r>
    </w:p>
    <w:p w14:paraId="542BFDB2">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②乙方在履约过程中发生违约行为，给甲方造成损失的，甲方有权在乙方缴纳的履约保证金中予以扣款，以弥补甲方经济损失，不足的部分乙方另外补齐。</w:t>
      </w:r>
    </w:p>
    <w:p w14:paraId="6908CF59">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七、甲方的权利和义务</w:t>
      </w:r>
    </w:p>
    <w:p w14:paraId="5398A2A8">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甲方有权对一体化污水处理设施及配套管网运行、维护情况进行定期、不定期的检查，乙方应予以配合；甲方根据一体化污水处理设施及配套管网进水情况对一体化污水处理设施及配套管网运行和管理提出的调整要求，乙方应无条件接受。</w:t>
      </w:r>
    </w:p>
    <w:p w14:paraId="20CE7FB3">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2、甲方发现乙方不按维护内容和事项管理或超越权限时，给甲方造成损失的，甲方可以要求其赔偿实际损失，并追究经济责任，直至解除维护协议。</w:t>
      </w:r>
    </w:p>
    <w:p w14:paraId="59075B6F">
      <w:pPr>
        <w:keepNext w:val="0"/>
        <w:keepLines w:val="0"/>
        <w:pageBreakBefore w:val="0"/>
        <w:spacing w:line="500" w:lineRule="exact"/>
        <w:ind w:firstLine="480"/>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3、甲方逾期付款的，按订立合同时一年期LPR标准计算逾期付款违约金。</w:t>
      </w:r>
    </w:p>
    <w:p w14:paraId="0AB781BC">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八、乙方的权力和义务</w:t>
      </w:r>
    </w:p>
    <w:p w14:paraId="44219E9F">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1、乙方有按时取得服务费用的权力。</w:t>
      </w:r>
    </w:p>
    <w:p w14:paraId="20619E6E">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2、乙方在维护期限内，不得转包，并保证一体化污水处理设施及配套管网正常安全运行、资产完好，不得转移、抵押、租赁或以其它方式处理甲方的资产。</w:t>
      </w:r>
    </w:p>
    <w:p w14:paraId="394D4688">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3、乙方因情况紧急，需第一时间向甲方汇报，并及时妥善处理维护事务；乙方发现一体化污水处理设施及配套管网进水出现异常现象时，应当及时向甲方通报。</w:t>
      </w:r>
    </w:p>
    <w:p w14:paraId="4AC4709E">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4、维护期结束时，乙方应保证将所管理的一体化污水处理设施、管道完好交于甲方。如有损失，乙方将赔偿甲方损失。</w:t>
      </w:r>
    </w:p>
    <w:p w14:paraId="35F1EDF8">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5、一体化污水处理设施及配套管网托管期间发生的安全事故由乙方承担全部责任。</w:t>
      </w:r>
    </w:p>
    <w:p w14:paraId="6BEFBB1B">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九</w:t>
      </w:r>
      <w:r>
        <w:rPr>
          <w:rFonts w:hint="eastAsia" w:asciiTheme="minorEastAsia" w:hAnsiTheme="minorEastAsia" w:eastAsiaTheme="minorEastAsia" w:cstheme="minorEastAsia"/>
          <w:sz w:val="24"/>
          <w:szCs w:val="24"/>
        </w:rPr>
        <w:t>、其它事项</w:t>
      </w:r>
    </w:p>
    <w:p w14:paraId="5C9F9A90">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1、乙方未经甲方许可不得向他人转供水电。乙方将工程转包、分包应承担服务费的20%违约责任。</w:t>
      </w:r>
    </w:p>
    <w:p w14:paraId="533B169B">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2、由于乙方的原因，造成设备损坏由乙方负责赔偿，因管理不善造损坏或污水溢流引起经济损失由乙方负责。</w:t>
      </w:r>
    </w:p>
    <w:p w14:paraId="4E663E58">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3、乙方在经营期间产生的各种民事、经济、刑事责任和安全事故均由乙方承担，与甲方无关。</w:t>
      </w:r>
    </w:p>
    <w:p w14:paraId="4F9F6424">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、乙方应严格执行考核评分标准（详见附件）。如涉及考核办法中直接扣款的事项，甲方在服务费中直接扣除，承包人</w:t>
      </w:r>
      <w:r>
        <w:rPr>
          <w:rFonts w:hint="eastAsia" w:asciiTheme="minorEastAsia" w:hAnsiTheme="minorEastAsia" w:eastAsiaTheme="minorEastAsia" w:cstheme="minorEastAsia"/>
          <w:sz w:val="24"/>
          <w:szCs w:val="24"/>
          <w:lang w:val="en-US" w:eastAsia="zh-CN"/>
        </w:rPr>
        <w:t>月</w:t>
      </w:r>
      <w:r>
        <w:rPr>
          <w:rFonts w:hint="eastAsia" w:asciiTheme="minorEastAsia" w:hAnsiTheme="minorEastAsia" w:eastAsiaTheme="minorEastAsia" w:cstheme="minorEastAsia"/>
          <w:sz w:val="24"/>
          <w:szCs w:val="24"/>
        </w:rPr>
        <w:t>考核累计2次得分不合格，甲方有权终止合同，已发生的服务费用按50%支付。</w:t>
      </w:r>
    </w:p>
    <w:p w14:paraId="70675B12">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、如海门区对污水治理设施运维有统一安排， 甲方可终止合同并按实际运维时间支付运维费。</w:t>
      </w:r>
    </w:p>
    <w:p w14:paraId="19A0F7DA">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、本协议执行期间，如遇不可抗力造成经济损失的，按相关法律、法规处理。本合同在履行过程中，发生的争议由双方当事人协商解决，协商不成的，按下列第</w:t>
      </w:r>
      <w:r>
        <w:rPr>
          <w:rFonts w:hint="eastAsia" w:asciiTheme="minorEastAsia" w:hAnsiTheme="minorEastAsia" w:eastAsiaTheme="minorEastAsia" w:cstheme="minorEastAsia"/>
          <w:sz w:val="24"/>
          <w:szCs w:val="24"/>
          <w:u w:val="single"/>
        </w:rPr>
        <w:t xml:space="preserve"> (二) </w:t>
      </w:r>
      <w:r>
        <w:rPr>
          <w:rFonts w:hint="eastAsia" w:asciiTheme="minorEastAsia" w:hAnsiTheme="minorEastAsia" w:eastAsiaTheme="minorEastAsia" w:cstheme="minorEastAsia"/>
          <w:sz w:val="24"/>
          <w:szCs w:val="24"/>
        </w:rPr>
        <w:t>种方式解决：</w:t>
      </w:r>
    </w:p>
    <w:p w14:paraId="1D753E3A">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（一）提交南通仲裁委员会仲裁。</w:t>
      </w:r>
    </w:p>
    <w:p w14:paraId="4A55F9F2">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（二）依法向甲方所在地人民法院提起诉讼。</w:t>
      </w:r>
    </w:p>
    <w:p w14:paraId="24705218">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、本协议一式陆份，双方各执叁份，自双方签字</w:t>
      </w:r>
      <w:r>
        <w:rPr>
          <w:rFonts w:hint="eastAsia" w:asciiTheme="minorEastAsia" w:hAnsiTheme="minorEastAsia" w:eastAsiaTheme="minorEastAsia" w:cstheme="minorEastAsia"/>
          <w:sz w:val="24"/>
          <w:szCs w:val="24"/>
          <w:lang w:val="en-US" w:eastAsia="zh-CN"/>
        </w:rPr>
        <w:t>盖章</w:t>
      </w:r>
      <w:r>
        <w:rPr>
          <w:rFonts w:hint="eastAsia" w:asciiTheme="minorEastAsia" w:hAnsiTheme="minorEastAsia" w:eastAsiaTheme="minorEastAsia" w:cstheme="minorEastAsia"/>
          <w:sz w:val="24"/>
          <w:szCs w:val="24"/>
        </w:rPr>
        <w:t>之日起生效。</w:t>
      </w:r>
    </w:p>
    <w:p w14:paraId="55F88B57">
      <w:pPr>
        <w:keepNext w:val="0"/>
        <w:keepLines w:val="0"/>
        <w:pageBreakBefore w:val="0"/>
        <w:spacing w:line="500" w:lineRule="exact"/>
        <w:ind w:firstLine="480"/>
        <w:rPr>
          <w:rFonts w:hint="eastAsia" w:asciiTheme="minorEastAsia" w:hAnsiTheme="minorEastAsia" w:eastAsiaTheme="minorEastAsia" w:cstheme="minorEastAsia"/>
          <w:sz w:val="24"/>
          <w:szCs w:val="24"/>
        </w:rPr>
      </w:pPr>
    </w:p>
    <w:p w14:paraId="507DC7D9">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委  托  人（公章）：            受  托  人（公章）：</w:t>
      </w:r>
    </w:p>
    <w:p w14:paraId="7DD061C1">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法定代表人（签字或盖章）：      法定代表人（签字或盖章）：</w:t>
      </w:r>
    </w:p>
    <w:p w14:paraId="7527C621">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委托人代表：                    受托人代表：</w:t>
      </w:r>
    </w:p>
    <w:p w14:paraId="3DC377CA">
      <w:pPr>
        <w:keepNext w:val="0"/>
        <w:keepLines w:val="0"/>
        <w:pageBreakBefore w:val="0"/>
        <w:spacing w:line="50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日期：    年    月    日        日期：     年     月    日</w:t>
      </w:r>
    </w:p>
    <w:p w14:paraId="65AA1682">
      <w:pPr>
        <w:widowControl/>
        <w:jc w:val="left"/>
        <w:rPr>
          <w:rFonts w:ascii="宋体" w:hAnsi="宋体" w:eastAsia="宋体" w:cs="仿宋"/>
          <w:sz w:val="24"/>
          <w:szCs w:val="24"/>
        </w:rPr>
      </w:pPr>
    </w:p>
    <w:p w14:paraId="7E25C01A">
      <w:pPr>
        <w:rPr>
          <w:rFonts w:hint="eastAsia" w:ascii="仿宋" w:hAnsi="仿宋" w:eastAsia="仿宋" w:cs="仿宋"/>
          <w:b/>
          <w:bCs/>
          <w:sz w:val="24"/>
          <w:szCs w:val="24"/>
        </w:rPr>
      </w:pPr>
      <w:r>
        <w:rPr>
          <w:rFonts w:hint="eastAsia" w:ascii="仿宋" w:hAnsi="仿宋" w:eastAsia="仿宋" w:cs="仿宋"/>
          <w:b/>
          <w:bCs/>
          <w:sz w:val="24"/>
          <w:szCs w:val="24"/>
        </w:rPr>
        <w:br w:type="page"/>
      </w:r>
    </w:p>
    <w:p w14:paraId="2E0B6330">
      <w:pPr>
        <w:widowControl/>
        <w:jc w:val="left"/>
        <w:rPr>
          <w:rFonts w:hint="eastAsia" w:ascii="宋体" w:hAnsi="宋体" w:eastAsia="仿宋" w:cs="仿宋"/>
          <w:b/>
          <w:sz w:val="32"/>
          <w:szCs w:val="28"/>
          <w:lang w:val="en-US" w:eastAsia="zh-CN"/>
        </w:rPr>
      </w:pPr>
      <w:r>
        <w:rPr>
          <w:rFonts w:hint="eastAsia" w:ascii="仿宋" w:hAnsi="仿宋" w:eastAsia="仿宋" w:cs="仿宋"/>
          <w:b/>
          <w:bCs/>
          <w:sz w:val="24"/>
          <w:szCs w:val="24"/>
        </w:rPr>
        <w:t>附件</w:t>
      </w:r>
      <w:r>
        <w:rPr>
          <w:rFonts w:hint="eastAsia" w:ascii="仿宋" w:hAnsi="仿宋" w:eastAsia="仿宋" w:cs="仿宋"/>
          <w:b/>
          <w:bCs/>
          <w:sz w:val="24"/>
          <w:szCs w:val="24"/>
          <w:lang w:val="en-US" w:eastAsia="zh-CN"/>
        </w:rPr>
        <w:t>1</w:t>
      </w:r>
    </w:p>
    <w:p w14:paraId="4756C014">
      <w:pPr>
        <w:keepNext w:val="0"/>
        <w:keepLines w:val="0"/>
        <w:pageBreakBefore w:val="0"/>
        <w:widowControl w:val="0"/>
        <w:spacing w:line="500" w:lineRule="exact"/>
        <w:jc w:val="center"/>
        <w:rPr>
          <w:rFonts w:hint="eastAsia" w:ascii="宋体" w:hAnsi="宋体" w:eastAsia="宋体" w:cs="仿宋"/>
          <w:b/>
          <w:sz w:val="32"/>
          <w:szCs w:val="28"/>
        </w:rPr>
      </w:pPr>
      <w:r>
        <w:rPr>
          <w:rFonts w:hint="eastAsia" w:ascii="宋体" w:hAnsi="宋体" w:eastAsia="宋体" w:cs="仿宋"/>
          <w:b/>
          <w:sz w:val="32"/>
          <w:szCs w:val="28"/>
        </w:rPr>
        <w:t>污水处理设施维护考核办法</w:t>
      </w:r>
    </w:p>
    <w:p w14:paraId="039339DB">
      <w:pPr>
        <w:keepNext w:val="0"/>
        <w:keepLines w:val="0"/>
        <w:pageBreakBefore w:val="0"/>
        <w:widowControl w:val="0"/>
        <w:spacing w:line="500" w:lineRule="exact"/>
        <w:ind w:firstLine="480"/>
        <w:rPr>
          <w:rFonts w:hint="eastAsia" w:ascii="仿宋" w:hAnsi="仿宋" w:eastAsia="仿宋" w:cs="仿宋"/>
          <w:sz w:val="28"/>
          <w:szCs w:val="28"/>
        </w:rPr>
      </w:pPr>
      <w:r>
        <w:rPr>
          <w:rFonts w:hint="eastAsia" w:ascii="仿宋" w:hAnsi="仿宋" w:eastAsia="仿宋" w:cs="仿宋"/>
          <w:sz w:val="28"/>
          <w:szCs w:val="28"/>
        </w:rPr>
        <w:t>为加强污水处理设施的管理，细化污水处理设施维护协议内容，特制订本办法：</w:t>
      </w:r>
    </w:p>
    <w:p w14:paraId="10299FDA">
      <w:pPr>
        <w:keepNext w:val="0"/>
        <w:keepLines w:val="0"/>
        <w:pageBreakBefore w:val="0"/>
        <w:widowControl w:val="0"/>
        <w:spacing w:line="500" w:lineRule="exact"/>
        <w:ind w:firstLine="480"/>
        <w:rPr>
          <w:rFonts w:hint="eastAsia" w:ascii="仿宋" w:hAnsi="仿宋" w:eastAsia="仿宋" w:cs="仿宋"/>
          <w:sz w:val="28"/>
          <w:szCs w:val="28"/>
        </w:rPr>
      </w:pPr>
      <w:r>
        <w:rPr>
          <w:rFonts w:hint="eastAsia" w:ascii="仿宋" w:hAnsi="仿宋" w:eastAsia="仿宋" w:cs="仿宋"/>
          <w:sz w:val="28"/>
          <w:szCs w:val="28"/>
        </w:rPr>
        <w:t>一、本办法按客观、合理、公证原则制定。</w:t>
      </w:r>
    </w:p>
    <w:p w14:paraId="58FC0475">
      <w:pPr>
        <w:keepNext w:val="0"/>
        <w:keepLines w:val="0"/>
        <w:pageBreakBefore w:val="0"/>
        <w:widowControl w:val="0"/>
        <w:spacing w:line="500" w:lineRule="exact"/>
        <w:ind w:firstLine="480"/>
        <w:rPr>
          <w:rFonts w:hint="eastAsia" w:ascii="仿宋" w:hAnsi="仿宋" w:eastAsia="仿宋" w:cs="仿宋"/>
          <w:sz w:val="28"/>
          <w:szCs w:val="28"/>
        </w:rPr>
      </w:pPr>
      <w:r>
        <w:rPr>
          <w:rFonts w:hint="eastAsia" w:ascii="仿宋" w:hAnsi="仿宋" w:eastAsia="仿宋" w:cs="仿宋"/>
          <w:sz w:val="28"/>
          <w:szCs w:val="28"/>
        </w:rPr>
        <w:t>二、考核等级评定以</w:t>
      </w:r>
      <w:r>
        <w:rPr>
          <w:rFonts w:hint="eastAsia" w:ascii="仿宋" w:hAnsi="仿宋" w:eastAsia="仿宋" w:cs="仿宋"/>
          <w:sz w:val="28"/>
          <w:szCs w:val="28"/>
          <w:lang w:val="en-US" w:eastAsia="zh-CN"/>
        </w:rPr>
        <w:t>月</w:t>
      </w:r>
      <w:r>
        <w:rPr>
          <w:rFonts w:hint="eastAsia" w:ascii="仿宋" w:hAnsi="仿宋" w:eastAsia="仿宋" w:cs="仿宋"/>
          <w:color w:val="000000"/>
          <w:sz w:val="28"/>
          <w:szCs w:val="28"/>
        </w:rPr>
        <w:t>考核形</w:t>
      </w:r>
      <w:r>
        <w:rPr>
          <w:rFonts w:hint="eastAsia" w:ascii="仿宋" w:hAnsi="仿宋" w:eastAsia="仿宋" w:cs="仿宋"/>
          <w:sz w:val="28"/>
          <w:szCs w:val="28"/>
        </w:rPr>
        <w:t>式开展。</w:t>
      </w:r>
    </w:p>
    <w:p w14:paraId="7D3DA385">
      <w:pPr>
        <w:keepNext w:val="0"/>
        <w:keepLines w:val="0"/>
        <w:pageBreakBefore w:val="0"/>
        <w:widowControl w:val="0"/>
        <w:spacing w:line="500" w:lineRule="exact"/>
        <w:ind w:firstLine="480"/>
        <w:rPr>
          <w:rFonts w:hint="eastAsia" w:ascii="仿宋" w:hAnsi="仿宋" w:eastAsia="仿宋" w:cs="仿宋"/>
          <w:sz w:val="28"/>
          <w:szCs w:val="28"/>
        </w:rPr>
      </w:pPr>
      <w:r>
        <w:rPr>
          <w:rFonts w:hint="eastAsia" w:ascii="仿宋" w:hAnsi="仿宋" w:eastAsia="仿宋" w:cs="仿宋"/>
          <w:sz w:val="28"/>
          <w:szCs w:val="28"/>
        </w:rPr>
        <w:t>三、考核结果以百分制量化，分为四个档次，具体为：</w:t>
      </w:r>
    </w:p>
    <w:tbl>
      <w:tblPr>
        <w:tblStyle w:val="42"/>
        <w:tblW w:w="0" w:type="auto"/>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25"/>
        <w:gridCol w:w="4133"/>
        <w:gridCol w:w="3697"/>
      </w:tblGrid>
      <w:tr w14:paraId="7EE14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5" w:type="dxa"/>
            <w:noWrap/>
            <w:vAlign w:val="center"/>
          </w:tcPr>
          <w:p w14:paraId="1DD4ED01">
            <w:pPr>
              <w:keepNext w:val="0"/>
              <w:keepLines w:val="0"/>
              <w:pageBreakBefore w:val="0"/>
              <w:widowControl w:val="0"/>
              <w:spacing w:line="500" w:lineRule="exact"/>
              <w:ind w:firstLine="240"/>
              <w:rPr>
                <w:rFonts w:hint="eastAsia" w:ascii="仿宋" w:hAnsi="仿宋" w:eastAsia="仿宋" w:cs="仿宋"/>
                <w:b/>
                <w:bCs/>
                <w:sz w:val="24"/>
                <w:szCs w:val="24"/>
              </w:rPr>
            </w:pPr>
            <w:r>
              <w:rPr>
                <w:rFonts w:hint="eastAsia" w:ascii="仿宋" w:hAnsi="仿宋" w:eastAsia="仿宋" w:cs="仿宋"/>
                <w:b/>
                <w:bCs/>
                <w:sz w:val="24"/>
                <w:szCs w:val="24"/>
              </w:rPr>
              <w:t>档次</w:t>
            </w:r>
          </w:p>
        </w:tc>
        <w:tc>
          <w:tcPr>
            <w:tcW w:w="4133" w:type="dxa"/>
            <w:noWrap/>
            <w:vAlign w:val="center"/>
          </w:tcPr>
          <w:p w14:paraId="07773B40">
            <w:pPr>
              <w:keepNext w:val="0"/>
              <w:keepLines w:val="0"/>
              <w:pageBreakBefore w:val="0"/>
              <w:widowControl w:val="0"/>
              <w:spacing w:line="500" w:lineRule="exact"/>
              <w:ind w:firstLine="480"/>
              <w:jc w:val="center"/>
              <w:rPr>
                <w:rFonts w:hint="eastAsia" w:ascii="仿宋" w:hAnsi="仿宋" w:eastAsia="仿宋" w:cs="仿宋"/>
                <w:b/>
                <w:bCs/>
                <w:sz w:val="24"/>
                <w:szCs w:val="24"/>
              </w:rPr>
            </w:pPr>
            <w:r>
              <w:rPr>
                <w:rFonts w:hint="eastAsia" w:ascii="仿宋" w:hAnsi="仿宋" w:eastAsia="仿宋" w:cs="仿宋"/>
                <w:b/>
                <w:bCs/>
                <w:sz w:val="24"/>
                <w:szCs w:val="24"/>
              </w:rPr>
              <w:t>分值</w:t>
            </w:r>
          </w:p>
        </w:tc>
        <w:tc>
          <w:tcPr>
            <w:tcW w:w="3697" w:type="dxa"/>
            <w:noWrap/>
            <w:vAlign w:val="center"/>
          </w:tcPr>
          <w:p w14:paraId="0D1179AD">
            <w:pPr>
              <w:keepNext w:val="0"/>
              <w:keepLines w:val="0"/>
              <w:pageBreakBefore w:val="0"/>
              <w:widowControl w:val="0"/>
              <w:spacing w:line="500" w:lineRule="exact"/>
              <w:ind w:firstLine="480"/>
              <w:jc w:val="center"/>
              <w:rPr>
                <w:rFonts w:hint="eastAsia" w:ascii="仿宋" w:hAnsi="仿宋" w:eastAsia="仿宋" w:cs="仿宋"/>
                <w:b/>
                <w:bCs/>
                <w:sz w:val="24"/>
                <w:szCs w:val="24"/>
              </w:rPr>
            </w:pPr>
            <w:r>
              <w:rPr>
                <w:rFonts w:hint="eastAsia" w:ascii="仿宋" w:hAnsi="仿宋" w:eastAsia="仿宋" w:cs="仿宋"/>
                <w:b/>
                <w:bCs/>
                <w:sz w:val="24"/>
                <w:szCs w:val="24"/>
              </w:rPr>
              <w:t>考核结果</w:t>
            </w:r>
          </w:p>
        </w:tc>
      </w:tr>
      <w:tr w14:paraId="36360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5" w:type="dxa"/>
            <w:noWrap/>
            <w:vAlign w:val="center"/>
          </w:tcPr>
          <w:p w14:paraId="3FF4AADD">
            <w:pPr>
              <w:keepNext w:val="0"/>
              <w:keepLines w:val="0"/>
              <w:pageBreakBefore w:val="0"/>
              <w:widowControl w:val="0"/>
              <w:spacing w:line="500" w:lineRule="exact"/>
              <w:ind w:left="0" w:firstLine="0"/>
              <w:jc w:val="center"/>
              <w:rPr>
                <w:rFonts w:hint="eastAsia" w:ascii="仿宋" w:hAnsi="仿宋" w:eastAsia="仿宋" w:cs="仿宋"/>
                <w:sz w:val="24"/>
                <w:szCs w:val="24"/>
              </w:rPr>
            </w:pPr>
            <w:r>
              <w:rPr>
                <w:rFonts w:hint="eastAsia" w:ascii="仿宋" w:hAnsi="仿宋" w:eastAsia="仿宋" w:cs="仿宋"/>
                <w:sz w:val="24"/>
                <w:szCs w:val="24"/>
              </w:rPr>
              <w:t>优</w:t>
            </w:r>
          </w:p>
        </w:tc>
        <w:tc>
          <w:tcPr>
            <w:tcW w:w="4133" w:type="dxa"/>
            <w:noWrap/>
            <w:vAlign w:val="center"/>
          </w:tcPr>
          <w:p w14:paraId="79C00C55">
            <w:pPr>
              <w:keepNext w:val="0"/>
              <w:keepLines w:val="0"/>
              <w:pageBreakBefore w:val="0"/>
              <w:widowControl w:val="0"/>
              <w:spacing w:line="500" w:lineRule="exact"/>
              <w:ind w:left="0" w:firstLine="0"/>
              <w:jc w:val="center"/>
              <w:rPr>
                <w:rFonts w:hint="eastAsia" w:ascii="仿宋" w:hAnsi="仿宋" w:eastAsia="仿宋" w:cs="仿宋"/>
                <w:sz w:val="24"/>
                <w:szCs w:val="24"/>
              </w:rPr>
            </w:pPr>
            <w:r>
              <w:rPr>
                <w:rFonts w:hint="eastAsia" w:ascii="仿宋" w:hAnsi="仿宋" w:eastAsia="仿宋" w:cs="仿宋"/>
                <w:sz w:val="24"/>
                <w:szCs w:val="24"/>
              </w:rPr>
              <w:t>90分以上（含90分）</w:t>
            </w:r>
          </w:p>
        </w:tc>
        <w:tc>
          <w:tcPr>
            <w:tcW w:w="3697" w:type="dxa"/>
            <w:noWrap/>
            <w:vAlign w:val="center"/>
          </w:tcPr>
          <w:p w14:paraId="44CD6577">
            <w:pPr>
              <w:keepNext w:val="0"/>
              <w:keepLines w:val="0"/>
              <w:pageBreakBefore w:val="0"/>
              <w:widowControl w:val="0"/>
              <w:spacing w:line="500" w:lineRule="exact"/>
              <w:ind w:left="0" w:firstLine="0"/>
              <w:jc w:val="center"/>
              <w:rPr>
                <w:rFonts w:hint="eastAsia" w:ascii="仿宋" w:hAnsi="仿宋" w:eastAsia="仿宋" w:cs="仿宋"/>
                <w:sz w:val="24"/>
                <w:szCs w:val="24"/>
              </w:rPr>
            </w:pPr>
            <w:r>
              <w:rPr>
                <w:rFonts w:hint="eastAsia" w:ascii="仿宋" w:hAnsi="仿宋" w:eastAsia="仿宋" w:cs="仿宋"/>
                <w:sz w:val="24"/>
                <w:szCs w:val="24"/>
              </w:rPr>
              <w:t>全额支付服务费</w:t>
            </w:r>
          </w:p>
        </w:tc>
      </w:tr>
      <w:tr w14:paraId="47F54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5" w:type="dxa"/>
            <w:noWrap/>
            <w:vAlign w:val="center"/>
          </w:tcPr>
          <w:p w14:paraId="633A96E8">
            <w:pPr>
              <w:keepNext w:val="0"/>
              <w:keepLines w:val="0"/>
              <w:pageBreakBefore w:val="0"/>
              <w:widowControl w:val="0"/>
              <w:spacing w:line="500" w:lineRule="exact"/>
              <w:ind w:left="0" w:firstLine="0"/>
              <w:jc w:val="center"/>
              <w:rPr>
                <w:rFonts w:hint="eastAsia" w:ascii="仿宋" w:hAnsi="仿宋" w:eastAsia="仿宋" w:cs="仿宋"/>
                <w:sz w:val="24"/>
                <w:szCs w:val="24"/>
              </w:rPr>
            </w:pPr>
            <w:r>
              <w:rPr>
                <w:rFonts w:hint="eastAsia" w:ascii="仿宋" w:hAnsi="仿宋" w:eastAsia="仿宋" w:cs="仿宋"/>
                <w:sz w:val="24"/>
                <w:szCs w:val="24"/>
              </w:rPr>
              <w:t>良</w:t>
            </w:r>
          </w:p>
        </w:tc>
        <w:tc>
          <w:tcPr>
            <w:tcW w:w="4133" w:type="dxa"/>
            <w:noWrap/>
            <w:vAlign w:val="center"/>
          </w:tcPr>
          <w:p w14:paraId="1DCE45AB">
            <w:pPr>
              <w:keepNext w:val="0"/>
              <w:keepLines w:val="0"/>
              <w:pageBreakBefore w:val="0"/>
              <w:widowControl w:val="0"/>
              <w:spacing w:line="500" w:lineRule="exact"/>
              <w:ind w:left="0" w:firstLine="0"/>
              <w:jc w:val="center"/>
              <w:rPr>
                <w:rFonts w:hint="eastAsia" w:ascii="仿宋" w:hAnsi="仿宋" w:eastAsia="仿宋" w:cs="仿宋"/>
                <w:sz w:val="24"/>
                <w:szCs w:val="24"/>
              </w:rPr>
            </w:pPr>
            <w:r>
              <w:rPr>
                <w:rFonts w:hint="eastAsia" w:ascii="仿宋" w:hAnsi="仿宋" w:eastAsia="仿宋" w:cs="仿宋"/>
                <w:sz w:val="24"/>
                <w:szCs w:val="24"/>
              </w:rPr>
              <w:t>85-89分</w:t>
            </w:r>
          </w:p>
        </w:tc>
        <w:tc>
          <w:tcPr>
            <w:tcW w:w="3697" w:type="dxa"/>
            <w:noWrap/>
            <w:vAlign w:val="center"/>
          </w:tcPr>
          <w:p w14:paraId="16A53B7D">
            <w:pPr>
              <w:keepNext w:val="0"/>
              <w:keepLines w:val="0"/>
              <w:pageBreakBefore w:val="0"/>
              <w:widowControl w:val="0"/>
              <w:spacing w:line="500" w:lineRule="exact"/>
              <w:ind w:left="0" w:firstLine="0"/>
              <w:jc w:val="center"/>
              <w:rPr>
                <w:rFonts w:hint="eastAsia" w:ascii="仿宋" w:hAnsi="仿宋" w:eastAsia="仿宋" w:cs="仿宋"/>
                <w:sz w:val="24"/>
                <w:szCs w:val="24"/>
              </w:rPr>
            </w:pPr>
            <w:r>
              <w:rPr>
                <w:rFonts w:hint="eastAsia" w:ascii="仿宋" w:hAnsi="仿宋" w:eastAsia="仿宋" w:cs="仿宋"/>
                <w:sz w:val="24"/>
                <w:szCs w:val="24"/>
              </w:rPr>
              <w:t>支付95%服务费</w:t>
            </w:r>
          </w:p>
        </w:tc>
      </w:tr>
      <w:tr w14:paraId="1F672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5" w:type="dxa"/>
            <w:noWrap/>
            <w:vAlign w:val="center"/>
          </w:tcPr>
          <w:p w14:paraId="14F4CA7D">
            <w:pPr>
              <w:keepNext w:val="0"/>
              <w:keepLines w:val="0"/>
              <w:pageBreakBefore w:val="0"/>
              <w:widowControl w:val="0"/>
              <w:spacing w:line="500" w:lineRule="exact"/>
              <w:ind w:left="0" w:firstLine="0"/>
              <w:jc w:val="center"/>
              <w:rPr>
                <w:rFonts w:hint="eastAsia" w:ascii="仿宋" w:hAnsi="仿宋" w:eastAsia="仿宋" w:cs="仿宋"/>
                <w:sz w:val="24"/>
                <w:szCs w:val="24"/>
              </w:rPr>
            </w:pPr>
            <w:r>
              <w:rPr>
                <w:rFonts w:hint="eastAsia" w:ascii="仿宋" w:hAnsi="仿宋" w:eastAsia="仿宋" w:cs="仿宋"/>
                <w:sz w:val="24"/>
                <w:szCs w:val="24"/>
              </w:rPr>
              <w:t>合格</w:t>
            </w:r>
          </w:p>
        </w:tc>
        <w:tc>
          <w:tcPr>
            <w:tcW w:w="4133" w:type="dxa"/>
            <w:noWrap/>
            <w:vAlign w:val="center"/>
          </w:tcPr>
          <w:p w14:paraId="36DBFFF7">
            <w:pPr>
              <w:keepNext w:val="0"/>
              <w:keepLines w:val="0"/>
              <w:pageBreakBefore w:val="0"/>
              <w:widowControl w:val="0"/>
              <w:spacing w:line="500" w:lineRule="exact"/>
              <w:ind w:left="0" w:firstLine="0"/>
              <w:jc w:val="center"/>
              <w:rPr>
                <w:rFonts w:hint="eastAsia" w:ascii="仿宋" w:hAnsi="仿宋" w:eastAsia="仿宋" w:cs="仿宋"/>
                <w:sz w:val="24"/>
                <w:szCs w:val="24"/>
              </w:rPr>
            </w:pPr>
            <w:r>
              <w:rPr>
                <w:rFonts w:hint="eastAsia" w:ascii="仿宋" w:hAnsi="仿宋" w:eastAsia="仿宋" w:cs="仿宋"/>
                <w:sz w:val="24"/>
                <w:szCs w:val="24"/>
              </w:rPr>
              <w:t>80-84分（含80分）</w:t>
            </w:r>
          </w:p>
        </w:tc>
        <w:tc>
          <w:tcPr>
            <w:tcW w:w="3697" w:type="dxa"/>
            <w:noWrap/>
            <w:vAlign w:val="center"/>
          </w:tcPr>
          <w:p w14:paraId="5F2037C9">
            <w:pPr>
              <w:keepNext w:val="0"/>
              <w:keepLines w:val="0"/>
              <w:pageBreakBefore w:val="0"/>
              <w:widowControl w:val="0"/>
              <w:spacing w:line="500" w:lineRule="exact"/>
              <w:ind w:left="0" w:firstLine="0"/>
              <w:jc w:val="center"/>
              <w:rPr>
                <w:rFonts w:hint="eastAsia" w:ascii="仿宋" w:hAnsi="仿宋" w:eastAsia="仿宋" w:cs="仿宋"/>
                <w:sz w:val="24"/>
                <w:szCs w:val="24"/>
              </w:rPr>
            </w:pPr>
            <w:r>
              <w:rPr>
                <w:rFonts w:hint="eastAsia" w:ascii="仿宋" w:hAnsi="仿宋" w:eastAsia="仿宋" w:cs="仿宋"/>
                <w:sz w:val="24"/>
                <w:szCs w:val="24"/>
              </w:rPr>
              <w:t>支付90%服务费</w:t>
            </w:r>
          </w:p>
        </w:tc>
      </w:tr>
      <w:tr w14:paraId="3F9FB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5" w:type="dxa"/>
            <w:noWrap/>
            <w:vAlign w:val="center"/>
          </w:tcPr>
          <w:p w14:paraId="6B61CCB9">
            <w:pPr>
              <w:keepNext w:val="0"/>
              <w:keepLines w:val="0"/>
              <w:pageBreakBefore w:val="0"/>
              <w:widowControl w:val="0"/>
              <w:spacing w:line="500" w:lineRule="exact"/>
              <w:ind w:left="0" w:firstLine="0"/>
              <w:jc w:val="center"/>
              <w:rPr>
                <w:rFonts w:hint="eastAsia" w:ascii="仿宋" w:hAnsi="仿宋" w:eastAsia="仿宋" w:cs="仿宋"/>
                <w:sz w:val="24"/>
                <w:szCs w:val="24"/>
              </w:rPr>
            </w:pPr>
            <w:r>
              <w:rPr>
                <w:rFonts w:hint="eastAsia" w:ascii="仿宋" w:hAnsi="仿宋" w:eastAsia="仿宋" w:cs="仿宋"/>
                <w:sz w:val="24"/>
                <w:szCs w:val="24"/>
              </w:rPr>
              <w:t>差</w:t>
            </w:r>
          </w:p>
        </w:tc>
        <w:tc>
          <w:tcPr>
            <w:tcW w:w="4133" w:type="dxa"/>
            <w:noWrap/>
            <w:vAlign w:val="center"/>
          </w:tcPr>
          <w:p w14:paraId="6E9D76AB">
            <w:pPr>
              <w:keepNext w:val="0"/>
              <w:keepLines w:val="0"/>
              <w:pageBreakBefore w:val="0"/>
              <w:widowControl w:val="0"/>
              <w:spacing w:line="500" w:lineRule="exact"/>
              <w:ind w:left="0" w:firstLine="0"/>
              <w:jc w:val="center"/>
              <w:rPr>
                <w:rFonts w:hint="eastAsia" w:ascii="仿宋" w:hAnsi="仿宋" w:eastAsia="仿宋" w:cs="仿宋"/>
                <w:sz w:val="24"/>
                <w:szCs w:val="24"/>
              </w:rPr>
            </w:pPr>
            <w:r>
              <w:rPr>
                <w:rFonts w:hint="eastAsia" w:ascii="仿宋" w:hAnsi="仿宋" w:eastAsia="仿宋" w:cs="仿宋"/>
                <w:sz w:val="24"/>
                <w:szCs w:val="24"/>
              </w:rPr>
              <w:t>80分以下</w:t>
            </w:r>
          </w:p>
        </w:tc>
        <w:tc>
          <w:tcPr>
            <w:tcW w:w="3697" w:type="dxa"/>
            <w:noWrap/>
            <w:vAlign w:val="center"/>
          </w:tcPr>
          <w:p w14:paraId="7A5F0F3B">
            <w:pPr>
              <w:keepNext w:val="0"/>
              <w:keepLines w:val="0"/>
              <w:pageBreakBefore w:val="0"/>
              <w:widowControl w:val="0"/>
              <w:spacing w:line="500" w:lineRule="exact"/>
              <w:ind w:left="0" w:firstLine="0"/>
              <w:jc w:val="center"/>
              <w:rPr>
                <w:rFonts w:hint="eastAsia" w:ascii="仿宋" w:hAnsi="仿宋" w:eastAsia="仿宋" w:cs="仿宋"/>
                <w:sz w:val="24"/>
                <w:szCs w:val="24"/>
              </w:rPr>
            </w:pPr>
            <w:r>
              <w:rPr>
                <w:rFonts w:hint="eastAsia" w:ascii="仿宋" w:hAnsi="仿宋" w:eastAsia="仿宋" w:cs="仿宋"/>
                <w:sz w:val="24"/>
                <w:szCs w:val="24"/>
              </w:rPr>
              <w:t>支付50%服务费</w:t>
            </w:r>
          </w:p>
        </w:tc>
      </w:tr>
    </w:tbl>
    <w:p w14:paraId="1A89A50D">
      <w:pPr>
        <w:keepNext w:val="0"/>
        <w:keepLines w:val="0"/>
        <w:pageBreakBefore w:val="0"/>
        <w:widowControl w:val="0"/>
        <w:spacing w:line="500" w:lineRule="exact"/>
        <w:ind w:firstLine="480"/>
        <w:rPr>
          <w:rFonts w:hint="eastAsia" w:ascii="仿宋" w:hAnsi="仿宋" w:eastAsia="仿宋" w:cs="仿宋"/>
          <w:sz w:val="28"/>
          <w:szCs w:val="28"/>
        </w:rPr>
      </w:pPr>
      <w:r>
        <w:rPr>
          <w:rFonts w:hint="eastAsia" w:ascii="仿宋" w:hAnsi="仿宋" w:eastAsia="仿宋" w:cs="仿宋"/>
          <w:sz w:val="28"/>
          <w:szCs w:val="28"/>
          <w:lang w:val="en-US" w:eastAsia="zh-CN"/>
        </w:rPr>
        <w:t>四、</w:t>
      </w:r>
      <w:r>
        <w:rPr>
          <w:rFonts w:hint="eastAsia" w:ascii="仿宋" w:hAnsi="仿宋" w:eastAsia="仿宋" w:cs="仿宋"/>
          <w:sz w:val="28"/>
          <w:szCs w:val="28"/>
        </w:rPr>
        <w:t>一体化污水处理设施及配套管网运维服务考核表</w:t>
      </w:r>
    </w:p>
    <w:tbl>
      <w:tblPr>
        <w:tblStyle w:val="42"/>
        <w:tblW w:w="9315" w:type="dxa"/>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8"/>
        <w:gridCol w:w="1005"/>
        <w:gridCol w:w="1532"/>
        <w:gridCol w:w="4858"/>
        <w:gridCol w:w="675"/>
        <w:gridCol w:w="707"/>
      </w:tblGrid>
      <w:tr w14:paraId="3BB9D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538" w:type="dxa"/>
            <w:noWrap/>
            <w:vAlign w:val="center"/>
          </w:tcPr>
          <w:p w14:paraId="4D2DAF75">
            <w:pPr>
              <w:keepNext w:val="0"/>
              <w:keepLines w:val="0"/>
              <w:pageBreakBefore w:val="0"/>
              <w:widowControl w:val="0"/>
              <w:spacing w:line="300" w:lineRule="exact"/>
              <w:ind w:left="0" w:right="0"/>
              <w:jc w:val="center"/>
              <w:rPr>
                <w:rFonts w:hint="eastAsia" w:ascii="宋体" w:hAnsi="宋体" w:eastAsia="宋体" w:cs="仿宋"/>
                <w:b/>
                <w:bCs/>
                <w:sz w:val="18"/>
                <w:szCs w:val="18"/>
              </w:rPr>
            </w:pPr>
            <w:bookmarkStart w:id="107" w:name="_Hlk177545862"/>
            <w:r>
              <w:rPr>
                <w:rFonts w:hint="eastAsia" w:ascii="宋体" w:hAnsi="宋体" w:eastAsia="宋体" w:cs="仿宋"/>
                <w:b/>
                <w:bCs/>
                <w:sz w:val="18"/>
                <w:szCs w:val="18"/>
              </w:rPr>
              <w:t>序号</w:t>
            </w:r>
          </w:p>
        </w:tc>
        <w:tc>
          <w:tcPr>
            <w:tcW w:w="1005" w:type="dxa"/>
            <w:noWrap/>
            <w:vAlign w:val="center"/>
          </w:tcPr>
          <w:p w14:paraId="111E2504">
            <w:pPr>
              <w:keepNext w:val="0"/>
              <w:keepLines w:val="0"/>
              <w:pageBreakBefore w:val="0"/>
              <w:widowControl w:val="0"/>
              <w:spacing w:line="300" w:lineRule="exact"/>
              <w:ind w:left="0" w:right="0"/>
              <w:jc w:val="center"/>
              <w:rPr>
                <w:rFonts w:hint="eastAsia" w:ascii="宋体" w:hAnsi="宋体" w:eastAsia="宋体" w:cs="仿宋"/>
                <w:b/>
                <w:bCs/>
                <w:sz w:val="18"/>
                <w:szCs w:val="18"/>
              </w:rPr>
            </w:pPr>
            <w:r>
              <w:rPr>
                <w:rFonts w:hint="eastAsia" w:ascii="宋体" w:hAnsi="宋体" w:eastAsia="宋体" w:cs="仿宋"/>
                <w:b/>
                <w:bCs/>
                <w:sz w:val="18"/>
                <w:szCs w:val="18"/>
              </w:rPr>
              <w:t>考核项目</w:t>
            </w:r>
          </w:p>
        </w:tc>
        <w:tc>
          <w:tcPr>
            <w:tcW w:w="1532" w:type="dxa"/>
            <w:noWrap/>
            <w:vAlign w:val="center"/>
          </w:tcPr>
          <w:p w14:paraId="6AD0CF66">
            <w:pPr>
              <w:keepNext w:val="0"/>
              <w:keepLines w:val="0"/>
              <w:pageBreakBefore w:val="0"/>
              <w:widowControl w:val="0"/>
              <w:spacing w:line="300" w:lineRule="exact"/>
              <w:ind w:left="0" w:right="0"/>
              <w:jc w:val="center"/>
              <w:rPr>
                <w:rFonts w:hint="eastAsia" w:ascii="宋体" w:hAnsi="宋体" w:eastAsia="宋体" w:cs="仿宋"/>
                <w:b/>
                <w:bCs/>
                <w:sz w:val="18"/>
                <w:szCs w:val="18"/>
              </w:rPr>
            </w:pPr>
            <w:r>
              <w:rPr>
                <w:rFonts w:hint="eastAsia" w:ascii="宋体" w:hAnsi="宋体" w:eastAsia="宋体" w:cs="仿宋"/>
                <w:b/>
                <w:bCs/>
                <w:sz w:val="18"/>
                <w:szCs w:val="18"/>
              </w:rPr>
              <w:t>考核内容</w:t>
            </w:r>
          </w:p>
        </w:tc>
        <w:tc>
          <w:tcPr>
            <w:tcW w:w="4858" w:type="dxa"/>
            <w:noWrap/>
            <w:vAlign w:val="center"/>
          </w:tcPr>
          <w:p w14:paraId="27C78D11">
            <w:pPr>
              <w:keepNext w:val="0"/>
              <w:keepLines w:val="0"/>
              <w:pageBreakBefore w:val="0"/>
              <w:widowControl w:val="0"/>
              <w:spacing w:line="300" w:lineRule="exact"/>
              <w:ind w:left="0" w:right="0"/>
              <w:jc w:val="center"/>
              <w:rPr>
                <w:rFonts w:hint="eastAsia" w:ascii="宋体" w:hAnsi="宋体" w:eastAsia="宋体" w:cs="仿宋"/>
                <w:b/>
                <w:bCs/>
                <w:sz w:val="18"/>
                <w:szCs w:val="18"/>
              </w:rPr>
            </w:pPr>
            <w:r>
              <w:rPr>
                <w:rFonts w:hint="eastAsia" w:ascii="宋体" w:hAnsi="宋体" w:eastAsia="宋体" w:cs="仿宋"/>
                <w:b/>
                <w:bCs/>
                <w:sz w:val="18"/>
                <w:szCs w:val="18"/>
              </w:rPr>
              <w:t>考核要求</w:t>
            </w:r>
          </w:p>
        </w:tc>
        <w:tc>
          <w:tcPr>
            <w:tcW w:w="675" w:type="dxa"/>
            <w:noWrap/>
            <w:vAlign w:val="center"/>
          </w:tcPr>
          <w:p w14:paraId="3A1C5061">
            <w:pPr>
              <w:keepNext w:val="0"/>
              <w:keepLines w:val="0"/>
              <w:pageBreakBefore w:val="0"/>
              <w:widowControl w:val="0"/>
              <w:spacing w:line="300" w:lineRule="exact"/>
              <w:ind w:left="0" w:right="0"/>
              <w:jc w:val="center"/>
              <w:rPr>
                <w:rFonts w:hint="eastAsia" w:ascii="宋体" w:hAnsi="宋体" w:eastAsia="宋体" w:cs="仿宋"/>
                <w:b/>
                <w:bCs/>
                <w:sz w:val="18"/>
                <w:szCs w:val="18"/>
              </w:rPr>
            </w:pPr>
            <w:r>
              <w:rPr>
                <w:rFonts w:hint="eastAsia" w:ascii="宋体" w:hAnsi="宋体" w:eastAsia="宋体" w:cs="仿宋"/>
                <w:b/>
                <w:bCs/>
                <w:sz w:val="18"/>
                <w:szCs w:val="18"/>
              </w:rPr>
              <w:t>评分标准</w:t>
            </w:r>
          </w:p>
        </w:tc>
        <w:tc>
          <w:tcPr>
            <w:tcW w:w="707" w:type="dxa"/>
            <w:noWrap/>
            <w:vAlign w:val="center"/>
          </w:tcPr>
          <w:p w14:paraId="1B963501">
            <w:pPr>
              <w:keepNext w:val="0"/>
              <w:keepLines w:val="0"/>
              <w:pageBreakBefore w:val="0"/>
              <w:widowControl w:val="0"/>
              <w:spacing w:line="300" w:lineRule="exact"/>
              <w:ind w:left="0" w:right="0"/>
              <w:jc w:val="center"/>
              <w:rPr>
                <w:rFonts w:hint="eastAsia" w:ascii="宋体" w:hAnsi="宋体" w:eastAsia="宋体" w:cs="仿宋"/>
                <w:b/>
                <w:bCs/>
                <w:sz w:val="18"/>
                <w:szCs w:val="18"/>
              </w:rPr>
            </w:pPr>
            <w:r>
              <w:rPr>
                <w:rFonts w:hint="eastAsia" w:ascii="宋体" w:hAnsi="宋体" w:eastAsia="宋体" w:cs="仿宋"/>
                <w:b/>
                <w:bCs/>
                <w:sz w:val="18"/>
                <w:szCs w:val="18"/>
              </w:rPr>
              <w:t>得分</w:t>
            </w:r>
          </w:p>
        </w:tc>
      </w:tr>
      <w:tr w14:paraId="65786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1" w:hRule="atLeast"/>
        </w:trPr>
        <w:tc>
          <w:tcPr>
            <w:tcW w:w="538" w:type="dxa"/>
            <w:vMerge w:val="restart"/>
            <w:noWrap/>
            <w:vAlign w:val="center"/>
          </w:tcPr>
          <w:p w14:paraId="1A0FD83B">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1</w:t>
            </w:r>
          </w:p>
        </w:tc>
        <w:tc>
          <w:tcPr>
            <w:tcW w:w="1005" w:type="dxa"/>
            <w:vMerge w:val="restart"/>
            <w:noWrap/>
            <w:vAlign w:val="center"/>
          </w:tcPr>
          <w:p w14:paraId="077D9FB9">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基本要求</w:t>
            </w:r>
          </w:p>
          <w:p w14:paraId="60C17B34">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（11分）</w:t>
            </w:r>
          </w:p>
        </w:tc>
        <w:tc>
          <w:tcPr>
            <w:tcW w:w="1532" w:type="dxa"/>
            <w:noWrap/>
            <w:vAlign w:val="center"/>
          </w:tcPr>
          <w:p w14:paraId="3A6D0B31">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合同基本条款</w:t>
            </w:r>
          </w:p>
          <w:p w14:paraId="7CC8DB6D">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履行情况</w:t>
            </w:r>
          </w:p>
        </w:tc>
        <w:tc>
          <w:tcPr>
            <w:tcW w:w="4858" w:type="dxa"/>
            <w:noWrap/>
            <w:vAlign w:val="center"/>
          </w:tcPr>
          <w:p w14:paraId="57DC0EDB">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能够履行合同各项条款，无明显违约行为。</w:t>
            </w:r>
          </w:p>
        </w:tc>
        <w:tc>
          <w:tcPr>
            <w:tcW w:w="675" w:type="dxa"/>
            <w:noWrap/>
            <w:vAlign w:val="center"/>
          </w:tcPr>
          <w:p w14:paraId="7E8D788B">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4分</w:t>
            </w:r>
          </w:p>
        </w:tc>
        <w:tc>
          <w:tcPr>
            <w:tcW w:w="707" w:type="dxa"/>
            <w:noWrap/>
            <w:vAlign w:val="top"/>
          </w:tcPr>
          <w:p w14:paraId="19F1B73C">
            <w:pPr>
              <w:keepNext w:val="0"/>
              <w:keepLines w:val="0"/>
              <w:pageBreakBefore w:val="0"/>
              <w:widowControl w:val="0"/>
              <w:spacing w:line="300" w:lineRule="exact"/>
              <w:ind w:left="0" w:right="0" w:firstLine="360"/>
              <w:rPr>
                <w:rFonts w:hint="eastAsia" w:ascii="宋体" w:hAnsi="宋体" w:eastAsia="宋体" w:cs="仿宋"/>
                <w:sz w:val="18"/>
                <w:szCs w:val="18"/>
              </w:rPr>
            </w:pPr>
          </w:p>
        </w:tc>
      </w:tr>
      <w:tr w14:paraId="53816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continue"/>
            <w:noWrap/>
            <w:vAlign w:val="center"/>
          </w:tcPr>
          <w:p w14:paraId="760FE578">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12E27F3A">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532" w:type="dxa"/>
            <w:noWrap/>
            <w:vAlign w:val="center"/>
          </w:tcPr>
          <w:p w14:paraId="7AA83981">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完成委托方生产任务情况</w:t>
            </w:r>
          </w:p>
        </w:tc>
        <w:tc>
          <w:tcPr>
            <w:tcW w:w="4858" w:type="dxa"/>
            <w:noWrap/>
            <w:vAlign w:val="center"/>
          </w:tcPr>
          <w:p w14:paraId="06454CD2">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能够完成委托方即定生产任务和各项临时生产任务。</w:t>
            </w:r>
          </w:p>
        </w:tc>
        <w:tc>
          <w:tcPr>
            <w:tcW w:w="675" w:type="dxa"/>
            <w:noWrap/>
            <w:vAlign w:val="center"/>
          </w:tcPr>
          <w:p w14:paraId="018A93E2">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2分</w:t>
            </w:r>
          </w:p>
        </w:tc>
        <w:tc>
          <w:tcPr>
            <w:tcW w:w="707" w:type="dxa"/>
            <w:noWrap/>
            <w:vAlign w:val="top"/>
          </w:tcPr>
          <w:p w14:paraId="67E04909">
            <w:pPr>
              <w:keepNext w:val="0"/>
              <w:keepLines w:val="0"/>
              <w:pageBreakBefore w:val="0"/>
              <w:widowControl w:val="0"/>
              <w:spacing w:line="300" w:lineRule="exact"/>
              <w:ind w:left="0" w:right="0" w:firstLine="360"/>
              <w:rPr>
                <w:rFonts w:hint="eastAsia" w:ascii="宋体" w:hAnsi="宋体" w:eastAsia="宋体" w:cs="仿宋"/>
                <w:sz w:val="18"/>
                <w:szCs w:val="18"/>
              </w:rPr>
            </w:pPr>
          </w:p>
        </w:tc>
      </w:tr>
      <w:tr w14:paraId="4710C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continue"/>
            <w:noWrap/>
            <w:vAlign w:val="center"/>
          </w:tcPr>
          <w:p w14:paraId="46E22141">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5F5782DE">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532" w:type="dxa"/>
            <w:noWrap/>
            <w:vAlign w:val="center"/>
          </w:tcPr>
          <w:p w14:paraId="4ECC6490">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污水处理设施设备的维护及维修情况</w:t>
            </w:r>
          </w:p>
        </w:tc>
        <w:tc>
          <w:tcPr>
            <w:tcW w:w="4858" w:type="dxa"/>
            <w:noWrap/>
            <w:vAlign w:val="center"/>
          </w:tcPr>
          <w:p w14:paraId="32FB5FD4">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能定期检查污水处理设施的运行状况，及时发现并妥善处置存在的问题。</w:t>
            </w:r>
          </w:p>
        </w:tc>
        <w:tc>
          <w:tcPr>
            <w:tcW w:w="675" w:type="dxa"/>
            <w:noWrap/>
            <w:vAlign w:val="center"/>
          </w:tcPr>
          <w:p w14:paraId="078A7F23">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5分</w:t>
            </w:r>
          </w:p>
        </w:tc>
        <w:tc>
          <w:tcPr>
            <w:tcW w:w="707" w:type="dxa"/>
            <w:noWrap/>
            <w:vAlign w:val="top"/>
          </w:tcPr>
          <w:p w14:paraId="103DDE26">
            <w:pPr>
              <w:keepNext w:val="0"/>
              <w:keepLines w:val="0"/>
              <w:pageBreakBefore w:val="0"/>
              <w:widowControl w:val="0"/>
              <w:spacing w:line="300" w:lineRule="exact"/>
              <w:ind w:left="0" w:right="0" w:firstLine="360"/>
              <w:rPr>
                <w:rFonts w:hint="eastAsia" w:ascii="宋体" w:hAnsi="宋体" w:eastAsia="宋体" w:cs="仿宋"/>
                <w:sz w:val="18"/>
                <w:szCs w:val="18"/>
              </w:rPr>
            </w:pPr>
          </w:p>
        </w:tc>
      </w:tr>
      <w:tr w14:paraId="7329B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restart"/>
            <w:noWrap/>
            <w:vAlign w:val="center"/>
          </w:tcPr>
          <w:p w14:paraId="1F69B884">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2</w:t>
            </w:r>
          </w:p>
        </w:tc>
        <w:tc>
          <w:tcPr>
            <w:tcW w:w="1005" w:type="dxa"/>
            <w:vMerge w:val="restart"/>
            <w:noWrap/>
            <w:vAlign w:val="center"/>
          </w:tcPr>
          <w:p w14:paraId="3B6DDA24">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制度建设</w:t>
            </w:r>
          </w:p>
          <w:p w14:paraId="640DD01C">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（11分）</w:t>
            </w:r>
          </w:p>
        </w:tc>
        <w:tc>
          <w:tcPr>
            <w:tcW w:w="1532" w:type="dxa"/>
            <w:noWrap/>
            <w:vAlign w:val="center"/>
          </w:tcPr>
          <w:p w14:paraId="12C17875">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管理制度文本</w:t>
            </w:r>
          </w:p>
        </w:tc>
        <w:tc>
          <w:tcPr>
            <w:tcW w:w="4858" w:type="dxa"/>
            <w:noWrap/>
            <w:vAlign w:val="center"/>
          </w:tcPr>
          <w:p w14:paraId="5EA45A82">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有健全、合理的管理制度，并能根据实际情况适时调整，主要包括值班、设备管理、安全生产等制度。</w:t>
            </w:r>
          </w:p>
        </w:tc>
        <w:tc>
          <w:tcPr>
            <w:tcW w:w="675" w:type="dxa"/>
            <w:noWrap/>
            <w:vAlign w:val="center"/>
          </w:tcPr>
          <w:p w14:paraId="6D9F852F">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2分</w:t>
            </w:r>
          </w:p>
        </w:tc>
        <w:tc>
          <w:tcPr>
            <w:tcW w:w="707" w:type="dxa"/>
            <w:noWrap/>
            <w:vAlign w:val="top"/>
          </w:tcPr>
          <w:p w14:paraId="211966B6">
            <w:pPr>
              <w:keepNext w:val="0"/>
              <w:keepLines w:val="0"/>
              <w:pageBreakBefore w:val="0"/>
              <w:widowControl w:val="0"/>
              <w:spacing w:line="300" w:lineRule="exact"/>
              <w:ind w:left="0" w:right="0" w:firstLine="360"/>
              <w:rPr>
                <w:rFonts w:hint="eastAsia" w:ascii="宋体" w:hAnsi="宋体" w:eastAsia="宋体" w:cs="仿宋"/>
                <w:sz w:val="18"/>
                <w:szCs w:val="18"/>
              </w:rPr>
            </w:pPr>
          </w:p>
        </w:tc>
      </w:tr>
      <w:tr w14:paraId="3E638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3" w:hRule="atLeast"/>
        </w:trPr>
        <w:tc>
          <w:tcPr>
            <w:tcW w:w="538" w:type="dxa"/>
            <w:vMerge w:val="continue"/>
            <w:noWrap/>
            <w:vAlign w:val="center"/>
          </w:tcPr>
          <w:p w14:paraId="5CA1D160">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272BFDAF">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532" w:type="dxa"/>
            <w:noWrap/>
            <w:vAlign w:val="center"/>
          </w:tcPr>
          <w:p w14:paraId="0E3149AD">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管理网络和</w:t>
            </w:r>
          </w:p>
          <w:p w14:paraId="345DD780">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职责分工</w:t>
            </w:r>
          </w:p>
        </w:tc>
        <w:tc>
          <w:tcPr>
            <w:tcW w:w="4858" w:type="dxa"/>
            <w:noWrap/>
            <w:vAlign w:val="center"/>
          </w:tcPr>
          <w:p w14:paraId="1E7328D7">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有较完整的管理网络，分工明确职责明晰及监控平的管理。</w:t>
            </w:r>
          </w:p>
        </w:tc>
        <w:tc>
          <w:tcPr>
            <w:tcW w:w="675" w:type="dxa"/>
            <w:noWrap/>
            <w:vAlign w:val="center"/>
          </w:tcPr>
          <w:p w14:paraId="0765B94D">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3分</w:t>
            </w:r>
          </w:p>
        </w:tc>
        <w:tc>
          <w:tcPr>
            <w:tcW w:w="707" w:type="dxa"/>
            <w:noWrap/>
            <w:vAlign w:val="top"/>
          </w:tcPr>
          <w:p w14:paraId="7B926339">
            <w:pPr>
              <w:keepNext w:val="0"/>
              <w:keepLines w:val="0"/>
              <w:pageBreakBefore w:val="0"/>
              <w:widowControl w:val="0"/>
              <w:spacing w:line="300" w:lineRule="exact"/>
              <w:ind w:left="0" w:right="0" w:firstLine="360"/>
              <w:rPr>
                <w:rFonts w:hint="eastAsia" w:ascii="宋体" w:hAnsi="宋体" w:eastAsia="宋体" w:cs="仿宋"/>
                <w:sz w:val="18"/>
                <w:szCs w:val="18"/>
              </w:rPr>
            </w:pPr>
          </w:p>
        </w:tc>
      </w:tr>
      <w:tr w14:paraId="1DAF2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1" w:hRule="atLeast"/>
        </w:trPr>
        <w:tc>
          <w:tcPr>
            <w:tcW w:w="538" w:type="dxa"/>
            <w:vMerge w:val="continue"/>
            <w:noWrap/>
            <w:vAlign w:val="center"/>
          </w:tcPr>
          <w:p w14:paraId="45A12F09">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6E0F97F3">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532" w:type="dxa"/>
            <w:noWrap/>
            <w:vAlign w:val="center"/>
          </w:tcPr>
          <w:p w14:paraId="02D1B7DD">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各项制度是否正式公布或上墙</w:t>
            </w:r>
          </w:p>
        </w:tc>
        <w:tc>
          <w:tcPr>
            <w:tcW w:w="4858" w:type="dxa"/>
            <w:noWrap/>
            <w:vAlign w:val="center"/>
          </w:tcPr>
          <w:p w14:paraId="23B731E3">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各项制度能及时制定、完善，做到有制可依，有制必依。</w:t>
            </w:r>
          </w:p>
        </w:tc>
        <w:tc>
          <w:tcPr>
            <w:tcW w:w="675" w:type="dxa"/>
            <w:noWrap/>
            <w:vAlign w:val="center"/>
          </w:tcPr>
          <w:p w14:paraId="445F3965">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2分</w:t>
            </w:r>
          </w:p>
        </w:tc>
        <w:tc>
          <w:tcPr>
            <w:tcW w:w="707" w:type="dxa"/>
            <w:noWrap/>
            <w:vAlign w:val="top"/>
          </w:tcPr>
          <w:p w14:paraId="2DB93F61">
            <w:pPr>
              <w:keepNext w:val="0"/>
              <w:keepLines w:val="0"/>
              <w:pageBreakBefore w:val="0"/>
              <w:widowControl w:val="0"/>
              <w:spacing w:line="300" w:lineRule="exact"/>
              <w:ind w:left="0" w:right="0" w:firstLine="360"/>
              <w:rPr>
                <w:rFonts w:hint="eastAsia" w:ascii="宋体" w:hAnsi="宋体" w:eastAsia="宋体" w:cs="仿宋"/>
                <w:sz w:val="18"/>
                <w:szCs w:val="18"/>
              </w:rPr>
            </w:pPr>
          </w:p>
        </w:tc>
      </w:tr>
      <w:tr w14:paraId="6540D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3" w:hRule="atLeast"/>
        </w:trPr>
        <w:tc>
          <w:tcPr>
            <w:tcW w:w="538" w:type="dxa"/>
            <w:vMerge w:val="continue"/>
            <w:noWrap/>
            <w:vAlign w:val="center"/>
          </w:tcPr>
          <w:p w14:paraId="1AAF7EC6">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40A0CB80">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532" w:type="dxa"/>
            <w:noWrap/>
            <w:vAlign w:val="center"/>
          </w:tcPr>
          <w:p w14:paraId="0A6EBEEB">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制度落实情况</w:t>
            </w:r>
          </w:p>
        </w:tc>
        <w:tc>
          <w:tcPr>
            <w:tcW w:w="4858" w:type="dxa"/>
            <w:noWrap/>
            <w:vAlign w:val="center"/>
          </w:tcPr>
          <w:p w14:paraId="58DEAA62">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有确保各项制度、规章、规程有效落实的各项措施。</w:t>
            </w:r>
          </w:p>
        </w:tc>
        <w:tc>
          <w:tcPr>
            <w:tcW w:w="675" w:type="dxa"/>
            <w:noWrap/>
            <w:vAlign w:val="center"/>
          </w:tcPr>
          <w:p w14:paraId="50B71079">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2分</w:t>
            </w:r>
          </w:p>
        </w:tc>
        <w:tc>
          <w:tcPr>
            <w:tcW w:w="707" w:type="dxa"/>
            <w:noWrap/>
            <w:vAlign w:val="top"/>
          </w:tcPr>
          <w:p w14:paraId="03B6ABC3">
            <w:pPr>
              <w:keepNext w:val="0"/>
              <w:keepLines w:val="0"/>
              <w:pageBreakBefore w:val="0"/>
              <w:widowControl w:val="0"/>
              <w:spacing w:line="300" w:lineRule="exact"/>
              <w:ind w:left="0" w:right="0" w:firstLine="360"/>
              <w:rPr>
                <w:rFonts w:hint="eastAsia" w:ascii="宋体" w:hAnsi="宋体" w:eastAsia="宋体" w:cs="仿宋"/>
                <w:sz w:val="18"/>
                <w:szCs w:val="18"/>
              </w:rPr>
            </w:pPr>
          </w:p>
        </w:tc>
      </w:tr>
      <w:tr w14:paraId="40E7D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538" w:type="dxa"/>
            <w:vMerge w:val="continue"/>
            <w:noWrap/>
            <w:vAlign w:val="center"/>
          </w:tcPr>
          <w:p w14:paraId="2ABE960C">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43AB70A9">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532" w:type="dxa"/>
            <w:noWrap/>
            <w:vAlign w:val="center"/>
          </w:tcPr>
          <w:p w14:paraId="7FA942BA">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制度遵守情况</w:t>
            </w:r>
          </w:p>
        </w:tc>
        <w:tc>
          <w:tcPr>
            <w:tcW w:w="4858" w:type="dxa"/>
            <w:noWrap/>
            <w:vAlign w:val="center"/>
          </w:tcPr>
          <w:p w14:paraId="35EB3884">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以台帐形式检查各项制度遵守情况，以定期检查和随机抽查的形式检查遵守情况。</w:t>
            </w:r>
          </w:p>
        </w:tc>
        <w:tc>
          <w:tcPr>
            <w:tcW w:w="675" w:type="dxa"/>
            <w:noWrap/>
            <w:vAlign w:val="center"/>
          </w:tcPr>
          <w:p w14:paraId="628A41BD">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2分</w:t>
            </w:r>
          </w:p>
        </w:tc>
        <w:tc>
          <w:tcPr>
            <w:tcW w:w="707" w:type="dxa"/>
            <w:noWrap/>
            <w:vAlign w:val="top"/>
          </w:tcPr>
          <w:p w14:paraId="61860A06">
            <w:pPr>
              <w:keepNext w:val="0"/>
              <w:keepLines w:val="0"/>
              <w:pageBreakBefore w:val="0"/>
              <w:widowControl w:val="0"/>
              <w:spacing w:line="300" w:lineRule="exact"/>
              <w:ind w:left="0" w:right="0" w:firstLine="360"/>
              <w:rPr>
                <w:rFonts w:hint="eastAsia" w:ascii="宋体" w:hAnsi="宋体" w:eastAsia="宋体" w:cs="仿宋"/>
                <w:sz w:val="18"/>
                <w:szCs w:val="18"/>
              </w:rPr>
            </w:pPr>
          </w:p>
        </w:tc>
      </w:tr>
      <w:tr w14:paraId="54DD8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restart"/>
            <w:noWrap/>
            <w:vAlign w:val="center"/>
          </w:tcPr>
          <w:p w14:paraId="62FE0562">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3</w:t>
            </w:r>
          </w:p>
        </w:tc>
        <w:tc>
          <w:tcPr>
            <w:tcW w:w="1005" w:type="dxa"/>
            <w:vMerge w:val="restart"/>
            <w:noWrap/>
            <w:vAlign w:val="center"/>
          </w:tcPr>
          <w:p w14:paraId="0A8E3B90">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安全生产</w:t>
            </w:r>
          </w:p>
          <w:p w14:paraId="3A0D37F2">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管理</w:t>
            </w:r>
          </w:p>
          <w:p w14:paraId="6BEDB2A6">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（16分）</w:t>
            </w:r>
          </w:p>
        </w:tc>
        <w:tc>
          <w:tcPr>
            <w:tcW w:w="1532" w:type="dxa"/>
            <w:noWrap/>
            <w:vAlign w:val="center"/>
          </w:tcPr>
          <w:p w14:paraId="1E613A10">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安全管理网络</w:t>
            </w:r>
          </w:p>
        </w:tc>
        <w:tc>
          <w:tcPr>
            <w:tcW w:w="4858" w:type="dxa"/>
            <w:noWrap/>
            <w:vAlign w:val="center"/>
          </w:tcPr>
          <w:p w14:paraId="4B63965A">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有健全的安全生产组织机构和管理网络，分工明确，职责明晰，责任到人。</w:t>
            </w:r>
          </w:p>
        </w:tc>
        <w:tc>
          <w:tcPr>
            <w:tcW w:w="675" w:type="dxa"/>
            <w:noWrap/>
            <w:vAlign w:val="center"/>
          </w:tcPr>
          <w:p w14:paraId="41F6B126">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2分</w:t>
            </w:r>
          </w:p>
        </w:tc>
        <w:tc>
          <w:tcPr>
            <w:tcW w:w="707" w:type="dxa"/>
            <w:noWrap/>
            <w:vAlign w:val="top"/>
          </w:tcPr>
          <w:p w14:paraId="2D97CE81">
            <w:pPr>
              <w:keepNext w:val="0"/>
              <w:keepLines w:val="0"/>
              <w:pageBreakBefore w:val="0"/>
              <w:widowControl w:val="0"/>
              <w:spacing w:line="300" w:lineRule="exact"/>
              <w:ind w:left="0" w:right="0" w:firstLine="360"/>
              <w:rPr>
                <w:rFonts w:hint="eastAsia" w:ascii="宋体" w:hAnsi="宋体" w:eastAsia="宋体" w:cs="仿宋"/>
                <w:sz w:val="18"/>
                <w:szCs w:val="18"/>
              </w:rPr>
            </w:pPr>
          </w:p>
        </w:tc>
      </w:tr>
      <w:tr w14:paraId="0A3F5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continue"/>
            <w:noWrap/>
            <w:vAlign w:val="top"/>
          </w:tcPr>
          <w:p w14:paraId="495EB26B">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top"/>
          </w:tcPr>
          <w:p w14:paraId="5EE07AE1">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532" w:type="dxa"/>
            <w:noWrap/>
            <w:vAlign w:val="center"/>
          </w:tcPr>
          <w:p w14:paraId="4F4F12C6">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安全检查</w:t>
            </w:r>
          </w:p>
          <w:p w14:paraId="1ED2C96D">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安全会议</w:t>
            </w:r>
          </w:p>
        </w:tc>
        <w:tc>
          <w:tcPr>
            <w:tcW w:w="4858" w:type="dxa"/>
            <w:noWrap/>
            <w:vAlign w:val="center"/>
          </w:tcPr>
          <w:p w14:paraId="6378C2F6">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有各级安全检查制度（公司和班组），公司每月应组织不少于1次安全检查和1次安全例会，并应有一定次数的随机安全检查。检查情况及会议内容应及时记录归档。</w:t>
            </w:r>
          </w:p>
        </w:tc>
        <w:tc>
          <w:tcPr>
            <w:tcW w:w="675" w:type="dxa"/>
            <w:noWrap/>
            <w:vAlign w:val="center"/>
          </w:tcPr>
          <w:p w14:paraId="1BF19FF9">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2分</w:t>
            </w:r>
          </w:p>
        </w:tc>
        <w:tc>
          <w:tcPr>
            <w:tcW w:w="707" w:type="dxa"/>
            <w:noWrap/>
            <w:vAlign w:val="top"/>
          </w:tcPr>
          <w:p w14:paraId="6082D4C4">
            <w:pPr>
              <w:keepNext w:val="0"/>
              <w:keepLines w:val="0"/>
              <w:pageBreakBefore w:val="0"/>
              <w:widowControl w:val="0"/>
              <w:spacing w:line="300" w:lineRule="exact"/>
              <w:ind w:left="0" w:right="0" w:firstLine="360"/>
              <w:rPr>
                <w:rFonts w:hint="eastAsia" w:ascii="宋体" w:hAnsi="宋体" w:eastAsia="宋体" w:cs="仿宋"/>
                <w:sz w:val="18"/>
                <w:szCs w:val="18"/>
              </w:rPr>
            </w:pPr>
          </w:p>
        </w:tc>
      </w:tr>
      <w:tr w14:paraId="4F303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continue"/>
            <w:noWrap/>
            <w:vAlign w:val="top"/>
          </w:tcPr>
          <w:p w14:paraId="7B5E0978">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top"/>
          </w:tcPr>
          <w:p w14:paraId="0B38CC99">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532" w:type="dxa"/>
            <w:noWrap/>
            <w:vAlign w:val="center"/>
          </w:tcPr>
          <w:p w14:paraId="690EF720">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安全教育</w:t>
            </w:r>
          </w:p>
        </w:tc>
        <w:tc>
          <w:tcPr>
            <w:tcW w:w="4858" w:type="dxa"/>
            <w:noWrap/>
            <w:vAlign w:val="center"/>
          </w:tcPr>
          <w:p w14:paraId="3FE6A328">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有严格的安全生产教育制度，一般每半年不少于1次，对于新上岗或重要岗位轮岗工人必须实行三级安全教育，并记录在案。</w:t>
            </w:r>
          </w:p>
        </w:tc>
        <w:tc>
          <w:tcPr>
            <w:tcW w:w="675" w:type="dxa"/>
            <w:noWrap/>
            <w:vAlign w:val="center"/>
          </w:tcPr>
          <w:p w14:paraId="29C0876A">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2分</w:t>
            </w:r>
          </w:p>
        </w:tc>
        <w:tc>
          <w:tcPr>
            <w:tcW w:w="707" w:type="dxa"/>
            <w:noWrap/>
            <w:vAlign w:val="top"/>
          </w:tcPr>
          <w:p w14:paraId="0DC4379E">
            <w:pPr>
              <w:keepNext w:val="0"/>
              <w:keepLines w:val="0"/>
              <w:pageBreakBefore w:val="0"/>
              <w:widowControl w:val="0"/>
              <w:spacing w:line="300" w:lineRule="exact"/>
              <w:ind w:left="0" w:right="0" w:firstLine="360"/>
              <w:rPr>
                <w:rFonts w:hint="eastAsia" w:ascii="宋体" w:hAnsi="宋体" w:eastAsia="宋体" w:cs="仿宋"/>
                <w:sz w:val="18"/>
                <w:szCs w:val="18"/>
              </w:rPr>
            </w:pPr>
          </w:p>
        </w:tc>
      </w:tr>
      <w:tr w14:paraId="6B3CD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continue"/>
            <w:noWrap/>
            <w:vAlign w:val="top"/>
          </w:tcPr>
          <w:p w14:paraId="6A2F8713">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top"/>
          </w:tcPr>
          <w:p w14:paraId="3BCA87F1">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532" w:type="dxa"/>
            <w:noWrap/>
            <w:vAlign w:val="center"/>
          </w:tcPr>
          <w:p w14:paraId="345BC500">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安全应急预案</w:t>
            </w:r>
          </w:p>
        </w:tc>
        <w:tc>
          <w:tcPr>
            <w:tcW w:w="4858" w:type="dxa"/>
            <w:noWrap/>
            <w:vAlign w:val="center"/>
          </w:tcPr>
          <w:p w14:paraId="137C5CB5">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有成熟的安全应急预案，操作人员熟悉其内容，并能熟练应用。</w:t>
            </w:r>
          </w:p>
        </w:tc>
        <w:tc>
          <w:tcPr>
            <w:tcW w:w="675" w:type="dxa"/>
            <w:noWrap/>
            <w:vAlign w:val="center"/>
          </w:tcPr>
          <w:p w14:paraId="05829E61">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2分</w:t>
            </w:r>
          </w:p>
        </w:tc>
        <w:tc>
          <w:tcPr>
            <w:tcW w:w="707" w:type="dxa"/>
            <w:noWrap/>
            <w:vAlign w:val="top"/>
          </w:tcPr>
          <w:p w14:paraId="27ED9B97">
            <w:pPr>
              <w:keepNext w:val="0"/>
              <w:keepLines w:val="0"/>
              <w:pageBreakBefore w:val="0"/>
              <w:widowControl w:val="0"/>
              <w:spacing w:line="300" w:lineRule="exact"/>
              <w:ind w:left="0" w:right="0" w:firstLine="360"/>
              <w:rPr>
                <w:rFonts w:hint="eastAsia" w:ascii="宋体" w:hAnsi="宋体" w:eastAsia="宋体" w:cs="仿宋"/>
                <w:sz w:val="18"/>
                <w:szCs w:val="18"/>
              </w:rPr>
            </w:pPr>
          </w:p>
        </w:tc>
      </w:tr>
      <w:tr w14:paraId="1612D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continue"/>
            <w:noWrap/>
            <w:vAlign w:val="top"/>
          </w:tcPr>
          <w:p w14:paraId="59FFB5FC">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top"/>
          </w:tcPr>
          <w:p w14:paraId="702EAE7E">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532" w:type="dxa"/>
            <w:noWrap/>
            <w:vAlign w:val="center"/>
          </w:tcPr>
          <w:p w14:paraId="7F88D1F3">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安全档案</w:t>
            </w:r>
          </w:p>
        </w:tc>
        <w:tc>
          <w:tcPr>
            <w:tcW w:w="4858" w:type="dxa"/>
            <w:noWrap/>
            <w:vAlign w:val="center"/>
          </w:tcPr>
          <w:p w14:paraId="538D45AF">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有健全的安全生产档案，各项安全管理措施的书面记录较完整，并能真实反映安全生产管理现状。</w:t>
            </w:r>
          </w:p>
        </w:tc>
        <w:tc>
          <w:tcPr>
            <w:tcW w:w="675" w:type="dxa"/>
            <w:noWrap/>
            <w:vAlign w:val="center"/>
          </w:tcPr>
          <w:p w14:paraId="4CF86DC3">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2分</w:t>
            </w:r>
          </w:p>
        </w:tc>
        <w:tc>
          <w:tcPr>
            <w:tcW w:w="707" w:type="dxa"/>
            <w:noWrap/>
            <w:vAlign w:val="top"/>
          </w:tcPr>
          <w:p w14:paraId="019024AC">
            <w:pPr>
              <w:keepNext w:val="0"/>
              <w:keepLines w:val="0"/>
              <w:pageBreakBefore w:val="0"/>
              <w:widowControl w:val="0"/>
              <w:spacing w:line="300" w:lineRule="exact"/>
              <w:ind w:left="0" w:right="0" w:firstLine="360"/>
              <w:rPr>
                <w:rFonts w:hint="eastAsia" w:ascii="宋体" w:hAnsi="宋体" w:eastAsia="宋体" w:cs="仿宋"/>
                <w:sz w:val="18"/>
                <w:szCs w:val="18"/>
              </w:rPr>
            </w:pPr>
          </w:p>
        </w:tc>
      </w:tr>
      <w:tr w14:paraId="43AA2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continue"/>
            <w:noWrap/>
            <w:vAlign w:val="top"/>
          </w:tcPr>
          <w:p w14:paraId="549381C6">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top"/>
          </w:tcPr>
          <w:p w14:paraId="54B7B913">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532" w:type="dxa"/>
            <w:noWrap/>
            <w:vAlign w:val="center"/>
          </w:tcPr>
          <w:p w14:paraId="0C5F10BE">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安全责任制度</w:t>
            </w:r>
          </w:p>
        </w:tc>
        <w:tc>
          <w:tcPr>
            <w:tcW w:w="4858" w:type="dxa"/>
            <w:noWrap/>
            <w:vAlign w:val="center"/>
          </w:tcPr>
          <w:p w14:paraId="4E494E6C">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有明确的安全生产责任制度，对于事故隐患应采取跟踪制度，直至隐患消失或终止。对于事故隐患必须第一时间及时处置，并妥善处理，控制影响范围，如属人为事故必须按有关规定严肃追究。</w:t>
            </w:r>
          </w:p>
        </w:tc>
        <w:tc>
          <w:tcPr>
            <w:tcW w:w="675" w:type="dxa"/>
            <w:noWrap/>
            <w:vAlign w:val="center"/>
          </w:tcPr>
          <w:p w14:paraId="2854FA7C">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2分</w:t>
            </w:r>
          </w:p>
        </w:tc>
        <w:tc>
          <w:tcPr>
            <w:tcW w:w="707" w:type="dxa"/>
            <w:noWrap/>
            <w:vAlign w:val="top"/>
          </w:tcPr>
          <w:p w14:paraId="6EBDAC94">
            <w:pPr>
              <w:keepNext w:val="0"/>
              <w:keepLines w:val="0"/>
              <w:pageBreakBefore w:val="0"/>
              <w:widowControl w:val="0"/>
              <w:spacing w:line="300" w:lineRule="exact"/>
              <w:ind w:left="0" w:right="0" w:firstLine="360"/>
              <w:rPr>
                <w:rFonts w:hint="eastAsia" w:ascii="宋体" w:hAnsi="宋体" w:eastAsia="宋体" w:cs="仿宋"/>
                <w:sz w:val="18"/>
                <w:szCs w:val="18"/>
              </w:rPr>
            </w:pPr>
          </w:p>
        </w:tc>
      </w:tr>
      <w:tr w14:paraId="0BF8C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1" w:hRule="atLeast"/>
        </w:trPr>
        <w:tc>
          <w:tcPr>
            <w:tcW w:w="538" w:type="dxa"/>
            <w:vMerge w:val="continue"/>
            <w:noWrap/>
            <w:vAlign w:val="top"/>
          </w:tcPr>
          <w:p w14:paraId="00FF8455">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top"/>
          </w:tcPr>
          <w:p w14:paraId="70BE4043">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532" w:type="dxa"/>
            <w:vMerge w:val="restart"/>
            <w:noWrap/>
            <w:vAlign w:val="center"/>
          </w:tcPr>
          <w:p w14:paraId="1192D30D">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安全设施投入及使用情况</w:t>
            </w:r>
          </w:p>
        </w:tc>
        <w:tc>
          <w:tcPr>
            <w:tcW w:w="4858" w:type="dxa"/>
            <w:noWrap/>
            <w:vAlign w:val="center"/>
          </w:tcPr>
          <w:p w14:paraId="3580BA30">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每年确保足够的安全投入，确保安全设施有效配置</w:t>
            </w:r>
          </w:p>
        </w:tc>
        <w:tc>
          <w:tcPr>
            <w:tcW w:w="675" w:type="dxa"/>
            <w:noWrap/>
            <w:vAlign w:val="center"/>
          </w:tcPr>
          <w:p w14:paraId="76A08343">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2分</w:t>
            </w:r>
          </w:p>
        </w:tc>
        <w:tc>
          <w:tcPr>
            <w:tcW w:w="707" w:type="dxa"/>
            <w:noWrap/>
            <w:vAlign w:val="top"/>
          </w:tcPr>
          <w:p w14:paraId="5ABD1432">
            <w:pPr>
              <w:keepNext w:val="0"/>
              <w:keepLines w:val="0"/>
              <w:pageBreakBefore w:val="0"/>
              <w:widowControl w:val="0"/>
              <w:spacing w:line="300" w:lineRule="exact"/>
              <w:ind w:left="0" w:right="0" w:firstLine="360"/>
              <w:rPr>
                <w:rFonts w:hint="eastAsia" w:ascii="宋体" w:hAnsi="宋体" w:eastAsia="宋体" w:cs="仿宋"/>
                <w:sz w:val="18"/>
                <w:szCs w:val="18"/>
              </w:rPr>
            </w:pPr>
          </w:p>
        </w:tc>
      </w:tr>
      <w:tr w14:paraId="5046F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0" w:hRule="atLeast"/>
        </w:trPr>
        <w:tc>
          <w:tcPr>
            <w:tcW w:w="538" w:type="dxa"/>
            <w:vMerge w:val="continue"/>
            <w:noWrap/>
            <w:vAlign w:val="top"/>
          </w:tcPr>
          <w:p w14:paraId="5E1875BD">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top"/>
          </w:tcPr>
          <w:p w14:paraId="00833C66">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532" w:type="dxa"/>
            <w:vMerge w:val="continue"/>
            <w:noWrap/>
            <w:vAlign w:val="center"/>
          </w:tcPr>
          <w:p w14:paraId="015309A3">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p>
        </w:tc>
        <w:tc>
          <w:tcPr>
            <w:tcW w:w="4858" w:type="dxa"/>
            <w:noWrap/>
            <w:vAlign w:val="center"/>
          </w:tcPr>
          <w:p w14:paraId="64CBC303">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职工能够熟练掌握安全设备使用方法</w:t>
            </w:r>
          </w:p>
        </w:tc>
        <w:tc>
          <w:tcPr>
            <w:tcW w:w="675" w:type="dxa"/>
            <w:noWrap/>
            <w:vAlign w:val="center"/>
          </w:tcPr>
          <w:p w14:paraId="0AB0C186">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2分</w:t>
            </w:r>
          </w:p>
        </w:tc>
        <w:tc>
          <w:tcPr>
            <w:tcW w:w="707" w:type="dxa"/>
            <w:noWrap/>
            <w:vAlign w:val="top"/>
          </w:tcPr>
          <w:p w14:paraId="595637B4">
            <w:pPr>
              <w:keepNext w:val="0"/>
              <w:keepLines w:val="0"/>
              <w:pageBreakBefore w:val="0"/>
              <w:widowControl w:val="0"/>
              <w:spacing w:line="300" w:lineRule="exact"/>
              <w:ind w:left="0" w:right="0" w:firstLine="360"/>
              <w:rPr>
                <w:rFonts w:hint="eastAsia" w:ascii="宋体" w:hAnsi="宋体" w:eastAsia="宋体" w:cs="仿宋"/>
                <w:sz w:val="18"/>
                <w:szCs w:val="18"/>
              </w:rPr>
            </w:pPr>
          </w:p>
        </w:tc>
      </w:tr>
      <w:tr w14:paraId="4E6DA1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restart"/>
            <w:noWrap/>
            <w:vAlign w:val="center"/>
          </w:tcPr>
          <w:p w14:paraId="10CF1E99">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4</w:t>
            </w:r>
          </w:p>
        </w:tc>
        <w:tc>
          <w:tcPr>
            <w:tcW w:w="1005" w:type="dxa"/>
            <w:vMerge w:val="restart"/>
            <w:noWrap/>
            <w:vAlign w:val="center"/>
          </w:tcPr>
          <w:p w14:paraId="5620479C">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设备管理</w:t>
            </w:r>
          </w:p>
          <w:p w14:paraId="35D35682">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（18分）</w:t>
            </w:r>
          </w:p>
        </w:tc>
        <w:tc>
          <w:tcPr>
            <w:tcW w:w="1532" w:type="dxa"/>
            <w:noWrap/>
            <w:vAlign w:val="center"/>
          </w:tcPr>
          <w:p w14:paraId="684185BA">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设备日常维护保养</w:t>
            </w:r>
          </w:p>
        </w:tc>
        <w:tc>
          <w:tcPr>
            <w:tcW w:w="4858" w:type="dxa"/>
            <w:noWrap/>
            <w:vAlign w:val="center"/>
          </w:tcPr>
          <w:p w14:paraId="43945E1F">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有一套完善的设备日常维护保养制度，每日对设备进行日常维护，保持设备周围及本体内外清洁，设备铭牌字迹清晰无锈蚀污物。定期对设备进行除锈清污，更换润滑油。操作规范，确保设备完好。</w:t>
            </w:r>
          </w:p>
        </w:tc>
        <w:tc>
          <w:tcPr>
            <w:tcW w:w="675" w:type="dxa"/>
            <w:noWrap/>
            <w:vAlign w:val="center"/>
          </w:tcPr>
          <w:p w14:paraId="375AB4CD">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4分</w:t>
            </w:r>
          </w:p>
        </w:tc>
        <w:tc>
          <w:tcPr>
            <w:tcW w:w="707" w:type="dxa"/>
            <w:noWrap/>
            <w:vAlign w:val="top"/>
          </w:tcPr>
          <w:p w14:paraId="1F73AC6B">
            <w:pPr>
              <w:keepNext w:val="0"/>
              <w:keepLines w:val="0"/>
              <w:pageBreakBefore w:val="0"/>
              <w:widowControl w:val="0"/>
              <w:spacing w:line="300" w:lineRule="exact"/>
              <w:ind w:left="0" w:right="0" w:firstLine="360"/>
              <w:rPr>
                <w:rFonts w:hint="eastAsia" w:ascii="宋体" w:hAnsi="宋体" w:eastAsia="宋体" w:cs="仿宋"/>
                <w:sz w:val="18"/>
                <w:szCs w:val="18"/>
              </w:rPr>
            </w:pPr>
          </w:p>
        </w:tc>
      </w:tr>
      <w:tr w14:paraId="27271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continue"/>
            <w:noWrap/>
            <w:vAlign w:val="top"/>
          </w:tcPr>
          <w:p w14:paraId="6AFEF23C">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top"/>
          </w:tcPr>
          <w:p w14:paraId="53A68CA7">
            <w:pPr>
              <w:keepNext w:val="0"/>
              <w:keepLines w:val="0"/>
              <w:pageBreakBefore w:val="0"/>
              <w:widowControl w:val="0"/>
              <w:spacing w:line="300" w:lineRule="exact"/>
              <w:ind w:left="0" w:right="0"/>
              <w:jc w:val="center"/>
              <w:rPr>
                <w:rFonts w:hint="eastAsia" w:ascii="宋体" w:hAnsi="宋体" w:eastAsia="宋体" w:cs="仿宋"/>
                <w:sz w:val="18"/>
                <w:szCs w:val="18"/>
              </w:rPr>
            </w:pPr>
          </w:p>
        </w:tc>
        <w:tc>
          <w:tcPr>
            <w:tcW w:w="1532" w:type="dxa"/>
            <w:noWrap/>
            <w:vAlign w:val="center"/>
          </w:tcPr>
          <w:p w14:paraId="27C90B33">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设备检修</w:t>
            </w:r>
          </w:p>
        </w:tc>
        <w:tc>
          <w:tcPr>
            <w:tcW w:w="4858" w:type="dxa"/>
            <w:noWrap/>
            <w:vAlign w:val="center"/>
          </w:tcPr>
          <w:p w14:paraId="3F2A8D0C">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能按操作规程定期对设备进行例行检查，合理判断设备运行状态，本着经济可靠的原则适当确定设备检修计划和方案，并及时记录归档。</w:t>
            </w:r>
          </w:p>
        </w:tc>
        <w:tc>
          <w:tcPr>
            <w:tcW w:w="675" w:type="dxa"/>
            <w:noWrap/>
            <w:vAlign w:val="center"/>
          </w:tcPr>
          <w:p w14:paraId="0176B800">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4分</w:t>
            </w:r>
          </w:p>
        </w:tc>
        <w:tc>
          <w:tcPr>
            <w:tcW w:w="707" w:type="dxa"/>
            <w:noWrap/>
            <w:vAlign w:val="top"/>
          </w:tcPr>
          <w:p w14:paraId="3C3A3C8F">
            <w:pPr>
              <w:keepNext w:val="0"/>
              <w:keepLines w:val="0"/>
              <w:pageBreakBefore w:val="0"/>
              <w:widowControl w:val="0"/>
              <w:spacing w:line="300" w:lineRule="exact"/>
              <w:ind w:left="0" w:right="0" w:firstLine="360"/>
              <w:rPr>
                <w:rFonts w:hint="eastAsia" w:ascii="宋体" w:hAnsi="宋体" w:eastAsia="宋体" w:cs="仿宋"/>
                <w:sz w:val="18"/>
                <w:szCs w:val="18"/>
              </w:rPr>
            </w:pPr>
          </w:p>
        </w:tc>
      </w:tr>
      <w:tr w14:paraId="04732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3" w:hRule="atLeast"/>
        </w:trPr>
        <w:tc>
          <w:tcPr>
            <w:tcW w:w="538" w:type="dxa"/>
            <w:vMerge w:val="continue"/>
            <w:noWrap/>
            <w:vAlign w:val="center"/>
          </w:tcPr>
          <w:p w14:paraId="6350FD18">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3614E102">
            <w:pPr>
              <w:keepNext w:val="0"/>
              <w:keepLines w:val="0"/>
              <w:pageBreakBefore w:val="0"/>
              <w:widowControl w:val="0"/>
              <w:spacing w:line="300" w:lineRule="exact"/>
              <w:ind w:left="0" w:right="0"/>
              <w:jc w:val="center"/>
              <w:rPr>
                <w:rFonts w:hint="eastAsia" w:ascii="宋体" w:hAnsi="宋体" w:eastAsia="宋体" w:cs="仿宋"/>
                <w:sz w:val="18"/>
                <w:szCs w:val="18"/>
              </w:rPr>
            </w:pPr>
          </w:p>
        </w:tc>
        <w:tc>
          <w:tcPr>
            <w:tcW w:w="1532" w:type="dxa"/>
            <w:noWrap/>
            <w:vAlign w:val="center"/>
          </w:tcPr>
          <w:p w14:paraId="54C4FDA3">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设备改造</w:t>
            </w:r>
          </w:p>
          <w:p w14:paraId="4AFC32A5">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或大修</w:t>
            </w:r>
          </w:p>
        </w:tc>
        <w:tc>
          <w:tcPr>
            <w:tcW w:w="4858" w:type="dxa"/>
            <w:noWrap/>
            <w:vAlign w:val="center"/>
          </w:tcPr>
          <w:p w14:paraId="103A0262">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设备改造或大修应有严谨的技术方案，方案经业主签批后方可实施。改造图纸或相关证书应及时归档备查。</w:t>
            </w:r>
          </w:p>
        </w:tc>
        <w:tc>
          <w:tcPr>
            <w:tcW w:w="675" w:type="dxa"/>
            <w:noWrap/>
            <w:vAlign w:val="center"/>
          </w:tcPr>
          <w:p w14:paraId="037FC7C7">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2分</w:t>
            </w:r>
          </w:p>
        </w:tc>
        <w:tc>
          <w:tcPr>
            <w:tcW w:w="707" w:type="dxa"/>
            <w:noWrap/>
            <w:vAlign w:val="center"/>
          </w:tcPr>
          <w:p w14:paraId="2A57062B">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r>
      <w:tr w14:paraId="00908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continue"/>
            <w:noWrap/>
            <w:vAlign w:val="center"/>
          </w:tcPr>
          <w:p w14:paraId="1FE71604">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177F08A4">
            <w:pPr>
              <w:keepNext w:val="0"/>
              <w:keepLines w:val="0"/>
              <w:pageBreakBefore w:val="0"/>
              <w:widowControl w:val="0"/>
              <w:spacing w:line="300" w:lineRule="exact"/>
              <w:ind w:left="0" w:right="0"/>
              <w:jc w:val="center"/>
              <w:rPr>
                <w:rFonts w:hint="eastAsia" w:ascii="宋体" w:hAnsi="宋体" w:eastAsia="宋体" w:cs="仿宋"/>
                <w:sz w:val="18"/>
                <w:szCs w:val="18"/>
              </w:rPr>
            </w:pPr>
          </w:p>
        </w:tc>
        <w:tc>
          <w:tcPr>
            <w:tcW w:w="1532" w:type="dxa"/>
            <w:noWrap/>
            <w:vAlign w:val="center"/>
          </w:tcPr>
          <w:p w14:paraId="2876AFDC">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设备档案</w:t>
            </w:r>
          </w:p>
        </w:tc>
        <w:tc>
          <w:tcPr>
            <w:tcW w:w="4858" w:type="dxa"/>
            <w:noWrap/>
            <w:vAlign w:val="center"/>
          </w:tcPr>
          <w:p w14:paraId="1BEC9A8D">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有设备运行档案，能真实反映投产日期、设备润滑维护、检修、大修、改造等情况。</w:t>
            </w:r>
          </w:p>
        </w:tc>
        <w:tc>
          <w:tcPr>
            <w:tcW w:w="675" w:type="dxa"/>
            <w:noWrap/>
            <w:vAlign w:val="center"/>
          </w:tcPr>
          <w:p w14:paraId="5C7FF9F7">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4分</w:t>
            </w:r>
          </w:p>
        </w:tc>
        <w:tc>
          <w:tcPr>
            <w:tcW w:w="707" w:type="dxa"/>
            <w:noWrap/>
            <w:vAlign w:val="center"/>
          </w:tcPr>
          <w:p w14:paraId="7B15CE67">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r>
      <w:tr w14:paraId="64C86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continue"/>
            <w:noWrap/>
            <w:vAlign w:val="center"/>
          </w:tcPr>
          <w:p w14:paraId="76E05FE8">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1E9F5DCF">
            <w:pPr>
              <w:keepNext w:val="0"/>
              <w:keepLines w:val="0"/>
              <w:pageBreakBefore w:val="0"/>
              <w:widowControl w:val="0"/>
              <w:spacing w:line="300" w:lineRule="exact"/>
              <w:ind w:left="0" w:right="0"/>
              <w:jc w:val="center"/>
              <w:rPr>
                <w:rFonts w:hint="eastAsia" w:ascii="宋体" w:hAnsi="宋体" w:eastAsia="宋体" w:cs="仿宋"/>
                <w:sz w:val="18"/>
                <w:szCs w:val="18"/>
              </w:rPr>
            </w:pPr>
          </w:p>
        </w:tc>
        <w:tc>
          <w:tcPr>
            <w:tcW w:w="1532" w:type="dxa"/>
            <w:noWrap/>
            <w:vAlign w:val="center"/>
          </w:tcPr>
          <w:p w14:paraId="7EE8DBDE">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设备采购及备品备件管理</w:t>
            </w:r>
          </w:p>
        </w:tc>
        <w:tc>
          <w:tcPr>
            <w:tcW w:w="4858" w:type="dxa"/>
            <w:noWrap/>
            <w:vAlign w:val="center"/>
          </w:tcPr>
          <w:p w14:paraId="5177D269">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应保证采购的设备及备品备件为合格、质优产品，确保能可靠运行和安全使用。</w:t>
            </w:r>
          </w:p>
        </w:tc>
        <w:tc>
          <w:tcPr>
            <w:tcW w:w="675" w:type="dxa"/>
            <w:noWrap/>
            <w:vAlign w:val="center"/>
          </w:tcPr>
          <w:p w14:paraId="5BC2BE8C">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4分</w:t>
            </w:r>
          </w:p>
        </w:tc>
        <w:tc>
          <w:tcPr>
            <w:tcW w:w="707" w:type="dxa"/>
            <w:noWrap/>
            <w:vAlign w:val="center"/>
          </w:tcPr>
          <w:p w14:paraId="1B5FACC7">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r>
      <w:tr w14:paraId="6CF86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restart"/>
            <w:noWrap/>
            <w:vAlign w:val="center"/>
          </w:tcPr>
          <w:p w14:paraId="109FFB7F">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5</w:t>
            </w:r>
          </w:p>
        </w:tc>
        <w:tc>
          <w:tcPr>
            <w:tcW w:w="1005" w:type="dxa"/>
            <w:vMerge w:val="restart"/>
            <w:noWrap/>
            <w:vAlign w:val="center"/>
          </w:tcPr>
          <w:p w14:paraId="68FE9391">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污水处理</w:t>
            </w:r>
          </w:p>
          <w:p w14:paraId="79CBFD6F">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设施维护</w:t>
            </w:r>
          </w:p>
          <w:p w14:paraId="71954648">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（10分）</w:t>
            </w:r>
          </w:p>
        </w:tc>
        <w:tc>
          <w:tcPr>
            <w:tcW w:w="1532" w:type="dxa"/>
            <w:noWrap/>
            <w:vAlign w:val="center"/>
          </w:tcPr>
          <w:p w14:paraId="42B98D39">
            <w:pPr>
              <w:keepNext w:val="0"/>
              <w:keepLines w:val="0"/>
              <w:pageBreakBefore w:val="0"/>
              <w:widowControl w:val="0"/>
              <w:tabs>
                <w:tab w:val="left" w:pos="1260"/>
              </w:tabs>
              <w:spacing w:line="300" w:lineRule="exact"/>
              <w:ind w:left="0" w:right="0" w:firstLine="199"/>
              <w:jc w:val="center"/>
              <w:rPr>
                <w:rFonts w:hint="eastAsia" w:ascii="宋体" w:hAnsi="宋体" w:eastAsia="宋体" w:cs="仿宋"/>
                <w:sz w:val="18"/>
                <w:szCs w:val="18"/>
              </w:rPr>
            </w:pPr>
            <w:r>
              <w:rPr>
                <w:rFonts w:hint="eastAsia" w:ascii="宋体" w:hAnsi="宋体" w:eastAsia="宋体" w:cs="仿宋"/>
                <w:sz w:val="18"/>
                <w:szCs w:val="18"/>
              </w:rPr>
              <w:t>围墙及围栏</w:t>
            </w:r>
          </w:p>
          <w:p w14:paraId="2DE1D82C">
            <w:pPr>
              <w:keepNext w:val="0"/>
              <w:keepLines w:val="0"/>
              <w:pageBreakBefore w:val="0"/>
              <w:widowControl w:val="0"/>
              <w:tabs>
                <w:tab w:val="left" w:pos="1260"/>
              </w:tabs>
              <w:spacing w:line="300" w:lineRule="exact"/>
              <w:ind w:left="0" w:right="0" w:firstLine="199"/>
              <w:jc w:val="center"/>
              <w:rPr>
                <w:rFonts w:hint="eastAsia" w:ascii="宋体" w:hAnsi="宋体" w:eastAsia="宋体" w:cs="仿宋"/>
                <w:sz w:val="18"/>
                <w:szCs w:val="18"/>
              </w:rPr>
            </w:pPr>
            <w:r>
              <w:rPr>
                <w:rFonts w:hint="eastAsia" w:ascii="宋体" w:hAnsi="宋体" w:eastAsia="宋体" w:cs="仿宋"/>
                <w:sz w:val="18"/>
                <w:szCs w:val="18"/>
              </w:rPr>
              <w:t>维护情况</w:t>
            </w:r>
          </w:p>
        </w:tc>
        <w:tc>
          <w:tcPr>
            <w:tcW w:w="4858" w:type="dxa"/>
            <w:noWrap/>
            <w:vAlign w:val="center"/>
          </w:tcPr>
          <w:p w14:paraId="0E7A09EA">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保持围墙内清洁完整，无明显破损和乱图乱画。铸铁围栏应及时除锈保养，尽量避免人为损坏。</w:t>
            </w:r>
          </w:p>
        </w:tc>
        <w:tc>
          <w:tcPr>
            <w:tcW w:w="675" w:type="dxa"/>
            <w:noWrap/>
            <w:vAlign w:val="center"/>
          </w:tcPr>
          <w:p w14:paraId="74D34D4F">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4分</w:t>
            </w:r>
          </w:p>
        </w:tc>
        <w:tc>
          <w:tcPr>
            <w:tcW w:w="707" w:type="dxa"/>
            <w:noWrap/>
            <w:vAlign w:val="center"/>
          </w:tcPr>
          <w:p w14:paraId="4D63635A">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r>
      <w:tr w14:paraId="1E275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continue"/>
            <w:noWrap/>
            <w:vAlign w:val="center"/>
          </w:tcPr>
          <w:p w14:paraId="32C6AFDC">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131CDDBE">
            <w:pPr>
              <w:keepNext w:val="0"/>
              <w:keepLines w:val="0"/>
              <w:pageBreakBefore w:val="0"/>
              <w:widowControl w:val="0"/>
              <w:spacing w:line="300" w:lineRule="exact"/>
              <w:ind w:left="0" w:right="0"/>
              <w:jc w:val="center"/>
              <w:rPr>
                <w:rFonts w:hint="eastAsia" w:ascii="宋体" w:hAnsi="宋体" w:eastAsia="宋体" w:cs="仿宋"/>
                <w:sz w:val="18"/>
                <w:szCs w:val="18"/>
              </w:rPr>
            </w:pPr>
          </w:p>
        </w:tc>
        <w:tc>
          <w:tcPr>
            <w:tcW w:w="1532" w:type="dxa"/>
            <w:noWrap/>
            <w:vAlign w:val="center"/>
          </w:tcPr>
          <w:p w14:paraId="7AD72FFF">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房屋建筑</w:t>
            </w:r>
          </w:p>
          <w:p w14:paraId="4AE15B52">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维护情况</w:t>
            </w:r>
          </w:p>
        </w:tc>
        <w:tc>
          <w:tcPr>
            <w:tcW w:w="4858" w:type="dxa"/>
            <w:noWrap/>
            <w:vAlign w:val="center"/>
          </w:tcPr>
          <w:p w14:paraId="2F80824A">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对污水处理设等地面建筑物应每</w:t>
            </w:r>
            <w:r>
              <w:rPr>
                <w:rFonts w:hint="eastAsia" w:ascii="宋体" w:hAnsi="宋体" w:cs="仿宋"/>
                <w:sz w:val="18"/>
                <w:szCs w:val="18"/>
                <w:lang w:val="en-US" w:eastAsia="zh-CN"/>
              </w:rPr>
              <w:t>月</w:t>
            </w:r>
            <w:r>
              <w:rPr>
                <w:rFonts w:hint="eastAsia" w:ascii="宋体" w:hAnsi="宋体" w:eastAsia="宋体" w:cs="仿宋"/>
                <w:sz w:val="18"/>
                <w:szCs w:val="18"/>
              </w:rPr>
              <w:t>检查一次</w:t>
            </w:r>
          </w:p>
        </w:tc>
        <w:tc>
          <w:tcPr>
            <w:tcW w:w="675" w:type="dxa"/>
            <w:noWrap/>
            <w:vAlign w:val="center"/>
          </w:tcPr>
          <w:p w14:paraId="15C8783C">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3分</w:t>
            </w:r>
          </w:p>
        </w:tc>
        <w:tc>
          <w:tcPr>
            <w:tcW w:w="707" w:type="dxa"/>
            <w:noWrap/>
            <w:vAlign w:val="center"/>
          </w:tcPr>
          <w:p w14:paraId="79D9623C">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r>
      <w:tr w14:paraId="0EA4D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continue"/>
            <w:noWrap/>
            <w:vAlign w:val="center"/>
          </w:tcPr>
          <w:p w14:paraId="43F40A6F">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77A1B5A1">
            <w:pPr>
              <w:keepNext w:val="0"/>
              <w:keepLines w:val="0"/>
              <w:pageBreakBefore w:val="0"/>
              <w:widowControl w:val="0"/>
              <w:spacing w:line="300" w:lineRule="exact"/>
              <w:ind w:left="0" w:right="0"/>
              <w:jc w:val="center"/>
              <w:rPr>
                <w:rFonts w:hint="eastAsia" w:ascii="宋体" w:hAnsi="宋体" w:eastAsia="宋体" w:cs="仿宋"/>
                <w:sz w:val="18"/>
                <w:szCs w:val="18"/>
              </w:rPr>
            </w:pPr>
          </w:p>
        </w:tc>
        <w:tc>
          <w:tcPr>
            <w:tcW w:w="1532" w:type="dxa"/>
            <w:noWrap/>
            <w:vAlign w:val="center"/>
          </w:tcPr>
          <w:p w14:paraId="1AF194C7">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构筑物维护</w:t>
            </w:r>
          </w:p>
          <w:p w14:paraId="5BF8163D">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及保养情况</w:t>
            </w:r>
          </w:p>
        </w:tc>
        <w:tc>
          <w:tcPr>
            <w:tcW w:w="4858" w:type="dxa"/>
            <w:noWrap/>
            <w:vAlign w:val="center"/>
          </w:tcPr>
          <w:p w14:paraId="36E5E686">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保持污水处理设施地表平整、清洁无破损，每年清理井内沉淤。</w:t>
            </w:r>
          </w:p>
        </w:tc>
        <w:tc>
          <w:tcPr>
            <w:tcW w:w="675" w:type="dxa"/>
            <w:noWrap/>
            <w:vAlign w:val="center"/>
          </w:tcPr>
          <w:p w14:paraId="69A8ADFA">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3分</w:t>
            </w:r>
          </w:p>
        </w:tc>
        <w:tc>
          <w:tcPr>
            <w:tcW w:w="707" w:type="dxa"/>
            <w:noWrap/>
            <w:vAlign w:val="center"/>
          </w:tcPr>
          <w:p w14:paraId="2E36E4CB">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r>
      <w:tr w14:paraId="506F9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noWrap/>
            <w:vAlign w:val="center"/>
          </w:tcPr>
          <w:p w14:paraId="4D6CF969">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6</w:t>
            </w:r>
          </w:p>
        </w:tc>
        <w:tc>
          <w:tcPr>
            <w:tcW w:w="1005" w:type="dxa"/>
            <w:noWrap/>
            <w:vAlign w:val="center"/>
          </w:tcPr>
          <w:p w14:paraId="20FFD443">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人员配置</w:t>
            </w:r>
          </w:p>
          <w:p w14:paraId="5B71E1FA">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（10分）</w:t>
            </w:r>
          </w:p>
        </w:tc>
        <w:tc>
          <w:tcPr>
            <w:tcW w:w="1532" w:type="dxa"/>
            <w:noWrap/>
            <w:vAlign w:val="center"/>
          </w:tcPr>
          <w:p w14:paraId="4A6CB1AE">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日常维护</w:t>
            </w:r>
          </w:p>
          <w:p w14:paraId="1FFC39D8">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人员配置</w:t>
            </w:r>
          </w:p>
        </w:tc>
        <w:tc>
          <w:tcPr>
            <w:tcW w:w="4858" w:type="dxa"/>
            <w:noWrap/>
            <w:vAlign w:val="center"/>
          </w:tcPr>
          <w:p w14:paraId="714F1D4D">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 xml:space="preserve">日常维护人员未按招标文件要求规定配置的，少1分扣1分； </w:t>
            </w:r>
          </w:p>
        </w:tc>
        <w:tc>
          <w:tcPr>
            <w:tcW w:w="675" w:type="dxa"/>
            <w:noWrap/>
            <w:vAlign w:val="center"/>
          </w:tcPr>
          <w:p w14:paraId="1A0EE2B7">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10分</w:t>
            </w:r>
          </w:p>
        </w:tc>
        <w:tc>
          <w:tcPr>
            <w:tcW w:w="707" w:type="dxa"/>
            <w:noWrap/>
            <w:vAlign w:val="center"/>
          </w:tcPr>
          <w:p w14:paraId="076C82CB">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r>
      <w:tr w14:paraId="09684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4" w:hRule="atLeast"/>
        </w:trPr>
        <w:tc>
          <w:tcPr>
            <w:tcW w:w="538" w:type="dxa"/>
            <w:vMerge w:val="restart"/>
            <w:noWrap/>
            <w:vAlign w:val="center"/>
          </w:tcPr>
          <w:p w14:paraId="620F77DC">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7</w:t>
            </w:r>
          </w:p>
        </w:tc>
        <w:tc>
          <w:tcPr>
            <w:tcW w:w="1005" w:type="dxa"/>
            <w:vMerge w:val="restart"/>
            <w:noWrap/>
            <w:vAlign w:val="center"/>
          </w:tcPr>
          <w:p w14:paraId="19710534">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文明卫生</w:t>
            </w:r>
          </w:p>
          <w:p w14:paraId="5404137A">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（12分）</w:t>
            </w:r>
          </w:p>
        </w:tc>
        <w:tc>
          <w:tcPr>
            <w:tcW w:w="1532" w:type="dxa"/>
            <w:noWrap/>
            <w:vAlign w:val="center"/>
          </w:tcPr>
          <w:p w14:paraId="69DF9FCB">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总体环境</w:t>
            </w:r>
          </w:p>
        </w:tc>
        <w:tc>
          <w:tcPr>
            <w:tcW w:w="4858" w:type="dxa"/>
            <w:noWrap/>
            <w:vAlign w:val="center"/>
          </w:tcPr>
          <w:p w14:paraId="72494AF1">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污水处理设施整体环境整齐、清洁，无乱堆乱放现象。</w:t>
            </w:r>
          </w:p>
        </w:tc>
        <w:tc>
          <w:tcPr>
            <w:tcW w:w="675" w:type="dxa"/>
            <w:noWrap/>
            <w:vAlign w:val="center"/>
          </w:tcPr>
          <w:p w14:paraId="17170124">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5分</w:t>
            </w:r>
          </w:p>
        </w:tc>
        <w:tc>
          <w:tcPr>
            <w:tcW w:w="707" w:type="dxa"/>
            <w:noWrap/>
            <w:vAlign w:val="center"/>
          </w:tcPr>
          <w:p w14:paraId="7C25C6A1">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r>
      <w:tr w14:paraId="2798C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continue"/>
            <w:noWrap/>
            <w:vAlign w:val="center"/>
          </w:tcPr>
          <w:p w14:paraId="60A0C60E">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62039754">
            <w:pPr>
              <w:keepNext w:val="0"/>
              <w:keepLines w:val="0"/>
              <w:pageBreakBefore w:val="0"/>
              <w:widowControl w:val="0"/>
              <w:spacing w:line="300" w:lineRule="exact"/>
              <w:ind w:left="0" w:right="0"/>
              <w:jc w:val="center"/>
              <w:rPr>
                <w:rFonts w:hint="eastAsia" w:ascii="宋体" w:hAnsi="宋体" w:eastAsia="宋体" w:cs="仿宋"/>
                <w:sz w:val="18"/>
                <w:szCs w:val="18"/>
              </w:rPr>
            </w:pPr>
          </w:p>
        </w:tc>
        <w:tc>
          <w:tcPr>
            <w:tcW w:w="1532" w:type="dxa"/>
            <w:noWrap/>
            <w:vAlign w:val="center"/>
          </w:tcPr>
          <w:p w14:paraId="7A53C22D">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值班室、变配电室环境卫生状况</w:t>
            </w:r>
          </w:p>
        </w:tc>
        <w:tc>
          <w:tcPr>
            <w:tcW w:w="4858" w:type="dxa"/>
            <w:noWrap/>
            <w:vAlign w:val="center"/>
          </w:tcPr>
          <w:p w14:paraId="4CD70E7E">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值班室清洁卫生，物品摆放整齐，无私接乱拉现象。变配电室内清洁无灰尘，与工作无关的私人物品不得摆放在工作间内。</w:t>
            </w:r>
          </w:p>
        </w:tc>
        <w:tc>
          <w:tcPr>
            <w:tcW w:w="675" w:type="dxa"/>
            <w:noWrap/>
            <w:vAlign w:val="center"/>
          </w:tcPr>
          <w:p w14:paraId="7AB57E9C">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2分</w:t>
            </w:r>
          </w:p>
        </w:tc>
        <w:tc>
          <w:tcPr>
            <w:tcW w:w="707" w:type="dxa"/>
            <w:noWrap/>
            <w:vAlign w:val="center"/>
          </w:tcPr>
          <w:p w14:paraId="0B631B31">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r>
      <w:tr w14:paraId="0AF70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5" w:hRule="atLeast"/>
        </w:trPr>
        <w:tc>
          <w:tcPr>
            <w:tcW w:w="538" w:type="dxa"/>
            <w:vMerge w:val="continue"/>
            <w:noWrap/>
            <w:vAlign w:val="center"/>
          </w:tcPr>
          <w:p w14:paraId="3396B652">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5ECE1C22">
            <w:pPr>
              <w:keepNext w:val="0"/>
              <w:keepLines w:val="0"/>
              <w:pageBreakBefore w:val="0"/>
              <w:widowControl w:val="0"/>
              <w:spacing w:line="300" w:lineRule="exact"/>
              <w:ind w:left="0" w:right="0"/>
              <w:jc w:val="center"/>
              <w:rPr>
                <w:rFonts w:hint="eastAsia" w:ascii="宋体" w:hAnsi="宋体" w:eastAsia="宋体" w:cs="仿宋"/>
                <w:sz w:val="18"/>
                <w:szCs w:val="18"/>
              </w:rPr>
            </w:pPr>
          </w:p>
        </w:tc>
        <w:tc>
          <w:tcPr>
            <w:tcW w:w="1532" w:type="dxa"/>
            <w:noWrap/>
            <w:vAlign w:val="center"/>
          </w:tcPr>
          <w:p w14:paraId="4461A398">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绿地及道路卫生</w:t>
            </w:r>
          </w:p>
        </w:tc>
        <w:tc>
          <w:tcPr>
            <w:tcW w:w="4858" w:type="dxa"/>
            <w:noWrap/>
            <w:vAlign w:val="center"/>
          </w:tcPr>
          <w:p w14:paraId="40583F8E">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保持道路清洁，绿地内无杂草和杂物。</w:t>
            </w:r>
          </w:p>
        </w:tc>
        <w:tc>
          <w:tcPr>
            <w:tcW w:w="675" w:type="dxa"/>
            <w:noWrap/>
            <w:vAlign w:val="center"/>
          </w:tcPr>
          <w:p w14:paraId="7608860D">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1分</w:t>
            </w:r>
          </w:p>
        </w:tc>
        <w:tc>
          <w:tcPr>
            <w:tcW w:w="707" w:type="dxa"/>
            <w:noWrap/>
            <w:vAlign w:val="center"/>
          </w:tcPr>
          <w:p w14:paraId="1C753EC1">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r>
      <w:tr w14:paraId="6EC7A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continue"/>
            <w:noWrap/>
            <w:vAlign w:val="center"/>
          </w:tcPr>
          <w:p w14:paraId="37C2693C">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4B2254E8">
            <w:pPr>
              <w:keepNext w:val="0"/>
              <w:keepLines w:val="0"/>
              <w:pageBreakBefore w:val="0"/>
              <w:widowControl w:val="0"/>
              <w:spacing w:line="300" w:lineRule="exact"/>
              <w:ind w:left="0" w:right="0"/>
              <w:jc w:val="center"/>
              <w:rPr>
                <w:rFonts w:hint="eastAsia" w:ascii="宋体" w:hAnsi="宋体" w:eastAsia="宋体" w:cs="仿宋"/>
                <w:sz w:val="18"/>
                <w:szCs w:val="18"/>
              </w:rPr>
            </w:pPr>
          </w:p>
        </w:tc>
        <w:tc>
          <w:tcPr>
            <w:tcW w:w="1532" w:type="dxa"/>
            <w:noWrap/>
            <w:vAlign w:val="center"/>
          </w:tcPr>
          <w:p w14:paraId="7629317B">
            <w:pPr>
              <w:keepNext w:val="0"/>
              <w:keepLines w:val="0"/>
              <w:pageBreakBefore w:val="0"/>
              <w:widowControl w:val="0"/>
              <w:tabs>
                <w:tab w:val="left" w:pos="1480"/>
              </w:tabs>
              <w:spacing w:line="300" w:lineRule="exact"/>
              <w:ind w:left="0" w:right="0" w:firstLine="199"/>
              <w:jc w:val="center"/>
              <w:rPr>
                <w:rFonts w:hint="eastAsia" w:ascii="宋体" w:hAnsi="宋体" w:eastAsia="宋体" w:cs="仿宋"/>
                <w:sz w:val="18"/>
                <w:szCs w:val="18"/>
              </w:rPr>
            </w:pPr>
            <w:r>
              <w:rPr>
                <w:rFonts w:hint="eastAsia" w:ascii="宋体" w:hAnsi="宋体" w:eastAsia="宋体" w:cs="仿宋"/>
                <w:sz w:val="18"/>
                <w:szCs w:val="18"/>
              </w:rPr>
              <w:t>设备外表</w:t>
            </w:r>
          </w:p>
          <w:p w14:paraId="624E4331">
            <w:pPr>
              <w:keepNext w:val="0"/>
              <w:keepLines w:val="0"/>
              <w:pageBreakBefore w:val="0"/>
              <w:widowControl w:val="0"/>
              <w:tabs>
                <w:tab w:val="left" w:pos="1480"/>
              </w:tabs>
              <w:spacing w:line="300" w:lineRule="exact"/>
              <w:ind w:left="0" w:right="0" w:firstLine="199"/>
              <w:jc w:val="center"/>
              <w:rPr>
                <w:rFonts w:hint="eastAsia" w:ascii="宋体" w:hAnsi="宋体" w:eastAsia="宋体" w:cs="仿宋"/>
                <w:sz w:val="18"/>
                <w:szCs w:val="18"/>
              </w:rPr>
            </w:pPr>
            <w:r>
              <w:rPr>
                <w:rFonts w:hint="eastAsia" w:ascii="宋体" w:hAnsi="宋体" w:eastAsia="宋体" w:cs="仿宋"/>
                <w:sz w:val="18"/>
                <w:szCs w:val="18"/>
              </w:rPr>
              <w:t>卫生情况</w:t>
            </w:r>
          </w:p>
        </w:tc>
        <w:tc>
          <w:tcPr>
            <w:tcW w:w="4858" w:type="dxa"/>
            <w:noWrap/>
            <w:vAlign w:val="center"/>
          </w:tcPr>
          <w:p w14:paraId="1F36ED83">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每日擦拭设备表面，保持设备外观清洁，无明显灰尘和油渍。</w:t>
            </w:r>
          </w:p>
        </w:tc>
        <w:tc>
          <w:tcPr>
            <w:tcW w:w="675" w:type="dxa"/>
            <w:noWrap/>
            <w:vAlign w:val="center"/>
          </w:tcPr>
          <w:p w14:paraId="35C376E9">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1分</w:t>
            </w:r>
          </w:p>
        </w:tc>
        <w:tc>
          <w:tcPr>
            <w:tcW w:w="707" w:type="dxa"/>
            <w:noWrap/>
            <w:vAlign w:val="center"/>
          </w:tcPr>
          <w:p w14:paraId="28E4CA30">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r>
      <w:tr w14:paraId="58842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continue"/>
            <w:noWrap/>
            <w:vAlign w:val="center"/>
          </w:tcPr>
          <w:p w14:paraId="7521AFA9">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2AB4C5C2">
            <w:pPr>
              <w:keepNext w:val="0"/>
              <w:keepLines w:val="0"/>
              <w:pageBreakBefore w:val="0"/>
              <w:widowControl w:val="0"/>
              <w:spacing w:line="300" w:lineRule="exact"/>
              <w:ind w:left="0" w:right="0"/>
              <w:jc w:val="center"/>
              <w:rPr>
                <w:rFonts w:hint="eastAsia" w:ascii="宋体" w:hAnsi="宋体" w:eastAsia="宋体" w:cs="仿宋"/>
                <w:sz w:val="18"/>
                <w:szCs w:val="18"/>
              </w:rPr>
            </w:pPr>
          </w:p>
        </w:tc>
        <w:tc>
          <w:tcPr>
            <w:tcW w:w="1532" w:type="dxa"/>
            <w:noWrap/>
            <w:vAlign w:val="center"/>
          </w:tcPr>
          <w:p w14:paraId="30B62151">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栅渣、浮渣、</w:t>
            </w:r>
          </w:p>
          <w:p w14:paraId="1A0A7B17">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垃圾清理</w:t>
            </w:r>
          </w:p>
        </w:tc>
        <w:tc>
          <w:tcPr>
            <w:tcW w:w="4858" w:type="dxa"/>
            <w:noWrap/>
            <w:vAlign w:val="center"/>
          </w:tcPr>
          <w:p w14:paraId="644B4334">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栅渣清理及时，不污染平台。浮渣清理及时，不堵塞水泵。垃圾做到日产日清。</w:t>
            </w:r>
          </w:p>
        </w:tc>
        <w:tc>
          <w:tcPr>
            <w:tcW w:w="675" w:type="dxa"/>
            <w:noWrap/>
            <w:vAlign w:val="center"/>
          </w:tcPr>
          <w:p w14:paraId="1CF217AE">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1分</w:t>
            </w:r>
          </w:p>
        </w:tc>
        <w:tc>
          <w:tcPr>
            <w:tcW w:w="707" w:type="dxa"/>
            <w:noWrap/>
            <w:vAlign w:val="center"/>
          </w:tcPr>
          <w:p w14:paraId="6D042172">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r>
      <w:tr w14:paraId="12650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continue"/>
            <w:noWrap/>
            <w:vAlign w:val="center"/>
          </w:tcPr>
          <w:p w14:paraId="248E0042">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0C5A7381">
            <w:pPr>
              <w:keepNext w:val="0"/>
              <w:keepLines w:val="0"/>
              <w:pageBreakBefore w:val="0"/>
              <w:widowControl w:val="0"/>
              <w:spacing w:line="300" w:lineRule="exact"/>
              <w:ind w:left="0" w:right="0"/>
              <w:jc w:val="center"/>
              <w:rPr>
                <w:rFonts w:hint="eastAsia" w:ascii="宋体" w:hAnsi="宋体" w:eastAsia="宋体" w:cs="仿宋"/>
                <w:sz w:val="18"/>
                <w:szCs w:val="18"/>
              </w:rPr>
            </w:pPr>
          </w:p>
        </w:tc>
        <w:tc>
          <w:tcPr>
            <w:tcW w:w="1532" w:type="dxa"/>
            <w:noWrap/>
            <w:vAlign w:val="center"/>
          </w:tcPr>
          <w:p w14:paraId="5E7FD857">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绿化养护情况</w:t>
            </w:r>
          </w:p>
        </w:tc>
        <w:tc>
          <w:tcPr>
            <w:tcW w:w="4858" w:type="dxa"/>
            <w:noWrap/>
            <w:vAlign w:val="center"/>
          </w:tcPr>
          <w:p w14:paraId="2DF2C92E">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站点内绿化应经常除草修剪和养护，干旱季节及时洒水，确保苗木成活率。</w:t>
            </w:r>
          </w:p>
        </w:tc>
        <w:tc>
          <w:tcPr>
            <w:tcW w:w="675" w:type="dxa"/>
            <w:noWrap/>
            <w:vAlign w:val="center"/>
          </w:tcPr>
          <w:p w14:paraId="089AC0FA">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1分</w:t>
            </w:r>
          </w:p>
        </w:tc>
        <w:tc>
          <w:tcPr>
            <w:tcW w:w="707" w:type="dxa"/>
            <w:noWrap/>
            <w:vAlign w:val="center"/>
          </w:tcPr>
          <w:p w14:paraId="557E2DD4">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r>
      <w:tr w14:paraId="4FDB3B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5" w:hRule="atLeast"/>
        </w:trPr>
        <w:tc>
          <w:tcPr>
            <w:tcW w:w="538" w:type="dxa"/>
            <w:vMerge w:val="continue"/>
            <w:noWrap/>
            <w:vAlign w:val="center"/>
          </w:tcPr>
          <w:p w14:paraId="1F42BD1C">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674AAB15">
            <w:pPr>
              <w:keepNext w:val="0"/>
              <w:keepLines w:val="0"/>
              <w:pageBreakBefore w:val="0"/>
              <w:widowControl w:val="0"/>
              <w:spacing w:line="300" w:lineRule="exact"/>
              <w:ind w:left="0" w:right="0"/>
              <w:jc w:val="center"/>
              <w:rPr>
                <w:rFonts w:hint="eastAsia" w:ascii="宋体" w:hAnsi="宋体" w:eastAsia="宋体" w:cs="仿宋"/>
                <w:sz w:val="18"/>
                <w:szCs w:val="18"/>
              </w:rPr>
            </w:pPr>
          </w:p>
        </w:tc>
        <w:tc>
          <w:tcPr>
            <w:tcW w:w="1532" w:type="dxa"/>
            <w:noWrap/>
            <w:vAlign w:val="center"/>
          </w:tcPr>
          <w:p w14:paraId="5C773FA8">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文明生产</w:t>
            </w:r>
          </w:p>
        </w:tc>
        <w:tc>
          <w:tcPr>
            <w:tcW w:w="4858" w:type="dxa"/>
            <w:noWrap/>
            <w:vAlign w:val="center"/>
          </w:tcPr>
          <w:p w14:paraId="154AB108">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操作工衣着得体，用语文明。</w:t>
            </w:r>
          </w:p>
        </w:tc>
        <w:tc>
          <w:tcPr>
            <w:tcW w:w="675" w:type="dxa"/>
            <w:noWrap/>
            <w:vAlign w:val="center"/>
          </w:tcPr>
          <w:p w14:paraId="6DF0778C">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1分</w:t>
            </w:r>
          </w:p>
        </w:tc>
        <w:tc>
          <w:tcPr>
            <w:tcW w:w="707" w:type="dxa"/>
            <w:noWrap/>
            <w:vAlign w:val="center"/>
          </w:tcPr>
          <w:p w14:paraId="274BE9AF">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r>
      <w:tr w14:paraId="4F73F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restart"/>
            <w:noWrap/>
            <w:vAlign w:val="center"/>
          </w:tcPr>
          <w:p w14:paraId="1F888D48">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8</w:t>
            </w:r>
          </w:p>
        </w:tc>
        <w:tc>
          <w:tcPr>
            <w:tcW w:w="1005" w:type="dxa"/>
            <w:vMerge w:val="restart"/>
            <w:noWrap/>
            <w:vAlign w:val="center"/>
          </w:tcPr>
          <w:p w14:paraId="6CE82F10">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节能降耗</w:t>
            </w:r>
          </w:p>
          <w:p w14:paraId="1C2CD9E0">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（3分）</w:t>
            </w:r>
          </w:p>
        </w:tc>
        <w:tc>
          <w:tcPr>
            <w:tcW w:w="1532" w:type="dxa"/>
            <w:noWrap/>
            <w:vAlign w:val="center"/>
          </w:tcPr>
          <w:p w14:paraId="5E09DB56">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污水处理设施节约用电情况</w:t>
            </w:r>
          </w:p>
        </w:tc>
        <w:tc>
          <w:tcPr>
            <w:tcW w:w="4858" w:type="dxa"/>
            <w:noWrap/>
            <w:vAlign w:val="center"/>
          </w:tcPr>
          <w:p w14:paraId="064ACFB4">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强化节约意识，合理调整机组运行，降低能耗。规范办公用电，不私接乱拉，不无度用电。</w:t>
            </w:r>
          </w:p>
        </w:tc>
        <w:tc>
          <w:tcPr>
            <w:tcW w:w="675" w:type="dxa"/>
            <w:noWrap/>
            <w:vAlign w:val="center"/>
          </w:tcPr>
          <w:p w14:paraId="552E194A">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2分</w:t>
            </w:r>
          </w:p>
        </w:tc>
        <w:tc>
          <w:tcPr>
            <w:tcW w:w="707" w:type="dxa"/>
            <w:noWrap/>
            <w:vAlign w:val="center"/>
          </w:tcPr>
          <w:p w14:paraId="2B84D92D">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r>
      <w:tr w14:paraId="77090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continue"/>
            <w:noWrap/>
            <w:vAlign w:val="center"/>
          </w:tcPr>
          <w:p w14:paraId="1364409D">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33AE3DD6">
            <w:pPr>
              <w:keepNext w:val="0"/>
              <w:keepLines w:val="0"/>
              <w:pageBreakBefore w:val="0"/>
              <w:widowControl w:val="0"/>
              <w:spacing w:line="300" w:lineRule="exact"/>
              <w:ind w:left="0" w:right="0"/>
              <w:jc w:val="center"/>
              <w:rPr>
                <w:rFonts w:hint="eastAsia" w:ascii="宋体" w:hAnsi="宋体" w:eastAsia="宋体" w:cs="仿宋"/>
                <w:sz w:val="18"/>
                <w:szCs w:val="18"/>
              </w:rPr>
            </w:pPr>
          </w:p>
        </w:tc>
        <w:tc>
          <w:tcPr>
            <w:tcW w:w="1532" w:type="dxa"/>
            <w:noWrap/>
            <w:vAlign w:val="center"/>
          </w:tcPr>
          <w:p w14:paraId="021D59E7">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污水处理设施节约用水情况</w:t>
            </w:r>
          </w:p>
        </w:tc>
        <w:tc>
          <w:tcPr>
            <w:tcW w:w="4858" w:type="dxa"/>
            <w:noWrap/>
            <w:vAlign w:val="center"/>
          </w:tcPr>
          <w:p w14:paraId="27863D48">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树立节水意识，不得用自来水直接冲洗路面或设备表面。</w:t>
            </w:r>
          </w:p>
        </w:tc>
        <w:tc>
          <w:tcPr>
            <w:tcW w:w="675" w:type="dxa"/>
            <w:noWrap/>
            <w:vAlign w:val="center"/>
          </w:tcPr>
          <w:p w14:paraId="228319AE">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1分</w:t>
            </w:r>
          </w:p>
        </w:tc>
        <w:tc>
          <w:tcPr>
            <w:tcW w:w="707" w:type="dxa"/>
            <w:noWrap/>
            <w:vAlign w:val="center"/>
          </w:tcPr>
          <w:p w14:paraId="65A91194">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r>
      <w:tr w14:paraId="7AB8EC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25" w:hRule="atLeast"/>
        </w:trPr>
        <w:tc>
          <w:tcPr>
            <w:tcW w:w="538" w:type="dxa"/>
            <w:noWrap/>
            <w:vAlign w:val="center"/>
          </w:tcPr>
          <w:p w14:paraId="0AAE9970">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9</w:t>
            </w:r>
          </w:p>
        </w:tc>
        <w:tc>
          <w:tcPr>
            <w:tcW w:w="1005" w:type="dxa"/>
            <w:noWrap/>
            <w:vAlign w:val="center"/>
          </w:tcPr>
          <w:p w14:paraId="0F5B62E9">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生产档案</w:t>
            </w:r>
          </w:p>
          <w:p w14:paraId="16BC497D">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（2分）</w:t>
            </w:r>
          </w:p>
        </w:tc>
        <w:tc>
          <w:tcPr>
            <w:tcW w:w="1532" w:type="dxa"/>
            <w:noWrap/>
            <w:vAlign w:val="center"/>
          </w:tcPr>
          <w:p w14:paraId="7204A6DB">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档案建立与归档情况</w:t>
            </w:r>
          </w:p>
        </w:tc>
        <w:tc>
          <w:tcPr>
            <w:tcW w:w="4858" w:type="dxa"/>
            <w:noWrap/>
            <w:vAlign w:val="center"/>
          </w:tcPr>
          <w:p w14:paraId="2E1EADFF">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各项档案健全，能及时归档，并能真实反映实际情况。每年应将各类台帐归类整理，并向委托方提供档案处理意见，经同意后方可处理。</w:t>
            </w:r>
          </w:p>
        </w:tc>
        <w:tc>
          <w:tcPr>
            <w:tcW w:w="675" w:type="dxa"/>
            <w:noWrap/>
            <w:vAlign w:val="center"/>
          </w:tcPr>
          <w:p w14:paraId="498FE2F6">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2分</w:t>
            </w:r>
          </w:p>
        </w:tc>
        <w:tc>
          <w:tcPr>
            <w:tcW w:w="707" w:type="dxa"/>
            <w:noWrap/>
            <w:vAlign w:val="center"/>
          </w:tcPr>
          <w:p w14:paraId="69BC72C1">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r>
      <w:tr w14:paraId="136D3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5" w:hRule="atLeast"/>
        </w:trPr>
        <w:tc>
          <w:tcPr>
            <w:tcW w:w="538" w:type="dxa"/>
            <w:vMerge w:val="restart"/>
            <w:noWrap/>
            <w:vAlign w:val="center"/>
          </w:tcPr>
          <w:p w14:paraId="3D32EAF2">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10</w:t>
            </w:r>
          </w:p>
        </w:tc>
        <w:tc>
          <w:tcPr>
            <w:tcW w:w="1005" w:type="dxa"/>
            <w:vMerge w:val="restart"/>
            <w:noWrap/>
            <w:vAlign w:val="center"/>
          </w:tcPr>
          <w:p w14:paraId="605A86C3">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职工技能</w:t>
            </w:r>
          </w:p>
          <w:p w14:paraId="5E432DA2">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及纪律</w:t>
            </w:r>
          </w:p>
          <w:p w14:paraId="0958B150">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（7分）</w:t>
            </w:r>
          </w:p>
        </w:tc>
        <w:tc>
          <w:tcPr>
            <w:tcW w:w="1532" w:type="dxa"/>
            <w:noWrap/>
            <w:vAlign w:val="center"/>
          </w:tcPr>
          <w:p w14:paraId="4C378931">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特种工技能情况</w:t>
            </w:r>
          </w:p>
        </w:tc>
        <w:tc>
          <w:tcPr>
            <w:tcW w:w="4858" w:type="dxa"/>
            <w:noWrap/>
            <w:vAlign w:val="center"/>
          </w:tcPr>
          <w:p w14:paraId="4C8B09C7">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电工、等特殊工种须持证上岗，定期考核换证。</w:t>
            </w:r>
          </w:p>
        </w:tc>
        <w:tc>
          <w:tcPr>
            <w:tcW w:w="675" w:type="dxa"/>
            <w:noWrap/>
            <w:vAlign w:val="center"/>
          </w:tcPr>
          <w:p w14:paraId="0DEA6B22">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2分</w:t>
            </w:r>
          </w:p>
        </w:tc>
        <w:tc>
          <w:tcPr>
            <w:tcW w:w="707" w:type="dxa"/>
            <w:noWrap/>
            <w:vAlign w:val="center"/>
          </w:tcPr>
          <w:p w14:paraId="3F8A8335">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r>
      <w:tr w14:paraId="68DDC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continue"/>
            <w:noWrap/>
            <w:vAlign w:val="center"/>
          </w:tcPr>
          <w:p w14:paraId="366AD1F7">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2F4EAFE8">
            <w:pPr>
              <w:keepNext w:val="0"/>
              <w:keepLines w:val="0"/>
              <w:pageBreakBefore w:val="0"/>
              <w:widowControl w:val="0"/>
              <w:spacing w:line="300" w:lineRule="exact"/>
              <w:ind w:left="0" w:right="0"/>
              <w:jc w:val="center"/>
              <w:rPr>
                <w:rFonts w:hint="eastAsia" w:ascii="宋体" w:hAnsi="宋体" w:eastAsia="宋体" w:cs="仿宋"/>
                <w:sz w:val="18"/>
                <w:szCs w:val="18"/>
              </w:rPr>
            </w:pPr>
          </w:p>
        </w:tc>
        <w:tc>
          <w:tcPr>
            <w:tcW w:w="1532" w:type="dxa"/>
            <w:noWrap/>
            <w:vAlign w:val="center"/>
          </w:tcPr>
          <w:p w14:paraId="2C363421">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职工技能情况</w:t>
            </w:r>
          </w:p>
        </w:tc>
        <w:tc>
          <w:tcPr>
            <w:tcW w:w="4858" w:type="dxa"/>
            <w:noWrap/>
            <w:vAlign w:val="center"/>
          </w:tcPr>
          <w:p w14:paraId="3B0A580B">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每半年组织一次职工技能培训，能熟悉操作规程，掌握相应技能。</w:t>
            </w:r>
          </w:p>
        </w:tc>
        <w:tc>
          <w:tcPr>
            <w:tcW w:w="675" w:type="dxa"/>
            <w:noWrap/>
            <w:vAlign w:val="center"/>
          </w:tcPr>
          <w:p w14:paraId="7E2984E7">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2分</w:t>
            </w:r>
          </w:p>
        </w:tc>
        <w:tc>
          <w:tcPr>
            <w:tcW w:w="707" w:type="dxa"/>
            <w:noWrap/>
            <w:vAlign w:val="center"/>
          </w:tcPr>
          <w:p w14:paraId="2A4A8AC6">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r>
      <w:tr w14:paraId="23DAA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continue"/>
            <w:noWrap/>
            <w:vAlign w:val="center"/>
          </w:tcPr>
          <w:p w14:paraId="704EE513">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2B672B4C">
            <w:pPr>
              <w:keepNext w:val="0"/>
              <w:keepLines w:val="0"/>
              <w:pageBreakBefore w:val="0"/>
              <w:widowControl w:val="0"/>
              <w:spacing w:line="300" w:lineRule="exact"/>
              <w:ind w:left="0" w:right="0"/>
              <w:jc w:val="center"/>
              <w:rPr>
                <w:rFonts w:hint="eastAsia" w:ascii="宋体" w:hAnsi="宋体" w:eastAsia="宋体" w:cs="仿宋"/>
                <w:sz w:val="18"/>
                <w:szCs w:val="18"/>
              </w:rPr>
            </w:pPr>
          </w:p>
        </w:tc>
        <w:tc>
          <w:tcPr>
            <w:tcW w:w="1532" w:type="dxa"/>
            <w:noWrap/>
            <w:vAlign w:val="center"/>
          </w:tcPr>
          <w:p w14:paraId="6895753D">
            <w:pPr>
              <w:keepNext w:val="0"/>
              <w:keepLines w:val="0"/>
              <w:pageBreakBefore w:val="0"/>
              <w:widowControl w:val="0"/>
              <w:tabs>
                <w:tab w:val="left" w:pos="1260"/>
              </w:tabs>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职工纪律</w:t>
            </w:r>
          </w:p>
        </w:tc>
        <w:tc>
          <w:tcPr>
            <w:tcW w:w="4858" w:type="dxa"/>
            <w:noWrap/>
            <w:vAlign w:val="center"/>
          </w:tcPr>
          <w:p w14:paraId="1273099D">
            <w:pPr>
              <w:keepNext w:val="0"/>
              <w:keepLines w:val="0"/>
              <w:pageBreakBefore w:val="0"/>
              <w:widowControl w:val="0"/>
              <w:spacing w:line="300" w:lineRule="exact"/>
              <w:ind w:left="0" w:right="0"/>
              <w:jc w:val="both"/>
              <w:rPr>
                <w:rFonts w:hint="eastAsia" w:ascii="宋体" w:hAnsi="宋体" w:eastAsia="宋体" w:cs="仿宋"/>
                <w:sz w:val="18"/>
                <w:szCs w:val="18"/>
              </w:rPr>
            </w:pPr>
            <w:r>
              <w:rPr>
                <w:rFonts w:hint="eastAsia" w:ascii="宋体" w:hAnsi="宋体" w:eastAsia="宋体" w:cs="仿宋"/>
                <w:sz w:val="18"/>
                <w:szCs w:val="18"/>
              </w:rPr>
              <w:t>严格遵守站点值班制度，不出现无故脱岗、离岗现象。</w:t>
            </w:r>
          </w:p>
        </w:tc>
        <w:tc>
          <w:tcPr>
            <w:tcW w:w="675" w:type="dxa"/>
            <w:noWrap/>
            <w:vAlign w:val="center"/>
          </w:tcPr>
          <w:p w14:paraId="2A57690C">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3分</w:t>
            </w:r>
          </w:p>
        </w:tc>
        <w:tc>
          <w:tcPr>
            <w:tcW w:w="707" w:type="dxa"/>
            <w:noWrap/>
            <w:vAlign w:val="center"/>
          </w:tcPr>
          <w:p w14:paraId="0C2FE703">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r>
      <w:tr w14:paraId="5660D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5" w:hRule="atLeast"/>
        </w:trPr>
        <w:tc>
          <w:tcPr>
            <w:tcW w:w="538" w:type="dxa"/>
            <w:vMerge w:val="restart"/>
            <w:noWrap/>
            <w:vAlign w:val="center"/>
          </w:tcPr>
          <w:p w14:paraId="745F974D">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11</w:t>
            </w:r>
          </w:p>
        </w:tc>
        <w:tc>
          <w:tcPr>
            <w:tcW w:w="1005" w:type="dxa"/>
            <w:vMerge w:val="restart"/>
            <w:noWrap/>
            <w:vAlign w:val="center"/>
          </w:tcPr>
          <w:p w14:paraId="5A721892">
            <w:pPr>
              <w:keepNext w:val="0"/>
              <w:keepLines w:val="0"/>
              <w:pageBreakBefore w:val="0"/>
              <w:widowControl w:val="0"/>
              <w:spacing w:line="300" w:lineRule="exact"/>
              <w:ind w:left="0" w:right="0"/>
              <w:jc w:val="center"/>
              <w:rPr>
                <w:rFonts w:hint="eastAsia" w:ascii="宋体" w:hAnsi="宋体" w:eastAsia="宋体" w:cs="仿宋"/>
                <w:sz w:val="18"/>
                <w:szCs w:val="18"/>
              </w:rPr>
            </w:pPr>
            <w:r>
              <w:rPr>
                <w:rFonts w:hint="eastAsia" w:ascii="宋体" w:hAnsi="宋体" w:eastAsia="宋体" w:cs="仿宋"/>
                <w:sz w:val="18"/>
                <w:szCs w:val="18"/>
              </w:rPr>
              <w:t>直接扣款项目（涉及扣款的同时每次扣0.5分）</w:t>
            </w:r>
          </w:p>
        </w:tc>
        <w:tc>
          <w:tcPr>
            <w:tcW w:w="6390" w:type="dxa"/>
            <w:gridSpan w:val="2"/>
            <w:noWrap/>
            <w:vAlign w:val="center"/>
          </w:tcPr>
          <w:p w14:paraId="6B83BFAB">
            <w:pPr>
              <w:keepNext w:val="0"/>
              <w:keepLines w:val="0"/>
              <w:pageBreakBefore w:val="0"/>
              <w:widowControl w:val="0"/>
              <w:spacing w:line="300" w:lineRule="exact"/>
              <w:ind w:left="0" w:right="0"/>
              <w:rPr>
                <w:rFonts w:hint="eastAsia" w:ascii="宋体" w:hAnsi="宋体" w:eastAsia="宋体" w:cs="仿宋"/>
                <w:sz w:val="18"/>
                <w:szCs w:val="18"/>
              </w:rPr>
            </w:pPr>
            <w:r>
              <w:rPr>
                <w:rFonts w:hint="eastAsia" w:ascii="宋体" w:hAnsi="宋体" w:eastAsia="宋体" w:cs="仿宋"/>
                <w:sz w:val="18"/>
                <w:szCs w:val="18"/>
              </w:rPr>
              <w:t>不服从委托人调度的</w:t>
            </w:r>
          </w:p>
        </w:tc>
        <w:tc>
          <w:tcPr>
            <w:tcW w:w="1382" w:type="dxa"/>
            <w:gridSpan w:val="2"/>
            <w:noWrap/>
            <w:vAlign w:val="center"/>
          </w:tcPr>
          <w:p w14:paraId="712604D8">
            <w:pPr>
              <w:keepNext w:val="0"/>
              <w:keepLines w:val="0"/>
              <w:pageBreakBefore w:val="0"/>
              <w:widowControl w:val="0"/>
              <w:spacing w:line="300" w:lineRule="exact"/>
              <w:ind w:left="0" w:right="0"/>
              <w:jc w:val="left"/>
              <w:rPr>
                <w:rFonts w:hint="eastAsia" w:ascii="宋体" w:hAnsi="宋体" w:eastAsia="宋体" w:cs="仿宋"/>
                <w:sz w:val="18"/>
                <w:szCs w:val="18"/>
              </w:rPr>
            </w:pPr>
            <w:r>
              <w:rPr>
                <w:rFonts w:hint="eastAsia" w:ascii="宋体" w:hAnsi="宋体" w:eastAsia="宋体" w:cs="仿宋"/>
                <w:sz w:val="18"/>
                <w:szCs w:val="18"/>
              </w:rPr>
              <w:t>一次扣200-1000元</w:t>
            </w:r>
          </w:p>
        </w:tc>
      </w:tr>
      <w:tr w14:paraId="7FD73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continue"/>
            <w:noWrap/>
            <w:vAlign w:val="center"/>
          </w:tcPr>
          <w:p w14:paraId="214A40CC">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026EDD37">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6390" w:type="dxa"/>
            <w:gridSpan w:val="2"/>
            <w:noWrap/>
            <w:vAlign w:val="center"/>
          </w:tcPr>
          <w:p w14:paraId="54BB6F7D">
            <w:pPr>
              <w:keepNext w:val="0"/>
              <w:keepLines w:val="0"/>
              <w:pageBreakBefore w:val="0"/>
              <w:widowControl w:val="0"/>
              <w:spacing w:line="300" w:lineRule="exact"/>
              <w:ind w:left="0" w:right="0"/>
              <w:rPr>
                <w:rFonts w:hint="default" w:ascii="宋体" w:hAnsi="宋体" w:eastAsia="宋体" w:cs="仿宋"/>
                <w:color w:val="auto"/>
                <w:sz w:val="18"/>
                <w:szCs w:val="18"/>
                <w:lang w:val="en-US" w:eastAsia="zh-CN"/>
              </w:rPr>
            </w:pPr>
            <w:r>
              <w:rPr>
                <w:rFonts w:hint="eastAsia" w:ascii="宋体" w:hAnsi="宋体" w:cs="仿宋"/>
                <w:color w:val="auto"/>
                <w:sz w:val="18"/>
                <w:szCs w:val="18"/>
                <w:lang w:val="en-US" w:eastAsia="zh-CN"/>
              </w:rPr>
              <w:t>接到12345政务服务便民热线来电，市民反映相关问题后，24小时内未处理完的</w:t>
            </w:r>
          </w:p>
        </w:tc>
        <w:tc>
          <w:tcPr>
            <w:tcW w:w="1382" w:type="dxa"/>
            <w:gridSpan w:val="2"/>
            <w:noWrap/>
            <w:vAlign w:val="center"/>
          </w:tcPr>
          <w:p w14:paraId="118F35F9">
            <w:pPr>
              <w:keepNext w:val="0"/>
              <w:keepLines w:val="0"/>
              <w:pageBreakBefore w:val="0"/>
              <w:widowControl w:val="0"/>
              <w:spacing w:line="300" w:lineRule="exact"/>
              <w:ind w:left="0" w:right="0"/>
              <w:jc w:val="left"/>
              <w:rPr>
                <w:rFonts w:hint="eastAsia" w:ascii="宋体" w:hAnsi="宋体" w:eastAsia="宋体" w:cs="仿宋"/>
                <w:color w:val="auto"/>
                <w:sz w:val="18"/>
                <w:szCs w:val="18"/>
              </w:rPr>
            </w:pPr>
            <w:r>
              <w:rPr>
                <w:rFonts w:hint="eastAsia" w:ascii="宋体" w:hAnsi="宋体" w:eastAsia="宋体" w:cs="仿宋"/>
                <w:color w:val="auto"/>
                <w:sz w:val="18"/>
                <w:szCs w:val="18"/>
              </w:rPr>
              <w:t>一次扣100-500元</w:t>
            </w:r>
          </w:p>
        </w:tc>
      </w:tr>
      <w:tr w14:paraId="5D259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continue"/>
            <w:noWrap/>
            <w:vAlign w:val="center"/>
          </w:tcPr>
          <w:p w14:paraId="1A721E04">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14DBB48D">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6390" w:type="dxa"/>
            <w:gridSpan w:val="2"/>
            <w:noWrap/>
            <w:vAlign w:val="center"/>
          </w:tcPr>
          <w:p w14:paraId="11BE4407">
            <w:pPr>
              <w:keepNext w:val="0"/>
              <w:keepLines w:val="0"/>
              <w:pageBreakBefore w:val="0"/>
              <w:widowControl w:val="0"/>
              <w:spacing w:line="300" w:lineRule="exact"/>
              <w:ind w:left="0" w:right="0"/>
              <w:rPr>
                <w:rFonts w:hint="eastAsia" w:ascii="宋体" w:hAnsi="宋体" w:eastAsia="宋体" w:cs="仿宋"/>
                <w:color w:val="auto"/>
                <w:sz w:val="18"/>
                <w:szCs w:val="18"/>
              </w:rPr>
            </w:pPr>
            <w:r>
              <w:rPr>
                <w:rFonts w:hint="eastAsia" w:ascii="宋体" w:hAnsi="宋体" w:cs="仿宋"/>
                <w:color w:val="auto"/>
                <w:sz w:val="18"/>
                <w:szCs w:val="18"/>
              </w:rPr>
              <w:t>被区级以上攻坚办或生态环境部门检查通报的</w:t>
            </w:r>
          </w:p>
        </w:tc>
        <w:tc>
          <w:tcPr>
            <w:tcW w:w="1382" w:type="dxa"/>
            <w:gridSpan w:val="2"/>
            <w:noWrap/>
            <w:vAlign w:val="center"/>
          </w:tcPr>
          <w:p w14:paraId="4C1F5DDF">
            <w:pPr>
              <w:keepNext w:val="0"/>
              <w:keepLines w:val="0"/>
              <w:pageBreakBefore w:val="0"/>
              <w:widowControl w:val="0"/>
              <w:spacing w:line="300" w:lineRule="exact"/>
              <w:ind w:left="0" w:right="0"/>
              <w:jc w:val="left"/>
              <w:rPr>
                <w:rFonts w:hint="eastAsia" w:ascii="宋体" w:hAnsi="宋体" w:eastAsia="宋体" w:cs="仿宋"/>
                <w:color w:val="auto"/>
                <w:sz w:val="18"/>
                <w:szCs w:val="18"/>
              </w:rPr>
            </w:pPr>
            <w:r>
              <w:rPr>
                <w:rFonts w:hint="eastAsia" w:ascii="宋体" w:hAnsi="宋体" w:eastAsia="宋体" w:cs="仿宋"/>
                <w:color w:val="auto"/>
                <w:sz w:val="18"/>
                <w:szCs w:val="18"/>
              </w:rPr>
              <w:t>一次扣200-500元</w:t>
            </w:r>
          </w:p>
        </w:tc>
      </w:tr>
      <w:tr w14:paraId="49BDF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continue"/>
            <w:noWrap/>
            <w:vAlign w:val="center"/>
          </w:tcPr>
          <w:p w14:paraId="63AD7060">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2294D5E7">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6390" w:type="dxa"/>
            <w:gridSpan w:val="2"/>
            <w:noWrap/>
            <w:vAlign w:val="center"/>
          </w:tcPr>
          <w:p w14:paraId="73714D8B">
            <w:pPr>
              <w:keepNext w:val="0"/>
              <w:keepLines w:val="0"/>
              <w:pageBreakBefore w:val="0"/>
              <w:widowControl w:val="0"/>
              <w:spacing w:line="300" w:lineRule="exact"/>
              <w:ind w:left="0" w:right="0"/>
              <w:rPr>
                <w:rFonts w:hint="eastAsia" w:ascii="宋体" w:hAnsi="宋体" w:eastAsia="宋体" w:cs="仿宋"/>
                <w:sz w:val="18"/>
                <w:szCs w:val="18"/>
              </w:rPr>
            </w:pPr>
            <w:r>
              <w:rPr>
                <w:rFonts w:hint="eastAsia" w:ascii="宋体" w:hAnsi="宋体" w:eastAsia="宋体" w:cs="仿宋"/>
                <w:sz w:val="18"/>
                <w:szCs w:val="18"/>
              </w:rPr>
              <w:t>上班人员通讯不畅的</w:t>
            </w:r>
          </w:p>
        </w:tc>
        <w:tc>
          <w:tcPr>
            <w:tcW w:w="1382" w:type="dxa"/>
            <w:gridSpan w:val="2"/>
            <w:noWrap/>
            <w:vAlign w:val="center"/>
          </w:tcPr>
          <w:p w14:paraId="47427A04">
            <w:pPr>
              <w:keepNext w:val="0"/>
              <w:keepLines w:val="0"/>
              <w:pageBreakBefore w:val="0"/>
              <w:widowControl w:val="0"/>
              <w:spacing w:line="300" w:lineRule="exact"/>
              <w:ind w:left="0" w:right="0"/>
              <w:jc w:val="left"/>
              <w:rPr>
                <w:rFonts w:hint="eastAsia" w:ascii="宋体" w:hAnsi="宋体" w:eastAsia="宋体" w:cs="仿宋"/>
                <w:sz w:val="18"/>
                <w:szCs w:val="18"/>
              </w:rPr>
            </w:pPr>
            <w:r>
              <w:rPr>
                <w:rFonts w:hint="eastAsia" w:ascii="宋体" w:hAnsi="宋体" w:eastAsia="宋体" w:cs="仿宋"/>
                <w:sz w:val="18"/>
                <w:szCs w:val="18"/>
              </w:rPr>
              <w:t>一次扣</w:t>
            </w:r>
          </w:p>
          <w:p w14:paraId="0372F106">
            <w:pPr>
              <w:keepNext w:val="0"/>
              <w:keepLines w:val="0"/>
              <w:pageBreakBefore w:val="0"/>
              <w:widowControl w:val="0"/>
              <w:spacing w:line="300" w:lineRule="exact"/>
              <w:ind w:left="0" w:right="0"/>
              <w:jc w:val="left"/>
              <w:rPr>
                <w:rFonts w:hint="eastAsia" w:ascii="宋体" w:hAnsi="宋体" w:eastAsia="宋体" w:cs="仿宋"/>
                <w:sz w:val="18"/>
                <w:szCs w:val="18"/>
              </w:rPr>
            </w:pPr>
            <w:r>
              <w:rPr>
                <w:rFonts w:hint="eastAsia" w:ascii="宋体" w:hAnsi="宋体" w:eastAsia="宋体" w:cs="仿宋"/>
                <w:sz w:val="18"/>
                <w:szCs w:val="18"/>
              </w:rPr>
              <w:t>50-100元</w:t>
            </w:r>
          </w:p>
        </w:tc>
      </w:tr>
      <w:tr w14:paraId="133D5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continue"/>
            <w:noWrap/>
            <w:vAlign w:val="center"/>
          </w:tcPr>
          <w:p w14:paraId="2D701226">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0C99DA2C">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6390" w:type="dxa"/>
            <w:gridSpan w:val="2"/>
            <w:noWrap/>
            <w:vAlign w:val="center"/>
          </w:tcPr>
          <w:p w14:paraId="1E7603DC">
            <w:pPr>
              <w:keepNext w:val="0"/>
              <w:keepLines w:val="0"/>
              <w:pageBreakBefore w:val="0"/>
              <w:widowControl w:val="0"/>
              <w:spacing w:line="300" w:lineRule="exact"/>
              <w:ind w:left="0" w:right="0"/>
              <w:rPr>
                <w:rFonts w:hint="eastAsia" w:ascii="宋体" w:hAnsi="宋体" w:eastAsia="宋体" w:cs="仿宋"/>
                <w:sz w:val="18"/>
                <w:szCs w:val="18"/>
              </w:rPr>
            </w:pPr>
            <w:r>
              <w:rPr>
                <w:rFonts w:hint="eastAsia" w:ascii="宋体" w:hAnsi="宋体" w:eastAsia="宋体" w:cs="仿宋"/>
                <w:sz w:val="18"/>
                <w:szCs w:val="18"/>
              </w:rPr>
              <w:t>上班人员争吵、打架斗殴的</w:t>
            </w:r>
          </w:p>
        </w:tc>
        <w:tc>
          <w:tcPr>
            <w:tcW w:w="1382" w:type="dxa"/>
            <w:gridSpan w:val="2"/>
            <w:noWrap/>
            <w:vAlign w:val="center"/>
          </w:tcPr>
          <w:p w14:paraId="7F204FAE">
            <w:pPr>
              <w:keepNext w:val="0"/>
              <w:keepLines w:val="0"/>
              <w:pageBreakBefore w:val="0"/>
              <w:widowControl w:val="0"/>
              <w:spacing w:line="300" w:lineRule="exact"/>
              <w:ind w:left="0" w:right="0"/>
              <w:jc w:val="left"/>
              <w:rPr>
                <w:rFonts w:hint="eastAsia" w:ascii="宋体" w:hAnsi="宋体" w:eastAsia="宋体" w:cs="仿宋"/>
                <w:sz w:val="18"/>
                <w:szCs w:val="18"/>
              </w:rPr>
            </w:pPr>
            <w:r>
              <w:rPr>
                <w:rFonts w:hint="eastAsia" w:ascii="宋体" w:hAnsi="宋体" w:eastAsia="宋体" w:cs="仿宋"/>
                <w:sz w:val="18"/>
                <w:szCs w:val="18"/>
              </w:rPr>
              <w:t>一次扣100-500元</w:t>
            </w:r>
          </w:p>
        </w:tc>
      </w:tr>
      <w:tr w14:paraId="0810C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5" w:hRule="atLeast"/>
        </w:trPr>
        <w:tc>
          <w:tcPr>
            <w:tcW w:w="538" w:type="dxa"/>
            <w:vMerge w:val="continue"/>
            <w:noWrap/>
            <w:vAlign w:val="center"/>
          </w:tcPr>
          <w:p w14:paraId="72E2FEF4">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204C89B9">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6390" w:type="dxa"/>
            <w:gridSpan w:val="2"/>
            <w:noWrap/>
            <w:vAlign w:val="center"/>
          </w:tcPr>
          <w:p w14:paraId="04E980A8">
            <w:pPr>
              <w:keepNext w:val="0"/>
              <w:keepLines w:val="0"/>
              <w:pageBreakBefore w:val="0"/>
              <w:widowControl w:val="0"/>
              <w:spacing w:line="300" w:lineRule="exact"/>
              <w:ind w:left="0" w:right="0"/>
              <w:rPr>
                <w:rFonts w:hint="eastAsia" w:ascii="宋体" w:hAnsi="宋体" w:eastAsia="宋体" w:cs="仿宋"/>
                <w:sz w:val="18"/>
                <w:szCs w:val="18"/>
              </w:rPr>
            </w:pPr>
            <w:r>
              <w:rPr>
                <w:rFonts w:hint="eastAsia" w:ascii="宋体" w:hAnsi="宋体" w:eastAsia="宋体" w:cs="仿宋"/>
                <w:sz w:val="18"/>
                <w:szCs w:val="18"/>
              </w:rPr>
              <w:t>污水处理设施卫生脏、乱、差的</w:t>
            </w:r>
          </w:p>
        </w:tc>
        <w:tc>
          <w:tcPr>
            <w:tcW w:w="1382" w:type="dxa"/>
            <w:gridSpan w:val="2"/>
            <w:noWrap/>
            <w:vAlign w:val="center"/>
          </w:tcPr>
          <w:p w14:paraId="677E1317">
            <w:pPr>
              <w:keepNext w:val="0"/>
              <w:keepLines w:val="0"/>
              <w:pageBreakBefore w:val="0"/>
              <w:widowControl w:val="0"/>
              <w:spacing w:line="300" w:lineRule="exact"/>
              <w:ind w:left="0" w:right="0"/>
              <w:jc w:val="left"/>
              <w:rPr>
                <w:rFonts w:hint="eastAsia" w:ascii="宋体" w:hAnsi="宋体" w:eastAsia="宋体" w:cs="仿宋"/>
                <w:sz w:val="18"/>
                <w:szCs w:val="18"/>
              </w:rPr>
            </w:pPr>
            <w:r>
              <w:rPr>
                <w:rFonts w:hint="eastAsia" w:ascii="宋体" w:hAnsi="宋体" w:eastAsia="宋体" w:cs="仿宋"/>
                <w:sz w:val="18"/>
                <w:szCs w:val="18"/>
              </w:rPr>
              <w:t>一次扣</w:t>
            </w:r>
          </w:p>
          <w:p w14:paraId="78A162C3">
            <w:pPr>
              <w:keepNext w:val="0"/>
              <w:keepLines w:val="0"/>
              <w:pageBreakBefore w:val="0"/>
              <w:widowControl w:val="0"/>
              <w:spacing w:line="300" w:lineRule="exact"/>
              <w:ind w:left="0" w:right="0"/>
              <w:jc w:val="left"/>
              <w:rPr>
                <w:rFonts w:hint="eastAsia" w:ascii="宋体" w:hAnsi="宋体" w:eastAsia="宋体" w:cs="仿宋"/>
                <w:sz w:val="18"/>
                <w:szCs w:val="18"/>
              </w:rPr>
            </w:pPr>
            <w:r>
              <w:rPr>
                <w:rFonts w:hint="eastAsia" w:ascii="宋体" w:hAnsi="宋体" w:eastAsia="宋体" w:cs="仿宋"/>
                <w:sz w:val="18"/>
                <w:szCs w:val="18"/>
              </w:rPr>
              <w:t>50-100元</w:t>
            </w:r>
          </w:p>
        </w:tc>
      </w:tr>
      <w:tr w14:paraId="219CB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continue"/>
            <w:noWrap/>
            <w:vAlign w:val="center"/>
          </w:tcPr>
          <w:p w14:paraId="21CF3ED0">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6842C231">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6390" w:type="dxa"/>
            <w:gridSpan w:val="2"/>
            <w:noWrap/>
            <w:vAlign w:val="center"/>
          </w:tcPr>
          <w:p w14:paraId="3879D2C0">
            <w:pPr>
              <w:keepNext w:val="0"/>
              <w:keepLines w:val="0"/>
              <w:pageBreakBefore w:val="0"/>
              <w:widowControl w:val="0"/>
              <w:spacing w:line="300" w:lineRule="exact"/>
              <w:ind w:left="0" w:right="0"/>
              <w:rPr>
                <w:rFonts w:hint="eastAsia" w:ascii="宋体" w:hAnsi="宋体" w:eastAsia="宋体" w:cs="仿宋"/>
                <w:sz w:val="18"/>
                <w:szCs w:val="18"/>
              </w:rPr>
            </w:pPr>
            <w:r>
              <w:rPr>
                <w:rFonts w:hint="eastAsia" w:ascii="宋体" w:hAnsi="宋体" w:eastAsia="宋体" w:cs="仿宋"/>
                <w:sz w:val="18"/>
                <w:szCs w:val="18"/>
              </w:rPr>
              <w:t>没有按时准确纪录污水处理设施运行维护日志的</w:t>
            </w:r>
          </w:p>
        </w:tc>
        <w:tc>
          <w:tcPr>
            <w:tcW w:w="1382" w:type="dxa"/>
            <w:gridSpan w:val="2"/>
            <w:noWrap/>
            <w:vAlign w:val="center"/>
          </w:tcPr>
          <w:p w14:paraId="4E81108E">
            <w:pPr>
              <w:keepNext w:val="0"/>
              <w:keepLines w:val="0"/>
              <w:pageBreakBefore w:val="0"/>
              <w:widowControl w:val="0"/>
              <w:spacing w:line="300" w:lineRule="exact"/>
              <w:ind w:left="0" w:right="0"/>
              <w:jc w:val="left"/>
              <w:rPr>
                <w:rFonts w:hint="eastAsia" w:ascii="宋体" w:hAnsi="宋体" w:eastAsia="宋体" w:cs="仿宋"/>
                <w:sz w:val="18"/>
                <w:szCs w:val="18"/>
              </w:rPr>
            </w:pPr>
            <w:r>
              <w:rPr>
                <w:rFonts w:hint="eastAsia" w:ascii="宋体" w:hAnsi="宋体" w:eastAsia="宋体" w:cs="仿宋"/>
                <w:sz w:val="18"/>
                <w:szCs w:val="18"/>
              </w:rPr>
              <w:t>一次扣</w:t>
            </w:r>
          </w:p>
          <w:p w14:paraId="6784B829">
            <w:pPr>
              <w:keepNext w:val="0"/>
              <w:keepLines w:val="0"/>
              <w:pageBreakBefore w:val="0"/>
              <w:widowControl w:val="0"/>
              <w:spacing w:line="300" w:lineRule="exact"/>
              <w:ind w:left="0" w:right="0"/>
              <w:jc w:val="left"/>
              <w:rPr>
                <w:rFonts w:hint="eastAsia" w:ascii="宋体" w:hAnsi="宋体" w:eastAsia="宋体" w:cs="仿宋"/>
                <w:sz w:val="18"/>
                <w:szCs w:val="18"/>
              </w:rPr>
            </w:pPr>
            <w:r>
              <w:rPr>
                <w:rFonts w:hint="eastAsia" w:ascii="宋体" w:hAnsi="宋体" w:eastAsia="宋体" w:cs="仿宋"/>
                <w:sz w:val="18"/>
                <w:szCs w:val="18"/>
              </w:rPr>
              <w:t>50-100元</w:t>
            </w:r>
          </w:p>
        </w:tc>
      </w:tr>
      <w:tr w14:paraId="0D49C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8" w:type="dxa"/>
            <w:vMerge w:val="continue"/>
            <w:noWrap/>
            <w:vAlign w:val="center"/>
          </w:tcPr>
          <w:p w14:paraId="7C994BBD">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1005" w:type="dxa"/>
            <w:vMerge w:val="continue"/>
            <w:noWrap/>
            <w:vAlign w:val="center"/>
          </w:tcPr>
          <w:p w14:paraId="1EE4837E">
            <w:pPr>
              <w:keepNext w:val="0"/>
              <w:keepLines w:val="0"/>
              <w:pageBreakBefore w:val="0"/>
              <w:widowControl w:val="0"/>
              <w:spacing w:line="300" w:lineRule="exact"/>
              <w:ind w:left="0" w:right="0" w:firstLine="360"/>
              <w:jc w:val="center"/>
              <w:rPr>
                <w:rFonts w:hint="eastAsia" w:ascii="宋体" w:hAnsi="宋体" w:eastAsia="宋体" w:cs="仿宋"/>
                <w:sz w:val="18"/>
                <w:szCs w:val="18"/>
              </w:rPr>
            </w:pPr>
          </w:p>
        </w:tc>
        <w:tc>
          <w:tcPr>
            <w:tcW w:w="6390" w:type="dxa"/>
            <w:gridSpan w:val="2"/>
            <w:noWrap/>
            <w:vAlign w:val="center"/>
          </w:tcPr>
          <w:p w14:paraId="0CEBD85C">
            <w:pPr>
              <w:keepNext w:val="0"/>
              <w:keepLines w:val="0"/>
              <w:pageBreakBefore w:val="0"/>
              <w:widowControl w:val="0"/>
              <w:spacing w:line="300" w:lineRule="exact"/>
              <w:ind w:left="0" w:right="0"/>
              <w:rPr>
                <w:rFonts w:hint="eastAsia" w:ascii="宋体" w:hAnsi="宋体" w:eastAsia="宋体" w:cs="仿宋"/>
                <w:sz w:val="18"/>
                <w:szCs w:val="18"/>
              </w:rPr>
            </w:pPr>
            <w:r>
              <w:rPr>
                <w:rFonts w:hint="eastAsia" w:ascii="宋体" w:hAnsi="宋体" w:eastAsia="宋体" w:cs="仿宋"/>
                <w:sz w:val="18"/>
                <w:szCs w:val="18"/>
              </w:rPr>
              <w:t>日常维护未按规定配置人员值班的</w:t>
            </w:r>
          </w:p>
        </w:tc>
        <w:tc>
          <w:tcPr>
            <w:tcW w:w="1382" w:type="dxa"/>
            <w:gridSpan w:val="2"/>
            <w:noWrap/>
            <w:vAlign w:val="center"/>
          </w:tcPr>
          <w:p w14:paraId="3EC6D537">
            <w:pPr>
              <w:keepNext w:val="0"/>
              <w:keepLines w:val="0"/>
              <w:pageBreakBefore w:val="0"/>
              <w:widowControl w:val="0"/>
              <w:spacing w:line="300" w:lineRule="exact"/>
              <w:ind w:left="0" w:right="0"/>
              <w:jc w:val="left"/>
              <w:rPr>
                <w:rFonts w:hint="eastAsia" w:ascii="宋体" w:hAnsi="宋体" w:eastAsia="宋体" w:cs="仿宋"/>
                <w:sz w:val="18"/>
                <w:szCs w:val="18"/>
              </w:rPr>
            </w:pPr>
            <w:r>
              <w:rPr>
                <w:rFonts w:hint="eastAsia" w:ascii="宋体" w:hAnsi="宋体" w:eastAsia="宋体" w:cs="仿宋"/>
                <w:sz w:val="18"/>
                <w:szCs w:val="18"/>
              </w:rPr>
              <w:t>一次扣500-1000元</w:t>
            </w:r>
          </w:p>
        </w:tc>
      </w:tr>
      <w:bookmarkEnd w:id="107"/>
    </w:tbl>
    <w:p w14:paraId="46ED2463">
      <w:pPr>
        <w:keepNext w:val="0"/>
        <w:keepLines w:val="0"/>
        <w:pageBreakBefore w:val="0"/>
        <w:widowControl w:val="0"/>
        <w:spacing w:line="500" w:lineRule="exact"/>
        <w:ind w:firstLine="480"/>
        <w:rPr>
          <w:rFonts w:hint="eastAsia" w:ascii="仿宋" w:hAnsi="仿宋" w:eastAsia="仿宋" w:cs="仿宋"/>
          <w:sz w:val="28"/>
          <w:szCs w:val="28"/>
        </w:rPr>
      </w:pPr>
      <w:r>
        <w:rPr>
          <w:rFonts w:hint="eastAsia" w:ascii="仿宋" w:hAnsi="仿宋" w:eastAsia="仿宋" w:cs="仿宋"/>
          <w:sz w:val="28"/>
          <w:szCs w:val="28"/>
          <w:lang w:val="en-US" w:eastAsia="zh-CN"/>
        </w:rPr>
        <w:t>五</w:t>
      </w:r>
      <w:r>
        <w:rPr>
          <w:rFonts w:hint="eastAsia" w:ascii="仿宋" w:hAnsi="仿宋" w:eastAsia="仿宋" w:cs="仿宋"/>
          <w:sz w:val="28"/>
          <w:szCs w:val="28"/>
        </w:rPr>
        <w:t>、安全生产实行“一票否决”制，一旦发生人身伤亡、火灾等重大责任事故，甲方将没收履约保证金，合同自动终止。已发生的服务费用按50%进行支付。若对甲方造成损失的，一切损失均由乙方负责赔偿。</w:t>
      </w:r>
    </w:p>
    <w:p w14:paraId="688C8A18">
      <w:pPr>
        <w:widowControl/>
        <w:jc w:val="left"/>
        <w:rPr>
          <w:rFonts w:ascii="宋体" w:hAnsi="宋体" w:eastAsia="宋体" w:cs="仿宋"/>
          <w:sz w:val="24"/>
          <w:szCs w:val="24"/>
        </w:rPr>
      </w:pPr>
    </w:p>
    <w:p w14:paraId="049AEACA">
      <w:pPr>
        <w:pStyle w:val="52"/>
        <w:ind w:firstLine="422"/>
        <w:rPr>
          <w:rFonts w:hint="eastAsia" w:ascii="宋体" w:hAnsi="宋体"/>
          <w:b/>
          <w:color w:val="000000" w:themeColor="text1"/>
          <w:sz w:val="24"/>
          <w:szCs w:val="24"/>
          <w14:textFill>
            <w14:solidFill>
              <w14:schemeClr w14:val="tx1"/>
            </w14:solidFill>
          </w14:textFill>
        </w:rPr>
      </w:pPr>
    </w:p>
    <w:p w14:paraId="3706D85A">
      <w:pPr>
        <w:pStyle w:val="52"/>
        <w:ind w:firstLine="422"/>
        <w:rPr>
          <w:rFonts w:hint="eastAsia" w:ascii="宋体" w:hAnsi="宋体"/>
          <w:b/>
          <w:color w:val="000000" w:themeColor="text1"/>
          <w:sz w:val="24"/>
          <w:szCs w:val="24"/>
          <w14:textFill>
            <w14:solidFill>
              <w14:schemeClr w14:val="tx1"/>
            </w14:solidFill>
          </w14:textFill>
        </w:rPr>
      </w:pPr>
    </w:p>
    <w:p w14:paraId="15B42159">
      <w:pPr>
        <w:rPr>
          <w:b/>
          <w:sz w:val="36"/>
          <w:szCs w:val="36"/>
        </w:rPr>
      </w:pPr>
      <w:r>
        <w:rPr>
          <w:b/>
          <w:sz w:val="36"/>
          <w:szCs w:val="36"/>
        </w:rPr>
        <w:br w:type="page"/>
      </w:r>
    </w:p>
    <w:p w14:paraId="32D3799C">
      <w:pPr>
        <w:spacing w:line="500" w:lineRule="exact"/>
        <w:jc w:val="center"/>
        <w:outlineLvl w:val="0"/>
        <w:rPr>
          <w:b/>
          <w:sz w:val="36"/>
          <w:szCs w:val="36"/>
        </w:rPr>
      </w:pPr>
      <w:r>
        <w:rPr>
          <w:b/>
          <w:sz w:val="36"/>
          <w:szCs w:val="36"/>
        </w:rPr>
        <w:t>第四部分  开标和评标</w:t>
      </w:r>
    </w:p>
    <w:p w14:paraId="28BD2AF8">
      <w:pPr>
        <w:pStyle w:val="313"/>
        <w:spacing w:before="0" w:after="0" w:line="500" w:lineRule="exact"/>
        <w:ind w:left="0" w:right="0" w:firstLine="562"/>
        <w:jc w:val="left"/>
        <w:rPr>
          <w:rFonts w:ascii="Times New Roman" w:hAnsi="Times New Roman"/>
          <w:b/>
          <w:sz w:val="28"/>
          <w:szCs w:val="28"/>
        </w:rPr>
      </w:pPr>
      <w:r>
        <w:rPr>
          <w:rFonts w:ascii="Times New Roman" w:hAnsi="Times New Roman"/>
          <w:b/>
          <w:sz w:val="28"/>
          <w:szCs w:val="28"/>
        </w:rPr>
        <w:t>一、开标</w:t>
      </w:r>
    </w:p>
    <w:p w14:paraId="750D1E8E">
      <w:pPr>
        <w:tabs>
          <w:tab w:val="left" w:pos="3585"/>
        </w:tabs>
        <w:spacing w:line="500" w:lineRule="exact"/>
        <w:ind w:firstLine="537"/>
        <w:rPr>
          <w:sz w:val="28"/>
          <w:szCs w:val="28"/>
        </w:rPr>
      </w:pPr>
      <w:r>
        <w:rPr>
          <w:sz w:val="24"/>
        </w:rPr>
        <w:t>不见面远程开标模式：投标人在各自地点通过“苏采云”不见面交易系统参加开标会。</w:t>
      </w:r>
    </w:p>
    <w:p w14:paraId="498AFB2F">
      <w:pPr>
        <w:pStyle w:val="313"/>
        <w:spacing w:before="0" w:after="0" w:line="500" w:lineRule="exact"/>
        <w:ind w:left="0" w:right="0" w:firstLine="562"/>
        <w:jc w:val="left"/>
        <w:rPr>
          <w:rFonts w:ascii="Times New Roman" w:hAnsi="Times New Roman"/>
          <w:b/>
          <w:sz w:val="28"/>
          <w:szCs w:val="28"/>
        </w:rPr>
      </w:pPr>
      <w:r>
        <w:rPr>
          <w:rFonts w:ascii="Times New Roman" w:hAnsi="Times New Roman"/>
          <w:b/>
          <w:sz w:val="28"/>
          <w:szCs w:val="28"/>
        </w:rPr>
        <w:t>二、评标流程和评标标准</w:t>
      </w:r>
    </w:p>
    <w:p w14:paraId="52E6C6B5">
      <w:pPr>
        <w:spacing w:line="500" w:lineRule="exact"/>
        <w:ind w:firstLine="555"/>
        <w:rPr>
          <w:sz w:val="24"/>
        </w:rPr>
      </w:pPr>
      <w:r>
        <w:rPr>
          <w:sz w:val="24"/>
        </w:rPr>
        <w:t>采用综合评分法。分资格审查、符合性审查、商务技术标、价格标四部分评审，总分值为100分，加分和减分因素除外。</w:t>
      </w:r>
    </w:p>
    <w:p w14:paraId="10DCBC66">
      <w:pPr>
        <w:spacing w:line="500" w:lineRule="exact"/>
        <w:ind w:firstLine="555"/>
        <w:rPr>
          <w:sz w:val="24"/>
        </w:rPr>
      </w:pPr>
      <w:r>
        <w:rPr>
          <w:sz w:val="24"/>
        </w:rPr>
        <w:t>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14:paraId="290CCC07">
      <w:pPr>
        <w:spacing w:line="500" w:lineRule="exact"/>
        <w:ind w:firstLine="555"/>
        <w:rPr>
          <w:sz w:val="24"/>
        </w:rPr>
      </w:pPr>
      <w:r>
        <w:rPr>
          <w:sz w:val="24"/>
        </w:rPr>
        <w:t>评标结果按评审后总得分由高到低顺序排列，确定中标候选人名单并按顺序确定中标人。得分相同的，按投标</w:t>
      </w:r>
      <w:r>
        <w:rPr>
          <w:rFonts w:hint="eastAsia"/>
          <w:sz w:val="24"/>
        </w:rPr>
        <w:t>优惠率</w:t>
      </w:r>
      <w:r>
        <w:rPr>
          <w:sz w:val="24"/>
        </w:rPr>
        <w:t>由高到低顺序排列，得分且投标报价相同的并列。</w:t>
      </w:r>
      <w:r>
        <w:rPr>
          <w:rFonts w:ascii="Arial" w:hAnsi="Arial" w:cs="Arial"/>
          <w:sz w:val="24"/>
        </w:rPr>
        <w:t>投标文件满足招标文件全部实质性要求，且按照评审因素的量化指标评审得分最高的投标人为排名第一的中标候选人。</w:t>
      </w:r>
    </w:p>
    <w:p w14:paraId="3C729EBD">
      <w:pPr>
        <w:spacing w:line="500" w:lineRule="exact"/>
        <w:ind w:firstLine="555"/>
        <w:rPr>
          <w:sz w:val="24"/>
        </w:rPr>
      </w:pPr>
      <w:r>
        <w:rPr>
          <w:sz w:val="24"/>
        </w:rPr>
        <w:t>评委在认真审阅投标文件的基础上，根据各投标文件的响应程度独立评判，不得统一打分。</w:t>
      </w:r>
    </w:p>
    <w:p w14:paraId="25B05530">
      <w:pPr>
        <w:spacing w:line="500" w:lineRule="exact"/>
        <w:ind w:firstLine="413"/>
        <w:rPr>
          <w:b/>
          <w:sz w:val="28"/>
          <w:szCs w:val="28"/>
        </w:rPr>
      </w:pPr>
      <w:r>
        <w:rPr>
          <w:b/>
          <w:sz w:val="28"/>
          <w:szCs w:val="28"/>
        </w:rPr>
        <w:t>（一）采购人（代表）对投标人资格进行审查。</w:t>
      </w:r>
    </w:p>
    <w:p w14:paraId="3A0BE1DF">
      <w:pPr>
        <w:pStyle w:val="315"/>
        <w:spacing w:line="500" w:lineRule="exact"/>
        <w:ind w:firstLine="577"/>
        <w:rPr>
          <w:rFonts w:ascii="Times New Roman" w:hAnsi="Times New Roman" w:eastAsia="宋体"/>
          <w:sz w:val="24"/>
          <w:szCs w:val="24"/>
        </w:rPr>
      </w:pPr>
      <w:r>
        <w:rPr>
          <w:rFonts w:ascii="Times New Roman" w:hAnsi="Times New Roman" w:eastAsia="宋体"/>
          <w:sz w:val="24"/>
          <w:szCs w:val="24"/>
        </w:rPr>
        <w:t>投标人资格不合格的，其投标文件判定为无效投标文件。</w:t>
      </w:r>
    </w:p>
    <w:p w14:paraId="19EBF220">
      <w:pPr>
        <w:spacing w:line="500" w:lineRule="exact"/>
        <w:ind w:firstLine="413"/>
        <w:jc w:val="left"/>
        <w:rPr>
          <w:b/>
          <w:sz w:val="28"/>
          <w:szCs w:val="28"/>
        </w:rPr>
      </w:pPr>
      <w:r>
        <w:rPr>
          <w:b/>
          <w:sz w:val="28"/>
          <w:szCs w:val="28"/>
        </w:rPr>
        <w:t>（二）评标委员会对符合资格投标人的投标文件进行符合性审查。</w:t>
      </w:r>
    </w:p>
    <w:p w14:paraId="5896FFC4">
      <w:pPr>
        <w:pStyle w:val="315"/>
        <w:spacing w:line="500" w:lineRule="exact"/>
        <w:ind w:firstLine="577"/>
        <w:rPr>
          <w:rFonts w:ascii="Times New Roman" w:hAnsi="Times New Roman" w:eastAsia="宋体"/>
          <w:sz w:val="28"/>
        </w:rPr>
      </w:pPr>
      <w:r>
        <w:rPr>
          <w:rFonts w:ascii="Times New Roman" w:hAnsi="Times New Roman" w:eastAsia="宋体"/>
          <w:sz w:val="24"/>
          <w:szCs w:val="24"/>
        </w:rPr>
        <w:t>未通过符合性审查的投标文件，将被判为不满足招标文件实质性要求。</w:t>
      </w:r>
      <w:r>
        <w:rPr>
          <w:rFonts w:ascii="Times New Roman" w:hAnsi="Times New Roman" w:eastAsia="宋体"/>
          <w:sz w:val="28"/>
        </w:rPr>
        <w:t xml:space="preserve"> </w:t>
      </w:r>
    </w:p>
    <w:p w14:paraId="4027F652">
      <w:pPr>
        <w:spacing w:line="500" w:lineRule="exact"/>
        <w:ind w:firstLine="562"/>
        <w:jc w:val="left"/>
        <w:rPr>
          <w:b/>
          <w:color w:val="auto"/>
          <w:sz w:val="28"/>
          <w:szCs w:val="28"/>
        </w:rPr>
      </w:pPr>
      <w:r>
        <w:rPr>
          <w:b/>
          <w:sz w:val="28"/>
          <w:szCs w:val="28"/>
        </w:rPr>
        <w:t>(三)商务技术分：（</w:t>
      </w:r>
      <w:r>
        <w:rPr>
          <w:rFonts w:hint="eastAsia"/>
          <w:b/>
          <w:color w:val="auto"/>
          <w:sz w:val="28"/>
          <w:szCs w:val="28"/>
          <w:lang w:val="en-US" w:eastAsia="zh-CN"/>
        </w:rPr>
        <w:t>70</w:t>
      </w:r>
      <w:r>
        <w:rPr>
          <w:b/>
          <w:color w:val="auto"/>
          <w:sz w:val="28"/>
          <w:szCs w:val="28"/>
        </w:rPr>
        <w:t>分）</w:t>
      </w:r>
    </w:p>
    <w:p w14:paraId="0EA852AA">
      <w:pPr>
        <w:spacing w:line="360" w:lineRule="auto"/>
        <w:ind w:firstLine="480"/>
        <w:contextualSpacing/>
        <w:jc w:val="left"/>
        <w:rPr>
          <w:sz w:val="24"/>
        </w:rPr>
      </w:pPr>
      <w:r>
        <w:rPr>
          <w:sz w:val="24"/>
        </w:rPr>
        <w:t>各供应商得分为评委会成员评分的算术平均分，分值保留小数点后两位</w:t>
      </w:r>
      <w:r>
        <w:rPr>
          <w:rFonts w:hint="eastAsia"/>
          <w:sz w:val="24"/>
        </w:rPr>
        <w:t>。</w:t>
      </w:r>
    </w:p>
    <w:tbl>
      <w:tblPr>
        <w:tblStyle w:val="42"/>
        <w:tblW w:w="9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1"/>
        <w:gridCol w:w="1512"/>
        <w:gridCol w:w="738"/>
        <w:gridCol w:w="6693"/>
      </w:tblGrid>
      <w:tr w14:paraId="4E347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jc w:val="center"/>
        </w:trPr>
        <w:tc>
          <w:tcPr>
            <w:tcW w:w="751" w:type="dxa"/>
            <w:tcBorders>
              <w:top w:val="single" w:color="000000" w:sz="4" w:space="0"/>
              <w:left w:val="single" w:color="000000" w:sz="4" w:space="0"/>
              <w:bottom w:val="single" w:color="000000" w:sz="4" w:space="0"/>
              <w:right w:val="single" w:color="000000" w:sz="4" w:space="0"/>
            </w:tcBorders>
            <w:noWrap w:val="0"/>
            <w:vAlign w:val="center"/>
          </w:tcPr>
          <w:p w14:paraId="2EFB7D16">
            <w:pPr>
              <w:keepLines w:val="0"/>
              <w:pageBreakBefore w:val="0"/>
              <w:spacing w:line="380" w:lineRule="exact"/>
              <w:jc w:val="center"/>
              <w:rPr>
                <w:b/>
                <w:bCs/>
                <w:color w:val="000000"/>
                <w:sz w:val="24"/>
                <w:highlight w:val="none"/>
                <w:lang w:val="zh-CN"/>
              </w:rPr>
            </w:pPr>
            <w:r>
              <w:rPr>
                <w:b/>
                <w:bCs/>
                <w:color w:val="000000"/>
                <w:sz w:val="24"/>
                <w:highlight w:val="none"/>
                <w:lang w:val="zh-CN"/>
              </w:rPr>
              <w:t>序号</w:t>
            </w:r>
          </w:p>
        </w:tc>
        <w:tc>
          <w:tcPr>
            <w:tcW w:w="1512" w:type="dxa"/>
            <w:tcBorders>
              <w:top w:val="single" w:color="000000" w:sz="4" w:space="0"/>
              <w:left w:val="single" w:color="000000" w:sz="4" w:space="0"/>
              <w:bottom w:val="single" w:color="000000" w:sz="4" w:space="0"/>
              <w:right w:val="single" w:color="000000" w:sz="4" w:space="0"/>
            </w:tcBorders>
            <w:noWrap w:val="0"/>
            <w:vAlign w:val="center"/>
          </w:tcPr>
          <w:p w14:paraId="40162537">
            <w:pPr>
              <w:keepLines w:val="0"/>
              <w:pageBreakBefore w:val="0"/>
              <w:spacing w:line="380" w:lineRule="exact"/>
              <w:jc w:val="center"/>
              <w:rPr>
                <w:b/>
                <w:bCs/>
                <w:color w:val="000000"/>
                <w:sz w:val="24"/>
                <w:highlight w:val="none"/>
                <w:lang w:val="zh-CN"/>
              </w:rPr>
            </w:pPr>
            <w:r>
              <w:rPr>
                <w:b/>
                <w:bCs/>
                <w:color w:val="000000"/>
                <w:sz w:val="24"/>
                <w:highlight w:val="none"/>
                <w:lang w:val="zh-CN"/>
              </w:rPr>
              <w:t>评分点名称</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14:paraId="2F5AC0EA">
            <w:pPr>
              <w:keepLines w:val="0"/>
              <w:pageBreakBefore w:val="0"/>
              <w:spacing w:line="380" w:lineRule="exact"/>
              <w:jc w:val="center"/>
              <w:rPr>
                <w:b/>
                <w:bCs/>
                <w:color w:val="000000"/>
                <w:sz w:val="24"/>
                <w:highlight w:val="none"/>
                <w:lang w:val="zh-CN"/>
              </w:rPr>
            </w:pPr>
            <w:r>
              <w:rPr>
                <w:b/>
                <w:bCs/>
                <w:color w:val="000000"/>
                <w:sz w:val="24"/>
                <w:highlight w:val="none"/>
                <w:lang w:val="zh-CN"/>
              </w:rPr>
              <w:t>分值</w:t>
            </w:r>
          </w:p>
        </w:tc>
        <w:tc>
          <w:tcPr>
            <w:tcW w:w="6693" w:type="dxa"/>
            <w:tcBorders>
              <w:top w:val="single" w:color="000000" w:sz="4" w:space="0"/>
              <w:left w:val="single" w:color="000000" w:sz="4" w:space="0"/>
              <w:bottom w:val="single" w:color="000000" w:sz="4" w:space="0"/>
              <w:right w:val="single" w:color="000000" w:sz="4" w:space="0"/>
            </w:tcBorders>
            <w:noWrap w:val="0"/>
            <w:vAlign w:val="center"/>
          </w:tcPr>
          <w:p w14:paraId="023D4087">
            <w:pPr>
              <w:keepLines w:val="0"/>
              <w:pageBreakBefore w:val="0"/>
              <w:spacing w:line="380" w:lineRule="exact"/>
              <w:ind w:firstLine="487"/>
              <w:jc w:val="center"/>
              <w:rPr>
                <w:b/>
                <w:bCs/>
                <w:color w:val="000000"/>
                <w:sz w:val="24"/>
                <w:highlight w:val="none"/>
                <w:lang w:val="zh-CN"/>
              </w:rPr>
            </w:pPr>
            <w:r>
              <w:rPr>
                <w:b/>
                <w:bCs/>
                <w:color w:val="000000"/>
                <w:sz w:val="24"/>
                <w:highlight w:val="none"/>
                <w:lang w:val="zh-CN"/>
              </w:rPr>
              <w:t>评审标准</w:t>
            </w:r>
          </w:p>
        </w:tc>
      </w:tr>
      <w:tr w14:paraId="1B1A3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jc w:val="center"/>
        </w:trPr>
        <w:tc>
          <w:tcPr>
            <w:tcW w:w="751" w:type="dxa"/>
            <w:tcBorders>
              <w:top w:val="single" w:color="000000" w:sz="4" w:space="0"/>
              <w:left w:val="single" w:color="000000" w:sz="4" w:space="0"/>
              <w:bottom w:val="single" w:color="000000" w:sz="4" w:space="0"/>
              <w:right w:val="single" w:color="000000" w:sz="4" w:space="0"/>
            </w:tcBorders>
            <w:noWrap w:val="0"/>
            <w:vAlign w:val="center"/>
          </w:tcPr>
          <w:p w14:paraId="7ABF75AE">
            <w:pPr>
              <w:keepLines w:val="0"/>
              <w:pageBreakBefore w:val="0"/>
              <w:spacing w:line="380" w:lineRule="exact"/>
              <w:jc w:val="center"/>
              <w:rPr>
                <w:b/>
                <w:bCs/>
                <w:color w:val="000000"/>
                <w:sz w:val="24"/>
                <w:highlight w:val="none"/>
                <w:lang w:val="zh-CN"/>
              </w:rPr>
            </w:pPr>
            <w:r>
              <w:rPr>
                <w:rFonts w:hint="eastAsia"/>
                <w:bCs/>
                <w:color w:val="000000"/>
                <w:sz w:val="24"/>
                <w:highlight w:val="none"/>
              </w:rPr>
              <w:t>1</w:t>
            </w:r>
          </w:p>
        </w:tc>
        <w:tc>
          <w:tcPr>
            <w:tcW w:w="1512" w:type="dxa"/>
            <w:tcBorders>
              <w:top w:val="single" w:color="000000" w:sz="4" w:space="0"/>
              <w:left w:val="single" w:color="000000" w:sz="4" w:space="0"/>
              <w:bottom w:val="single" w:color="000000" w:sz="4" w:space="0"/>
              <w:right w:val="single" w:color="000000" w:sz="4" w:space="0"/>
            </w:tcBorders>
            <w:noWrap w:val="0"/>
            <w:vAlign w:val="center"/>
          </w:tcPr>
          <w:p w14:paraId="7129127F">
            <w:pPr>
              <w:keepNext w:val="0"/>
              <w:keepLines w:val="0"/>
              <w:pageBreakBefore w:val="0"/>
              <w:widowControl w:val="0"/>
              <w:spacing w:line="280" w:lineRule="exact"/>
              <w:jc w:val="center"/>
              <w:rPr>
                <w:lang w:val="zh-CN"/>
              </w:rPr>
            </w:pPr>
            <w:r>
              <w:rPr>
                <w:rFonts w:hint="eastAsia" w:ascii="仿宋" w:hAnsi="仿宋" w:eastAsia="仿宋" w:cs="仿宋"/>
                <w:sz w:val="21"/>
                <w:szCs w:val="21"/>
                <w:lang w:val="zh-CN" w:eastAsia="zh-CN"/>
              </w:rPr>
              <w:t>投标供应商综合情况</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14:paraId="69D7A0D6">
            <w:pPr>
              <w:keepNext w:val="0"/>
              <w:keepLines w:val="0"/>
              <w:pageBreakBefore w:val="0"/>
              <w:widowControl w:val="0"/>
              <w:spacing w:line="280" w:lineRule="exact"/>
              <w:jc w:val="center"/>
              <w:rPr>
                <w:rFonts w:hint="eastAsia"/>
                <w:lang w:val="zh-CN" w:eastAsia="zh-CN"/>
              </w:rPr>
            </w:pPr>
            <w:r>
              <w:rPr>
                <w:rFonts w:hint="eastAsia" w:ascii="仿宋" w:hAnsi="仿宋" w:eastAsia="仿宋" w:cs="仿宋"/>
                <w:sz w:val="21"/>
                <w:szCs w:val="21"/>
                <w:lang w:val="en-US" w:eastAsia="zh-CN"/>
              </w:rPr>
              <w:t>10</w:t>
            </w:r>
          </w:p>
        </w:tc>
        <w:tc>
          <w:tcPr>
            <w:tcW w:w="6693" w:type="dxa"/>
            <w:tcBorders>
              <w:top w:val="single" w:color="000000" w:sz="4" w:space="0"/>
              <w:left w:val="single" w:color="000000" w:sz="4" w:space="0"/>
              <w:bottom w:val="single" w:color="000000" w:sz="4" w:space="0"/>
              <w:right w:val="single" w:color="000000" w:sz="4" w:space="0"/>
            </w:tcBorders>
            <w:noWrap w:val="0"/>
            <w:vAlign w:val="center"/>
          </w:tcPr>
          <w:p w14:paraId="67F509BD">
            <w:pPr>
              <w:keepNext w:val="0"/>
              <w:keepLines w:val="0"/>
              <w:pageBreakBefore w:val="0"/>
              <w:widowControl w:val="0"/>
              <w:numPr>
                <w:ilvl w:val="0"/>
                <w:numId w:val="2"/>
              </w:numPr>
              <w:spacing w:line="280" w:lineRule="exact"/>
              <w:jc w:val="left"/>
              <w:rPr>
                <w:rFonts w:hint="eastAsia" w:ascii="仿宋" w:hAnsi="仿宋" w:eastAsia="仿宋" w:cs="仿宋"/>
                <w:sz w:val="21"/>
                <w:szCs w:val="21"/>
                <w:lang w:val="zh-CN" w:eastAsia="zh-CN"/>
              </w:rPr>
            </w:pPr>
            <w:r>
              <w:rPr>
                <w:rFonts w:hint="eastAsia" w:ascii="仿宋" w:hAnsi="仿宋" w:eastAsia="仿宋" w:cs="仿宋"/>
                <w:sz w:val="21"/>
                <w:szCs w:val="21"/>
                <w:lang w:val="zh-CN" w:eastAsia="zh-CN"/>
              </w:rPr>
              <w:t>投标人为三级</w:t>
            </w:r>
            <w:r>
              <w:rPr>
                <w:rFonts w:hint="eastAsia" w:ascii="仿宋" w:hAnsi="仿宋" w:eastAsia="仿宋" w:cs="仿宋"/>
                <w:sz w:val="21"/>
                <w:szCs w:val="21"/>
                <w:lang w:val="en-US" w:eastAsia="zh-CN"/>
              </w:rPr>
              <w:t>及以上</w:t>
            </w:r>
            <w:r>
              <w:rPr>
                <w:rFonts w:hint="eastAsia" w:ascii="仿宋" w:hAnsi="仿宋" w:eastAsia="仿宋" w:cs="仿宋"/>
                <w:sz w:val="21"/>
                <w:szCs w:val="21"/>
                <w:lang w:val="zh-CN" w:eastAsia="zh-CN"/>
              </w:rPr>
              <w:t>安全生产标准化企业的得</w:t>
            </w:r>
            <w:r>
              <w:rPr>
                <w:rFonts w:hint="eastAsia" w:ascii="仿宋" w:hAnsi="仿宋" w:eastAsia="仿宋" w:cs="仿宋"/>
                <w:sz w:val="21"/>
                <w:szCs w:val="21"/>
                <w:lang w:val="en-US" w:eastAsia="zh-CN"/>
              </w:rPr>
              <w:t>5</w:t>
            </w:r>
            <w:r>
              <w:rPr>
                <w:rFonts w:hint="eastAsia" w:ascii="仿宋" w:hAnsi="仿宋" w:eastAsia="仿宋" w:cs="仿宋"/>
                <w:sz w:val="21"/>
                <w:szCs w:val="21"/>
                <w:lang w:val="zh-CN" w:eastAsia="zh-CN"/>
              </w:rPr>
              <w:t>分（提供应急管理</w:t>
            </w:r>
            <w:r>
              <w:rPr>
                <w:rFonts w:hint="eastAsia" w:ascii="仿宋" w:hAnsi="仿宋" w:eastAsia="仿宋" w:cs="仿宋"/>
                <w:sz w:val="21"/>
                <w:szCs w:val="21"/>
                <w:lang w:val="en-US" w:eastAsia="zh-CN"/>
              </w:rPr>
              <w:t>部门</w:t>
            </w:r>
            <w:r>
              <w:rPr>
                <w:rFonts w:hint="eastAsia" w:ascii="仿宋" w:hAnsi="仿宋" w:eastAsia="仿宋" w:cs="仿宋"/>
                <w:sz w:val="21"/>
                <w:szCs w:val="21"/>
                <w:lang w:val="zh-CN" w:eastAsia="zh-CN"/>
              </w:rPr>
              <w:t>公示截图）；</w:t>
            </w:r>
          </w:p>
          <w:p w14:paraId="7522AD43">
            <w:pPr>
              <w:keepNext w:val="0"/>
              <w:keepLines w:val="0"/>
              <w:pageBreakBefore w:val="0"/>
              <w:widowControl w:val="0"/>
              <w:numPr>
                <w:ilvl w:val="0"/>
                <w:numId w:val="0"/>
              </w:numPr>
              <w:spacing w:line="280" w:lineRule="exact"/>
              <w:jc w:val="left"/>
              <w:rPr>
                <w:rFonts w:ascii="仿宋" w:hAnsi="仿宋" w:eastAsia="仿宋" w:cs="仿宋"/>
                <w:sz w:val="21"/>
                <w:szCs w:val="21"/>
                <w:lang w:val="en-US" w:eastAsia="zh-CN"/>
              </w:rPr>
            </w:pPr>
            <w:r>
              <w:rPr>
                <w:rFonts w:hint="eastAsia" w:ascii="仿宋" w:hAnsi="仿宋" w:eastAsia="仿宋" w:cs="仿宋"/>
                <w:sz w:val="21"/>
                <w:szCs w:val="21"/>
                <w:lang w:val="en-US" w:eastAsia="zh-CN"/>
              </w:rPr>
              <w:t>2.投标人为</w:t>
            </w:r>
            <w:r>
              <w:rPr>
                <w:rFonts w:hint="eastAsia" w:ascii="仿宋" w:hAnsi="仿宋" w:eastAsia="仿宋" w:cs="仿宋"/>
                <w:sz w:val="21"/>
                <w:szCs w:val="21"/>
                <w:lang w:val="zh-CN" w:eastAsia="zh-CN"/>
              </w:rPr>
              <w:t>生态环境治理设备运营维护企业能力等级证书</w:t>
            </w:r>
            <w:r>
              <w:rPr>
                <w:rFonts w:hint="eastAsia" w:ascii="仿宋" w:hAnsi="仿宋" w:eastAsia="仿宋" w:cs="仿宋"/>
                <w:sz w:val="21"/>
                <w:szCs w:val="21"/>
                <w:lang w:val="en-US" w:eastAsia="zh-CN"/>
              </w:rPr>
              <w:t>一级得3分、二级得2分、三级得1分，没有的不得分；</w:t>
            </w:r>
          </w:p>
          <w:p w14:paraId="3257462E">
            <w:pPr>
              <w:keepNext w:val="0"/>
              <w:keepLines w:val="0"/>
              <w:pageBreakBefore w:val="0"/>
              <w:widowControl w:val="0"/>
              <w:spacing w:line="280" w:lineRule="exact"/>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3.具有诚信管理体系认证的得1分；</w:t>
            </w:r>
          </w:p>
          <w:p w14:paraId="061FF7D9">
            <w:pPr>
              <w:keepNext w:val="0"/>
              <w:keepLines w:val="0"/>
              <w:pageBreakBefore w:val="0"/>
              <w:widowControl w:val="0"/>
              <w:spacing w:line="280" w:lineRule="exact"/>
              <w:jc w:val="left"/>
              <w:rPr>
                <w:rFonts w:ascii="仿宋" w:hAnsi="仿宋" w:eastAsia="仿宋" w:cs="仿宋"/>
                <w:sz w:val="21"/>
                <w:szCs w:val="21"/>
                <w:lang w:val="en-US" w:eastAsia="zh-CN"/>
              </w:rPr>
            </w:pPr>
            <w:r>
              <w:rPr>
                <w:rFonts w:hint="eastAsia" w:ascii="仿宋" w:hAnsi="仿宋" w:eastAsia="仿宋" w:cs="仿宋"/>
                <w:sz w:val="21"/>
                <w:szCs w:val="21"/>
                <w:lang w:val="en-US" w:eastAsia="zh-CN"/>
              </w:rPr>
              <w:t>4.具有社会责任管理体系认证的得1分；</w:t>
            </w:r>
          </w:p>
          <w:p w14:paraId="11676F0D">
            <w:pPr>
              <w:keepNext w:val="0"/>
              <w:keepLines w:val="0"/>
              <w:pageBreakBefore w:val="0"/>
              <w:widowControl w:val="0"/>
              <w:spacing w:line="280" w:lineRule="exact"/>
              <w:jc w:val="left"/>
              <w:rPr>
                <w:lang w:val="zh-CN"/>
              </w:rPr>
            </w:pPr>
            <w:r>
              <w:rPr>
                <w:rFonts w:hint="eastAsia" w:ascii="仿宋" w:hAnsi="仿宋" w:eastAsia="仿宋" w:cs="仿宋"/>
                <w:sz w:val="21"/>
                <w:szCs w:val="21"/>
                <w:lang w:val="zh-CN" w:eastAsia="zh-CN"/>
              </w:rPr>
              <w:t>注：以上涉及相关资质及证书材料的须提供相关证明材料。</w:t>
            </w:r>
          </w:p>
        </w:tc>
      </w:tr>
      <w:tr w14:paraId="49884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jc w:val="center"/>
        </w:trPr>
        <w:tc>
          <w:tcPr>
            <w:tcW w:w="751" w:type="dxa"/>
            <w:tcBorders>
              <w:top w:val="single" w:color="000000" w:sz="4" w:space="0"/>
              <w:left w:val="single" w:color="000000" w:sz="4" w:space="0"/>
              <w:bottom w:val="single" w:color="000000" w:sz="4" w:space="0"/>
              <w:right w:val="single" w:color="000000" w:sz="4" w:space="0"/>
            </w:tcBorders>
            <w:noWrap w:val="0"/>
            <w:vAlign w:val="center"/>
          </w:tcPr>
          <w:p w14:paraId="0AF4692E">
            <w:pPr>
              <w:keepLines w:val="0"/>
              <w:pageBreakBefore w:val="0"/>
              <w:spacing w:line="380" w:lineRule="exact"/>
              <w:jc w:val="center"/>
              <w:rPr>
                <w:b/>
                <w:bCs/>
                <w:color w:val="000000"/>
                <w:sz w:val="24"/>
                <w:highlight w:val="none"/>
                <w:lang w:val="zh-CN"/>
              </w:rPr>
            </w:pPr>
            <w:r>
              <w:rPr>
                <w:rFonts w:hint="eastAsia"/>
                <w:bCs/>
                <w:color w:val="000000"/>
                <w:sz w:val="24"/>
                <w:highlight w:val="none"/>
              </w:rPr>
              <w:t>2</w:t>
            </w:r>
          </w:p>
        </w:tc>
        <w:tc>
          <w:tcPr>
            <w:tcW w:w="1512" w:type="dxa"/>
            <w:tcBorders>
              <w:top w:val="single" w:color="000000" w:sz="4" w:space="0"/>
              <w:left w:val="single" w:color="000000" w:sz="4" w:space="0"/>
              <w:bottom w:val="single" w:color="000000" w:sz="4" w:space="0"/>
              <w:right w:val="single" w:color="000000" w:sz="4" w:space="0"/>
            </w:tcBorders>
            <w:noWrap w:val="0"/>
            <w:vAlign w:val="center"/>
          </w:tcPr>
          <w:p w14:paraId="1E3FBA9A">
            <w:pPr>
              <w:keepNext w:val="0"/>
              <w:keepLines w:val="0"/>
              <w:pageBreakBefore w:val="0"/>
              <w:widowControl w:val="0"/>
              <w:spacing w:line="28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人员配备</w:t>
            </w:r>
          </w:p>
          <w:p w14:paraId="3E574B9D">
            <w:pPr>
              <w:keepNext w:val="0"/>
              <w:keepLines w:val="0"/>
              <w:pageBreakBefore w:val="0"/>
              <w:widowControl w:val="0"/>
              <w:spacing w:line="280" w:lineRule="exact"/>
              <w:jc w:val="center"/>
              <w:rPr>
                <w:lang w:val="zh-CN"/>
              </w:rPr>
            </w:pPr>
          </w:p>
        </w:tc>
        <w:tc>
          <w:tcPr>
            <w:tcW w:w="738" w:type="dxa"/>
            <w:tcBorders>
              <w:top w:val="single" w:color="000000" w:sz="4" w:space="0"/>
              <w:left w:val="single" w:color="000000" w:sz="4" w:space="0"/>
              <w:bottom w:val="single" w:color="000000" w:sz="4" w:space="0"/>
              <w:right w:val="single" w:color="000000" w:sz="4" w:space="0"/>
            </w:tcBorders>
            <w:noWrap w:val="0"/>
            <w:vAlign w:val="center"/>
          </w:tcPr>
          <w:p w14:paraId="38743649">
            <w:pPr>
              <w:keepNext w:val="0"/>
              <w:keepLines w:val="0"/>
              <w:pageBreakBefore w:val="0"/>
              <w:widowControl w:val="0"/>
              <w:spacing w:line="280" w:lineRule="exact"/>
              <w:jc w:val="center"/>
              <w:rPr>
                <w:rFonts w:hint="eastAsia"/>
                <w:lang w:val="zh-CN" w:eastAsia="zh-CN"/>
              </w:rPr>
            </w:pPr>
            <w:r>
              <w:rPr>
                <w:rFonts w:hint="eastAsia" w:ascii="仿宋" w:hAnsi="仿宋" w:eastAsia="仿宋" w:cs="仿宋"/>
                <w:sz w:val="21"/>
                <w:szCs w:val="21"/>
                <w:lang w:val="en-US" w:eastAsia="zh-CN"/>
              </w:rPr>
              <w:t>15</w:t>
            </w:r>
          </w:p>
        </w:tc>
        <w:tc>
          <w:tcPr>
            <w:tcW w:w="6693" w:type="dxa"/>
            <w:tcBorders>
              <w:top w:val="single" w:color="000000" w:sz="4" w:space="0"/>
              <w:left w:val="single" w:color="000000" w:sz="4" w:space="0"/>
              <w:bottom w:val="single" w:color="000000" w:sz="4" w:space="0"/>
              <w:right w:val="single" w:color="000000" w:sz="4" w:space="0"/>
            </w:tcBorders>
            <w:noWrap w:val="0"/>
            <w:vAlign w:val="center"/>
          </w:tcPr>
          <w:p w14:paraId="5646B79D">
            <w:pPr>
              <w:keepNext w:val="0"/>
              <w:keepLines w:val="0"/>
              <w:pageBreakBefore w:val="0"/>
              <w:widowControl w:val="0"/>
              <w:spacing w:line="280" w:lineRule="exact"/>
              <w:jc w:val="both"/>
              <w:rPr>
                <w:rFonts w:hint="eastAsia" w:ascii="仿宋" w:hAnsi="仿宋" w:eastAsia="仿宋" w:cs="仿宋"/>
                <w:color w:val="auto"/>
                <w:sz w:val="21"/>
                <w:szCs w:val="21"/>
                <w:lang w:val="zh-CN" w:eastAsia="zh-CN"/>
              </w:rPr>
            </w:pPr>
            <w:r>
              <w:rPr>
                <w:rFonts w:hint="eastAsia"/>
                <w:color w:val="auto"/>
                <w:lang w:val="zh-CN"/>
              </w:rPr>
              <w:t>1</w:t>
            </w:r>
            <w:r>
              <w:rPr>
                <w:rFonts w:hint="eastAsia" w:ascii="仿宋" w:hAnsi="仿宋" w:eastAsia="仿宋" w:cs="仿宋"/>
                <w:color w:val="auto"/>
                <w:sz w:val="21"/>
                <w:szCs w:val="21"/>
                <w:lang w:val="zh-CN" w:eastAsia="zh-CN"/>
              </w:rPr>
              <w:t>.拟派技术负责人具有环境工程高级工程师及以上职称的得3分；</w:t>
            </w:r>
          </w:p>
          <w:p w14:paraId="3FFC9E90">
            <w:pPr>
              <w:keepNext w:val="0"/>
              <w:keepLines w:val="0"/>
              <w:pageBreakBefore w:val="0"/>
              <w:widowControl w:val="0"/>
              <w:spacing w:line="280" w:lineRule="exact"/>
              <w:jc w:val="left"/>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zh-CN" w:eastAsia="zh-CN"/>
              </w:rPr>
              <w:t>2.除采购项目需求中必须配备的人员之外，</w:t>
            </w:r>
            <w:r>
              <w:rPr>
                <w:rFonts w:hint="eastAsia" w:ascii="仿宋" w:hAnsi="仿宋" w:eastAsia="仿宋" w:cs="仿宋"/>
                <w:color w:val="auto"/>
                <w:sz w:val="21"/>
                <w:szCs w:val="21"/>
                <w:lang w:val="en-US" w:eastAsia="zh-CN"/>
              </w:rPr>
              <w:t>拟派人员</w:t>
            </w:r>
            <w:r>
              <w:rPr>
                <w:rFonts w:hint="eastAsia" w:ascii="仿宋" w:hAnsi="仿宋" w:eastAsia="仿宋" w:cs="仿宋"/>
                <w:color w:val="auto"/>
                <w:sz w:val="21"/>
                <w:szCs w:val="21"/>
                <w:lang w:val="zh-CN" w:eastAsia="zh-CN"/>
              </w:rPr>
              <w:t>具有持有水处理工程师证书的得2分；持有污水化验监测工证书的得2分；具有污水处理工的得2分；持有有毒有害有限空间作业证书的得2分；持有安全作业岗位证书的得2分；</w:t>
            </w:r>
            <w:r>
              <w:rPr>
                <w:rFonts w:hint="eastAsia" w:ascii="仿宋" w:hAnsi="仿宋" w:eastAsia="仿宋" w:cs="仿宋"/>
                <w:color w:val="auto"/>
                <w:sz w:val="21"/>
                <w:szCs w:val="21"/>
                <w:lang w:val="en-US" w:eastAsia="zh-CN"/>
              </w:rPr>
              <w:t>有省住房和城乡建设厅颁发的建筑电工证书的得2分。</w:t>
            </w:r>
            <w:r>
              <w:rPr>
                <w:rFonts w:hint="eastAsia" w:ascii="仿宋" w:hAnsi="仿宋" w:eastAsia="仿宋" w:cs="仿宋"/>
                <w:color w:val="auto"/>
                <w:sz w:val="21"/>
                <w:szCs w:val="21"/>
                <w:lang w:val="zh-CN" w:eastAsia="zh-CN"/>
              </w:rPr>
              <w:t>本项最多得12分。</w:t>
            </w:r>
          </w:p>
          <w:p w14:paraId="60DFB8F4">
            <w:pPr>
              <w:keepNext w:val="0"/>
              <w:keepLines w:val="0"/>
              <w:pageBreakBefore w:val="0"/>
              <w:widowControl w:val="0"/>
              <w:spacing w:line="280" w:lineRule="exact"/>
              <w:jc w:val="both"/>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zh-CN" w:eastAsia="zh-CN"/>
              </w:rPr>
              <w:t>注：</w:t>
            </w:r>
          </w:p>
          <w:p w14:paraId="3A9210B9">
            <w:pPr>
              <w:keepNext w:val="0"/>
              <w:keepLines w:val="0"/>
              <w:pageBreakBefore w:val="0"/>
              <w:widowControl w:val="0"/>
              <w:spacing w:line="280" w:lineRule="exact"/>
              <w:jc w:val="both"/>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zh-CN" w:eastAsia="zh-CN"/>
              </w:rPr>
              <w:t>①同一人不得重复计分，提供相关证书扫描件并加盖公章；</w:t>
            </w:r>
          </w:p>
          <w:p w14:paraId="7D3726E6">
            <w:pPr>
              <w:keepNext w:val="0"/>
              <w:keepLines w:val="0"/>
              <w:pageBreakBefore w:val="0"/>
              <w:widowControl w:val="0"/>
              <w:spacing w:line="280" w:lineRule="exact"/>
              <w:jc w:val="left"/>
              <w:rPr>
                <w:color w:val="auto"/>
                <w:lang w:val="zh-CN"/>
              </w:rPr>
            </w:pPr>
            <w:r>
              <w:rPr>
                <w:rFonts w:hint="eastAsia" w:ascii="仿宋" w:hAnsi="仿宋" w:eastAsia="仿宋" w:cs="仿宋"/>
                <w:color w:val="auto"/>
                <w:sz w:val="21"/>
                <w:szCs w:val="21"/>
                <w:lang w:val="zh-CN" w:eastAsia="zh-CN"/>
              </w:rPr>
              <w:t>②以上人员必须注册在本单位，提供社保机构出具并盖章的投标企业为其缴纳的2026年06月到08月中任意一个月的基本养老保险缴费证明材近。</w:t>
            </w:r>
          </w:p>
        </w:tc>
      </w:tr>
      <w:tr w14:paraId="72DA6D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jc w:val="center"/>
        </w:trPr>
        <w:tc>
          <w:tcPr>
            <w:tcW w:w="751" w:type="dxa"/>
            <w:tcBorders>
              <w:top w:val="single" w:color="000000" w:sz="4" w:space="0"/>
              <w:left w:val="single" w:color="000000" w:sz="4" w:space="0"/>
              <w:bottom w:val="single" w:color="000000" w:sz="4" w:space="0"/>
              <w:right w:val="single" w:color="000000" w:sz="4" w:space="0"/>
            </w:tcBorders>
            <w:noWrap w:val="0"/>
            <w:vAlign w:val="center"/>
          </w:tcPr>
          <w:p w14:paraId="56D94D22">
            <w:pPr>
              <w:keepLines w:val="0"/>
              <w:pageBreakBefore w:val="0"/>
              <w:spacing w:line="380" w:lineRule="exact"/>
              <w:jc w:val="center"/>
              <w:rPr>
                <w:b/>
                <w:bCs/>
                <w:color w:val="000000"/>
                <w:sz w:val="24"/>
                <w:highlight w:val="none"/>
                <w:lang w:val="zh-CN"/>
              </w:rPr>
            </w:pPr>
            <w:r>
              <w:rPr>
                <w:rFonts w:hint="eastAsia"/>
                <w:bCs/>
                <w:color w:val="000000"/>
                <w:sz w:val="24"/>
                <w:highlight w:val="none"/>
              </w:rPr>
              <w:t>3</w:t>
            </w:r>
          </w:p>
        </w:tc>
        <w:tc>
          <w:tcPr>
            <w:tcW w:w="1512" w:type="dxa"/>
            <w:tcBorders>
              <w:top w:val="single" w:color="000000" w:sz="4" w:space="0"/>
              <w:left w:val="single" w:color="000000" w:sz="4" w:space="0"/>
              <w:bottom w:val="single" w:color="000000" w:sz="4" w:space="0"/>
              <w:right w:val="single" w:color="000000" w:sz="4" w:space="0"/>
            </w:tcBorders>
            <w:noWrap w:val="0"/>
            <w:vAlign w:val="center"/>
          </w:tcPr>
          <w:p w14:paraId="0E2CE13B">
            <w:pPr>
              <w:keepNext w:val="0"/>
              <w:keepLines w:val="0"/>
              <w:pageBreakBefore w:val="0"/>
              <w:widowControl w:val="0"/>
              <w:spacing w:line="28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拟使用的</w:t>
            </w:r>
          </w:p>
          <w:p w14:paraId="6FB5E172">
            <w:pPr>
              <w:keepNext w:val="0"/>
              <w:keepLines w:val="0"/>
              <w:pageBreakBefore w:val="0"/>
              <w:widowControl w:val="0"/>
              <w:spacing w:line="28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运管相关</w:t>
            </w:r>
          </w:p>
          <w:p w14:paraId="2710E029">
            <w:pPr>
              <w:keepNext w:val="0"/>
              <w:keepLines w:val="0"/>
              <w:pageBreakBefore w:val="0"/>
              <w:widowControl w:val="0"/>
              <w:spacing w:line="280" w:lineRule="exact"/>
              <w:jc w:val="center"/>
              <w:rPr>
                <w:lang w:val="zh-CN"/>
              </w:rPr>
            </w:pPr>
            <w:r>
              <w:rPr>
                <w:rFonts w:hint="eastAsia" w:ascii="仿宋" w:hAnsi="仿宋" w:eastAsia="仿宋" w:cs="仿宋"/>
                <w:sz w:val="21"/>
                <w:szCs w:val="21"/>
                <w:lang w:val="en-US" w:eastAsia="zh-CN"/>
              </w:rPr>
              <w:t>设备情况</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14:paraId="3AD87978">
            <w:pPr>
              <w:keepNext w:val="0"/>
              <w:keepLines w:val="0"/>
              <w:pageBreakBefore w:val="0"/>
              <w:widowControl w:val="0"/>
              <w:spacing w:line="280" w:lineRule="exact"/>
              <w:jc w:val="center"/>
              <w:rPr>
                <w:rFonts w:hint="eastAsia"/>
                <w:lang w:val="zh-CN" w:eastAsia="zh-CN"/>
              </w:rPr>
            </w:pPr>
            <w:r>
              <w:rPr>
                <w:rFonts w:hint="eastAsia" w:ascii="仿宋" w:hAnsi="仿宋" w:eastAsia="仿宋" w:cs="仿宋"/>
                <w:sz w:val="21"/>
                <w:szCs w:val="21"/>
                <w:lang w:val="en-US" w:eastAsia="zh-CN"/>
              </w:rPr>
              <w:t>3</w:t>
            </w:r>
          </w:p>
        </w:tc>
        <w:tc>
          <w:tcPr>
            <w:tcW w:w="6693" w:type="dxa"/>
            <w:tcBorders>
              <w:top w:val="single" w:color="000000" w:sz="4" w:space="0"/>
              <w:left w:val="single" w:color="000000" w:sz="4" w:space="0"/>
              <w:bottom w:val="single" w:color="000000" w:sz="4" w:space="0"/>
              <w:right w:val="single" w:color="000000" w:sz="4" w:space="0"/>
            </w:tcBorders>
            <w:noWrap w:val="0"/>
            <w:vAlign w:val="center"/>
          </w:tcPr>
          <w:p w14:paraId="68DE5F7B">
            <w:pPr>
              <w:keepNext w:val="0"/>
              <w:keepLines w:val="0"/>
              <w:pageBreakBefore w:val="0"/>
              <w:widowControl w:val="0"/>
              <w:spacing w:line="280" w:lineRule="exact"/>
              <w:jc w:val="left"/>
              <w:rPr>
                <w:color w:val="auto"/>
                <w:lang w:val="zh-CN"/>
              </w:rPr>
            </w:pPr>
            <w:r>
              <w:rPr>
                <w:rFonts w:hint="eastAsia" w:ascii="仿宋" w:hAnsi="仿宋" w:eastAsia="仿宋" w:cs="仿宋"/>
                <w:color w:val="auto"/>
                <w:sz w:val="21"/>
                <w:szCs w:val="21"/>
                <w:lang w:val="zh-CN" w:eastAsia="zh-CN"/>
              </w:rPr>
              <w:t>投标供应商在满足项目需求中2辆车辆配置的基础上每增加一台车辆加0.5分，最多得3分。需提供在投标企业或投标企业法定代表人名下的有效的车辆行驶证或登记证，否则不予计分。</w:t>
            </w:r>
          </w:p>
        </w:tc>
      </w:tr>
      <w:tr w14:paraId="3E088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jc w:val="center"/>
        </w:trPr>
        <w:tc>
          <w:tcPr>
            <w:tcW w:w="751" w:type="dxa"/>
            <w:tcBorders>
              <w:top w:val="single" w:color="000000" w:sz="4" w:space="0"/>
              <w:left w:val="single" w:color="000000" w:sz="4" w:space="0"/>
              <w:bottom w:val="single" w:color="000000" w:sz="4" w:space="0"/>
              <w:right w:val="single" w:color="000000" w:sz="4" w:space="0"/>
            </w:tcBorders>
            <w:noWrap w:val="0"/>
            <w:vAlign w:val="center"/>
          </w:tcPr>
          <w:p w14:paraId="683D5F11">
            <w:pPr>
              <w:keepLines w:val="0"/>
              <w:pageBreakBefore w:val="0"/>
              <w:spacing w:line="380" w:lineRule="exact"/>
              <w:jc w:val="center"/>
              <w:rPr>
                <w:b/>
                <w:bCs/>
                <w:color w:val="000000"/>
                <w:sz w:val="24"/>
                <w:highlight w:val="none"/>
                <w:lang w:val="zh-CN"/>
              </w:rPr>
            </w:pPr>
            <w:r>
              <w:rPr>
                <w:rFonts w:hint="eastAsia"/>
                <w:bCs/>
                <w:color w:val="000000"/>
                <w:sz w:val="24"/>
                <w:highlight w:val="none"/>
              </w:rPr>
              <w:t>4</w:t>
            </w:r>
          </w:p>
        </w:tc>
        <w:tc>
          <w:tcPr>
            <w:tcW w:w="1512" w:type="dxa"/>
            <w:tcBorders>
              <w:top w:val="single" w:color="000000" w:sz="4" w:space="0"/>
              <w:left w:val="single" w:color="000000" w:sz="4" w:space="0"/>
              <w:bottom w:val="single" w:color="000000" w:sz="4" w:space="0"/>
              <w:right w:val="single" w:color="000000" w:sz="4" w:space="0"/>
            </w:tcBorders>
            <w:noWrap w:val="0"/>
            <w:vAlign w:val="center"/>
          </w:tcPr>
          <w:p w14:paraId="159493E5">
            <w:pPr>
              <w:keepNext w:val="0"/>
              <w:keepLines w:val="0"/>
              <w:pageBreakBefore w:val="0"/>
              <w:widowControl w:val="0"/>
              <w:spacing w:line="280" w:lineRule="exact"/>
              <w:jc w:val="center"/>
              <w:rPr>
                <w:lang w:val="zh-CN"/>
              </w:rPr>
            </w:pPr>
            <w:r>
              <w:rPr>
                <w:rFonts w:hint="eastAsia" w:ascii="仿宋" w:hAnsi="仿宋" w:eastAsia="仿宋" w:cs="仿宋"/>
                <w:sz w:val="21"/>
                <w:szCs w:val="21"/>
                <w:lang w:val="zh-CN" w:eastAsia="zh-CN"/>
              </w:rPr>
              <w:t>业绩</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14:paraId="0F6D27DE">
            <w:pPr>
              <w:keepNext w:val="0"/>
              <w:keepLines w:val="0"/>
              <w:pageBreakBefore w:val="0"/>
              <w:widowControl w:val="0"/>
              <w:spacing w:line="280" w:lineRule="exact"/>
              <w:jc w:val="center"/>
              <w:rPr>
                <w:rFonts w:hint="eastAsia"/>
                <w:lang w:val="zh-CN" w:eastAsia="zh-CN"/>
              </w:rPr>
            </w:pPr>
            <w:r>
              <w:rPr>
                <w:rFonts w:hint="eastAsia" w:ascii="仿宋" w:hAnsi="仿宋" w:eastAsia="仿宋" w:cs="仿宋"/>
                <w:sz w:val="21"/>
                <w:szCs w:val="21"/>
                <w:lang w:val="en-US" w:eastAsia="zh-CN"/>
              </w:rPr>
              <w:t>14</w:t>
            </w:r>
          </w:p>
        </w:tc>
        <w:tc>
          <w:tcPr>
            <w:tcW w:w="6693" w:type="dxa"/>
            <w:tcBorders>
              <w:top w:val="single" w:color="000000" w:sz="4" w:space="0"/>
              <w:left w:val="single" w:color="000000" w:sz="4" w:space="0"/>
              <w:bottom w:val="single" w:color="000000" w:sz="4" w:space="0"/>
              <w:right w:val="single" w:color="000000" w:sz="4" w:space="0"/>
            </w:tcBorders>
            <w:noWrap w:val="0"/>
            <w:vAlign w:val="center"/>
          </w:tcPr>
          <w:p w14:paraId="27E19E7D">
            <w:pPr>
              <w:keepNext w:val="0"/>
              <w:keepLines w:val="0"/>
              <w:pageBreakBefore w:val="0"/>
              <w:widowControl w:val="0"/>
              <w:spacing w:line="280" w:lineRule="exact"/>
              <w:jc w:val="left"/>
              <w:rPr>
                <w:color w:val="auto"/>
                <w:lang w:val="zh-CN"/>
              </w:rPr>
            </w:pPr>
            <w:r>
              <w:rPr>
                <w:rFonts w:hint="eastAsia" w:ascii="仿宋" w:hAnsi="仿宋" w:eastAsia="仿宋" w:cs="仿宋"/>
                <w:color w:val="auto"/>
                <w:sz w:val="21"/>
                <w:szCs w:val="21"/>
                <w:lang w:val="zh-CN" w:eastAsia="zh-CN"/>
              </w:rPr>
              <w:t>提供202</w:t>
            </w:r>
            <w:r>
              <w:rPr>
                <w:rFonts w:hint="eastAsia" w:ascii="仿宋" w:hAnsi="仿宋" w:eastAsia="仿宋" w:cs="仿宋"/>
                <w:color w:val="auto"/>
                <w:sz w:val="21"/>
                <w:szCs w:val="21"/>
                <w:lang w:val="en-US" w:eastAsia="zh-CN"/>
              </w:rPr>
              <w:t>3</w:t>
            </w:r>
            <w:r>
              <w:rPr>
                <w:rFonts w:hint="eastAsia" w:ascii="仿宋" w:hAnsi="仿宋" w:eastAsia="仿宋" w:cs="仿宋"/>
                <w:color w:val="auto"/>
                <w:sz w:val="21"/>
                <w:szCs w:val="21"/>
                <w:lang w:val="zh-CN" w:eastAsia="zh-CN"/>
              </w:rPr>
              <w:t>年1月1日以来承担过</w:t>
            </w:r>
            <w:r>
              <w:rPr>
                <w:rFonts w:hint="eastAsia" w:ascii="仿宋" w:hAnsi="仿宋" w:eastAsia="仿宋" w:cs="仿宋"/>
                <w:color w:val="auto"/>
                <w:sz w:val="21"/>
                <w:szCs w:val="21"/>
                <w:lang w:val="en-US" w:eastAsia="zh-CN"/>
              </w:rPr>
              <w:t>农村生活污水</w:t>
            </w:r>
            <w:r>
              <w:rPr>
                <w:rFonts w:hint="eastAsia" w:ascii="仿宋" w:hAnsi="仿宋" w:eastAsia="仿宋" w:cs="仿宋"/>
                <w:color w:val="auto"/>
                <w:sz w:val="21"/>
                <w:szCs w:val="21"/>
                <w:lang w:val="zh-CN" w:eastAsia="zh-CN"/>
              </w:rPr>
              <w:t>运维业绩，有一个得</w:t>
            </w: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lang w:val="zh-CN" w:eastAsia="zh-CN"/>
              </w:rPr>
              <w:t>分，最多得</w:t>
            </w:r>
            <w:r>
              <w:rPr>
                <w:rFonts w:hint="eastAsia" w:ascii="仿宋" w:hAnsi="仿宋" w:eastAsia="仿宋" w:cs="仿宋"/>
                <w:color w:val="auto"/>
                <w:sz w:val="21"/>
                <w:szCs w:val="21"/>
                <w:lang w:val="en-US" w:eastAsia="zh-CN"/>
              </w:rPr>
              <w:t>14</w:t>
            </w:r>
            <w:r>
              <w:rPr>
                <w:rFonts w:hint="eastAsia" w:ascii="仿宋" w:hAnsi="仿宋" w:eastAsia="仿宋" w:cs="仿宋"/>
                <w:color w:val="auto"/>
                <w:sz w:val="21"/>
                <w:szCs w:val="21"/>
                <w:lang w:val="zh-CN" w:eastAsia="zh-CN"/>
              </w:rPr>
              <w:t>分（提供中标通知书及合同扫描件加盖公章，缺一不可）。</w:t>
            </w:r>
          </w:p>
        </w:tc>
      </w:tr>
      <w:tr w14:paraId="6479E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jc w:val="center"/>
        </w:trPr>
        <w:tc>
          <w:tcPr>
            <w:tcW w:w="751" w:type="dxa"/>
            <w:tcBorders>
              <w:top w:val="single" w:color="000000" w:sz="4" w:space="0"/>
              <w:left w:val="single" w:color="000000" w:sz="4" w:space="0"/>
              <w:bottom w:val="single" w:color="000000" w:sz="4" w:space="0"/>
              <w:right w:val="single" w:color="000000" w:sz="4" w:space="0"/>
            </w:tcBorders>
            <w:noWrap w:val="0"/>
            <w:vAlign w:val="center"/>
          </w:tcPr>
          <w:p w14:paraId="126141A5">
            <w:pPr>
              <w:keepLines w:val="0"/>
              <w:pageBreakBefore w:val="0"/>
              <w:spacing w:line="380" w:lineRule="exact"/>
              <w:jc w:val="center"/>
              <w:rPr>
                <w:rFonts w:hint="eastAsia" w:eastAsia="宋体"/>
                <w:bCs/>
                <w:color w:val="000000"/>
                <w:sz w:val="24"/>
                <w:highlight w:val="none"/>
                <w:lang w:eastAsia="zh-CN"/>
              </w:rPr>
            </w:pPr>
            <w:r>
              <w:rPr>
                <w:rFonts w:hint="eastAsia"/>
                <w:bCs/>
                <w:color w:val="000000"/>
                <w:sz w:val="24"/>
                <w:highlight w:val="none"/>
                <w:lang w:val="en-US" w:eastAsia="zh-CN"/>
              </w:rPr>
              <w:t>5</w:t>
            </w:r>
          </w:p>
        </w:tc>
        <w:tc>
          <w:tcPr>
            <w:tcW w:w="1512" w:type="dxa"/>
            <w:tcBorders>
              <w:top w:val="single" w:color="000000" w:sz="4" w:space="0"/>
              <w:left w:val="single" w:color="000000" w:sz="4" w:space="0"/>
              <w:bottom w:val="single" w:color="000000" w:sz="4" w:space="0"/>
              <w:right w:val="single" w:color="000000" w:sz="4" w:space="0"/>
            </w:tcBorders>
            <w:noWrap w:val="0"/>
            <w:vAlign w:val="center"/>
          </w:tcPr>
          <w:p w14:paraId="7FE23233">
            <w:pPr>
              <w:keepNext w:val="0"/>
              <w:keepLines w:val="0"/>
              <w:pageBreakBefore w:val="0"/>
              <w:widowControl w:val="0"/>
              <w:spacing w:line="280" w:lineRule="exact"/>
              <w:jc w:val="center"/>
              <w:rPr>
                <w:rFonts w:hint="eastAsia" w:ascii="仿宋" w:hAnsi="仿宋" w:eastAsia="仿宋" w:cs="仿宋"/>
                <w:sz w:val="21"/>
                <w:szCs w:val="21"/>
                <w:lang w:val="zh-CN" w:eastAsia="zh-CN"/>
              </w:rPr>
            </w:pPr>
            <w:r>
              <w:rPr>
                <w:rFonts w:hint="eastAsia" w:ascii="仿宋" w:hAnsi="仿宋" w:eastAsia="仿宋" w:cs="仿宋"/>
                <w:sz w:val="21"/>
                <w:szCs w:val="21"/>
                <w:lang w:val="zh-CN" w:eastAsia="zh-CN"/>
              </w:rPr>
              <w:t>对本项目</w:t>
            </w:r>
          </w:p>
          <w:p w14:paraId="01A22D3B">
            <w:pPr>
              <w:keepNext w:val="0"/>
              <w:keepLines w:val="0"/>
              <w:pageBreakBefore w:val="0"/>
              <w:widowControl w:val="0"/>
              <w:spacing w:line="280" w:lineRule="exact"/>
              <w:jc w:val="center"/>
              <w:rPr>
                <w:rFonts w:hint="default"/>
                <w:lang w:val="en-US" w:eastAsia="zh-CN"/>
              </w:rPr>
            </w:pPr>
            <w:r>
              <w:rPr>
                <w:rFonts w:hint="eastAsia" w:ascii="仿宋" w:hAnsi="仿宋" w:eastAsia="仿宋" w:cs="仿宋"/>
                <w:sz w:val="21"/>
                <w:szCs w:val="21"/>
                <w:lang w:val="zh-CN" w:eastAsia="zh-CN"/>
              </w:rPr>
              <w:t>熟悉情况</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14:paraId="0B41727A">
            <w:pPr>
              <w:keepNext w:val="0"/>
              <w:keepLines w:val="0"/>
              <w:pageBreakBefore w:val="0"/>
              <w:widowControl w:val="0"/>
              <w:spacing w:line="280" w:lineRule="exact"/>
              <w:jc w:val="center"/>
              <w:rPr>
                <w:rFonts w:hint="default"/>
                <w:lang w:val="en-US" w:eastAsia="zh-CN"/>
              </w:rPr>
            </w:pPr>
            <w:r>
              <w:rPr>
                <w:rFonts w:hint="eastAsia" w:ascii="仿宋" w:hAnsi="仿宋" w:eastAsia="仿宋" w:cs="仿宋"/>
                <w:sz w:val="21"/>
                <w:szCs w:val="21"/>
                <w:lang w:val="en-US" w:eastAsia="zh-CN"/>
              </w:rPr>
              <w:t>10</w:t>
            </w:r>
          </w:p>
        </w:tc>
        <w:tc>
          <w:tcPr>
            <w:tcW w:w="6693" w:type="dxa"/>
            <w:tcBorders>
              <w:top w:val="single" w:color="000000" w:sz="4" w:space="0"/>
              <w:left w:val="single" w:color="000000" w:sz="4" w:space="0"/>
              <w:bottom w:val="single" w:color="000000" w:sz="4" w:space="0"/>
              <w:right w:val="single" w:color="000000" w:sz="4" w:space="0"/>
            </w:tcBorders>
            <w:noWrap w:val="0"/>
            <w:vAlign w:val="center"/>
          </w:tcPr>
          <w:p w14:paraId="6AC9F80C">
            <w:pPr>
              <w:keepNext w:val="0"/>
              <w:keepLines w:val="0"/>
              <w:pageBreakBefore w:val="0"/>
              <w:widowControl w:val="0"/>
              <w:spacing w:line="280" w:lineRule="exact"/>
              <w:jc w:val="left"/>
              <w:rPr>
                <w:rFonts w:hint="eastAsia" w:ascii="仿宋" w:hAnsi="仿宋" w:eastAsia="仿宋" w:cs="仿宋"/>
                <w:sz w:val="21"/>
                <w:szCs w:val="21"/>
                <w:lang w:val="zh-CN" w:eastAsia="zh-CN"/>
              </w:rPr>
            </w:pPr>
            <w:r>
              <w:rPr>
                <w:rFonts w:hint="eastAsia" w:ascii="仿宋" w:hAnsi="仿宋" w:eastAsia="仿宋" w:cs="仿宋"/>
                <w:sz w:val="21"/>
                <w:szCs w:val="21"/>
                <w:lang w:val="zh-CN" w:eastAsia="zh-CN"/>
              </w:rPr>
              <w:t>对本项目自行勘察并提供现场清晰照片及污水处理设备概况（设备准确位置，运行情况等），根据资料齐全程度进行综合打分：</w:t>
            </w:r>
          </w:p>
          <w:p w14:paraId="6D99E932">
            <w:pPr>
              <w:keepNext w:val="0"/>
              <w:keepLines w:val="0"/>
              <w:pageBreakBefore w:val="0"/>
              <w:widowControl w:val="0"/>
              <w:spacing w:line="280" w:lineRule="exact"/>
              <w:jc w:val="left"/>
              <w:rPr>
                <w:rFonts w:hint="eastAsia" w:ascii="仿宋" w:hAnsi="仿宋" w:eastAsia="仿宋" w:cs="仿宋"/>
                <w:sz w:val="21"/>
                <w:szCs w:val="21"/>
                <w:lang w:val="zh-CN" w:eastAsia="zh-CN"/>
              </w:rPr>
            </w:pPr>
            <w:r>
              <w:rPr>
                <w:rFonts w:hint="eastAsia" w:ascii="仿宋" w:hAnsi="仿宋" w:eastAsia="仿宋" w:cs="仿宋"/>
                <w:sz w:val="21"/>
                <w:szCs w:val="21"/>
                <w:lang w:val="zh-CN" w:eastAsia="zh-CN"/>
              </w:rPr>
              <w:t>1</w:t>
            </w:r>
            <w:r>
              <w:rPr>
                <w:rFonts w:hint="eastAsia" w:ascii="仿宋" w:hAnsi="仿宋" w:eastAsia="仿宋" w:cs="仿宋"/>
                <w:sz w:val="21"/>
                <w:szCs w:val="21"/>
                <w:lang w:val="en-US" w:eastAsia="zh-CN"/>
              </w:rPr>
              <w:t>.</w:t>
            </w:r>
            <w:r>
              <w:rPr>
                <w:rFonts w:hint="eastAsia" w:ascii="仿宋" w:hAnsi="仿宋" w:eastAsia="仿宋" w:cs="仿宋"/>
                <w:sz w:val="21"/>
                <w:szCs w:val="21"/>
                <w:lang w:val="zh-CN" w:eastAsia="zh-CN"/>
              </w:rPr>
              <w:t>提供的资料完整、全面的，得</w:t>
            </w:r>
            <w:r>
              <w:rPr>
                <w:rFonts w:hint="eastAsia" w:ascii="仿宋" w:hAnsi="仿宋" w:eastAsia="仿宋" w:cs="仿宋"/>
                <w:sz w:val="21"/>
                <w:szCs w:val="21"/>
                <w:lang w:val="en-US" w:eastAsia="zh-CN"/>
              </w:rPr>
              <w:t>10</w:t>
            </w:r>
            <w:r>
              <w:rPr>
                <w:rFonts w:hint="eastAsia" w:ascii="仿宋" w:hAnsi="仿宋" w:eastAsia="仿宋" w:cs="仿宋"/>
                <w:sz w:val="21"/>
                <w:szCs w:val="21"/>
                <w:lang w:val="zh-CN" w:eastAsia="zh-CN"/>
              </w:rPr>
              <w:t>分；</w:t>
            </w:r>
          </w:p>
          <w:p w14:paraId="3250E4FC">
            <w:pPr>
              <w:keepNext w:val="0"/>
              <w:keepLines w:val="0"/>
              <w:pageBreakBefore w:val="0"/>
              <w:widowControl w:val="0"/>
              <w:spacing w:line="280" w:lineRule="exact"/>
              <w:jc w:val="left"/>
              <w:rPr>
                <w:rFonts w:hint="eastAsia" w:ascii="仿宋" w:hAnsi="仿宋" w:eastAsia="仿宋" w:cs="仿宋"/>
                <w:sz w:val="21"/>
                <w:szCs w:val="21"/>
                <w:lang w:val="zh-CN" w:eastAsia="zh-CN"/>
              </w:rPr>
            </w:pPr>
            <w:r>
              <w:rPr>
                <w:rFonts w:hint="eastAsia" w:ascii="仿宋" w:hAnsi="仿宋" w:eastAsia="仿宋" w:cs="仿宋"/>
                <w:sz w:val="21"/>
                <w:szCs w:val="21"/>
                <w:lang w:val="zh-CN" w:eastAsia="zh-CN"/>
              </w:rPr>
              <w:t>2</w:t>
            </w:r>
            <w:r>
              <w:rPr>
                <w:rFonts w:hint="eastAsia" w:ascii="仿宋" w:hAnsi="仿宋" w:eastAsia="仿宋" w:cs="仿宋"/>
                <w:sz w:val="21"/>
                <w:szCs w:val="21"/>
                <w:lang w:val="en-US" w:eastAsia="zh-CN"/>
              </w:rPr>
              <w:t>.</w:t>
            </w:r>
            <w:r>
              <w:rPr>
                <w:rFonts w:hint="eastAsia" w:ascii="仿宋" w:hAnsi="仿宋" w:eastAsia="仿宋" w:cs="仿宋"/>
                <w:sz w:val="21"/>
                <w:szCs w:val="21"/>
                <w:lang w:val="zh-CN" w:eastAsia="zh-CN"/>
              </w:rPr>
              <w:t>提供的资料较完整、较全面的，得</w:t>
            </w:r>
            <w:r>
              <w:rPr>
                <w:rFonts w:hint="eastAsia" w:ascii="仿宋" w:hAnsi="仿宋" w:eastAsia="仿宋" w:cs="仿宋"/>
                <w:sz w:val="21"/>
                <w:szCs w:val="21"/>
                <w:lang w:val="en-US" w:eastAsia="zh-CN"/>
              </w:rPr>
              <w:t>5</w:t>
            </w:r>
            <w:r>
              <w:rPr>
                <w:rFonts w:hint="eastAsia" w:ascii="仿宋" w:hAnsi="仿宋" w:eastAsia="仿宋" w:cs="仿宋"/>
                <w:sz w:val="21"/>
                <w:szCs w:val="21"/>
                <w:lang w:val="zh-CN" w:eastAsia="zh-CN"/>
              </w:rPr>
              <w:t>分；</w:t>
            </w:r>
          </w:p>
          <w:p w14:paraId="44DDA908">
            <w:pPr>
              <w:keepNext w:val="0"/>
              <w:keepLines w:val="0"/>
              <w:pageBreakBefore w:val="0"/>
              <w:widowControl w:val="0"/>
              <w:spacing w:line="280" w:lineRule="exact"/>
              <w:jc w:val="left"/>
              <w:rPr>
                <w:rFonts w:hint="eastAsia" w:ascii="仿宋" w:hAnsi="仿宋" w:eastAsia="仿宋" w:cs="仿宋"/>
                <w:sz w:val="21"/>
                <w:szCs w:val="21"/>
                <w:lang w:val="en-US" w:eastAsia="zh-CN"/>
              </w:rPr>
            </w:pPr>
            <w:r>
              <w:rPr>
                <w:rFonts w:hint="eastAsia" w:ascii="仿宋" w:hAnsi="仿宋" w:eastAsia="仿宋" w:cs="仿宋"/>
                <w:sz w:val="21"/>
                <w:szCs w:val="21"/>
                <w:lang w:val="zh-CN" w:eastAsia="zh-CN"/>
              </w:rPr>
              <w:t>3</w:t>
            </w:r>
            <w:r>
              <w:rPr>
                <w:rFonts w:hint="eastAsia" w:ascii="仿宋" w:hAnsi="仿宋" w:eastAsia="仿宋" w:cs="仿宋"/>
                <w:sz w:val="21"/>
                <w:szCs w:val="21"/>
                <w:lang w:val="en-US" w:eastAsia="zh-CN"/>
              </w:rPr>
              <w:t>.</w:t>
            </w:r>
            <w:r>
              <w:rPr>
                <w:rFonts w:hint="eastAsia" w:ascii="仿宋" w:hAnsi="仿宋" w:eastAsia="仿宋" w:cs="仿宋"/>
                <w:sz w:val="21"/>
                <w:szCs w:val="21"/>
                <w:lang w:val="zh-CN" w:eastAsia="zh-CN"/>
              </w:rPr>
              <w:t>提供的资料不完整、有缺失的得</w:t>
            </w:r>
            <w:r>
              <w:rPr>
                <w:rFonts w:hint="eastAsia" w:ascii="仿宋" w:hAnsi="仿宋" w:eastAsia="仿宋" w:cs="仿宋"/>
                <w:sz w:val="21"/>
                <w:szCs w:val="21"/>
                <w:lang w:val="en-US" w:eastAsia="zh-CN"/>
              </w:rPr>
              <w:t>2</w:t>
            </w:r>
            <w:r>
              <w:rPr>
                <w:rFonts w:hint="eastAsia" w:ascii="仿宋" w:hAnsi="仿宋" w:eastAsia="仿宋" w:cs="仿宋"/>
                <w:sz w:val="21"/>
                <w:szCs w:val="21"/>
                <w:lang w:val="zh-CN" w:eastAsia="zh-CN"/>
              </w:rPr>
              <w:t>分；未提供的不得分。</w:t>
            </w:r>
          </w:p>
        </w:tc>
      </w:tr>
      <w:tr w14:paraId="42563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751" w:type="dxa"/>
            <w:tcBorders>
              <w:top w:val="single" w:color="000000" w:sz="4" w:space="0"/>
              <w:left w:val="single" w:color="000000" w:sz="4" w:space="0"/>
              <w:bottom w:val="single" w:color="000000" w:sz="4" w:space="0"/>
              <w:right w:val="single" w:color="000000" w:sz="4" w:space="0"/>
            </w:tcBorders>
            <w:noWrap w:val="0"/>
            <w:vAlign w:val="center"/>
          </w:tcPr>
          <w:p w14:paraId="45F87097">
            <w:pPr>
              <w:keepLines w:val="0"/>
              <w:pageBreakBefore w:val="0"/>
              <w:spacing w:line="380" w:lineRule="exact"/>
              <w:jc w:val="center"/>
              <w:rPr>
                <w:rFonts w:hint="eastAsia" w:eastAsia="宋体"/>
                <w:bCs/>
                <w:color w:val="000000"/>
                <w:sz w:val="24"/>
                <w:highlight w:val="none"/>
                <w:lang w:val="zh-CN" w:eastAsia="zh-CN"/>
              </w:rPr>
            </w:pPr>
            <w:r>
              <w:rPr>
                <w:rFonts w:hint="eastAsia"/>
                <w:bCs/>
                <w:color w:val="000000"/>
                <w:sz w:val="24"/>
                <w:highlight w:val="none"/>
                <w:lang w:val="en-US" w:eastAsia="zh-CN"/>
              </w:rPr>
              <w:t>6</w:t>
            </w:r>
          </w:p>
        </w:tc>
        <w:tc>
          <w:tcPr>
            <w:tcW w:w="1512" w:type="dxa"/>
            <w:tcBorders>
              <w:top w:val="single" w:color="000000" w:sz="4" w:space="0"/>
              <w:left w:val="single" w:color="000000" w:sz="4" w:space="0"/>
              <w:bottom w:val="single" w:color="000000" w:sz="4" w:space="0"/>
              <w:right w:val="single" w:color="000000" w:sz="4" w:space="0"/>
            </w:tcBorders>
            <w:noWrap w:val="0"/>
            <w:vAlign w:val="center"/>
          </w:tcPr>
          <w:p w14:paraId="6A2D6DB8">
            <w:pPr>
              <w:keepNext w:val="0"/>
              <w:keepLines w:val="0"/>
              <w:pageBreakBefore w:val="0"/>
              <w:widowControl w:val="0"/>
              <w:spacing w:line="280" w:lineRule="exact"/>
              <w:jc w:val="center"/>
              <w:rPr>
                <w:rFonts w:hint="eastAsia" w:ascii="仿宋" w:hAnsi="仿宋" w:eastAsia="仿宋" w:cs="仿宋"/>
                <w:sz w:val="21"/>
                <w:szCs w:val="21"/>
                <w:lang w:val="zh-CN" w:eastAsia="zh-CN"/>
              </w:rPr>
            </w:pPr>
            <w:r>
              <w:rPr>
                <w:rFonts w:hint="eastAsia" w:ascii="仿宋" w:hAnsi="仿宋" w:eastAsia="仿宋" w:cs="仿宋"/>
                <w:sz w:val="21"/>
                <w:szCs w:val="21"/>
                <w:lang w:val="zh-CN" w:eastAsia="zh-CN"/>
              </w:rPr>
              <w:t>日常维护</w:t>
            </w:r>
          </w:p>
          <w:p w14:paraId="721F55FE">
            <w:pPr>
              <w:keepNext w:val="0"/>
              <w:keepLines w:val="0"/>
              <w:pageBreakBefore w:val="0"/>
              <w:widowControl w:val="0"/>
              <w:spacing w:line="280" w:lineRule="exact"/>
              <w:jc w:val="center"/>
              <w:rPr>
                <w:rFonts w:hint="eastAsia"/>
                <w:lang w:val="en-US" w:eastAsia="zh-CN"/>
              </w:rPr>
            </w:pPr>
            <w:r>
              <w:rPr>
                <w:rFonts w:hint="eastAsia" w:ascii="仿宋" w:hAnsi="仿宋" w:eastAsia="仿宋" w:cs="仿宋"/>
                <w:sz w:val="21"/>
                <w:szCs w:val="21"/>
                <w:lang w:val="zh-CN" w:eastAsia="zh-CN"/>
              </w:rPr>
              <w:t>方案</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14:paraId="2848CFFE">
            <w:pPr>
              <w:keepNext w:val="0"/>
              <w:keepLines w:val="0"/>
              <w:pageBreakBefore w:val="0"/>
              <w:widowControl w:val="0"/>
              <w:spacing w:line="280" w:lineRule="exact"/>
              <w:jc w:val="center"/>
              <w:rPr>
                <w:rFonts w:hint="eastAsia"/>
                <w:lang w:eastAsia="zh-CN"/>
              </w:rPr>
            </w:pPr>
            <w:r>
              <w:rPr>
                <w:rFonts w:hint="eastAsia" w:ascii="仿宋" w:hAnsi="仿宋" w:eastAsia="仿宋" w:cs="仿宋"/>
                <w:sz w:val="21"/>
                <w:szCs w:val="21"/>
                <w:lang w:val="en-US" w:eastAsia="zh-CN"/>
              </w:rPr>
              <w:t>5</w:t>
            </w:r>
          </w:p>
        </w:tc>
        <w:tc>
          <w:tcPr>
            <w:tcW w:w="6693" w:type="dxa"/>
            <w:tcBorders>
              <w:top w:val="single" w:color="000000" w:sz="4" w:space="0"/>
              <w:left w:val="single" w:color="000000" w:sz="4" w:space="0"/>
              <w:bottom w:val="single" w:color="000000" w:sz="4" w:space="0"/>
              <w:right w:val="single" w:color="000000" w:sz="4" w:space="0"/>
            </w:tcBorders>
            <w:noWrap w:val="0"/>
            <w:vAlign w:val="center"/>
          </w:tcPr>
          <w:p w14:paraId="64DD07DA">
            <w:pPr>
              <w:keepNext w:val="0"/>
              <w:keepLines w:val="0"/>
              <w:pageBreakBefore w:val="0"/>
              <w:widowControl w:val="0"/>
              <w:spacing w:line="280" w:lineRule="exact"/>
              <w:jc w:val="left"/>
              <w:rPr>
                <w:rFonts w:hint="eastAsia" w:ascii="仿宋" w:hAnsi="仿宋" w:eastAsia="仿宋" w:cs="仿宋"/>
                <w:sz w:val="21"/>
                <w:szCs w:val="21"/>
                <w:lang w:val="zh-CN" w:eastAsia="zh-CN"/>
              </w:rPr>
            </w:pPr>
            <w:r>
              <w:rPr>
                <w:rFonts w:hint="eastAsia" w:ascii="仿宋" w:hAnsi="仿宋" w:eastAsia="仿宋" w:cs="仿宋"/>
                <w:sz w:val="21"/>
                <w:szCs w:val="21"/>
                <w:lang w:val="zh-CN" w:eastAsia="zh-CN"/>
              </w:rPr>
              <w:t>对村级污水处理设施运行、维护及安全技术规程进行打分：</w:t>
            </w:r>
          </w:p>
          <w:p w14:paraId="394FC75D">
            <w:pPr>
              <w:keepNext w:val="0"/>
              <w:keepLines w:val="0"/>
              <w:pageBreakBefore w:val="0"/>
              <w:widowControl w:val="0"/>
              <w:spacing w:line="280" w:lineRule="exact"/>
              <w:jc w:val="left"/>
              <w:rPr>
                <w:rFonts w:hint="eastAsia" w:ascii="仿宋" w:hAnsi="仿宋" w:eastAsia="仿宋" w:cs="仿宋"/>
                <w:sz w:val="21"/>
                <w:szCs w:val="21"/>
                <w:lang w:val="zh-CN" w:eastAsia="zh-CN"/>
              </w:rPr>
            </w:pPr>
            <w:r>
              <w:rPr>
                <w:rFonts w:hint="eastAsia" w:ascii="仿宋" w:hAnsi="仿宋" w:eastAsia="仿宋" w:cs="仿宋"/>
                <w:sz w:val="21"/>
                <w:szCs w:val="21"/>
                <w:lang w:val="en-US" w:eastAsia="zh-CN"/>
              </w:rPr>
              <w:t>1.</w:t>
            </w:r>
            <w:r>
              <w:rPr>
                <w:rFonts w:hint="eastAsia" w:ascii="仿宋" w:hAnsi="仿宋" w:eastAsia="仿宋" w:cs="仿宋"/>
                <w:sz w:val="21"/>
                <w:szCs w:val="21"/>
                <w:lang w:val="zh-CN" w:eastAsia="zh-CN"/>
              </w:rPr>
              <w:t>方案完整、安全技术规程科学完整的，得</w:t>
            </w:r>
            <w:r>
              <w:rPr>
                <w:rFonts w:hint="eastAsia" w:ascii="仿宋" w:hAnsi="仿宋" w:eastAsia="仿宋" w:cs="仿宋"/>
                <w:sz w:val="21"/>
                <w:szCs w:val="21"/>
                <w:lang w:val="en-US" w:eastAsia="zh-CN"/>
              </w:rPr>
              <w:t>5</w:t>
            </w:r>
            <w:r>
              <w:rPr>
                <w:rFonts w:hint="eastAsia" w:ascii="仿宋" w:hAnsi="仿宋" w:eastAsia="仿宋" w:cs="仿宋"/>
                <w:sz w:val="21"/>
                <w:szCs w:val="21"/>
                <w:lang w:val="zh-CN" w:eastAsia="zh-CN"/>
              </w:rPr>
              <w:t>分；</w:t>
            </w:r>
          </w:p>
          <w:p w14:paraId="26FFFD09">
            <w:pPr>
              <w:keepNext w:val="0"/>
              <w:keepLines w:val="0"/>
              <w:pageBreakBefore w:val="0"/>
              <w:widowControl w:val="0"/>
              <w:spacing w:line="280" w:lineRule="exact"/>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r>
              <w:rPr>
                <w:rFonts w:hint="eastAsia" w:ascii="仿宋" w:hAnsi="仿宋" w:eastAsia="仿宋" w:cs="仿宋"/>
                <w:sz w:val="21"/>
                <w:szCs w:val="21"/>
                <w:lang w:val="zh-CN" w:eastAsia="zh-CN"/>
              </w:rPr>
              <w:t>方案较完整、安全技术规程</w:t>
            </w:r>
            <w:r>
              <w:rPr>
                <w:rFonts w:hint="eastAsia" w:ascii="仿宋" w:hAnsi="仿宋" w:eastAsia="仿宋" w:cs="仿宋"/>
                <w:sz w:val="21"/>
                <w:szCs w:val="21"/>
                <w:lang w:val="en-US" w:eastAsia="zh-CN"/>
              </w:rPr>
              <w:t>较科学完整</w:t>
            </w:r>
            <w:r>
              <w:rPr>
                <w:rFonts w:hint="eastAsia" w:ascii="仿宋" w:hAnsi="仿宋" w:eastAsia="仿宋" w:cs="仿宋"/>
                <w:sz w:val="21"/>
                <w:szCs w:val="21"/>
                <w:lang w:val="zh-CN" w:eastAsia="zh-CN"/>
              </w:rPr>
              <w:t>的，得</w:t>
            </w:r>
            <w:r>
              <w:rPr>
                <w:rFonts w:hint="eastAsia" w:ascii="仿宋" w:hAnsi="仿宋" w:eastAsia="仿宋" w:cs="仿宋"/>
                <w:sz w:val="21"/>
                <w:szCs w:val="21"/>
                <w:lang w:val="en-US" w:eastAsia="zh-CN"/>
              </w:rPr>
              <w:t>3</w:t>
            </w:r>
            <w:r>
              <w:rPr>
                <w:rFonts w:hint="eastAsia" w:ascii="仿宋" w:hAnsi="仿宋" w:eastAsia="仿宋" w:cs="仿宋"/>
                <w:sz w:val="21"/>
                <w:szCs w:val="21"/>
                <w:lang w:val="zh-CN" w:eastAsia="zh-CN"/>
              </w:rPr>
              <w:t>分；</w:t>
            </w:r>
          </w:p>
          <w:p w14:paraId="7A3C62C5">
            <w:pPr>
              <w:keepNext w:val="0"/>
              <w:keepLines w:val="0"/>
              <w:pageBreakBefore w:val="0"/>
              <w:widowControl w:val="0"/>
              <w:spacing w:line="280" w:lineRule="exact"/>
              <w:jc w:val="left"/>
              <w:rPr>
                <w:rFonts w:hint="eastAsia" w:ascii="仿宋" w:hAnsi="仿宋" w:eastAsia="仿宋" w:cs="仿宋"/>
                <w:sz w:val="21"/>
                <w:szCs w:val="21"/>
                <w:lang w:val="zh-CN" w:eastAsia="zh-CN"/>
              </w:rPr>
            </w:pPr>
            <w:r>
              <w:rPr>
                <w:rFonts w:hint="eastAsia" w:ascii="仿宋" w:hAnsi="仿宋" w:eastAsia="仿宋" w:cs="仿宋"/>
                <w:sz w:val="21"/>
                <w:szCs w:val="21"/>
                <w:lang w:val="en-US" w:eastAsia="zh-CN"/>
              </w:rPr>
              <w:t>3.</w:t>
            </w:r>
            <w:r>
              <w:rPr>
                <w:rFonts w:hint="eastAsia" w:ascii="仿宋" w:hAnsi="仿宋" w:eastAsia="仿宋" w:cs="仿宋"/>
                <w:sz w:val="21"/>
                <w:szCs w:val="21"/>
                <w:lang w:val="zh-CN" w:eastAsia="zh-CN"/>
              </w:rPr>
              <w:t>方案</w:t>
            </w:r>
            <w:r>
              <w:rPr>
                <w:rFonts w:hint="eastAsia" w:ascii="仿宋" w:hAnsi="仿宋" w:eastAsia="仿宋" w:cs="仿宋"/>
                <w:sz w:val="21"/>
                <w:szCs w:val="21"/>
                <w:lang w:val="en-US" w:eastAsia="zh-CN"/>
              </w:rPr>
              <w:t>一般</w:t>
            </w:r>
            <w:r>
              <w:rPr>
                <w:rFonts w:hint="eastAsia" w:ascii="仿宋" w:hAnsi="仿宋" w:eastAsia="仿宋" w:cs="仿宋"/>
                <w:sz w:val="21"/>
                <w:szCs w:val="21"/>
                <w:lang w:val="zh-CN" w:eastAsia="zh-CN"/>
              </w:rPr>
              <w:t>、安全技术规程一般的，得2分；</w:t>
            </w:r>
          </w:p>
          <w:p w14:paraId="00245155">
            <w:pPr>
              <w:keepNext w:val="0"/>
              <w:keepLines w:val="0"/>
              <w:pageBreakBefore w:val="0"/>
              <w:widowControl w:val="0"/>
              <w:spacing w:line="280" w:lineRule="exact"/>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w:t>
            </w:r>
            <w:r>
              <w:rPr>
                <w:rFonts w:hint="eastAsia" w:ascii="仿宋" w:hAnsi="仿宋" w:eastAsia="仿宋" w:cs="仿宋"/>
                <w:sz w:val="21"/>
                <w:szCs w:val="21"/>
                <w:lang w:val="zh-CN" w:eastAsia="zh-CN"/>
              </w:rPr>
              <w:t>方案合理性和可行性有所欠缺、较为简略的，得1分；未提供的不得分。</w:t>
            </w:r>
          </w:p>
        </w:tc>
      </w:tr>
      <w:tr w14:paraId="29B5CC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6" w:hRule="atLeast"/>
          <w:jc w:val="center"/>
        </w:trPr>
        <w:tc>
          <w:tcPr>
            <w:tcW w:w="751" w:type="dxa"/>
            <w:tcBorders>
              <w:top w:val="single" w:color="000000" w:sz="4" w:space="0"/>
              <w:left w:val="single" w:color="000000" w:sz="4" w:space="0"/>
              <w:bottom w:val="single" w:color="000000" w:sz="4" w:space="0"/>
              <w:right w:val="single" w:color="000000" w:sz="4" w:space="0"/>
            </w:tcBorders>
            <w:noWrap w:val="0"/>
            <w:vAlign w:val="center"/>
          </w:tcPr>
          <w:p w14:paraId="1C885B74">
            <w:pPr>
              <w:keepLines w:val="0"/>
              <w:pageBreakBefore w:val="0"/>
              <w:spacing w:line="380" w:lineRule="exact"/>
              <w:jc w:val="center"/>
              <w:rPr>
                <w:rFonts w:hint="eastAsia" w:eastAsia="宋体"/>
                <w:bCs/>
                <w:color w:val="000000"/>
                <w:sz w:val="24"/>
                <w:highlight w:val="none"/>
                <w:lang w:eastAsia="zh-CN"/>
              </w:rPr>
            </w:pPr>
            <w:r>
              <w:rPr>
                <w:rFonts w:hint="eastAsia"/>
                <w:bCs/>
                <w:color w:val="000000"/>
                <w:sz w:val="24"/>
                <w:highlight w:val="none"/>
                <w:lang w:val="en-US" w:eastAsia="zh-CN"/>
              </w:rPr>
              <w:t>7</w:t>
            </w:r>
          </w:p>
        </w:tc>
        <w:tc>
          <w:tcPr>
            <w:tcW w:w="1512" w:type="dxa"/>
            <w:tcBorders>
              <w:top w:val="single" w:color="000000" w:sz="4" w:space="0"/>
              <w:left w:val="single" w:color="000000" w:sz="4" w:space="0"/>
              <w:bottom w:val="single" w:color="000000" w:sz="4" w:space="0"/>
              <w:right w:val="single" w:color="000000" w:sz="4" w:space="0"/>
            </w:tcBorders>
            <w:noWrap w:val="0"/>
            <w:vAlign w:val="center"/>
          </w:tcPr>
          <w:p w14:paraId="7867D1ED">
            <w:pPr>
              <w:keepNext w:val="0"/>
              <w:keepLines w:val="0"/>
              <w:pageBreakBefore w:val="0"/>
              <w:widowControl w:val="0"/>
              <w:spacing w:line="280" w:lineRule="exact"/>
              <w:jc w:val="center"/>
              <w:rPr>
                <w:rFonts w:hint="eastAsia" w:ascii="仿宋" w:hAnsi="仿宋" w:eastAsia="仿宋" w:cs="仿宋"/>
                <w:sz w:val="21"/>
                <w:szCs w:val="21"/>
                <w:lang w:val="zh-CN" w:eastAsia="zh-CN"/>
              </w:rPr>
            </w:pPr>
            <w:r>
              <w:rPr>
                <w:rFonts w:hint="eastAsia" w:ascii="仿宋" w:hAnsi="仿宋" w:eastAsia="仿宋" w:cs="仿宋"/>
                <w:sz w:val="21"/>
                <w:szCs w:val="21"/>
                <w:lang w:val="zh-CN" w:eastAsia="zh-CN"/>
              </w:rPr>
              <w:t>日常设备</w:t>
            </w:r>
          </w:p>
          <w:p w14:paraId="7E846670">
            <w:pPr>
              <w:keepNext w:val="0"/>
              <w:keepLines w:val="0"/>
              <w:pageBreakBefore w:val="0"/>
              <w:widowControl w:val="0"/>
              <w:spacing w:line="280" w:lineRule="exact"/>
              <w:jc w:val="center"/>
              <w:rPr>
                <w:rFonts w:hint="eastAsia" w:ascii="仿宋" w:hAnsi="仿宋" w:eastAsia="仿宋" w:cs="仿宋"/>
                <w:sz w:val="21"/>
                <w:szCs w:val="21"/>
                <w:lang w:val="zh-CN" w:eastAsia="zh-CN"/>
              </w:rPr>
            </w:pPr>
            <w:r>
              <w:rPr>
                <w:rFonts w:hint="eastAsia" w:ascii="仿宋" w:hAnsi="仿宋" w:eastAsia="仿宋" w:cs="仿宋"/>
                <w:sz w:val="21"/>
                <w:szCs w:val="21"/>
                <w:lang w:val="zh-CN" w:eastAsia="zh-CN"/>
              </w:rPr>
              <w:t>检修的管</w:t>
            </w:r>
          </w:p>
          <w:p w14:paraId="37B81385">
            <w:pPr>
              <w:keepNext w:val="0"/>
              <w:keepLines w:val="0"/>
              <w:pageBreakBefore w:val="0"/>
              <w:widowControl w:val="0"/>
              <w:spacing w:line="280" w:lineRule="exact"/>
              <w:jc w:val="center"/>
              <w:rPr>
                <w:rFonts w:hint="eastAsia" w:ascii="仿宋" w:hAnsi="仿宋" w:eastAsia="仿宋" w:cs="仿宋"/>
                <w:sz w:val="21"/>
                <w:szCs w:val="21"/>
                <w:lang w:val="zh-CN" w:eastAsia="zh-CN"/>
              </w:rPr>
            </w:pPr>
            <w:r>
              <w:rPr>
                <w:rFonts w:hint="eastAsia" w:ascii="仿宋" w:hAnsi="仿宋" w:eastAsia="仿宋" w:cs="仿宋"/>
                <w:sz w:val="21"/>
                <w:szCs w:val="21"/>
                <w:lang w:val="zh-CN" w:eastAsia="zh-CN"/>
              </w:rPr>
              <w:t>理方案</w:t>
            </w:r>
          </w:p>
          <w:p w14:paraId="39F88F27">
            <w:pPr>
              <w:keepNext w:val="0"/>
              <w:keepLines w:val="0"/>
              <w:pageBreakBefore w:val="0"/>
              <w:widowControl w:val="0"/>
              <w:spacing w:line="280" w:lineRule="exact"/>
              <w:jc w:val="center"/>
            </w:pPr>
          </w:p>
        </w:tc>
        <w:tc>
          <w:tcPr>
            <w:tcW w:w="738" w:type="dxa"/>
            <w:tcBorders>
              <w:top w:val="single" w:color="000000" w:sz="4" w:space="0"/>
              <w:left w:val="single" w:color="000000" w:sz="4" w:space="0"/>
              <w:bottom w:val="single" w:color="000000" w:sz="4" w:space="0"/>
              <w:right w:val="single" w:color="000000" w:sz="4" w:space="0"/>
            </w:tcBorders>
            <w:noWrap w:val="0"/>
            <w:vAlign w:val="center"/>
          </w:tcPr>
          <w:p w14:paraId="1E13B61F">
            <w:pPr>
              <w:keepNext w:val="0"/>
              <w:keepLines w:val="0"/>
              <w:pageBreakBefore w:val="0"/>
              <w:widowControl w:val="0"/>
              <w:spacing w:line="280" w:lineRule="exact"/>
              <w:jc w:val="center"/>
              <w:rPr>
                <w:rFonts w:hint="default"/>
                <w:lang w:val="en-US" w:eastAsia="zh-CN"/>
              </w:rPr>
            </w:pPr>
            <w:r>
              <w:rPr>
                <w:rFonts w:hint="eastAsia" w:ascii="仿宋" w:hAnsi="仿宋" w:eastAsia="仿宋" w:cs="仿宋"/>
                <w:sz w:val="21"/>
                <w:szCs w:val="21"/>
                <w:lang w:val="en-US" w:eastAsia="zh-CN"/>
              </w:rPr>
              <w:t>5</w:t>
            </w:r>
          </w:p>
        </w:tc>
        <w:tc>
          <w:tcPr>
            <w:tcW w:w="6693" w:type="dxa"/>
            <w:tcBorders>
              <w:top w:val="single" w:color="000000" w:sz="4" w:space="0"/>
              <w:left w:val="single" w:color="000000" w:sz="4" w:space="0"/>
              <w:bottom w:val="single" w:color="000000" w:sz="4" w:space="0"/>
              <w:right w:val="single" w:color="000000" w:sz="4" w:space="0"/>
            </w:tcBorders>
            <w:noWrap w:val="0"/>
            <w:vAlign w:val="center"/>
          </w:tcPr>
          <w:p w14:paraId="38B27260">
            <w:pPr>
              <w:keepNext w:val="0"/>
              <w:keepLines w:val="0"/>
              <w:pageBreakBefore w:val="0"/>
              <w:widowControl w:val="0"/>
              <w:spacing w:line="280" w:lineRule="exact"/>
              <w:jc w:val="left"/>
              <w:rPr>
                <w:rFonts w:hint="eastAsia" w:ascii="仿宋" w:hAnsi="仿宋" w:eastAsia="仿宋" w:cs="仿宋"/>
                <w:sz w:val="21"/>
                <w:szCs w:val="21"/>
                <w:lang w:val="zh-CN" w:eastAsia="zh-CN"/>
              </w:rPr>
            </w:pPr>
            <w:r>
              <w:rPr>
                <w:rFonts w:hint="eastAsia" w:ascii="仿宋" w:hAnsi="仿宋" w:eastAsia="仿宋" w:cs="仿宋"/>
                <w:sz w:val="21"/>
                <w:szCs w:val="21"/>
                <w:lang w:val="zh-CN" w:eastAsia="zh-CN"/>
              </w:rPr>
              <w:t>对设备巡检的实施方案，常规检修的人员安排进行合理打分：</w:t>
            </w:r>
          </w:p>
          <w:p w14:paraId="7EA9F27D">
            <w:pPr>
              <w:keepNext w:val="0"/>
              <w:keepLines w:val="0"/>
              <w:pageBreakBefore w:val="0"/>
              <w:widowControl w:val="0"/>
              <w:spacing w:line="280" w:lineRule="exact"/>
              <w:jc w:val="left"/>
              <w:rPr>
                <w:rFonts w:hint="eastAsia" w:ascii="仿宋" w:hAnsi="仿宋" w:eastAsia="仿宋" w:cs="仿宋"/>
                <w:sz w:val="21"/>
                <w:szCs w:val="21"/>
                <w:lang w:val="zh-CN" w:eastAsia="zh-CN"/>
              </w:rPr>
            </w:pPr>
            <w:r>
              <w:rPr>
                <w:rFonts w:hint="eastAsia" w:ascii="仿宋" w:hAnsi="仿宋" w:eastAsia="仿宋" w:cs="仿宋"/>
                <w:sz w:val="21"/>
                <w:szCs w:val="21"/>
                <w:lang w:val="en-US" w:eastAsia="zh-CN"/>
              </w:rPr>
              <w:t>1.</w:t>
            </w:r>
            <w:r>
              <w:rPr>
                <w:rFonts w:hint="eastAsia" w:ascii="仿宋" w:hAnsi="仿宋" w:eastAsia="仿宋" w:cs="仿宋"/>
                <w:sz w:val="21"/>
                <w:szCs w:val="21"/>
                <w:lang w:val="zh-CN" w:eastAsia="zh-CN"/>
              </w:rPr>
              <w:t>管理方案完整、科学、可操作性强的得</w:t>
            </w:r>
            <w:r>
              <w:rPr>
                <w:rFonts w:hint="eastAsia" w:ascii="仿宋" w:hAnsi="仿宋" w:eastAsia="仿宋" w:cs="仿宋"/>
                <w:sz w:val="21"/>
                <w:szCs w:val="21"/>
                <w:lang w:val="en-US" w:eastAsia="zh-CN"/>
              </w:rPr>
              <w:t>5</w:t>
            </w:r>
            <w:r>
              <w:rPr>
                <w:rFonts w:hint="eastAsia" w:ascii="仿宋" w:hAnsi="仿宋" w:eastAsia="仿宋" w:cs="仿宋"/>
                <w:sz w:val="21"/>
                <w:szCs w:val="21"/>
                <w:lang w:val="zh-CN" w:eastAsia="zh-CN"/>
              </w:rPr>
              <w:t>分；</w:t>
            </w:r>
          </w:p>
          <w:p w14:paraId="69BC8416">
            <w:pPr>
              <w:keepNext w:val="0"/>
              <w:keepLines w:val="0"/>
              <w:pageBreakBefore w:val="0"/>
              <w:widowControl w:val="0"/>
              <w:spacing w:line="280" w:lineRule="exact"/>
              <w:jc w:val="left"/>
              <w:rPr>
                <w:rFonts w:hint="eastAsia" w:ascii="仿宋" w:hAnsi="仿宋" w:eastAsia="仿宋" w:cs="仿宋"/>
                <w:sz w:val="21"/>
                <w:szCs w:val="21"/>
                <w:lang w:val="zh-CN" w:eastAsia="zh-CN"/>
              </w:rPr>
            </w:pPr>
            <w:r>
              <w:rPr>
                <w:rFonts w:hint="eastAsia" w:ascii="仿宋" w:hAnsi="仿宋" w:eastAsia="仿宋" w:cs="仿宋"/>
                <w:sz w:val="21"/>
                <w:szCs w:val="21"/>
                <w:lang w:val="en-US" w:eastAsia="zh-CN"/>
              </w:rPr>
              <w:t>2.</w:t>
            </w:r>
            <w:r>
              <w:rPr>
                <w:rFonts w:hint="eastAsia" w:ascii="仿宋" w:hAnsi="仿宋" w:eastAsia="仿宋" w:cs="仿宋"/>
                <w:sz w:val="21"/>
                <w:szCs w:val="21"/>
                <w:lang w:val="zh-CN" w:eastAsia="zh-CN"/>
              </w:rPr>
              <w:t>管理方案较完整、较科学、可操作性较强的得</w:t>
            </w:r>
            <w:r>
              <w:rPr>
                <w:rFonts w:hint="eastAsia" w:ascii="仿宋" w:hAnsi="仿宋" w:eastAsia="仿宋" w:cs="仿宋"/>
                <w:sz w:val="21"/>
                <w:szCs w:val="21"/>
                <w:lang w:val="en-US" w:eastAsia="zh-CN"/>
              </w:rPr>
              <w:t>3</w:t>
            </w:r>
            <w:r>
              <w:rPr>
                <w:rFonts w:hint="eastAsia" w:ascii="仿宋" w:hAnsi="仿宋" w:eastAsia="仿宋" w:cs="仿宋"/>
                <w:sz w:val="21"/>
                <w:szCs w:val="21"/>
                <w:lang w:val="zh-CN" w:eastAsia="zh-CN"/>
              </w:rPr>
              <w:t>分；</w:t>
            </w:r>
          </w:p>
          <w:p w14:paraId="34EB2629">
            <w:pPr>
              <w:keepNext w:val="0"/>
              <w:keepLines w:val="0"/>
              <w:pageBreakBefore w:val="0"/>
              <w:widowControl w:val="0"/>
              <w:spacing w:line="280" w:lineRule="exact"/>
              <w:jc w:val="left"/>
              <w:rPr>
                <w:rFonts w:hint="eastAsia" w:ascii="仿宋" w:hAnsi="仿宋" w:eastAsia="仿宋" w:cs="仿宋"/>
                <w:sz w:val="21"/>
                <w:szCs w:val="21"/>
                <w:lang w:val="zh-CN" w:eastAsia="zh-CN"/>
              </w:rPr>
            </w:pPr>
            <w:r>
              <w:rPr>
                <w:rFonts w:hint="eastAsia" w:ascii="仿宋" w:hAnsi="仿宋" w:eastAsia="仿宋" w:cs="仿宋"/>
                <w:sz w:val="21"/>
                <w:szCs w:val="21"/>
                <w:lang w:val="en-US" w:eastAsia="zh-CN"/>
              </w:rPr>
              <w:t>3.</w:t>
            </w:r>
            <w:r>
              <w:rPr>
                <w:rFonts w:hint="eastAsia" w:ascii="仿宋" w:hAnsi="仿宋" w:eastAsia="仿宋" w:cs="仿宋"/>
                <w:sz w:val="21"/>
                <w:szCs w:val="21"/>
                <w:lang w:val="zh-CN" w:eastAsia="zh-CN"/>
              </w:rPr>
              <w:t>管理方案</w:t>
            </w:r>
            <w:r>
              <w:rPr>
                <w:rFonts w:hint="eastAsia" w:ascii="仿宋" w:hAnsi="仿宋" w:eastAsia="仿宋" w:cs="仿宋"/>
                <w:sz w:val="21"/>
                <w:szCs w:val="21"/>
                <w:lang w:val="en-US" w:eastAsia="zh-CN"/>
              </w:rPr>
              <w:t>一般</w:t>
            </w:r>
            <w:r>
              <w:rPr>
                <w:rFonts w:hint="eastAsia" w:ascii="仿宋" w:hAnsi="仿宋" w:eastAsia="仿宋" w:cs="仿宋"/>
                <w:sz w:val="21"/>
                <w:szCs w:val="21"/>
                <w:lang w:val="zh-CN" w:eastAsia="zh-CN"/>
              </w:rPr>
              <w:t>、可操作性</w:t>
            </w:r>
            <w:r>
              <w:rPr>
                <w:rFonts w:hint="eastAsia" w:ascii="仿宋" w:hAnsi="仿宋" w:eastAsia="仿宋" w:cs="仿宋"/>
                <w:sz w:val="21"/>
                <w:szCs w:val="21"/>
                <w:lang w:val="en-US" w:eastAsia="zh-CN"/>
              </w:rPr>
              <w:t>一般</w:t>
            </w:r>
            <w:r>
              <w:rPr>
                <w:rFonts w:hint="eastAsia" w:ascii="仿宋" w:hAnsi="仿宋" w:eastAsia="仿宋" w:cs="仿宋"/>
                <w:sz w:val="21"/>
                <w:szCs w:val="21"/>
                <w:lang w:val="zh-CN" w:eastAsia="zh-CN"/>
              </w:rPr>
              <w:t>的得2分；</w:t>
            </w:r>
          </w:p>
          <w:p w14:paraId="23EE13F7">
            <w:pPr>
              <w:keepNext w:val="0"/>
              <w:keepLines w:val="0"/>
              <w:pageBreakBefore w:val="0"/>
              <w:widowControl w:val="0"/>
              <w:spacing w:line="280" w:lineRule="exact"/>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w:t>
            </w:r>
            <w:r>
              <w:rPr>
                <w:rFonts w:hint="eastAsia" w:ascii="仿宋" w:hAnsi="仿宋" w:eastAsia="仿宋" w:cs="仿宋"/>
                <w:sz w:val="21"/>
                <w:szCs w:val="21"/>
                <w:lang w:val="zh-CN" w:eastAsia="zh-CN"/>
              </w:rPr>
              <w:t>管理方案较差、不科学、可操作性</w:t>
            </w:r>
            <w:r>
              <w:rPr>
                <w:rFonts w:hint="eastAsia" w:ascii="仿宋" w:hAnsi="仿宋" w:eastAsia="仿宋" w:cs="仿宋"/>
                <w:sz w:val="21"/>
                <w:szCs w:val="21"/>
                <w:lang w:val="en-US" w:eastAsia="zh-CN"/>
              </w:rPr>
              <w:t>差</w:t>
            </w:r>
            <w:r>
              <w:rPr>
                <w:rFonts w:hint="eastAsia" w:ascii="仿宋" w:hAnsi="仿宋" w:eastAsia="仿宋" w:cs="仿宋"/>
                <w:sz w:val="21"/>
                <w:szCs w:val="21"/>
                <w:lang w:val="zh-CN" w:eastAsia="zh-CN"/>
              </w:rPr>
              <w:t>的，得1分；未提供的不得分。</w:t>
            </w:r>
          </w:p>
        </w:tc>
      </w:tr>
      <w:tr w14:paraId="4EC36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6" w:hRule="atLeast"/>
          <w:jc w:val="center"/>
        </w:trPr>
        <w:tc>
          <w:tcPr>
            <w:tcW w:w="751" w:type="dxa"/>
            <w:tcBorders>
              <w:top w:val="single" w:color="000000" w:sz="4" w:space="0"/>
              <w:left w:val="single" w:color="000000" w:sz="4" w:space="0"/>
              <w:bottom w:val="single" w:color="000000" w:sz="4" w:space="0"/>
              <w:right w:val="single" w:color="000000" w:sz="4" w:space="0"/>
            </w:tcBorders>
            <w:noWrap w:val="0"/>
            <w:vAlign w:val="center"/>
          </w:tcPr>
          <w:p w14:paraId="05AD443F">
            <w:pPr>
              <w:keepNext w:val="0"/>
              <w:keepLines w:val="0"/>
              <w:pageBreakBefore w:val="0"/>
              <w:widowControl w:val="0"/>
              <w:spacing w:line="280" w:lineRule="exact"/>
              <w:jc w:val="center"/>
              <w:rPr>
                <w:rFonts w:hint="eastAsia"/>
                <w:bCs/>
                <w:color w:val="000000"/>
                <w:sz w:val="24"/>
                <w:highlight w:val="none"/>
                <w:lang w:val="en-US" w:eastAsia="zh-CN"/>
              </w:rPr>
            </w:pPr>
            <w:r>
              <w:rPr>
                <w:rFonts w:hint="eastAsia" w:ascii="仿宋" w:hAnsi="仿宋" w:eastAsia="仿宋" w:cs="仿宋"/>
                <w:sz w:val="21"/>
                <w:szCs w:val="21"/>
              </w:rPr>
              <w:t>8</w:t>
            </w:r>
          </w:p>
        </w:tc>
        <w:tc>
          <w:tcPr>
            <w:tcW w:w="1512" w:type="dxa"/>
            <w:tcBorders>
              <w:top w:val="single" w:color="000000" w:sz="4" w:space="0"/>
              <w:left w:val="single" w:color="000000" w:sz="4" w:space="0"/>
              <w:bottom w:val="single" w:color="000000" w:sz="4" w:space="0"/>
              <w:right w:val="single" w:color="000000" w:sz="4" w:space="0"/>
            </w:tcBorders>
            <w:noWrap w:val="0"/>
            <w:vAlign w:val="center"/>
          </w:tcPr>
          <w:p w14:paraId="21553731">
            <w:pPr>
              <w:keepNext w:val="0"/>
              <w:keepLines w:val="0"/>
              <w:pageBreakBefore w:val="0"/>
              <w:widowControl w:val="0"/>
              <w:spacing w:line="280" w:lineRule="exact"/>
              <w:jc w:val="center"/>
            </w:pPr>
            <w:r>
              <w:rPr>
                <w:rFonts w:hint="eastAsia" w:ascii="仿宋" w:hAnsi="仿宋" w:eastAsia="仿宋" w:cs="仿宋"/>
                <w:sz w:val="21"/>
                <w:szCs w:val="21"/>
                <w:lang w:val="en-US" w:eastAsia="zh-CN"/>
              </w:rPr>
              <w:t>污水处理站突发环境事故应急预案</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14:paraId="0913F9EA">
            <w:pPr>
              <w:keepNext w:val="0"/>
              <w:keepLines w:val="0"/>
              <w:pageBreakBefore w:val="0"/>
              <w:widowControl w:val="0"/>
              <w:spacing w:line="28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w:t>
            </w:r>
          </w:p>
        </w:tc>
        <w:tc>
          <w:tcPr>
            <w:tcW w:w="6693" w:type="dxa"/>
            <w:tcBorders>
              <w:top w:val="single" w:color="000000" w:sz="4" w:space="0"/>
              <w:left w:val="single" w:color="000000" w:sz="4" w:space="0"/>
              <w:bottom w:val="single" w:color="000000" w:sz="4" w:space="0"/>
              <w:right w:val="single" w:color="000000" w:sz="4" w:space="0"/>
            </w:tcBorders>
            <w:noWrap w:val="0"/>
            <w:vAlign w:val="center"/>
          </w:tcPr>
          <w:p w14:paraId="3F8E7281">
            <w:pPr>
              <w:keepNext w:val="0"/>
              <w:keepLines w:val="0"/>
              <w:pageBreakBefore w:val="0"/>
              <w:widowControl w:val="0"/>
              <w:spacing w:line="280" w:lineRule="exact"/>
              <w:jc w:val="left"/>
              <w:rPr>
                <w:rFonts w:hint="eastAsia" w:ascii="仿宋" w:hAnsi="仿宋" w:eastAsia="仿宋" w:cs="仿宋"/>
                <w:sz w:val="21"/>
                <w:szCs w:val="21"/>
                <w:lang w:val="zh-CN" w:eastAsia="zh-CN"/>
              </w:rPr>
            </w:pPr>
            <w:r>
              <w:rPr>
                <w:rFonts w:hint="eastAsia" w:ascii="仿宋" w:hAnsi="仿宋" w:eastAsia="仿宋" w:cs="仿宋"/>
                <w:sz w:val="21"/>
                <w:szCs w:val="21"/>
                <w:lang w:val="zh-CN" w:eastAsia="zh-CN"/>
              </w:rPr>
              <w:t>对污水处理站突发环境事故应急预案进行合理打分：</w:t>
            </w:r>
          </w:p>
          <w:p w14:paraId="6373528D">
            <w:pPr>
              <w:keepNext w:val="0"/>
              <w:keepLines w:val="0"/>
              <w:pageBreakBefore w:val="0"/>
              <w:widowControl w:val="0"/>
              <w:spacing w:line="280" w:lineRule="exact"/>
              <w:jc w:val="left"/>
              <w:rPr>
                <w:rFonts w:hint="eastAsia" w:ascii="仿宋" w:hAnsi="仿宋" w:eastAsia="仿宋" w:cs="仿宋"/>
                <w:sz w:val="21"/>
                <w:szCs w:val="21"/>
                <w:lang w:val="zh-CN" w:eastAsia="zh-CN"/>
              </w:rPr>
            </w:pPr>
            <w:r>
              <w:rPr>
                <w:rFonts w:hint="eastAsia" w:ascii="仿宋" w:hAnsi="仿宋" w:eastAsia="仿宋" w:cs="仿宋"/>
                <w:sz w:val="21"/>
                <w:szCs w:val="21"/>
                <w:lang w:val="en-US" w:eastAsia="zh-CN"/>
              </w:rPr>
              <w:t>1.</w:t>
            </w:r>
            <w:r>
              <w:rPr>
                <w:rFonts w:hint="eastAsia" w:ascii="仿宋" w:hAnsi="仿宋" w:eastAsia="仿宋" w:cs="仿宋"/>
                <w:sz w:val="21"/>
                <w:szCs w:val="21"/>
                <w:lang w:val="zh-CN" w:eastAsia="zh-CN"/>
              </w:rPr>
              <w:t>管理方案完整、科学、可操作性强的，得</w:t>
            </w:r>
            <w:r>
              <w:rPr>
                <w:rFonts w:hint="eastAsia" w:ascii="仿宋" w:hAnsi="仿宋" w:eastAsia="仿宋" w:cs="仿宋"/>
                <w:sz w:val="21"/>
                <w:szCs w:val="21"/>
                <w:lang w:val="en-US" w:eastAsia="zh-CN"/>
              </w:rPr>
              <w:t>4</w:t>
            </w:r>
            <w:r>
              <w:rPr>
                <w:rFonts w:hint="eastAsia" w:ascii="仿宋" w:hAnsi="仿宋" w:eastAsia="仿宋" w:cs="仿宋"/>
                <w:sz w:val="21"/>
                <w:szCs w:val="21"/>
                <w:lang w:val="zh-CN" w:eastAsia="zh-CN"/>
              </w:rPr>
              <w:t>分；</w:t>
            </w:r>
          </w:p>
          <w:p w14:paraId="67C35F0D">
            <w:pPr>
              <w:keepNext w:val="0"/>
              <w:keepLines w:val="0"/>
              <w:pageBreakBefore w:val="0"/>
              <w:widowControl w:val="0"/>
              <w:spacing w:line="280" w:lineRule="exact"/>
              <w:jc w:val="left"/>
              <w:rPr>
                <w:rFonts w:hint="eastAsia" w:ascii="仿宋" w:hAnsi="仿宋" w:eastAsia="仿宋" w:cs="仿宋"/>
                <w:sz w:val="21"/>
                <w:szCs w:val="21"/>
                <w:lang w:val="zh-CN" w:eastAsia="zh-CN"/>
              </w:rPr>
            </w:pPr>
            <w:r>
              <w:rPr>
                <w:rFonts w:hint="eastAsia" w:ascii="仿宋" w:hAnsi="仿宋" w:eastAsia="仿宋" w:cs="仿宋"/>
                <w:sz w:val="21"/>
                <w:szCs w:val="21"/>
                <w:lang w:val="en-US" w:eastAsia="zh-CN"/>
              </w:rPr>
              <w:t>2.</w:t>
            </w:r>
            <w:r>
              <w:rPr>
                <w:rFonts w:hint="eastAsia" w:ascii="仿宋" w:hAnsi="仿宋" w:eastAsia="仿宋" w:cs="仿宋"/>
                <w:sz w:val="21"/>
                <w:szCs w:val="21"/>
                <w:lang w:val="zh-CN" w:eastAsia="zh-CN"/>
              </w:rPr>
              <w:t>管理方案较完整，可操作性较强的，得</w:t>
            </w:r>
            <w:r>
              <w:rPr>
                <w:rFonts w:hint="eastAsia" w:ascii="仿宋" w:hAnsi="仿宋" w:eastAsia="仿宋" w:cs="仿宋"/>
                <w:sz w:val="21"/>
                <w:szCs w:val="21"/>
                <w:lang w:val="en-US" w:eastAsia="zh-CN"/>
              </w:rPr>
              <w:t>3</w:t>
            </w:r>
            <w:r>
              <w:rPr>
                <w:rFonts w:hint="eastAsia" w:ascii="仿宋" w:hAnsi="仿宋" w:eastAsia="仿宋" w:cs="仿宋"/>
                <w:sz w:val="21"/>
                <w:szCs w:val="21"/>
                <w:lang w:val="zh-CN" w:eastAsia="zh-CN"/>
              </w:rPr>
              <w:t>分；</w:t>
            </w:r>
          </w:p>
          <w:p w14:paraId="23394880">
            <w:pPr>
              <w:keepNext w:val="0"/>
              <w:keepLines w:val="0"/>
              <w:pageBreakBefore w:val="0"/>
              <w:widowControl w:val="0"/>
              <w:spacing w:line="280" w:lineRule="exact"/>
              <w:jc w:val="left"/>
              <w:rPr>
                <w:rFonts w:hint="eastAsia" w:ascii="仿宋" w:hAnsi="仿宋" w:eastAsia="仿宋" w:cs="仿宋"/>
                <w:sz w:val="21"/>
                <w:szCs w:val="21"/>
                <w:lang w:val="zh-CN" w:eastAsia="zh-CN"/>
              </w:rPr>
            </w:pPr>
            <w:r>
              <w:rPr>
                <w:rFonts w:hint="eastAsia" w:ascii="仿宋" w:hAnsi="仿宋" w:eastAsia="仿宋" w:cs="仿宋"/>
                <w:sz w:val="21"/>
                <w:szCs w:val="21"/>
                <w:lang w:val="en-US" w:eastAsia="zh-CN"/>
              </w:rPr>
              <w:t>3.</w:t>
            </w:r>
            <w:r>
              <w:rPr>
                <w:rFonts w:hint="eastAsia" w:ascii="仿宋" w:hAnsi="仿宋" w:eastAsia="仿宋" w:cs="仿宋"/>
                <w:sz w:val="21"/>
                <w:szCs w:val="21"/>
                <w:lang w:val="zh-CN" w:eastAsia="zh-CN"/>
              </w:rPr>
              <w:t>管理方案</w:t>
            </w:r>
            <w:r>
              <w:rPr>
                <w:rFonts w:hint="eastAsia" w:ascii="仿宋" w:hAnsi="仿宋" w:eastAsia="仿宋" w:cs="仿宋"/>
                <w:sz w:val="21"/>
                <w:szCs w:val="21"/>
                <w:lang w:val="en-US" w:eastAsia="zh-CN"/>
              </w:rPr>
              <w:t>一般</w:t>
            </w:r>
            <w:r>
              <w:rPr>
                <w:rFonts w:hint="eastAsia" w:ascii="仿宋" w:hAnsi="仿宋" w:eastAsia="仿宋" w:cs="仿宋"/>
                <w:sz w:val="21"/>
                <w:szCs w:val="21"/>
                <w:lang w:val="zh-CN" w:eastAsia="zh-CN"/>
              </w:rPr>
              <w:t>，可操作性</w:t>
            </w:r>
            <w:r>
              <w:rPr>
                <w:rFonts w:hint="eastAsia" w:ascii="仿宋" w:hAnsi="仿宋" w:eastAsia="仿宋" w:cs="仿宋"/>
                <w:sz w:val="21"/>
                <w:szCs w:val="21"/>
                <w:lang w:val="en-US" w:eastAsia="zh-CN"/>
              </w:rPr>
              <w:t>一般</w:t>
            </w:r>
            <w:r>
              <w:rPr>
                <w:rFonts w:hint="eastAsia" w:ascii="仿宋" w:hAnsi="仿宋" w:eastAsia="仿宋" w:cs="仿宋"/>
                <w:sz w:val="21"/>
                <w:szCs w:val="21"/>
                <w:lang w:val="zh-CN" w:eastAsia="zh-CN"/>
              </w:rPr>
              <w:t>的，得2分；</w:t>
            </w:r>
          </w:p>
          <w:p w14:paraId="4E2C9C4A">
            <w:pPr>
              <w:keepNext w:val="0"/>
              <w:keepLines w:val="0"/>
              <w:pageBreakBefore w:val="0"/>
              <w:widowControl w:val="0"/>
              <w:spacing w:line="280" w:lineRule="exact"/>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w:t>
            </w:r>
            <w:r>
              <w:rPr>
                <w:rFonts w:hint="eastAsia" w:ascii="仿宋" w:hAnsi="仿宋" w:eastAsia="仿宋" w:cs="仿宋"/>
                <w:sz w:val="21"/>
                <w:szCs w:val="21"/>
                <w:lang w:val="zh-CN" w:eastAsia="zh-CN"/>
              </w:rPr>
              <w:t>管理方案基本完整、可操作性</w:t>
            </w:r>
            <w:r>
              <w:rPr>
                <w:rFonts w:hint="eastAsia" w:ascii="仿宋" w:hAnsi="仿宋" w:eastAsia="仿宋" w:cs="仿宋"/>
                <w:sz w:val="21"/>
                <w:szCs w:val="21"/>
                <w:lang w:val="en-US" w:eastAsia="zh-CN"/>
              </w:rPr>
              <w:t>较差</w:t>
            </w:r>
            <w:r>
              <w:rPr>
                <w:rFonts w:hint="eastAsia" w:ascii="仿宋" w:hAnsi="仿宋" w:eastAsia="仿宋" w:cs="仿宋"/>
                <w:sz w:val="21"/>
                <w:szCs w:val="21"/>
                <w:lang w:val="zh-CN" w:eastAsia="zh-CN"/>
              </w:rPr>
              <w:t>的，得1分；未提供的不得分。</w:t>
            </w:r>
          </w:p>
        </w:tc>
      </w:tr>
      <w:tr w14:paraId="33AF8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6" w:hRule="atLeast"/>
          <w:jc w:val="center"/>
        </w:trPr>
        <w:tc>
          <w:tcPr>
            <w:tcW w:w="751" w:type="dxa"/>
            <w:tcBorders>
              <w:top w:val="single" w:color="000000" w:sz="4" w:space="0"/>
              <w:left w:val="single" w:color="000000" w:sz="4" w:space="0"/>
              <w:bottom w:val="single" w:color="000000" w:sz="4" w:space="0"/>
              <w:right w:val="single" w:color="000000" w:sz="4" w:space="0"/>
            </w:tcBorders>
            <w:noWrap w:val="0"/>
            <w:vAlign w:val="center"/>
          </w:tcPr>
          <w:p w14:paraId="5D71C6D5">
            <w:pPr>
              <w:keepNext w:val="0"/>
              <w:keepLines w:val="0"/>
              <w:pageBreakBefore w:val="0"/>
              <w:widowControl w:val="0"/>
              <w:spacing w:line="280" w:lineRule="exact"/>
              <w:jc w:val="center"/>
              <w:rPr>
                <w:rFonts w:hint="eastAsia"/>
                <w:bCs/>
                <w:color w:val="000000"/>
                <w:sz w:val="24"/>
                <w:highlight w:val="none"/>
                <w:lang w:val="en-US" w:eastAsia="zh-CN"/>
              </w:rPr>
            </w:pPr>
            <w:r>
              <w:rPr>
                <w:rFonts w:hint="eastAsia" w:ascii="仿宋" w:hAnsi="仿宋" w:eastAsia="仿宋" w:cs="仿宋"/>
                <w:sz w:val="21"/>
                <w:szCs w:val="21"/>
                <w:lang w:val="en-US" w:eastAsia="zh-CN"/>
              </w:rPr>
              <w:t>9</w:t>
            </w:r>
          </w:p>
        </w:tc>
        <w:tc>
          <w:tcPr>
            <w:tcW w:w="1512" w:type="dxa"/>
            <w:tcBorders>
              <w:top w:val="single" w:color="000000" w:sz="4" w:space="0"/>
              <w:left w:val="single" w:color="000000" w:sz="4" w:space="0"/>
              <w:bottom w:val="single" w:color="000000" w:sz="4" w:space="0"/>
              <w:right w:val="single" w:color="000000" w:sz="4" w:space="0"/>
            </w:tcBorders>
            <w:noWrap w:val="0"/>
            <w:vAlign w:val="center"/>
          </w:tcPr>
          <w:p w14:paraId="058EDFAE">
            <w:pPr>
              <w:keepNext w:val="0"/>
              <w:keepLines w:val="0"/>
              <w:pageBreakBefore w:val="0"/>
              <w:widowControl w:val="0"/>
              <w:spacing w:line="280" w:lineRule="exact"/>
              <w:jc w:val="center"/>
            </w:pPr>
            <w:r>
              <w:rPr>
                <w:rFonts w:hint="eastAsia" w:ascii="仿宋" w:hAnsi="仿宋" w:eastAsia="仿宋" w:cs="仿宋"/>
                <w:sz w:val="21"/>
                <w:szCs w:val="21"/>
                <w:lang w:val="zh-CN" w:eastAsia="zh-CN"/>
              </w:rPr>
              <w:t>重难点分析及对策</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14:paraId="2F583F48">
            <w:pPr>
              <w:keepNext w:val="0"/>
              <w:keepLines w:val="0"/>
              <w:pageBreakBefore w:val="0"/>
              <w:widowControl w:val="0"/>
              <w:spacing w:line="28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w:t>
            </w:r>
          </w:p>
        </w:tc>
        <w:tc>
          <w:tcPr>
            <w:tcW w:w="6693" w:type="dxa"/>
            <w:tcBorders>
              <w:top w:val="single" w:color="000000" w:sz="4" w:space="0"/>
              <w:left w:val="single" w:color="000000" w:sz="4" w:space="0"/>
              <w:bottom w:val="single" w:color="000000" w:sz="4" w:space="0"/>
              <w:right w:val="single" w:color="000000" w:sz="4" w:space="0"/>
            </w:tcBorders>
            <w:noWrap w:val="0"/>
            <w:vAlign w:val="center"/>
          </w:tcPr>
          <w:p w14:paraId="2B66A3F6">
            <w:pPr>
              <w:keepNext w:val="0"/>
              <w:keepLines w:val="0"/>
              <w:pageBreakBefore w:val="0"/>
              <w:widowControl w:val="0"/>
              <w:spacing w:line="280" w:lineRule="exact"/>
              <w:jc w:val="left"/>
              <w:rPr>
                <w:rFonts w:hint="eastAsia" w:ascii="仿宋" w:hAnsi="仿宋" w:eastAsia="仿宋" w:cs="仿宋"/>
                <w:sz w:val="21"/>
                <w:szCs w:val="21"/>
                <w:lang w:val="zh-CN" w:eastAsia="zh-CN"/>
              </w:rPr>
            </w:pPr>
            <w:r>
              <w:rPr>
                <w:rFonts w:hint="eastAsia" w:ascii="仿宋" w:hAnsi="仿宋" w:eastAsia="仿宋" w:cs="仿宋"/>
                <w:sz w:val="21"/>
                <w:szCs w:val="21"/>
                <w:lang w:val="zh-CN" w:eastAsia="zh-CN"/>
              </w:rPr>
              <w:t>根据投标供应商针对本项目的重难点分析及对策打分：</w:t>
            </w:r>
          </w:p>
          <w:p w14:paraId="26B2E2B0">
            <w:pPr>
              <w:keepNext w:val="0"/>
              <w:keepLines w:val="0"/>
              <w:pageBreakBefore w:val="0"/>
              <w:widowControl w:val="0"/>
              <w:spacing w:line="280" w:lineRule="exact"/>
              <w:jc w:val="left"/>
              <w:rPr>
                <w:rFonts w:hint="eastAsia" w:ascii="仿宋" w:hAnsi="仿宋" w:eastAsia="仿宋" w:cs="仿宋"/>
                <w:sz w:val="21"/>
                <w:szCs w:val="21"/>
                <w:lang w:val="zh-CN" w:eastAsia="zh-CN"/>
              </w:rPr>
            </w:pPr>
            <w:r>
              <w:rPr>
                <w:rFonts w:hint="eastAsia" w:ascii="仿宋" w:hAnsi="仿宋" w:eastAsia="仿宋" w:cs="仿宋"/>
                <w:sz w:val="21"/>
                <w:szCs w:val="21"/>
                <w:lang w:val="en-US" w:eastAsia="zh-CN"/>
              </w:rPr>
              <w:t>1.</w:t>
            </w:r>
            <w:r>
              <w:rPr>
                <w:rFonts w:hint="eastAsia" w:ascii="仿宋" w:hAnsi="仿宋" w:eastAsia="仿宋" w:cs="仿宋"/>
                <w:sz w:val="21"/>
                <w:szCs w:val="21"/>
                <w:lang w:val="zh-CN" w:eastAsia="zh-CN"/>
              </w:rPr>
              <w:t>提供的方案分析到位、措施合理全面的，得</w:t>
            </w:r>
            <w:r>
              <w:rPr>
                <w:rFonts w:hint="eastAsia" w:ascii="仿宋" w:hAnsi="仿宋" w:eastAsia="仿宋" w:cs="仿宋"/>
                <w:sz w:val="21"/>
                <w:szCs w:val="21"/>
                <w:lang w:val="en-US" w:eastAsia="zh-CN"/>
              </w:rPr>
              <w:t>4</w:t>
            </w:r>
            <w:r>
              <w:rPr>
                <w:rFonts w:hint="eastAsia" w:ascii="仿宋" w:hAnsi="仿宋" w:eastAsia="仿宋" w:cs="仿宋"/>
                <w:sz w:val="21"/>
                <w:szCs w:val="21"/>
                <w:lang w:val="zh-CN" w:eastAsia="zh-CN"/>
              </w:rPr>
              <w:t>分；</w:t>
            </w:r>
          </w:p>
          <w:p w14:paraId="301B6829">
            <w:pPr>
              <w:keepNext w:val="0"/>
              <w:keepLines w:val="0"/>
              <w:pageBreakBefore w:val="0"/>
              <w:widowControl w:val="0"/>
              <w:spacing w:line="280" w:lineRule="exact"/>
              <w:jc w:val="left"/>
              <w:rPr>
                <w:rFonts w:hint="eastAsia" w:ascii="仿宋" w:hAnsi="仿宋" w:eastAsia="仿宋" w:cs="仿宋"/>
                <w:sz w:val="21"/>
                <w:szCs w:val="21"/>
                <w:lang w:val="zh-CN" w:eastAsia="zh-CN"/>
              </w:rPr>
            </w:pPr>
            <w:r>
              <w:rPr>
                <w:rFonts w:hint="eastAsia" w:ascii="仿宋" w:hAnsi="仿宋" w:eastAsia="仿宋" w:cs="仿宋"/>
                <w:sz w:val="21"/>
                <w:szCs w:val="21"/>
                <w:lang w:val="en-US" w:eastAsia="zh-CN"/>
              </w:rPr>
              <w:t>2.</w:t>
            </w:r>
            <w:r>
              <w:rPr>
                <w:rFonts w:hint="eastAsia" w:ascii="仿宋" w:hAnsi="仿宋" w:eastAsia="仿宋" w:cs="仿宋"/>
                <w:sz w:val="21"/>
                <w:szCs w:val="21"/>
                <w:lang w:val="zh-CN" w:eastAsia="zh-CN"/>
              </w:rPr>
              <w:t>提供的方案分析较全面、措施可行的，得</w:t>
            </w:r>
            <w:r>
              <w:rPr>
                <w:rFonts w:hint="eastAsia" w:ascii="仿宋" w:hAnsi="仿宋" w:eastAsia="仿宋" w:cs="仿宋"/>
                <w:sz w:val="21"/>
                <w:szCs w:val="21"/>
                <w:lang w:val="en-US" w:eastAsia="zh-CN"/>
              </w:rPr>
              <w:t>3</w:t>
            </w:r>
            <w:r>
              <w:rPr>
                <w:rFonts w:hint="eastAsia" w:ascii="仿宋" w:hAnsi="仿宋" w:eastAsia="仿宋" w:cs="仿宋"/>
                <w:sz w:val="21"/>
                <w:szCs w:val="21"/>
                <w:lang w:val="zh-CN" w:eastAsia="zh-CN"/>
              </w:rPr>
              <w:t>分；</w:t>
            </w:r>
          </w:p>
          <w:p w14:paraId="7135E462">
            <w:pPr>
              <w:keepNext w:val="0"/>
              <w:keepLines w:val="0"/>
              <w:pageBreakBefore w:val="0"/>
              <w:widowControl w:val="0"/>
              <w:spacing w:line="280" w:lineRule="exact"/>
              <w:jc w:val="left"/>
              <w:rPr>
                <w:rFonts w:hint="eastAsia" w:ascii="仿宋" w:hAnsi="仿宋" w:eastAsia="仿宋" w:cs="仿宋"/>
                <w:sz w:val="21"/>
                <w:szCs w:val="21"/>
                <w:lang w:val="zh-CN" w:eastAsia="zh-CN"/>
              </w:rPr>
            </w:pPr>
            <w:r>
              <w:rPr>
                <w:rFonts w:hint="eastAsia" w:ascii="仿宋" w:hAnsi="仿宋" w:eastAsia="仿宋" w:cs="仿宋"/>
                <w:sz w:val="21"/>
                <w:szCs w:val="21"/>
                <w:lang w:val="en-US" w:eastAsia="zh-CN"/>
              </w:rPr>
              <w:t>3.</w:t>
            </w:r>
            <w:r>
              <w:rPr>
                <w:rFonts w:hint="eastAsia" w:ascii="仿宋" w:hAnsi="仿宋" w:eastAsia="仿宋" w:cs="仿宋"/>
                <w:sz w:val="21"/>
                <w:szCs w:val="21"/>
                <w:lang w:val="zh-CN" w:eastAsia="zh-CN"/>
              </w:rPr>
              <w:t>提供的方案分析</w:t>
            </w:r>
            <w:r>
              <w:rPr>
                <w:rFonts w:hint="eastAsia" w:ascii="仿宋" w:hAnsi="仿宋" w:eastAsia="仿宋" w:cs="仿宋"/>
                <w:sz w:val="21"/>
                <w:szCs w:val="21"/>
                <w:lang w:val="en-US" w:eastAsia="zh-CN"/>
              </w:rPr>
              <w:t>不够明确</w:t>
            </w:r>
            <w:r>
              <w:rPr>
                <w:rFonts w:hint="eastAsia" w:ascii="仿宋" w:hAnsi="仿宋" w:eastAsia="仿宋" w:cs="仿宋"/>
                <w:sz w:val="21"/>
                <w:szCs w:val="21"/>
                <w:lang w:val="zh-CN" w:eastAsia="zh-CN"/>
              </w:rPr>
              <w:t>、措施可行</w:t>
            </w:r>
            <w:r>
              <w:rPr>
                <w:rFonts w:hint="eastAsia" w:ascii="仿宋" w:hAnsi="仿宋" w:eastAsia="仿宋" w:cs="仿宋"/>
                <w:sz w:val="21"/>
                <w:szCs w:val="21"/>
                <w:lang w:val="en-US" w:eastAsia="zh-CN"/>
              </w:rPr>
              <w:t>性一般</w:t>
            </w:r>
            <w:r>
              <w:rPr>
                <w:rFonts w:hint="eastAsia" w:ascii="仿宋" w:hAnsi="仿宋" w:eastAsia="仿宋" w:cs="仿宋"/>
                <w:sz w:val="21"/>
                <w:szCs w:val="21"/>
                <w:lang w:val="zh-CN" w:eastAsia="zh-CN"/>
              </w:rPr>
              <w:t>的，得2分；</w:t>
            </w:r>
          </w:p>
          <w:p w14:paraId="51079B17">
            <w:pPr>
              <w:keepNext w:val="0"/>
              <w:keepLines w:val="0"/>
              <w:pageBreakBefore w:val="0"/>
              <w:widowControl w:val="0"/>
              <w:spacing w:line="280" w:lineRule="exact"/>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w:t>
            </w:r>
            <w:r>
              <w:rPr>
                <w:rFonts w:hint="eastAsia" w:ascii="仿宋" w:hAnsi="仿宋" w:eastAsia="仿宋" w:cs="仿宋"/>
                <w:sz w:val="21"/>
                <w:szCs w:val="21"/>
                <w:lang w:val="zh-CN" w:eastAsia="zh-CN"/>
              </w:rPr>
              <w:t>提供的方案分析不明确且措施</w:t>
            </w:r>
            <w:r>
              <w:rPr>
                <w:rFonts w:hint="eastAsia" w:ascii="仿宋" w:hAnsi="仿宋" w:eastAsia="仿宋" w:cs="仿宋"/>
                <w:sz w:val="21"/>
                <w:szCs w:val="21"/>
                <w:lang w:val="en-US" w:eastAsia="zh-CN"/>
              </w:rPr>
              <w:t>较差</w:t>
            </w:r>
            <w:r>
              <w:rPr>
                <w:rFonts w:hint="eastAsia" w:ascii="仿宋" w:hAnsi="仿宋" w:eastAsia="仿宋" w:cs="仿宋"/>
                <w:sz w:val="21"/>
                <w:szCs w:val="21"/>
                <w:lang w:val="zh-CN" w:eastAsia="zh-CN"/>
              </w:rPr>
              <w:t>的，得1分；未提供的不得分。</w:t>
            </w:r>
          </w:p>
        </w:tc>
      </w:tr>
    </w:tbl>
    <w:p w14:paraId="59BD039D">
      <w:pPr>
        <w:pageBreakBefore w:val="0"/>
        <w:widowControl w:val="0"/>
        <w:spacing w:line="320" w:lineRule="exact"/>
        <w:rPr>
          <w:b/>
          <w:bCs/>
          <w:sz w:val="22"/>
          <w:szCs w:val="28"/>
          <w:lang w:val="zh-CN"/>
        </w:rPr>
      </w:pPr>
      <w:r>
        <w:rPr>
          <w:b/>
          <w:bCs/>
          <w:sz w:val="22"/>
          <w:szCs w:val="28"/>
          <w:lang w:val="zh-CN"/>
        </w:rPr>
        <w:t xml:space="preserve">注：①请供应商根据评分标准制作评分索引并放在评审内容的前面，评分索引中应标明每个评分点的页码范围，如投标文件内容顺序混乱，导致评委无法查看，后果自负。 </w:t>
      </w:r>
    </w:p>
    <w:p w14:paraId="31316584">
      <w:pPr>
        <w:pageBreakBefore w:val="0"/>
        <w:widowControl w:val="0"/>
        <w:spacing w:line="320" w:lineRule="exact"/>
        <w:ind w:firstLine="446"/>
        <w:rPr>
          <w:b/>
          <w:bCs/>
          <w:sz w:val="22"/>
          <w:szCs w:val="28"/>
          <w:lang w:val="zh-CN"/>
        </w:rPr>
      </w:pPr>
      <w:r>
        <w:rPr>
          <w:b/>
          <w:bCs/>
          <w:sz w:val="22"/>
          <w:szCs w:val="28"/>
          <w:lang w:val="zh-CN"/>
        </w:rPr>
        <w:t>②请供应商制作投标文件的时保证图片、文字材料的完整、清晰可辨，任何原因导致评委看不清楚或无法查看，后果由供应商自负。</w:t>
      </w:r>
    </w:p>
    <w:p w14:paraId="2126D53C">
      <w:pPr>
        <w:pStyle w:val="5"/>
        <w:pageBreakBefore w:val="0"/>
        <w:widowControl w:val="0"/>
        <w:spacing w:before="0" w:after="0" w:line="320" w:lineRule="exact"/>
        <w:ind w:firstLine="442"/>
        <w:rPr>
          <w:rFonts w:ascii="Times New Roman" w:hAnsi="Times New Roman" w:eastAsia="宋体" w:cs="Times New Roman"/>
          <w:lang w:val="zh-CN"/>
        </w:rPr>
      </w:pPr>
      <w:r>
        <w:rPr>
          <w:rFonts w:ascii="Times New Roman" w:hAnsi="Times New Roman" w:eastAsia="宋体" w:cs="Times New Roman"/>
          <w:b/>
          <w:bCs/>
          <w:sz w:val="22"/>
          <w:szCs w:val="28"/>
          <w:lang w:val="zh-CN"/>
        </w:rPr>
        <w:t>③供应商制作投标文件时所用的所有原件材料均须准备好签订合同前被采购人核查，如核查时供应商不能提供相关原件材料作弄虚作假处理，供应商自行承担相应法律后果。</w:t>
      </w:r>
    </w:p>
    <w:p w14:paraId="46E3BE58">
      <w:pPr>
        <w:spacing w:line="240" w:lineRule="auto"/>
        <w:ind w:firstLine="560"/>
        <w:rPr>
          <w:b/>
          <w:bCs/>
          <w:color w:val="auto"/>
          <w:sz w:val="28"/>
          <w:szCs w:val="28"/>
          <w:lang w:val="zh-CN"/>
        </w:rPr>
      </w:pPr>
      <w:r>
        <w:rPr>
          <w:b/>
          <w:sz w:val="28"/>
          <w:szCs w:val="28"/>
        </w:rPr>
        <w:t>(四）</w:t>
      </w:r>
      <w:r>
        <w:rPr>
          <w:b/>
          <w:sz w:val="28"/>
          <w:szCs w:val="28"/>
          <w:lang w:val="zh-CN"/>
        </w:rPr>
        <w:t>价格分</w:t>
      </w:r>
      <w:r>
        <w:rPr>
          <w:b/>
          <w:sz w:val="28"/>
          <w:szCs w:val="28"/>
        </w:rPr>
        <w:t>：</w:t>
      </w:r>
      <w:r>
        <w:rPr>
          <w:rFonts w:hint="eastAsia"/>
          <w:b/>
          <w:bCs/>
          <w:color w:val="auto"/>
          <w:sz w:val="28"/>
          <w:szCs w:val="28"/>
          <w:lang w:val="en-US" w:eastAsia="zh-CN"/>
        </w:rPr>
        <w:t>30</w:t>
      </w:r>
      <w:r>
        <w:rPr>
          <w:b/>
          <w:bCs/>
          <w:color w:val="auto"/>
          <w:sz w:val="28"/>
          <w:szCs w:val="28"/>
          <w:lang w:val="zh-CN"/>
        </w:rPr>
        <w:t>分</w:t>
      </w:r>
    </w:p>
    <w:p w14:paraId="7C6CB88E">
      <w:pPr>
        <w:pStyle w:val="313"/>
        <w:spacing w:before="0" w:after="0" w:line="460" w:lineRule="exact"/>
        <w:ind w:right="0"/>
        <w:jc w:val="both"/>
        <w:rPr>
          <w:rFonts w:ascii="Times New Roman" w:hAnsi="Times New Roman"/>
          <w:bCs/>
        </w:rPr>
      </w:pPr>
      <w:r>
        <w:rPr>
          <w:rFonts w:ascii="Times New Roman" w:hAnsi="Times New Roman"/>
          <w:bCs/>
        </w:rPr>
        <w:t>价格分统一采用低价优先法计算，即满足招标文件要求且报价最高的优惠率为评标基准价，其价格分为满分。其他投标人的价格分统一按照下列公式计算：</w:t>
      </w:r>
    </w:p>
    <w:p w14:paraId="273D21EB">
      <w:pPr>
        <w:pStyle w:val="313"/>
        <w:spacing w:before="0" w:after="0" w:line="460" w:lineRule="exact"/>
        <w:ind w:right="0"/>
        <w:jc w:val="both"/>
        <w:rPr>
          <w:rFonts w:ascii="Times New Roman" w:hAnsi="Times New Roman"/>
          <w:bCs/>
        </w:rPr>
      </w:pPr>
      <w:r>
        <w:rPr>
          <w:rFonts w:ascii="Times New Roman" w:hAnsi="Times New Roman"/>
          <w:bCs/>
          <w:color w:val="0070C0"/>
        </w:rPr>
        <w:t>投标报价得分=</w:t>
      </w:r>
      <w:r>
        <w:rPr>
          <w:rFonts w:hint="eastAsia" w:ascii="Times New Roman" w:hAnsi="Times New Roman"/>
          <w:bCs/>
          <w:color w:val="0070C0"/>
        </w:rPr>
        <w:t>（评标基准价/投标报价）</w:t>
      </w:r>
      <w:r>
        <w:rPr>
          <w:rFonts w:ascii="Times New Roman" w:hAnsi="Times New Roman"/>
          <w:bCs/>
          <w:color w:val="0070C0"/>
        </w:rPr>
        <w:t>×价格权值×100</w:t>
      </w:r>
    </w:p>
    <w:p w14:paraId="53B4DB90">
      <w:pPr>
        <w:pStyle w:val="313"/>
        <w:spacing w:before="0" w:after="0" w:line="460" w:lineRule="exact"/>
        <w:ind w:right="0"/>
        <w:jc w:val="both"/>
        <w:rPr>
          <w:rFonts w:ascii="Times New Roman" w:hAnsi="Times New Roman"/>
          <w:b/>
          <w:sz w:val="28"/>
          <w:szCs w:val="28"/>
        </w:rPr>
      </w:pPr>
      <w:r>
        <w:rPr>
          <w:rFonts w:ascii="Times New Roman" w:hAnsi="Times New Roman"/>
          <w:b/>
          <w:sz w:val="28"/>
          <w:szCs w:val="28"/>
        </w:rPr>
        <w:t>（五）政府采购政策功能落实</w:t>
      </w:r>
    </w:p>
    <w:p w14:paraId="6C694857">
      <w:pPr>
        <w:spacing w:line="500" w:lineRule="exact"/>
        <w:ind w:firstLine="560"/>
        <w:rPr>
          <w:rFonts w:hint="eastAsia" w:ascii="宋体" w:hAnsi="宋体" w:eastAsia="宋体" w:cs="宋体"/>
          <w:color w:val="auto"/>
          <w:sz w:val="24"/>
          <w:szCs w:val="24"/>
        </w:rPr>
      </w:pPr>
      <w:r>
        <w:rPr>
          <w:rFonts w:hint="eastAsia" w:ascii="宋体" w:hAnsi="宋体" w:eastAsia="宋体" w:cs="宋体"/>
          <w:color w:val="auto"/>
          <w:sz w:val="24"/>
          <w:szCs w:val="24"/>
        </w:rPr>
        <w:t>本项目为专门面向中小企业（含残疾人福利性单位、监狱企业）采购的项目，不再执行价格评审优惠的扶持政策。</w:t>
      </w:r>
    </w:p>
    <w:p w14:paraId="17594710">
      <w:pPr>
        <w:spacing w:line="460" w:lineRule="exact"/>
        <w:ind w:firstLine="570"/>
        <w:rPr>
          <w:b/>
          <w:sz w:val="28"/>
          <w:szCs w:val="28"/>
        </w:rPr>
      </w:pPr>
      <w:r>
        <w:rPr>
          <w:b/>
          <w:sz w:val="28"/>
          <w:szCs w:val="28"/>
        </w:rPr>
        <w:t>（六）中标人的确定</w:t>
      </w:r>
    </w:p>
    <w:p w14:paraId="2D11C5E9">
      <w:pPr>
        <w:spacing w:line="460" w:lineRule="exact"/>
        <w:ind w:firstLine="570"/>
        <w:rPr>
          <w:bCs/>
          <w:sz w:val="24"/>
        </w:rPr>
      </w:pPr>
      <w:r>
        <w:rPr>
          <w:bCs/>
          <w:sz w:val="24"/>
        </w:rPr>
        <w:t>评委会汇总各评委评分后，按照得分从高到低的顺序推荐三名中标候选人，并编写评标报告。</w:t>
      </w:r>
    </w:p>
    <w:p w14:paraId="51AFDB01">
      <w:pPr>
        <w:spacing w:line="460" w:lineRule="exact"/>
        <w:ind w:firstLine="570"/>
        <w:rPr>
          <w:bCs/>
          <w:sz w:val="24"/>
        </w:rPr>
      </w:pPr>
      <w:r>
        <w:rPr>
          <w:bCs/>
          <w:sz w:val="24"/>
        </w:rPr>
        <w:t>采购人委托评标委员会直接确定排名第一的中标候选人为中标人。</w:t>
      </w:r>
    </w:p>
    <w:p w14:paraId="76EE0545">
      <w:pPr>
        <w:spacing w:line="460" w:lineRule="exact"/>
        <w:ind w:firstLine="557"/>
        <w:rPr>
          <w:b/>
          <w:sz w:val="28"/>
          <w:szCs w:val="28"/>
        </w:rPr>
      </w:pPr>
      <w:r>
        <w:rPr>
          <w:b/>
          <w:sz w:val="28"/>
          <w:szCs w:val="28"/>
        </w:rPr>
        <w:t>（七）采购人代表宣布评标结果。</w:t>
      </w:r>
    </w:p>
    <w:p w14:paraId="43D9B26B">
      <w:pPr>
        <w:spacing w:line="460" w:lineRule="exact"/>
        <w:ind w:firstLine="562"/>
        <w:rPr>
          <w:b/>
          <w:sz w:val="28"/>
          <w:szCs w:val="28"/>
        </w:rPr>
      </w:pPr>
      <w:r>
        <w:rPr>
          <w:b/>
          <w:sz w:val="28"/>
          <w:szCs w:val="28"/>
        </w:rPr>
        <w:t>（八）公告中标结果</w:t>
      </w:r>
    </w:p>
    <w:p w14:paraId="52664882">
      <w:pPr>
        <w:spacing w:line="460" w:lineRule="exact"/>
        <w:ind w:firstLine="570"/>
        <w:rPr>
          <w:bCs/>
          <w:sz w:val="28"/>
          <w:szCs w:val="28"/>
        </w:rPr>
      </w:pPr>
      <w:r>
        <w:rPr>
          <w:bCs/>
          <w:sz w:val="24"/>
        </w:rPr>
        <w:t>自确定中标人之日起2个工作日内，在江苏政府采购网公告中标结果，公告期限为1个工作日。</w:t>
      </w:r>
    </w:p>
    <w:p w14:paraId="0155E655">
      <w:pPr>
        <w:spacing w:line="460" w:lineRule="exact"/>
        <w:ind w:firstLine="562"/>
        <w:rPr>
          <w:b/>
          <w:sz w:val="28"/>
          <w:szCs w:val="28"/>
        </w:rPr>
      </w:pPr>
      <w:r>
        <w:rPr>
          <w:b/>
          <w:sz w:val="28"/>
          <w:szCs w:val="28"/>
        </w:rPr>
        <w:t>（九）发放中标通知书</w:t>
      </w:r>
    </w:p>
    <w:p w14:paraId="32FEFA85">
      <w:pPr>
        <w:keepNext w:val="0"/>
        <w:keepLines w:val="0"/>
        <w:pageBreakBefore w:val="0"/>
        <w:widowControl w:val="0"/>
        <w:spacing w:line="360" w:lineRule="auto"/>
        <w:ind w:firstLine="560"/>
        <w:rPr>
          <w:bCs/>
          <w:sz w:val="24"/>
        </w:rPr>
      </w:pPr>
      <w:r>
        <w:rPr>
          <w:bCs/>
          <w:sz w:val="24"/>
        </w:rPr>
        <w:t>公告中标结果的同时，采购人或采购代理机构向中标供应商发放中标通知书（中标供应商通过CA锁登录江苏政府采购网进入采购业务中通知书打印模块自助打印）。</w:t>
      </w:r>
    </w:p>
    <w:p w14:paraId="7610534B">
      <w:pPr>
        <w:keepNext w:val="0"/>
        <w:keepLines w:val="0"/>
        <w:pageBreakBefore w:val="0"/>
        <w:widowControl w:val="0"/>
        <w:spacing w:line="360" w:lineRule="auto"/>
        <w:ind w:firstLine="480"/>
        <w:rPr>
          <w:bCs/>
          <w:sz w:val="24"/>
        </w:rPr>
      </w:pPr>
      <w:r>
        <w:rPr>
          <w:bCs/>
          <w:sz w:val="24"/>
        </w:rPr>
        <w:t>中标通知书发出后，采购人不得违法改变中标结果，中标供应商无正当理由不得放弃中标。</w:t>
      </w:r>
    </w:p>
    <w:p w14:paraId="7EE2D5DD">
      <w:pPr>
        <w:keepNext w:val="0"/>
        <w:keepLines w:val="0"/>
        <w:pageBreakBefore w:val="0"/>
        <w:widowControl w:val="0"/>
        <w:spacing w:line="360" w:lineRule="auto"/>
        <w:ind w:firstLine="570"/>
        <w:rPr>
          <w:bCs/>
          <w:sz w:val="24"/>
        </w:rPr>
      </w:pPr>
      <w:r>
        <w:rPr>
          <w:bCs/>
          <w:sz w:val="24"/>
        </w:rPr>
        <w:t>中标供应商在中标后须将装订好的加盖红章的系统内打印的纸质投标文件</w:t>
      </w:r>
      <w:r>
        <w:rPr>
          <w:rFonts w:hint="eastAsia"/>
          <w:bCs/>
          <w:sz w:val="24"/>
        </w:rPr>
        <w:t>叁</w:t>
      </w:r>
      <w:r>
        <w:rPr>
          <w:bCs/>
          <w:sz w:val="24"/>
        </w:rPr>
        <w:t>份（一正二副）交给招标代理机构。</w:t>
      </w:r>
    </w:p>
    <w:p w14:paraId="7F56D434">
      <w:pPr>
        <w:rPr>
          <w:b/>
          <w:sz w:val="36"/>
          <w:szCs w:val="36"/>
        </w:rPr>
      </w:pPr>
      <w:r>
        <w:rPr>
          <w:b/>
          <w:sz w:val="36"/>
          <w:szCs w:val="36"/>
        </w:rPr>
        <w:br w:type="page"/>
      </w:r>
    </w:p>
    <w:p w14:paraId="7077A307">
      <w:pPr>
        <w:spacing w:line="480" w:lineRule="exact"/>
        <w:jc w:val="center"/>
        <w:outlineLvl w:val="0"/>
        <w:rPr>
          <w:b/>
          <w:sz w:val="36"/>
          <w:szCs w:val="36"/>
        </w:rPr>
      </w:pPr>
      <w:r>
        <w:rPr>
          <w:b/>
          <w:sz w:val="36"/>
          <w:szCs w:val="36"/>
        </w:rPr>
        <w:t>第五部分  投标文件组成</w:t>
      </w:r>
    </w:p>
    <w:p w14:paraId="221E69E2">
      <w:pPr>
        <w:spacing w:line="480" w:lineRule="exact"/>
        <w:ind w:firstLine="555"/>
        <w:jc w:val="left"/>
        <w:rPr>
          <w:b/>
          <w:sz w:val="24"/>
        </w:rPr>
      </w:pPr>
      <w:r>
        <w:rPr>
          <w:b/>
          <w:sz w:val="24"/>
        </w:rPr>
        <w:t>投标文件由资格审查证明材料、符合性审查证明材料、商务技术标、价格标四部分组成。</w:t>
      </w:r>
      <w:r>
        <w:rPr>
          <w:b/>
          <w:bCs/>
          <w:sz w:val="24"/>
          <w:lang w:val="zh-CN"/>
        </w:rPr>
        <w:t>请投标人根据本招标文件的要求在以上</w:t>
      </w:r>
      <w:r>
        <w:rPr>
          <w:b/>
          <w:sz w:val="24"/>
        </w:rPr>
        <w:t>四部分中</w:t>
      </w:r>
      <w:r>
        <w:rPr>
          <w:b/>
          <w:bCs/>
          <w:sz w:val="24"/>
          <w:lang w:val="zh-CN"/>
        </w:rPr>
        <w:t>分别上传响应的投标材料。</w:t>
      </w:r>
    </w:p>
    <w:p w14:paraId="0C3B1DEA">
      <w:pPr>
        <w:spacing w:line="480" w:lineRule="exact"/>
        <w:rPr>
          <w:b/>
          <w:bCs/>
          <w:sz w:val="24"/>
        </w:rPr>
      </w:pPr>
      <w:r>
        <w:rPr>
          <w:b/>
          <w:bCs/>
          <w:sz w:val="24"/>
          <w:lang w:val="zh-CN"/>
        </w:rPr>
        <w:t>一、资格审查证明材料</w:t>
      </w:r>
      <w:r>
        <w:rPr>
          <w:b/>
          <w:bCs/>
          <w:color w:val="auto"/>
          <w:sz w:val="24"/>
          <w:lang w:val="zh-CN"/>
        </w:rPr>
        <w:t>（不能出现商务技术标、价格标）</w:t>
      </w:r>
    </w:p>
    <w:p w14:paraId="51F156D4">
      <w:pPr>
        <w:spacing w:line="480" w:lineRule="exact"/>
        <w:ind w:firstLine="420"/>
        <w:rPr>
          <w:sz w:val="24"/>
        </w:rPr>
      </w:pPr>
      <w:r>
        <w:rPr>
          <w:sz w:val="24"/>
          <w:lang w:val="zh-CN"/>
        </w:rPr>
        <w:t>1.</w:t>
      </w:r>
      <w:r>
        <w:rPr>
          <w:sz w:val="24"/>
        </w:rPr>
        <w:t>投标人符合《政府采购法》第二十二条规定条件的声明函</w:t>
      </w:r>
      <w:r>
        <w:rPr>
          <w:sz w:val="24"/>
          <w:lang w:val="zh-CN"/>
        </w:rPr>
        <w:t>（格式见附件1）；</w:t>
      </w:r>
    </w:p>
    <w:p w14:paraId="002FE1FB">
      <w:pPr>
        <w:spacing w:line="480" w:lineRule="exact"/>
        <w:ind w:firstLine="420"/>
        <w:rPr>
          <w:sz w:val="24"/>
        </w:rPr>
      </w:pPr>
      <w:r>
        <w:rPr>
          <w:sz w:val="24"/>
          <w:lang w:val="zh-CN"/>
        </w:rPr>
        <w:t>2.法定代表人身份证明书（格式见附件2）；</w:t>
      </w:r>
    </w:p>
    <w:p w14:paraId="37DEEF0B">
      <w:pPr>
        <w:spacing w:line="480" w:lineRule="exact"/>
        <w:ind w:firstLine="420"/>
        <w:rPr>
          <w:sz w:val="24"/>
        </w:rPr>
      </w:pPr>
      <w:r>
        <w:rPr>
          <w:sz w:val="24"/>
          <w:lang w:val="zh-CN"/>
        </w:rPr>
        <w:t>3.法定代表人授权委托书原件，投标代表本人身份证</w:t>
      </w:r>
      <w:r>
        <w:rPr>
          <w:rFonts w:hint="eastAsia"/>
          <w:sz w:val="24"/>
          <w:lang w:val="en-US" w:eastAsia="zh-CN"/>
        </w:rPr>
        <w:t>扫描</w:t>
      </w:r>
      <w:r>
        <w:rPr>
          <w:sz w:val="24"/>
          <w:lang w:val="zh-CN"/>
        </w:rPr>
        <w:t>件（格式见附件3）；</w:t>
      </w:r>
    </w:p>
    <w:p w14:paraId="1E1FCF8B">
      <w:pPr>
        <w:spacing w:line="480" w:lineRule="exact"/>
        <w:ind w:firstLine="420"/>
        <w:jc w:val="left"/>
        <w:rPr>
          <w:sz w:val="24"/>
          <w:lang w:val="zh-CN"/>
        </w:rPr>
      </w:pPr>
      <w:r>
        <w:rPr>
          <w:sz w:val="24"/>
        </w:rPr>
        <w:t>4</w:t>
      </w:r>
      <w:r>
        <w:rPr>
          <w:sz w:val="24"/>
          <w:lang w:val="zh-CN"/>
        </w:rPr>
        <w:t>.</w:t>
      </w:r>
      <w:r>
        <w:rPr>
          <w:rFonts w:hint="eastAsia"/>
          <w:sz w:val="24"/>
          <w:lang w:val="zh-CN"/>
        </w:rPr>
        <w:t>诚信承诺函</w:t>
      </w:r>
      <w:r>
        <w:rPr>
          <w:sz w:val="24"/>
          <w:lang w:val="zh-CN"/>
        </w:rPr>
        <w:t>（格式见附件</w:t>
      </w:r>
      <w:r>
        <w:rPr>
          <w:rFonts w:hint="eastAsia"/>
          <w:sz w:val="24"/>
          <w:lang w:val="en-US" w:eastAsia="zh-CN"/>
        </w:rPr>
        <w:t>4</w:t>
      </w:r>
      <w:r>
        <w:rPr>
          <w:sz w:val="24"/>
          <w:lang w:val="zh-CN"/>
        </w:rPr>
        <w:t>）</w:t>
      </w:r>
      <w:r>
        <w:rPr>
          <w:rFonts w:hint="eastAsia"/>
          <w:sz w:val="24"/>
          <w:lang w:val="zh-CN"/>
        </w:rPr>
        <w:t>；</w:t>
      </w:r>
    </w:p>
    <w:p w14:paraId="7A80BACB">
      <w:pPr>
        <w:spacing w:line="480" w:lineRule="exact"/>
        <w:ind w:firstLine="420"/>
        <w:jc w:val="left"/>
        <w:rPr>
          <w:rFonts w:hint="default" w:eastAsia="宋体"/>
          <w:sz w:val="24"/>
          <w:lang w:val="en-US" w:eastAsia="zh-CN"/>
        </w:rPr>
      </w:pPr>
      <w:r>
        <w:rPr>
          <w:rFonts w:hint="eastAsia"/>
          <w:sz w:val="24"/>
          <w:lang w:val="en-US" w:eastAsia="zh-CN"/>
        </w:rPr>
        <w:t>5.</w:t>
      </w:r>
      <w:r>
        <w:rPr>
          <w:rFonts w:hint="eastAsia"/>
          <w:spacing w:val="7"/>
          <w:sz w:val="24"/>
        </w:rPr>
        <w:t>在“信用中国”网站（www.creditchina.gov.cn）查询，无被列入失信被执行人、重大税收违法案件当事人名单、政府采购严重失信行为记录名单；</w:t>
      </w:r>
    </w:p>
    <w:p w14:paraId="53B39A2D">
      <w:pPr>
        <w:spacing w:line="480" w:lineRule="exact"/>
        <w:ind w:firstLine="420"/>
        <w:jc w:val="left"/>
        <w:rPr>
          <w:rFonts w:hint="eastAsia"/>
          <w:color w:val="auto"/>
          <w:sz w:val="24"/>
          <w:lang w:val="en-US" w:eastAsia="zh-CN"/>
        </w:rPr>
      </w:pPr>
      <w:r>
        <w:rPr>
          <w:rFonts w:hint="eastAsia"/>
          <w:color w:val="auto"/>
          <w:sz w:val="24"/>
          <w:lang w:val="en-US" w:eastAsia="zh-CN"/>
        </w:rPr>
        <w:t>6.落实政府采购政策需满足的资格要求：本项目为专门面向中小企业（含残疾人福利性单位、监狱企业）采购的项目,供应商（含联合体）均应为中小微企业或残疾人福利性单位或监狱企业，并按照采购文件要求提供《中小企业声明函》或《残疾人福利性单位声明函》或监狱和戒毒企业证明材料。</w:t>
      </w:r>
    </w:p>
    <w:p w14:paraId="6046937A">
      <w:pPr>
        <w:spacing w:line="480" w:lineRule="exact"/>
        <w:ind w:firstLine="420"/>
        <w:jc w:val="left"/>
        <w:rPr>
          <w:b/>
          <w:bCs/>
          <w:color w:val="FF0000"/>
          <w:sz w:val="24"/>
          <w:lang w:val="zh-CN"/>
        </w:rPr>
      </w:pPr>
      <w:r>
        <w:rPr>
          <w:rFonts w:hint="eastAsia"/>
          <w:color w:val="auto"/>
          <w:sz w:val="24"/>
          <w:lang w:val="en-US" w:eastAsia="zh-CN"/>
        </w:rPr>
        <w:t>7.</w:t>
      </w:r>
      <w:r>
        <w:rPr>
          <w:rFonts w:hint="eastAsia"/>
          <w:color w:val="auto"/>
          <w:sz w:val="24"/>
          <w:lang w:val="zh-CN" w:eastAsia="zh-CN"/>
        </w:rPr>
        <w:t>其它需要提交的资格审查证明材料；</w:t>
      </w:r>
    </w:p>
    <w:p w14:paraId="52313E3F">
      <w:pPr>
        <w:spacing w:line="480" w:lineRule="exact"/>
        <w:rPr>
          <w:b/>
          <w:bCs/>
          <w:color w:val="auto"/>
          <w:sz w:val="24"/>
        </w:rPr>
      </w:pPr>
      <w:r>
        <w:rPr>
          <w:b/>
          <w:bCs/>
          <w:color w:val="auto"/>
          <w:sz w:val="24"/>
          <w:lang w:val="zh-CN"/>
        </w:rPr>
        <w:t>二、符合性审查证明材料</w:t>
      </w:r>
    </w:p>
    <w:p w14:paraId="4F28CF49">
      <w:pPr>
        <w:keepNext w:val="0"/>
        <w:keepLines w:val="0"/>
        <w:pageBreakBefore w:val="0"/>
        <w:widowControl w:val="0"/>
        <w:spacing w:line="440" w:lineRule="exact"/>
        <w:ind w:firstLine="424"/>
        <w:rPr>
          <w:rFonts w:hint="eastAsia" w:ascii="宋体" w:hAnsi="宋体" w:eastAsia="宋体" w:cs="Times New Roman"/>
          <w:color w:val="auto"/>
          <w:sz w:val="24"/>
          <w:szCs w:val="20"/>
          <w:highlight w:val="none"/>
        </w:rPr>
      </w:pPr>
      <w:r>
        <w:rPr>
          <w:color w:val="auto"/>
          <w:sz w:val="24"/>
          <w:lang w:val="zh-CN"/>
        </w:rPr>
        <w:t>1.</w:t>
      </w:r>
      <w:r>
        <w:rPr>
          <w:rFonts w:hint="eastAsia" w:ascii="宋体" w:hAnsi="宋体" w:eastAsia="宋体" w:cs="Times New Roman"/>
          <w:color w:val="auto"/>
          <w:sz w:val="24"/>
          <w:szCs w:val="20"/>
          <w:highlight w:val="none"/>
        </w:rPr>
        <w:t>运维人员中需配备1名技术总负责人员，须具有高级工程师证（提供由省人社厅颁发的工程师证书），至少1名污水处理工程师（具有污水处理工程师证书），至少1名污水化验工（具有污水化验检测工证书）。</w:t>
      </w:r>
    </w:p>
    <w:p w14:paraId="6EF9865B">
      <w:pPr>
        <w:keepNext w:val="0"/>
        <w:keepLines w:val="0"/>
        <w:pageBreakBefore w:val="0"/>
        <w:widowControl w:val="0"/>
        <w:spacing w:line="440" w:lineRule="exact"/>
        <w:ind w:firstLine="424"/>
        <w:rPr>
          <w:color w:val="auto"/>
          <w:sz w:val="24"/>
          <w:lang w:val="zh-CN"/>
        </w:rPr>
      </w:pPr>
      <w:r>
        <w:rPr>
          <w:rFonts w:hint="eastAsia" w:ascii="宋体" w:hAnsi="宋体"/>
          <w:b/>
          <w:bCs/>
          <w:color w:val="auto"/>
          <w:sz w:val="24"/>
          <w:szCs w:val="20"/>
          <w:highlight w:val="none"/>
        </w:rPr>
        <w:t>注：上述人员的相关证书及投标供应商为上述人员缴纳的</w:t>
      </w:r>
      <w:r>
        <w:rPr>
          <w:rFonts w:hint="eastAsia" w:ascii="宋体" w:hAnsi="宋体"/>
          <w:b/>
          <w:bCs/>
          <w:color w:val="FF0000"/>
          <w:sz w:val="24"/>
          <w:szCs w:val="20"/>
          <w:highlight w:val="none"/>
        </w:rPr>
        <w:t>202</w:t>
      </w:r>
      <w:r>
        <w:rPr>
          <w:rFonts w:hint="eastAsia" w:ascii="宋体" w:hAnsi="宋体"/>
          <w:b/>
          <w:bCs/>
          <w:color w:val="FF0000"/>
          <w:sz w:val="24"/>
          <w:szCs w:val="20"/>
          <w:highlight w:val="none"/>
          <w:lang w:val="en-US" w:eastAsia="zh-CN"/>
        </w:rPr>
        <w:t>6</w:t>
      </w:r>
      <w:r>
        <w:rPr>
          <w:rFonts w:hint="eastAsia" w:ascii="宋体" w:hAnsi="宋体"/>
          <w:b/>
          <w:bCs/>
          <w:color w:val="FF0000"/>
          <w:sz w:val="24"/>
          <w:szCs w:val="20"/>
          <w:highlight w:val="none"/>
        </w:rPr>
        <w:t>年0</w:t>
      </w:r>
      <w:r>
        <w:rPr>
          <w:rFonts w:hint="eastAsia" w:ascii="宋体" w:hAnsi="宋体"/>
          <w:b/>
          <w:bCs/>
          <w:color w:val="FF0000"/>
          <w:sz w:val="24"/>
          <w:szCs w:val="20"/>
          <w:highlight w:val="none"/>
          <w:lang w:val="en-US" w:eastAsia="zh-CN"/>
        </w:rPr>
        <w:t>6</w:t>
      </w:r>
      <w:r>
        <w:rPr>
          <w:rFonts w:hint="eastAsia" w:ascii="宋体" w:hAnsi="宋体"/>
          <w:b/>
          <w:bCs/>
          <w:color w:val="FF0000"/>
          <w:sz w:val="24"/>
          <w:szCs w:val="20"/>
          <w:highlight w:val="none"/>
        </w:rPr>
        <w:t>月到0</w:t>
      </w:r>
      <w:r>
        <w:rPr>
          <w:rFonts w:hint="eastAsia" w:ascii="宋体" w:hAnsi="宋体"/>
          <w:b/>
          <w:bCs/>
          <w:color w:val="FF0000"/>
          <w:sz w:val="24"/>
          <w:szCs w:val="20"/>
          <w:highlight w:val="none"/>
          <w:lang w:val="en-US" w:eastAsia="zh-CN"/>
        </w:rPr>
        <w:t>8</w:t>
      </w:r>
      <w:r>
        <w:rPr>
          <w:rFonts w:hint="eastAsia" w:ascii="宋体" w:hAnsi="宋体"/>
          <w:b/>
          <w:bCs/>
          <w:color w:val="FF0000"/>
          <w:sz w:val="24"/>
          <w:szCs w:val="20"/>
          <w:highlight w:val="none"/>
        </w:rPr>
        <w:t>月</w:t>
      </w:r>
      <w:r>
        <w:rPr>
          <w:rFonts w:hint="eastAsia" w:ascii="宋体" w:hAnsi="宋体"/>
          <w:b/>
          <w:bCs/>
          <w:color w:val="auto"/>
          <w:sz w:val="24"/>
          <w:szCs w:val="20"/>
          <w:highlight w:val="none"/>
        </w:rPr>
        <w:t>中任意一个月的基本养老保险缴费证明材料需在本次投标资料中体现，否则符合性审查不予通过。</w:t>
      </w:r>
    </w:p>
    <w:p w14:paraId="72271E65">
      <w:pPr>
        <w:keepNext w:val="0"/>
        <w:keepLines w:val="0"/>
        <w:pageBreakBefore w:val="0"/>
        <w:widowControl w:val="0"/>
        <w:spacing w:line="440" w:lineRule="exact"/>
        <w:ind w:firstLine="424"/>
        <w:rPr>
          <w:rFonts w:hint="eastAsia" w:ascii="宋体" w:hAnsi="宋体"/>
          <w:color w:val="auto"/>
          <w:sz w:val="24"/>
          <w:szCs w:val="20"/>
          <w:highlight w:val="none"/>
        </w:rPr>
      </w:pPr>
      <w:r>
        <w:rPr>
          <w:color w:val="auto"/>
          <w:sz w:val="24"/>
          <w:lang w:val="zh-CN"/>
        </w:rPr>
        <w:t>2.</w:t>
      </w:r>
      <w:r>
        <w:rPr>
          <w:rFonts w:hint="eastAsia" w:ascii="宋体" w:hAnsi="宋体"/>
          <w:color w:val="auto"/>
          <w:sz w:val="24"/>
          <w:szCs w:val="20"/>
          <w:highlight w:val="none"/>
        </w:rPr>
        <w:t>配备至少2辆工程车或运维巡检车。（车辆为自有车辆，提供在投标企业或投标企业法定代表人名下的有效的车辆行驶证或登记证）</w:t>
      </w:r>
    </w:p>
    <w:p w14:paraId="7C302767">
      <w:pPr>
        <w:keepNext w:val="0"/>
        <w:keepLines w:val="0"/>
        <w:pageBreakBefore w:val="0"/>
        <w:widowControl w:val="0"/>
        <w:spacing w:line="440" w:lineRule="exact"/>
        <w:ind w:firstLine="424"/>
        <w:rPr>
          <w:rFonts w:hint="eastAsia"/>
          <w:color w:val="auto"/>
          <w:sz w:val="24"/>
          <w:lang w:val="en-US" w:eastAsia="zh-CN"/>
        </w:rPr>
      </w:pPr>
      <w:r>
        <w:rPr>
          <w:rFonts w:hint="eastAsia"/>
          <w:color w:val="auto"/>
          <w:sz w:val="24"/>
          <w:lang w:val="en-US" w:eastAsia="zh-CN"/>
        </w:rPr>
        <w:t>3.</w:t>
      </w:r>
      <w:r>
        <w:rPr>
          <w:rFonts w:hint="eastAsia" w:ascii="宋体" w:hAnsi="宋体"/>
          <w:color w:val="auto"/>
          <w:sz w:val="24"/>
          <w:szCs w:val="20"/>
          <w:highlight w:val="none"/>
        </w:rPr>
        <w:t>配备至少一台一体化便携式多参数水质测定仪、至少一台智能多参数水质测定仪、至少一台多功能消解仪。（提供检测设备照片及投标企业购买该设备的发票）</w:t>
      </w:r>
    </w:p>
    <w:p w14:paraId="05DCC5A2">
      <w:pPr>
        <w:spacing w:line="480" w:lineRule="exact"/>
        <w:ind w:left="15" w:firstLine="403"/>
        <w:jc w:val="left"/>
        <w:rPr>
          <w:color w:val="FF0000"/>
          <w:sz w:val="24"/>
          <w:lang w:val="zh-CN"/>
        </w:rPr>
      </w:pPr>
      <w:r>
        <w:rPr>
          <w:color w:val="auto"/>
          <w:sz w:val="24"/>
          <w:lang w:val="zh-CN"/>
        </w:rPr>
        <w:t>（招标文件要求提供的</w:t>
      </w:r>
      <w:r>
        <w:rPr>
          <w:rFonts w:hint="eastAsia"/>
          <w:color w:val="auto"/>
          <w:sz w:val="24"/>
          <w:lang w:val="zh-CN"/>
        </w:rPr>
        <w:t>符合性审查</w:t>
      </w:r>
      <w:r>
        <w:rPr>
          <w:color w:val="auto"/>
          <w:sz w:val="24"/>
          <w:lang w:val="zh-CN"/>
        </w:rPr>
        <w:t>证明材料中没有对应的接口上传的资料，可以在本部分的其他材料的接口中上传）</w:t>
      </w:r>
    </w:p>
    <w:p w14:paraId="09E1ABCD">
      <w:pPr>
        <w:spacing w:line="420" w:lineRule="exact"/>
        <w:rPr>
          <w:b/>
          <w:bCs/>
          <w:sz w:val="24"/>
        </w:rPr>
      </w:pPr>
      <w:r>
        <w:rPr>
          <w:b/>
          <w:bCs/>
          <w:sz w:val="24"/>
        </w:rPr>
        <w:t>三</w:t>
      </w:r>
      <w:r>
        <w:rPr>
          <w:b/>
          <w:bCs/>
          <w:sz w:val="24"/>
          <w:lang w:val="zh-CN"/>
        </w:rPr>
        <w:t>、商务技术标（不能出现价格标）</w:t>
      </w:r>
    </w:p>
    <w:p w14:paraId="14DBEA54">
      <w:pPr>
        <w:spacing w:line="420" w:lineRule="exact"/>
        <w:ind w:firstLine="420"/>
        <w:rPr>
          <w:bCs/>
          <w:sz w:val="24"/>
        </w:rPr>
      </w:pPr>
      <w:r>
        <w:rPr>
          <w:bCs/>
          <w:sz w:val="24"/>
        </w:rPr>
        <w:t>1</w:t>
      </w:r>
      <w:r>
        <w:rPr>
          <w:bCs/>
          <w:sz w:val="24"/>
          <w:lang w:val="zh-CN"/>
        </w:rPr>
        <w:t>.商务技术评分标准中须提供的相关得分佐证材料；</w:t>
      </w:r>
    </w:p>
    <w:p w14:paraId="2F715FA6">
      <w:pPr>
        <w:spacing w:line="420" w:lineRule="exact"/>
        <w:ind w:firstLine="420"/>
        <w:rPr>
          <w:bCs/>
          <w:sz w:val="24"/>
          <w:lang w:val="zh-CN"/>
        </w:rPr>
      </w:pPr>
      <w:r>
        <w:rPr>
          <w:bCs/>
          <w:sz w:val="24"/>
        </w:rPr>
        <w:t>2</w:t>
      </w:r>
      <w:r>
        <w:rPr>
          <w:bCs/>
          <w:sz w:val="24"/>
          <w:lang w:val="zh-CN"/>
        </w:rPr>
        <w:t>.投标人认为需要提交的其他商务技术材料。</w:t>
      </w:r>
    </w:p>
    <w:p w14:paraId="4E88726A">
      <w:pPr>
        <w:spacing w:line="420" w:lineRule="exact"/>
        <w:ind w:firstLine="420"/>
      </w:pPr>
      <w:r>
        <w:rPr>
          <w:sz w:val="24"/>
          <w:lang w:val="zh-CN"/>
        </w:rPr>
        <w:t>（招标文件要求提供的</w:t>
      </w:r>
      <w:r>
        <w:rPr>
          <w:b/>
          <w:bCs/>
          <w:sz w:val="24"/>
          <w:lang w:val="zh-CN"/>
        </w:rPr>
        <w:t>商务技术标材料</w:t>
      </w:r>
      <w:r>
        <w:rPr>
          <w:sz w:val="24"/>
          <w:lang w:val="zh-CN"/>
        </w:rPr>
        <w:t>中没有对应的接口上传的资料，可以在本部分的其他材料的接口中上传）</w:t>
      </w:r>
    </w:p>
    <w:p w14:paraId="1633309E">
      <w:pPr>
        <w:spacing w:line="480" w:lineRule="exact"/>
        <w:rPr>
          <w:b/>
          <w:bCs/>
          <w:sz w:val="24"/>
        </w:rPr>
      </w:pPr>
      <w:r>
        <w:rPr>
          <w:b/>
          <w:bCs/>
          <w:sz w:val="24"/>
        </w:rPr>
        <w:t>四</w:t>
      </w:r>
      <w:r>
        <w:rPr>
          <w:b/>
          <w:bCs/>
          <w:sz w:val="24"/>
          <w:lang w:val="zh-CN"/>
        </w:rPr>
        <w:t>、价格标</w:t>
      </w:r>
    </w:p>
    <w:p w14:paraId="0F752843">
      <w:pPr>
        <w:spacing w:line="480" w:lineRule="exact"/>
        <w:ind w:firstLine="420"/>
        <w:rPr>
          <w:sz w:val="24"/>
        </w:rPr>
      </w:pPr>
      <w:r>
        <w:rPr>
          <w:sz w:val="24"/>
          <w:lang w:val="zh-CN"/>
        </w:rPr>
        <w:t>1.开标一览表（格式见附件</w:t>
      </w:r>
      <w:r>
        <w:rPr>
          <w:rFonts w:hint="eastAsia"/>
          <w:sz w:val="24"/>
          <w:lang w:val="en-US" w:eastAsia="zh-CN"/>
        </w:rPr>
        <w:t>7</w:t>
      </w:r>
      <w:r>
        <w:rPr>
          <w:sz w:val="24"/>
          <w:lang w:val="zh-CN"/>
        </w:rPr>
        <w:t>）</w:t>
      </w:r>
    </w:p>
    <w:p w14:paraId="47D04E73">
      <w:pPr>
        <w:spacing w:line="480" w:lineRule="exact"/>
        <w:ind w:firstLine="420"/>
        <w:rPr>
          <w:rFonts w:hint="default" w:eastAsia="宋体"/>
          <w:sz w:val="24"/>
          <w:lang w:val="en-US" w:eastAsia="zh-CN"/>
        </w:rPr>
      </w:pPr>
      <w:r>
        <w:rPr>
          <w:rFonts w:hint="eastAsia"/>
          <w:sz w:val="24"/>
          <w:lang w:val="en-US" w:eastAsia="zh-CN"/>
        </w:rPr>
        <w:t>2.分项报价明细表（</w:t>
      </w:r>
      <w:r>
        <w:rPr>
          <w:sz w:val="24"/>
          <w:lang w:val="zh-CN"/>
        </w:rPr>
        <w:t>格式见附件</w:t>
      </w:r>
      <w:r>
        <w:rPr>
          <w:rFonts w:hint="eastAsia"/>
          <w:sz w:val="24"/>
          <w:lang w:val="en-US" w:eastAsia="zh-CN"/>
        </w:rPr>
        <w:t>8）</w:t>
      </w:r>
    </w:p>
    <w:p w14:paraId="57F9C936">
      <w:pPr>
        <w:spacing w:line="480" w:lineRule="exact"/>
        <w:ind w:firstLine="420"/>
        <w:rPr>
          <w:sz w:val="24"/>
          <w:lang w:val="zh-CN"/>
        </w:rPr>
      </w:pPr>
      <w:r>
        <w:rPr>
          <w:sz w:val="24"/>
          <w:lang w:val="zh-CN"/>
        </w:rPr>
        <w:t>（如招标文件要求提供的</w:t>
      </w:r>
      <w:r>
        <w:rPr>
          <w:b/>
          <w:bCs/>
          <w:sz w:val="24"/>
          <w:lang w:val="zh-CN"/>
        </w:rPr>
        <w:t>价格标资料</w:t>
      </w:r>
      <w:r>
        <w:rPr>
          <w:sz w:val="24"/>
          <w:lang w:val="zh-CN"/>
        </w:rPr>
        <w:t>中没有对应的接口上传的资料可以在本部分的其他材料的接口中上传）</w:t>
      </w:r>
    </w:p>
    <w:p w14:paraId="20A27E92">
      <w:pPr>
        <w:pStyle w:val="2"/>
        <w:ind w:firstLine="482" w:firstLineChars="200"/>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zh-CN" w:eastAsia="zh-CN" w:bidi="ar-SA"/>
        </w:rPr>
        <w:t>注：招标文件中涉及要求提交基本养老保险证明的，若公司成立至今或员工入职至今未满足要求提交月份的，提交公司成立至今或员工入职至今的缴纳记录。</w:t>
      </w:r>
    </w:p>
    <w:p w14:paraId="3FEEB5CE">
      <w:pPr>
        <w:spacing w:line="400" w:lineRule="exact"/>
        <w:contextualSpacing/>
        <w:rPr>
          <w:sz w:val="32"/>
          <w:szCs w:val="32"/>
        </w:rPr>
      </w:pPr>
      <w:r>
        <w:rPr>
          <w:sz w:val="32"/>
          <w:szCs w:val="32"/>
          <w:lang w:val="zh-CN"/>
        </w:rPr>
        <w:br w:type="page" w:clear="all"/>
      </w:r>
      <w:r>
        <w:rPr>
          <w:sz w:val="32"/>
          <w:szCs w:val="32"/>
          <w:lang w:val="zh-CN"/>
        </w:rPr>
        <w:t>附件1</w:t>
      </w:r>
    </w:p>
    <w:p w14:paraId="45ECEDA4">
      <w:pPr>
        <w:jc w:val="center"/>
        <w:rPr>
          <w:b/>
          <w:sz w:val="30"/>
          <w:szCs w:val="30"/>
        </w:rPr>
      </w:pPr>
      <w:r>
        <w:rPr>
          <w:b/>
          <w:sz w:val="30"/>
          <w:szCs w:val="30"/>
        </w:rPr>
        <w:t>投标人符合《政府采购法》第二十二条规定条件的声明函</w:t>
      </w:r>
    </w:p>
    <w:p w14:paraId="61AACD03">
      <w:pPr>
        <w:spacing w:line="460" w:lineRule="exact"/>
        <w:rPr>
          <w:b/>
          <w:bCs/>
          <w:sz w:val="44"/>
          <w:szCs w:val="44"/>
        </w:rPr>
      </w:pPr>
      <w:r>
        <w:rPr>
          <w:b/>
          <w:bCs/>
          <w:sz w:val="24"/>
          <w:szCs w:val="21"/>
        </w:rPr>
        <w:t xml:space="preserve">                       </w:t>
      </w:r>
      <w:r>
        <w:rPr>
          <w:b/>
          <w:bCs/>
          <w:sz w:val="44"/>
          <w:szCs w:val="44"/>
        </w:rPr>
        <w:t xml:space="preserve">   </w:t>
      </w:r>
    </w:p>
    <w:p w14:paraId="3728CAFE">
      <w:pPr>
        <w:spacing w:line="520" w:lineRule="exact"/>
        <w:ind w:firstLine="480"/>
        <w:rPr>
          <w:b/>
          <w:bCs/>
          <w:sz w:val="24"/>
        </w:rPr>
      </w:pPr>
      <w:r>
        <w:rPr>
          <w:bCs/>
          <w:sz w:val="24"/>
        </w:rPr>
        <w:t>我单位参加</w:t>
      </w:r>
      <w:r>
        <w:rPr>
          <w:rFonts w:hint="eastAsia"/>
          <w:bCs/>
          <w:sz w:val="24"/>
          <w:u w:val="single"/>
        </w:rPr>
        <w:t>南通市海门区人民政府海门街道办事处采购农村污水处理设施运维服务项目</w:t>
      </w:r>
      <w:r>
        <w:rPr>
          <w:bCs/>
          <w:sz w:val="24"/>
          <w:szCs w:val="21"/>
        </w:rPr>
        <w:t>（项目名称），</w:t>
      </w:r>
      <w:r>
        <w:rPr>
          <w:rFonts w:hint="eastAsia"/>
          <w:bCs/>
          <w:sz w:val="24"/>
          <w:szCs w:val="21"/>
          <w:u w:val="single"/>
          <w:lang w:val="en-US" w:eastAsia="zh-CN"/>
        </w:rPr>
        <w:t xml:space="preserve">  JSZC-320614-NTJC-G2026-0015  </w:t>
      </w:r>
      <w:r>
        <w:rPr>
          <w:bCs/>
          <w:sz w:val="24"/>
          <w:szCs w:val="21"/>
        </w:rPr>
        <w:t>（项目编号）投标活动。针对《中华人民共和国政府采购法》第二十二条规定做出如下声明：</w:t>
      </w:r>
    </w:p>
    <w:p w14:paraId="039CF3A2">
      <w:pPr>
        <w:spacing w:line="520" w:lineRule="exact"/>
        <w:ind w:firstLine="482"/>
        <w:rPr>
          <w:sz w:val="24"/>
        </w:rPr>
      </w:pPr>
      <w:r>
        <w:rPr>
          <w:bCs/>
          <w:sz w:val="24"/>
          <w:szCs w:val="21"/>
        </w:rPr>
        <w:t>1.我单位具有独立承担民事责任的能力；</w:t>
      </w:r>
    </w:p>
    <w:p w14:paraId="4178B337">
      <w:pPr>
        <w:spacing w:line="520" w:lineRule="exact"/>
        <w:ind w:firstLine="482"/>
        <w:rPr>
          <w:sz w:val="24"/>
        </w:rPr>
      </w:pPr>
      <w:r>
        <w:rPr>
          <w:sz w:val="24"/>
        </w:rPr>
        <w:t>2.我单位具有良好的商业信誉和健全的财务会计制度；</w:t>
      </w:r>
    </w:p>
    <w:p w14:paraId="2CC07B8C">
      <w:pPr>
        <w:spacing w:line="520" w:lineRule="exact"/>
        <w:ind w:firstLine="482"/>
        <w:rPr>
          <w:sz w:val="24"/>
        </w:rPr>
      </w:pPr>
      <w:r>
        <w:rPr>
          <w:sz w:val="24"/>
        </w:rPr>
        <w:t>3.我单位具有履行合同所必需的设备和专业技术能力；</w:t>
      </w:r>
    </w:p>
    <w:p w14:paraId="48680A06">
      <w:pPr>
        <w:spacing w:line="520" w:lineRule="exact"/>
        <w:ind w:firstLine="482"/>
        <w:rPr>
          <w:sz w:val="24"/>
        </w:rPr>
      </w:pPr>
      <w:r>
        <w:rPr>
          <w:sz w:val="24"/>
        </w:rPr>
        <w:t>4.我单位有依法缴纳税收和社会保障资金的良好记录；</w:t>
      </w:r>
    </w:p>
    <w:p w14:paraId="6F05865D">
      <w:pPr>
        <w:spacing w:line="520" w:lineRule="exact"/>
        <w:ind w:firstLine="482"/>
        <w:rPr>
          <w:sz w:val="24"/>
        </w:rPr>
      </w:pPr>
      <w:r>
        <w:rPr>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302C670F">
      <w:pPr>
        <w:spacing w:line="520" w:lineRule="exact"/>
        <w:ind w:firstLine="482"/>
        <w:rPr>
          <w:sz w:val="24"/>
        </w:rPr>
      </w:pPr>
      <w:r>
        <w:rPr>
          <w:sz w:val="24"/>
        </w:rPr>
        <w:t>6.我单位满足法律、行政法规规定的其他条件。</w:t>
      </w:r>
    </w:p>
    <w:p w14:paraId="73675A2E">
      <w:pPr>
        <w:spacing w:line="500" w:lineRule="exact"/>
        <w:ind w:firstLine="482"/>
        <w:rPr>
          <w:sz w:val="24"/>
        </w:rPr>
      </w:pPr>
    </w:p>
    <w:p w14:paraId="11BDB41E">
      <w:pPr>
        <w:spacing w:line="500" w:lineRule="exact"/>
        <w:rPr>
          <w:sz w:val="24"/>
        </w:rPr>
      </w:pPr>
    </w:p>
    <w:p w14:paraId="182FD247">
      <w:pPr>
        <w:spacing w:line="500" w:lineRule="exact"/>
        <w:rPr>
          <w:bCs/>
          <w:sz w:val="24"/>
          <w:szCs w:val="21"/>
        </w:rPr>
      </w:pPr>
    </w:p>
    <w:p w14:paraId="6137444D">
      <w:pPr>
        <w:spacing w:line="500" w:lineRule="exact"/>
        <w:rPr>
          <w:bCs/>
          <w:sz w:val="24"/>
          <w:szCs w:val="21"/>
        </w:rPr>
      </w:pPr>
    </w:p>
    <w:p w14:paraId="4739AD9A">
      <w:pPr>
        <w:spacing w:line="500" w:lineRule="exact"/>
        <w:rPr>
          <w:bCs/>
          <w:sz w:val="24"/>
          <w:szCs w:val="21"/>
        </w:rPr>
      </w:pPr>
    </w:p>
    <w:p w14:paraId="41540D18">
      <w:pPr>
        <w:spacing w:line="460" w:lineRule="exact"/>
        <w:jc w:val="center"/>
        <w:rPr>
          <w:bCs/>
          <w:sz w:val="24"/>
          <w:szCs w:val="21"/>
        </w:rPr>
      </w:pPr>
      <w:r>
        <w:rPr>
          <w:bCs/>
          <w:sz w:val="24"/>
          <w:szCs w:val="21"/>
        </w:rPr>
        <w:t xml:space="preserve">                                             承诺人名称（公章）：</w:t>
      </w:r>
    </w:p>
    <w:p w14:paraId="122343F7">
      <w:pPr>
        <w:spacing w:line="460" w:lineRule="exact"/>
        <w:jc w:val="right"/>
        <w:rPr>
          <w:bCs/>
          <w:sz w:val="24"/>
          <w:szCs w:val="21"/>
        </w:rPr>
      </w:pPr>
      <w:r>
        <w:rPr>
          <w:bCs/>
          <w:sz w:val="24"/>
          <w:szCs w:val="21"/>
        </w:rPr>
        <w:t xml:space="preserve">    </w:t>
      </w:r>
    </w:p>
    <w:p w14:paraId="10C55380">
      <w:pPr>
        <w:spacing w:line="460" w:lineRule="exact"/>
        <w:jc w:val="right"/>
        <w:rPr>
          <w:bCs/>
          <w:sz w:val="24"/>
          <w:szCs w:val="21"/>
        </w:rPr>
      </w:pPr>
      <w:r>
        <w:rPr>
          <w:bCs/>
          <w:sz w:val="24"/>
          <w:szCs w:val="21"/>
        </w:rPr>
        <w:t xml:space="preserve">                                 日期：</w:t>
      </w:r>
      <w:r>
        <w:rPr>
          <w:bCs/>
          <w:sz w:val="24"/>
          <w:szCs w:val="21"/>
          <w:u w:val="single"/>
        </w:rPr>
        <w:t xml:space="preserve"> </w:t>
      </w:r>
      <w:r>
        <w:rPr>
          <w:rFonts w:hint="eastAsia"/>
          <w:bCs/>
          <w:sz w:val="24"/>
          <w:szCs w:val="21"/>
          <w:u w:val="single"/>
        </w:rPr>
        <w:t xml:space="preserve">  </w:t>
      </w:r>
      <w:r>
        <w:rPr>
          <w:bCs/>
          <w:sz w:val="24"/>
          <w:szCs w:val="21"/>
          <w:u w:val="single"/>
        </w:rPr>
        <w:t xml:space="preserve">   </w:t>
      </w:r>
      <w:r>
        <w:rPr>
          <w:bCs/>
          <w:sz w:val="24"/>
          <w:szCs w:val="21"/>
        </w:rPr>
        <w:t>年</w:t>
      </w:r>
      <w:r>
        <w:rPr>
          <w:bCs/>
          <w:sz w:val="24"/>
          <w:szCs w:val="21"/>
          <w:u w:val="single"/>
        </w:rPr>
        <w:t xml:space="preserve">    </w:t>
      </w:r>
      <w:r>
        <w:rPr>
          <w:bCs/>
          <w:sz w:val="24"/>
          <w:szCs w:val="21"/>
        </w:rPr>
        <w:t>月</w:t>
      </w:r>
      <w:r>
        <w:rPr>
          <w:bCs/>
          <w:sz w:val="24"/>
          <w:szCs w:val="21"/>
          <w:u w:val="single"/>
        </w:rPr>
        <w:t xml:space="preserve">    </w:t>
      </w:r>
      <w:r>
        <w:rPr>
          <w:bCs/>
          <w:sz w:val="24"/>
          <w:szCs w:val="21"/>
        </w:rPr>
        <w:t>日</w:t>
      </w:r>
    </w:p>
    <w:p w14:paraId="74635B63">
      <w:pPr>
        <w:rPr>
          <w:szCs w:val="21"/>
        </w:rPr>
      </w:pPr>
    </w:p>
    <w:p w14:paraId="23985FB2">
      <w:pPr>
        <w:spacing w:line="400" w:lineRule="exact"/>
        <w:contextualSpacing/>
        <w:rPr>
          <w:b/>
          <w:sz w:val="28"/>
          <w:szCs w:val="28"/>
        </w:rPr>
      </w:pPr>
    </w:p>
    <w:p w14:paraId="426D92DE">
      <w:pPr>
        <w:spacing w:line="400" w:lineRule="exact"/>
        <w:contextualSpacing/>
        <w:rPr>
          <w:sz w:val="32"/>
          <w:szCs w:val="32"/>
        </w:rPr>
      </w:pPr>
      <w:r>
        <w:rPr>
          <w:sz w:val="32"/>
          <w:szCs w:val="32"/>
          <w:lang w:val="zh-CN"/>
        </w:rPr>
        <w:br w:type="page" w:clear="all"/>
      </w:r>
      <w:r>
        <w:rPr>
          <w:sz w:val="32"/>
          <w:szCs w:val="32"/>
          <w:lang w:val="zh-CN"/>
        </w:rPr>
        <w:t>附件2</w:t>
      </w:r>
    </w:p>
    <w:p w14:paraId="71BD936B">
      <w:pPr>
        <w:pStyle w:val="356"/>
        <w:spacing w:line="560" w:lineRule="exact"/>
        <w:jc w:val="center"/>
        <w:rPr>
          <w:b/>
          <w:bCs/>
          <w:sz w:val="32"/>
          <w:szCs w:val="32"/>
        </w:rPr>
      </w:pPr>
      <w:r>
        <w:rPr>
          <w:b/>
          <w:bCs/>
          <w:sz w:val="32"/>
          <w:szCs w:val="32"/>
        </w:rPr>
        <w:t>法定代表人身份证明</w:t>
      </w:r>
    </w:p>
    <w:p w14:paraId="12CEEB1D">
      <w:pPr>
        <w:spacing w:line="480" w:lineRule="exact"/>
        <w:rPr>
          <w:sz w:val="24"/>
        </w:rPr>
      </w:pPr>
    </w:p>
    <w:p w14:paraId="39606F26">
      <w:pPr>
        <w:keepNext w:val="0"/>
        <w:keepLines w:val="0"/>
        <w:pageBreakBefore w:val="0"/>
        <w:widowControl w:val="0"/>
        <w:spacing w:line="440" w:lineRule="exact"/>
        <w:ind w:firstLine="560"/>
        <w:rPr>
          <w:sz w:val="28"/>
          <w:szCs w:val="28"/>
        </w:rPr>
      </w:pPr>
      <w:r>
        <w:rPr>
          <w:sz w:val="28"/>
          <w:szCs w:val="28"/>
          <w:u w:val="single"/>
        </w:rPr>
        <w:t xml:space="preserve">        </w:t>
      </w:r>
      <w:r>
        <w:rPr>
          <w:sz w:val="28"/>
          <w:szCs w:val="28"/>
        </w:rPr>
        <w:t>先生/女士： 现任我单位</w:t>
      </w:r>
      <w:r>
        <w:rPr>
          <w:sz w:val="28"/>
          <w:szCs w:val="28"/>
          <w:u w:val="single"/>
        </w:rPr>
        <w:t xml:space="preserve">        </w:t>
      </w:r>
      <w:r>
        <w:rPr>
          <w:sz w:val="28"/>
          <w:szCs w:val="28"/>
        </w:rPr>
        <w:t>职务，为法定代表人，特此证明。</w:t>
      </w:r>
    </w:p>
    <w:p w14:paraId="005662F0">
      <w:pPr>
        <w:keepNext w:val="0"/>
        <w:keepLines w:val="0"/>
        <w:pageBreakBefore w:val="0"/>
        <w:widowControl w:val="0"/>
        <w:spacing w:line="440" w:lineRule="exact"/>
        <w:ind w:firstLine="560"/>
        <w:rPr>
          <w:sz w:val="28"/>
          <w:szCs w:val="28"/>
        </w:rPr>
      </w:pPr>
      <w:r>
        <w:rPr>
          <w:sz w:val="28"/>
          <w:szCs w:val="28"/>
        </w:rPr>
        <w:t>身份证号码：</w:t>
      </w:r>
      <w:r>
        <w:rPr>
          <w:sz w:val="28"/>
          <w:szCs w:val="28"/>
          <w:u w:val="single"/>
        </w:rPr>
        <w:t xml:space="preserve">                          </w:t>
      </w:r>
      <w:r>
        <w:rPr>
          <w:sz w:val="28"/>
          <w:szCs w:val="28"/>
        </w:rPr>
        <w:t xml:space="preserve">。                                               </w:t>
      </w:r>
    </w:p>
    <w:p w14:paraId="0186AA35">
      <w:pPr>
        <w:keepNext w:val="0"/>
        <w:keepLines w:val="0"/>
        <w:pageBreakBefore w:val="0"/>
        <w:widowControl w:val="0"/>
        <w:spacing w:line="440" w:lineRule="exact"/>
        <w:ind w:firstLine="560"/>
        <w:rPr>
          <w:sz w:val="28"/>
          <w:szCs w:val="28"/>
        </w:rPr>
      </w:pPr>
      <w:r>
        <w:rPr>
          <w:sz w:val="28"/>
          <w:szCs w:val="28"/>
        </w:rPr>
        <w:t>联系方式：</w:t>
      </w:r>
      <w:r>
        <w:rPr>
          <w:sz w:val="28"/>
          <w:szCs w:val="28"/>
          <w:u w:val="single"/>
        </w:rPr>
        <w:t xml:space="preserve">                            </w:t>
      </w:r>
      <w:r>
        <w:rPr>
          <w:sz w:val="28"/>
          <w:szCs w:val="28"/>
        </w:rPr>
        <w:t xml:space="preserve">。   </w:t>
      </w:r>
    </w:p>
    <w:p w14:paraId="5B96D14A">
      <w:pPr>
        <w:pStyle w:val="345"/>
        <w:keepNext w:val="0"/>
        <w:keepLines w:val="0"/>
        <w:pageBreakBefore w:val="0"/>
        <w:widowControl w:val="0"/>
        <w:spacing w:line="440" w:lineRule="exact"/>
        <w:ind w:firstLine="723"/>
        <w:rPr>
          <w:b/>
          <w:sz w:val="24"/>
        </w:rPr>
      </w:pPr>
      <w:r>
        <w:rPr>
          <w:b/>
          <w:sz w:val="24"/>
        </w:rPr>
        <w:t>注：提供法定代表人的身份证</w:t>
      </w:r>
      <w:r>
        <w:rPr>
          <w:rFonts w:hint="eastAsia"/>
          <w:b/>
          <w:sz w:val="24"/>
          <w:lang w:val="en-US" w:eastAsia="zh-CN"/>
        </w:rPr>
        <w:t>扫描</w:t>
      </w:r>
      <w:r>
        <w:rPr>
          <w:b/>
          <w:sz w:val="24"/>
        </w:rPr>
        <w:t>件盖公章。</w:t>
      </w:r>
    </w:p>
    <w:p w14:paraId="339ACF93">
      <w:pPr>
        <w:spacing w:line="480" w:lineRule="exact"/>
        <w:ind w:firstLine="480"/>
        <w:rPr>
          <w:sz w:val="24"/>
        </w:rPr>
      </w:pPr>
    </w:p>
    <w:p w14:paraId="0F464C2F">
      <w:r>
        <w:t xml:space="preserve">     </w:t>
      </w:r>
    </w:p>
    <w:p w14:paraId="426BF64F">
      <w:pPr>
        <w:spacing w:line="400" w:lineRule="exact"/>
        <w:ind w:firstLine="540"/>
        <w:contextualSpacing/>
        <w:rPr>
          <w:b/>
          <w:sz w:val="28"/>
          <w:szCs w:val="28"/>
        </w:rPr>
      </w:pPr>
    </w:p>
    <w:p w14:paraId="6AD68126">
      <w:pPr>
        <w:spacing w:line="400" w:lineRule="exact"/>
        <w:ind w:firstLine="540"/>
        <w:contextualSpacing/>
        <w:rPr>
          <w:b/>
          <w:sz w:val="28"/>
          <w:szCs w:val="28"/>
        </w:rPr>
      </w:pPr>
    </w:p>
    <w:p w14:paraId="53817BF4">
      <w:pPr>
        <w:spacing w:line="400" w:lineRule="exact"/>
        <w:ind w:firstLine="540"/>
        <w:contextualSpacing/>
        <w:rPr>
          <w:b/>
          <w:sz w:val="28"/>
          <w:szCs w:val="28"/>
        </w:rPr>
      </w:pPr>
    </w:p>
    <w:p w14:paraId="0D861CDC">
      <w:pPr>
        <w:spacing w:line="400" w:lineRule="exact"/>
        <w:ind w:firstLine="540"/>
        <w:contextualSpacing/>
        <w:rPr>
          <w:b/>
          <w:sz w:val="28"/>
          <w:szCs w:val="28"/>
        </w:rPr>
      </w:pPr>
    </w:p>
    <w:p w14:paraId="770C3DC5">
      <w:pPr>
        <w:spacing w:line="400" w:lineRule="exact"/>
        <w:ind w:firstLine="540"/>
        <w:contextualSpacing/>
        <w:rPr>
          <w:b/>
          <w:sz w:val="28"/>
          <w:szCs w:val="28"/>
        </w:rPr>
      </w:pPr>
    </w:p>
    <w:p w14:paraId="478484F6">
      <w:pPr>
        <w:spacing w:line="400" w:lineRule="exact"/>
        <w:ind w:firstLine="540"/>
        <w:contextualSpacing/>
        <w:rPr>
          <w:b/>
          <w:sz w:val="28"/>
          <w:szCs w:val="28"/>
        </w:rPr>
      </w:pPr>
    </w:p>
    <w:p w14:paraId="2C43E290">
      <w:pPr>
        <w:spacing w:line="400" w:lineRule="exact"/>
        <w:ind w:firstLine="540"/>
        <w:contextualSpacing/>
        <w:rPr>
          <w:b/>
          <w:sz w:val="28"/>
          <w:szCs w:val="28"/>
        </w:rPr>
      </w:pPr>
    </w:p>
    <w:p w14:paraId="0124537A">
      <w:pPr>
        <w:spacing w:line="400" w:lineRule="exact"/>
        <w:ind w:firstLine="540"/>
        <w:contextualSpacing/>
        <w:rPr>
          <w:b/>
          <w:sz w:val="28"/>
          <w:szCs w:val="28"/>
        </w:rPr>
      </w:pPr>
    </w:p>
    <w:p w14:paraId="493F9811">
      <w:pPr>
        <w:spacing w:line="400" w:lineRule="exact"/>
        <w:ind w:firstLine="540"/>
        <w:contextualSpacing/>
        <w:rPr>
          <w:b/>
          <w:sz w:val="28"/>
          <w:szCs w:val="28"/>
        </w:rPr>
      </w:pPr>
    </w:p>
    <w:p w14:paraId="60693011">
      <w:pPr>
        <w:spacing w:line="400" w:lineRule="exact"/>
        <w:ind w:firstLine="540"/>
        <w:contextualSpacing/>
        <w:rPr>
          <w:b/>
          <w:sz w:val="28"/>
          <w:szCs w:val="28"/>
        </w:rPr>
      </w:pPr>
    </w:p>
    <w:p w14:paraId="3D84AEF2">
      <w:pPr>
        <w:spacing w:line="400" w:lineRule="exact"/>
        <w:ind w:firstLine="540"/>
        <w:contextualSpacing/>
        <w:rPr>
          <w:b/>
          <w:sz w:val="28"/>
          <w:szCs w:val="28"/>
        </w:rPr>
      </w:pPr>
    </w:p>
    <w:p w14:paraId="227FDD75">
      <w:pPr>
        <w:spacing w:line="400" w:lineRule="exact"/>
        <w:ind w:firstLine="540"/>
        <w:contextualSpacing/>
        <w:rPr>
          <w:b/>
          <w:sz w:val="28"/>
          <w:szCs w:val="28"/>
        </w:rPr>
      </w:pPr>
    </w:p>
    <w:p w14:paraId="3FA60A8F">
      <w:pPr>
        <w:spacing w:line="400" w:lineRule="exact"/>
        <w:ind w:firstLine="540"/>
        <w:contextualSpacing/>
        <w:rPr>
          <w:b/>
          <w:sz w:val="28"/>
          <w:szCs w:val="28"/>
        </w:rPr>
      </w:pPr>
    </w:p>
    <w:p w14:paraId="2B1D4F89">
      <w:pPr>
        <w:spacing w:line="400" w:lineRule="exact"/>
        <w:ind w:firstLine="540"/>
        <w:contextualSpacing/>
        <w:rPr>
          <w:b/>
          <w:sz w:val="28"/>
          <w:szCs w:val="28"/>
        </w:rPr>
      </w:pPr>
    </w:p>
    <w:p w14:paraId="62073FBF">
      <w:pPr>
        <w:spacing w:line="400" w:lineRule="exact"/>
        <w:ind w:firstLine="540"/>
        <w:contextualSpacing/>
        <w:rPr>
          <w:b/>
          <w:sz w:val="28"/>
          <w:szCs w:val="28"/>
        </w:rPr>
      </w:pPr>
    </w:p>
    <w:p w14:paraId="4281073C">
      <w:pPr>
        <w:spacing w:line="400" w:lineRule="exact"/>
        <w:ind w:firstLine="540"/>
        <w:contextualSpacing/>
        <w:rPr>
          <w:b/>
          <w:sz w:val="28"/>
          <w:szCs w:val="28"/>
        </w:rPr>
      </w:pPr>
    </w:p>
    <w:p w14:paraId="2DAC7333">
      <w:pPr>
        <w:spacing w:line="400" w:lineRule="exact"/>
        <w:ind w:firstLine="540"/>
        <w:contextualSpacing/>
        <w:rPr>
          <w:b/>
          <w:sz w:val="28"/>
          <w:szCs w:val="28"/>
        </w:rPr>
      </w:pPr>
    </w:p>
    <w:p w14:paraId="22C081B1">
      <w:pPr>
        <w:spacing w:line="400" w:lineRule="exact"/>
        <w:ind w:firstLine="540"/>
        <w:contextualSpacing/>
        <w:rPr>
          <w:b/>
          <w:sz w:val="28"/>
          <w:szCs w:val="28"/>
        </w:rPr>
      </w:pPr>
    </w:p>
    <w:p w14:paraId="04C54AA7">
      <w:pPr>
        <w:spacing w:line="400" w:lineRule="exact"/>
        <w:ind w:firstLine="540"/>
        <w:contextualSpacing/>
        <w:rPr>
          <w:b/>
          <w:sz w:val="28"/>
          <w:szCs w:val="28"/>
        </w:rPr>
      </w:pPr>
    </w:p>
    <w:p w14:paraId="45F4E3E7">
      <w:pPr>
        <w:spacing w:line="400" w:lineRule="exact"/>
        <w:ind w:firstLine="540"/>
        <w:contextualSpacing/>
        <w:rPr>
          <w:b/>
          <w:sz w:val="28"/>
          <w:szCs w:val="28"/>
        </w:rPr>
      </w:pPr>
    </w:p>
    <w:p w14:paraId="7CD3623B">
      <w:pPr>
        <w:spacing w:line="400" w:lineRule="exact"/>
        <w:ind w:firstLine="540"/>
        <w:contextualSpacing/>
        <w:rPr>
          <w:b/>
          <w:sz w:val="28"/>
          <w:szCs w:val="28"/>
        </w:rPr>
      </w:pPr>
    </w:p>
    <w:p w14:paraId="40EA1179">
      <w:pPr>
        <w:spacing w:line="400" w:lineRule="exact"/>
        <w:ind w:firstLine="540"/>
        <w:contextualSpacing/>
        <w:rPr>
          <w:b/>
          <w:sz w:val="28"/>
          <w:szCs w:val="28"/>
        </w:rPr>
      </w:pPr>
    </w:p>
    <w:p w14:paraId="2415BBF7">
      <w:pPr>
        <w:spacing w:line="400" w:lineRule="exact"/>
        <w:ind w:firstLine="540"/>
        <w:contextualSpacing/>
        <w:rPr>
          <w:b/>
          <w:sz w:val="28"/>
          <w:szCs w:val="28"/>
        </w:rPr>
      </w:pPr>
    </w:p>
    <w:p w14:paraId="22073785">
      <w:pPr>
        <w:spacing w:line="400" w:lineRule="exact"/>
        <w:contextualSpacing/>
        <w:rPr>
          <w:sz w:val="32"/>
          <w:szCs w:val="32"/>
        </w:rPr>
      </w:pPr>
      <w:r>
        <w:rPr>
          <w:sz w:val="32"/>
          <w:szCs w:val="32"/>
          <w:lang w:val="zh-CN"/>
        </w:rPr>
        <w:br w:type="page" w:clear="all"/>
      </w:r>
      <w:r>
        <w:rPr>
          <w:sz w:val="32"/>
          <w:szCs w:val="32"/>
          <w:lang w:val="zh-CN"/>
        </w:rPr>
        <w:t>附件3</w:t>
      </w:r>
    </w:p>
    <w:p w14:paraId="715D3010">
      <w:pPr>
        <w:jc w:val="center"/>
        <w:rPr>
          <w:b/>
          <w:bCs/>
          <w:sz w:val="32"/>
          <w:szCs w:val="32"/>
        </w:rPr>
      </w:pPr>
      <w:r>
        <w:rPr>
          <w:b/>
          <w:bCs/>
          <w:sz w:val="32"/>
          <w:szCs w:val="32"/>
        </w:rPr>
        <w:t>法定代表人授权委托书</w:t>
      </w:r>
    </w:p>
    <w:p w14:paraId="2988F35E">
      <w:pPr>
        <w:rPr>
          <w:sz w:val="32"/>
          <w:szCs w:val="32"/>
        </w:rPr>
      </w:pPr>
    </w:p>
    <w:p w14:paraId="29D8CC3E">
      <w:pPr>
        <w:spacing w:line="360" w:lineRule="auto"/>
        <w:ind w:firstLine="560"/>
        <w:rPr>
          <w:sz w:val="28"/>
          <w:szCs w:val="28"/>
        </w:rPr>
      </w:pPr>
      <w:r>
        <w:rPr>
          <w:sz w:val="28"/>
          <w:szCs w:val="28"/>
        </w:rPr>
        <w:t xml:space="preserve">本人 </w:t>
      </w:r>
      <w:r>
        <w:rPr>
          <w:sz w:val="28"/>
          <w:szCs w:val="28"/>
          <w:u w:val="single"/>
        </w:rPr>
        <w:t xml:space="preserve">       </w:t>
      </w:r>
      <w:r>
        <w:rPr>
          <w:sz w:val="28"/>
          <w:szCs w:val="28"/>
        </w:rPr>
        <w:t>（姓名）系</w:t>
      </w:r>
      <w:r>
        <w:rPr>
          <w:sz w:val="28"/>
          <w:szCs w:val="28"/>
          <w:u w:val="single"/>
        </w:rPr>
        <w:t xml:space="preserve">                  </w:t>
      </w:r>
      <w:r>
        <w:rPr>
          <w:sz w:val="28"/>
          <w:szCs w:val="28"/>
        </w:rPr>
        <w:t>（授权单位名称）的法定代表人，现委托</w:t>
      </w:r>
      <w:r>
        <w:rPr>
          <w:sz w:val="28"/>
          <w:szCs w:val="28"/>
          <w:u w:val="single"/>
        </w:rPr>
        <w:t xml:space="preserve">         </w:t>
      </w:r>
      <w:r>
        <w:rPr>
          <w:sz w:val="28"/>
          <w:szCs w:val="28"/>
        </w:rPr>
        <w:t>（姓名）（身份证号</w:t>
      </w:r>
      <w:r>
        <w:rPr>
          <w:sz w:val="28"/>
          <w:szCs w:val="28"/>
          <w:u w:val="single"/>
        </w:rPr>
        <w:t xml:space="preserve">            </w:t>
      </w:r>
      <w:r>
        <w:rPr>
          <w:sz w:val="28"/>
          <w:szCs w:val="28"/>
        </w:rPr>
        <w:t>）为我方代理人，以我方名义全权处理与本次采购项目</w:t>
      </w:r>
      <w:r>
        <w:rPr>
          <w:rFonts w:hint="eastAsia"/>
          <w:sz w:val="28"/>
          <w:szCs w:val="28"/>
          <w:u w:val="single"/>
          <w:lang w:eastAsia="zh-CN"/>
        </w:rPr>
        <w:t>南通市海门区人民政府海门街道办事处采购农村污水处理设施运维服务项目</w:t>
      </w:r>
      <w:r>
        <w:rPr>
          <w:sz w:val="28"/>
          <w:szCs w:val="28"/>
          <w:u w:val="single"/>
        </w:rPr>
        <w:t>（项目编号：</w:t>
      </w:r>
      <w:r>
        <w:rPr>
          <w:rFonts w:hint="eastAsia"/>
          <w:sz w:val="28"/>
          <w:szCs w:val="28"/>
          <w:u w:val="single"/>
        </w:rPr>
        <w:t>JSZC-320614-NTJC-G2026-0015</w:t>
      </w:r>
      <w:r>
        <w:rPr>
          <w:rFonts w:hint="eastAsia"/>
          <w:sz w:val="28"/>
          <w:szCs w:val="28"/>
          <w:u w:val="single"/>
          <w:lang w:val="en-US" w:eastAsia="zh-CN"/>
        </w:rPr>
        <w:t xml:space="preserve">  </w:t>
      </w:r>
      <w:r>
        <w:rPr>
          <w:sz w:val="28"/>
          <w:szCs w:val="28"/>
        </w:rPr>
        <w:t>）有关的一切事务，其法律后果由我方承担。</w:t>
      </w:r>
    </w:p>
    <w:p w14:paraId="4F790509">
      <w:pPr>
        <w:spacing w:line="360" w:lineRule="auto"/>
        <w:ind w:firstLine="560"/>
        <w:rPr>
          <w:sz w:val="28"/>
          <w:szCs w:val="28"/>
        </w:rPr>
      </w:pPr>
      <w:r>
        <w:rPr>
          <w:sz w:val="28"/>
          <w:szCs w:val="28"/>
        </w:rPr>
        <w:t>本授权书于</w:t>
      </w:r>
      <w:r>
        <w:rPr>
          <w:sz w:val="28"/>
          <w:szCs w:val="28"/>
          <w:u w:val="single"/>
        </w:rPr>
        <w:t xml:space="preserve">       </w:t>
      </w:r>
      <w:r>
        <w:rPr>
          <w:sz w:val="28"/>
          <w:szCs w:val="28"/>
        </w:rPr>
        <w:t>年</w:t>
      </w:r>
      <w:r>
        <w:rPr>
          <w:sz w:val="28"/>
          <w:szCs w:val="28"/>
          <w:u w:val="single"/>
        </w:rPr>
        <w:t xml:space="preserve">     </w:t>
      </w:r>
      <w:r>
        <w:rPr>
          <w:sz w:val="28"/>
          <w:szCs w:val="28"/>
        </w:rPr>
        <w:t>月</w:t>
      </w:r>
      <w:r>
        <w:rPr>
          <w:sz w:val="28"/>
          <w:szCs w:val="28"/>
          <w:u w:val="single"/>
        </w:rPr>
        <w:t xml:space="preserve">     </w:t>
      </w:r>
      <w:r>
        <w:rPr>
          <w:sz w:val="28"/>
          <w:szCs w:val="28"/>
        </w:rPr>
        <w:t>日起生效。代理人无转委托权。</w:t>
      </w:r>
    </w:p>
    <w:p w14:paraId="577AAD7F">
      <w:pPr>
        <w:spacing w:line="360" w:lineRule="auto"/>
        <w:ind w:firstLine="420"/>
        <w:rPr>
          <w:sz w:val="28"/>
          <w:szCs w:val="28"/>
        </w:rPr>
      </w:pPr>
      <w:r>
        <w:rPr>
          <w:sz w:val="28"/>
          <w:szCs w:val="28"/>
        </w:rPr>
        <w:t xml:space="preserve">代理人(被授权人): </w:t>
      </w:r>
      <w:r>
        <w:rPr>
          <w:sz w:val="28"/>
          <w:szCs w:val="28"/>
          <w:u w:val="single"/>
        </w:rPr>
        <w:t xml:space="preserve">         </w:t>
      </w:r>
      <w:r>
        <w:rPr>
          <w:sz w:val="28"/>
          <w:szCs w:val="28"/>
        </w:rPr>
        <w:t>。联系方式：</w:t>
      </w:r>
      <w:r>
        <w:rPr>
          <w:sz w:val="28"/>
          <w:szCs w:val="28"/>
          <w:u w:val="single"/>
        </w:rPr>
        <w:t xml:space="preserve">                    </w:t>
      </w:r>
      <w:r>
        <w:rPr>
          <w:sz w:val="28"/>
          <w:szCs w:val="28"/>
        </w:rPr>
        <w:t xml:space="preserve">。      </w:t>
      </w:r>
    </w:p>
    <w:p w14:paraId="64F7E03C">
      <w:pPr>
        <w:spacing w:line="360" w:lineRule="auto"/>
        <w:ind w:firstLine="420"/>
        <w:rPr>
          <w:sz w:val="28"/>
          <w:szCs w:val="28"/>
        </w:rPr>
      </w:pPr>
      <w:r>
        <w:rPr>
          <w:sz w:val="28"/>
          <w:szCs w:val="28"/>
        </w:rPr>
        <w:t>授权单位名称（盖章）：</w:t>
      </w:r>
      <w:r>
        <w:rPr>
          <w:sz w:val="28"/>
          <w:szCs w:val="28"/>
          <w:u w:val="single"/>
        </w:rPr>
        <w:t xml:space="preserve">            </w:t>
      </w:r>
      <w:r>
        <w:rPr>
          <w:sz w:val="28"/>
          <w:szCs w:val="28"/>
        </w:rPr>
        <w:t>。</w:t>
      </w:r>
    </w:p>
    <w:p w14:paraId="2D505662">
      <w:pPr>
        <w:spacing w:line="360" w:lineRule="auto"/>
        <w:ind w:firstLine="420"/>
        <w:rPr>
          <w:sz w:val="28"/>
          <w:szCs w:val="28"/>
        </w:rPr>
      </w:pPr>
      <w:r>
        <w:rPr>
          <w:sz w:val="28"/>
          <w:szCs w:val="28"/>
        </w:rPr>
        <w:t>授权单位法定代表人（签字或盖章）：</w:t>
      </w:r>
      <w:r>
        <w:rPr>
          <w:sz w:val="28"/>
          <w:szCs w:val="28"/>
          <w:u w:val="single"/>
        </w:rPr>
        <w:t xml:space="preserve">           </w:t>
      </w:r>
      <w:r>
        <w:rPr>
          <w:sz w:val="28"/>
          <w:szCs w:val="28"/>
        </w:rPr>
        <w:t>。</w:t>
      </w:r>
    </w:p>
    <w:p w14:paraId="1A34F02A">
      <w:pPr>
        <w:spacing w:line="360" w:lineRule="auto"/>
        <w:jc w:val="right"/>
        <w:rPr>
          <w:sz w:val="28"/>
          <w:szCs w:val="28"/>
        </w:rPr>
      </w:pPr>
    </w:p>
    <w:p w14:paraId="4D134C2C">
      <w:pPr>
        <w:spacing w:line="360" w:lineRule="auto"/>
        <w:jc w:val="right"/>
        <w:rPr>
          <w:sz w:val="28"/>
          <w:szCs w:val="28"/>
        </w:rPr>
      </w:pPr>
      <w:r>
        <w:rPr>
          <w:sz w:val="28"/>
          <w:szCs w:val="28"/>
          <w:u w:val="single"/>
        </w:rPr>
        <w:t xml:space="preserve">      </w:t>
      </w:r>
      <w:r>
        <w:rPr>
          <w:sz w:val="28"/>
          <w:szCs w:val="28"/>
        </w:rPr>
        <w:t>年</w:t>
      </w:r>
      <w:r>
        <w:rPr>
          <w:sz w:val="28"/>
          <w:szCs w:val="28"/>
          <w:u w:val="single"/>
        </w:rPr>
        <w:t xml:space="preserve">   </w:t>
      </w:r>
      <w:r>
        <w:rPr>
          <w:sz w:val="28"/>
          <w:szCs w:val="28"/>
        </w:rPr>
        <w:t>月</w:t>
      </w:r>
      <w:r>
        <w:rPr>
          <w:sz w:val="28"/>
          <w:szCs w:val="28"/>
          <w:u w:val="single"/>
        </w:rPr>
        <w:t xml:space="preserve">   </w:t>
      </w:r>
      <w:r>
        <w:rPr>
          <w:sz w:val="28"/>
          <w:szCs w:val="28"/>
        </w:rPr>
        <w:t>日</w:t>
      </w:r>
    </w:p>
    <w:p w14:paraId="18BF88BB">
      <w:pPr>
        <w:spacing w:line="400" w:lineRule="exact"/>
        <w:ind w:firstLine="540"/>
        <w:contextualSpacing/>
        <w:rPr>
          <w:b/>
          <w:sz w:val="28"/>
          <w:szCs w:val="28"/>
        </w:rPr>
      </w:pPr>
    </w:p>
    <w:p w14:paraId="009EC6C7">
      <w:pPr>
        <w:spacing w:line="400" w:lineRule="exact"/>
        <w:ind w:firstLine="540"/>
        <w:contextualSpacing/>
        <w:rPr>
          <w:b/>
          <w:sz w:val="28"/>
          <w:szCs w:val="28"/>
        </w:rPr>
      </w:pPr>
      <w:r>
        <w:rPr>
          <w:b/>
          <w:sz w:val="28"/>
          <w:szCs w:val="28"/>
        </w:rPr>
        <w:t>注：提供投标代表本人身份证</w:t>
      </w:r>
      <w:r>
        <w:rPr>
          <w:rFonts w:hint="eastAsia"/>
          <w:b/>
          <w:sz w:val="28"/>
          <w:szCs w:val="28"/>
          <w:lang w:val="en-US" w:eastAsia="zh-CN"/>
        </w:rPr>
        <w:t>扫描</w:t>
      </w:r>
      <w:r>
        <w:rPr>
          <w:b/>
          <w:sz w:val="28"/>
          <w:szCs w:val="28"/>
        </w:rPr>
        <w:t>件盖公章。</w:t>
      </w:r>
    </w:p>
    <w:p w14:paraId="05F684C1">
      <w:pPr>
        <w:spacing w:line="400" w:lineRule="exact"/>
        <w:ind w:firstLine="540"/>
        <w:contextualSpacing/>
        <w:rPr>
          <w:b/>
          <w:sz w:val="28"/>
          <w:szCs w:val="28"/>
        </w:rPr>
      </w:pPr>
    </w:p>
    <w:p w14:paraId="74FFB49E">
      <w:pPr>
        <w:spacing w:line="400" w:lineRule="exact"/>
        <w:ind w:firstLine="540"/>
        <w:contextualSpacing/>
        <w:rPr>
          <w:b/>
          <w:sz w:val="28"/>
          <w:szCs w:val="28"/>
        </w:rPr>
      </w:pPr>
    </w:p>
    <w:p w14:paraId="1D26D3B1">
      <w:pPr>
        <w:spacing w:line="400" w:lineRule="exact"/>
        <w:ind w:firstLine="540"/>
        <w:contextualSpacing/>
        <w:rPr>
          <w:b/>
          <w:sz w:val="28"/>
          <w:szCs w:val="28"/>
        </w:rPr>
      </w:pPr>
    </w:p>
    <w:p w14:paraId="3D3EDCB8">
      <w:pPr>
        <w:spacing w:line="400" w:lineRule="exact"/>
        <w:ind w:firstLine="540"/>
        <w:contextualSpacing/>
        <w:rPr>
          <w:b/>
          <w:sz w:val="28"/>
          <w:szCs w:val="28"/>
        </w:rPr>
      </w:pPr>
    </w:p>
    <w:p w14:paraId="0B5F8D8D">
      <w:pPr>
        <w:spacing w:line="400" w:lineRule="exact"/>
        <w:ind w:firstLine="540"/>
        <w:contextualSpacing/>
        <w:rPr>
          <w:b/>
          <w:sz w:val="28"/>
          <w:szCs w:val="28"/>
        </w:rPr>
      </w:pPr>
    </w:p>
    <w:p w14:paraId="613F0247">
      <w:pPr>
        <w:spacing w:line="360" w:lineRule="auto"/>
        <w:rPr>
          <w:rFonts w:hint="eastAsia" w:ascii="仿宋" w:hAnsi="仿宋" w:eastAsia="仿宋" w:cs="仿宋"/>
          <w:b/>
          <w:bCs/>
          <w:sz w:val="24"/>
          <w:szCs w:val="24"/>
        </w:rPr>
      </w:pPr>
    </w:p>
    <w:p w14:paraId="178E5677">
      <w:pPr>
        <w:rPr>
          <w:rFonts w:hint="eastAsia" w:ascii="仿宋" w:hAnsi="仿宋" w:eastAsia="仿宋" w:cs="仿宋"/>
          <w:b/>
          <w:bCs/>
          <w:sz w:val="24"/>
          <w:szCs w:val="24"/>
        </w:rPr>
      </w:pPr>
      <w:r>
        <w:rPr>
          <w:rFonts w:hint="eastAsia" w:ascii="仿宋" w:hAnsi="仿宋" w:eastAsia="仿宋" w:cs="仿宋"/>
          <w:b/>
          <w:bCs/>
          <w:sz w:val="24"/>
          <w:szCs w:val="24"/>
        </w:rPr>
        <w:br w:type="page"/>
      </w:r>
    </w:p>
    <w:p w14:paraId="2F14DA7F">
      <w:pPr>
        <w:spacing w:line="400" w:lineRule="exact"/>
        <w:contextualSpacing/>
        <w:rPr>
          <w:rFonts w:hint="eastAsia" w:eastAsia="宋体"/>
          <w:sz w:val="32"/>
          <w:szCs w:val="32"/>
          <w:lang w:val="zh-CN" w:eastAsia="zh-CN"/>
        </w:rPr>
      </w:pPr>
      <w:r>
        <w:rPr>
          <w:rFonts w:hint="eastAsia"/>
          <w:sz w:val="32"/>
          <w:szCs w:val="32"/>
          <w:lang w:val="zh-CN"/>
        </w:rPr>
        <w:t>附件</w:t>
      </w:r>
      <w:r>
        <w:rPr>
          <w:rFonts w:hint="eastAsia"/>
          <w:sz w:val="32"/>
          <w:szCs w:val="32"/>
          <w:lang w:val="en-US" w:eastAsia="zh-CN"/>
        </w:rPr>
        <w:t>4</w:t>
      </w:r>
    </w:p>
    <w:p w14:paraId="1A732ACE">
      <w:pPr>
        <w:jc w:val="center"/>
        <w:rPr>
          <w:rFonts w:hint="eastAsia"/>
          <w:b/>
          <w:bCs/>
          <w:sz w:val="32"/>
          <w:szCs w:val="32"/>
        </w:rPr>
      </w:pPr>
      <w:bookmarkStart w:id="108" w:name="_三、诚信承诺函"/>
      <w:bookmarkStart w:id="109" w:name="_Toc29991"/>
      <w:r>
        <w:rPr>
          <w:rFonts w:hint="eastAsia"/>
          <w:b/>
          <w:bCs/>
          <w:sz w:val="32"/>
          <w:szCs w:val="32"/>
        </w:rPr>
        <w:t>诚信承诺函</w:t>
      </w:r>
      <w:bookmarkEnd w:id="108"/>
      <w:bookmarkEnd w:id="109"/>
    </w:p>
    <w:p w14:paraId="49AE0C7F">
      <w:pPr>
        <w:keepNext w:val="0"/>
        <w:keepLines w:val="0"/>
        <w:pageBreakBefore w:val="0"/>
        <w:spacing w:line="500" w:lineRule="exact"/>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南通市海门区人民政府海门街道办事处：</w:t>
      </w:r>
    </w:p>
    <w:p w14:paraId="221FE113">
      <w:pPr>
        <w:keepNext w:val="0"/>
        <w:keepLines w:val="0"/>
        <w:pageBreakBefore w:val="0"/>
        <w:widowControl/>
        <w:spacing w:line="500" w:lineRule="exact"/>
        <w:ind w:firstLine="512"/>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我单位参与贵单位组织的</w:t>
      </w:r>
      <w:r>
        <w:rPr>
          <w:rFonts w:hint="eastAsia" w:asciiTheme="minorEastAsia" w:hAnsiTheme="minorEastAsia" w:eastAsiaTheme="minorEastAsia" w:cstheme="minorEastAsia"/>
          <w:sz w:val="28"/>
          <w:szCs w:val="28"/>
          <w:u w:val="single"/>
          <w:lang w:eastAsia="zh-CN"/>
        </w:rPr>
        <w:t>南通市海门区人民政府海门街道办事处采购农村污水处理设施运维服务项目</w:t>
      </w:r>
      <w:r>
        <w:rPr>
          <w:rFonts w:hint="eastAsia" w:asciiTheme="minorEastAsia" w:hAnsiTheme="minorEastAsia" w:eastAsiaTheme="minorEastAsia" w:cstheme="minorEastAsia"/>
          <w:sz w:val="28"/>
          <w:szCs w:val="28"/>
          <w:u w:val="single"/>
          <w:lang w:val="en-US" w:eastAsia="zh-CN"/>
        </w:rPr>
        <w:t xml:space="preserve">  JSZC-320614-NTJC-G2026-0015</w:t>
      </w:r>
      <w:r>
        <w:rPr>
          <w:rFonts w:hint="eastAsia" w:asciiTheme="minorEastAsia" w:hAnsiTheme="minorEastAsia" w:eastAsiaTheme="minorEastAsia" w:cstheme="minorEastAsia"/>
          <w:sz w:val="28"/>
          <w:szCs w:val="28"/>
        </w:rPr>
        <w:t>（项目名称</w:t>
      </w:r>
      <w:r>
        <w:rPr>
          <w:rFonts w:hint="eastAsia" w:asciiTheme="minorEastAsia" w:hAnsiTheme="minorEastAsia" w:eastAsiaTheme="minorEastAsia" w:cstheme="minorEastAsia"/>
          <w:spacing w:val="8"/>
          <w:sz w:val="28"/>
          <w:szCs w:val="28"/>
        </w:rPr>
        <w:t>及编号</w:t>
      </w:r>
      <w:r>
        <w:rPr>
          <w:rFonts w:hint="eastAsia" w:asciiTheme="minorEastAsia" w:hAnsiTheme="minorEastAsia" w:eastAsiaTheme="minorEastAsia" w:cstheme="minorEastAsia"/>
          <w:sz w:val="28"/>
          <w:szCs w:val="28"/>
        </w:rPr>
        <w:t>）的投标，我单位</w:t>
      </w:r>
      <w:r>
        <w:rPr>
          <w:rFonts w:hint="eastAsia" w:asciiTheme="minorEastAsia" w:hAnsiTheme="minorEastAsia" w:eastAsiaTheme="minorEastAsia" w:cstheme="minorEastAsia"/>
          <w:spacing w:val="8"/>
          <w:sz w:val="28"/>
          <w:szCs w:val="28"/>
        </w:rPr>
        <w:t>慎重</w:t>
      </w:r>
      <w:r>
        <w:rPr>
          <w:rFonts w:hint="eastAsia" w:asciiTheme="minorEastAsia" w:hAnsiTheme="minorEastAsia" w:eastAsiaTheme="minorEastAsia" w:cstheme="minorEastAsia"/>
          <w:sz w:val="28"/>
          <w:szCs w:val="28"/>
        </w:rPr>
        <w:t>作出以下承诺：</w:t>
      </w:r>
    </w:p>
    <w:p w14:paraId="739D1347">
      <w:pPr>
        <w:keepNext w:val="0"/>
        <w:keepLines w:val="0"/>
        <w:pageBreakBefore w:val="0"/>
        <w:widowControl/>
        <w:spacing w:line="500" w:lineRule="exact"/>
        <w:ind w:firstLine="48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1.我单位参与本项目投标，提交的投标文件包括资格审查材料均真实可信。证件及有关附件是真实的，绝无提供虚假材料行为。</w:t>
      </w:r>
    </w:p>
    <w:p w14:paraId="191E3D86">
      <w:pPr>
        <w:keepNext w:val="0"/>
        <w:keepLines w:val="0"/>
        <w:pageBreakBefore w:val="0"/>
        <w:widowControl/>
        <w:spacing w:line="500" w:lineRule="exact"/>
        <w:ind w:firstLine="48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2.我单位参与本项目投标绝无借资质、挂靠行为。</w:t>
      </w:r>
    </w:p>
    <w:p w14:paraId="7AB03E7C">
      <w:pPr>
        <w:keepNext w:val="0"/>
        <w:keepLines w:val="0"/>
        <w:pageBreakBefore w:val="0"/>
        <w:widowControl/>
        <w:spacing w:line="500" w:lineRule="exact"/>
        <w:ind w:firstLine="48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3.本项目授权代表为本单位正式员工。</w:t>
      </w:r>
    </w:p>
    <w:p w14:paraId="67A7879F">
      <w:pPr>
        <w:keepNext w:val="0"/>
        <w:keepLines w:val="0"/>
        <w:pageBreakBefore w:val="0"/>
        <w:widowControl/>
        <w:spacing w:line="500" w:lineRule="exact"/>
        <w:ind w:firstLine="48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4.我单位遵守国家廉政相关规定，无失信、行贿等不良行为。</w:t>
      </w:r>
    </w:p>
    <w:p w14:paraId="420B4C75">
      <w:pPr>
        <w:keepNext w:val="0"/>
        <w:keepLines w:val="0"/>
        <w:pageBreakBefore w:val="0"/>
        <w:widowControl/>
        <w:spacing w:line="500" w:lineRule="exact"/>
        <w:ind w:firstLine="480"/>
        <w:jc w:val="left"/>
        <w:rPr>
          <w:rFonts w:hint="eastAsia" w:asciiTheme="minorEastAsia" w:hAnsiTheme="minorEastAsia" w:eastAsiaTheme="minorEastAsia" w:cstheme="minorEastAsia"/>
          <w:sz w:val="28"/>
          <w:szCs w:val="28"/>
          <w:lang w:val="en-GB"/>
        </w:rPr>
      </w:pPr>
      <w:r>
        <w:rPr>
          <w:rFonts w:hint="eastAsia" w:asciiTheme="minorEastAsia" w:hAnsiTheme="minorEastAsia" w:eastAsiaTheme="minorEastAsia" w:cstheme="minorEastAsia"/>
          <w:sz w:val="28"/>
          <w:szCs w:val="28"/>
        </w:rPr>
        <w:t>5.</w:t>
      </w:r>
      <w:r>
        <w:rPr>
          <w:rFonts w:hint="eastAsia" w:asciiTheme="minorEastAsia" w:hAnsiTheme="minorEastAsia" w:eastAsiaTheme="minorEastAsia" w:cstheme="minorEastAsia"/>
          <w:sz w:val="28"/>
          <w:szCs w:val="28"/>
          <w:lang w:val="en-GB"/>
        </w:rPr>
        <w:t>我单位</w:t>
      </w:r>
      <w:r>
        <w:rPr>
          <w:rFonts w:hint="eastAsia" w:asciiTheme="minorEastAsia" w:hAnsiTheme="minorEastAsia" w:eastAsiaTheme="minorEastAsia" w:cstheme="minorEastAsia"/>
          <w:sz w:val="28"/>
          <w:szCs w:val="28"/>
        </w:rPr>
        <w:t>参与本项目</w:t>
      </w:r>
      <w:r>
        <w:rPr>
          <w:rFonts w:hint="eastAsia" w:asciiTheme="minorEastAsia" w:hAnsiTheme="minorEastAsia" w:eastAsiaTheme="minorEastAsia" w:cstheme="minorEastAsia"/>
          <w:sz w:val="28"/>
          <w:szCs w:val="28"/>
          <w:lang w:val="en-GB"/>
        </w:rPr>
        <w:t>投标</w:t>
      </w:r>
      <w:r>
        <w:rPr>
          <w:rFonts w:hint="eastAsia" w:asciiTheme="minorEastAsia" w:hAnsiTheme="minorEastAsia" w:eastAsiaTheme="minorEastAsia" w:cstheme="minorEastAsia"/>
          <w:sz w:val="28"/>
          <w:szCs w:val="28"/>
        </w:rPr>
        <w:t>绝无</w:t>
      </w:r>
      <w:r>
        <w:rPr>
          <w:rFonts w:hint="eastAsia" w:asciiTheme="minorEastAsia" w:hAnsiTheme="minorEastAsia" w:eastAsiaTheme="minorEastAsia" w:cstheme="minorEastAsia"/>
          <w:sz w:val="28"/>
          <w:szCs w:val="28"/>
          <w:lang w:val="en-GB"/>
        </w:rPr>
        <w:t>串标、围标等行为。</w:t>
      </w:r>
    </w:p>
    <w:p w14:paraId="7234F529">
      <w:pPr>
        <w:keepNext w:val="0"/>
        <w:keepLines w:val="0"/>
        <w:pageBreakBefore w:val="0"/>
        <w:widowControl/>
        <w:spacing w:line="500" w:lineRule="exact"/>
        <w:ind w:firstLine="480"/>
        <w:jc w:val="left"/>
        <w:rPr>
          <w:rFonts w:hint="eastAsia" w:asciiTheme="minorEastAsia" w:hAnsiTheme="minorEastAsia" w:eastAsiaTheme="minorEastAsia" w:cstheme="minorEastAsia"/>
          <w:sz w:val="28"/>
          <w:szCs w:val="28"/>
          <w:lang w:val="en-GB"/>
        </w:rPr>
      </w:pPr>
      <w:r>
        <w:rPr>
          <w:rFonts w:hint="eastAsia" w:asciiTheme="minorEastAsia" w:hAnsiTheme="minorEastAsia" w:eastAsiaTheme="minorEastAsia" w:cstheme="minorEastAsia"/>
          <w:sz w:val="28"/>
          <w:szCs w:val="28"/>
        </w:rPr>
        <w:t>6.</w:t>
      </w:r>
      <w:r>
        <w:rPr>
          <w:rFonts w:hint="eastAsia" w:asciiTheme="minorEastAsia" w:hAnsiTheme="minorEastAsia" w:eastAsiaTheme="minorEastAsia" w:cstheme="minorEastAsia"/>
          <w:sz w:val="28"/>
          <w:szCs w:val="28"/>
          <w:lang w:val="en-GB"/>
        </w:rPr>
        <w:t>我单位在参加政府采购活动前三年内，在经营活动中没有重大违法记录。</w:t>
      </w:r>
    </w:p>
    <w:p w14:paraId="00D4845D">
      <w:pPr>
        <w:keepNext w:val="0"/>
        <w:keepLines w:val="0"/>
        <w:pageBreakBefore w:val="0"/>
        <w:widowControl/>
        <w:spacing w:line="500" w:lineRule="exact"/>
        <w:ind w:firstLine="48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7.如中标，我单位</w:t>
      </w:r>
      <w:r>
        <w:rPr>
          <w:rFonts w:hint="eastAsia" w:asciiTheme="minorEastAsia" w:hAnsiTheme="minorEastAsia" w:eastAsiaTheme="minorEastAsia" w:cstheme="minorEastAsia"/>
          <w:sz w:val="28"/>
          <w:szCs w:val="28"/>
          <w:lang w:val="en-GB"/>
        </w:rPr>
        <w:t>在中标公告发出之日起3日内领取中标通知书</w:t>
      </w:r>
      <w:r>
        <w:rPr>
          <w:rFonts w:hint="eastAsia" w:asciiTheme="minorEastAsia" w:hAnsiTheme="minorEastAsia" w:eastAsiaTheme="minorEastAsia" w:cstheme="minorEastAsia"/>
          <w:sz w:val="28"/>
          <w:szCs w:val="28"/>
        </w:rPr>
        <w:t>。</w:t>
      </w:r>
    </w:p>
    <w:p w14:paraId="6A83C487">
      <w:pPr>
        <w:keepNext w:val="0"/>
        <w:keepLines w:val="0"/>
        <w:pageBreakBefore w:val="0"/>
        <w:widowControl/>
        <w:spacing w:line="500" w:lineRule="exact"/>
        <w:ind w:firstLine="48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8.如中标，我单位将按照招标文件规定并在中标通知书规定的时限内与采购单位签订合同。</w:t>
      </w:r>
    </w:p>
    <w:p w14:paraId="2E3073B2">
      <w:pPr>
        <w:keepNext w:val="0"/>
        <w:keepLines w:val="0"/>
        <w:pageBreakBefore w:val="0"/>
        <w:widowControl/>
        <w:spacing w:line="500" w:lineRule="exact"/>
        <w:ind w:firstLine="48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9.如中标，我单位将按照招标文件规定以及投标文件中承诺的相关事项向招标人提供完整相关证明材料或配合采购人做好相关工作。</w:t>
      </w:r>
    </w:p>
    <w:p w14:paraId="5B52293F">
      <w:pPr>
        <w:keepNext w:val="0"/>
        <w:keepLines w:val="0"/>
        <w:pageBreakBefore w:val="0"/>
        <w:widowControl/>
        <w:spacing w:line="500" w:lineRule="exact"/>
        <w:ind w:firstLine="48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若我单位未能兑现以上承诺，愿意放弃本项目中标资格，愿意被招标人列入本单位政府采购黑名单，愿意接受招标人和监管部门的其它处罚，并愿意承担因违反上述承诺内容所引发的一切责任与后果。</w:t>
      </w:r>
    </w:p>
    <w:p w14:paraId="5934ED21">
      <w:pPr>
        <w:keepNext w:val="0"/>
        <w:keepLines w:val="0"/>
        <w:pageBreakBefore w:val="0"/>
        <w:widowControl/>
        <w:spacing w:line="500" w:lineRule="exact"/>
        <w:jc w:val="left"/>
        <w:rPr>
          <w:rFonts w:hint="eastAsia" w:asciiTheme="minorEastAsia" w:hAnsiTheme="minorEastAsia" w:eastAsiaTheme="minorEastAsia" w:cstheme="minorEastAsia"/>
          <w:sz w:val="28"/>
          <w:szCs w:val="28"/>
        </w:rPr>
      </w:pPr>
    </w:p>
    <w:p w14:paraId="21A9993B">
      <w:pPr>
        <w:keepNext w:val="0"/>
        <w:keepLines w:val="0"/>
        <w:pageBreakBefore w:val="0"/>
        <w:widowControl/>
        <w:spacing w:line="500" w:lineRule="exact"/>
        <w:ind w:firstLine="312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投标人（盖公章）： </w:t>
      </w:r>
    </w:p>
    <w:p w14:paraId="7A577A36">
      <w:pPr>
        <w:keepNext w:val="0"/>
        <w:keepLines w:val="0"/>
        <w:pageBreakBefore w:val="0"/>
        <w:widowControl/>
        <w:spacing w:line="500" w:lineRule="exact"/>
        <w:ind w:firstLine="312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法定代表人或授权代表（签字）：</w:t>
      </w:r>
    </w:p>
    <w:p w14:paraId="474748ED">
      <w:pPr>
        <w:keepNext w:val="0"/>
        <w:keepLines w:val="0"/>
        <w:pageBreakBefore w:val="0"/>
        <w:widowControl/>
        <w:spacing w:line="500" w:lineRule="exact"/>
        <w:ind w:firstLine="312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年   月   日</w:t>
      </w:r>
    </w:p>
    <w:p w14:paraId="7F0614BC">
      <w:pPr>
        <w:spacing w:line="400" w:lineRule="exact"/>
        <w:ind w:firstLine="540"/>
        <w:contextualSpacing/>
        <w:rPr>
          <w:b/>
          <w:sz w:val="28"/>
          <w:szCs w:val="28"/>
        </w:rPr>
      </w:pPr>
    </w:p>
    <w:p w14:paraId="51301974">
      <w:pPr>
        <w:spacing w:line="400" w:lineRule="exact"/>
        <w:ind w:firstLine="540"/>
        <w:contextualSpacing/>
        <w:rPr>
          <w:b/>
          <w:sz w:val="28"/>
          <w:szCs w:val="28"/>
        </w:rPr>
      </w:pPr>
    </w:p>
    <w:p w14:paraId="23984795">
      <w:pPr>
        <w:spacing w:line="400" w:lineRule="exact"/>
        <w:ind w:firstLine="540"/>
        <w:contextualSpacing/>
        <w:rPr>
          <w:b/>
          <w:sz w:val="28"/>
          <w:szCs w:val="28"/>
        </w:rPr>
      </w:pPr>
    </w:p>
    <w:p w14:paraId="25305268">
      <w:pPr>
        <w:spacing w:line="400" w:lineRule="exact"/>
        <w:ind w:firstLine="540"/>
        <w:contextualSpacing/>
        <w:rPr>
          <w:b/>
          <w:sz w:val="28"/>
          <w:szCs w:val="28"/>
        </w:rPr>
      </w:pPr>
    </w:p>
    <w:p w14:paraId="746D0E61">
      <w:pPr>
        <w:spacing w:line="400" w:lineRule="exact"/>
        <w:contextualSpacing/>
        <w:rPr>
          <w:sz w:val="32"/>
          <w:szCs w:val="32"/>
        </w:rPr>
      </w:pPr>
    </w:p>
    <w:p w14:paraId="1214662E">
      <w:pPr>
        <w:spacing w:line="400" w:lineRule="exact"/>
        <w:contextualSpacing/>
        <w:rPr>
          <w:rFonts w:hint="eastAsia" w:eastAsia="宋体"/>
          <w:sz w:val="32"/>
          <w:szCs w:val="32"/>
          <w:lang w:val="en-US" w:eastAsia="zh-CN"/>
        </w:rPr>
      </w:pPr>
      <w:r>
        <w:rPr>
          <w:sz w:val="32"/>
          <w:szCs w:val="32"/>
        </w:rPr>
        <w:t>附件</w:t>
      </w:r>
      <w:r>
        <w:rPr>
          <w:rFonts w:hint="eastAsia"/>
          <w:sz w:val="32"/>
          <w:szCs w:val="32"/>
          <w:lang w:val="en-US" w:eastAsia="zh-CN"/>
        </w:rPr>
        <w:t>5</w:t>
      </w:r>
    </w:p>
    <w:p w14:paraId="280D440E">
      <w:pPr>
        <w:spacing w:line="300" w:lineRule="auto"/>
        <w:contextualSpacing/>
        <w:jc w:val="center"/>
        <w:rPr>
          <w:b/>
          <w:sz w:val="32"/>
          <w:szCs w:val="32"/>
        </w:rPr>
      </w:pPr>
      <w:r>
        <w:rPr>
          <w:b/>
          <w:sz w:val="32"/>
          <w:szCs w:val="32"/>
        </w:rPr>
        <w:t>商务部分正负偏离表</w:t>
      </w:r>
    </w:p>
    <w:p w14:paraId="19520B54">
      <w:pPr>
        <w:ind w:firstLine="560"/>
        <w:jc w:val="center"/>
        <w:rPr>
          <w:sz w:val="28"/>
          <w:szCs w:val="28"/>
        </w:rPr>
      </w:pPr>
      <w:r>
        <w:rPr>
          <w:sz w:val="28"/>
          <w:szCs w:val="28"/>
        </w:rPr>
        <w:t>（由投标人据实填写，表格不够自行添加）</w:t>
      </w:r>
    </w:p>
    <w:tbl>
      <w:tblPr>
        <w:tblStyle w:val="42"/>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917"/>
        <w:gridCol w:w="2498"/>
        <w:gridCol w:w="2182"/>
        <w:gridCol w:w="2815"/>
        <w:gridCol w:w="1550"/>
      </w:tblGrid>
      <w:tr w14:paraId="70F725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tcBorders>
              <w:top w:val="single" w:color="000000" w:sz="12" w:space="0"/>
              <w:left w:val="single" w:color="000000" w:sz="12" w:space="0"/>
              <w:bottom w:val="single" w:color="000000" w:sz="6" w:space="0"/>
              <w:right w:val="single" w:color="000000" w:sz="6" w:space="0"/>
            </w:tcBorders>
            <w:noWrap w:val="0"/>
            <w:vAlign w:val="center"/>
          </w:tcPr>
          <w:p w14:paraId="3F7C3E55">
            <w:pPr>
              <w:spacing w:line="340" w:lineRule="exact"/>
              <w:jc w:val="center"/>
              <w:rPr>
                <w:sz w:val="24"/>
              </w:rPr>
            </w:pPr>
            <w:r>
              <w:rPr>
                <w:sz w:val="24"/>
              </w:rPr>
              <w:t>序号</w:t>
            </w:r>
          </w:p>
        </w:tc>
        <w:tc>
          <w:tcPr>
            <w:tcW w:w="1254" w:type="dxa"/>
            <w:tcBorders>
              <w:top w:val="single" w:color="000000" w:sz="12" w:space="0"/>
              <w:left w:val="single" w:color="000000" w:sz="6" w:space="0"/>
              <w:bottom w:val="single" w:color="000000" w:sz="6" w:space="0"/>
              <w:right w:val="single" w:color="000000" w:sz="6" w:space="0"/>
            </w:tcBorders>
            <w:noWrap w:val="0"/>
            <w:vAlign w:val="center"/>
          </w:tcPr>
          <w:p w14:paraId="26987D05">
            <w:pPr>
              <w:spacing w:line="340" w:lineRule="exact"/>
              <w:jc w:val="center"/>
              <w:rPr>
                <w:sz w:val="24"/>
              </w:rPr>
            </w:pPr>
            <w:r>
              <w:rPr>
                <w:sz w:val="24"/>
              </w:rPr>
              <w:t>货物或服务名称</w:t>
            </w:r>
          </w:p>
        </w:tc>
        <w:tc>
          <w:tcPr>
            <w:tcW w:w="1095" w:type="dxa"/>
            <w:tcBorders>
              <w:top w:val="single" w:color="000000" w:sz="12" w:space="0"/>
              <w:left w:val="single" w:color="000000" w:sz="6" w:space="0"/>
              <w:bottom w:val="single" w:color="000000" w:sz="6" w:space="0"/>
              <w:right w:val="single" w:color="000000" w:sz="6" w:space="0"/>
            </w:tcBorders>
            <w:noWrap w:val="0"/>
            <w:vAlign w:val="center"/>
          </w:tcPr>
          <w:p w14:paraId="75998DD5">
            <w:pPr>
              <w:spacing w:line="340" w:lineRule="exact"/>
              <w:jc w:val="center"/>
              <w:rPr>
                <w:sz w:val="24"/>
              </w:rPr>
            </w:pPr>
            <w:r>
              <w:rPr>
                <w:sz w:val="24"/>
              </w:rPr>
              <w:t>招标文件要求的商务条款</w:t>
            </w:r>
          </w:p>
        </w:tc>
        <w:tc>
          <w:tcPr>
            <w:tcW w:w="1413" w:type="dxa"/>
            <w:tcBorders>
              <w:top w:val="single" w:color="000000" w:sz="12" w:space="0"/>
              <w:left w:val="single" w:color="000000" w:sz="6" w:space="0"/>
              <w:bottom w:val="single" w:color="000000" w:sz="6" w:space="0"/>
              <w:right w:val="single" w:color="000000" w:sz="6" w:space="0"/>
            </w:tcBorders>
            <w:noWrap w:val="0"/>
            <w:vAlign w:val="center"/>
          </w:tcPr>
          <w:p w14:paraId="6579BFD5">
            <w:pPr>
              <w:spacing w:line="340" w:lineRule="exact"/>
              <w:jc w:val="center"/>
              <w:rPr>
                <w:sz w:val="24"/>
              </w:rPr>
            </w:pPr>
            <w:r>
              <w:rPr>
                <w:sz w:val="24"/>
              </w:rPr>
              <w:t>投标文件响应情况</w:t>
            </w:r>
          </w:p>
        </w:tc>
        <w:tc>
          <w:tcPr>
            <w:tcW w:w="778" w:type="dxa"/>
            <w:tcBorders>
              <w:top w:val="single" w:color="000000" w:sz="12" w:space="0"/>
              <w:left w:val="single" w:color="000000" w:sz="6" w:space="0"/>
              <w:bottom w:val="single" w:color="000000" w:sz="6" w:space="0"/>
              <w:right w:val="single" w:color="000000" w:sz="12" w:space="0"/>
            </w:tcBorders>
            <w:noWrap w:val="0"/>
          </w:tcPr>
          <w:p w14:paraId="4FFA469E">
            <w:pPr>
              <w:spacing w:line="340" w:lineRule="exact"/>
              <w:jc w:val="center"/>
              <w:rPr>
                <w:sz w:val="24"/>
              </w:rPr>
            </w:pPr>
          </w:p>
          <w:p w14:paraId="67ECC67E">
            <w:pPr>
              <w:spacing w:line="340" w:lineRule="exact"/>
              <w:jc w:val="center"/>
              <w:rPr>
                <w:sz w:val="24"/>
              </w:rPr>
            </w:pPr>
            <w:r>
              <w:rPr>
                <w:sz w:val="24"/>
              </w:rPr>
              <w:t>偏离说明</w:t>
            </w:r>
          </w:p>
        </w:tc>
      </w:tr>
      <w:tr w14:paraId="239420C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tcBorders>
              <w:top w:val="single" w:color="000000" w:sz="6" w:space="0"/>
              <w:left w:val="single" w:color="000000" w:sz="12" w:space="0"/>
              <w:bottom w:val="single" w:color="000000" w:sz="6" w:space="0"/>
              <w:right w:val="single" w:color="000000" w:sz="6" w:space="0"/>
            </w:tcBorders>
            <w:noWrap w:val="0"/>
          </w:tcPr>
          <w:p w14:paraId="3017ECF7">
            <w:pPr>
              <w:spacing w:line="340" w:lineRule="exact"/>
              <w:jc w:val="center"/>
              <w:rPr>
                <w:sz w:val="24"/>
              </w:rPr>
            </w:pPr>
            <w:r>
              <w:rPr>
                <w:sz w:val="24"/>
              </w:rPr>
              <w:t>1</w:t>
            </w:r>
          </w:p>
        </w:tc>
        <w:tc>
          <w:tcPr>
            <w:tcW w:w="1254" w:type="dxa"/>
            <w:tcBorders>
              <w:top w:val="single" w:color="000000" w:sz="6" w:space="0"/>
              <w:left w:val="single" w:color="000000" w:sz="6" w:space="0"/>
              <w:bottom w:val="single" w:color="000000" w:sz="6" w:space="0"/>
              <w:right w:val="single" w:color="000000" w:sz="6" w:space="0"/>
            </w:tcBorders>
            <w:noWrap w:val="0"/>
            <w:vAlign w:val="center"/>
          </w:tcPr>
          <w:p w14:paraId="60B4322C">
            <w:pPr>
              <w:spacing w:line="340" w:lineRule="exact"/>
              <w:jc w:val="left"/>
              <w:rPr>
                <w:sz w:val="24"/>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2E1EE594">
            <w:pPr>
              <w:spacing w:line="340" w:lineRule="exact"/>
              <w:jc w:val="left"/>
              <w:rPr>
                <w:sz w:val="24"/>
              </w:rPr>
            </w:pPr>
          </w:p>
        </w:tc>
        <w:tc>
          <w:tcPr>
            <w:tcW w:w="1413" w:type="dxa"/>
            <w:tcBorders>
              <w:top w:val="single" w:color="000000" w:sz="6" w:space="0"/>
              <w:left w:val="single" w:color="000000" w:sz="6" w:space="0"/>
              <w:bottom w:val="single" w:color="000000" w:sz="6" w:space="0"/>
              <w:right w:val="single" w:color="000000" w:sz="6" w:space="0"/>
            </w:tcBorders>
            <w:noWrap w:val="0"/>
            <w:vAlign w:val="center"/>
          </w:tcPr>
          <w:p w14:paraId="6E199D02">
            <w:pPr>
              <w:spacing w:line="340" w:lineRule="exact"/>
              <w:jc w:val="left"/>
              <w:rPr>
                <w:sz w:val="24"/>
              </w:rPr>
            </w:pPr>
          </w:p>
        </w:tc>
        <w:tc>
          <w:tcPr>
            <w:tcW w:w="778" w:type="dxa"/>
            <w:tcBorders>
              <w:top w:val="single" w:color="000000" w:sz="6" w:space="0"/>
              <w:left w:val="single" w:color="000000" w:sz="6" w:space="0"/>
              <w:bottom w:val="single" w:color="000000" w:sz="6" w:space="0"/>
              <w:right w:val="single" w:color="000000" w:sz="12" w:space="0"/>
            </w:tcBorders>
            <w:noWrap w:val="0"/>
          </w:tcPr>
          <w:p w14:paraId="79545D7C">
            <w:pPr>
              <w:spacing w:line="340" w:lineRule="exact"/>
              <w:jc w:val="left"/>
              <w:rPr>
                <w:sz w:val="24"/>
              </w:rPr>
            </w:pPr>
          </w:p>
        </w:tc>
      </w:tr>
      <w:tr w14:paraId="490CAED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tcBorders>
              <w:top w:val="single" w:color="000000" w:sz="6" w:space="0"/>
              <w:left w:val="single" w:color="000000" w:sz="12" w:space="0"/>
              <w:bottom w:val="single" w:color="000000" w:sz="6" w:space="0"/>
              <w:right w:val="single" w:color="000000" w:sz="6" w:space="0"/>
            </w:tcBorders>
            <w:noWrap w:val="0"/>
          </w:tcPr>
          <w:p w14:paraId="17DAF528">
            <w:pPr>
              <w:spacing w:line="340" w:lineRule="exact"/>
              <w:jc w:val="center"/>
              <w:rPr>
                <w:sz w:val="24"/>
              </w:rPr>
            </w:pPr>
            <w:r>
              <w:rPr>
                <w:sz w:val="24"/>
              </w:rPr>
              <w:t>2</w:t>
            </w:r>
          </w:p>
        </w:tc>
        <w:tc>
          <w:tcPr>
            <w:tcW w:w="1254" w:type="dxa"/>
            <w:tcBorders>
              <w:top w:val="single" w:color="000000" w:sz="6" w:space="0"/>
              <w:left w:val="single" w:color="000000" w:sz="6" w:space="0"/>
              <w:bottom w:val="single" w:color="000000" w:sz="6" w:space="0"/>
              <w:right w:val="single" w:color="000000" w:sz="6" w:space="0"/>
            </w:tcBorders>
            <w:noWrap w:val="0"/>
            <w:vAlign w:val="center"/>
          </w:tcPr>
          <w:p w14:paraId="3298D56B">
            <w:pPr>
              <w:spacing w:line="340" w:lineRule="exact"/>
              <w:jc w:val="left"/>
              <w:rPr>
                <w:sz w:val="24"/>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1E83A341">
            <w:pPr>
              <w:spacing w:line="340" w:lineRule="exact"/>
              <w:jc w:val="left"/>
              <w:rPr>
                <w:sz w:val="24"/>
              </w:rPr>
            </w:pPr>
          </w:p>
        </w:tc>
        <w:tc>
          <w:tcPr>
            <w:tcW w:w="1413" w:type="dxa"/>
            <w:tcBorders>
              <w:top w:val="single" w:color="000000" w:sz="6" w:space="0"/>
              <w:left w:val="single" w:color="000000" w:sz="6" w:space="0"/>
              <w:bottom w:val="single" w:color="000000" w:sz="6" w:space="0"/>
              <w:right w:val="single" w:color="000000" w:sz="6" w:space="0"/>
            </w:tcBorders>
            <w:noWrap w:val="0"/>
            <w:vAlign w:val="center"/>
          </w:tcPr>
          <w:p w14:paraId="25DC00FB">
            <w:pPr>
              <w:spacing w:line="340" w:lineRule="exact"/>
              <w:jc w:val="left"/>
              <w:rPr>
                <w:sz w:val="24"/>
              </w:rPr>
            </w:pPr>
          </w:p>
        </w:tc>
        <w:tc>
          <w:tcPr>
            <w:tcW w:w="778" w:type="dxa"/>
            <w:tcBorders>
              <w:top w:val="single" w:color="000000" w:sz="6" w:space="0"/>
              <w:left w:val="single" w:color="000000" w:sz="6" w:space="0"/>
              <w:bottom w:val="single" w:color="000000" w:sz="6" w:space="0"/>
              <w:right w:val="single" w:color="000000" w:sz="12" w:space="0"/>
            </w:tcBorders>
            <w:noWrap w:val="0"/>
          </w:tcPr>
          <w:p w14:paraId="5D8764D9">
            <w:pPr>
              <w:spacing w:line="340" w:lineRule="exact"/>
              <w:jc w:val="left"/>
              <w:rPr>
                <w:sz w:val="24"/>
              </w:rPr>
            </w:pPr>
          </w:p>
        </w:tc>
      </w:tr>
      <w:tr w14:paraId="0E1268A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tcBorders>
              <w:top w:val="single" w:color="000000" w:sz="6" w:space="0"/>
              <w:left w:val="single" w:color="000000" w:sz="12" w:space="0"/>
              <w:bottom w:val="single" w:color="000000" w:sz="6" w:space="0"/>
              <w:right w:val="single" w:color="000000" w:sz="6" w:space="0"/>
            </w:tcBorders>
            <w:noWrap w:val="0"/>
          </w:tcPr>
          <w:p w14:paraId="71A668C5">
            <w:pPr>
              <w:spacing w:line="340" w:lineRule="exact"/>
              <w:jc w:val="center"/>
              <w:rPr>
                <w:sz w:val="24"/>
              </w:rPr>
            </w:pPr>
            <w:r>
              <w:rPr>
                <w:sz w:val="24"/>
              </w:rPr>
              <w:t>3</w:t>
            </w:r>
          </w:p>
        </w:tc>
        <w:tc>
          <w:tcPr>
            <w:tcW w:w="1254" w:type="dxa"/>
            <w:tcBorders>
              <w:top w:val="single" w:color="000000" w:sz="6" w:space="0"/>
              <w:left w:val="single" w:color="000000" w:sz="6" w:space="0"/>
              <w:bottom w:val="single" w:color="000000" w:sz="6" w:space="0"/>
              <w:right w:val="single" w:color="000000" w:sz="6" w:space="0"/>
            </w:tcBorders>
            <w:noWrap w:val="0"/>
            <w:vAlign w:val="center"/>
          </w:tcPr>
          <w:p w14:paraId="3E7F1BB4">
            <w:pPr>
              <w:spacing w:line="340" w:lineRule="exact"/>
              <w:jc w:val="left"/>
              <w:rPr>
                <w:sz w:val="24"/>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47137DBE">
            <w:pPr>
              <w:spacing w:line="340" w:lineRule="exact"/>
              <w:jc w:val="left"/>
              <w:rPr>
                <w:sz w:val="24"/>
              </w:rPr>
            </w:pPr>
          </w:p>
        </w:tc>
        <w:tc>
          <w:tcPr>
            <w:tcW w:w="1413" w:type="dxa"/>
            <w:tcBorders>
              <w:top w:val="single" w:color="000000" w:sz="6" w:space="0"/>
              <w:left w:val="single" w:color="000000" w:sz="6" w:space="0"/>
              <w:bottom w:val="single" w:color="000000" w:sz="6" w:space="0"/>
              <w:right w:val="single" w:color="000000" w:sz="6" w:space="0"/>
            </w:tcBorders>
            <w:noWrap w:val="0"/>
            <w:vAlign w:val="center"/>
          </w:tcPr>
          <w:p w14:paraId="56DD384B">
            <w:pPr>
              <w:spacing w:line="340" w:lineRule="exact"/>
              <w:jc w:val="left"/>
              <w:rPr>
                <w:sz w:val="24"/>
              </w:rPr>
            </w:pPr>
          </w:p>
        </w:tc>
        <w:tc>
          <w:tcPr>
            <w:tcW w:w="778" w:type="dxa"/>
            <w:tcBorders>
              <w:top w:val="single" w:color="000000" w:sz="6" w:space="0"/>
              <w:left w:val="single" w:color="000000" w:sz="6" w:space="0"/>
              <w:bottom w:val="single" w:color="000000" w:sz="6" w:space="0"/>
              <w:right w:val="single" w:color="000000" w:sz="12" w:space="0"/>
            </w:tcBorders>
            <w:noWrap w:val="0"/>
          </w:tcPr>
          <w:p w14:paraId="1D7B8A99">
            <w:pPr>
              <w:spacing w:line="340" w:lineRule="exact"/>
              <w:jc w:val="left"/>
              <w:rPr>
                <w:sz w:val="24"/>
              </w:rPr>
            </w:pPr>
          </w:p>
        </w:tc>
      </w:tr>
      <w:tr w14:paraId="45C67DB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tcBorders>
              <w:top w:val="single" w:color="000000" w:sz="6" w:space="0"/>
              <w:left w:val="single" w:color="000000" w:sz="12" w:space="0"/>
              <w:bottom w:val="single" w:color="000000" w:sz="12" w:space="0"/>
              <w:right w:val="single" w:color="000000" w:sz="6" w:space="0"/>
            </w:tcBorders>
            <w:noWrap w:val="0"/>
          </w:tcPr>
          <w:p w14:paraId="754CD66B">
            <w:pPr>
              <w:spacing w:line="340" w:lineRule="exact"/>
              <w:jc w:val="center"/>
              <w:rPr>
                <w:sz w:val="24"/>
              </w:rPr>
            </w:pPr>
            <w:r>
              <w:rPr>
                <w:sz w:val="24"/>
              </w:rPr>
              <w:t>4</w:t>
            </w:r>
          </w:p>
        </w:tc>
        <w:tc>
          <w:tcPr>
            <w:tcW w:w="1254" w:type="dxa"/>
            <w:tcBorders>
              <w:top w:val="single" w:color="000000" w:sz="6" w:space="0"/>
              <w:left w:val="single" w:color="000000" w:sz="6" w:space="0"/>
              <w:bottom w:val="single" w:color="000000" w:sz="12" w:space="0"/>
              <w:right w:val="single" w:color="000000" w:sz="6" w:space="0"/>
            </w:tcBorders>
            <w:noWrap w:val="0"/>
            <w:vAlign w:val="center"/>
          </w:tcPr>
          <w:p w14:paraId="47221FDD">
            <w:pPr>
              <w:spacing w:line="340" w:lineRule="exact"/>
              <w:jc w:val="left"/>
              <w:rPr>
                <w:sz w:val="24"/>
              </w:rPr>
            </w:pPr>
          </w:p>
        </w:tc>
        <w:tc>
          <w:tcPr>
            <w:tcW w:w="1095" w:type="dxa"/>
            <w:tcBorders>
              <w:top w:val="single" w:color="000000" w:sz="6" w:space="0"/>
              <w:left w:val="single" w:color="000000" w:sz="6" w:space="0"/>
              <w:bottom w:val="single" w:color="000000" w:sz="12" w:space="0"/>
              <w:right w:val="single" w:color="000000" w:sz="6" w:space="0"/>
            </w:tcBorders>
            <w:noWrap w:val="0"/>
            <w:vAlign w:val="center"/>
          </w:tcPr>
          <w:p w14:paraId="33BAAD5C">
            <w:pPr>
              <w:spacing w:line="340" w:lineRule="exact"/>
              <w:jc w:val="left"/>
              <w:rPr>
                <w:sz w:val="24"/>
              </w:rPr>
            </w:pPr>
          </w:p>
        </w:tc>
        <w:tc>
          <w:tcPr>
            <w:tcW w:w="1413" w:type="dxa"/>
            <w:tcBorders>
              <w:top w:val="single" w:color="000000" w:sz="6" w:space="0"/>
              <w:left w:val="single" w:color="000000" w:sz="6" w:space="0"/>
              <w:bottom w:val="single" w:color="000000" w:sz="12" w:space="0"/>
              <w:right w:val="single" w:color="000000" w:sz="6" w:space="0"/>
            </w:tcBorders>
            <w:noWrap w:val="0"/>
            <w:vAlign w:val="center"/>
          </w:tcPr>
          <w:p w14:paraId="3E9F3751">
            <w:pPr>
              <w:spacing w:line="340" w:lineRule="exact"/>
              <w:jc w:val="left"/>
              <w:rPr>
                <w:sz w:val="24"/>
              </w:rPr>
            </w:pPr>
          </w:p>
        </w:tc>
        <w:tc>
          <w:tcPr>
            <w:tcW w:w="778" w:type="dxa"/>
            <w:tcBorders>
              <w:top w:val="single" w:color="000000" w:sz="6" w:space="0"/>
              <w:left w:val="single" w:color="000000" w:sz="6" w:space="0"/>
              <w:bottom w:val="single" w:color="000000" w:sz="12" w:space="0"/>
              <w:right w:val="single" w:color="000000" w:sz="12" w:space="0"/>
            </w:tcBorders>
            <w:noWrap w:val="0"/>
          </w:tcPr>
          <w:p w14:paraId="66E2F954">
            <w:pPr>
              <w:spacing w:line="340" w:lineRule="exact"/>
              <w:jc w:val="left"/>
              <w:rPr>
                <w:sz w:val="24"/>
              </w:rPr>
            </w:pPr>
          </w:p>
        </w:tc>
      </w:tr>
    </w:tbl>
    <w:p w14:paraId="48BA0528">
      <w:pPr>
        <w:spacing w:line="300" w:lineRule="auto"/>
        <w:contextualSpacing/>
        <w:rPr>
          <w:b/>
          <w:sz w:val="24"/>
        </w:rPr>
      </w:pPr>
      <w:r>
        <w:rPr>
          <w:b/>
          <w:sz w:val="24"/>
        </w:rPr>
        <w:t>注：</w:t>
      </w:r>
    </w:p>
    <w:p w14:paraId="1BA2738C">
      <w:pPr>
        <w:spacing w:line="300" w:lineRule="auto"/>
        <w:ind w:firstLine="480"/>
        <w:contextualSpacing/>
        <w:rPr>
          <w:sz w:val="24"/>
        </w:rPr>
      </w:pPr>
      <w:r>
        <w:rPr>
          <w:sz w:val="24"/>
        </w:rPr>
        <w:t>1.投标人提交的投标文件中与招标文件第三部分“项目需求”中的商务部分的要求，应逐条填列在偏离表中。</w:t>
      </w:r>
    </w:p>
    <w:p w14:paraId="5EDA2837">
      <w:pPr>
        <w:spacing w:line="300" w:lineRule="auto"/>
        <w:ind w:firstLine="480"/>
        <w:contextualSpacing/>
        <w:rPr>
          <w:sz w:val="24"/>
        </w:rPr>
      </w:pPr>
      <w:r>
        <w:rPr>
          <w:sz w:val="24"/>
        </w:rPr>
        <w:t>2.“偏离说明”一栏选择“正偏离”、“无偏离”、“负偏离”进行填写。正偏离、无偏离的确认和负偏离的是否响应招标文件，由评委认定。</w:t>
      </w:r>
    </w:p>
    <w:p w14:paraId="3393008C">
      <w:pPr>
        <w:spacing w:line="300" w:lineRule="auto"/>
        <w:ind w:firstLine="480"/>
        <w:contextualSpacing/>
        <w:rPr>
          <w:sz w:val="24"/>
        </w:rPr>
      </w:pPr>
      <w:r>
        <w:rPr>
          <w:sz w:val="24"/>
        </w:rPr>
        <w:t>3.投标人如果虚假响应，将被暂停参加采购人组织的政府采购活动。</w:t>
      </w:r>
    </w:p>
    <w:p w14:paraId="6D18F999">
      <w:pPr>
        <w:spacing w:line="300" w:lineRule="auto"/>
        <w:ind w:firstLine="480"/>
        <w:contextualSpacing/>
        <w:rPr>
          <w:bCs/>
          <w:sz w:val="24"/>
        </w:rPr>
      </w:pPr>
      <w:r>
        <w:rPr>
          <w:bCs/>
          <w:sz w:val="24"/>
        </w:rPr>
        <w:t>4.供应商若提供其他增值服务，可以在表中自行据实填写。</w:t>
      </w:r>
    </w:p>
    <w:p w14:paraId="1AD33747">
      <w:pPr>
        <w:spacing w:line="400" w:lineRule="exact"/>
        <w:ind w:firstLine="540"/>
        <w:contextualSpacing/>
        <w:rPr>
          <w:b/>
          <w:sz w:val="28"/>
          <w:szCs w:val="28"/>
        </w:rPr>
      </w:pPr>
    </w:p>
    <w:p w14:paraId="1A4A064A">
      <w:pPr>
        <w:spacing w:line="400" w:lineRule="exact"/>
        <w:ind w:firstLine="540"/>
        <w:contextualSpacing/>
        <w:rPr>
          <w:b/>
          <w:sz w:val="28"/>
          <w:szCs w:val="28"/>
        </w:rPr>
      </w:pPr>
    </w:p>
    <w:p w14:paraId="1A5F4406">
      <w:pPr>
        <w:spacing w:line="400" w:lineRule="exact"/>
        <w:ind w:firstLine="540"/>
        <w:contextualSpacing/>
        <w:rPr>
          <w:b/>
          <w:sz w:val="28"/>
          <w:szCs w:val="28"/>
        </w:rPr>
      </w:pPr>
    </w:p>
    <w:p w14:paraId="66243993">
      <w:pPr>
        <w:spacing w:line="400" w:lineRule="exact"/>
        <w:ind w:firstLine="540"/>
        <w:contextualSpacing/>
        <w:rPr>
          <w:b/>
          <w:sz w:val="28"/>
          <w:szCs w:val="28"/>
        </w:rPr>
      </w:pPr>
    </w:p>
    <w:p w14:paraId="341E2628">
      <w:pPr>
        <w:spacing w:line="400" w:lineRule="exact"/>
        <w:ind w:firstLine="540"/>
        <w:contextualSpacing/>
        <w:rPr>
          <w:b/>
          <w:sz w:val="28"/>
          <w:szCs w:val="28"/>
        </w:rPr>
      </w:pPr>
    </w:p>
    <w:p w14:paraId="3FF92E10">
      <w:pPr>
        <w:spacing w:line="400" w:lineRule="exact"/>
        <w:ind w:firstLine="540"/>
        <w:contextualSpacing/>
        <w:rPr>
          <w:b/>
          <w:sz w:val="28"/>
          <w:szCs w:val="28"/>
        </w:rPr>
      </w:pPr>
    </w:p>
    <w:p w14:paraId="7C64547D">
      <w:pPr>
        <w:spacing w:line="400" w:lineRule="exact"/>
        <w:ind w:firstLine="540"/>
        <w:contextualSpacing/>
        <w:rPr>
          <w:b/>
          <w:sz w:val="28"/>
          <w:szCs w:val="28"/>
        </w:rPr>
      </w:pPr>
    </w:p>
    <w:p w14:paraId="177D3FC7">
      <w:pPr>
        <w:spacing w:line="400" w:lineRule="exact"/>
        <w:ind w:firstLine="540"/>
        <w:contextualSpacing/>
        <w:rPr>
          <w:b/>
          <w:sz w:val="28"/>
          <w:szCs w:val="28"/>
        </w:rPr>
      </w:pPr>
    </w:p>
    <w:p w14:paraId="646EF6AD">
      <w:pPr>
        <w:spacing w:line="400" w:lineRule="exact"/>
        <w:ind w:firstLine="540"/>
        <w:contextualSpacing/>
        <w:rPr>
          <w:b/>
          <w:sz w:val="28"/>
          <w:szCs w:val="28"/>
        </w:rPr>
      </w:pPr>
    </w:p>
    <w:p w14:paraId="415EF81B">
      <w:pPr>
        <w:spacing w:line="400" w:lineRule="exact"/>
        <w:ind w:firstLine="540"/>
        <w:contextualSpacing/>
        <w:rPr>
          <w:b/>
          <w:sz w:val="28"/>
          <w:szCs w:val="28"/>
        </w:rPr>
      </w:pPr>
    </w:p>
    <w:p w14:paraId="088018D2">
      <w:pPr>
        <w:spacing w:line="400" w:lineRule="exact"/>
        <w:ind w:firstLine="540"/>
        <w:contextualSpacing/>
        <w:rPr>
          <w:b/>
          <w:sz w:val="28"/>
          <w:szCs w:val="28"/>
        </w:rPr>
      </w:pPr>
    </w:p>
    <w:p w14:paraId="28896C0E">
      <w:pPr>
        <w:spacing w:line="400" w:lineRule="exact"/>
        <w:ind w:firstLine="540"/>
        <w:contextualSpacing/>
        <w:rPr>
          <w:b/>
          <w:sz w:val="28"/>
          <w:szCs w:val="28"/>
        </w:rPr>
      </w:pPr>
    </w:p>
    <w:p w14:paraId="53A97B89">
      <w:pPr>
        <w:spacing w:line="400" w:lineRule="exact"/>
        <w:ind w:firstLine="540"/>
        <w:contextualSpacing/>
        <w:rPr>
          <w:b/>
          <w:sz w:val="28"/>
          <w:szCs w:val="28"/>
        </w:rPr>
      </w:pPr>
    </w:p>
    <w:p w14:paraId="74B10D72">
      <w:pPr>
        <w:spacing w:line="400" w:lineRule="exact"/>
        <w:ind w:firstLine="540"/>
        <w:contextualSpacing/>
        <w:rPr>
          <w:b/>
          <w:sz w:val="28"/>
          <w:szCs w:val="28"/>
        </w:rPr>
      </w:pPr>
    </w:p>
    <w:p w14:paraId="67209E45">
      <w:pPr>
        <w:spacing w:line="400" w:lineRule="exact"/>
        <w:ind w:firstLine="540"/>
        <w:contextualSpacing/>
        <w:rPr>
          <w:b/>
          <w:sz w:val="28"/>
          <w:szCs w:val="28"/>
        </w:rPr>
      </w:pPr>
    </w:p>
    <w:p w14:paraId="373F68B3">
      <w:pPr>
        <w:spacing w:line="400" w:lineRule="exact"/>
        <w:ind w:firstLine="540"/>
        <w:contextualSpacing/>
        <w:rPr>
          <w:b/>
          <w:sz w:val="28"/>
          <w:szCs w:val="28"/>
        </w:rPr>
      </w:pPr>
    </w:p>
    <w:p w14:paraId="1F725E81">
      <w:pPr>
        <w:spacing w:line="400" w:lineRule="exact"/>
        <w:contextualSpacing/>
        <w:rPr>
          <w:rFonts w:hint="default" w:eastAsia="宋体"/>
          <w:sz w:val="32"/>
          <w:szCs w:val="32"/>
          <w:lang w:val="en-US" w:eastAsia="zh-CN"/>
        </w:rPr>
      </w:pPr>
      <w:r>
        <w:rPr>
          <w:sz w:val="32"/>
          <w:szCs w:val="32"/>
        </w:rPr>
        <w:br w:type="page" w:clear="all"/>
      </w:r>
      <w:r>
        <w:rPr>
          <w:sz w:val="32"/>
          <w:szCs w:val="32"/>
        </w:rPr>
        <w:t>附件</w:t>
      </w:r>
      <w:r>
        <w:rPr>
          <w:rFonts w:hint="eastAsia"/>
          <w:sz w:val="32"/>
          <w:szCs w:val="32"/>
          <w:lang w:val="en-US" w:eastAsia="zh-CN"/>
        </w:rPr>
        <w:t>6</w:t>
      </w:r>
    </w:p>
    <w:p w14:paraId="2A5EF7CC">
      <w:pPr>
        <w:spacing w:line="300" w:lineRule="auto"/>
        <w:contextualSpacing/>
        <w:jc w:val="center"/>
        <w:rPr>
          <w:b/>
          <w:sz w:val="32"/>
          <w:szCs w:val="32"/>
        </w:rPr>
      </w:pPr>
      <w:r>
        <w:rPr>
          <w:b/>
          <w:sz w:val="32"/>
          <w:szCs w:val="32"/>
        </w:rPr>
        <w:t>技术部分正负偏离表</w:t>
      </w:r>
    </w:p>
    <w:p w14:paraId="2D2A798D">
      <w:pPr>
        <w:ind w:firstLine="560"/>
        <w:jc w:val="center"/>
        <w:rPr>
          <w:sz w:val="28"/>
          <w:szCs w:val="28"/>
        </w:rPr>
      </w:pPr>
      <w:r>
        <w:rPr>
          <w:sz w:val="28"/>
          <w:szCs w:val="28"/>
        </w:rPr>
        <w:t>（由投标人据实填写，表格不够自行添加）</w:t>
      </w:r>
    </w:p>
    <w:tbl>
      <w:tblPr>
        <w:tblStyle w:val="42"/>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917"/>
        <w:gridCol w:w="2498"/>
        <w:gridCol w:w="2182"/>
        <w:gridCol w:w="2815"/>
        <w:gridCol w:w="1550"/>
      </w:tblGrid>
      <w:tr w14:paraId="17CC2D6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tcBorders>
              <w:top w:val="single" w:color="000000" w:sz="12" w:space="0"/>
              <w:left w:val="single" w:color="000000" w:sz="12" w:space="0"/>
              <w:bottom w:val="single" w:color="000000" w:sz="6" w:space="0"/>
              <w:right w:val="single" w:color="000000" w:sz="6" w:space="0"/>
            </w:tcBorders>
            <w:noWrap w:val="0"/>
            <w:vAlign w:val="center"/>
          </w:tcPr>
          <w:p w14:paraId="691E33C7">
            <w:pPr>
              <w:spacing w:line="340" w:lineRule="exact"/>
              <w:jc w:val="center"/>
              <w:rPr>
                <w:sz w:val="24"/>
              </w:rPr>
            </w:pPr>
            <w:r>
              <w:rPr>
                <w:sz w:val="24"/>
              </w:rPr>
              <w:t>序号</w:t>
            </w:r>
          </w:p>
        </w:tc>
        <w:tc>
          <w:tcPr>
            <w:tcW w:w="1254" w:type="dxa"/>
            <w:tcBorders>
              <w:top w:val="single" w:color="000000" w:sz="12" w:space="0"/>
              <w:left w:val="single" w:color="000000" w:sz="6" w:space="0"/>
              <w:bottom w:val="single" w:color="000000" w:sz="6" w:space="0"/>
              <w:right w:val="single" w:color="000000" w:sz="6" w:space="0"/>
            </w:tcBorders>
            <w:noWrap w:val="0"/>
            <w:vAlign w:val="center"/>
          </w:tcPr>
          <w:p w14:paraId="116B7282">
            <w:pPr>
              <w:spacing w:line="340" w:lineRule="exact"/>
              <w:jc w:val="center"/>
              <w:rPr>
                <w:sz w:val="24"/>
              </w:rPr>
            </w:pPr>
            <w:r>
              <w:rPr>
                <w:sz w:val="24"/>
              </w:rPr>
              <w:t>货物或服务名称</w:t>
            </w:r>
          </w:p>
        </w:tc>
        <w:tc>
          <w:tcPr>
            <w:tcW w:w="1095" w:type="dxa"/>
            <w:tcBorders>
              <w:top w:val="single" w:color="000000" w:sz="12" w:space="0"/>
              <w:left w:val="single" w:color="000000" w:sz="6" w:space="0"/>
              <w:bottom w:val="single" w:color="000000" w:sz="6" w:space="0"/>
              <w:right w:val="single" w:color="000000" w:sz="6" w:space="0"/>
            </w:tcBorders>
            <w:noWrap w:val="0"/>
            <w:vAlign w:val="center"/>
          </w:tcPr>
          <w:p w14:paraId="6B7E7392">
            <w:pPr>
              <w:spacing w:line="340" w:lineRule="exact"/>
              <w:jc w:val="center"/>
              <w:rPr>
                <w:sz w:val="24"/>
              </w:rPr>
            </w:pPr>
            <w:r>
              <w:rPr>
                <w:sz w:val="24"/>
              </w:rPr>
              <w:t>招标文件要求的技术要求</w:t>
            </w:r>
          </w:p>
        </w:tc>
        <w:tc>
          <w:tcPr>
            <w:tcW w:w="1413" w:type="dxa"/>
            <w:tcBorders>
              <w:top w:val="single" w:color="000000" w:sz="12" w:space="0"/>
              <w:left w:val="single" w:color="000000" w:sz="6" w:space="0"/>
              <w:bottom w:val="single" w:color="000000" w:sz="6" w:space="0"/>
              <w:right w:val="single" w:color="000000" w:sz="6" w:space="0"/>
            </w:tcBorders>
            <w:noWrap w:val="0"/>
            <w:vAlign w:val="center"/>
          </w:tcPr>
          <w:p w14:paraId="6CE9E40C">
            <w:pPr>
              <w:spacing w:line="340" w:lineRule="exact"/>
              <w:jc w:val="center"/>
              <w:rPr>
                <w:sz w:val="24"/>
              </w:rPr>
            </w:pPr>
            <w:r>
              <w:rPr>
                <w:sz w:val="24"/>
              </w:rPr>
              <w:t>投标文件响应情况</w:t>
            </w:r>
          </w:p>
        </w:tc>
        <w:tc>
          <w:tcPr>
            <w:tcW w:w="778" w:type="dxa"/>
            <w:tcBorders>
              <w:top w:val="single" w:color="000000" w:sz="12" w:space="0"/>
              <w:left w:val="single" w:color="000000" w:sz="6" w:space="0"/>
              <w:bottom w:val="single" w:color="000000" w:sz="6" w:space="0"/>
              <w:right w:val="single" w:color="000000" w:sz="12" w:space="0"/>
            </w:tcBorders>
            <w:noWrap w:val="0"/>
          </w:tcPr>
          <w:p w14:paraId="18293D30">
            <w:pPr>
              <w:spacing w:line="340" w:lineRule="exact"/>
              <w:jc w:val="center"/>
              <w:rPr>
                <w:sz w:val="24"/>
              </w:rPr>
            </w:pPr>
          </w:p>
          <w:p w14:paraId="6A573EC1">
            <w:pPr>
              <w:spacing w:line="340" w:lineRule="exact"/>
              <w:jc w:val="center"/>
              <w:rPr>
                <w:sz w:val="24"/>
              </w:rPr>
            </w:pPr>
            <w:r>
              <w:rPr>
                <w:sz w:val="24"/>
              </w:rPr>
              <w:t>偏离说明</w:t>
            </w:r>
          </w:p>
        </w:tc>
      </w:tr>
      <w:tr w14:paraId="0F98263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tcBorders>
              <w:top w:val="single" w:color="000000" w:sz="6" w:space="0"/>
              <w:left w:val="single" w:color="000000" w:sz="12" w:space="0"/>
              <w:bottom w:val="single" w:color="000000" w:sz="6" w:space="0"/>
              <w:right w:val="single" w:color="000000" w:sz="6" w:space="0"/>
            </w:tcBorders>
            <w:noWrap w:val="0"/>
          </w:tcPr>
          <w:p w14:paraId="6D8B9874">
            <w:pPr>
              <w:spacing w:line="340" w:lineRule="exact"/>
              <w:jc w:val="center"/>
              <w:rPr>
                <w:sz w:val="24"/>
              </w:rPr>
            </w:pPr>
            <w:r>
              <w:rPr>
                <w:sz w:val="24"/>
              </w:rPr>
              <w:t>1</w:t>
            </w:r>
          </w:p>
        </w:tc>
        <w:tc>
          <w:tcPr>
            <w:tcW w:w="1254" w:type="dxa"/>
            <w:tcBorders>
              <w:top w:val="single" w:color="000000" w:sz="6" w:space="0"/>
              <w:left w:val="single" w:color="000000" w:sz="6" w:space="0"/>
              <w:bottom w:val="single" w:color="000000" w:sz="6" w:space="0"/>
              <w:right w:val="single" w:color="000000" w:sz="6" w:space="0"/>
            </w:tcBorders>
            <w:noWrap w:val="0"/>
            <w:vAlign w:val="center"/>
          </w:tcPr>
          <w:p w14:paraId="53459AC7">
            <w:pPr>
              <w:spacing w:line="340" w:lineRule="exact"/>
              <w:jc w:val="left"/>
              <w:rPr>
                <w:sz w:val="24"/>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7A3C0722">
            <w:pPr>
              <w:spacing w:line="340" w:lineRule="exact"/>
              <w:jc w:val="left"/>
              <w:rPr>
                <w:sz w:val="24"/>
              </w:rPr>
            </w:pPr>
          </w:p>
        </w:tc>
        <w:tc>
          <w:tcPr>
            <w:tcW w:w="1413" w:type="dxa"/>
            <w:tcBorders>
              <w:top w:val="single" w:color="000000" w:sz="6" w:space="0"/>
              <w:left w:val="single" w:color="000000" w:sz="6" w:space="0"/>
              <w:bottom w:val="single" w:color="000000" w:sz="6" w:space="0"/>
              <w:right w:val="single" w:color="000000" w:sz="6" w:space="0"/>
            </w:tcBorders>
            <w:noWrap w:val="0"/>
            <w:vAlign w:val="center"/>
          </w:tcPr>
          <w:p w14:paraId="1B5DA938">
            <w:pPr>
              <w:spacing w:line="340" w:lineRule="exact"/>
              <w:jc w:val="left"/>
              <w:rPr>
                <w:sz w:val="24"/>
              </w:rPr>
            </w:pPr>
          </w:p>
        </w:tc>
        <w:tc>
          <w:tcPr>
            <w:tcW w:w="778" w:type="dxa"/>
            <w:tcBorders>
              <w:top w:val="single" w:color="000000" w:sz="6" w:space="0"/>
              <w:left w:val="single" w:color="000000" w:sz="6" w:space="0"/>
              <w:bottom w:val="single" w:color="000000" w:sz="6" w:space="0"/>
              <w:right w:val="single" w:color="000000" w:sz="12" w:space="0"/>
            </w:tcBorders>
            <w:noWrap w:val="0"/>
          </w:tcPr>
          <w:p w14:paraId="518D91C0">
            <w:pPr>
              <w:spacing w:line="340" w:lineRule="exact"/>
              <w:jc w:val="left"/>
              <w:rPr>
                <w:sz w:val="24"/>
              </w:rPr>
            </w:pPr>
          </w:p>
        </w:tc>
      </w:tr>
      <w:tr w14:paraId="06ECFD6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tcBorders>
              <w:top w:val="single" w:color="000000" w:sz="6" w:space="0"/>
              <w:left w:val="single" w:color="000000" w:sz="12" w:space="0"/>
              <w:bottom w:val="single" w:color="000000" w:sz="6" w:space="0"/>
              <w:right w:val="single" w:color="000000" w:sz="6" w:space="0"/>
            </w:tcBorders>
            <w:noWrap w:val="0"/>
          </w:tcPr>
          <w:p w14:paraId="5C4572A5">
            <w:pPr>
              <w:spacing w:line="340" w:lineRule="exact"/>
              <w:jc w:val="center"/>
              <w:rPr>
                <w:sz w:val="24"/>
              </w:rPr>
            </w:pPr>
            <w:r>
              <w:rPr>
                <w:sz w:val="24"/>
              </w:rPr>
              <w:t>2</w:t>
            </w:r>
          </w:p>
        </w:tc>
        <w:tc>
          <w:tcPr>
            <w:tcW w:w="1254" w:type="dxa"/>
            <w:tcBorders>
              <w:top w:val="single" w:color="000000" w:sz="6" w:space="0"/>
              <w:left w:val="single" w:color="000000" w:sz="6" w:space="0"/>
              <w:bottom w:val="single" w:color="000000" w:sz="6" w:space="0"/>
              <w:right w:val="single" w:color="000000" w:sz="6" w:space="0"/>
            </w:tcBorders>
            <w:noWrap w:val="0"/>
            <w:vAlign w:val="center"/>
          </w:tcPr>
          <w:p w14:paraId="022ECC15">
            <w:pPr>
              <w:spacing w:line="340" w:lineRule="exact"/>
              <w:jc w:val="left"/>
              <w:rPr>
                <w:sz w:val="24"/>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4BA85BD9">
            <w:pPr>
              <w:spacing w:line="340" w:lineRule="exact"/>
              <w:jc w:val="left"/>
              <w:rPr>
                <w:sz w:val="24"/>
              </w:rPr>
            </w:pPr>
          </w:p>
        </w:tc>
        <w:tc>
          <w:tcPr>
            <w:tcW w:w="1413" w:type="dxa"/>
            <w:tcBorders>
              <w:top w:val="single" w:color="000000" w:sz="6" w:space="0"/>
              <w:left w:val="single" w:color="000000" w:sz="6" w:space="0"/>
              <w:bottom w:val="single" w:color="000000" w:sz="6" w:space="0"/>
              <w:right w:val="single" w:color="000000" w:sz="6" w:space="0"/>
            </w:tcBorders>
            <w:noWrap w:val="0"/>
            <w:vAlign w:val="center"/>
          </w:tcPr>
          <w:p w14:paraId="09DE696C">
            <w:pPr>
              <w:spacing w:line="340" w:lineRule="exact"/>
              <w:jc w:val="left"/>
              <w:rPr>
                <w:sz w:val="24"/>
              </w:rPr>
            </w:pPr>
          </w:p>
        </w:tc>
        <w:tc>
          <w:tcPr>
            <w:tcW w:w="778" w:type="dxa"/>
            <w:tcBorders>
              <w:top w:val="single" w:color="000000" w:sz="6" w:space="0"/>
              <w:left w:val="single" w:color="000000" w:sz="6" w:space="0"/>
              <w:bottom w:val="single" w:color="000000" w:sz="6" w:space="0"/>
              <w:right w:val="single" w:color="000000" w:sz="12" w:space="0"/>
            </w:tcBorders>
            <w:noWrap w:val="0"/>
          </w:tcPr>
          <w:p w14:paraId="788D5ED8">
            <w:pPr>
              <w:spacing w:line="340" w:lineRule="exact"/>
              <w:jc w:val="left"/>
              <w:rPr>
                <w:sz w:val="24"/>
              </w:rPr>
            </w:pPr>
          </w:p>
        </w:tc>
      </w:tr>
      <w:tr w14:paraId="4E5E757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tcBorders>
              <w:top w:val="single" w:color="000000" w:sz="6" w:space="0"/>
              <w:left w:val="single" w:color="000000" w:sz="12" w:space="0"/>
              <w:bottom w:val="single" w:color="000000" w:sz="6" w:space="0"/>
              <w:right w:val="single" w:color="000000" w:sz="6" w:space="0"/>
            </w:tcBorders>
            <w:noWrap w:val="0"/>
          </w:tcPr>
          <w:p w14:paraId="2D5F8B59">
            <w:pPr>
              <w:spacing w:line="340" w:lineRule="exact"/>
              <w:jc w:val="center"/>
              <w:rPr>
                <w:sz w:val="24"/>
              </w:rPr>
            </w:pPr>
            <w:r>
              <w:rPr>
                <w:sz w:val="24"/>
              </w:rPr>
              <w:t>3</w:t>
            </w:r>
          </w:p>
        </w:tc>
        <w:tc>
          <w:tcPr>
            <w:tcW w:w="1254" w:type="dxa"/>
            <w:tcBorders>
              <w:top w:val="single" w:color="000000" w:sz="6" w:space="0"/>
              <w:left w:val="single" w:color="000000" w:sz="6" w:space="0"/>
              <w:bottom w:val="single" w:color="000000" w:sz="6" w:space="0"/>
              <w:right w:val="single" w:color="000000" w:sz="6" w:space="0"/>
            </w:tcBorders>
            <w:noWrap w:val="0"/>
            <w:vAlign w:val="center"/>
          </w:tcPr>
          <w:p w14:paraId="5852C056">
            <w:pPr>
              <w:spacing w:line="340" w:lineRule="exact"/>
              <w:jc w:val="left"/>
              <w:rPr>
                <w:sz w:val="24"/>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1F38B173">
            <w:pPr>
              <w:spacing w:line="340" w:lineRule="exact"/>
              <w:jc w:val="left"/>
              <w:rPr>
                <w:sz w:val="24"/>
              </w:rPr>
            </w:pPr>
          </w:p>
        </w:tc>
        <w:tc>
          <w:tcPr>
            <w:tcW w:w="1413" w:type="dxa"/>
            <w:tcBorders>
              <w:top w:val="single" w:color="000000" w:sz="6" w:space="0"/>
              <w:left w:val="single" w:color="000000" w:sz="6" w:space="0"/>
              <w:bottom w:val="single" w:color="000000" w:sz="6" w:space="0"/>
              <w:right w:val="single" w:color="000000" w:sz="6" w:space="0"/>
            </w:tcBorders>
            <w:noWrap w:val="0"/>
            <w:vAlign w:val="center"/>
          </w:tcPr>
          <w:p w14:paraId="4759178D">
            <w:pPr>
              <w:spacing w:line="340" w:lineRule="exact"/>
              <w:jc w:val="left"/>
              <w:rPr>
                <w:sz w:val="24"/>
              </w:rPr>
            </w:pPr>
          </w:p>
        </w:tc>
        <w:tc>
          <w:tcPr>
            <w:tcW w:w="778" w:type="dxa"/>
            <w:tcBorders>
              <w:top w:val="single" w:color="000000" w:sz="6" w:space="0"/>
              <w:left w:val="single" w:color="000000" w:sz="6" w:space="0"/>
              <w:bottom w:val="single" w:color="000000" w:sz="6" w:space="0"/>
              <w:right w:val="single" w:color="000000" w:sz="12" w:space="0"/>
            </w:tcBorders>
            <w:noWrap w:val="0"/>
          </w:tcPr>
          <w:p w14:paraId="092150C6">
            <w:pPr>
              <w:spacing w:line="340" w:lineRule="exact"/>
              <w:jc w:val="left"/>
              <w:rPr>
                <w:sz w:val="24"/>
              </w:rPr>
            </w:pPr>
          </w:p>
        </w:tc>
      </w:tr>
      <w:tr w14:paraId="68A4851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tcBorders>
              <w:top w:val="single" w:color="000000" w:sz="6" w:space="0"/>
              <w:left w:val="single" w:color="000000" w:sz="12" w:space="0"/>
              <w:bottom w:val="single" w:color="000000" w:sz="12" w:space="0"/>
              <w:right w:val="single" w:color="000000" w:sz="6" w:space="0"/>
            </w:tcBorders>
            <w:noWrap w:val="0"/>
          </w:tcPr>
          <w:p w14:paraId="04A7C2F2">
            <w:pPr>
              <w:spacing w:line="340" w:lineRule="exact"/>
              <w:jc w:val="center"/>
              <w:rPr>
                <w:sz w:val="24"/>
              </w:rPr>
            </w:pPr>
            <w:r>
              <w:rPr>
                <w:sz w:val="24"/>
              </w:rPr>
              <w:t>4</w:t>
            </w:r>
          </w:p>
        </w:tc>
        <w:tc>
          <w:tcPr>
            <w:tcW w:w="1254" w:type="dxa"/>
            <w:tcBorders>
              <w:top w:val="single" w:color="000000" w:sz="6" w:space="0"/>
              <w:left w:val="single" w:color="000000" w:sz="6" w:space="0"/>
              <w:bottom w:val="single" w:color="000000" w:sz="12" w:space="0"/>
              <w:right w:val="single" w:color="000000" w:sz="6" w:space="0"/>
            </w:tcBorders>
            <w:noWrap w:val="0"/>
            <w:vAlign w:val="center"/>
          </w:tcPr>
          <w:p w14:paraId="13C48857">
            <w:pPr>
              <w:spacing w:line="340" w:lineRule="exact"/>
              <w:jc w:val="left"/>
              <w:rPr>
                <w:sz w:val="24"/>
              </w:rPr>
            </w:pPr>
          </w:p>
        </w:tc>
        <w:tc>
          <w:tcPr>
            <w:tcW w:w="1095" w:type="dxa"/>
            <w:tcBorders>
              <w:top w:val="single" w:color="000000" w:sz="6" w:space="0"/>
              <w:left w:val="single" w:color="000000" w:sz="6" w:space="0"/>
              <w:bottom w:val="single" w:color="000000" w:sz="12" w:space="0"/>
              <w:right w:val="single" w:color="000000" w:sz="6" w:space="0"/>
            </w:tcBorders>
            <w:noWrap w:val="0"/>
            <w:vAlign w:val="center"/>
          </w:tcPr>
          <w:p w14:paraId="477EF68E">
            <w:pPr>
              <w:spacing w:line="340" w:lineRule="exact"/>
              <w:jc w:val="left"/>
              <w:rPr>
                <w:sz w:val="24"/>
              </w:rPr>
            </w:pPr>
          </w:p>
        </w:tc>
        <w:tc>
          <w:tcPr>
            <w:tcW w:w="1413" w:type="dxa"/>
            <w:tcBorders>
              <w:top w:val="single" w:color="000000" w:sz="6" w:space="0"/>
              <w:left w:val="single" w:color="000000" w:sz="6" w:space="0"/>
              <w:bottom w:val="single" w:color="000000" w:sz="12" w:space="0"/>
              <w:right w:val="single" w:color="000000" w:sz="6" w:space="0"/>
            </w:tcBorders>
            <w:noWrap w:val="0"/>
            <w:vAlign w:val="center"/>
          </w:tcPr>
          <w:p w14:paraId="3A869CB6">
            <w:pPr>
              <w:spacing w:line="340" w:lineRule="exact"/>
              <w:jc w:val="left"/>
              <w:rPr>
                <w:sz w:val="24"/>
              </w:rPr>
            </w:pPr>
          </w:p>
        </w:tc>
        <w:tc>
          <w:tcPr>
            <w:tcW w:w="778" w:type="dxa"/>
            <w:tcBorders>
              <w:top w:val="single" w:color="000000" w:sz="6" w:space="0"/>
              <w:left w:val="single" w:color="000000" w:sz="6" w:space="0"/>
              <w:bottom w:val="single" w:color="000000" w:sz="12" w:space="0"/>
              <w:right w:val="single" w:color="000000" w:sz="12" w:space="0"/>
            </w:tcBorders>
            <w:noWrap w:val="0"/>
          </w:tcPr>
          <w:p w14:paraId="76584FD5">
            <w:pPr>
              <w:spacing w:line="340" w:lineRule="exact"/>
              <w:jc w:val="left"/>
              <w:rPr>
                <w:sz w:val="24"/>
              </w:rPr>
            </w:pPr>
          </w:p>
        </w:tc>
      </w:tr>
    </w:tbl>
    <w:p w14:paraId="630CC6CD">
      <w:pPr>
        <w:spacing w:line="300" w:lineRule="auto"/>
        <w:contextualSpacing/>
        <w:rPr>
          <w:b/>
          <w:sz w:val="24"/>
        </w:rPr>
      </w:pPr>
      <w:r>
        <w:rPr>
          <w:b/>
          <w:sz w:val="24"/>
        </w:rPr>
        <w:t>注：</w:t>
      </w:r>
    </w:p>
    <w:p w14:paraId="172C5504">
      <w:pPr>
        <w:spacing w:line="300" w:lineRule="auto"/>
        <w:ind w:firstLine="480"/>
        <w:contextualSpacing/>
        <w:rPr>
          <w:sz w:val="24"/>
        </w:rPr>
      </w:pPr>
      <w:r>
        <w:rPr>
          <w:sz w:val="24"/>
        </w:rPr>
        <w:t>1.投标人提交的投标文件中与招标文件第三部分“项目需求”中的技术部分的要求，应逐条填列在偏离表中。</w:t>
      </w:r>
    </w:p>
    <w:p w14:paraId="1F1CD89A">
      <w:pPr>
        <w:spacing w:line="300" w:lineRule="auto"/>
        <w:ind w:firstLine="480"/>
        <w:contextualSpacing/>
        <w:rPr>
          <w:sz w:val="24"/>
        </w:rPr>
      </w:pPr>
      <w:r>
        <w:rPr>
          <w:sz w:val="24"/>
        </w:rPr>
        <w:t>2. “偏离说明”一栏选择“正偏离”、“无偏离”、“负偏离”进行填写。正偏离、无偏离的确认和负偏离的是否响应招标文件，由评委认定。</w:t>
      </w:r>
    </w:p>
    <w:p w14:paraId="59DCB73D">
      <w:pPr>
        <w:spacing w:line="300" w:lineRule="auto"/>
        <w:ind w:firstLine="480"/>
        <w:contextualSpacing/>
        <w:rPr>
          <w:sz w:val="24"/>
        </w:rPr>
      </w:pPr>
      <w:r>
        <w:rPr>
          <w:sz w:val="24"/>
        </w:rPr>
        <w:t>3.投标人如果虚假响应，将被暂停参加采购人组织的政府采购活动。</w:t>
      </w:r>
    </w:p>
    <w:p w14:paraId="6A51187C">
      <w:pPr>
        <w:spacing w:line="300" w:lineRule="auto"/>
        <w:ind w:firstLine="480"/>
        <w:contextualSpacing/>
        <w:rPr>
          <w:bCs/>
          <w:sz w:val="24"/>
        </w:rPr>
      </w:pPr>
      <w:r>
        <w:rPr>
          <w:bCs/>
          <w:sz w:val="24"/>
        </w:rPr>
        <w:t>4.供应商若提供其他增值服务，可以在表中自行据实填写。</w:t>
      </w:r>
    </w:p>
    <w:p w14:paraId="372F984D">
      <w:pPr>
        <w:spacing w:line="400" w:lineRule="exact"/>
        <w:ind w:firstLine="540"/>
        <w:contextualSpacing/>
        <w:rPr>
          <w:b/>
          <w:sz w:val="28"/>
          <w:szCs w:val="28"/>
        </w:rPr>
      </w:pPr>
    </w:p>
    <w:p w14:paraId="6899C6BA">
      <w:pPr>
        <w:spacing w:line="400" w:lineRule="exact"/>
        <w:ind w:firstLine="540"/>
        <w:contextualSpacing/>
        <w:rPr>
          <w:b/>
          <w:sz w:val="28"/>
          <w:szCs w:val="28"/>
        </w:rPr>
      </w:pPr>
    </w:p>
    <w:p w14:paraId="48DC9D69">
      <w:pPr>
        <w:spacing w:line="400" w:lineRule="exact"/>
        <w:ind w:firstLine="540"/>
        <w:contextualSpacing/>
        <w:rPr>
          <w:b/>
          <w:sz w:val="28"/>
          <w:szCs w:val="28"/>
        </w:rPr>
      </w:pPr>
    </w:p>
    <w:p w14:paraId="5DA51702">
      <w:pPr>
        <w:spacing w:line="400" w:lineRule="exact"/>
        <w:ind w:firstLine="540"/>
        <w:contextualSpacing/>
        <w:rPr>
          <w:b/>
          <w:sz w:val="28"/>
          <w:szCs w:val="28"/>
        </w:rPr>
      </w:pPr>
    </w:p>
    <w:p w14:paraId="1B1839E4">
      <w:pPr>
        <w:spacing w:line="400" w:lineRule="exact"/>
        <w:ind w:firstLine="540"/>
        <w:contextualSpacing/>
        <w:rPr>
          <w:b/>
          <w:sz w:val="28"/>
          <w:szCs w:val="28"/>
        </w:rPr>
      </w:pPr>
    </w:p>
    <w:p w14:paraId="4CE24C49">
      <w:pPr>
        <w:spacing w:line="400" w:lineRule="exact"/>
        <w:ind w:firstLine="540"/>
        <w:contextualSpacing/>
        <w:rPr>
          <w:b/>
          <w:sz w:val="28"/>
          <w:szCs w:val="28"/>
        </w:rPr>
      </w:pPr>
    </w:p>
    <w:p w14:paraId="21AFBDEC">
      <w:pPr>
        <w:spacing w:line="400" w:lineRule="exact"/>
        <w:ind w:firstLine="540"/>
        <w:contextualSpacing/>
        <w:rPr>
          <w:b/>
          <w:sz w:val="28"/>
          <w:szCs w:val="28"/>
        </w:rPr>
      </w:pPr>
    </w:p>
    <w:p w14:paraId="75C8A908">
      <w:pPr>
        <w:spacing w:line="400" w:lineRule="exact"/>
        <w:ind w:firstLine="540"/>
        <w:contextualSpacing/>
        <w:rPr>
          <w:b/>
          <w:sz w:val="28"/>
          <w:szCs w:val="28"/>
        </w:rPr>
      </w:pPr>
    </w:p>
    <w:p w14:paraId="3502291B">
      <w:pPr>
        <w:spacing w:line="400" w:lineRule="exact"/>
        <w:ind w:firstLine="540"/>
        <w:contextualSpacing/>
        <w:rPr>
          <w:b/>
          <w:sz w:val="28"/>
          <w:szCs w:val="28"/>
        </w:rPr>
      </w:pPr>
    </w:p>
    <w:p w14:paraId="45D9EB2A">
      <w:pPr>
        <w:spacing w:line="400" w:lineRule="exact"/>
        <w:ind w:firstLine="540"/>
        <w:contextualSpacing/>
        <w:rPr>
          <w:b/>
          <w:sz w:val="28"/>
          <w:szCs w:val="28"/>
        </w:rPr>
      </w:pPr>
    </w:p>
    <w:p w14:paraId="7B266066">
      <w:pPr>
        <w:spacing w:line="400" w:lineRule="exact"/>
        <w:ind w:firstLine="540"/>
        <w:contextualSpacing/>
        <w:rPr>
          <w:b/>
          <w:sz w:val="28"/>
          <w:szCs w:val="28"/>
        </w:rPr>
      </w:pPr>
    </w:p>
    <w:p w14:paraId="3AE0917B">
      <w:pPr>
        <w:spacing w:line="400" w:lineRule="exact"/>
        <w:ind w:firstLine="540"/>
        <w:contextualSpacing/>
        <w:rPr>
          <w:b/>
          <w:sz w:val="28"/>
          <w:szCs w:val="28"/>
        </w:rPr>
      </w:pPr>
    </w:p>
    <w:p w14:paraId="1D22F481">
      <w:pPr>
        <w:spacing w:line="400" w:lineRule="exact"/>
        <w:ind w:firstLine="540"/>
        <w:contextualSpacing/>
        <w:rPr>
          <w:b/>
          <w:sz w:val="28"/>
          <w:szCs w:val="28"/>
        </w:rPr>
      </w:pPr>
    </w:p>
    <w:p w14:paraId="69B58AF9">
      <w:pPr>
        <w:spacing w:line="400" w:lineRule="exact"/>
        <w:ind w:firstLine="540"/>
        <w:contextualSpacing/>
        <w:rPr>
          <w:b/>
          <w:sz w:val="28"/>
          <w:szCs w:val="28"/>
        </w:rPr>
      </w:pPr>
    </w:p>
    <w:p w14:paraId="3EA56FDE">
      <w:pPr>
        <w:spacing w:line="400" w:lineRule="exact"/>
        <w:ind w:firstLine="540"/>
        <w:contextualSpacing/>
        <w:rPr>
          <w:b/>
          <w:sz w:val="28"/>
          <w:szCs w:val="28"/>
        </w:rPr>
      </w:pPr>
    </w:p>
    <w:p w14:paraId="54210B7C">
      <w:pPr>
        <w:spacing w:line="400" w:lineRule="exact"/>
        <w:ind w:firstLine="540"/>
        <w:contextualSpacing/>
        <w:rPr>
          <w:b/>
          <w:sz w:val="28"/>
          <w:szCs w:val="28"/>
        </w:rPr>
      </w:pPr>
    </w:p>
    <w:p w14:paraId="6497B176">
      <w:pPr>
        <w:spacing w:line="400" w:lineRule="exact"/>
        <w:contextualSpacing/>
        <w:rPr>
          <w:rFonts w:hint="default" w:eastAsia="宋体"/>
          <w:sz w:val="32"/>
          <w:szCs w:val="32"/>
          <w:lang w:val="en-US" w:eastAsia="zh-CN"/>
        </w:rPr>
      </w:pPr>
      <w:r>
        <w:rPr>
          <w:sz w:val="32"/>
          <w:szCs w:val="32"/>
        </w:rPr>
        <w:br w:type="page" w:clear="all"/>
      </w:r>
      <w:r>
        <w:rPr>
          <w:sz w:val="32"/>
          <w:szCs w:val="32"/>
        </w:rPr>
        <w:t>附件</w:t>
      </w:r>
      <w:r>
        <w:rPr>
          <w:rFonts w:hint="eastAsia"/>
          <w:sz w:val="32"/>
          <w:szCs w:val="32"/>
          <w:lang w:val="en-US" w:eastAsia="zh-CN"/>
        </w:rPr>
        <w:t>7</w:t>
      </w:r>
    </w:p>
    <w:p w14:paraId="59189854">
      <w:pPr>
        <w:pStyle w:val="242"/>
        <w:keepNext w:val="0"/>
        <w:keepLines w:val="0"/>
        <w:widowControl/>
        <w:jc w:val="center"/>
      </w:pPr>
      <w:r>
        <w:rPr>
          <w:rStyle w:val="296"/>
          <w:b/>
          <w:bCs w:val="0"/>
        </w:rPr>
        <w:t>开标一览表</w:t>
      </w:r>
    </w:p>
    <w:p w14:paraId="1FF4E151">
      <w:pPr>
        <w:widowControl/>
        <w:spacing w:before="100" w:beforeAutospacing="1" w:after="100" w:afterAutospacing="1"/>
        <w:jc w:val="left"/>
        <w:rPr>
          <w:rFonts w:hint="eastAsia" w:ascii="宋体" w:hAnsi="宋体" w:cs="宋体"/>
          <w:sz w:val="28"/>
          <w:szCs w:val="28"/>
        </w:rPr>
      </w:pPr>
      <w:r>
        <w:rPr>
          <w:rFonts w:ascii="宋体" w:hAnsi="宋体" w:cs="宋体"/>
          <w:sz w:val="28"/>
          <w:szCs w:val="28"/>
        </w:rPr>
        <w:t xml:space="preserve">项目名称 : </w:t>
      </w:r>
      <w:r>
        <w:rPr>
          <w:sz w:val="28"/>
          <w:szCs w:val="28"/>
        </w:rPr>
        <w:t>项目名称</w:t>
      </w:r>
      <w:r>
        <w:rPr>
          <w:rFonts w:ascii="宋体" w:hAnsi="宋体" w:cs="宋体"/>
          <w:sz w:val="28"/>
          <w:szCs w:val="28"/>
        </w:rPr>
        <w:t> </w:t>
      </w:r>
    </w:p>
    <w:p w14:paraId="17DFB360">
      <w:pPr>
        <w:widowControl/>
        <w:spacing w:before="100" w:beforeAutospacing="1" w:after="100" w:afterAutospacing="1"/>
        <w:jc w:val="left"/>
        <w:rPr>
          <w:rFonts w:hint="eastAsia" w:ascii="宋体" w:hAnsi="宋体" w:cs="宋体"/>
          <w:sz w:val="28"/>
          <w:szCs w:val="28"/>
        </w:rPr>
      </w:pPr>
      <w:r>
        <w:rPr>
          <w:rFonts w:ascii="宋体" w:hAnsi="宋体" w:cs="宋体"/>
          <w:sz w:val="28"/>
          <w:szCs w:val="28"/>
        </w:rPr>
        <w:t xml:space="preserve">项目编号 : </w:t>
      </w:r>
      <w:r>
        <w:rPr>
          <w:sz w:val="28"/>
          <w:szCs w:val="28"/>
        </w:rPr>
        <w:t>项目编号</w:t>
      </w:r>
      <w:r>
        <w:rPr>
          <w:rFonts w:ascii="宋体" w:hAnsi="宋体" w:cs="宋体"/>
          <w:sz w:val="28"/>
          <w:szCs w:val="28"/>
        </w:rPr>
        <w:t> </w:t>
      </w:r>
    </w:p>
    <w:tbl>
      <w:tblPr>
        <w:tblStyle w:val="42"/>
        <w:tblW w:w="0" w:type="auto"/>
        <w:tblCellSpacing w:w="15" w:type="dxa"/>
        <w:tblInd w:w="-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15" w:type="dxa"/>
          <w:left w:w="15" w:type="dxa"/>
          <w:bottom w:w="15" w:type="dxa"/>
          <w:right w:w="15" w:type="dxa"/>
        </w:tblCellMar>
      </w:tblPr>
      <w:tblGrid>
        <w:gridCol w:w="3632"/>
        <w:gridCol w:w="2529"/>
        <w:gridCol w:w="3034"/>
      </w:tblGrid>
      <w:tr w14:paraId="424CE7F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15" w:type="dxa"/>
            <w:left w:w="15" w:type="dxa"/>
            <w:bottom w:w="15" w:type="dxa"/>
            <w:right w:w="15" w:type="dxa"/>
          </w:tblCellMar>
        </w:tblPrEx>
        <w:trPr>
          <w:tblCellSpacing w:w="15" w:type="dxa"/>
        </w:trPr>
        <w:tc>
          <w:tcPr>
            <w:tcW w:w="3587" w:type="dxa"/>
            <w:noWrap w:val="0"/>
            <w:vAlign w:val="center"/>
          </w:tcPr>
          <w:p w14:paraId="60160173">
            <w:pPr>
              <w:widowControl/>
              <w:spacing w:before="100" w:beforeAutospacing="1" w:after="100" w:afterAutospacing="1"/>
              <w:jc w:val="center"/>
              <w:rPr>
                <w:rFonts w:hint="eastAsia" w:ascii="宋体" w:hAnsi="宋体" w:eastAsia="宋体" w:cs="宋体"/>
                <w:sz w:val="24"/>
                <w:szCs w:val="24"/>
              </w:rPr>
            </w:pPr>
            <w:r>
              <w:rPr>
                <w:rFonts w:ascii="宋体" w:hAnsi="宋体" w:eastAsia="宋体" w:cs="宋体"/>
                <w:sz w:val="24"/>
                <w:szCs w:val="24"/>
              </w:rPr>
              <w:t>项目名称</w:t>
            </w:r>
          </w:p>
        </w:tc>
        <w:tc>
          <w:tcPr>
            <w:tcW w:w="2499" w:type="dxa"/>
            <w:noWrap w:val="0"/>
            <w:vAlign w:val="center"/>
          </w:tcPr>
          <w:p w14:paraId="622FCB60">
            <w:pPr>
              <w:widowControl/>
              <w:spacing w:before="100" w:beforeAutospacing="1" w:after="100" w:afterAutospacing="1"/>
              <w:jc w:val="center"/>
              <w:rPr>
                <w:rFonts w:hint="eastAsia" w:ascii="宋体" w:hAnsi="宋体" w:eastAsia="宋体" w:cs="宋体"/>
                <w:sz w:val="24"/>
                <w:szCs w:val="24"/>
              </w:rPr>
            </w:pPr>
            <w:r>
              <w:rPr>
                <w:rFonts w:ascii="宋体" w:hAnsi="宋体" w:eastAsia="宋体" w:cs="宋体"/>
                <w:sz w:val="24"/>
                <w:szCs w:val="24"/>
              </w:rPr>
              <w:t>项目内容</w:t>
            </w:r>
          </w:p>
        </w:tc>
        <w:tc>
          <w:tcPr>
            <w:tcW w:w="2944" w:type="dxa"/>
            <w:noWrap w:val="0"/>
            <w:vAlign w:val="center"/>
          </w:tcPr>
          <w:p w14:paraId="690A8F3A">
            <w:pPr>
              <w:widowControl/>
              <w:spacing w:before="100" w:beforeAutospacing="1" w:after="100" w:afterAutospacing="1"/>
              <w:jc w:val="center"/>
              <w:rPr>
                <w:rFonts w:hint="eastAsia" w:ascii="宋体" w:hAnsi="宋体" w:eastAsia="宋体" w:cs="宋体"/>
                <w:sz w:val="24"/>
                <w:szCs w:val="24"/>
              </w:rPr>
            </w:pPr>
            <w:r>
              <w:rPr>
                <w:rFonts w:ascii="宋体" w:hAnsi="宋体" w:eastAsia="宋体" w:cs="宋体"/>
                <w:sz w:val="24"/>
                <w:szCs w:val="24"/>
              </w:rPr>
              <w:t>总价（小写）</w:t>
            </w:r>
          </w:p>
        </w:tc>
      </w:tr>
      <w:tr w14:paraId="220078B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15" w:type="dxa"/>
            <w:left w:w="15" w:type="dxa"/>
            <w:bottom w:w="15" w:type="dxa"/>
            <w:right w:w="15" w:type="dxa"/>
          </w:tblCellMar>
        </w:tblPrEx>
        <w:trPr>
          <w:trHeight w:val="1457" w:hRule="atLeast"/>
          <w:tblCellSpacing w:w="15" w:type="dxa"/>
        </w:trPr>
        <w:tc>
          <w:tcPr>
            <w:tcW w:w="3587" w:type="dxa"/>
            <w:noWrap w:val="0"/>
            <w:vAlign w:val="center"/>
          </w:tcPr>
          <w:p w14:paraId="0C4ED10F">
            <w:pPr>
              <w:widowControl/>
              <w:spacing w:before="100" w:beforeAutospacing="1" w:after="100" w:afterAutospacing="1"/>
              <w:jc w:val="left"/>
              <w:rPr>
                <w:rFonts w:hint="eastAsia" w:ascii="宋体" w:hAnsi="宋体" w:eastAsia="宋体" w:cs="宋体"/>
                <w:sz w:val="24"/>
                <w:szCs w:val="24"/>
              </w:rPr>
            </w:pPr>
            <w:r>
              <w:rPr>
                <w:rFonts w:hint="eastAsia" w:ascii="宋体" w:hAnsi="宋体" w:eastAsia="宋体" w:cs="宋体"/>
                <w:sz w:val="24"/>
                <w:szCs w:val="24"/>
                <w:lang w:eastAsia="zh-CN"/>
              </w:rPr>
              <w:t>南通市海门区人民政府海门街道办事处采购农村污水处理设施运维服务项目</w:t>
            </w:r>
            <w:r>
              <w:rPr>
                <w:rFonts w:ascii="宋体" w:hAnsi="宋体" w:eastAsia="宋体" w:cs="宋体"/>
                <w:sz w:val="24"/>
                <w:szCs w:val="24"/>
              </w:rPr>
              <w:t> </w:t>
            </w:r>
          </w:p>
        </w:tc>
        <w:tc>
          <w:tcPr>
            <w:tcW w:w="2499" w:type="dxa"/>
            <w:noWrap w:val="0"/>
            <w:vAlign w:val="center"/>
          </w:tcPr>
          <w:p w14:paraId="562A2DD3">
            <w:pPr>
              <w:widowControl/>
              <w:spacing w:before="100" w:beforeAutospacing="1" w:after="100" w:afterAutospacing="1"/>
              <w:jc w:val="center"/>
              <w:rPr>
                <w:rFonts w:hint="eastAsia" w:ascii="宋体" w:hAnsi="宋体" w:eastAsia="宋体" w:cs="宋体"/>
                <w:sz w:val="24"/>
                <w:szCs w:val="24"/>
              </w:rPr>
            </w:pPr>
            <w:r>
              <w:rPr>
                <w:rFonts w:ascii="宋体" w:hAnsi="宋体" w:eastAsia="宋体" w:cs="宋体"/>
                <w:sz w:val="24"/>
                <w:szCs w:val="24"/>
              </w:rPr>
              <w:t>详见投标文件</w:t>
            </w:r>
          </w:p>
        </w:tc>
        <w:tc>
          <w:tcPr>
            <w:tcW w:w="2944" w:type="dxa"/>
            <w:noWrap w:val="0"/>
            <w:vAlign w:val="center"/>
          </w:tcPr>
          <w:p w14:paraId="3DC1EB25">
            <w:pPr>
              <w:widowControl/>
              <w:spacing w:before="100" w:beforeAutospacing="1" w:after="100" w:afterAutospacing="1"/>
              <w:jc w:val="left"/>
              <w:rPr>
                <w:rFonts w:hint="eastAsia" w:ascii="宋体" w:hAnsi="宋体" w:eastAsia="宋体" w:cs="宋体"/>
                <w:sz w:val="24"/>
                <w:szCs w:val="24"/>
              </w:rPr>
            </w:pPr>
            <w:r>
              <w:rPr>
                <w:rFonts w:ascii="宋体" w:hAnsi="宋体" w:eastAsia="宋体" w:cs="宋体"/>
                <w:sz w:val="24"/>
                <w:szCs w:val="24"/>
              </w:rPr>
              <w:t> </w:t>
            </w:r>
            <w:r>
              <w:rPr>
                <w:rFonts w:hint="eastAsia" w:ascii="宋体" w:hAnsi="宋体" w:cs="宋体"/>
                <w:sz w:val="24"/>
                <w:szCs w:val="24"/>
                <w:lang w:val="en-US" w:eastAsia="zh-CN"/>
              </w:rPr>
              <w:t xml:space="preserve">                  </w:t>
            </w:r>
            <w:r>
              <w:rPr>
                <w:rFonts w:ascii="宋体" w:hAnsi="宋体" w:eastAsia="宋体" w:cs="宋体"/>
                <w:sz w:val="24"/>
                <w:szCs w:val="24"/>
              </w:rPr>
              <w:t>元</w:t>
            </w:r>
          </w:p>
        </w:tc>
      </w:tr>
      <w:tr w14:paraId="252E891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15" w:type="dxa"/>
            <w:left w:w="15" w:type="dxa"/>
            <w:bottom w:w="15" w:type="dxa"/>
            <w:right w:w="15" w:type="dxa"/>
          </w:tblCellMar>
        </w:tblPrEx>
        <w:trPr>
          <w:tblCellSpacing w:w="15" w:type="dxa"/>
        </w:trPr>
        <w:tc>
          <w:tcPr>
            <w:tcW w:w="3587" w:type="dxa"/>
            <w:noWrap w:val="0"/>
            <w:vAlign w:val="center"/>
          </w:tcPr>
          <w:p w14:paraId="73C09DE9">
            <w:pPr>
              <w:widowControl/>
              <w:spacing w:before="100" w:beforeAutospacing="1" w:after="100" w:afterAutospacing="1"/>
              <w:jc w:val="center"/>
              <w:rPr>
                <w:rFonts w:hint="eastAsia" w:ascii="宋体" w:hAnsi="宋体" w:eastAsia="宋体" w:cs="宋体"/>
                <w:sz w:val="24"/>
                <w:szCs w:val="24"/>
              </w:rPr>
            </w:pPr>
            <w:r>
              <w:rPr>
                <w:rFonts w:ascii="宋体" w:hAnsi="宋体" w:eastAsia="宋体" w:cs="宋体"/>
                <w:sz w:val="24"/>
                <w:szCs w:val="24"/>
              </w:rPr>
              <w:t>总价（大写）：</w:t>
            </w:r>
          </w:p>
        </w:tc>
        <w:tc>
          <w:tcPr>
            <w:tcW w:w="5518" w:type="dxa"/>
            <w:gridSpan w:val="2"/>
            <w:noWrap w:val="0"/>
            <w:vAlign w:val="center"/>
          </w:tcPr>
          <w:p w14:paraId="6B633E0D">
            <w:pPr>
              <w:widowControl/>
              <w:spacing w:before="100" w:beforeAutospacing="1" w:after="100" w:afterAutospacing="1"/>
              <w:jc w:val="left"/>
              <w:rPr>
                <w:rFonts w:hint="eastAsia" w:ascii="宋体" w:hAnsi="宋体" w:eastAsia="宋体" w:cs="宋体"/>
                <w:sz w:val="24"/>
                <w:szCs w:val="24"/>
              </w:rPr>
            </w:pPr>
            <w:r>
              <w:rPr>
                <w:rFonts w:ascii="宋体" w:hAnsi="宋体" w:eastAsia="宋体" w:cs="宋体"/>
                <w:sz w:val="24"/>
                <w:szCs w:val="24"/>
              </w:rPr>
              <w:t>金额大写</w:t>
            </w:r>
            <w:r>
              <w:rPr>
                <w:rFonts w:hint="eastAsia" w:ascii="宋体" w:hAnsi="宋体" w:cs="宋体"/>
                <w:sz w:val="24"/>
                <w:szCs w:val="24"/>
                <w:lang w:eastAsia="zh-CN"/>
              </w:rPr>
              <w:t>：</w:t>
            </w:r>
            <w:r>
              <w:rPr>
                <w:rFonts w:ascii="宋体" w:hAnsi="宋体" w:eastAsia="宋体" w:cs="宋体"/>
                <w:sz w:val="24"/>
                <w:szCs w:val="24"/>
              </w:rPr>
              <w:t>  </w:t>
            </w:r>
          </w:p>
        </w:tc>
      </w:tr>
    </w:tbl>
    <w:p w14:paraId="0292F1B1">
      <w:pPr>
        <w:widowControl/>
        <w:spacing w:before="100" w:beforeAutospacing="1" w:after="100" w:afterAutospacing="1"/>
        <w:jc w:val="left"/>
        <w:rPr>
          <w:rFonts w:hint="eastAsia" w:ascii="宋体" w:hAnsi="宋体" w:cs="宋体"/>
          <w:sz w:val="28"/>
          <w:szCs w:val="28"/>
        </w:rPr>
      </w:pPr>
    </w:p>
    <w:p w14:paraId="2307E927">
      <w:pPr>
        <w:widowControl/>
        <w:spacing w:before="100" w:beforeAutospacing="1" w:after="100" w:afterAutospacing="1"/>
        <w:jc w:val="left"/>
        <w:rPr>
          <w:rFonts w:hint="eastAsia" w:ascii="宋体" w:hAnsi="宋体" w:cs="宋体"/>
          <w:sz w:val="24"/>
        </w:rPr>
      </w:pPr>
      <w:r>
        <w:rPr>
          <w:rFonts w:ascii="宋体" w:hAnsi="宋体" w:cs="宋体"/>
          <w:sz w:val="28"/>
          <w:szCs w:val="28"/>
        </w:rPr>
        <w:t>投标人(公章）：</w:t>
      </w:r>
    </w:p>
    <w:p w14:paraId="69ACA2E0"/>
    <w:p w14:paraId="18A90187">
      <w:pPr>
        <w:rPr>
          <w:rFonts w:hint="eastAsia" w:ascii="宋体" w:hAnsi="宋体" w:cs="宋体"/>
          <w:b/>
          <w:sz w:val="28"/>
          <w:szCs w:val="28"/>
        </w:rPr>
      </w:pPr>
      <w:r>
        <w:rPr>
          <w:rFonts w:hint="eastAsia" w:ascii="宋体" w:hAnsi="宋体" w:cs="宋体"/>
          <w:b/>
          <w:sz w:val="28"/>
          <w:szCs w:val="28"/>
        </w:rPr>
        <w:br w:type="page"/>
      </w:r>
    </w:p>
    <w:p w14:paraId="72F6AF99">
      <w:pPr>
        <w:pStyle w:val="50"/>
        <w:rPr>
          <w:rFonts w:hint="eastAsia" w:eastAsia="仿宋_GB2312"/>
          <w:lang w:val="en-US" w:eastAsia="zh-CN"/>
        </w:rPr>
      </w:pPr>
      <w:r>
        <w:rPr>
          <w:sz w:val="32"/>
          <w:szCs w:val="32"/>
        </w:rPr>
        <w:t>附件</w:t>
      </w:r>
      <w:r>
        <w:rPr>
          <w:rFonts w:hint="eastAsia"/>
          <w:sz w:val="32"/>
          <w:szCs w:val="32"/>
          <w:lang w:val="en-US" w:eastAsia="zh-CN"/>
        </w:rPr>
        <w:t>8</w:t>
      </w:r>
    </w:p>
    <w:p w14:paraId="0E99A0C2">
      <w:pPr>
        <w:spacing w:line="360" w:lineRule="auto"/>
        <w:jc w:val="center"/>
        <w:rPr>
          <w:rFonts w:hint="eastAsia" w:ascii="宋体" w:hAnsi="宋体" w:eastAsia="宋体" w:cs="宋体"/>
          <w:b/>
          <w:bCs/>
          <w:sz w:val="32"/>
          <w:szCs w:val="32"/>
        </w:rPr>
      </w:pPr>
      <w:r>
        <w:rPr>
          <w:rFonts w:hint="eastAsia" w:ascii="宋体" w:hAnsi="宋体" w:eastAsia="宋体" w:cs="宋体"/>
          <w:b/>
          <w:bCs/>
          <w:sz w:val="32"/>
          <w:szCs w:val="32"/>
        </w:rPr>
        <w:t>分项报价明细表</w:t>
      </w:r>
    </w:p>
    <w:p w14:paraId="19C639EA">
      <w:pPr>
        <w:spacing w:line="360" w:lineRule="auto"/>
        <w:jc w:val="left"/>
        <w:rPr>
          <w:rFonts w:hint="eastAsia" w:ascii="宋体" w:hAnsi="宋体" w:eastAsia="宋体" w:cs="宋体"/>
          <w:b/>
          <w:bCs/>
          <w:sz w:val="32"/>
          <w:szCs w:val="32"/>
        </w:rPr>
      </w:pPr>
      <w:r>
        <w:rPr>
          <w:rFonts w:hint="eastAsia" w:ascii="宋体" w:hAnsi="宋体" w:eastAsia="宋体" w:cs="宋体"/>
          <w:b/>
          <w:bCs/>
          <w:sz w:val="24"/>
          <w:szCs w:val="24"/>
        </w:rPr>
        <w:t>投标单位：（盖章）</w:t>
      </w:r>
    </w:p>
    <w:p w14:paraId="1B7BDAEB">
      <w:pPr>
        <w:spacing w:line="400" w:lineRule="exact"/>
        <w:ind w:firstLine="540"/>
        <w:contextualSpacing/>
        <w:rPr>
          <w:rFonts w:hint="eastAsia" w:ascii="宋体" w:hAnsi="宋体" w:cs="宋体"/>
          <w:b/>
          <w:sz w:val="28"/>
          <w:szCs w:val="28"/>
        </w:rPr>
      </w:pPr>
    </w:p>
    <w:tbl>
      <w:tblPr>
        <w:tblStyle w:val="42"/>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5"/>
        <w:gridCol w:w="1096"/>
        <w:gridCol w:w="2575"/>
        <w:gridCol w:w="1873"/>
        <w:gridCol w:w="1023"/>
        <w:gridCol w:w="1326"/>
        <w:gridCol w:w="1316"/>
      </w:tblGrid>
      <w:tr w14:paraId="34B91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2" w:hRule="atLeast"/>
        </w:trPr>
        <w:tc>
          <w:tcPr>
            <w:tcW w:w="0" w:type="auto"/>
            <w:tcBorders>
              <w:top w:val="single" w:color="000000" w:sz="8" w:space="0"/>
              <w:left w:val="single" w:color="000000" w:sz="8" w:space="0"/>
              <w:bottom w:val="single" w:color="000000" w:sz="4" w:space="0"/>
              <w:right w:val="single" w:color="000000" w:sz="4" w:space="0"/>
            </w:tcBorders>
            <w:shd w:val="clear" w:color="auto" w:fill="FDE9D9"/>
            <w:noWrap/>
            <w:vAlign w:val="center"/>
          </w:tcPr>
          <w:p w14:paraId="4084CFA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0" w:type="auto"/>
            <w:tcBorders>
              <w:top w:val="single" w:color="000000" w:sz="8" w:space="0"/>
              <w:left w:val="single" w:color="000000" w:sz="4" w:space="0"/>
              <w:bottom w:val="single" w:color="000000" w:sz="4" w:space="0"/>
              <w:right w:val="single" w:color="000000" w:sz="4" w:space="0"/>
            </w:tcBorders>
            <w:shd w:val="clear" w:color="auto" w:fill="FDE9D9"/>
            <w:noWrap/>
            <w:vAlign w:val="center"/>
          </w:tcPr>
          <w:p w14:paraId="13ACB62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设施名称</w:t>
            </w:r>
          </w:p>
        </w:tc>
        <w:tc>
          <w:tcPr>
            <w:tcW w:w="0" w:type="auto"/>
            <w:tcBorders>
              <w:top w:val="single" w:color="000000" w:sz="8" w:space="0"/>
              <w:left w:val="single" w:color="000000" w:sz="4" w:space="0"/>
              <w:bottom w:val="single" w:color="000000" w:sz="4" w:space="0"/>
              <w:right w:val="single" w:color="000000" w:sz="4" w:space="0"/>
            </w:tcBorders>
            <w:shd w:val="clear" w:color="auto" w:fill="FDE9D9"/>
            <w:noWrap/>
            <w:vAlign w:val="center"/>
          </w:tcPr>
          <w:p w14:paraId="56FB930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设备规格和容量</w:t>
            </w:r>
          </w:p>
        </w:tc>
        <w:tc>
          <w:tcPr>
            <w:tcW w:w="0" w:type="auto"/>
            <w:tcBorders>
              <w:top w:val="single" w:color="000000" w:sz="8" w:space="0"/>
              <w:left w:val="single" w:color="000000" w:sz="4" w:space="0"/>
              <w:bottom w:val="single" w:color="000000" w:sz="4" w:space="0"/>
              <w:right w:val="single" w:color="000000" w:sz="4" w:space="0"/>
            </w:tcBorders>
            <w:shd w:val="clear" w:color="auto" w:fill="FDE9D9"/>
            <w:noWrap/>
            <w:vAlign w:val="center"/>
          </w:tcPr>
          <w:p w14:paraId="26C5C13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地址</w:t>
            </w:r>
          </w:p>
        </w:tc>
        <w:tc>
          <w:tcPr>
            <w:tcW w:w="0" w:type="auto"/>
            <w:tcBorders>
              <w:top w:val="single" w:color="000000" w:sz="8" w:space="0"/>
              <w:left w:val="single" w:color="000000" w:sz="4" w:space="0"/>
              <w:bottom w:val="single" w:color="000000" w:sz="4" w:space="0"/>
              <w:right w:val="single" w:color="000000" w:sz="4" w:space="0"/>
            </w:tcBorders>
            <w:shd w:val="clear" w:color="auto" w:fill="FDE9D9"/>
            <w:noWrap/>
            <w:vAlign w:val="center"/>
          </w:tcPr>
          <w:p w14:paraId="694FB1F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数量·月</w:t>
            </w:r>
          </w:p>
        </w:tc>
        <w:tc>
          <w:tcPr>
            <w:tcW w:w="0" w:type="auto"/>
            <w:tcBorders>
              <w:top w:val="single" w:color="000000" w:sz="8" w:space="0"/>
              <w:left w:val="single" w:color="000000" w:sz="4" w:space="0"/>
              <w:bottom w:val="single" w:color="000000" w:sz="4" w:space="0"/>
              <w:right w:val="single" w:color="000000" w:sz="4" w:space="0"/>
            </w:tcBorders>
            <w:shd w:val="clear" w:color="auto" w:fill="FDE9D9"/>
            <w:noWrap/>
            <w:vAlign w:val="center"/>
          </w:tcPr>
          <w:p w14:paraId="521944B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综合单价/月</w:t>
            </w:r>
          </w:p>
        </w:tc>
        <w:tc>
          <w:tcPr>
            <w:tcW w:w="0" w:type="auto"/>
            <w:tcBorders>
              <w:top w:val="single" w:color="000000" w:sz="8" w:space="0"/>
              <w:left w:val="single" w:color="000000" w:sz="4" w:space="0"/>
              <w:bottom w:val="single" w:color="000000" w:sz="4" w:space="0"/>
              <w:right w:val="single" w:color="000000" w:sz="8" w:space="0"/>
            </w:tcBorders>
            <w:shd w:val="clear" w:color="auto" w:fill="FDE9D9"/>
            <w:noWrap/>
            <w:vAlign w:val="center"/>
          </w:tcPr>
          <w:p w14:paraId="182C8C6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r>
      <w:tr w14:paraId="4A6DD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9"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F195CE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一、</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E1164">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2020年度建设的污水处理设施</w:t>
            </w:r>
          </w:p>
        </w:tc>
      </w:tr>
      <w:tr w14:paraId="23951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FE308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vMerge w:val="restart"/>
            <w:tcBorders>
              <w:top w:val="nil"/>
              <w:left w:val="single" w:color="000000" w:sz="4" w:space="0"/>
              <w:bottom w:val="nil"/>
              <w:right w:val="single" w:color="000000" w:sz="4" w:space="0"/>
            </w:tcBorders>
            <w:shd w:val="clear" w:color="auto" w:fill="auto"/>
            <w:vAlign w:val="center"/>
          </w:tcPr>
          <w:p w14:paraId="2DA17D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有动力处理设施</w:t>
            </w:r>
            <w:r>
              <w:rPr>
                <w:rFonts w:hint="eastAsia" w:ascii="宋体" w:hAnsi="宋体" w:eastAsia="宋体" w:cs="宋体"/>
                <w:b/>
                <w:bCs/>
                <w:i w:val="0"/>
                <w:iCs w:val="0"/>
                <w:color w:val="000000"/>
                <w:kern w:val="0"/>
                <w:sz w:val="22"/>
                <w:szCs w:val="22"/>
                <w:u w:val="none"/>
                <w:lang w:val="en-US" w:eastAsia="zh-CN" w:bidi="ar"/>
              </w:rPr>
              <w:t>（16座）</w:t>
            </w:r>
          </w:p>
        </w:tc>
        <w:tc>
          <w:tcPr>
            <w:tcW w:w="0" w:type="auto"/>
            <w:tcBorders>
              <w:top w:val="nil"/>
              <w:left w:val="single" w:color="000000" w:sz="4" w:space="0"/>
              <w:bottom w:val="single" w:color="000000" w:sz="4" w:space="0"/>
              <w:right w:val="single" w:color="000000" w:sz="4" w:space="0"/>
            </w:tcBorders>
            <w:shd w:val="clear" w:color="auto" w:fill="auto"/>
            <w:vAlign w:val="center"/>
          </w:tcPr>
          <w:p w14:paraId="6205DA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一体化污水处理设施1t/d</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119B7B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德新村8组、12组</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7E2643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4*12</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7669408F">
            <w:pPr>
              <w:keepNext w:val="0"/>
              <w:keepLines w:val="0"/>
              <w:widowControl/>
              <w:suppressLineNumbers w:val="0"/>
              <w:jc w:val="center"/>
              <w:textAlignment w:val="center"/>
              <w:rPr>
                <w:rFonts w:hint="eastAsia" w:ascii="宋体" w:hAnsi="宋体" w:eastAsia="宋体" w:cs="宋体"/>
                <w:i w:val="0"/>
                <w:iCs w:val="0"/>
                <w:color w:val="FF0000"/>
                <w:kern w:val="0"/>
                <w:sz w:val="22"/>
                <w:szCs w:val="22"/>
                <w:u w:val="none"/>
                <w:lang w:val="en-US" w:eastAsia="zh-CN" w:bidi="ar"/>
              </w:rPr>
            </w:pPr>
          </w:p>
          <w:p w14:paraId="035226F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 xml:space="preserve"> </w:t>
            </w:r>
          </w:p>
        </w:tc>
        <w:tc>
          <w:tcPr>
            <w:tcW w:w="0" w:type="auto"/>
            <w:tcBorders>
              <w:top w:val="nil"/>
              <w:left w:val="single" w:color="000000" w:sz="4" w:space="0"/>
              <w:bottom w:val="single" w:color="000000" w:sz="4" w:space="0"/>
              <w:right w:val="single" w:color="000000" w:sz="8" w:space="0"/>
            </w:tcBorders>
            <w:shd w:val="clear" w:color="auto" w:fill="auto"/>
            <w:noWrap/>
            <w:vAlign w:val="center"/>
          </w:tcPr>
          <w:p w14:paraId="46C1A9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p w14:paraId="6E7286ED">
            <w:pPr>
              <w:pStyle w:val="50"/>
              <w:rPr>
                <w:rFonts w:hint="eastAsia"/>
              </w:rPr>
            </w:pPr>
          </w:p>
        </w:tc>
      </w:tr>
      <w:tr w14:paraId="66AE8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1EDB4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vMerge w:val="continue"/>
            <w:tcBorders>
              <w:top w:val="nil"/>
              <w:left w:val="single" w:color="000000" w:sz="4" w:space="0"/>
              <w:bottom w:val="nil"/>
              <w:right w:val="single" w:color="000000" w:sz="4" w:space="0"/>
            </w:tcBorders>
            <w:shd w:val="clear" w:color="auto" w:fill="auto"/>
            <w:vAlign w:val="center"/>
          </w:tcPr>
          <w:p w14:paraId="38589FB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FA0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一体化污水处理设施2t/d</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77744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德新村22组、23组，文俊村4组，建南村17组、31组，三圩村24组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45D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F0D9E">
            <w:pPr>
              <w:keepNext w:val="0"/>
              <w:keepLines w:val="0"/>
              <w:widowControl/>
              <w:suppressLineNumbers w:val="0"/>
              <w:jc w:val="center"/>
              <w:textAlignment w:val="center"/>
              <w:rPr>
                <w:rFonts w:hint="eastAsia" w:ascii="宋体" w:hAnsi="宋体" w:eastAsia="宋体" w:cs="宋体"/>
                <w:i w:val="0"/>
                <w:iCs w:val="0"/>
                <w:color w:val="00B050"/>
                <w:sz w:val="22"/>
                <w:szCs w:val="22"/>
                <w:u w:val="none"/>
              </w:rPr>
            </w:pPr>
          </w:p>
          <w:p w14:paraId="326F3D33">
            <w:pPr>
              <w:pStyle w:val="50"/>
              <w:rPr>
                <w:rFonts w:hint="eastAsia"/>
              </w:rPr>
            </w:pPr>
          </w:p>
        </w:tc>
        <w:tc>
          <w:tcPr>
            <w:tcW w:w="0" w:type="auto"/>
            <w:tcBorders>
              <w:top w:val="nil"/>
              <w:left w:val="single" w:color="000000" w:sz="4" w:space="0"/>
              <w:bottom w:val="single" w:color="000000" w:sz="4" w:space="0"/>
              <w:right w:val="single" w:color="000000" w:sz="8" w:space="0"/>
            </w:tcBorders>
            <w:shd w:val="clear" w:color="auto" w:fill="auto"/>
            <w:noWrap/>
            <w:vAlign w:val="center"/>
          </w:tcPr>
          <w:p w14:paraId="0E9353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p w14:paraId="4986479B">
            <w:pPr>
              <w:pStyle w:val="50"/>
              <w:rPr>
                <w:rFonts w:hint="eastAsia"/>
              </w:rPr>
            </w:pPr>
          </w:p>
        </w:tc>
      </w:tr>
      <w:tr w14:paraId="6C8AD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8F24E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vMerge w:val="continue"/>
            <w:tcBorders>
              <w:top w:val="nil"/>
              <w:left w:val="single" w:color="000000" w:sz="4" w:space="0"/>
              <w:bottom w:val="nil"/>
              <w:right w:val="single" w:color="000000" w:sz="4" w:space="0"/>
            </w:tcBorders>
            <w:shd w:val="clear" w:color="auto" w:fill="auto"/>
            <w:vAlign w:val="center"/>
          </w:tcPr>
          <w:p w14:paraId="1900991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3F6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一体化污水处理设施5t/d</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A9A4C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德新村22组，文俊村5组、31组，建南村27组，利北村16组、20组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EE6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2B10A">
            <w:pPr>
              <w:keepNext w:val="0"/>
              <w:keepLines w:val="0"/>
              <w:widowControl/>
              <w:suppressLineNumbers w:val="0"/>
              <w:jc w:val="center"/>
              <w:textAlignment w:val="center"/>
              <w:rPr>
                <w:rFonts w:hint="eastAsia" w:ascii="宋体" w:hAnsi="宋体" w:eastAsia="宋体" w:cs="宋体"/>
                <w:i w:val="0"/>
                <w:iCs w:val="0"/>
                <w:color w:val="7030A0"/>
                <w:sz w:val="22"/>
                <w:szCs w:val="22"/>
                <w:u w:val="none"/>
              </w:rPr>
            </w:pPr>
          </w:p>
          <w:p w14:paraId="652E336E">
            <w:pPr>
              <w:pStyle w:val="50"/>
              <w:rPr>
                <w:rFonts w:hint="eastAsia"/>
              </w:rPr>
            </w:pPr>
          </w:p>
        </w:tc>
        <w:tc>
          <w:tcPr>
            <w:tcW w:w="0" w:type="auto"/>
            <w:tcBorders>
              <w:top w:val="nil"/>
              <w:left w:val="single" w:color="000000" w:sz="4" w:space="0"/>
              <w:bottom w:val="single" w:color="000000" w:sz="4" w:space="0"/>
              <w:right w:val="single" w:color="000000" w:sz="8" w:space="0"/>
            </w:tcBorders>
            <w:shd w:val="clear" w:color="auto" w:fill="auto"/>
            <w:noWrap/>
            <w:vAlign w:val="center"/>
          </w:tcPr>
          <w:p w14:paraId="52359B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p w14:paraId="3C89243B">
            <w:pPr>
              <w:pStyle w:val="50"/>
              <w:rPr>
                <w:rFonts w:hint="eastAsia"/>
              </w:rPr>
            </w:pPr>
          </w:p>
        </w:tc>
      </w:tr>
      <w:tr w14:paraId="5C7A5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26C60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E2ED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一体化提升泵站</w:t>
            </w:r>
            <w:r>
              <w:rPr>
                <w:rFonts w:hint="eastAsia" w:ascii="宋体" w:hAnsi="宋体" w:eastAsia="宋体" w:cs="宋体"/>
                <w:b/>
                <w:bCs/>
                <w:i w:val="0"/>
                <w:iCs w:val="0"/>
                <w:color w:val="000000"/>
                <w:kern w:val="0"/>
                <w:sz w:val="22"/>
                <w:szCs w:val="22"/>
                <w:u w:val="none"/>
                <w:lang w:val="en-US" w:eastAsia="zh-CN" w:bidi="ar"/>
              </w:rPr>
              <w:t>（2座）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B5B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φ1200*4550mm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049D4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双桥村17组，三圩村34 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B41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B8618">
            <w:pPr>
              <w:keepNext w:val="0"/>
              <w:keepLines w:val="0"/>
              <w:widowControl/>
              <w:suppressLineNumbers w:val="0"/>
              <w:jc w:val="center"/>
              <w:textAlignment w:val="center"/>
              <w:rPr>
                <w:rFonts w:hint="eastAsia" w:ascii="宋体" w:hAnsi="宋体" w:eastAsia="宋体" w:cs="宋体"/>
                <w:i w:val="0"/>
                <w:iCs w:val="0"/>
                <w:color w:val="FFC000"/>
                <w:sz w:val="22"/>
                <w:szCs w:val="22"/>
                <w:u w:val="none"/>
              </w:rPr>
            </w:pPr>
          </w:p>
          <w:p w14:paraId="04A6776A">
            <w:pPr>
              <w:pStyle w:val="50"/>
              <w:rPr>
                <w:rFonts w:hint="eastAsia"/>
              </w:rPr>
            </w:pPr>
          </w:p>
        </w:tc>
        <w:tc>
          <w:tcPr>
            <w:tcW w:w="0" w:type="auto"/>
            <w:tcBorders>
              <w:top w:val="nil"/>
              <w:left w:val="single" w:color="000000" w:sz="4" w:space="0"/>
              <w:bottom w:val="single" w:color="000000" w:sz="4" w:space="0"/>
              <w:right w:val="single" w:color="000000" w:sz="8" w:space="0"/>
            </w:tcBorders>
            <w:shd w:val="clear" w:color="auto" w:fill="auto"/>
            <w:noWrap/>
            <w:vAlign w:val="center"/>
          </w:tcPr>
          <w:p w14:paraId="194440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p w14:paraId="6455F632">
            <w:pPr>
              <w:pStyle w:val="50"/>
              <w:rPr>
                <w:rFonts w:hint="eastAsia"/>
              </w:rPr>
            </w:pPr>
          </w:p>
        </w:tc>
      </w:tr>
      <w:tr w14:paraId="38A01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370127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037AF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小 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87E4C">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B21B10">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CB8D0">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425B2">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F0CB8C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p>
          <w:p w14:paraId="3CCD21F3">
            <w:pPr>
              <w:pStyle w:val="50"/>
              <w:rPr>
                <w:rFonts w:hint="eastAsia"/>
              </w:rPr>
            </w:pPr>
          </w:p>
        </w:tc>
      </w:tr>
      <w:tr w14:paraId="6BBAA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63A680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二、</w:t>
            </w:r>
          </w:p>
        </w:tc>
        <w:tc>
          <w:tcPr>
            <w:tcW w:w="0" w:type="auto"/>
            <w:gridSpan w:val="6"/>
            <w:tcBorders>
              <w:top w:val="single" w:color="000000" w:sz="4" w:space="0"/>
              <w:left w:val="single" w:color="000000" w:sz="4" w:space="0"/>
              <w:bottom w:val="single" w:color="000000" w:sz="4" w:space="0"/>
              <w:right w:val="single" w:color="000000" w:sz="8" w:space="0"/>
            </w:tcBorders>
            <w:shd w:val="clear" w:color="auto" w:fill="auto"/>
            <w:vAlign w:val="center"/>
          </w:tcPr>
          <w:p w14:paraId="7EBCB6C8">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2022年度建设的污水处理设施</w:t>
            </w:r>
          </w:p>
        </w:tc>
      </w:tr>
      <w:tr w14:paraId="470AC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6CA20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vMerge w:val="restart"/>
            <w:tcBorders>
              <w:top w:val="nil"/>
              <w:left w:val="single" w:color="000000" w:sz="4" w:space="0"/>
              <w:bottom w:val="nil"/>
              <w:right w:val="single" w:color="000000" w:sz="4" w:space="0"/>
            </w:tcBorders>
            <w:shd w:val="clear" w:color="auto" w:fill="auto"/>
            <w:vAlign w:val="center"/>
          </w:tcPr>
          <w:p w14:paraId="3EB091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有动力处理设施</w:t>
            </w:r>
            <w:r>
              <w:rPr>
                <w:rFonts w:hint="eastAsia" w:ascii="宋体" w:hAnsi="宋体" w:eastAsia="宋体" w:cs="宋体"/>
                <w:b/>
                <w:bCs/>
                <w:i w:val="0"/>
                <w:iCs w:val="0"/>
                <w:color w:val="000000"/>
                <w:kern w:val="0"/>
                <w:sz w:val="22"/>
                <w:szCs w:val="22"/>
                <w:u w:val="none"/>
                <w:lang w:val="en-US" w:eastAsia="zh-CN" w:bidi="ar"/>
              </w:rPr>
              <w:t>（45座）</w:t>
            </w:r>
          </w:p>
        </w:tc>
        <w:tc>
          <w:tcPr>
            <w:tcW w:w="0" w:type="auto"/>
            <w:tcBorders>
              <w:top w:val="nil"/>
              <w:left w:val="single" w:color="000000" w:sz="4" w:space="0"/>
              <w:bottom w:val="single" w:color="000000" w:sz="4" w:space="0"/>
              <w:right w:val="single" w:color="000000" w:sz="4" w:space="0"/>
            </w:tcBorders>
            <w:shd w:val="clear" w:color="auto" w:fill="auto"/>
            <w:vAlign w:val="center"/>
          </w:tcPr>
          <w:p w14:paraId="4BEC07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一体化污水处理设施1t/d</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29D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详见附表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FDA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BBCD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p>
          <w:p w14:paraId="7491631D">
            <w:pPr>
              <w:pStyle w:val="50"/>
              <w:rPr>
                <w:rFonts w:hint="eastAsia"/>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7D823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p w14:paraId="1FB58DE4">
            <w:pPr>
              <w:pStyle w:val="50"/>
              <w:rPr>
                <w:rFonts w:hint="eastAsia"/>
              </w:rPr>
            </w:pPr>
          </w:p>
        </w:tc>
      </w:tr>
      <w:tr w14:paraId="4046E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8DD9A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vMerge w:val="continue"/>
            <w:tcBorders>
              <w:top w:val="nil"/>
              <w:left w:val="single" w:color="000000" w:sz="4" w:space="0"/>
              <w:bottom w:val="nil"/>
              <w:right w:val="single" w:color="000000" w:sz="4" w:space="0"/>
            </w:tcBorders>
            <w:shd w:val="clear" w:color="auto" w:fill="auto"/>
            <w:vAlign w:val="center"/>
          </w:tcPr>
          <w:p w14:paraId="05FAE6E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F26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一体化污水处理设施2t/d</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953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详见附表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5DC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098F8">
            <w:pPr>
              <w:keepNext w:val="0"/>
              <w:keepLines w:val="0"/>
              <w:widowControl/>
              <w:suppressLineNumbers w:val="0"/>
              <w:jc w:val="center"/>
              <w:textAlignment w:val="center"/>
              <w:rPr>
                <w:rFonts w:hint="eastAsia" w:ascii="宋体" w:hAnsi="宋体" w:eastAsia="宋体" w:cs="宋体"/>
                <w:i w:val="0"/>
                <w:iCs w:val="0"/>
                <w:color w:val="00B050"/>
                <w:sz w:val="22"/>
                <w:szCs w:val="22"/>
                <w:u w:val="none"/>
              </w:rPr>
            </w:pPr>
          </w:p>
          <w:p w14:paraId="1D933F73">
            <w:pPr>
              <w:pStyle w:val="50"/>
              <w:rPr>
                <w:rFonts w:hint="eastAsia"/>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EF9D1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p w14:paraId="20AFCC3F">
            <w:pPr>
              <w:pStyle w:val="50"/>
              <w:rPr>
                <w:rFonts w:hint="eastAsia"/>
              </w:rPr>
            </w:pPr>
          </w:p>
        </w:tc>
      </w:tr>
      <w:tr w14:paraId="0B8E8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C56F1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vMerge w:val="continue"/>
            <w:tcBorders>
              <w:top w:val="nil"/>
              <w:left w:val="single" w:color="000000" w:sz="4" w:space="0"/>
              <w:bottom w:val="nil"/>
              <w:right w:val="single" w:color="000000" w:sz="4" w:space="0"/>
            </w:tcBorders>
            <w:shd w:val="clear" w:color="auto" w:fill="auto"/>
            <w:vAlign w:val="center"/>
          </w:tcPr>
          <w:p w14:paraId="406111E2">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B1D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一体化污水处理设施5t/d</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231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详见附表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22B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CB54F">
            <w:pPr>
              <w:keepNext w:val="0"/>
              <w:keepLines w:val="0"/>
              <w:widowControl/>
              <w:suppressLineNumbers w:val="0"/>
              <w:jc w:val="center"/>
              <w:textAlignment w:val="center"/>
              <w:rPr>
                <w:rFonts w:hint="eastAsia" w:ascii="宋体" w:hAnsi="宋体" w:eastAsia="宋体" w:cs="宋体"/>
                <w:i w:val="0"/>
                <w:iCs w:val="0"/>
                <w:color w:val="7030A0"/>
                <w:kern w:val="0"/>
                <w:sz w:val="22"/>
                <w:szCs w:val="22"/>
                <w:u w:val="none"/>
                <w:lang w:val="en-US" w:eastAsia="zh-CN" w:bidi="ar"/>
              </w:rPr>
            </w:pPr>
          </w:p>
          <w:p w14:paraId="3C1B4158">
            <w:pPr>
              <w:keepNext w:val="0"/>
              <w:keepLines w:val="0"/>
              <w:widowControl/>
              <w:suppressLineNumbers w:val="0"/>
              <w:jc w:val="center"/>
              <w:textAlignment w:val="center"/>
              <w:rPr>
                <w:rFonts w:hint="eastAsia" w:ascii="宋体" w:hAnsi="宋体" w:eastAsia="宋体" w:cs="宋体"/>
                <w:i w:val="0"/>
                <w:iCs w:val="0"/>
                <w:color w:val="7030A0"/>
                <w:sz w:val="22"/>
                <w:szCs w:val="22"/>
                <w:u w:val="none"/>
              </w:rPr>
            </w:pPr>
            <w:r>
              <w:rPr>
                <w:rFonts w:hint="eastAsia" w:ascii="宋体" w:hAnsi="宋体" w:eastAsia="宋体" w:cs="宋体"/>
                <w:i w:val="0"/>
                <w:iCs w:val="0"/>
                <w:color w:val="7030A0"/>
                <w:kern w:val="0"/>
                <w:sz w:val="22"/>
                <w:szCs w:val="22"/>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772E1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p w14:paraId="1185E24C">
            <w:pPr>
              <w:pStyle w:val="50"/>
              <w:rPr>
                <w:rFonts w:hint="eastAsia"/>
              </w:rPr>
            </w:pPr>
          </w:p>
        </w:tc>
      </w:tr>
      <w:tr w14:paraId="3F87F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9E10D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vMerge w:val="continue"/>
            <w:tcBorders>
              <w:top w:val="nil"/>
              <w:left w:val="single" w:color="000000" w:sz="4" w:space="0"/>
              <w:bottom w:val="nil"/>
              <w:right w:val="single" w:color="000000" w:sz="4" w:space="0"/>
            </w:tcBorders>
            <w:shd w:val="clear" w:color="auto" w:fill="auto"/>
            <w:vAlign w:val="center"/>
          </w:tcPr>
          <w:p w14:paraId="1EAB75D3">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A5A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一体化污水处理设施10t/d</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4E5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详见附表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2A7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22B40">
            <w:pPr>
              <w:keepNext w:val="0"/>
              <w:keepLines w:val="0"/>
              <w:widowControl/>
              <w:suppressLineNumbers w:val="0"/>
              <w:jc w:val="center"/>
              <w:textAlignment w:val="center"/>
              <w:rPr>
                <w:rFonts w:hint="eastAsia" w:ascii="宋体" w:hAnsi="宋体" w:eastAsia="宋体" w:cs="宋体"/>
                <w:i w:val="0"/>
                <w:iCs w:val="0"/>
                <w:color w:val="0070C0"/>
                <w:sz w:val="22"/>
                <w:szCs w:val="22"/>
                <w:u w:val="none"/>
              </w:rPr>
            </w:pPr>
          </w:p>
          <w:p w14:paraId="794FD3AA">
            <w:pPr>
              <w:pStyle w:val="50"/>
              <w:rPr>
                <w:rFonts w:hint="eastAsia"/>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44536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p w14:paraId="3E5B36E9">
            <w:pPr>
              <w:pStyle w:val="50"/>
              <w:rPr>
                <w:rFonts w:hint="eastAsia"/>
              </w:rPr>
            </w:pPr>
          </w:p>
        </w:tc>
      </w:tr>
      <w:tr w14:paraId="4DDFD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2"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56A4B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7629E5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无动力处理设施</w:t>
            </w:r>
            <w:r>
              <w:rPr>
                <w:rFonts w:hint="eastAsia" w:ascii="宋体" w:hAnsi="宋体" w:eastAsia="宋体" w:cs="宋体"/>
                <w:b/>
                <w:bCs/>
                <w:i w:val="0"/>
                <w:iCs w:val="0"/>
                <w:color w:val="000000"/>
                <w:kern w:val="0"/>
                <w:sz w:val="22"/>
                <w:szCs w:val="22"/>
                <w:u w:val="none"/>
                <w:lang w:val="en-US" w:eastAsia="zh-CN" w:bidi="ar"/>
              </w:rPr>
              <w:t>（424座）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6C8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1.5m3/座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FC1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详见附表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246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424*12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8B8DF">
            <w:pPr>
              <w:keepNext w:val="0"/>
              <w:keepLines w:val="0"/>
              <w:widowControl/>
              <w:suppressLineNumbers w:val="0"/>
              <w:jc w:val="center"/>
              <w:textAlignment w:val="center"/>
              <w:rPr>
                <w:rFonts w:hint="eastAsia" w:ascii="宋体" w:hAnsi="宋体" w:eastAsia="宋体" w:cs="宋体"/>
                <w:i w:val="0"/>
                <w:iCs w:val="0"/>
                <w:color w:val="002060"/>
                <w:sz w:val="22"/>
                <w:szCs w:val="22"/>
                <w:u w:val="none"/>
              </w:rPr>
            </w:pPr>
          </w:p>
          <w:p w14:paraId="38ED9ACF">
            <w:pPr>
              <w:pStyle w:val="50"/>
              <w:rPr>
                <w:rFonts w:hint="eastAsia"/>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26735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p w14:paraId="05BEA0B8">
            <w:pPr>
              <w:pStyle w:val="50"/>
              <w:rPr>
                <w:rFonts w:hint="eastAsia"/>
              </w:rPr>
            </w:pPr>
          </w:p>
        </w:tc>
      </w:tr>
      <w:tr w14:paraId="4457B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2"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55499B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0F183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小 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3E039">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6320B">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92415">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D0A63">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FFC3D5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p>
          <w:p w14:paraId="3351265F">
            <w:pPr>
              <w:pStyle w:val="50"/>
              <w:rPr>
                <w:rFonts w:hint="eastAsia"/>
              </w:rPr>
            </w:pPr>
          </w:p>
        </w:tc>
      </w:tr>
      <w:tr w14:paraId="2A1DB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B4C2B9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三、</w:t>
            </w:r>
          </w:p>
        </w:tc>
        <w:tc>
          <w:tcPr>
            <w:tcW w:w="0" w:type="auto"/>
            <w:gridSpan w:val="6"/>
            <w:tcBorders>
              <w:top w:val="single" w:color="000000" w:sz="4" w:space="0"/>
              <w:left w:val="single" w:color="000000" w:sz="4" w:space="0"/>
              <w:bottom w:val="single" w:color="000000" w:sz="4" w:space="0"/>
              <w:right w:val="single" w:color="000000" w:sz="8" w:space="0"/>
            </w:tcBorders>
            <w:shd w:val="clear" w:color="auto" w:fill="auto"/>
            <w:vAlign w:val="center"/>
          </w:tcPr>
          <w:p w14:paraId="74DAE8BF">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2023年度建设的污水处理设施</w:t>
            </w:r>
          </w:p>
        </w:tc>
      </w:tr>
      <w:tr w14:paraId="5566A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E2E88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vMerge w:val="restart"/>
            <w:tcBorders>
              <w:top w:val="nil"/>
              <w:left w:val="single" w:color="000000" w:sz="4" w:space="0"/>
              <w:bottom w:val="single" w:color="000000" w:sz="4" w:space="0"/>
              <w:right w:val="single" w:color="000000" w:sz="4" w:space="0"/>
            </w:tcBorders>
            <w:shd w:val="clear" w:color="auto" w:fill="auto"/>
            <w:vAlign w:val="center"/>
          </w:tcPr>
          <w:p w14:paraId="19B00A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有动力处理设施</w:t>
            </w:r>
            <w:r>
              <w:rPr>
                <w:rFonts w:hint="eastAsia" w:ascii="宋体" w:hAnsi="宋体" w:eastAsia="宋体" w:cs="宋体"/>
                <w:b/>
                <w:bCs/>
                <w:i w:val="0"/>
                <w:iCs w:val="0"/>
                <w:color w:val="000000"/>
                <w:kern w:val="0"/>
                <w:sz w:val="22"/>
                <w:szCs w:val="22"/>
                <w:u w:val="none"/>
                <w:lang w:val="en-US" w:eastAsia="zh-CN" w:bidi="ar"/>
              </w:rPr>
              <w:t>（14座）</w:t>
            </w:r>
          </w:p>
        </w:tc>
        <w:tc>
          <w:tcPr>
            <w:tcW w:w="0" w:type="auto"/>
            <w:tcBorders>
              <w:top w:val="nil"/>
              <w:left w:val="single" w:color="000000" w:sz="4" w:space="0"/>
              <w:bottom w:val="single" w:color="000000" w:sz="4" w:space="0"/>
              <w:right w:val="single" w:color="000000" w:sz="4" w:space="0"/>
            </w:tcBorders>
            <w:shd w:val="clear" w:color="auto" w:fill="auto"/>
            <w:vAlign w:val="center"/>
          </w:tcPr>
          <w:p w14:paraId="29735C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一体化污水处理设施1t/d</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1F5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详见附表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093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F5D8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p>
          <w:p w14:paraId="5144B507">
            <w:pPr>
              <w:pStyle w:val="50"/>
              <w:rPr>
                <w:rFonts w:hint="eastAsia"/>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5B131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p w14:paraId="2A8EEBE2">
            <w:pPr>
              <w:pStyle w:val="50"/>
              <w:rPr>
                <w:rFonts w:hint="eastAsia"/>
              </w:rPr>
            </w:pPr>
          </w:p>
        </w:tc>
      </w:tr>
      <w:tr w14:paraId="095D0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63325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vMerge w:val="continue"/>
            <w:tcBorders>
              <w:top w:val="nil"/>
              <w:left w:val="single" w:color="000000" w:sz="4" w:space="0"/>
              <w:bottom w:val="single" w:color="000000" w:sz="4" w:space="0"/>
              <w:right w:val="single" w:color="000000" w:sz="4" w:space="0"/>
            </w:tcBorders>
            <w:shd w:val="clear" w:color="auto" w:fill="auto"/>
            <w:vAlign w:val="center"/>
          </w:tcPr>
          <w:p w14:paraId="37B775C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630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一体化污水处理设施2t/d</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938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详见附表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75C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7C612">
            <w:pPr>
              <w:keepNext w:val="0"/>
              <w:keepLines w:val="0"/>
              <w:widowControl/>
              <w:suppressLineNumbers w:val="0"/>
              <w:jc w:val="center"/>
              <w:textAlignment w:val="center"/>
              <w:rPr>
                <w:rFonts w:hint="eastAsia" w:ascii="宋体" w:hAnsi="宋体" w:eastAsia="宋体" w:cs="宋体"/>
                <w:i w:val="0"/>
                <w:iCs w:val="0"/>
                <w:color w:val="00B050"/>
                <w:sz w:val="22"/>
                <w:szCs w:val="22"/>
                <w:u w:val="none"/>
              </w:rPr>
            </w:pPr>
          </w:p>
          <w:p w14:paraId="2FD3187D">
            <w:pPr>
              <w:pStyle w:val="50"/>
              <w:rPr>
                <w:rFonts w:hint="eastAsia"/>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6492D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p w14:paraId="39787783">
            <w:pPr>
              <w:pStyle w:val="50"/>
              <w:rPr>
                <w:rFonts w:hint="eastAsia"/>
              </w:rPr>
            </w:pPr>
          </w:p>
        </w:tc>
      </w:tr>
      <w:tr w14:paraId="58B83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91D1F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vMerge w:val="continue"/>
            <w:tcBorders>
              <w:top w:val="nil"/>
              <w:left w:val="single" w:color="000000" w:sz="4" w:space="0"/>
              <w:bottom w:val="single" w:color="000000" w:sz="4" w:space="0"/>
              <w:right w:val="single" w:color="000000" w:sz="4" w:space="0"/>
            </w:tcBorders>
            <w:shd w:val="clear" w:color="auto" w:fill="auto"/>
            <w:vAlign w:val="center"/>
          </w:tcPr>
          <w:p w14:paraId="0141BFA9">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93B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一体化污水处理设施5t/d</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F9D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详见附表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365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7400D">
            <w:pPr>
              <w:keepNext w:val="0"/>
              <w:keepLines w:val="0"/>
              <w:widowControl/>
              <w:suppressLineNumbers w:val="0"/>
              <w:jc w:val="center"/>
              <w:textAlignment w:val="center"/>
              <w:rPr>
                <w:rFonts w:hint="eastAsia" w:ascii="宋体" w:hAnsi="宋体" w:eastAsia="宋体" w:cs="宋体"/>
                <w:i w:val="0"/>
                <w:iCs w:val="0"/>
                <w:color w:val="7030A0"/>
                <w:kern w:val="0"/>
                <w:sz w:val="22"/>
                <w:szCs w:val="22"/>
                <w:u w:val="none"/>
                <w:lang w:val="en-US" w:eastAsia="zh-CN" w:bidi="ar"/>
              </w:rPr>
            </w:pPr>
          </w:p>
          <w:p w14:paraId="233B1FDA">
            <w:pPr>
              <w:keepNext w:val="0"/>
              <w:keepLines w:val="0"/>
              <w:widowControl/>
              <w:suppressLineNumbers w:val="0"/>
              <w:jc w:val="center"/>
              <w:textAlignment w:val="center"/>
              <w:rPr>
                <w:rFonts w:hint="eastAsia" w:ascii="宋体" w:hAnsi="宋体" w:eastAsia="宋体" w:cs="宋体"/>
                <w:i w:val="0"/>
                <w:iCs w:val="0"/>
                <w:color w:val="7030A0"/>
                <w:sz w:val="22"/>
                <w:szCs w:val="22"/>
                <w:u w:val="none"/>
              </w:rPr>
            </w:pPr>
            <w:r>
              <w:rPr>
                <w:rFonts w:hint="eastAsia" w:ascii="宋体" w:hAnsi="宋体" w:eastAsia="宋体" w:cs="宋体"/>
                <w:i w:val="0"/>
                <w:iCs w:val="0"/>
                <w:color w:val="7030A0"/>
                <w:kern w:val="0"/>
                <w:sz w:val="22"/>
                <w:szCs w:val="22"/>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57BC3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p w14:paraId="3520499F">
            <w:pPr>
              <w:pStyle w:val="50"/>
              <w:rPr>
                <w:rFonts w:hint="eastAsia"/>
              </w:rPr>
            </w:pPr>
          </w:p>
        </w:tc>
      </w:tr>
      <w:tr w14:paraId="2470E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DD744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6A728C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无动力处理设施</w:t>
            </w:r>
            <w:r>
              <w:rPr>
                <w:rFonts w:hint="eastAsia" w:ascii="宋体" w:hAnsi="宋体" w:eastAsia="宋体" w:cs="宋体"/>
                <w:b/>
                <w:bCs/>
                <w:i w:val="0"/>
                <w:iCs w:val="0"/>
                <w:color w:val="000000"/>
                <w:kern w:val="0"/>
                <w:sz w:val="22"/>
                <w:szCs w:val="22"/>
                <w:u w:val="none"/>
                <w:lang w:val="en-US" w:eastAsia="zh-CN" w:bidi="ar"/>
              </w:rPr>
              <w:t>（422座）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24F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1.5m3/座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7A1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详见附表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A5C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422*12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EF95B">
            <w:pPr>
              <w:keepNext w:val="0"/>
              <w:keepLines w:val="0"/>
              <w:widowControl/>
              <w:suppressLineNumbers w:val="0"/>
              <w:jc w:val="center"/>
              <w:textAlignment w:val="center"/>
              <w:rPr>
                <w:rFonts w:hint="eastAsia" w:ascii="宋体" w:hAnsi="宋体" w:eastAsia="宋体" w:cs="宋体"/>
                <w:i w:val="0"/>
                <w:iCs w:val="0"/>
                <w:color w:val="002060"/>
                <w:sz w:val="22"/>
                <w:szCs w:val="22"/>
                <w:u w:val="none"/>
              </w:rPr>
            </w:pPr>
          </w:p>
          <w:p w14:paraId="189C34F3">
            <w:pPr>
              <w:pStyle w:val="50"/>
              <w:rPr>
                <w:rFonts w:hint="eastAsia"/>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771AC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p w14:paraId="525ED4B5">
            <w:pPr>
              <w:pStyle w:val="50"/>
              <w:rPr>
                <w:rFonts w:hint="eastAsia"/>
              </w:rPr>
            </w:pPr>
          </w:p>
        </w:tc>
      </w:tr>
      <w:tr w14:paraId="021C6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0" w:type="auto"/>
            <w:tcBorders>
              <w:top w:val="single" w:color="000000" w:sz="4" w:space="0"/>
              <w:left w:val="single" w:color="000000" w:sz="8" w:space="0"/>
              <w:bottom w:val="nil"/>
              <w:right w:val="nil"/>
            </w:tcBorders>
            <w:shd w:val="clear" w:color="auto" w:fill="auto"/>
            <w:noWrap/>
            <w:vAlign w:val="center"/>
          </w:tcPr>
          <w:p w14:paraId="0BE1DD6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A692D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小 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31A8B">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19FD4">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9F1A0">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8E31F">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DF6D7F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p>
          <w:p w14:paraId="148B8C56">
            <w:pPr>
              <w:pStyle w:val="50"/>
              <w:rPr>
                <w:rFonts w:hint="eastAsia"/>
              </w:rPr>
            </w:pPr>
          </w:p>
        </w:tc>
      </w:tr>
      <w:tr w14:paraId="29B79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0" w:type="auto"/>
            <w:tcBorders>
              <w:top w:val="single" w:color="000000" w:sz="4" w:space="0"/>
              <w:left w:val="single" w:color="000000" w:sz="8" w:space="0"/>
              <w:bottom w:val="nil"/>
              <w:right w:val="nil"/>
            </w:tcBorders>
            <w:shd w:val="clear" w:color="auto" w:fill="auto"/>
            <w:noWrap/>
            <w:vAlign w:val="center"/>
          </w:tcPr>
          <w:p w14:paraId="6FC2143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四、</w:t>
            </w:r>
          </w:p>
        </w:tc>
        <w:tc>
          <w:tcPr>
            <w:tcW w:w="0" w:type="auto"/>
            <w:gridSpan w:val="6"/>
            <w:tcBorders>
              <w:top w:val="single" w:color="000000" w:sz="4" w:space="0"/>
              <w:left w:val="single" w:color="000000" w:sz="4" w:space="0"/>
              <w:bottom w:val="single" w:color="000000" w:sz="4" w:space="0"/>
              <w:right w:val="single" w:color="000000" w:sz="8" w:space="0"/>
            </w:tcBorders>
            <w:shd w:val="clear" w:color="auto" w:fill="auto"/>
            <w:vAlign w:val="center"/>
          </w:tcPr>
          <w:p w14:paraId="20D22699">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2024年度建设的污水处理设施</w:t>
            </w:r>
          </w:p>
        </w:tc>
      </w:tr>
      <w:tr w14:paraId="29071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0" w:type="auto"/>
            <w:tcBorders>
              <w:top w:val="single" w:color="000000" w:sz="4" w:space="0"/>
              <w:left w:val="single" w:color="000000" w:sz="8" w:space="0"/>
              <w:bottom w:val="nil"/>
              <w:right w:val="nil"/>
            </w:tcBorders>
            <w:shd w:val="clear" w:color="auto" w:fill="auto"/>
            <w:noWrap/>
            <w:vAlign w:val="center"/>
          </w:tcPr>
          <w:p w14:paraId="68F67DF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5A3E1F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有动力处理设（2座）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7C2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一体化污水处理设施2t/d</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B10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详见附表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BE4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E6D7E">
            <w:pPr>
              <w:keepNext w:val="0"/>
              <w:keepLines w:val="0"/>
              <w:widowControl/>
              <w:suppressLineNumbers w:val="0"/>
              <w:jc w:val="center"/>
              <w:textAlignment w:val="center"/>
              <w:rPr>
                <w:rFonts w:hint="eastAsia" w:ascii="宋体" w:hAnsi="宋体" w:eastAsia="宋体" w:cs="宋体"/>
                <w:i w:val="0"/>
                <w:iCs w:val="0"/>
                <w:color w:val="00B050"/>
                <w:kern w:val="0"/>
                <w:sz w:val="22"/>
                <w:szCs w:val="22"/>
                <w:u w:val="none"/>
                <w:lang w:val="en-US" w:eastAsia="zh-CN" w:bidi="ar"/>
              </w:rPr>
            </w:pPr>
          </w:p>
          <w:p w14:paraId="2BAA8F8E">
            <w:pPr>
              <w:keepNext w:val="0"/>
              <w:keepLines w:val="0"/>
              <w:widowControl/>
              <w:suppressLineNumbers w:val="0"/>
              <w:jc w:val="center"/>
              <w:textAlignment w:val="center"/>
              <w:rPr>
                <w:rFonts w:hint="eastAsia" w:ascii="宋体" w:hAnsi="宋体" w:eastAsia="宋体" w:cs="宋体"/>
                <w:i w:val="0"/>
                <w:iCs w:val="0"/>
                <w:color w:val="00B050"/>
                <w:sz w:val="22"/>
                <w:szCs w:val="22"/>
                <w:u w:val="none"/>
              </w:rPr>
            </w:pPr>
            <w:r>
              <w:rPr>
                <w:rFonts w:hint="eastAsia" w:ascii="宋体" w:hAnsi="宋体" w:eastAsia="宋体" w:cs="宋体"/>
                <w:i w:val="0"/>
                <w:iCs w:val="0"/>
                <w:color w:val="00B050"/>
                <w:kern w:val="0"/>
                <w:sz w:val="22"/>
                <w:szCs w:val="22"/>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E6C95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p w14:paraId="450EC4CB">
            <w:pPr>
              <w:pStyle w:val="50"/>
              <w:rPr>
                <w:rFonts w:hint="eastAsia"/>
              </w:rPr>
            </w:pPr>
          </w:p>
        </w:tc>
      </w:tr>
      <w:tr w14:paraId="303D6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0" w:type="auto"/>
            <w:tcBorders>
              <w:top w:val="single" w:color="000000" w:sz="4" w:space="0"/>
              <w:left w:val="single" w:color="000000" w:sz="8" w:space="0"/>
              <w:bottom w:val="nil"/>
              <w:right w:val="nil"/>
            </w:tcBorders>
            <w:shd w:val="clear" w:color="auto" w:fill="auto"/>
            <w:noWrap/>
            <w:vAlign w:val="center"/>
          </w:tcPr>
          <w:p w14:paraId="62EC0A0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5164E4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无动力处理设施（584座）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AD4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1.5m3/座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358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详见附表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D77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584*12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83278">
            <w:pPr>
              <w:keepNext w:val="0"/>
              <w:keepLines w:val="0"/>
              <w:widowControl/>
              <w:suppressLineNumbers w:val="0"/>
              <w:jc w:val="center"/>
              <w:textAlignment w:val="center"/>
              <w:rPr>
                <w:rFonts w:hint="eastAsia" w:ascii="宋体" w:hAnsi="宋体" w:eastAsia="宋体" w:cs="宋体"/>
                <w:i w:val="0"/>
                <w:iCs w:val="0"/>
                <w:color w:val="002060"/>
                <w:kern w:val="0"/>
                <w:sz w:val="22"/>
                <w:szCs w:val="22"/>
                <w:u w:val="none"/>
                <w:lang w:val="en-US" w:eastAsia="zh-CN" w:bidi="ar"/>
              </w:rPr>
            </w:pPr>
          </w:p>
          <w:p w14:paraId="623D335F">
            <w:pPr>
              <w:keepNext w:val="0"/>
              <w:keepLines w:val="0"/>
              <w:widowControl/>
              <w:suppressLineNumbers w:val="0"/>
              <w:jc w:val="center"/>
              <w:textAlignment w:val="center"/>
              <w:rPr>
                <w:rFonts w:hint="eastAsia" w:ascii="宋体" w:hAnsi="宋体" w:eastAsia="宋体" w:cs="宋体"/>
                <w:i w:val="0"/>
                <w:iCs w:val="0"/>
                <w:color w:val="002060"/>
                <w:sz w:val="22"/>
                <w:szCs w:val="22"/>
                <w:u w:val="none"/>
              </w:rPr>
            </w:pPr>
            <w:r>
              <w:rPr>
                <w:rFonts w:hint="eastAsia" w:ascii="宋体" w:hAnsi="宋体" w:eastAsia="宋体" w:cs="宋体"/>
                <w:i w:val="0"/>
                <w:iCs w:val="0"/>
                <w:color w:val="002060"/>
                <w:kern w:val="0"/>
                <w:sz w:val="22"/>
                <w:szCs w:val="22"/>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E619E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p w14:paraId="658ED123">
            <w:pPr>
              <w:pStyle w:val="50"/>
              <w:rPr>
                <w:rFonts w:hint="eastAsia"/>
              </w:rPr>
            </w:pPr>
          </w:p>
        </w:tc>
      </w:tr>
      <w:tr w14:paraId="3E565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0" w:type="auto"/>
            <w:tcBorders>
              <w:top w:val="single" w:color="000000" w:sz="4" w:space="0"/>
              <w:left w:val="single" w:color="000000" w:sz="8" w:space="0"/>
              <w:bottom w:val="nil"/>
              <w:right w:val="nil"/>
            </w:tcBorders>
            <w:shd w:val="clear" w:color="auto" w:fill="auto"/>
            <w:noWrap/>
            <w:vAlign w:val="center"/>
          </w:tcPr>
          <w:p w14:paraId="411FBD7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B3ABF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CDC57B">
            <w:pPr>
              <w:jc w:val="left"/>
              <w:rPr>
                <w:rFonts w:hint="eastAsia" w:ascii="宋体" w:hAnsi="宋体" w:eastAsia="宋体" w:cs="宋体"/>
                <w:b/>
                <w:bCs/>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1FC50D">
            <w:pPr>
              <w:jc w:val="left"/>
              <w:rPr>
                <w:rFonts w:hint="eastAsia" w:ascii="宋体" w:hAnsi="宋体" w:eastAsia="宋体" w:cs="宋体"/>
                <w:b/>
                <w:bCs/>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C32993">
            <w:pPr>
              <w:jc w:val="left"/>
              <w:rPr>
                <w:rFonts w:hint="eastAsia" w:ascii="宋体" w:hAnsi="宋体" w:eastAsia="宋体" w:cs="宋体"/>
                <w:b/>
                <w:bCs/>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D955AB">
            <w:pPr>
              <w:jc w:val="left"/>
              <w:rPr>
                <w:rFonts w:hint="eastAsia" w:ascii="宋体" w:hAnsi="宋体" w:eastAsia="宋体" w:cs="宋体"/>
                <w:b/>
                <w:bCs/>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99872A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p>
          <w:p w14:paraId="448E45B8">
            <w:pPr>
              <w:pStyle w:val="50"/>
              <w:rPr>
                <w:rFonts w:hint="eastAsia"/>
              </w:rPr>
            </w:pPr>
          </w:p>
        </w:tc>
      </w:tr>
      <w:tr w14:paraId="6572B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B4C0B1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五、</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2DFC987">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污水处理设施间连通管网</w:t>
            </w:r>
          </w:p>
        </w:tc>
      </w:tr>
      <w:tr w14:paraId="06B47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2"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4644B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2132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管网</w:t>
            </w:r>
            <w:r>
              <w:rPr>
                <w:rFonts w:hint="eastAsia" w:ascii="宋体" w:hAnsi="宋体" w:eastAsia="宋体" w:cs="宋体"/>
                <w:b/>
                <w:bCs/>
                <w:i w:val="0"/>
                <w:iCs w:val="0"/>
                <w:color w:val="000000"/>
                <w:kern w:val="0"/>
                <w:sz w:val="22"/>
                <w:szCs w:val="22"/>
                <w:u w:val="none"/>
                <w:lang w:val="en-US" w:eastAsia="zh-CN" w:bidi="ar"/>
              </w:rPr>
              <w:t>（暂估25000m）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882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各类规格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F0A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详按实际路线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52E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25000*12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038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p w14:paraId="113BE855">
            <w:pPr>
              <w:pStyle w:val="50"/>
              <w:rPr>
                <w:rFonts w:hint="eastAsia"/>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EE2CD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p w14:paraId="02499F08">
            <w:pPr>
              <w:pStyle w:val="50"/>
              <w:rPr>
                <w:rFonts w:hint="eastAsia"/>
              </w:rPr>
            </w:pPr>
          </w:p>
        </w:tc>
      </w:tr>
      <w:tr w14:paraId="4381B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1C281C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54298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小 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E35B3">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9C118">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25E19">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1258F">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EAAAA8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p>
          <w:p w14:paraId="19D75891">
            <w:pPr>
              <w:pStyle w:val="50"/>
              <w:rPr>
                <w:rFonts w:hint="eastAsia"/>
              </w:rPr>
            </w:pPr>
          </w:p>
        </w:tc>
      </w:tr>
      <w:tr w14:paraId="6BC84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0" w:type="auto"/>
            <w:gridSpan w:val="6"/>
            <w:tcBorders>
              <w:top w:val="single" w:color="000000" w:sz="4" w:space="0"/>
              <w:left w:val="single" w:color="000000" w:sz="8" w:space="0"/>
              <w:bottom w:val="nil"/>
              <w:right w:val="single" w:color="000000" w:sz="4" w:space="0"/>
            </w:tcBorders>
            <w:shd w:val="clear" w:color="auto" w:fill="EBF1DE"/>
            <w:noWrap/>
            <w:vAlign w:val="center"/>
          </w:tcPr>
          <w:p w14:paraId="5C7F7A76">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cs="宋体"/>
                <w:b/>
                <w:bCs/>
                <w:i w:val="0"/>
                <w:iCs w:val="0"/>
                <w:color w:val="000000"/>
                <w:kern w:val="0"/>
                <w:sz w:val="24"/>
                <w:szCs w:val="24"/>
                <w:u w:val="none"/>
                <w:lang w:val="en-US" w:eastAsia="zh-CN" w:bidi="ar"/>
              </w:rPr>
              <w:t>以上总</w:t>
            </w:r>
            <w:r>
              <w:rPr>
                <w:rFonts w:hint="eastAsia" w:ascii="宋体" w:hAnsi="宋体" w:eastAsia="宋体" w:cs="宋体"/>
                <w:b/>
                <w:bCs/>
                <w:i w:val="0"/>
                <w:iCs w:val="0"/>
                <w:color w:val="000000"/>
                <w:kern w:val="0"/>
                <w:sz w:val="24"/>
                <w:szCs w:val="24"/>
                <w:u w:val="none"/>
                <w:lang w:val="en-US" w:eastAsia="zh-CN" w:bidi="ar"/>
              </w:rPr>
              <w:t>合计（一+二+三+四+五）大写：</w:t>
            </w:r>
            <w:r>
              <w:rPr>
                <w:rFonts w:hint="eastAsia" w:ascii="宋体" w:hAnsi="宋体" w:cs="宋体"/>
                <w:b/>
                <w:bCs/>
                <w:i w:val="0"/>
                <w:iCs w:val="0"/>
                <w:color w:val="000000"/>
                <w:kern w:val="0"/>
                <w:sz w:val="24"/>
                <w:szCs w:val="24"/>
                <w:u w:val="none"/>
                <w:lang w:val="en-US" w:eastAsia="zh-CN" w:bidi="ar"/>
              </w:rPr>
              <w:t xml:space="preserve">                   </w:t>
            </w:r>
            <w:r>
              <w:rPr>
                <w:rFonts w:hint="eastAsia" w:ascii="宋体" w:hAnsi="宋体" w:eastAsia="宋体" w:cs="宋体"/>
                <w:b/>
                <w:bCs/>
                <w:i w:val="0"/>
                <w:iCs w:val="0"/>
                <w:color w:val="000000"/>
                <w:kern w:val="0"/>
                <w:sz w:val="24"/>
                <w:szCs w:val="24"/>
                <w:u w:val="none"/>
                <w:lang w:val="en-US" w:eastAsia="zh-CN" w:bidi="ar"/>
              </w:rPr>
              <w:t>。</w:t>
            </w:r>
          </w:p>
        </w:tc>
        <w:tc>
          <w:tcPr>
            <w:tcW w:w="0" w:type="auto"/>
            <w:tcBorders>
              <w:top w:val="single" w:color="000000" w:sz="4" w:space="0"/>
              <w:left w:val="single" w:color="000000" w:sz="4" w:space="0"/>
              <w:bottom w:val="nil"/>
              <w:right w:val="single" w:color="000000" w:sz="8" w:space="0"/>
            </w:tcBorders>
            <w:shd w:val="clear" w:color="auto" w:fill="EBF1DE"/>
            <w:noWrap/>
            <w:vAlign w:val="center"/>
          </w:tcPr>
          <w:p w14:paraId="35C0906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p>
          <w:p w14:paraId="4F5449E0">
            <w:pPr>
              <w:pStyle w:val="50"/>
              <w:rPr>
                <w:rFonts w:hint="eastAsia"/>
              </w:rPr>
            </w:pPr>
          </w:p>
        </w:tc>
      </w:tr>
      <w:tr w14:paraId="4CBD7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0" w:type="auto"/>
            <w:gridSpan w:val="7"/>
            <w:tcBorders>
              <w:top w:val="single" w:color="000000" w:sz="4" w:space="0"/>
              <w:left w:val="single" w:color="000000" w:sz="8" w:space="0"/>
              <w:bottom w:val="single" w:color="000000" w:sz="8" w:space="0"/>
              <w:right w:val="single" w:color="000000" w:sz="8" w:space="0"/>
            </w:tcBorders>
            <w:shd w:val="clear" w:color="auto" w:fill="auto"/>
            <w:vAlign w:val="top"/>
          </w:tcPr>
          <w:p w14:paraId="57D87A0D">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备注：                                                                                                            </w:t>
            </w:r>
            <w:r>
              <w:rPr>
                <w:rFonts w:hint="eastAsia" w:ascii="宋体" w:hAnsi="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本</w:t>
            </w:r>
            <w:r>
              <w:rPr>
                <w:rFonts w:hint="eastAsia" w:ascii="宋体" w:hAnsi="宋体" w:cs="宋体"/>
                <w:i w:val="0"/>
                <w:iCs w:val="0"/>
                <w:color w:val="000000"/>
                <w:kern w:val="0"/>
                <w:sz w:val="22"/>
                <w:szCs w:val="22"/>
                <w:u w:val="none"/>
                <w:lang w:val="en-US" w:eastAsia="zh-CN" w:bidi="ar"/>
              </w:rPr>
              <w:t>项目报价</w:t>
            </w:r>
            <w:r>
              <w:rPr>
                <w:rFonts w:hint="eastAsia" w:ascii="宋体" w:hAnsi="宋体" w:eastAsia="宋体" w:cs="宋体"/>
                <w:i w:val="0"/>
                <w:iCs w:val="0"/>
                <w:color w:val="000000"/>
                <w:kern w:val="0"/>
                <w:sz w:val="22"/>
                <w:szCs w:val="22"/>
                <w:u w:val="none"/>
                <w:lang w:val="en-US" w:eastAsia="zh-CN" w:bidi="ar"/>
              </w:rPr>
              <w:t>包含但不限于（详见采购文件）人工费、劳动保护费、车油费、通讯费、水质检测费、维修消耗费、设备配件的维修更换费、管理费、利润、保险费、税金（6%）等所有费用在内，但污水提升泵站及污水处理设施自身使用的水电费由采购人承担。                                                                                                   2、上述污水处理设施点位多、分布广泛，请投标供应商自行熟悉踏勘了解现况，中标后不得以不了解情况为由，提出任何增加费用</w:t>
            </w:r>
            <w:r>
              <w:rPr>
                <w:rFonts w:hint="eastAsia" w:ascii="宋体" w:hAnsi="宋体" w:cs="宋体"/>
                <w:i w:val="0"/>
                <w:iCs w:val="0"/>
                <w:color w:val="000000"/>
                <w:kern w:val="0"/>
                <w:sz w:val="22"/>
                <w:szCs w:val="22"/>
                <w:u w:val="none"/>
                <w:lang w:val="en-US" w:eastAsia="zh-CN" w:bidi="ar"/>
              </w:rPr>
              <w:t>的</w:t>
            </w:r>
            <w:r>
              <w:rPr>
                <w:rFonts w:hint="eastAsia" w:ascii="宋体" w:hAnsi="宋体" w:eastAsia="宋体" w:cs="宋体"/>
                <w:i w:val="0"/>
                <w:iCs w:val="0"/>
                <w:color w:val="000000"/>
                <w:kern w:val="0"/>
                <w:sz w:val="22"/>
                <w:szCs w:val="22"/>
                <w:u w:val="none"/>
                <w:lang w:val="en-US" w:eastAsia="zh-CN" w:bidi="ar"/>
              </w:rPr>
              <w:t>要求。</w:t>
            </w:r>
          </w:p>
        </w:tc>
      </w:tr>
    </w:tbl>
    <w:p w14:paraId="0A869C9C">
      <w:pPr>
        <w:spacing w:line="400" w:lineRule="exact"/>
        <w:ind w:firstLine="540"/>
        <w:contextualSpacing/>
        <w:rPr>
          <w:b/>
          <w:sz w:val="28"/>
          <w:szCs w:val="28"/>
        </w:rPr>
      </w:pPr>
    </w:p>
    <w:p w14:paraId="39C81518">
      <w:pPr>
        <w:spacing w:line="400" w:lineRule="exact"/>
        <w:ind w:firstLine="540"/>
        <w:contextualSpacing/>
        <w:rPr>
          <w:sz w:val="32"/>
          <w:szCs w:val="32"/>
        </w:rPr>
      </w:pPr>
      <w:r>
        <w:rPr>
          <w:rFonts w:hint="eastAsia" w:ascii="宋体" w:hAnsi="宋体"/>
          <w:sz w:val="24"/>
          <w:szCs w:val="20"/>
          <w:highlight w:val="none"/>
        </w:rPr>
        <w:t xml:space="preserve"> </w:t>
      </w:r>
    </w:p>
    <w:p w14:paraId="6FDEE256">
      <w:pPr>
        <w:spacing w:line="300" w:lineRule="auto"/>
        <w:outlineLvl w:val="0"/>
        <w:rPr>
          <w:rFonts w:hint="eastAsia" w:eastAsia="宋体"/>
          <w:sz w:val="32"/>
          <w:szCs w:val="32"/>
          <w:lang w:eastAsia="zh-CN"/>
        </w:rPr>
      </w:pPr>
      <w:r>
        <w:rPr>
          <w:sz w:val="32"/>
          <w:szCs w:val="32"/>
        </w:rPr>
        <w:t>附件</w:t>
      </w:r>
      <w:r>
        <w:rPr>
          <w:rFonts w:hint="eastAsia"/>
          <w:sz w:val="32"/>
          <w:szCs w:val="32"/>
          <w:lang w:val="en-US" w:eastAsia="zh-CN"/>
        </w:rPr>
        <w:t>9</w:t>
      </w:r>
    </w:p>
    <w:p w14:paraId="1B538D5A">
      <w:pPr>
        <w:spacing w:line="300" w:lineRule="auto"/>
        <w:jc w:val="center"/>
        <w:outlineLvl w:val="0"/>
        <w:rPr>
          <w:b/>
          <w:bCs/>
          <w:sz w:val="32"/>
          <w:szCs w:val="32"/>
          <w:lang w:bidi="zh-CN"/>
        </w:rPr>
      </w:pPr>
      <w:r>
        <w:rPr>
          <w:b/>
          <w:bCs/>
          <w:sz w:val="32"/>
          <w:szCs w:val="32"/>
          <w:lang w:bidi="zh-CN"/>
        </w:rPr>
        <w:t>中小企业声明函（服务）</w:t>
      </w:r>
    </w:p>
    <w:p w14:paraId="0BDA84B0">
      <w:pPr>
        <w:pStyle w:val="41"/>
        <w:ind w:left="0" w:firstLine="0"/>
      </w:pPr>
    </w:p>
    <w:p w14:paraId="662AB131">
      <w:pPr>
        <w:keepNext w:val="0"/>
        <w:keepLines w:val="0"/>
        <w:pageBreakBefore w:val="0"/>
        <w:widowControl/>
        <w:spacing w:line="360" w:lineRule="auto"/>
        <w:ind w:firstLine="561"/>
        <w:jc w:val="both"/>
        <w:rPr>
          <w:sz w:val="28"/>
          <w:szCs w:val="28"/>
          <w:lang w:bidi="ar"/>
        </w:rPr>
      </w:pPr>
      <w:r>
        <w:rPr>
          <w:sz w:val="28"/>
          <w:szCs w:val="28"/>
          <w:lang w:bidi="ar"/>
        </w:rPr>
        <w:t>本公司郑重声明，根据《政府采购促进中小企业发展管理办法》（财库</w:t>
      </w:r>
      <w:r>
        <w:rPr>
          <w:rFonts w:hint="eastAsia" w:ascii="仿宋_GB2312" w:hAnsi="仿宋_GB2312" w:eastAsia="仿宋_GB2312" w:cs="仿宋_GB2312"/>
          <w:sz w:val="28"/>
          <w:szCs w:val="28"/>
          <w:lang w:bidi="ar"/>
        </w:rPr>
        <w:t>〔</w:t>
      </w:r>
      <w:r>
        <w:rPr>
          <w:sz w:val="28"/>
          <w:szCs w:val="28"/>
          <w:lang w:bidi="ar"/>
        </w:rPr>
        <w:t>2020</w:t>
      </w:r>
      <w:r>
        <w:rPr>
          <w:rFonts w:hint="eastAsia" w:ascii="仿宋_GB2312" w:hAnsi="仿宋_GB2312" w:eastAsia="仿宋_GB2312" w:cs="仿宋_GB2312"/>
          <w:sz w:val="28"/>
          <w:szCs w:val="28"/>
          <w:lang w:bidi="ar"/>
        </w:rPr>
        <w:t>〕</w:t>
      </w:r>
      <w:r>
        <w:rPr>
          <w:sz w:val="28"/>
          <w:szCs w:val="28"/>
          <w:lang w:bidi="ar"/>
        </w:rPr>
        <w:t>46 号）的规定，本公司</w:t>
      </w:r>
      <w:r>
        <w:rPr>
          <w:rFonts w:hint="eastAsia" w:ascii="宋体" w:hAnsi="宋体" w:cs="宋体"/>
          <w:sz w:val="28"/>
          <w:szCs w:val="28"/>
        </w:rPr>
        <w:t>（联合体）</w:t>
      </w:r>
      <w:r>
        <w:rPr>
          <w:sz w:val="28"/>
          <w:szCs w:val="28"/>
          <w:lang w:bidi="ar"/>
        </w:rPr>
        <w:t>参加</w:t>
      </w:r>
      <w:r>
        <w:rPr>
          <w:rFonts w:hint="eastAsia"/>
          <w:sz w:val="28"/>
          <w:szCs w:val="28"/>
          <w:u w:val="single"/>
          <w:lang w:bidi="ar"/>
        </w:rPr>
        <w:t>南通市海门区人民政府海门街道办事处采购农村污水处理设施运维服务项目</w:t>
      </w:r>
      <w:r>
        <w:rPr>
          <w:sz w:val="28"/>
          <w:szCs w:val="28"/>
          <w:u w:val="single"/>
          <w:lang w:bidi="ar"/>
        </w:rPr>
        <w:t>（项目编号：</w:t>
      </w:r>
      <w:r>
        <w:rPr>
          <w:rFonts w:hint="eastAsia"/>
          <w:sz w:val="28"/>
          <w:szCs w:val="28"/>
          <w:u w:val="single"/>
          <w:lang w:bidi="ar"/>
        </w:rPr>
        <w:t>JSZC-320614-NTJC-G2026-0015</w:t>
      </w:r>
      <w:r>
        <w:rPr>
          <w:rFonts w:hint="eastAsia"/>
          <w:sz w:val="28"/>
          <w:szCs w:val="28"/>
          <w:u w:val="single"/>
          <w:lang w:val="en-US" w:eastAsia="zh-CN" w:bidi="ar"/>
        </w:rPr>
        <w:t xml:space="preserve"> </w:t>
      </w:r>
      <w:r>
        <w:rPr>
          <w:sz w:val="28"/>
          <w:szCs w:val="28"/>
          <w:u w:val="single"/>
          <w:lang w:bidi="ar"/>
        </w:rPr>
        <w:t>）</w:t>
      </w:r>
      <w:r>
        <w:rPr>
          <w:sz w:val="28"/>
          <w:szCs w:val="28"/>
          <w:lang w:bidi="ar"/>
        </w:rPr>
        <w:t>采购活动，服务全部由符合政策要求的中小企业承接。相关企业</w:t>
      </w:r>
      <w:r>
        <w:rPr>
          <w:rFonts w:hint="eastAsia" w:ascii="宋体" w:hAnsi="宋体" w:cs="宋体"/>
          <w:sz w:val="28"/>
          <w:szCs w:val="28"/>
        </w:rPr>
        <w:t>（含联合体中的中小企业、签订分包意向协议的中小企业）</w:t>
      </w:r>
      <w:r>
        <w:rPr>
          <w:sz w:val="28"/>
          <w:szCs w:val="28"/>
          <w:lang w:bidi="ar"/>
        </w:rPr>
        <w:t xml:space="preserve">的具体情况如下：  </w:t>
      </w:r>
    </w:p>
    <w:p w14:paraId="48556AF3">
      <w:pPr>
        <w:widowControl/>
        <w:spacing w:line="360" w:lineRule="auto"/>
        <w:ind w:firstLine="560"/>
        <w:jc w:val="left"/>
        <w:rPr>
          <w:sz w:val="28"/>
          <w:szCs w:val="28"/>
          <w:lang w:bidi="ar"/>
        </w:rPr>
      </w:pPr>
      <w:r>
        <w:rPr>
          <w:rFonts w:hint="eastAsia"/>
          <w:sz w:val="28"/>
          <w:szCs w:val="28"/>
          <w:u w:val="single"/>
          <w:lang w:bidi="ar"/>
        </w:rPr>
        <w:t>污水处理设施运维服务</w:t>
      </w:r>
      <w:r>
        <w:rPr>
          <w:sz w:val="28"/>
          <w:szCs w:val="28"/>
          <w:lang w:bidi="ar"/>
        </w:rPr>
        <w:t>，属于</w:t>
      </w:r>
      <w:r>
        <w:rPr>
          <w:rFonts w:hint="eastAsia"/>
          <w:sz w:val="28"/>
          <w:szCs w:val="28"/>
          <w:u w:val="single"/>
          <w:lang w:bidi="ar"/>
        </w:rPr>
        <w:t>其他未列明行业</w:t>
      </w:r>
      <w:r>
        <w:rPr>
          <w:sz w:val="28"/>
          <w:szCs w:val="28"/>
          <w:lang w:bidi="ar"/>
        </w:rPr>
        <w:t>；承接企业为</w:t>
      </w:r>
      <w:r>
        <w:rPr>
          <w:sz w:val="28"/>
          <w:szCs w:val="28"/>
          <w:u w:val="single"/>
          <w:lang w:bidi="ar"/>
        </w:rPr>
        <w:t>（企业名称）</w:t>
      </w:r>
      <w:r>
        <w:rPr>
          <w:sz w:val="28"/>
          <w:szCs w:val="28"/>
          <w:lang w:bidi="ar"/>
        </w:rPr>
        <w:t>，营业收入为</w:t>
      </w:r>
      <w:r>
        <w:rPr>
          <w:sz w:val="28"/>
          <w:szCs w:val="28"/>
          <w:u w:val="single"/>
          <w:lang w:bidi="ar"/>
        </w:rPr>
        <w:t xml:space="preserve">    </w:t>
      </w:r>
      <w:r>
        <w:rPr>
          <w:sz w:val="28"/>
          <w:szCs w:val="28"/>
          <w:lang w:bidi="ar"/>
        </w:rPr>
        <w:t xml:space="preserve">  万元，资产总额为</w:t>
      </w:r>
      <w:r>
        <w:rPr>
          <w:sz w:val="28"/>
          <w:szCs w:val="28"/>
          <w:u w:val="single"/>
          <w:lang w:bidi="ar"/>
        </w:rPr>
        <w:t xml:space="preserve">      </w:t>
      </w:r>
      <w:r>
        <w:rPr>
          <w:sz w:val="28"/>
          <w:szCs w:val="28"/>
          <w:lang w:bidi="ar"/>
        </w:rPr>
        <w:t>万元，属于</w:t>
      </w:r>
      <w:r>
        <w:rPr>
          <w:sz w:val="28"/>
          <w:szCs w:val="28"/>
          <w:u w:val="single"/>
          <w:lang w:bidi="ar"/>
        </w:rPr>
        <w:t>中型企业、小型企业、微型企业</w:t>
      </w:r>
      <w:r>
        <w:rPr>
          <w:sz w:val="28"/>
          <w:szCs w:val="28"/>
          <w:lang w:bidi="ar"/>
        </w:rPr>
        <w:t>。</w:t>
      </w:r>
    </w:p>
    <w:p w14:paraId="78E7BB11">
      <w:pPr>
        <w:widowControl/>
        <w:spacing w:line="360" w:lineRule="auto"/>
        <w:ind w:firstLine="560"/>
        <w:jc w:val="left"/>
        <w:rPr>
          <w:sz w:val="28"/>
          <w:szCs w:val="28"/>
          <w:lang w:bidi="ar"/>
        </w:rPr>
      </w:pPr>
      <w:r>
        <w:rPr>
          <w:sz w:val="28"/>
          <w:szCs w:val="28"/>
          <w:lang w:bidi="ar"/>
        </w:rPr>
        <w:t>以上企业，不属于大企业的分支机构，不存在控股股东为大企业的情形，也不存在与大企业的负责人为同一人的情形。</w:t>
      </w:r>
    </w:p>
    <w:p w14:paraId="2ABF436D">
      <w:pPr>
        <w:widowControl/>
        <w:spacing w:line="360" w:lineRule="auto"/>
        <w:ind w:firstLine="560"/>
        <w:jc w:val="left"/>
        <w:rPr>
          <w:sz w:val="28"/>
          <w:szCs w:val="28"/>
          <w:lang w:bidi="ar"/>
        </w:rPr>
      </w:pPr>
      <w:r>
        <w:rPr>
          <w:sz w:val="28"/>
          <w:szCs w:val="28"/>
          <w:lang w:bidi="ar"/>
        </w:rPr>
        <w:t xml:space="preserve">本企业对上述声明内容的真实性负责。如有虚假，将依法承担相应责任。 </w:t>
      </w:r>
    </w:p>
    <w:p w14:paraId="140F486D">
      <w:pPr>
        <w:widowControl/>
        <w:spacing w:line="360" w:lineRule="auto"/>
        <w:jc w:val="left"/>
        <w:rPr>
          <w:sz w:val="28"/>
          <w:szCs w:val="28"/>
          <w:lang w:bidi="ar"/>
        </w:rPr>
      </w:pPr>
    </w:p>
    <w:p w14:paraId="6A3B0BFF">
      <w:pPr>
        <w:widowControl/>
        <w:spacing w:line="360" w:lineRule="auto"/>
        <w:ind w:firstLine="5040"/>
        <w:jc w:val="left"/>
        <w:rPr>
          <w:sz w:val="28"/>
          <w:szCs w:val="28"/>
        </w:rPr>
      </w:pPr>
      <w:r>
        <w:rPr>
          <w:sz w:val="28"/>
          <w:szCs w:val="28"/>
          <w:lang w:bidi="ar"/>
        </w:rPr>
        <w:t xml:space="preserve">企业名称（盖章）： </w:t>
      </w:r>
    </w:p>
    <w:p w14:paraId="4F3B7F31">
      <w:pPr>
        <w:spacing w:line="460" w:lineRule="exact"/>
        <w:jc w:val="center"/>
        <w:rPr>
          <w:bCs/>
          <w:sz w:val="24"/>
          <w:szCs w:val="21"/>
        </w:rPr>
      </w:pPr>
      <w:r>
        <w:rPr>
          <w:rFonts w:hint="eastAsia"/>
          <w:sz w:val="28"/>
          <w:szCs w:val="28"/>
          <w:lang w:bidi="ar"/>
        </w:rPr>
        <w:t xml:space="preserve">                           </w:t>
      </w:r>
      <w:r>
        <w:rPr>
          <w:sz w:val="28"/>
          <w:szCs w:val="28"/>
          <w:lang w:bidi="ar"/>
        </w:rPr>
        <w:t>日 期：</w:t>
      </w:r>
      <w:r>
        <w:rPr>
          <w:bCs/>
          <w:sz w:val="24"/>
          <w:szCs w:val="21"/>
          <w:u w:val="single"/>
        </w:rPr>
        <w:t xml:space="preserve"> </w:t>
      </w:r>
      <w:r>
        <w:rPr>
          <w:rFonts w:hint="eastAsia"/>
          <w:bCs/>
          <w:sz w:val="24"/>
          <w:szCs w:val="21"/>
          <w:u w:val="single"/>
        </w:rPr>
        <w:t xml:space="preserve">  </w:t>
      </w:r>
      <w:r>
        <w:rPr>
          <w:bCs/>
          <w:sz w:val="24"/>
          <w:szCs w:val="21"/>
          <w:u w:val="single"/>
        </w:rPr>
        <w:t xml:space="preserve">   </w:t>
      </w:r>
      <w:r>
        <w:rPr>
          <w:bCs/>
          <w:sz w:val="24"/>
          <w:szCs w:val="21"/>
        </w:rPr>
        <w:t>年</w:t>
      </w:r>
      <w:r>
        <w:rPr>
          <w:bCs/>
          <w:sz w:val="24"/>
          <w:szCs w:val="21"/>
          <w:u w:val="single"/>
        </w:rPr>
        <w:t xml:space="preserve">    </w:t>
      </w:r>
      <w:r>
        <w:rPr>
          <w:bCs/>
          <w:sz w:val="24"/>
          <w:szCs w:val="21"/>
        </w:rPr>
        <w:t>月</w:t>
      </w:r>
      <w:r>
        <w:rPr>
          <w:bCs/>
          <w:sz w:val="24"/>
          <w:szCs w:val="21"/>
          <w:u w:val="single"/>
        </w:rPr>
        <w:t xml:space="preserve">    </w:t>
      </w:r>
      <w:r>
        <w:rPr>
          <w:bCs/>
          <w:sz w:val="24"/>
          <w:szCs w:val="21"/>
        </w:rPr>
        <w:t>日</w:t>
      </w:r>
    </w:p>
    <w:p w14:paraId="375751A9">
      <w:pPr>
        <w:widowControl/>
        <w:spacing w:line="360" w:lineRule="auto"/>
        <w:ind w:firstLine="5040"/>
        <w:jc w:val="left"/>
        <w:rPr>
          <w:sz w:val="28"/>
          <w:szCs w:val="28"/>
        </w:rPr>
      </w:pPr>
      <w:r>
        <w:rPr>
          <w:sz w:val="28"/>
          <w:szCs w:val="28"/>
          <w:lang w:bidi="ar"/>
        </w:rPr>
        <w:t xml:space="preserve"> </w:t>
      </w:r>
    </w:p>
    <w:p w14:paraId="6927F579">
      <w:pPr>
        <w:pStyle w:val="13"/>
        <w:rPr>
          <w:b/>
          <w:bCs/>
          <w:sz w:val="32"/>
          <w:szCs w:val="32"/>
          <w:lang w:bidi="zh-CN"/>
        </w:rPr>
      </w:pPr>
    </w:p>
    <w:p w14:paraId="07DAB823">
      <w:pPr>
        <w:widowControl/>
        <w:spacing w:line="360" w:lineRule="auto"/>
        <w:ind w:firstLine="560"/>
        <w:jc w:val="left"/>
        <w:rPr>
          <w:sz w:val="21"/>
          <w:szCs w:val="21"/>
          <w:lang w:bidi="ar"/>
        </w:rPr>
      </w:pPr>
      <w:r>
        <w:rPr>
          <w:sz w:val="21"/>
          <w:szCs w:val="21"/>
          <w:lang w:bidi="ar"/>
        </w:rPr>
        <w:t xml:space="preserve">注：1.如项目属性为“服务”，请按本表填写。 </w:t>
      </w:r>
    </w:p>
    <w:p w14:paraId="6B6FC3C5">
      <w:pPr>
        <w:widowControl/>
        <w:spacing w:line="360" w:lineRule="auto"/>
        <w:ind w:firstLine="560"/>
        <w:jc w:val="left"/>
        <w:rPr>
          <w:sz w:val="21"/>
          <w:szCs w:val="21"/>
          <w:lang w:bidi="ar"/>
        </w:rPr>
      </w:pPr>
      <w:r>
        <w:rPr>
          <w:sz w:val="21"/>
          <w:szCs w:val="21"/>
          <w:lang w:bidi="ar"/>
        </w:rPr>
        <w:t xml:space="preserve">2.从业人员、营业收入、资产总额填报上一年度数据，无上一年度数据的新成立企业可不填报。  </w:t>
      </w:r>
    </w:p>
    <w:p w14:paraId="0630919B">
      <w:pPr>
        <w:widowControl/>
        <w:spacing w:line="360" w:lineRule="auto"/>
        <w:ind w:firstLine="560"/>
        <w:jc w:val="left"/>
        <w:rPr>
          <w:sz w:val="21"/>
          <w:szCs w:val="21"/>
          <w:lang w:bidi="ar"/>
        </w:rPr>
      </w:pPr>
      <w:r>
        <w:rPr>
          <w:sz w:val="21"/>
          <w:szCs w:val="21"/>
          <w:lang w:bidi="ar"/>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62ADF573">
      <w:pPr>
        <w:widowControl/>
        <w:spacing w:line="360" w:lineRule="auto"/>
        <w:ind w:firstLine="560"/>
        <w:jc w:val="left"/>
        <w:rPr>
          <w:sz w:val="21"/>
          <w:szCs w:val="21"/>
          <w:lang w:bidi="ar"/>
        </w:rPr>
      </w:pPr>
      <w:r>
        <w:rPr>
          <w:rFonts w:hint="eastAsia"/>
          <w:sz w:val="21"/>
          <w:szCs w:val="21"/>
          <w:lang w:bidi="ar"/>
        </w:rPr>
        <w:t>4.建筑业划型标准：营业收人80000万元以下或资产总额80000万元以下的为中小微型企业。其中，营业收人6000万元及以上，且资产总额5000万元及以上的为中型企业；营业收人300万元及以上，且资产总额300万元及以上的为小型企业；营业收人300万元以下或资产总额300万元以下的为微型企业。</w:t>
      </w:r>
    </w:p>
    <w:p w14:paraId="7C7C359A">
      <w:pPr>
        <w:rPr>
          <w:sz w:val="32"/>
          <w:szCs w:val="32"/>
        </w:rPr>
      </w:pPr>
      <w:r>
        <w:rPr>
          <w:sz w:val="32"/>
          <w:szCs w:val="32"/>
        </w:rPr>
        <w:br w:type="page"/>
      </w:r>
    </w:p>
    <w:p w14:paraId="2215F8D9">
      <w:pPr>
        <w:spacing w:line="300" w:lineRule="auto"/>
        <w:jc w:val="left"/>
        <w:outlineLvl w:val="0"/>
        <w:rPr>
          <w:rFonts w:hint="default" w:eastAsia="宋体"/>
          <w:sz w:val="32"/>
          <w:szCs w:val="32"/>
          <w:lang w:val="en-US" w:eastAsia="zh-CN"/>
        </w:rPr>
      </w:pPr>
      <w:r>
        <w:rPr>
          <w:sz w:val="32"/>
          <w:szCs w:val="32"/>
        </w:rPr>
        <w:t>附件</w:t>
      </w:r>
      <w:r>
        <w:rPr>
          <w:rFonts w:hint="eastAsia"/>
          <w:sz w:val="32"/>
          <w:szCs w:val="32"/>
          <w:lang w:val="en-US" w:eastAsia="zh-CN"/>
        </w:rPr>
        <w:t>10</w:t>
      </w:r>
    </w:p>
    <w:p w14:paraId="1C42D8F2">
      <w:pPr>
        <w:spacing w:line="460" w:lineRule="exact"/>
        <w:jc w:val="center"/>
        <w:rPr>
          <w:b/>
          <w:sz w:val="32"/>
          <w:szCs w:val="32"/>
        </w:rPr>
      </w:pPr>
      <w:r>
        <w:rPr>
          <w:b/>
          <w:sz w:val="32"/>
          <w:szCs w:val="32"/>
        </w:rPr>
        <w:t>残疾人福利性单位声明函</w:t>
      </w:r>
    </w:p>
    <w:p w14:paraId="49B1D3CF">
      <w:pPr>
        <w:spacing w:line="588" w:lineRule="exact"/>
        <w:ind w:firstLine="560"/>
        <w:rPr>
          <w:sz w:val="28"/>
          <w:szCs w:val="28"/>
        </w:rPr>
      </w:pPr>
      <w:r>
        <w:rPr>
          <w:sz w:val="28"/>
          <w:szCs w:val="28"/>
        </w:rPr>
        <w:t>本单位郑重声明，根据《财政部 民政部 中国残疾人联合会关于促进残疾人就业政府采购政策的通知》（财库</w:t>
      </w:r>
      <w:r>
        <w:rPr>
          <w:rFonts w:hint="eastAsia" w:ascii="仿宋_GB2312" w:hAnsi="仿宋_GB2312" w:eastAsia="仿宋_GB2312" w:cs="仿宋_GB2312"/>
          <w:sz w:val="28"/>
          <w:szCs w:val="28"/>
        </w:rPr>
        <w:t>〔</w:t>
      </w:r>
      <w:r>
        <w:rPr>
          <w:sz w:val="28"/>
          <w:szCs w:val="28"/>
        </w:rPr>
        <w:t>2017</w:t>
      </w:r>
      <w:r>
        <w:rPr>
          <w:rFonts w:hint="eastAsia" w:ascii="仿宋_GB2312" w:hAnsi="仿宋_GB2312" w:eastAsia="仿宋_GB2312" w:cs="仿宋_GB2312"/>
          <w:sz w:val="28"/>
          <w:szCs w:val="28"/>
        </w:rPr>
        <w:t>〕</w:t>
      </w:r>
      <w:r>
        <w:rPr>
          <w:sz w:val="28"/>
          <w:szCs w:val="28"/>
        </w:rPr>
        <w:t>141号）的规定，本单位为符合条件的残疾人福利性单位，且本单位参加______单位的项目编号为______的</w:t>
      </w:r>
      <w:r>
        <w:rPr>
          <w:sz w:val="28"/>
          <w:szCs w:val="28"/>
          <w:u w:val="single"/>
        </w:rPr>
        <w:t xml:space="preserve">       </w:t>
      </w:r>
      <w:r>
        <w:rPr>
          <w:sz w:val="28"/>
          <w:szCs w:val="28"/>
        </w:rPr>
        <w:t>项目采购活动提供本单位制造的货物（由本单位承担工程/提供服务），或者提供其他残疾人福利性单位制造的货物（不包括使用非残疾人福利性单位注册商标的货物）。</w:t>
      </w:r>
    </w:p>
    <w:p w14:paraId="7271C4F0">
      <w:pPr>
        <w:spacing w:line="588" w:lineRule="exact"/>
        <w:ind w:firstLine="560"/>
        <w:rPr>
          <w:sz w:val="28"/>
          <w:szCs w:val="28"/>
        </w:rPr>
      </w:pPr>
      <w:r>
        <w:rPr>
          <w:sz w:val="28"/>
          <w:szCs w:val="28"/>
        </w:rPr>
        <w:t>本单位对上述声明的真实性负责。如有虚假，将依法承担相应责任。</w:t>
      </w:r>
    </w:p>
    <w:p w14:paraId="38059EDD">
      <w:pPr>
        <w:spacing w:line="588" w:lineRule="exact"/>
        <w:rPr>
          <w:sz w:val="28"/>
          <w:szCs w:val="28"/>
        </w:rPr>
      </w:pPr>
    </w:p>
    <w:p w14:paraId="5F2D0983">
      <w:pPr>
        <w:spacing w:line="588" w:lineRule="exact"/>
        <w:rPr>
          <w:sz w:val="28"/>
          <w:szCs w:val="28"/>
        </w:rPr>
      </w:pPr>
      <w:r>
        <w:rPr>
          <w:sz w:val="28"/>
          <w:szCs w:val="28"/>
        </w:rPr>
        <w:t xml:space="preserve">注：1.供应商如不提供此声明函，价格将不做相应扣除。 </w:t>
      </w:r>
    </w:p>
    <w:p w14:paraId="6892FBB8">
      <w:pPr>
        <w:spacing w:line="588" w:lineRule="exact"/>
        <w:ind w:firstLine="560"/>
        <w:rPr>
          <w:sz w:val="28"/>
          <w:szCs w:val="28"/>
        </w:rPr>
      </w:pPr>
      <w:r>
        <w:rPr>
          <w:sz w:val="28"/>
          <w:szCs w:val="28"/>
        </w:rPr>
        <w:t>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6C822DE0">
      <w:pPr>
        <w:spacing w:line="588" w:lineRule="exact"/>
        <w:ind w:firstLine="584"/>
        <w:rPr>
          <w:spacing w:val="6"/>
          <w:sz w:val="28"/>
          <w:szCs w:val="28"/>
        </w:rPr>
      </w:pPr>
    </w:p>
    <w:p w14:paraId="05DAED79">
      <w:pPr>
        <w:spacing w:line="588" w:lineRule="exact"/>
        <w:ind w:firstLine="584"/>
        <w:rPr>
          <w:spacing w:val="6"/>
          <w:sz w:val="28"/>
          <w:szCs w:val="28"/>
        </w:rPr>
      </w:pPr>
    </w:p>
    <w:p w14:paraId="6F0EAC2B">
      <w:pPr>
        <w:spacing w:line="588" w:lineRule="exact"/>
        <w:ind w:firstLine="584"/>
        <w:rPr>
          <w:spacing w:val="6"/>
          <w:sz w:val="28"/>
          <w:szCs w:val="28"/>
        </w:rPr>
      </w:pPr>
    </w:p>
    <w:p w14:paraId="51D33990">
      <w:pPr>
        <w:spacing w:line="588" w:lineRule="exact"/>
        <w:ind w:firstLine="584"/>
        <w:rPr>
          <w:spacing w:val="6"/>
          <w:sz w:val="28"/>
          <w:szCs w:val="28"/>
        </w:rPr>
      </w:pPr>
    </w:p>
    <w:p w14:paraId="108B0F92">
      <w:pPr>
        <w:tabs>
          <w:tab w:val="left" w:pos="4860"/>
        </w:tabs>
        <w:spacing w:line="588" w:lineRule="exact"/>
        <w:ind w:right="1560" w:firstLine="584"/>
        <w:jc w:val="center"/>
        <w:rPr>
          <w:sz w:val="28"/>
          <w:szCs w:val="28"/>
        </w:rPr>
      </w:pPr>
      <w:r>
        <w:rPr>
          <w:spacing w:val="6"/>
          <w:sz w:val="28"/>
          <w:szCs w:val="28"/>
        </w:rPr>
        <w:t xml:space="preserve">             </w:t>
      </w:r>
      <w:r>
        <w:rPr>
          <w:sz w:val="28"/>
          <w:szCs w:val="28"/>
        </w:rPr>
        <w:t xml:space="preserve">           供应商全称（盖章）：</w:t>
      </w:r>
    </w:p>
    <w:p w14:paraId="1F06F062">
      <w:pPr>
        <w:spacing w:line="460" w:lineRule="exact"/>
        <w:jc w:val="center"/>
        <w:rPr>
          <w:bCs/>
          <w:sz w:val="24"/>
          <w:szCs w:val="21"/>
        </w:rPr>
      </w:pPr>
      <w:r>
        <w:rPr>
          <w:rFonts w:hint="eastAsia"/>
          <w:sz w:val="28"/>
          <w:szCs w:val="28"/>
        </w:rPr>
        <w:t xml:space="preserve">                       </w:t>
      </w:r>
      <w:r>
        <w:rPr>
          <w:sz w:val="28"/>
          <w:szCs w:val="28"/>
        </w:rPr>
        <w:t>日  期：</w:t>
      </w:r>
      <w:r>
        <w:rPr>
          <w:bCs/>
          <w:sz w:val="24"/>
          <w:szCs w:val="21"/>
          <w:u w:val="single"/>
        </w:rPr>
        <w:t xml:space="preserve"> </w:t>
      </w:r>
      <w:r>
        <w:rPr>
          <w:rFonts w:hint="eastAsia"/>
          <w:bCs/>
          <w:sz w:val="24"/>
          <w:szCs w:val="21"/>
          <w:u w:val="single"/>
        </w:rPr>
        <w:t xml:space="preserve">  </w:t>
      </w:r>
      <w:r>
        <w:rPr>
          <w:bCs/>
          <w:sz w:val="24"/>
          <w:szCs w:val="21"/>
          <w:u w:val="single"/>
        </w:rPr>
        <w:t xml:space="preserve">   </w:t>
      </w:r>
      <w:r>
        <w:rPr>
          <w:bCs/>
          <w:sz w:val="24"/>
          <w:szCs w:val="21"/>
        </w:rPr>
        <w:t>年</w:t>
      </w:r>
      <w:r>
        <w:rPr>
          <w:bCs/>
          <w:sz w:val="24"/>
          <w:szCs w:val="21"/>
          <w:u w:val="single"/>
        </w:rPr>
        <w:t xml:space="preserve">    </w:t>
      </w:r>
      <w:r>
        <w:rPr>
          <w:bCs/>
          <w:sz w:val="24"/>
          <w:szCs w:val="21"/>
        </w:rPr>
        <w:t>月</w:t>
      </w:r>
      <w:r>
        <w:rPr>
          <w:bCs/>
          <w:sz w:val="24"/>
          <w:szCs w:val="21"/>
          <w:u w:val="single"/>
        </w:rPr>
        <w:t xml:space="preserve">    </w:t>
      </w:r>
      <w:r>
        <w:rPr>
          <w:bCs/>
          <w:sz w:val="24"/>
          <w:szCs w:val="21"/>
        </w:rPr>
        <w:t>日</w:t>
      </w:r>
    </w:p>
    <w:p w14:paraId="546EDCF3">
      <w:pPr>
        <w:tabs>
          <w:tab w:val="left" w:pos="4860"/>
        </w:tabs>
        <w:spacing w:line="588" w:lineRule="exact"/>
        <w:ind w:right="1560" w:firstLine="560"/>
        <w:jc w:val="center"/>
        <w:rPr>
          <w:sz w:val="28"/>
          <w:szCs w:val="28"/>
        </w:rPr>
      </w:pPr>
    </w:p>
    <w:p w14:paraId="04F8D63C">
      <w:pPr>
        <w:ind w:firstLine="420"/>
        <w:rPr>
          <w:sz w:val="28"/>
          <w:szCs w:val="28"/>
        </w:rPr>
      </w:pPr>
    </w:p>
    <w:p w14:paraId="7AD636C3">
      <w:pPr>
        <w:spacing w:line="300" w:lineRule="auto"/>
        <w:outlineLvl w:val="0"/>
        <w:rPr>
          <w:sz w:val="28"/>
          <w:szCs w:val="28"/>
        </w:rPr>
      </w:pPr>
    </w:p>
    <w:p w14:paraId="02CDBCFE">
      <w:pPr>
        <w:spacing w:line="300" w:lineRule="auto"/>
        <w:outlineLvl w:val="0"/>
        <w:rPr>
          <w:sz w:val="28"/>
          <w:szCs w:val="28"/>
        </w:rPr>
      </w:pPr>
    </w:p>
    <w:p w14:paraId="12CBBF50">
      <w:pPr>
        <w:spacing w:line="300" w:lineRule="auto"/>
        <w:outlineLvl w:val="0"/>
        <w:rPr>
          <w:rFonts w:hint="default" w:eastAsia="宋体"/>
          <w:sz w:val="32"/>
          <w:szCs w:val="32"/>
          <w:lang w:val="en-US" w:eastAsia="zh-CN"/>
        </w:rPr>
      </w:pPr>
      <w:r>
        <w:rPr>
          <w:sz w:val="32"/>
          <w:szCs w:val="32"/>
        </w:rPr>
        <w:br w:type="page" w:clear="all"/>
      </w:r>
      <w:r>
        <w:rPr>
          <w:sz w:val="32"/>
          <w:szCs w:val="32"/>
        </w:rPr>
        <w:t>附件</w:t>
      </w:r>
      <w:r>
        <w:rPr>
          <w:rFonts w:hint="eastAsia"/>
          <w:sz w:val="32"/>
          <w:szCs w:val="32"/>
          <w:lang w:val="en-US" w:eastAsia="zh-CN"/>
        </w:rPr>
        <w:t>11</w:t>
      </w:r>
    </w:p>
    <w:p w14:paraId="77E62939">
      <w:pPr>
        <w:spacing w:line="420" w:lineRule="exact"/>
        <w:jc w:val="center"/>
        <w:outlineLvl w:val="3"/>
        <w:rPr>
          <w:b/>
          <w:bCs/>
          <w:sz w:val="32"/>
          <w:szCs w:val="32"/>
        </w:rPr>
      </w:pPr>
      <w:r>
        <w:rPr>
          <w:b/>
          <w:bCs/>
          <w:sz w:val="32"/>
          <w:szCs w:val="32"/>
        </w:rPr>
        <w:t>监狱和戒毒企业证明材料</w:t>
      </w:r>
    </w:p>
    <w:p w14:paraId="2DA9D81A">
      <w:pPr>
        <w:spacing w:line="420" w:lineRule="exact"/>
        <w:ind w:firstLine="495"/>
        <w:rPr>
          <w:sz w:val="28"/>
          <w:szCs w:val="28"/>
        </w:rPr>
      </w:pPr>
    </w:p>
    <w:p w14:paraId="596D9810">
      <w:pPr>
        <w:spacing w:line="420" w:lineRule="exact"/>
        <w:ind w:firstLine="498"/>
        <w:rPr>
          <w:b/>
          <w:sz w:val="28"/>
          <w:szCs w:val="28"/>
        </w:rPr>
      </w:pPr>
      <w:r>
        <w:rPr>
          <w:b/>
          <w:sz w:val="28"/>
          <w:szCs w:val="28"/>
        </w:rPr>
        <w:t>（格式自拟）</w:t>
      </w:r>
    </w:p>
    <w:p w14:paraId="329AE6B9">
      <w:pPr>
        <w:spacing w:line="420" w:lineRule="exact"/>
        <w:ind w:firstLine="495"/>
        <w:rPr>
          <w:sz w:val="28"/>
          <w:szCs w:val="28"/>
        </w:rPr>
      </w:pPr>
    </w:p>
    <w:p w14:paraId="2CC19C46">
      <w:pPr>
        <w:spacing w:line="420" w:lineRule="exact"/>
        <w:ind w:firstLine="660"/>
        <w:rPr>
          <w:sz w:val="28"/>
          <w:szCs w:val="28"/>
        </w:rPr>
      </w:pPr>
      <w:r>
        <w:rPr>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4BA2D81C">
      <w:pPr>
        <w:spacing w:line="300" w:lineRule="auto"/>
        <w:outlineLvl w:val="0"/>
        <w:rPr>
          <w:sz w:val="28"/>
          <w:szCs w:val="28"/>
        </w:rPr>
      </w:pPr>
    </w:p>
    <w:p w14:paraId="2B20C13E">
      <w:pPr>
        <w:spacing w:line="420" w:lineRule="exact"/>
        <w:rPr>
          <w:sz w:val="28"/>
          <w:szCs w:val="28"/>
        </w:rPr>
      </w:pPr>
      <w:r>
        <w:rPr>
          <w:sz w:val="28"/>
          <w:szCs w:val="28"/>
        </w:rPr>
        <w:t xml:space="preserve">注：1.供应商如不提供此声明函，价格将不做相应扣除。 </w:t>
      </w:r>
    </w:p>
    <w:p w14:paraId="66BB2F17">
      <w:pPr>
        <w:spacing w:line="420" w:lineRule="exact"/>
        <w:ind w:firstLine="560"/>
        <w:rPr>
          <w:sz w:val="28"/>
          <w:szCs w:val="28"/>
        </w:rPr>
      </w:pPr>
      <w:r>
        <w:rPr>
          <w:sz w:val="28"/>
          <w:szCs w:val="28"/>
        </w:rPr>
        <w:t>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p>
    <w:p w14:paraId="2200192B">
      <w:pPr>
        <w:spacing w:line="300" w:lineRule="auto"/>
        <w:outlineLvl w:val="0"/>
        <w:rPr>
          <w:sz w:val="28"/>
          <w:szCs w:val="28"/>
        </w:rPr>
      </w:pPr>
    </w:p>
    <w:p w14:paraId="0EA45DCF">
      <w:pPr>
        <w:spacing w:line="300" w:lineRule="auto"/>
        <w:outlineLvl w:val="0"/>
        <w:rPr>
          <w:sz w:val="28"/>
          <w:szCs w:val="28"/>
        </w:rPr>
      </w:pPr>
    </w:p>
    <w:p w14:paraId="234A84A6">
      <w:pPr>
        <w:spacing w:line="300" w:lineRule="auto"/>
        <w:outlineLvl w:val="0"/>
        <w:rPr>
          <w:sz w:val="28"/>
          <w:szCs w:val="28"/>
        </w:rPr>
      </w:pPr>
    </w:p>
    <w:p w14:paraId="0B2C6058">
      <w:pPr>
        <w:spacing w:line="300" w:lineRule="auto"/>
        <w:outlineLvl w:val="0"/>
        <w:rPr>
          <w:sz w:val="28"/>
          <w:szCs w:val="28"/>
        </w:rPr>
      </w:pPr>
    </w:p>
    <w:p w14:paraId="3D1A1B7B">
      <w:pPr>
        <w:spacing w:line="300" w:lineRule="auto"/>
        <w:outlineLvl w:val="0"/>
        <w:rPr>
          <w:sz w:val="28"/>
          <w:szCs w:val="28"/>
        </w:rPr>
      </w:pPr>
    </w:p>
    <w:p w14:paraId="34F38E62">
      <w:pPr>
        <w:spacing w:line="300" w:lineRule="auto"/>
        <w:outlineLvl w:val="0"/>
        <w:rPr>
          <w:sz w:val="28"/>
          <w:szCs w:val="28"/>
        </w:rPr>
      </w:pPr>
    </w:p>
    <w:p w14:paraId="12DDB318">
      <w:pPr>
        <w:spacing w:line="300" w:lineRule="auto"/>
        <w:outlineLvl w:val="0"/>
        <w:rPr>
          <w:sz w:val="28"/>
          <w:szCs w:val="28"/>
        </w:rPr>
      </w:pPr>
    </w:p>
    <w:p w14:paraId="0F48F82B">
      <w:pPr>
        <w:spacing w:line="300" w:lineRule="auto"/>
        <w:outlineLvl w:val="0"/>
        <w:rPr>
          <w:sz w:val="28"/>
          <w:szCs w:val="28"/>
        </w:rPr>
      </w:pPr>
    </w:p>
    <w:p w14:paraId="1EBBD666">
      <w:pPr>
        <w:spacing w:line="300" w:lineRule="auto"/>
        <w:outlineLvl w:val="0"/>
        <w:rPr>
          <w:sz w:val="28"/>
          <w:szCs w:val="28"/>
        </w:rPr>
      </w:pPr>
    </w:p>
    <w:p w14:paraId="6244B146">
      <w:pPr>
        <w:spacing w:line="300" w:lineRule="auto"/>
        <w:outlineLvl w:val="0"/>
        <w:rPr>
          <w:sz w:val="28"/>
          <w:szCs w:val="28"/>
        </w:rPr>
      </w:pPr>
    </w:p>
    <w:p w14:paraId="622AACA1">
      <w:pPr>
        <w:spacing w:line="300" w:lineRule="auto"/>
        <w:outlineLvl w:val="0"/>
        <w:rPr>
          <w:sz w:val="28"/>
          <w:szCs w:val="28"/>
        </w:rPr>
      </w:pPr>
    </w:p>
    <w:p w14:paraId="22FC625E">
      <w:pPr>
        <w:spacing w:line="300" w:lineRule="auto"/>
        <w:outlineLvl w:val="0"/>
        <w:rPr>
          <w:sz w:val="28"/>
          <w:szCs w:val="28"/>
        </w:rPr>
      </w:pPr>
    </w:p>
    <w:p w14:paraId="095903B1">
      <w:pPr>
        <w:spacing w:line="300" w:lineRule="auto"/>
        <w:outlineLvl w:val="0"/>
        <w:rPr>
          <w:sz w:val="28"/>
          <w:szCs w:val="28"/>
        </w:rPr>
      </w:pPr>
    </w:p>
    <w:p w14:paraId="02D0E060">
      <w:pPr>
        <w:spacing w:line="300" w:lineRule="auto"/>
        <w:outlineLvl w:val="0"/>
        <w:rPr>
          <w:sz w:val="28"/>
          <w:szCs w:val="28"/>
        </w:rPr>
      </w:pPr>
    </w:p>
    <w:p w14:paraId="3715CD87">
      <w:pPr>
        <w:spacing w:line="300" w:lineRule="auto"/>
        <w:outlineLvl w:val="0"/>
        <w:rPr>
          <w:sz w:val="28"/>
          <w:szCs w:val="28"/>
        </w:rPr>
      </w:pPr>
    </w:p>
    <w:p w14:paraId="197F3047">
      <w:pPr>
        <w:rPr>
          <w:sz w:val="32"/>
          <w:szCs w:val="32"/>
        </w:rPr>
      </w:pPr>
    </w:p>
    <w:p w14:paraId="6F59349C">
      <w:pPr>
        <w:spacing w:line="300" w:lineRule="auto"/>
        <w:outlineLvl w:val="0"/>
        <w:rPr>
          <w:sz w:val="32"/>
          <w:szCs w:val="32"/>
        </w:rPr>
      </w:pPr>
    </w:p>
    <w:p w14:paraId="4F9A49FC">
      <w:r>
        <w:rPr>
          <w:sz w:val="32"/>
          <w:szCs w:val="32"/>
        </w:rPr>
        <w:br w:type="page"/>
      </w:r>
    </w:p>
    <w:p w14:paraId="66F147EA">
      <w:pPr>
        <w:spacing w:line="300" w:lineRule="auto"/>
        <w:outlineLvl w:val="0"/>
        <w:rPr>
          <w:rFonts w:hint="eastAsia" w:eastAsia="宋体"/>
          <w:sz w:val="32"/>
          <w:szCs w:val="32"/>
          <w:lang w:eastAsia="zh-CN"/>
        </w:rPr>
      </w:pPr>
      <w:r>
        <w:rPr>
          <w:sz w:val="32"/>
          <w:szCs w:val="32"/>
        </w:rPr>
        <w:t>附件1</w:t>
      </w:r>
      <w:r>
        <w:rPr>
          <w:rFonts w:hint="eastAsia"/>
          <w:sz w:val="32"/>
          <w:szCs w:val="32"/>
          <w:lang w:val="en-US" w:eastAsia="zh-CN"/>
        </w:rPr>
        <w:t>2</w:t>
      </w:r>
    </w:p>
    <w:p w14:paraId="189EFB05">
      <w:pPr>
        <w:jc w:val="center"/>
        <w:rPr>
          <w:bCs/>
          <w:sz w:val="44"/>
          <w:szCs w:val="44"/>
        </w:rPr>
      </w:pPr>
      <w:r>
        <w:rPr>
          <w:bCs/>
          <w:sz w:val="44"/>
          <w:szCs w:val="44"/>
        </w:rPr>
        <w:t>质疑函范本</w:t>
      </w:r>
    </w:p>
    <w:p w14:paraId="3F3F304A">
      <w:pPr>
        <w:spacing w:line="360" w:lineRule="auto"/>
        <w:rPr>
          <w:bCs/>
          <w:sz w:val="24"/>
        </w:rPr>
      </w:pPr>
      <w:r>
        <w:rPr>
          <w:bCs/>
          <w:sz w:val="24"/>
        </w:rPr>
        <w:t>一、质疑供应商基本信息</w:t>
      </w:r>
    </w:p>
    <w:p w14:paraId="5148F084">
      <w:pPr>
        <w:spacing w:line="360" w:lineRule="auto"/>
        <w:rPr>
          <w:sz w:val="24"/>
          <w:u w:val="single"/>
        </w:rPr>
      </w:pPr>
      <w:r>
        <w:rPr>
          <w:sz w:val="24"/>
        </w:rPr>
        <w:t>质疑供应商：</w:t>
      </w:r>
    </w:p>
    <w:p w14:paraId="11797180">
      <w:pPr>
        <w:spacing w:line="360" w:lineRule="auto"/>
        <w:rPr>
          <w:sz w:val="24"/>
        </w:rPr>
      </w:pPr>
      <w:r>
        <w:rPr>
          <w:sz w:val="24"/>
        </w:rPr>
        <w:t>地址：邮编：</w:t>
      </w:r>
    </w:p>
    <w:p w14:paraId="7290F394">
      <w:pPr>
        <w:spacing w:line="360" w:lineRule="auto"/>
        <w:rPr>
          <w:sz w:val="24"/>
        </w:rPr>
      </w:pPr>
      <w:r>
        <w:rPr>
          <w:sz w:val="24"/>
        </w:rPr>
        <w:t>联系人：联系电话：</w:t>
      </w:r>
    </w:p>
    <w:p w14:paraId="634E4F24">
      <w:pPr>
        <w:spacing w:line="360" w:lineRule="auto"/>
        <w:rPr>
          <w:sz w:val="24"/>
          <w:u w:val="single"/>
        </w:rPr>
      </w:pPr>
      <w:r>
        <w:rPr>
          <w:sz w:val="24"/>
        </w:rPr>
        <w:t>授权代表：</w:t>
      </w:r>
    </w:p>
    <w:p w14:paraId="770D6F78">
      <w:pPr>
        <w:spacing w:line="360" w:lineRule="auto"/>
        <w:rPr>
          <w:sz w:val="24"/>
        </w:rPr>
      </w:pPr>
      <w:r>
        <w:rPr>
          <w:sz w:val="24"/>
        </w:rPr>
        <w:t>联系电话：</w:t>
      </w:r>
    </w:p>
    <w:p w14:paraId="320D8EEE">
      <w:pPr>
        <w:spacing w:line="360" w:lineRule="auto"/>
        <w:rPr>
          <w:sz w:val="24"/>
        </w:rPr>
      </w:pPr>
      <w:r>
        <w:rPr>
          <w:sz w:val="24"/>
        </w:rPr>
        <w:t>地址：邮编：</w:t>
      </w:r>
    </w:p>
    <w:p w14:paraId="7AAFB816">
      <w:pPr>
        <w:spacing w:line="360" w:lineRule="auto"/>
        <w:rPr>
          <w:bCs/>
          <w:sz w:val="24"/>
        </w:rPr>
      </w:pPr>
      <w:r>
        <w:rPr>
          <w:bCs/>
          <w:sz w:val="24"/>
        </w:rPr>
        <w:t>二、质疑项目基本情况</w:t>
      </w:r>
    </w:p>
    <w:p w14:paraId="765EFCD2">
      <w:pPr>
        <w:spacing w:line="360" w:lineRule="auto"/>
        <w:rPr>
          <w:sz w:val="24"/>
        </w:rPr>
      </w:pPr>
      <w:r>
        <w:rPr>
          <w:sz w:val="24"/>
        </w:rPr>
        <w:t>质疑项目的名称：</w:t>
      </w:r>
    </w:p>
    <w:p w14:paraId="3DB2839F">
      <w:pPr>
        <w:spacing w:line="360" w:lineRule="auto"/>
        <w:rPr>
          <w:sz w:val="24"/>
        </w:rPr>
      </w:pPr>
      <w:r>
        <w:rPr>
          <w:sz w:val="24"/>
        </w:rPr>
        <w:t>质疑项目的编号：包号：</w:t>
      </w:r>
    </w:p>
    <w:p w14:paraId="0738F64D">
      <w:pPr>
        <w:spacing w:line="360" w:lineRule="auto"/>
        <w:rPr>
          <w:sz w:val="24"/>
          <w:u w:val="single"/>
        </w:rPr>
      </w:pPr>
      <w:r>
        <w:rPr>
          <w:sz w:val="24"/>
        </w:rPr>
        <w:t>采购人名称：</w:t>
      </w:r>
    </w:p>
    <w:p w14:paraId="2F64CE29">
      <w:pPr>
        <w:spacing w:line="360" w:lineRule="auto"/>
        <w:rPr>
          <w:sz w:val="24"/>
        </w:rPr>
      </w:pPr>
      <w:r>
        <w:rPr>
          <w:sz w:val="24"/>
        </w:rPr>
        <w:t>采购文件获取日期：</w:t>
      </w:r>
    </w:p>
    <w:p w14:paraId="112AD13A">
      <w:pPr>
        <w:spacing w:line="360" w:lineRule="auto"/>
        <w:rPr>
          <w:bCs/>
          <w:sz w:val="24"/>
        </w:rPr>
      </w:pPr>
      <w:r>
        <w:rPr>
          <w:bCs/>
          <w:sz w:val="24"/>
        </w:rPr>
        <w:t>三、质疑事项具体内容</w:t>
      </w:r>
    </w:p>
    <w:p w14:paraId="3B7F24A6">
      <w:pPr>
        <w:spacing w:line="360" w:lineRule="auto"/>
        <w:rPr>
          <w:sz w:val="24"/>
          <w:u w:val="single"/>
        </w:rPr>
      </w:pPr>
      <w:r>
        <w:rPr>
          <w:sz w:val="24"/>
        </w:rPr>
        <w:t>质疑事项1：</w:t>
      </w:r>
    </w:p>
    <w:p w14:paraId="6A0E98BA">
      <w:pPr>
        <w:spacing w:line="360" w:lineRule="auto"/>
        <w:rPr>
          <w:sz w:val="24"/>
          <w:u w:val="single"/>
        </w:rPr>
      </w:pPr>
      <w:r>
        <w:rPr>
          <w:sz w:val="24"/>
        </w:rPr>
        <w:t>事实依据：</w:t>
      </w:r>
    </w:p>
    <w:p w14:paraId="78330B44">
      <w:pPr>
        <w:spacing w:line="360" w:lineRule="auto"/>
        <w:rPr>
          <w:sz w:val="24"/>
        </w:rPr>
      </w:pPr>
    </w:p>
    <w:p w14:paraId="31F5A619">
      <w:pPr>
        <w:spacing w:line="360" w:lineRule="auto"/>
        <w:rPr>
          <w:sz w:val="24"/>
          <w:u w:val="single"/>
        </w:rPr>
      </w:pPr>
      <w:r>
        <w:rPr>
          <w:sz w:val="24"/>
        </w:rPr>
        <w:t>法律依据：</w:t>
      </w:r>
    </w:p>
    <w:p w14:paraId="0555BE87">
      <w:pPr>
        <w:spacing w:line="360" w:lineRule="auto"/>
        <w:rPr>
          <w:sz w:val="24"/>
          <w:u w:val="single"/>
        </w:rPr>
      </w:pPr>
    </w:p>
    <w:p w14:paraId="0C3E72F7">
      <w:pPr>
        <w:spacing w:line="360" w:lineRule="auto"/>
        <w:rPr>
          <w:sz w:val="24"/>
          <w:u w:val="single"/>
        </w:rPr>
      </w:pPr>
      <w:r>
        <w:rPr>
          <w:sz w:val="24"/>
        </w:rPr>
        <w:t>质疑事项2</w:t>
      </w:r>
    </w:p>
    <w:p w14:paraId="1A108B98">
      <w:pPr>
        <w:spacing w:line="360" w:lineRule="auto"/>
        <w:rPr>
          <w:sz w:val="24"/>
        </w:rPr>
      </w:pPr>
      <w:r>
        <w:rPr>
          <w:sz w:val="24"/>
        </w:rPr>
        <w:t>……</w:t>
      </w:r>
    </w:p>
    <w:p w14:paraId="51016487">
      <w:pPr>
        <w:spacing w:line="360" w:lineRule="auto"/>
        <w:rPr>
          <w:bCs/>
          <w:sz w:val="24"/>
        </w:rPr>
      </w:pPr>
      <w:r>
        <w:rPr>
          <w:bCs/>
          <w:sz w:val="24"/>
        </w:rPr>
        <w:t>四、与质疑事项相关的质疑请求</w:t>
      </w:r>
    </w:p>
    <w:p w14:paraId="35EB4F42">
      <w:pPr>
        <w:spacing w:line="360" w:lineRule="auto"/>
        <w:rPr>
          <w:sz w:val="24"/>
          <w:u w:val="single"/>
        </w:rPr>
      </w:pPr>
      <w:r>
        <w:rPr>
          <w:sz w:val="24"/>
        </w:rPr>
        <w:t>请求：</w:t>
      </w:r>
    </w:p>
    <w:p w14:paraId="1537AC7A">
      <w:pPr>
        <w:rPr>
          <w:sz w:val="24"/>
        </w:rPr>
      </w:pPr>
      <w:r>
        <w:rPr>
          <w:sz w:val="24"/>
        </w:rPr>
        <w:t xml:space="preserve">签字(签章)：                   公章：                      </w:t>
      </w:r>
    </w:p>
    <w:p w14:paraId="1474AA89">
      <w:pPr>
        <w:rPr>
          <w:sz w:val="24"/>
        </w:rPr>
      </w:pPr>
      <w:r>
        <w:rPr>
          <w:sz w:val="24"/>
        </w:rPr>
        <w:t xml:space="preserve">日期：    </w:t>
      </w:r>
    </w:p>
    <w:p w14:paraId="7E7D2669">
      <w:pPr>
        <w:spacing w:line="360" w:lineRule="auto"/>
        <w:rPr>
          <w:sz w:val="24"/>
        </w:rPr>
      </w:pPr>
    </w:p>
    <w:p w14:paraId="1E4ADA22">
      <w:pPr>
        <w:rPr>
          <w:b/>
          <w:sz w:val="24"/>
        </w:rPr>
      </w:pPr>
    </w:p>
    <w:p w14:paraId="2F94B7A3">
      <w:pPr>
        <w:pStyle w:val="112"/>
        <w:rPr>
          <w:rFonts w:eastAsia="宋体"/>
        </w:rPr>
      </w:pPr>
    </w:p>
    <w:p w14:paraId="67E7FBE6"/>
    <w:p w14:paraId="52208895">
      <w:pPr>
        <w:rPr>
          <w:b/>
          <w:sz w:val="24"/>
        </w:rPr>
      </w:pPr>
    </w:p>
    <w:p w14:paraId="555EBCE4">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b/>
          <w:sz w:val="24"/>
        </w:rPr>
      </w:pPr>
      <w:r>
        <w:rPr>
          <w:b/>
          <w:sz w:val="24"/>
        </w:rPr>
        <w:t>质疑函制作说明：</w:t>
      </w:r>
    </w:p>
    <w:p w14:paraId="01EA284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sz w:val="24"/>
        </w:rPr>
      </w:pPr>
      <w:r>
        <w:rPr>
          <w:sz w:val="24"/>
        </w:rPr>
        <w:t>1.供应商提出质疑时，应提交质疑函和必要的证明材料。</w:t>
      </w:r>
    </w:p>
    <w:p w14:paraId="6DFCE57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sz w:val="24"/>
        </w:rPr>
      </w:pPr>
      <w:r>
        <w:rPr>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FC140F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sz w:val="24"/>
        </w:rPr>
      </w:pPr>
      <w:r>
        <w:rPr>
          <w:sz w:val="24"/>
        </w:rPr>
        <w:t>3.质疑供应商若对项目的某一分包进行质疑，质疑函中应列明具体分包号。</w:t>
      </w:r>
    </w:p>
    <w:p w14:paraId="53A1D55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sz w:val="24"/>
        </w:rPr>
      </w:pPr>
      <w:r>
        <w:rPr>
          <w:sz w:val="24"/>
        </w:rPr>
        <w:t>4.质疑函的质疑事项应具体、明确，并有必要的事实依据和法律依据。</w:t>
      </w:r>
    </w:p>
    <w:p w14:paraId="33C3CF8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sz w:val="24"/>
        </w:rPr>
      </w:pPr>
      <w:r>
        <w:rPr>
          <w:sz w:val="24"/>
        </w:rPr>
        <w:t>5.质疑函的质疑请求应与质疑事项相关。</w:t>
      </w:r>
    </w:p>
    <w:p w14:paraId="2E1ACC4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sz w:val="24"/>
        </w:rPr>
      </w:pPr>
      <w:r>
        <w:rPr>
          <w:sz w:val="24"/>
        </w:rPr>
        <w:t>6.质疑供应商为自然人的，质疑函应由本人签字；质疑供应商为法人或者其他组织的，质疑函应由法定代表人、主要负责人，或者其授权代表签字或者盖章，并加盖公章。</w:t>
      </w:r>
    </w:p>
    <w:p w14:paraId="04BE6F34">
      <w:pPr>
        <w:pStyle w:val="52"/>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rPr>
      </w:pPr>
    </w:p>
    <w:p w14:paraId="32C63C91">
      <w:pPr>
        <w:pStyle w:val="52"/>
        <w:rPr>
          <w:sz w:val="24"/>
        </w:rPr>
      </w:pPr>
    </w:p>
    <w:p w14:paraId="64ED8F1B">
      <w:pPr>
        <w:pStyle w:val="52"/>
        <w:rPr>
          <w:sz w:val="24"/>
        </w:rPr>
      </w:pPr>
    </w:p>
    <w:p w14:paraId="7C93518A">
      <w:pPr>
        <w:pStyle w:val="52"/>
        <w:rPr>
          <w:sz w:val="24"/>
        </w:rPr>
      </w:pPr>
    </w:p>
    <w:p w14:paraId="7ADBDFB3">
      <w:pPr>
        <w:pStyle w:val="52"/>
        <w:rPr>
          <w:sz w:val="24"/>
        </w:rPr>
      </w:pPr>
    </w:p>
    <w:p w14:paraId="291CB28C">
      <w:pPr>
        <w:pStyle w:val="52"/>
        <w:rPr>
          <w:sz w:val="24"/>
        </w:rPr>
      </w:pPr>
    </w:p>
    <w:p w14:paraId="640326AB">
      <w:pPr>
        <w:pStyle w:val="52"/>
        <w:rPr>
          <w:sz w:val="24"/>
        </w:rPr>
      </w:pPr>
    </w:p>
    <w:p w14:paraId="54D6FBB7">
      <w:pPr>
        <w:pStyle w:val="52"/>
        <w:rPr>
          <w:sz w:val="24"/>
        </w:rPr>
      </w:pPr>
    </w:p>
    <w:p w14:paraId="084B70DB">
      <w:pPr>
        <w:pStyle w:val="52"/>
        <w:rPr>
          <w:sz w:val="24"/>
        </w:rPr>
      </w:pPr>
    </w:p>
    <w:p w14:paraId="5D61D2C6">
      <w:pPr>
        <w:pStyle w:val="52"/>
        <w:rPr>
          <w:sz w:val="24"/>
        </w:rPr>
      </w:pPr>
    </w:p>
    <w:p w14:paraId="20FD9CB2">
      <w:pPr>
        <w:pStyle w:val="52"/>
        <w:rPr>
          <w:sz w:val="24"/>
        </w:rPr>
      </w:pPr>
    </w:p>
    <w:p w14:paraId="2257F259">
      <w:pPr>
        <w:pStyle w:val="52"/>
        <w:rPr>
          <w:sz w:val="24"/>
        </w:rPr>
      </w:pPr>
    </w:p>
    <w:p w14:paraId="320741AE">
      <w:pPr>
        <w:pStyle w:val="52"/>
        <w:rPr>
          <w:sz w:val="24"/>
        </w:rPr>
      </w:pPr>
    </w:p>
    <w:p w14:paraId="1F60EA18">
      <w:pPr>
        <w:pStyle w:val="52"/>
        <w:rPr>
          <w:sz w:val="24"/>
        </w:rPr>
      </w:pPr>
    </w:p>
    <w:p w14:paraId="4B5E226B">
      <w:pPr>
        <w:pStyle w:val="52"/>
        <w:rPr>
          <w:sz w:val="24"/>
        </w:rPr>
      </w:pPr>
    </w:p>
    <w:p w14:paraId="76997685">
      <w:pPr>
        <w:pStyle w:val="52"/>
        <w:rPr>
          <w:sz w:val="24"/>
        </w:rPr>
      </w:pPr>
    </w:p>
    <w:p w14:paraId="409D1922">
      <w:pPr>
        <w:pStyle w:val="52"/>
        <w:rPr>
          <w:sz w:val="24"/>
        </w:rPr>
      </w:pPr>
    </w:p>
    <w:p w14:paraId="2DF8DE6D">
      <w:pPr>
        <w:pStyle w:val="52"/>
        <w:rPr>
          <w:sz w:val="24"/>
        </w:rPr>
      </w:pPr>
    </w:p>
    <w:p w14:paraId="2E454225">
      <w:pPr>
        <w:pStyle w:val="52"/>
        <w:rPr>
          <w:sz w:val="24"/>
        </w:rPr>
      </w:pPr>
    </w:p>
    <w:p w14:paraId="77DB1B33">
      <w:pPr>
        <w:pStyle w:val="52"/>
        <w:rPr>
          <w:sz w:val="24"/>
        </w:rPr>
      </w:pPr>
    </w:p>
    <w:p w14:paraId="0B7444FB">
      <w:pPr>
        <w:pStyle w:val="52"/>
        <w:rPr>
          <w:sz w:val="24"/>
        </w:rPr>
      </w:pPr>
    </w:p>
    <w:sectPr>
      <w:headerReference r:id="rId3" w:type="default"/>
      <w:footerReference r:id="rId4" w:type="default"/>
      <w:pgSz w:w="11906" w:h="16838"/>
      <w:pgMar w:top="1440" w:right="1080" w:bottom="1440" w:left="1080" w:header="851" w:footer="992"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monospace">
    <w:altName w:val="Malgun Gothic"/>
    <w:panose1 w:val="020B0503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2AF" w:usb1="01D77CFB" w:usb2="00000012" w:usb3="00000000" w:csb0="00080001" w:csb1="00000000"/>
  </w:font>
  <w:font w:name="ˎ̥">
    <w:altName w:val="Malgun Gothic"/>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方正小标宋_GBK">
    <w:altName w:val="Arial Unicode MS"/>
    <w:panose1 w:val="03000509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等线">
    <w:altName w:val="Arial Unicode MS"/>
    <w:panose1 w:val="02010600030101010101"/>
    <w:charset w:val="86"/>
    <w:family w:val="auto"/>
    <w:pitch w:val="default"/>
    <w:sig w:usb0="00000000" w:usb1="00000000" w:usb2="00000016" w:usb3="00000000" w:csb0="0004000F" w:csb1="00000000"/>
  </w:font>
  <w:font w:name="Cambria">
    <w:panose1 w:val="02040503050406030204"/>
    <w:charset w:val="00"/>
    <w:family w:val="auto"/>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7966AE2B">
        <w:pPr>
          <w:pStyle w:val="27"/>
          <w:jc w:val="center"/>
        </w:pPr>
        <w:r>
          <w:fldChar w:fldCharType="begin"/>
        </w:r>
        <w:r>
          <w:instrText xml:space="preserve">PAGE   \* MERGEFORMAT</w:instrText>
        </w:r>
        <w:r>
          <w:fldChar w:fldCharType="separate"/>
        </w:r>
        <w:r>
          <w:rPr>
            <w:lang w:val="zh-CN"/>
          </w:rPr>
          <w:t>2</w:t>
        </w:r>
        <w:r>
          <w:fldChar w:fldCharType="end"/>
        </w:r>
      </w:p>
    </w:sdtContent>
  </w:sdt>
  <w:p w14:paraId="0AE0E7F7">
    <w:pPr>
      <w:pStyle w:val="28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5D8AF">
    <w:pPr>
      <w:pStyle w:val="28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30A752"/>
    <w:multiLevelType w:val="singleLevel"/>
    <w:tmpl w:val="E530A752"/>
    <w:lvl w:ilvl="0" w:tentative="0">
      <w:start w:val="1"/>
      <w:numFmt w:val="decimal"/>
      <w:lvlText w:val="%1."/>
      <w:lvlJc w:val="left"/>
      <w:pPr>
        <w:tabs>
          <w:tab w:val="left" w:pos="312"/>
        </w:tabs>
      </w:pPr>
    </w:lvl>
  </w:abstractNum>
  <w:abstractNum w:abstractNumId="1">
    <w:nsid w:val="0053208E"/>
    <w:multiLevelType w:val="multilevel"/>
    <w:tmpl w:val="0053208E"/>
    <w:lvl w:ilvl="0" w:tentative="0">
      <w:start w:val="1"/>
      <w:numFmt w:val="bullet"/>
      <w:pStyle w:val="349"/>
      <w:lvlText w:val=""/>
      <w:lvlJc w:val="left"/>
      <w:pPr>
        <w:tabs>
          <w:tab w:val="left" w:pos="480"/>
        </w:tabs>
        <w:ind w:left="480" w:hanging="480"/>
      </w:pPr>
      <w:rPr>
        <w:rFonts w:ascii="Wingdings" w:hAnsi="Wingdings"/>
        <w:sz w:val="16"/>
      </w:rPr>
    </w:lvl>
    <w:lvl w:ilvl="1" w:tentative="0">
      <w:start w:val="1"/>
      <w:numFmt w:val="ideographTraditional"/>
      <w:lvlText w:val="%2、"/>
      <w:lvlJc w:val="left"/>
      <w:pPr>
        <w:tabs>
          <w:tab w:val="left" w:pos="960"/>
        </w:tabs>
        <w:ind w:left="960" w:hanging="480"/>
      </w:p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823015"/>
    <w:rsid w:val="07F6721E"/>
    <w:rsid w:val="0AA4559D"/>
    <w:rsid w:val="0AED47E3"/>
    <w:rsid w:val="0B7849E6"/>
    <w:rsid w:val="0C9E047D"/>
    <w:rsid w:val="0CC434EA"/>
    <w:rsid w:val="11152FCE"/>
    <w:rsid w:val="16157A01"/>
    <w:rsid w:val="16571DC8"/>
    <w:rsid w:val="16873D30"/>
    <w:rsid w:val="175C6F6A"/>
    <w:rsid w:val="184B770B"/>
    <w:rsid w:val="19610BB6"/>
    <w:rsid w:val="1F453091"/>
    <w:rsid w:val="21FD6F30"/>
    <w:rsid w:val="22F015DA"/>
    <w:rsid w:val="25565941"/>
    <w:rsid w:val="25E62821"/>
    <w:rsid w:val="26675B72"/>
    <w:rsid w:val="2FC5794B"/>
    <w:rsid w:val="36120F69"/>
    <w:rsid w:val="38AF4557"/>
    <w:rsid w:val="3A150A4B"/>
    <w:rsid w:val="3AB46F81"/>
    <w:rsid w:val="40A37834"/>
    <w:rsid w:val="41D13F2D"/>
    <w:rsid w:val="42A94EAA"/>
    <w:rsid w:val="46006795"/>
    <w:rsid w:val="4A370FED"/>
    <w:rsid w:val="4E760336"/>
    <w:rsid w:val="51B33E7C"/>
    <w:rsid w:val="53E126F6"/>
    <w:rsid w:val="547A02DD"/>
    <w:rsid w:val="54D435E9"/>
    <w:rsid w:val="56B5362C"/>
    <w:rsid w:val="5CC901CB"/>
    <w:rsid w:val="5DF32230"/>
    <w:rsid w:val="60346C41"/>
    <w:rsid w:val="60B665BB"/>
    <w:rsid w:val="63A63014"/>
    <w:rsid w:val="67C67CA4"/>
    <w:rsid w:val="6D65184A"/>
    <w:rsid w:val="6D7D5788"/>
    <w:rsid w:val="6DB85E1E"/>
    <w:rsid w:val="72535DF3"/>
    <w:rsid w:val="74324450"/>
    <w:rsid w:val="78AE679B"/>
    <w:rsid w:val="7B114DBF"/>
    <w:rsid w:val="7B5829EE"/>
    <w:rsid w:val="7CCA5939"/>
    <w:rsid w:val="7D4414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qFormat="1" w:unhideWhenUsed="0" w:uiPriority="0" w:semiHidden="0"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qFormat="1" w:uiPriority="99" w:semiHidden="0"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113"/>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255"/>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115"/>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116"/>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117"/>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118"/>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119"/>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120"/>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121"/>
    <w:unhideWhenUsed/>
    <w:qFormat/>
    <w:uiPriority w:val="9"/>
    <w:pPr>
      <w:keepNext/>
      <w:keepLines/>
      <w:spacing w:before="320" w:after="200"/>
      <w:outlineLvl w:val="8"/>
    </w:pPr>
    <w:rPr>
      <w:rFonts w:ascii="Arial" w:hAnsi="Arial" w:eastAsia="Arial" w:cs="Arial"/>
      <w:i/>
      <w:iCs/>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0"/>
    <w:pPr>
      <w:ind w:firstLine="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index 5"/>
    <w:basedOn w:val="1"/>
    <w:next w:val="1"/>
    <w:qFormat/>
    <w:uiPriority w:val="0"/>
    <w:pPr>
      <w:spacing w:line="360" w:lineRule="auto"/>
      <w:jc w:val="center"/>
    </w:pPr>
    <w:rPr>
      <w:rFonts w:ascii="宋体" w:hAnsi="宋体" w:cs="宋体"/>
      <w:bCs/>
      <w:szCs w:val="21"/>
    </w:rPr>
  </w:style>
  <w:style w:type="paragraph" w:styleId="16">
    <w:name w:val="annotation text"/>
    <w:basedOn w:val="1"/>
    <w:qFormat/>
    <w:uiPriority w:val="99"/>
    <w:pPr>
      <w:jc w:val="left"/>
    </w:pPr>
  </w:style>
  <w:style w:type="paragraph" w:styleId="17">
    <w:name w:val="Body Text 3"/>
    <w:basedOn w:val="1"/>
    <w:unhideWhenUsed/>
    <w:qFormat/>
    <w:uiPriority w:val="99"/>
    <w:pPr>
      <w:spacing w:after="120"/>
    </w:pPr>
    <w:rPr>
      <w:sz w:val="16"/>
      <w:szCs w:val="16"/>
    </w:rPr>
  </w:style>
  <w:style w:type="paragraph" w:styleId="18">
    <w:name w:val="Body Text Indent"/>
    <w:basedOn w:val="1"/>
    <w:next w:val="19"/>
    <w:unhideWhenUsed/>
    <w:qFormat/>
    <w:uiPriority w:val="99"/>
    <w:pPr>
      <w:spacing w:after="120"/>
      <w:ind w:left="420"/>
    </w:pPr>
  </w:style>
  <w:style w:type="paragraph" w:styleId="19">
    <w:name w:val="envelope return"/>
    <w:basedOn w:val="1"/>
    <w:qFormat/>
    <w:uiPriority w:val="99"/>
    <w:rPr>
      <w:rFonts w:ascii="Arial" w:hAnsi="Arial"/>
    </w:rPr>
  </w:style>
  <w:style w:type="paragraph" w:styleId="20">
    <w:name w:val="Block Text"/>
    <w:basedOn w:val="1"/>
    <w:qFormat/>
    <w:uiPriority w:val="0"/>
    <w:pPr>
      <w:spacing w:line="360" w:lineRule="auto"/>
      <w:ind w:right="210" w:firstLine="560"/>
    </w:pPr>
    <w:rPr>
      <w:rFonts w:ascii="宋体" w:hAnsi="宋体"/>
      <w:color w:val="000000"/>
      <w:spacing w:val="20"/>
      <w:sz w:val="24"/>
      <w:szCs w:val="18"/>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qFormat/>
    <w:uiPriority w:val="0"/>
    <w:rPr>
      <w:rFonts w:ascii="宋体" w:hAnsi="Courier New"/>
      <w:sz w:val="20"/>
      <w:szCs w:val="21"/>
    </w:rPr>
  </w:style>
  <w:style w:type="paragraph" w:styleId="24">
    <w:name w:val="toc 8"/>
    <w:basedOn w:val="1"/>
    <w:next w:val="1"/>
    <w:unhideWhenUsed/>
    <w:qFormat/>
    <w:uiPriority w:val="39"/>
    <w:pPr>
      <w:spacing w:after="57"/>
      <w:ind w:left="1984"/>
    </w:pPr>
  </w:style>
  <w:style w:type="paragraph" w:styleId="25">
    <w:name w:val="index 3"/>
    <w:basedOn w:val="1"/>
    <w:next w:val="1"/>
    <w:qFormat/>
    <w:uiPriority w:val="0"/>
    <w:pPr>
      <w:ind w:left="400"/>
    </w:pPr>
  </w:style>
  <w:style w:type="paragraph" w:styleId="26">
    <w:name w:val="endnote text"/>
    <w:basedOn w:val="1"/>
    <w:link w:val="240"/>
    <w:semiHidden/>
    <w:unhideWhenUsed/>
    <w:qFormat/>
    <w:uiPriority w:val="99"/>
    <w:rPr>
      <w:sz w:val="20"/>
    </w:rPr>
  </w:style>
  <w:style w:type="paragraph" w:styleId="27">
    <w:name w:val="footer"/>
    <w:basedOn w:val="1"/>
    <w:link w:val="132"/>
    <w:unhideWhenUsed/>
    <w:qFormat/>
    <w:uiPriority w:val="99"/>
    <w:pPr>
      <w:tabs>
        <w:tab w:val="center" w:pos="7143"/>
        <w:tab w:val="right" w:pos="14287"/>
      </w:tabs>
    </w:pPr>
  </w:style>
  <w:style w:type="paragraph" w:styleId="28">
    <w:name w:val="header"/>
    <w:basedOn w:val="1"/>
    <w:link w:val="130"/>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125"/>
    <w:qFormat/>
    <w:uiPriority w:val="11"/>
    <w:pPr>
      <w:spacing w:before="200" w:after="200"/>
    </w:pPr>
    <w:rPr>
      <w:sz w:val="24"/>
    </w:rPr>
  </w:style>
  <w:style w:type="paragraph" w:styleId="32">
    <w:name w:val="footnote text"/>
    <w:basedOn w:val="1"/>
    <w:link w:val="239"/>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unhideWhenUsed/>
    <w:qFormat/>
    <w:uiPriority w:val="39"/>
    <w:pPr>
      <w:spacing w:after="57"/>
      <w:ind w:left="283"/>
    </w:pPr>
  </w:style>
  <w:style w:type="paragraph" w:styleId="36">
    <w:name w:val="toc 9"/>
    <w:basedOn w:val="1"/>
    <w:next w:val="1"/>
    <w:unhideWhenUsed/>
    <w:qFormat/>
    <w:uiPriority w:val="39"/>
    <w:pPr>
      <w:spacing w:after="57"/>
      <w:ind w:left="2268"/>
    </w:pPr>
  </w:style>
  <w:style w:type="paragraph" w:styleId="37">
    <w:name w:val="Body Text 2"/>
    <w:basedOn w:val="1"/>
    <w:next w:val="2"/>
    <w:qFormat/>
    <w:uiPriority w:val="0"/>
    <w:pPr>
      <w:widowControl/>
      <w:spacing w:after="50" w:line="400" w:lineRule="exact"/>
      <w:jc w:val="left"/>
    </w:pPr>
    <w:rPr>
      <w:rFonts w:ascii="宋体"/>
      <w:color w:val="000000"/>
      <w:sz w:val="24"/>
    </w:rPr>
  </w:style>
  <w:style w:type="paragraph" w:styleId="38">
    <w:name w:val="Normal (Web)"/>
    <w:basedOn w:val="1"/>
    <w:qFormat/>
    <w:uiPriority w:val="0"/>
    <w:pPr>
      <w:widowControl/>
      <w:spacing w:before="100" w:beforeAutospacing="1" w:after="100" w:afterAutospacing="1"/>
      <w:jc w:val="left"/>
    </w:pPr>
    <w:rPr>
      <w:rFonts w:ascii="宋体" w:hAnsi="宋体"/>
      <w:color w:val="000000"/>
      <w:sz w:val="24"/>
    </w:rPr>
  </w:style>
  <w:style w:type="paragraph" w:styleId="39">
    <w:name w:val="Title"/>
    <w:basedOn w:val="1"/>
    <w:next w:val="1"/>
    <w:link w:val="124"/>
    <w:qFormat/>
    <w:uiPriority w:val="10"/>
    <w:pPr>
      <w:spacing w:before="300" w:after="200"/>
      <w:contextualSpacing/>
    </w:pPr>
    <w:rPr>
      <w:sz w:val="48"/>
      <w:szCs w:val="48"/>
    </w:rPr>
  </w:style>
  <w:style w:type="paragraph" w:styleId="40">
    <w:name w:val="Body Text First Indent"/>
    <w:basedOn w:val="2"/>
    <w:qFormat/>
    <w:uiPriority w:val="0"/>
    <w:pPr>
      <w:ind w:firstLine="420"/>
    </w:pPr>
  </w:style>
  <w:style w:type="paragraph" w:styleId="41">
    <w:name w:val="Body Text First Indent 2"/>
    <w:basedOn w:val="18"/>
    <w:next w:val="1"/>
    <w:unhideWhenUsed/>
    <w:qFormat/>
    <w:uiPriority w:val="99"/>
    <w:pPr>
      <w:ind w:firstLine="420"/>
    </w:pPr>
  </w:style>
  <w:style w:type="table" w:styleId="4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5">
    <w:name w:val="Strong"/>
    <w:basedOn w:val="44"/>
    <w:qFormat/>
    <w:uiPriority w:val="0"/>
    <w:rPr>
      <w:b/>
      <w:bCs/>
    </w:rPr>
  </w:style>
  <w:style w:type="character" w:styleId="46">
    <w:name w:val="endnote reference"/>
    <w:semiHidden/>
    <w:unhideWhenUsed/>
    <w:qFormat/>
    <w:uiPriority w:val="99"/>
    <w:rPr>
      <w:vertAlign w:val="superscript"/>
    </w:rPr>
  </w:style>
  <w:style w:type="character" w:styleId="47">
    <w:name w:val="page number"/>
    <w:basedOn w:val="44"/>
    <w:qFormat/>
    <w:uiPriority w:val="99"/>
    <w:rPr>
      <w:rFonts w:ascii="Times New Roman" w:hAnsi="Times New Roman" w:eastAsia="宋体" w:cs="Times New Roman"/>
    </w:rPr>
  </w:style>
  <w:style w:type="character" w:styleId="48">
    <w:name w:val="Hyperlink"/>
    <w:unhideWhenUsed/>
    <w:qFormat/>
    <w:uiPriority w:val="99"/>
    <w:rPr>
      <w:color w:val="0000FF" w:themeColor="hyperlink"/>
      <w:u w:val="single"/>
      <w14:textFill>
        <w14:solidFill>
          <w14:schemeClr w14:val="hlink"/>
        </w14:solidFill>
      </w14:textFill>
    </w:rPr>
  </w:style>
  <w:style w:type="character" w:styleId="49">
    <w:name w:val="footnote reference"/>
    <w:unhideWhenUsed/>
    <w:qFormat/>
    <w:uiPriority w:val="99"/>
    <w:rPr>
      <w:vertAlign w:val="superscript"/>
    </w:rPr>
  </w:style>
  <w:style w:type="paragraph" w:customStyle="1" w:styleId="50">
    <w:name w:val="正文文本1"/>
    <w:basedOn w:val="1"/>
    <w:next w:val="51"/>
    <w:link w:val="269"/>
    <w:qFormat/>
    <w:uiPriority w:val="0"/>
    <w:rPr>
      <w:rFonts w:ascii="仿宋_GB2312" w:eastAsia="仿宋_GB2312"/>
      <w:sz w:val="24"/>
      <w:szCs w:val="20"/>
    </w:rPr>
  </w:style>
  <w:style w:type="paragraph" w:customStyle="1" w:styleId="51">
    <w:name w:val="Default"/>
    <w:qFormat/>
    <w:uiPriority w:val="0"/>
    <w:pPr>
      <w:widowControl w:val="0"/>
    </w:pPr>
    <w:rPr>
      <w:rFonts w:hint="default" w:ascii="仿宋_GB2312" w:hAnsi="Calibri" w:eastAsia="宋体" w:cs="仿宋_GB2312"/>
      <w:color w:val="000000"/>
      <w:sz w:val="24"/>
      <w:szCs w:val="24"/>
      <w:lang w:val="en-US" w:eastAsia="zh-CN" w:bidi="ar-SA"/>
    </w:rPr>
  </w:style>
  <w:style w:type="paragraph" w:customStyle="1" w:styleId="52">
    <w:name w:val="正文（缩进）"/>
    <w:basedOn w:val="1"/>
    <w:link w:val="371"/>
    <w:qFormat/>
    <w:uiPriority w:val="0"/>
    <w:pPr>
      <w:spacing w:before="156" w:after="156"/>
      <w:ind w:firstLine="480"/>
    </w:pPr>
    <w:rPr>
      <w:szCs w:val="20"/>
    </w:rPr>
  </w:style>
  <w:style w:type="table" w:customStyle="1" w:styleId="53">
    <w:name w:val="Plain Table 1"/>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4">
    <w:name w:val="Plain Table 2"/>
    <w:basedOn w:val="4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Plain Table 3"/>
    <w:basedOn w:val="4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4"/>
    <w:basedOn w:val="4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5"/>
    <w:basedOn w:val="4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Grid Table 1 Light"/>
    <w:basedOn w:val="4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9">
    <w:name w:val="Grid Table 2"/>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3"/>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4"/>
    <w:basedOn w:val="4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5 Dark"/>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Grid Table 6 Colorful"/>
    <w:basedOn w:val="4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Grid Table 7 Colorful"/>
    <w:basedOn w:val="4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List Table 1 Light"/>
    <w:basedOn w:val="4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6">
    <w:name w:val="List Table 2"/>
    <w:basedOn w:val="4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List Table 3"/>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8">
    <w:name w:val="List Table 4"/>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List Table 5 Dark"/>
    <w:basedOn w:val="4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0">
    <w:name w:val="List Table 6 Colorful"/>
    <w:basedOn w:val="4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1">
    <w:name w:val="List Table 7 Colorful"/>
    <w:basedOn w:val="4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2">
    <w:name w:val="TOC Heading"/>
    <w:unhideWhenUsed/>
    <w:qFormat/>
    <w:uiPriority w:val="39"/>
    <w:rPr>
      <w:rFonts w:hint="default" w:ascii="Times New Roman" w:hAnsi="Times New Roman" w:eastAsia="宋体" w:cs="Times New Roman"/>
    </w:rPr>
  </w:style>
  <w:style w:type="paragraph" w:customStyle="1" w:styleId="73">
    <w:name w:val="段"/>
    <w:next w:val="1"/>
    <w:qFormat/>
    <w:uiPriority w:val="0"/>
    <w:pPr>
      <w:widowControl w:val="0"/>
      <w:ind w:firstLine="200"/>
      <w:jc w:val="both"/>
    </w:pPr>
    <w:rPr>
      <w:rFonts w:hint="default" w:ascii="宋体" w:hAnsi="宋体" w:eastAsia="宋体" w:cs="宋体"/>
      <w:color w:val="000000"/>
      <w:sz w:val="21"/>
      <w:szCs w:val="21"/>
      <w:lang w:val="en-US" w:eastAsia="zh-CN" w:bidi="ar-SA"/>
    </w:rPr>
  </w:style>
  <w:style w:type="paragraph" w:customStyle="1" w:styleId="74">
    <w:name w:val="索引 31"/>
    <w:basedOn w:val="1"/>
    <w:next w:val="1"/>
    <w:qFormat/>
    <w:uiPriority w:val="0"/>
    <w:pPr>
      <w:ind w:left="400"/>
    </w:pPr>
  </w:style>
  <w:style w:type="character" w:customStyle="1" w:styleId="75">
    <w:name w:val="Heading 1 Char"/>
    <w:basedOn w:val="44"/>
    <w:qFormat/>
    <w:uiPriority w:val="9"/>
    <w:rPr>
      <w:rFonts w:ascii="Arial" w:hAnsi="Arial" w:eastAsia="Arial" w:cs="Arial"/>
      <w:sz w:val="40"/>
      <w:szCs w:val="40"/>
    </w:rPr>
  </w:style>
  <w:style w:type="character" w:customStyle="1" w:styleId="76">
    <w:name w:val="Heading 2 Char"/>
    <w:basedOn w:val="44"/>
    <w:qFormat/>
    <w:uiPriority w:val="9"/>
    <w:rPr>
      <w:rFonts w:ascii="Arial" w:hAnsi="Arial" w:eastAsia="Arial" w:cs="Arial"/>
      <w:sz w:val="34"/>
    </w:rPr>
  </w:style>
  <w:style w:type="character" w:customStyle="1" w:styleId="77">
    <w:name w:val="Heading 3 Char"/>
    <w:basedOn w:val="44"/>
    <w:qFormat/>
    <w:uiPriority w:val="9"/>
    <w:rPr>
      <w:rFonts w:ascii="Arial" w:hAnsi="Arial" w:eastAsia="Arial" w:cs="Arial"/>
      <w:sz w:val="30"/>
      <w:szCs w:val="30"/>
    </w:rPr>
  </w:style>
  <w:style w:type="character" w:customStyle="1" w:styleId="78">
    <w:name w:val="Heading 4 Char"/>
    <w:basedOn w:val="44"/>
    <w:qFormat/>
    <w:uiPriority w:val="9"/>
    <w:rPr>
      <w:rFonts w:ascii="Arial" w:hAnsi="Arial" w:eastAsia="Arial" w:cs="Arial"/>
      <w:b/>
      <w:bCs/>
      <w:sz w:val="26"/>
      <w:szCs w:val="26"/>
    </w:rPr>
  </w:style>
  <w:style w:type="character" w:customStyle="1" w:styleId="79">
    <w:name w:val="Heading 5 Char"/>
    <w:basedOn w:val="44"/>
    <w:qFormat/>
    <w:uiPriority w:val="9"/>
    <w:rPr>
      <w:rFonts w:ascii="Arial" w:hAnsi="Arial" w:eastAsia="Arial" w:cs="Arial"/>
      <w:b/>
      <w:bCs/>
      <w:sz w:val="24"/>
      <w:szCs w:val="24"/>
    </w:rPr>
  </w:style>
  <w:style w:type="character" w:customStyle="1" w:styleId="80">
    <w:name w:val="Heading 6 Char"/>
    <w:basedOn w:val="44"/>
    <w:qFormat/>
    <w:uiPriority w:val="9"/>
    <w:rPr>
      <w:rFonts w:ascii="Arial" w:hAnsi="Arial" w:eastAsia="Arial" w:cs="Arial"/>
      <w:b/>
      <w:bCs/>
      <w:sz w:val="22"/>
      <w:szCs w:val="22"/>
    </w:rPr>
  </w:style>
  <w:style w:type="character" w:customStyle="1" w:styleId="81">
    <w:name w:val="Heading 7 Char"/>
    <w:basedOn w:val="44"/>
    <w:qFormat/>
    <w:uiPriority w:val="9"/>
    <w:rPr>
      <w:rFonts w:ascii="Arial" w:hAnsi="Arial" w:eastAsia="Arial" w:cs="Arial"/>
      <w:b/>
      <w:bCs/>
      <w:i/>
      <w:iCs/>
      <w:sz w:val="22"/>
      <w:szCs w:val="22"/>
    </w:rPr>
  </w:style>
  <w:style w:type="character" w:customStyle="1" w:styleId="82">
    <w:name w:val="Heading 8 Char"/>
    <w:basedOn w:val="44"/>
    <w:qFormat/>
    <w:uiPriority w:val="9"/>
    <w:rPr>
      <w:rFonts w:ascii="Arial" w:hAnsi="Arial" w:eastAsia="Arial" w:cs="Arial"/>
      <w:i/>
      <w:iCs/>
      <w:sz w:val="22"/>
      <w:szCs w:val="22"/>
    </w:rPr>
  </w:style>
  <w:style w:type="character" w:customStyle="1" w:styleId="83">
    <w:name w:val="Heading 9 Char"/>
    <w:basedOn w:val="44"/>
    <w:qFormat/>
    <w:uiPriority w:val="9"/>
    <w:rPr>
      <w:rFonts w:ascii="Arial" w:hAnsi="Arial" w:eastAsia="Arial" w:cs="Arial"/>
      <w:i/>
      <w:iCs/>
      <w:sz w:val="21"/>
      <w:szCs w:val="21"/>
    </w:rPr>
  </w:style>
  <w:style w:type="character" w:customStyle="1" w:styleId="84">
    <w:name w:val="Title Char"/>
    <w:basedOn w:val="44"/>
    <w:qFormat/>
    <w:uiPriority w:val="10"/>
    <w:rPr>
      <w:sz w:val="48"/>
      <w:szCs w:val="48"/>
    </w:rPr>
  </w:style>
  <w:style w:type="character" w:customStyle="1" w:styleId="85">
    <w:name w:val="Subtitle Char"/>
    <w:basedOn w:val="44"/>
    <w:qFormat/>
    <w:uiPriority w:val="11"/>
    <w:rPr>
      <w:sz w:val="24"/>
      <w:szCs w:val="24"/>
    </w:rPr>
  </w:style>
  <w:style w:type="character" w:customStyle="1" w:styleId="86">
    <w:name w:val="Quote Char"/>
    <w:qFormat/>
    <w:uiPriority w:val="29"/>
    <w:rPr>
      <w:i/>
    </w:rPr>
  </w:style>
  <w:style w:type="character" w:customStyle="1" w:styleId="87">
    <w:name w:val="Intense Quote Char"/>
    <w:qFormat/>
    <w:uiPriority w:val="30"/>
    <w:rPr>
      <w:i/>
    </w:rPr>
  </w:style>
  <w:style w:type="character" w:customStyle="1" w:styleId="88">
    <w:name w:val="Header Char"/>
    <w:basedOn w:val="44"/>
    <w:qFormat/>
    <w:uiPriority w:val="99"/>
  </w:style>
  <w:style w:type="character" w:customStyle="1" w:styleId="89">
    <w:name w:val="Caption Char"/>
    <w:qFormat/>
    <w:uiPriority w:val="99"/>
  </w:style>
  <w:style w:type="table" w:customStyle="1" w:styleId="90">
    <w:name w:val="无格式表格 11"/>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1">
    <w:name w:val="无格式表格 21"/>
    <w:basedOn w:val="4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2">
    <w:name w:val="无格式表格 31"/>
    <w:basedOn w:val="42"/>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无格式表格 41"/>
    <w:basedOn w:val="42"/>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无格式表格 51"/>
    <w:basedOn w:val="42"/>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网格表 1 浅色1"/>
    <w:basedOn w:val="4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6">
    <w:name w:val="网格表 2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网格表 3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网格表 41"/>
    <w:basedOn w:val="4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网格表 5 深色1"/>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网格表 6 彩色1"/>
    <w:basedOn w:val="4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网格表 7 彩色1"/>
    <w:basedOn w:val="4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清单表 1 浅色1"/>
    <w:basedOn w:val="42"/>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3">
    <w:name w:val="清单表 21"/>
    <w:basedOn w:val="4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4">
    <w:name w:val="清单表 3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5">
    <w:name w:val="清单表 4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6">
    <w:name w:val="清单表 5 深色1"/>
    <w:basedOn w:val="4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07">
    <w:name w:val="清单表 6 彩色1"/>
    <w:basedOn w:val="42"/>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8">
    <w:name w:val="清单表 7 彩色1"/>
    <w:basedOn w:val="42"/>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09">
    <w:name w:val="Footnote Text Char"/>
    <w:qFormat/>
    <w:uiPriority w:val="99"/>
    <w:rPr>
      <w:sz w:val="18"/>
    </w:rPr>
  </w:style>
  <w:style w:type="character" w:customStyle="1" w:styleId="110">
    <w:name w:val="Endnote Text Char"/>
    <w:qFormat/>
    <w:uiPriority w:val="99"/>
    <w:rPr>
      <w:sz w:val="20"/>
    </w:rPr>
  </w:style>
  <w:style w:type="paragraph" w:customStyle="1" w:styleId="111">
    <w:name w:val="TOC 标题1"/>
    <w:unhideWhenUsed/>
    <w:qFormat/>
    <w:uiPriority w:val="39"/>
    <w:rPr>
      <w:rFonts w:hint="default" w:ascii="Times New Roman" w:hAnsi="Times New Roman" w:eastAsia="宋体" w:cs="Times New Roman"/>
      <w:lang w:val="en-US" w:eastAsia="zh-CN" w:bidi="ar-SA"/>
    </w:rPr>
  </w:style>
  <w:style w:type="paragraph" w:customStyle="1" w:styleId="112">
    <w:name w:val="标题 41"/>
    <w:basedOn w:val="1"/>
    <w:next w:val="1"/>
    <w:qFormat/>
    <w:uiPriority w:val="0"/>
    <w:pPr>
      <w:keepNext/>
      <w:jc w:val="center"/>
      <w:outlineLvl w:val="3"/>
    </w:pPr>
    <w:rPr>
      <w:rFonts w:eastAsia="新宋体"/>
      <w:sz w:val="30"/>
      <w:szCs w:val="21"/>
    </w:rPr>
  </w:style>
  <w:style w:type="character" w:customStyle="1" w:styleId="113">
    <w:name w:val="标题 1 字符"/>
    <w:link w:val="3"/>
    <w:qFormat/>
    <w:uiPriority w:val="9"/>
    <w:rPr>
      <w:rFonts w:ascii="Arial" w:hAnsi="Arial" w:eastAsia="Arial" w:cs="Arial"/>
      <w:sz w:val="40"/>
      <w:szCs w:val="40"/>
    </w:rPr>
  </w:style>
  <w:style w:type="character" w:customStyle="1" w:styleId="114">
    <w:name w:val="标题 2 字符"/>
    <w:qFormat/>
    <w:uiPriority w:val="9"/>
    <w:rPr>
      <w:rFonts w:ascii="Arial" w:hAnsi="Arial" w:eastAsia="Arial" w:cs="Arial"/>
      <w:sz w:val="34"/>
    </w:rPr>
  </w:style>
  <w:style w:type="character" w:customStyle="1" w:styleId="115">
    <w:name w:val="标题 3 字符"/>
    <w:link w:val="5"/>
    <w:qFormat/>
    <w:uiPriority w:val="9"/>
    <w:rPr>
      <w:rFonts w:ascii="Arial" w:hAnsi="Arial" w:eastAsia="Arial" w:cs="Arial"/>
      <w:sz w:val="30"/>
      <w:szCs w:val="30"/>
    </w:rPr>
  </w:style>
  <w:style w:type="character" w:customStyle="1" w:styleId="116">
    <w:name w:val="标题 4 字符"/>
    <w:link w:val="6"/>
    <w:qFormat/>
    <w:uiPriority w:val="9"/>
    <w:rPr>
      <w:rFonts w:ascii="Arial" w:hAnsi="Arial" w:eastAsia="Arial" w:cs="Arial"/>
      <w:b/>
      <w:bCs/>
      <w:sz w:val="26"/>
      <w:szCs w:val="26"/>
    </w:rPr>
  </w:style>
  <w:style w:type="character" w:customStyle="1" w:styleId="117">
    <w:name w:val="标题 5 字符"/>
    <w:link w:val="7"/>
    <w:qFormat/>
    <w:uiPriority w:val="9"/>
    <w:rPr>
      <w:rFonts w:ascii="Arial" w:hAnsi="Arial" w:eastAsia="Arial" w:cs="Arial"/>
      <w:b/>
      <w:bCs/>
      <w:sz w:val="24"/>
      <w:szCs w:val="24"/>
    </w:rPr>
  </w:style>
  <w:style w:type="character" w:customStyle="1" w:styleId="118">
    <w:name w:val="标题 6 字符"/>
    <w:link w:val="8"/>
    <w:qFormat/>
    <w:uiPriority w:val="9"/>
    <w:rPr>
      <w:rFonts w:ascii="Arial" w:hAnsi="Arial" w:eastAsia="Arial" w:cs="Arial"/>
      <w:b/>
      <w:bCs/>
      <w:sz w:val="22"/>
      <w:szCs w:val="22"/>
    </w:rPr>
  </w:style>
  <w:style w:type="character" w:customStyle="1" w:styleId="119">
    <w:name w:val="标题 7 字符"/>
    <w:link w:val="9"/>
    <w:qFormat/>
    <w:uiPriority w:val="9"/>
    <w:rPr>
      <w:rFonts w:ascii="Arial" w:hAnsi="Arial" w:eastAsia="Arial" w:cs="Arial"/>
      <w:b/>
      <w:bCs/>
      <w:i/>
      <w:iCs/>
      <w:sz w:val="22"/>
      <w:szCs w:val="22"/>
    </w:rPr>
  </w:style>
  <w:style w:type="character" w:customStyle="1" w:styleId="120">
    <w:name w:val="标题 8 字符"/>
    <w:link w:val="10"/>
    <w:qFormat/>
    <w:uiPriority w:val="9"/>
    <w:rPr>
      <w:rFonts w:ascii="Arial" w:hAnsi="Arial" w:eastAsia="Arial" w:cs="Arial"/>
      <w:i/>
      <w:iCs/>
      <w:sz w:val="22"/>
      <w:szCs w:val="22"/>
    </w:rPr>
  </w:style>
  <w:style w:type="character" w:customStyle="1" w:styleId="121">
    <w:name w:val="标题 9 字符"/>
    <w:link w:val="11"/>
    <w:qFormat/>
    <w:uiPriority w:val="9"/>
    <w:rPr>
      <w:rFonts w:ascii="Arial" w:hAnsi="Arial" w:eastAsia="Arial" w:cs="Arial"/>
      <w:i/>
      <w:iCs/>
      <w:sz w:val="21"/>
      <w:szCs w:val="21"/>
    </w:rPr>
  </w:style>
  <w:style w:type="paragraph" w:styleId="122">
    <w:name w:val="List Paragraph"/>
    <w:basedOn w:val="1"/>
    <w:qFormat/>
    <w:uiPriority w:val="34"/>
    <w:pPr>
      <w:ind w:left="720"/>
      <w:contextualSpacing/>
    </w:pPr>
  </w:style>
  <w:style w:type="paragraph" w:styleId="123">
    <w:name w:val="No Spacing"/>
    <w:qFormat/>
    <w:uiPriority w:val="1"/>
    <w:rPr>
      <w:rFonts w:hint="default" w:ascii="Times New Roman" w:hAnsi="Times New Roman" w:eastAsia="宋体" w:cs="Times New Roman"/>
      <w:lang w:val="en-US" w:eastAsia="zh-CN" w:bidi="ar-SA"/>
    </w:rPr>
  </w:style>
  <w:style w:type="character" w:customStyle="1" w:styleId="124">
    <w:name w:val="标题 字符"/>
    <w:link w:val="39"/>
    <w:qFormat/>
    <w:uiPriority w:val="10"/>
    <w:rPr>
      <w:sz w:val="48"/>
      <w:szCs w:val="48"/>
    </w:rPr>
  </w:style>
  <w:style w:type="character" w:customStyle="1" w:styleId="125">
    <w:name w:val="副标题 字符"/>
    <w:link w:val="31"/>
    <w:qFormat/>
    <w:uiPriority w:val="11"/>
    <w:rPr>
      <w:sz w:val="24"/>
      <w:szCs w:val="24"/>
    </w:rPr>
  </w:style>
  <w:style w:type="paragraph" w:styleId="126">
    <w:name w:val="Quote"/>
    <w:basedOn w:val="1"/>
    <w:next w:val="1"/>
    <w:link w:val="127"/>
    <w:qFormat/>
    <w:uiPriority w:val="29"/>
    <w:pPr>
      <w:ind w:left="720" w:right="720"/>
    </w:pPr>
    <w:rPr>
      <w:i/>
    </w:rPr>
  </w:style>
  <w:style w:type="character" w:customStyle="1" w:styleId="127">
    <w:name w:val="引用 字符"/>
    <w:link w:val="126"/>
    <w:qFormat/>
    <w:uiPriority w:val="29"/>
    <w:rPr>
      <w:i/>
    </w:rPr>
  </w:style>
  <w:style w:type="paragraph" w:styleId="128">
    <w:name w:val="Intense Quote"/>
    <w:basedOn w:val="1"/>
    <w:next w:val="1"/>
    <w:link w:val="12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9">
    <w:name w:val="明显引用 字符"/>
    <w:link w:val="128"/>
    <w:qFormat/>
    <w:uiPriority w:val="30"/>
    <w:rPr>
      <w:i/>
    </w:rPr>
  </w:style>
  <w:style w:type="character" w:customStyle="1" w:styleId="130">
    <w:name w:val="页眉 字符"/>
    <w:link w:val="28"/>
    <w:qFormat/>
    <w:uiPriority w:val="99"/>
  </w:style>
  <w:style w:type="character" w:customStyle="1" w:styleId="131">
    <w:name w:val="Footer Char"/>
    <w:qFormat/>
    <w:uiPriority w:val="99"/>
  </w:style>
  <w:style w:type="character" w:customStyle="1" w:styleId="132">
    <w:name w:val="页脚 字符"/>
    <w:link w:val="27"/>
    <w:qFormat/>
    <w:uiPriority w:val="99"/>
  </w:style>
  <w:style w:type="table" w:customStyle="1" w:styleId="13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3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3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3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3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3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3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4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5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6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6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6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6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6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70">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1">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3">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5">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7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8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8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8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9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9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9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9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0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0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0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0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0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0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3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3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9">
    <w:name w:val="脚注文本 字符"/>
    <w:link w:val="32"/>
    <w:qFormat/>
    <w:uiPriority w:val="99"/>
    <w:rPr>
      <w:sz w:val="18"/>
    </w:rPr>
  </w:style>
  <w:style w:type="character" w:customStyle="1" w:styleId="240">
    <w:name w:val="尾注文本 字符"/>
    <w:link w:val="26"/>
    <w:qFormat/>
    <w:uiPriority w:val="99"/>
    <w:rPr>
      <w:sz w:val="20"/>
    </w:rPr>
  </w:style>
  <w:style w:type="paragraph" w:customStyle="1" w:styleId="241">
    <w:name w:val="TOC 标题11"/>
    <w:unhideWhenUsed/>
    <w:qFormat/>
    <w:uiPriority w:val="39"/>
    <w:rPr>
      <w:rFonts w:hint="default" w:ascii="Times New Roman" w:hAnsi="Times New Roman" w:eastAsia="宋体" w:cs="Times New Roman"/>
      <w:lang w:val="en-US" w:eastAsia="zh-CN" w:bidi="ar-SA"/>
    </w:rPr>
  </w:style>
  <w:style w:type="paragraph" w:customStyle="1" w:styleId="242">
    <w:name w:val="标题 11"/>
    <w:basedOn w:val="1"/>
    <w:next w:val="1"/>
    <w:link w:val="254"/>
    <w:qFormat/>
    <w:uiPriority w:val="0"/>
    <w:pPr>
      <w:keepNext/>
      <w:keepLines/>
      <w:spacing w:before="340" w:after="330" w:line="578" w:lineRule="auto"/>
      <w:outlineLvl w:val="0"/>
    </w:pPr>
    <w:rPr>
      <w:b/>
      <w:bCs/>
      <w:sz w:val="44"/>
      <w:szCs w:val="44"/>
    </w:rPr>
  </w:style>
  <w:style w:type="paragraph" w:customStyle="1" w:styleId="243">
    <w:name w:val="标题 21"/>
    <w:basedOn w:val="1"/>
    <w:next w:val="1"/>
    <w:qFormat/>
    <w:uiPriority w:val="0"/>
    <w:pPr>
      <w:keepNext/>
      <w:keepLines/>
      <w:spacing w:before="260" w:after="260" w:line="416" w:lineRule="auto"/>
      <w:outlineLvl w:val="1"/>
    </w:pPr>
    <w:rPr>
      <w:rFonts w:ascii="Arial" w:hAnsi="Arial" w:eastAsia="黑体"/>
      <w:b/>
      <w:bCs/>
      <w:sz w:val="32"/>
      <w:szCs w:val="32"/>
    </w:rPr>
  </w:style>
  <w:style w:type="paragraph" w:customStyle="1" w:styleId="244">
    <w:name w:val="标题 31"/>
    <w:basedOn w:val="1"/>
    <w:next w:val="1"/>
    <w:link w:val="256"/>
    <w:qFormat/>
    <w:uiPriority w:val="0"/>
    <w:pPr>
      <w:keepNext/>
      <w:keepLines/>
      <w:spacing w:before="260" w:after="260" w:line="416" w:lineRule="auto"/>
      <w:outlineLvl w:val="2"/>
    </w:pPr>
    <w:rPr>
      <w:b/>
      <w:bCs/>
      <w:sz w:val="32"/>
      <w:szCs w:val="32"/>
    </w:rPr>
  </w:style>
  <w:style w:type="paragraph" w:customStyle="1" w:styleId="245">
    <w:name w:val="标题 411"/>
    <w:basedOn w:val="1"/>
    <w:next w:val="1"/>
    <w:link w:val="257"/>
    <w:qFormat/>
    <w:uiPriority w:val="0"/>
    <w:pPr>
      <w:keepNext/>
      <w:jc w:val="center"/>
      <w:outlineLvl w:val="3"/>
    </w:pPr>
    <w:rPr>
      <w:rFonts w:eastAsia="新宋体"/>
      <w:sz w:val="30"/>
      <w:szCs w:val="21"/>
    </w:rPr>
  </w:style>
  <w:style w:type="paragraph" w:customStyle="1" w:styleId="246">
    <w:name w:val="标题 51"/>
    <w:basedOn w:val="1"/>
    <w:next w:val="1"/>
    <w:link w:val="258"/>
    <w:qFormat/>
    <w:uiPriority w:val="0"/>
    <w:pPr>
      <w:keepNext/>
      <w:keepLines/>
      <w:spacing w:before="280" w:after="290" w:line="376" w:lineRule="auto"/>
      <w:outlineLvl w:val="4"/>
    </w:pPr>
    <w:rPr>
      <w:b/>
      <w:bCs/>
      <w:sz w:val="28"/>
      <w:szCs w:val="28"/>
    </w:rPr>
  </w:style>
  <w:style w:type="paragraph" w:customStyle="1" w:styleId="247">
    <w:name w:val="标题 61"/>
    <w:basedOn w:val="1"/>
    <w:next w:val="248"/>
    <w:link w:val="259"/>
    <w:qFormat/>
    <w:uiPriority w:val="0"/>
    <w:pPr>
      <w:keepNext/>
      <w:jc w:val="center"/>
      <w:outlineLvl w:val="5"/>
    </w:pPr>
    <w:rPr>
      <w:b/>
      <w:sz w:val="44"/>
      <w:szCs w:val="20"/>
    </w:rPr>
  </w:style>
  <w:style w:type="paragraph" w:customStyle="1" w:styleId="248">
    <w:name w:val="正文缩进1"/>
    <w:basedOn w:val="1"/>
    <w:link w:val="260"/>
    <w:qFormat/>
    <w:uiPriority w:val="0"/>
    <w:pPr>
      <w:ind w:firstLine="420"/>
    </w:pPr>
    <w:rPr>
      <w:sz w:val="20"/>
      <w:szCs w:val="20"/>
    </w:rPr>
  </w:style>
  <w:style w:type="paragraph" w:customStyle="1" w:styleId="249">
    <w:name w:val="标题 71"/>
    <w:basedOn w:val="1"/>
    <w:next w:val="1"/>
    <w:link w:val="261"/>
    <w:qFormat/>
    <w:uiPriority w:val="0"/>
    <w:pPr>
      <w:keepNext/>
      <w:keepLines/>
      <w:spacing w:before="240" w:after="64" w:line="320" w:lineRule="auto"/>
      <w:outlineLvl w:val="6"/>
    </w:pPr>
    <w:rPr>
      <w:b/>
      <w:bCs/>
      <w:sz w:val="24"/>
    </w:rPr>
  </w:style>
  <w:style w:type="paragraph" w:customStyle="1" w:styleId="250">
    <w:name w:val="标题 81"/>
    <w:basedOn w:val="1"/>
    <w:next w:val="1"/>
    <w:link w:val="262"/>
    <w:qFormat/>
    <w:uiPriority w:val="0"/>
    <w:pPr>
      <w:keepNext/>
      <w:keepLines/>
      <w:spacing w:before="240" w:after="64" w:line="320" w:lineRule="auto"/>
      <w:outlineLvl w:val="7"/>
    </w:pPr>
    <w:rPr>
      <w:rFonts w:ascii="Arial" w:hAnsi="Arial" w:eastAsia="黑体"/>
      <w:sz w:val="24"/>
    </w:rPr>
  </w:style>
  <w:style w:type="paragraph" w:customStyle="1" w:styleId="251">
    <w:name w:val="标题 91"/>
    <w:basedOn w:val="1"/>
    <w:next w:val="1"/>
    <w:link w:val="263"/>
    <w:qFormat/>
    <w:uiPriority w:val="0"/>
    <w:pPr>
      <w:keepNext/>
      <w:keepLines/>
      <w:spacing w:before="240" w:after="64" w:line="320" w:lineRule="auto"/>
      <w:outlineLvl w:val="8"/>
    </w:pPr>
    <w:rPr>
      <w:rFonts w:ascii="Arial" w:hAnsi="Arial" w:eastAsia="黑体"/>
      <w:sz w:val="24"/>
      <w:szCs w:val="21"/>
    </w:rPr>
  </w:style>
  <w:style w:type="character" w:customStyle="1" w:styleId="252">
    <w:name w:val="默认段落字体1"/>
    <w:unhideWhenUsed/>
    <w:qFormat/>
    <w:uiPriority w:val="1"/>
  </w:style>
  <w:style w:type="table" w:customStyle="1" w:styleId="253">
    <w:name w:val="普通表格1"/>
    <w:unhideWhenUsed/>
    <w:qFormat/>
    <w:uiPriority w:val="99"/>
    <w:tblPr>
      <w:tblCellMar>
        <w:top w:w="0" w:type="dxa"/>
        <w:left w:w="0" w:type="dxa"/>
        <w:bottom w:w="0" w:type="dxa"/>
        <w:right w:w="0" w:type="dxa"/>
      </w:tblCellMar>
    </w:tblPr>
  </w:style>
  <w:style w:type="character" w:customStyle="1" w:styleId="254">
    <w:name w:val="标题 1 Char"/>
    <w:link w:val="242"/>
    <w:qFormat/>
    <w:uiPriority w:val="0"/>
    <w:rPr>
      <w:rFonts w:ascii="Times New Roman" w:hAnsi="Times New Roman" w:eastAsia="宋体" w:cs="Times New Roman"/>
      <w:b/>
      <w:bCs/>
      <w:sz w:val="44"/>
      <w:szCs w:val="44"/>
    </w:rPr>
  </w:style>
  <w:style w:type="character" w:customStyle="1" w:styleId="255">
    <w:name w:val="标题 2 字符1"/>
    <w:link w:val="4"/>
    <w:qFormat/>
    <w:uiPriority w:val="0"/>
    <w:rPr>
      <w:rFonts w:ascii="Arial" w:hAnsi="Arial" w:eastAsia="黑体" w:cs="Times New Roman"/>
      <w:b/>
      <w:bCs/>
      <w:sz w:val="32"/>
      <w:szCs w:val="32"/>
    </w:rPr>
  </w:style>
  <w:style w:type="character" w:customStyle="1" w:styleId="256">
    <w:name w:val="标题 3 Char"/>
    <w:link w:val="244"/>
    <w:qFormat/>
    <w:uiPriority w:val="0"/>
    <w:rPr>
      <w:rFonts w:ascii="Times New Roman" w:hAnsi="Times New Roman" w:eastAsia="宋体" w:cs="Times New Roman"/>
      <w:b/>
      <w:bCs/>
      <w:sz w:val="32"/>
      <w:szCs w:val="32"/>
    </w:rPr>
  </w:style>
  <w:style w:type="character" w:customStyle="1" w:styleId="257">
    <w:name w:val="标题 4 Char"/>
    <w:link w:val="245"/>
    <w:qFormat/>
    <w:uiPriority w:val="0"/>
    <w:rPr>
      <w:rFonts w:ascii="Times New Roman" w:hAnsi="Times New Roman" w:eastAsia="新宋体" w:cs="Times New Roman"/>
      <w:sz w:val="30"/>
      <w:szCs w:val="21"/>
    </w:rPr>
  </w:style>
  <w:style w:type="character" w:customStyle="1" w:styleId="258">
    <w:name w:val="标题 5 Char"/>
    <w:link w:val="246"/>
    <w:qFormat/>
    <w:uiPriority w:val="0"/>
    <w:rPr>
      <w:rFonts w:ascii="Times New Roman" w:hAnsi="Times New Roman" w:eastAsia="宋体" w:cs="Times New Roman"/>
      <w:b/>
      <w:bCs/>
      <w:sz w:val="28"/>
      <w:szCs w:val="28"/>
    </w:rPr>
  </w:style>
  <w:style w:type="character" w:customStyle="1" w:styleId="259">
    <w:name w:val="标题 6 Char"/>
    <w:link w:val="247"/>
    <w:qFormat/>
    <w:uiPriority w:val="0"/>
    <w:rPr>
      <w:rFonts w:ascii="Times New Roman" w:hAnsi="Times New Roman" w:eastAsia="宋体" w:cs="Times New Roman"/>
      <w:b/>
      <w:sz w:val="44"/>
      <w:szCs w:val="20"/>
    </w:rPr>
  </w:style>
  <w:style w:type="character" w:customStyle="1" w:styleId="260">
    <w:name w:val="正文缩进 Char"/>
    <w:link w:val="248"/>
    <w:qFormat/>
    <w:uiPriority w:val="0"/>
    <w:rPr>
      <w:rFonts w:ascii="Times New Roman" w:hAnsi="Times New Roman" w:eastAsia="宋体" w:cs="Times New Roman"/>
      <w:sz w:val="20"/>
      <w:szCs w:val="20"/>
    </w:rPr>
  </w:style>
  <w:style w:type="character" w:customStyle="1" w:styleId="261">
    <w:name w:val="标题 7 Char"/>
    <w:link w:val="249"/>
    <w:qFormat/>
    <w:uiPriority w:val="0"/>
    <w:rPr>
      <w:rFonts w:ascii="Times New Roman" w:hAnsi="Times New Roman" w:eastAsia="宋体" w:cs="Times New Roman"/>
      <w:b/>
      <w:bCs/>
      <w:sz w:val="24"/>
      <w:szCs w:val="24"/>
    </w:rPr>
  </w:style>
  <w:style w:type="character" w:customStyle="1" w:styleId="262">
    <w:name w:val="标题 8 Char"/>
    <w:link w:val="250"/>
    <w:qFormat/>
    <w:uiPriority w:val="0"/>
    <w:rPr>
      <w:rFonts w:ascii="Arial" w:hAnsi="Arial" w:eastAsia="黑体" w:cs="Times New Roman"/>
      <w:sz w:val="24"/>
      <w:szCs w:val="24"/>
    </w:rPr>
  </w:style>
  <w:style w:type="character" w:customStyle="1" w:styleId="263">
    <w:name w:val="标题 9 Char"/>
    <w:link w:val="251"/>
    <w:qFormat/>
    <w:uiPriority w:val="0"/>
    <w:rPr>
      <w:rFonts w:ascii="Arial" w:hAnsi="Arial" w:eastAsia="黑体" w:cs="Times New Roman"/>
      <w:sz w:val="24"/>
      <w:szCs w:val="21"/>
    </w:rPr>
  </w:style>
  <w:style w:type="paragraph" w:customStyle="1" w:styleId="264">
    <w:name w:val="文档结构图1"/>
    <w:basedOn w:val="1"/>
    <w:link w:val="265"/>
    <w:semiHidden/>
    <w:qFormat/>
    <w:uiPriority w:val="0"/>
    <w:pPr>
      <w:shd w:val="clear" w:color="auto" w:fill="000080"/>
    </w:pPr>
    <w:rPr>
      <w:sz w:val="20"/>
    </w:rPr>
  </w:style>
  <w:style w:type="character" w:customStyle="1" w:styleId="265">
    <w:name w:val="文档结构图 Char"/>
    <w:link w:val="264"/>
    <w:semiHidden/>
    <w:qFormat/>
    <w:uiPriority w:val="0"/>
    <w:rPr>
      <w:szCs w:val="24"/>
      <w:shd w:val="clear" w:color="auto" w:fill="000080"/>
    </w:rPr>
  </w:style>
  <w:style w:type="paragraph" w:customStyle="1" w:styleId="266">
    <w:name w:val="正文文本 31"/>
    <w:basedOn w:val="1"/>
    <w:link w:val="267"/>
    <w:qFormat/>
    <w:uiPriority w:val="0"/>
    <w:pPr>
      <w:spacing w:after="120"/>
    </w:pPr>
    <w:rPr>
      <w:sz w:val="16"/>
      <w:szCs w:val="16"/>
    </w:rPr>
  </w:style>
  <w:style w:type="character" w:customStyle="1" w:styleId="267">
    <w:name w:val="正文文本 3 Char"/>
    <w:link w:val="266"/>
    <w:qFormat/>
    <w:uiPriority w:val="0"/>
    <w:rPr>
      <w:rFonts w:ascii="Times New Roman" w:hAnsi="Times New Roman" w:eastAsia="宋体" w:cs="Times New Roman"/>
      <w:sz w:val="16"/>
      <w:szCs w:val="16"/>
    </w:rPr>
  </w:style>
  <w:style w:type="paragraph" w:customStyle="1" w:styleId="268">
    <w:name w:val="正文11"/>
    <w:next w:val="50"/>
    <w:qFormat/>
    <w:uiPriority w:val="0"/>
    <w:pPr>
      <w:widowControl w:val="0"/>
      <w:jc w:val="both"/>
    </w:pPr>
    <w:rPr>
      <w:rFonts w:hint="default" w:ascii="Calibri" w:hAnsi="Calibri" w:eastAsia="宋体" w:cs="Times New Roman"/>
      <w:sz w:val="21"/>
      <w:szCs w:val="21"/>
      <w:lang w:val="en-US" w:eastAsia="zh-CN" w:bidi="ar-SA"/>
    </w:rPr>
  </w:style>
  <w:style w:type="character" w:customStyle="1" w:styleId="269">
    <w:name w:val="正文文本 Char"/>
    <w:link w:val="50"/>
    <w:qFormat/>
    <w:uiPriority w:val="0"/>
    <w:rPr>
      <w:rFonts w:ascii="仿宋_GB2312" w:hAnsi="Times New Roman" w:eastAsia="仿宋_GB2312" w:cs="Times New Roman"/>
      <w:sz w:val="24"/>
      <w:szCs w:val="20"/>
    </w:rPr>
  </w:style>
  <w:style w:type="paragraph" w:customStyle="1" w:styleId="270">
    <w:name w:val="正文文本缩进1"/>
    <w:basedOn w:val="1"/>
    <w:link w:val="271"/>
    <w:qFormat/>
    <w:uiPriority w:val="0"/>
    <w:pPr>
      <w:ind w:left="765"/>
    </w:pPr>
    <w:rPr>
      <w:rFonts w:ascii="仿宋_GB2312" w:eastAsia="仿宋_GB2312"/>
      <w:sz w:val="28"/>
      <w:szCs w:val="20"/>
    </w:rPr>
  </w:style>
  <w:style w:type="character" w:customStyle="1" w:styleId="271">
    <w:name w:val="正文文本缩进 Char"/>
    <w:link w:val="270"/>
    <w:qFormat/>
    <w:uiPriority w:val="0"/>
    <w:rPr>
      <w:rFonts w:ascii="仿宋_GB2312" w:hAnsi="Times New Roman" w:eastAsia="仿宋_GB2312" w:cs="Times New Roman"/>
      <w:sz w:val="28"/>
      <w:szCs w:val="20"/>
    </w:rPr>
  </w:style>
  <w:style w:type="paragraph" w:customStyle="1" w:styleId="272">
    <w:name w:val="纯文本1"/>
    <w:basedOn w:val="1"/>
    <w:link w:val="273"/>
    <w:qFormat/>
    <w:uiPriority w:val="0"/>
    <w:rPr>
      <w:rFonts w:ascii="宋体" w:hAnsi="Courier New"/>
      <w:sz w:val="20"/>
      <w:szCs w:val="21"/>
    </w:rPr>
  </w:style>
  <w:style w:type="character" w:customStyle="1" w:styleId="273">
    <w:name w:val="纯文本 Char"/>
    <w:link w:val="272"/>
    <w:qFormat/>
    <w:uiPriority w:val="0"/>
    <w:rPr>
      <w:rFonts w:ascii="宋体" w:hAnsi="Courier New" w:eastAsia="宋体" w:cs="Courier New"/>
      <w:szCs w:val="21"/>
    </w:rPr>
  </w:style>
  <w:style w:type="paragraph" w:customStyle="1" w:styleId="274">
    <w:name w:val="日期1"/>
    <w:basedOn w:val="1"/>
    <w:next w:val="1"/>
    <w:link w:val="275"/>
    <w:qFormat/>
    <w:uiPriority w:val="0"/>
    <w:rPr>
      <w:sz w:val="24"/>
      <w:szCs w:val="20"/>
    </w:rPr>
  </w:style>
  <w:style w:type="character" w:customStyle="1" w:styleId="275">
    <w:name w:val="日期 Char"/>
    <w:link w:val="274"/>
    <w:qFormat/>
    <w:uiPriority w:val="0"/>
    <w:rPr>
      <w:rFonts w:ascii="Times New Roman" w:hAnsi="Times New Roman" w:eastAsia="宋体" w:cs="Times New Roman"/>
      <w:sz w:val="24"/>
      <w:szCs w:val="20"/>
    </w:rPr>
  </w:style>
  <w:style w:type="paragraph" w:customStyle="1" w:styleId="276">
    <w:name w:val="正文文本缩进 21"/>
    <w:basedOn w:val="1"/>
    <w:link w:val="277"/>
    <w:qFormat/>
    <w:uiPriority w:val="0"/>
    <w:pPr>
      <w:spacing w:line="500" w:lineRule="exact"/>
      <w:ind w:firstLine="560"/>
    </w:pPr>
    <w:rPr>
      <w:rFonts w:eastAsia="仿宋_GB2312"/>
      <w:sz w:val="28"/>
      <w:szCs w:val="20"/>
    </w:rPr>
  </w:style>
  <w:style w:type="character" w:customStyle="1" w:styleId="277">
    <w:name w:val="正文文本缩进 2 Char"/>
    <w:link w:val="276"/>
    <w:qFormat/>
    <w:uiPriority w:val="0"/>
    <w:rPr>
      <w:rFonts w:ascii="Times New Roman" w:hAnsi="Times New Roman" w:eastAsia="仿宋_GB2312" w:cs="Times New Roman"/>
      <w:sz w:val="28"/>
      <w:szCs w:val="20"/>
    </w:rPr>
  </w:style>
  <w:style w:type="paragraph" w:customStyle="1" w:styleId="278">
    <w:name w:val="批注框文本1"/>
    <w:basedOn w:val="1"/>
    <w:link w:val="279"/>
    <w:semiHidden/>
    <w:qFormat/>
    <w:uiPriority w:val="0"/>
    <w:rPr>
      <w:sz w:val="18"/>
      <w:szCs w:val="18"/>
    </w:rPr>
  </w:style>
  <w:style w:type="character" w:customStyle="1" w:styleId="279">
    <w:name w:val="批注框文本 Char"/>
    <w:link w:val="278"/>
    <w:semiHidden/>
    <w:qFormat/>
    <w:uiPriority w:val="0"/>
    <w:rPr>
      <w:sz w:val="18"/>
      <w:szCs w:val="18"/>
    </w:rPr>
  </w:style>
  <w:style w:type="paragraph" w:customStyle="1" w:styleId="280">
    <w:name w:val="页脚1"/>
    <w:basedOn w:val="1"/>
    <w:link w:val="281"/>
    <w:qFormat/>
    <w:uiPriority w:val="99"/>
    <w:pPr>
      <w:tabs>
        <w:tab w:val="center" w:pos="4153"/>
        <w:tab w:val="right" w:pos="8306"/>
      </w:tabs>
      <w:jc w:val="left"/>
    </w:pPr>
    <w:rPr>
      <w:sz w:val="18"/>
      <w:szCs w:val="20"/>
    </w:rPr>
  </w:style>
  <w:style w:type="character" w:customStyle="1" w:styleId="281">
    <w:name w:val="页脚 Char"/>
    <w:link w:val="280"/>
    <w:qFormat/>
    <w:uiPriority w:val="99"/>
    <w:rPr>
      <w:rFonts w:ascii="Times New Roman" w:hAnsi="Times New Roman" w:eastAsia="宋体" w:cs="Times New Roman"/>
      <w:sz w:val="18"/>
      <w:szCs w:val="20"/>
    </w:rPr>
  </w:style>
  <w:style w:type="paragraph" w:customStyle="1" w:styleId="282">
    <w:name w:val="页眉1"/>
    <w:basedOn w:val="1"/>
    <w:link w:val="283"/>
    <w:qFormat/>
    <w:uiPriority w:val="0"/>
    <w:pPr>
      <w:pBdr>
        <w:bottom w:val="single" w:color="000000" w:sz="6" w:space="1"/>
      </w:pBdr>
      <w:tabs>
        <w:tab w:val="center" w:pos="4153"/>
        <w:tab w:val="right" w:pos="8306"/>
      </w:tabs>
      <w:jc w:val="center"/>
    </w:pPr>
    <w:rPr>
      <w:sz w:val="18"/>
      <w:szCs w:val="18"/>
    </w:rPr>
  </w:style>
  <w:style w:type="character" w:customStyle="1" w:styleId="283">
    <w:name w:val="页眉 Char"/>
    <w:link w:val="282"/>
    <w:qFormat/>
    <w:uiPriority w:val="0"/>
    <w:rPr>
      <w:rFonts w:ascii="Times New Roman" w:hAnsi="Times New Roman" w:eastAsia="宋体" w:cs="Times New Roman"/>
      <w:sz w:val="18"/>
      <w:szCs w:val="18"/>
    </w:rPr>
  </w:style>
  <w:style w:type="paragraph" w:customStyle="1" w:styleId="284">
    <w:name w:val="目录 11"/>
    <w:basedOn w:val="1"/>
    <w:next w:val="1"/>
    <w:semiHidden/>
    <w:qFormat/>
    <w:uiPriority w:val="0"/>
    <w:rPr>
      <w:sz w:val="24"/>
    </w:rPr>
  </w:style>
  <w:style w:type="paragraph" w:customStyle="1" w:styleId="285">
    <w:name w:val="列表1"/>
    <w:basedOn w:val="1"/>
    <w:qFormat/>
    <w:uiPriority w:val="0"/>
    <w:pPr>
      <w:ind w:left="200" w:hanging="200"/>
    </w:pPr>
  </w:style>
  <w:style w:type="paragraph" w:customStyle="1" w:styleId="286">
    <w:name w:val="脚注文本1"/>
    <w:basedOn w:val="1"/>
    <w:unhideWhenUsed/>
    <w:qFormat/>
    <w:uiPriority w:val="99"/>
    <w:pPr>
      <w:jc w:val="left"/>
    </w:pPr>
    <w:rPr>
      <w:sz w:val="18"/>
      <w:szCs w:val="18"/>
    </w:rPr>
  </w:style>
  <w:style w:type="paragraph" w:customStyle="1" w:styleId="287">
    <w:name w:val="正文文本缩进 31"/>
    <w:basedOn w:val="1"/>
    <w:link w:val="288"/>
    <w:qFormat/>
    <w:uiPriority w:val="0"/>
    <w:pPr>
      <w:spacing w:after="120"/>
      <w:ind w:left="420"/>
    </w:pPr>
    <w:rPr>
      <w:sz w:val="16"/>
      <w:szCs w:val="16"/>
    </w:rPr>
  </w:style>
  <w:style w:type="character" w:customStyle="1" w:styleId="288">
    <w:name w:val="正文文本缩进 3 Char"/>
    <w:link w:val="287"/>
    <w:qFormat/>
    <w:uiPriority w:val="0"/>
    <w:rPr>
      <w:rFonts w:ascii="Times New Roman" w:hAnsi="Times New Roman" w:eastAsia="宋体" w:cs="Times New Roman"/>
      <w:sz w:val="16"/>
      <w:szCs w:val="16"/>
    </w:rPr>
  </w:style>
  <w:style w:type="paragraph" w:customStyle="1" w:styleId="289">
    <w:name w:val="正文文本 21"/>
    <w:basedOn w:val="1"/>
    <w:link w:val="290"/>
    <w:qFormat/>
    <w:uiPriority w:val="0"/>
    <w:rPr>
      <w:b/>
      <w:bCs/>
      <w:sz w:val="18"/>
    </w:rPr>
  </w:style>
  <w:style w:type="character" w:customStyle="1" w:styleId="290">
    <w:name w:val="正文文本 2 Char"/>
    <w:link w:val="289"/>
    <w:qFormat/>
    <w:uiPriority w:val="0"/>
    <w:rPr>
      <w:rFonts w:ascii="Times New Roman" w:hAnsi="Times New Roman" w:eastAsia="宋体" w:cs="Times New Roman"/>
      <w:b/>
      <w:bCs/>
      <w:sz w:val="18"/>
      <w:szCs w:val="24"/>
    </w:rPr>
  </w:style>
  <w:style w:type="paragraph" w:customStyle="1" w:styleId="291">
    <w:name w:val="普通(网站)1"/>
    <w:basedOn w:val="1"/>
    <w:qFormat/>
    <w:uiPriority w:val="0"/>
    <w:pPr>
      <w:widowControl/>
      <w:spacing w:before="100" w:beforeAutospacing="1" w:after="100" w:afterAutospacing="1"/>
      <w:jc w:val="left"/>
    </w:pPr>
    <w:rPr>
      <w:rFonts w:ascii="宋体" w:hAnsi="宋体"/>
      <w:color w:val="000000"/>
      <w:sz w:val="24"/>
    </w:rPr>
  </w:style>
  <w:style w:type="paragraph" w:customStyle="1" w:styleId="292">
    <w:name w:val="正文首行缩进1"/>
    <w:basedOn w:val="50"/>
    <w:link w:val="293"/>
    <w:qFormat/>
    <w:uiPriority w:val="0"/>
    <w:pPr>
      <w:spacing w:after="120"/>
      <w:ind w:firstLine="420"/>
    </w:pPr>
    <w:rPr>
      <w:rFonts w:ascii="Times New Roman" w:eastAsia="宋体"/>
      <w:szCs w:val="24"/>
    </w:rPr>
  </w:style>
  <w:style w:type="character" w:customStyle="1" w:styleId="293">
    <w:name w:val="正文首行缩进 Char"/>
    <w:link w:val="292"/>
    <w:qFormat/>
    <w:uiPriority w:val="0"/>
    <w:rPr>
      <w:rFonts w:ascii="Times New Roman" w:hAnsi="Times New Roman" w:eastAsia="宋体" w:cs="Times New Roman"/>
      <w:sz w:val="24"/>
      <w:szCs w:val="24"/>
    </w:rPr>
  </w:style>
  <w:style w:type="paragraph" w:customStyle="1" w:styleId="294">
    <w:name w:val="正文首行缩进 21"/>
    <w:basedOn w:val="270"/>
    <w:qFormat/>
    <w:uiPriority w:val="0"/>
    <w:pPr>
      <w:spacing w:after="120"/>
      <w:ind w:left="420" w:firstLine="420"/>
    </w:pPr>
    <w:rPr>
      <w:sz w:val="21"/>
    </w:rPr>
  </w:style>
  <w:style w:type="table" w:customStyle="1" w:styleId="295">
    <w:name w:val="网格型11"/>
    <w:basedOn w:val="253"/>
    <w:qFormat/>
    <w:uiPriority w:val="59"/>
  </w:style>
  <w:style w:type="character" w:customStyle="1" w:styleId="296">
    <w:name w:val="要点1"/>
    <w:basedOn w:val="252"/>
    <w:qFormat/>
    <w:uiPriority w:val="0"/>
    <w:rPr>
      <w:b/>
      <w:bCs/>
    </w:rPr>
  </w:style>
  <w:style w:type="character" w:customStyle="1" w:styleId="297">
    <w:name w:val="页码1"/>
    <w:basedOn w:val="252"/>
    <w:qFormat/>
    <w:uiPriority w:val="0"/>
  </w:style>
  <w:style w:type="character" w:customStyle="1" w:styleId="298">
    <w:name w:val="已访问的超链接1"/>
    <w:basedOn w:val="252"/>
    <w:qFormat/>
    <w:uiPriority w:val="0"/>
    <w:rPr>
      <w:color w:val="800080"/>
      <w:u w:val="none"/>
    </w:rPr>
  </w:style>
  <w:style w:type="character" w:customStyle="1" w:styleId="299">
    <w:name w:val="强调1"/>
    <w:basedOn w:val="252"/>
    <w:qFormat/>
    <w:uiPriority w:val="20"/>
    <w:rPr>
      <w:b/>
      <w:bCs/>
    </w:rPr>
  </w:style>
  <w:style w:type="character" w:customStyle="1" w:styleId="300">
    <w:name w:val="HTML 定义1"/>
    <w:basedOn w:val="252"/>
    <w:unhideWhenUsed/>
    <w:qFormat/>
    <w:uiPriority w:val="99"/>
  </w:style>
  <w:style w:type="character" w:customStyle="1" w:styleId="301">
    <w:name w:val="HTML 打字机1"/>
    <w:basedOn w:val="252"/>
    <w:unhideWhenUsed/>
    <w:qFormat/>
    <w:uiPriority w:val="99"/>
    <w:rPr>
      <w:rFonts w:ascii="monospace" w:hAnsi="monospace" w:eastAsia="monospace" w:cs="monospace"/>
      <w:sz w:val="20"/>
    </w:rPr>
  </w:style>
  <w:style w:type="character" w:customStyle="1" w:styleId="302">
    <w:name w:val="HTML 缩写1"/>
    <w:basedOn w:val="252"/>
    <w:unhideWhenUsed/>
    <w:qFormat/>
    <w:uiPriority w:val="99"/>
  </w:style>
  <w:style w:type="character" w:customStyle="1" w:styleId="303">
    <w:name w:val="HTML 变量1"/>
    <w:basedOn w:val="252"/>
    <w:unhideWhenUsed/>
    <w:qFormat/>
    <w:uiPriority w:val="99"/>
  </w:style>
  <w:style w:type="character" w:customStyle="1" w:styleId="304">
    <w:name w:val="超链接1"/>
    <w:basedOn w:val="252"/>
    <w:qFormat/>
    <w:uiPriority w:val="0"/>
    <w:rPr>
      <w:color w:val="0000FF"/>
      <w:u w:val="none"/>
    </w:rPr>
  </w:style>
  <w:style w:type="character" w:customStyle="1" w:styleId="305">
    <w:name w:val="HTML 代码1"/>
    <w:basedOn w:val="252"/>
    <w:unhideWhenUsed/>
    <w:qFormat/>
    <w:uiPriority w:val="99"/>
    <w:rPr>
      <w:rFonts w:ascii="monospace" w:hAnsi="monospace" w:eastAsia="monospace" w:cs="monospace"/>
      <w:sz w:val="20"/>
    </w:rPr>
  </w:style>
  <w:style w:type="character" w:customStyle="1" w:styleId="306">
    <w:name w:val="HTML 引文1"/>
    <w:basedOn w:val="252"/>
    <w:unhideWhenUsed/>
    <w:qFormat/>
    <w:uiPriority w:val="99"/>
  </w:style>
  <w:style w:type="character" w:customStyle="1" w:styleId="307">
    <w:name w:val="HTML 键盘1"/>
    <w:basedOn w:val="252"/>
    <w:unhideWhenUsed/>
    <w:qFormat/>
    <w:uiPriority w:val="99"/>
    <w:rPr>
      <w:rFonts w:ascii="monospace" w:hAnsi="monospace" w:eastAsia="monospace" w:cs="monospace"/>
      <w:sz w:val="20"/>
    </w:rPr>
  </w:style>
  <w:style w:type="character" w:customStyle="1" w:styleId="308">
    <w:name w:val="HTML 样本1"/>
    <w:basedOn w:val="252"/>
    <w:unhideWhenUsed/>
    <w:qFormat/>
    <w:uiPriority w:val="99"/>
    <w:rPr>
      <w:rFonts w:ascii="monospace" w:hAnsi="monospace" w:eastAsia="monospace" w:cs="monospace"/>
    </w:rPr>
  </w:style>
  <w:style w:type="character" w:customStyle="1" w:styleId="309">
    <w:name w:val="批注框文本 Char1"/>
    <w:semiHidden/>
    <w:qFormat/>
    <w:uiPriority w:val="99"/>
    <w:rPr>
      <w:rFonts w:ascii="Times New Roman" w:hAnsi="Times New Roman" w:eastAsia="宋体" w:cs="Times New Roman"/>
      <w:sz w:val="18"/>
      <w:szCs w:val="18"/>
    </w:rPr>
  </w:style>
  <w:style w:type="character" w:customStyle="1" w:styleId="310">
    <w:name w:val="FA正文 Char"/>
    <w:link w:val="311"/>
    <w:qFormat/>
    <w:uiPriority w:val="0"/>
    <w:rPr>
      <w:rFonts w:ascii="宋体" w:hAnsi="宋体" w:eastAsia="宋体" w:cs="Times New Roman"/>
      <w:sz w:val="28"/>
      <w:szCs w:val="28"/>
    </w:rPr>
  </w:style>
  <w:style w:type="paragraph" w:customStyle="1" w:styleId="311">
    <w:name w:val="FA正文"/>
    <w:basedOn w:val="1"/>
    <w:link w:val="310"/>
    <w:qFormat/>
    <w:uiPriority w:val="0"/>
    <w:pPr>
      <w:tabs>
        <w:tab w:val="left" w:pos="3375"/>
      </w:tabs>
      <w:spacing w:line="440" w:lineRule="atLeast"/>
      <w:ind w:firstLine="538"/>
    </w:pPr>
    <w:rPr>
      <w:rFonts w:ascii="宋体" w:hAnsi="宋体"/>
      <w:sz w:val="28"/>
      <w:szCs w:val="28"/>
    </w:rPr>
  </w:style>
  <w:style w:type="character" w:customStyle="1" w:styleId="312">
    <w:name w:val="普通正文 Char"/>
    <w:link w:val="313"/>
    <w:qFormat/>
    <w:uiPriority w:val="0"/>
    <w:rPr>
      <w:rFonts w:ascii="Arial" w:hAnsi="Arial"/>
      <w:sz w:val="24"/>
      <w:szCs w:val="24"/>
    </w:rPr>
  </w:style>
  <w:style w:type="paragraph" w:customStyle="1" w:styleId="313">
    <w:name w:val="普通正文"/>
    <w:basedOn w:val="1"/>
    <w:link w:val="312"/>
    <w:qFormat/>
    <w:uiPriority w:val="0"/>
    <w:pPr>
      <w:spacing w:before="120" w:after="120" w:line="360" w:lineRule="auto"/>
      <w:ind w:left="-2" w:right="120" w:firstLine="480"/>
      <w:jc w:val="center"/>
    </w:pPr>
    <w:rPr>
      <w:rFonts w:ascii="Arial" w:hAnsi="Arial"/>
      <w:sz w:val="24"/>
    </w:rPr>
  </w:style>
  <w:style w:type="character" w:customStyle="1" w:styleId="314">
    <w:name w:val="正文缩进2格 Char"/>
    <w:link w:val="315"/>
    <w:qFormat/>
    <w:uiPriority w:val="0"/>
    <w:rPr>
      <w:rFonts w:ascii="仿宋_GB2312" w:hAnsi="宋体" w:eastAsia="仿宋_GB2312" w:cs="Times New Roman"/>
      <w:sz w:val="31"/>
      <w:szCs w:val="28"/>
    </w:rPr>
  </w:style>
  <w:style w:type="paragraph" w:customStyle="1" w:styleId="315">
    <w:name w:val="正文缩进2格"/>
    <w:basedOn w:val="1"/>
    <w:link w:val="314"/>
    <w:qFormat/>
    <w:uiPriority w:val="0"/>
    <w:pPr>
      <w:spacing w:line="600" w:lineRule="exact"/>
      <w:ind w:firstLine="639"/>
    </w:pPr>
    <w:rPr>
      <w:rFonts w:ascii="仿宋_GB2312" w:hAnsi="宋体" w:eastAsia="仿宋_GB2312"/>
      <w:sz w:val="31"/>
      <w:szCs w:val="28"/>
    </w:rPr>
  </w:style>
  <w:style w:type="character" w:customStyle="1" w:styleId="316">
    <w:name w:val="标题 4 Char1"/>
    <w:qFormat/>
    <w:uiPriority w:val="0"/>
    <w:rPr>
      <w:rFonts w:ascii="Arial" w:hAnsi="Arial" w:eastAsia="黑体"/>
      <w:b/>
      <w:bCs/>
      <w:sz w:val="28"/>
      <w:szCs w:val="28"/>
      <w:lang w:val="en-US" w:eastAsia="zh-CN" w:bidi="ar-SA"/>
    </w:rPr>
  </w:style>
  <w:style w:type="character" w:customStyle="1" w:styleId="317">
    <w:name w:val="列出段落 Char"/>
    <w:link w:val="318"/>
    <w:qFormat/>
    <w:uiPriority w:val="99"/>
  </w:style>
  <w:style w:type="paragraph" w:customStyle="1" w:styleId="318">
    <w:name w:val="列出段落"/>
    <w:basedOn w:val="1"/>
    <w:link w:val="317"/>
    <w:qFormat/>
    <w:uiPriority w:val="99"/>
    <w:pPr>
      <w:ind w:firstLine="420"/>
    </w:pPr>
    <w:rPr>
      <w:sz w:val="20"/>
      <w:szCs w:val="20"/>
    </w:rPr>
  </w:style>
  <w:style w:type="character" w:customStyle="1" w:styleId="319">
    <w:name w:val="ssss Char"/>
    <w:qFormat/>
    <w:uiPriority w:val="0"/>
    <w:rPr>
      <w:rFonts w:eastAsia="宋体"/>
      <w:sz w:val="24"/>
      <w:szCs w:val="24"/>
      <w:lang w:val="en-US" w:eastAsia="zh-CN" w:bidi="ar-SA"/>
    </w:rPr>
  </w:style>
  <w:style w:type="character" w:customStyle="1" w:styleId="320">
    <w:name w:val="样式 ssss + 宋体 五号1 Char"/>
    <w:link w:val="321"/>
    <w:qFormat/>
    <w:uiPriority w:val="0"/>
    <w:rPr>
      <w:rFonts w:ascii="宋体" w:hAnsi="宋体" w:eastAsia="宋体" w:cs="Times New Roman"/>
      <w:sz w:val="24"/>
      <w:szCs w:val="24"/>
    </w:rPr>
  </w:style>
  <w:style w:type="paragraph" w:customStyle="1" w:styleId="321">
    <w:name w:val="样式 ssss + 宋体 五号1"/>
    <w:basedOn w:val="322"/>
    <w:link w:val="320"/>
    <w:qFormat/>
    <w:uiPriority w:val="0"/>
    <w:rPr>
      <w:rFonts w:ascii="宋体" w:hAnsi="宋体"/>
    </w:rPr>
  </w:style>
  <w:style w:type="paragraph" w:customStyle="1" w:styleId="322">
    <w:name w:val="ssss"/>
    <w:basedOn w:val="1"/>
    <w:link w:val="323"/>
    <w:qFormat/>
    <w:uiPriority w:val="0"/>
    <w:pPr>
      <w:spacing w:line="360" w:lineRule="auto"/>
      <w:ind w:firstLine="480"/>
    </w:pPr>
    <w:rPr>
      <w:sz w:val="24"/>
    </w:rPr>
  </w:style>
  <w:style w:type="character" w:customStyle="1" w:styleId="323">
    <w:name w:val="ssss Char1"/>
    <w:link w:val="322"/>
    <w:qFormat/>
    <w:uiPriority w:val="0"/>
    <w:rPr>
      <w:rFonts w:ascii="Times New Roman" w:hAnsi="Times New Roman" w:eastAsia="宋体" w:cs="Times New Roman"/>
      <w:sz w:val="24"/>
      <w:szCs w:val="24"/>
    </w:rPr>
  </w:style>
  <w:style w:type="character" w:customStyle="1" w:styleId="324">
    <w:name w:val="cn_text1"/>
    <w:qFormat/>
    <w:uiPriority w:val="0"/>
    <w:rPr>
      <w:rFonts w:ascii="ˎ̥" w:hAnsi="ˎ̥"/>
      <w:color w:val="003399"/>
      <w:spacing w:val="15"/>
      <w:sz w:val="18"/>
      <w:szCs w:val="18"/>
    </w:rPr>
  </w:style>
  <w:style w:type="character" w:customStyle="1" w:styleId="325">
    <w:name w:val="point_normal1"/>
    <w:qFormat/>
    <w:uiPriority w:val="0"/>
    <w:rPr>
      <w:rFonts w:ascii="Arial" w:hAnsi="Arial" w:cs="Arial"/>
      <w:sz w:val="16"/>
      <w:szCs w:val="16"/>
    </w:rPr>
  </w:style>
  <w:style w:type="character" w:customStyle="1" w:styleId="326">
    <w:name w:val="mini-tree-nodetext3"/>
    <w:basedOn w:val="252"/>
    <w:qFormat/>
    <w:uiPriority w:val="0"/>
  </w:style>
  <w:style w:type="character" w:customStyle="1" w:styleId="327">
    <w:name w:val="文档结构图 Char1"/>
    <w:semiHidden/>
    <w:qFormat/>
    <w:uiPriority w:val="99"/>
    <w:rPr>
      <w:rFonts w:ascii="宋体" w:hAnsi="Times New Roman" w:eastAsia="宋体" w:cs="Times New Roman"/>
      <w:sz w:val="18"/>
      <w:szCs w:val="18"/>
    </w:rPr>
  </w:style>
  <w:style w:type="character" w:customStyle="1" w:styleId="328">
    <w:name w:val="列表段落 字符"/>
    <w:qFormat/>
    <w:uiPriority w:val="34"/>
    <w:rPr>
      <w:rFonts w:ascii="Calibri" w:hAnsi="Calibri"/>
      <w:sz w:val="21"/>
      <w:szCs w:val="22"/>
    </w:rPr>
  </w:style>
  <w:style w:type="paragraph" w:customStyle="1" w:styleId="329">
    <w:name w:val="标题-----3"/>
    <w:basedOn w:val="244"/>
    <w:qFormat/>
    <w:uiPriority w:val="0"/>
    <w:pPr>
      <w:spacing w:before="0" w:after="0" w:line="240" w:lineRule="auto"/>
      <w:outlineLvl w:val="0"/>
    </w:pPr>
    <w:rPr>
      <w:rFonts w:ascii="宋体" w:hAnsi="宋体"/>
      <w:b w:val="0"/>
      <w:bCs w:val="0"/>
      <w:sz w:val="28"/>
      <w:szCs w:val="28"/>
    </w:rPr>
  </w:style>
  <w:style w:type="paragraph" w:customStyle="1" w:styleId="330">
    <w:name w:val="2cxsplast"/>
    <w:basedOn w:val="1"/>
    <w:qFormat/>
    <w:uiPriority w:val="0"/>
    <w:pPr>
      <w:widowControl/>
      <w:spacing w:before="100" w:beforeAutospacing="1" w:after="100" w:afterAutospacing="1"/>
      <w:jc w:val="left"/>
    </w:pPr>
    <w:rPr>
      <w:rFonts w:ascii="宋体" w:hAnsi="宋体" w:cs="宋体"/>
      <w:sz w:val="24"/>
    </w:rPr>
  </w:style>
  <w:style w:type="paragraph" w:customStyle="1" w:styleId="331">
    <w:name w:val="Normal1"/>
    <w:qFormat/>
    <w:uiPriority w:val="0"/>
    <w:pPr>
      <w:widowControl w:val="0"/>
      <w:spacing w:line="315" w:lineRule="atLeast"/>
      <w:jc w:val="both"/>
    </w:pPr>
    <w:rPr>
      <w:rFonts w:hint="default" w:ascii="宋体" w:hAnsi="Times New Roman" w:eastAsia="宋体" w:cs="Times New Roman"/>
      <w:sz w:val="24"/>
      <w:lang w:val="en-US" w:eastAsia="zh-CN" w:bidi="ar-SA"/>
    </w:rPr>
  </w:style>
  <w:style w:type="paragraph" w:customStyle="1" w:styleId="332">
    <w:name w:val="Char Char Char Char Char Char Char Char Char Char Char Char Char"/>
    <w:basedOn w:val="1"/>
    <w:qFormat/>
    <w:uiPriority w:val="0"/>
    <w:rPr>
      <w:sz w:val="24"/>
    </w:rPr>
  </w:style>
  <w:style w:type="paragraph" w:customStyle="1" w:styleId="333">
    <w:name w:val="表格正文"/>
    <w:basedOn w:val="1"/>
    <w:qFormat/>
    <w:uiPriority w:val="0"/>
    <w:pPr>
      <w:spacing w:line="360" w:lineRule="auto"/>
      <w:jc w:val="left"/>
    </w:pPr>
    <w:rPr>
      <w:rFonts w:ascii="Calibri" w:hAnsi="Calibri"/>
      <w:color w:val="000000"/>
      <w:szCs w:val="28"/>
    </w:rPr>
  </w:style>
  <w:style w:type="paragraph" w:customStyle="1" w:styleId="334">
    <w:name w:val="2"/>
    <w:next w:val="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35">
    <w:name w:val="style4"/>
    <w:basedOn w:val="1"/>
    <w:next w:val="334"/>
    <w:qFormat/>
    <w:uiPriority w:val="0"/>
    <w:pPr>
      <w:spacing w:before="280" w:after="280"/>
    </w:pPr>
    <w:rPr>
      <w:rFonts w:ascii="宋体"/>
      <w:sz w:val="18"/>
    </w:rPr>
  </w:style>
  <w:style w:type="paragraph" w:customStyle="1" w:styleId="336">
    <w:name w:val="Char Char Char Char Char Char Char Char Char Char Char Char Char1"/>
    <w:basedOn w:val="1"/>
    <w:qFormat/>
    <w:uiPriority w:val="0"/>
  </w:style>
  <w:style w:type="paragraph" w:customStyle="1" w:styleId="337">
    <w:name w:val="样式 正文文本缩进 3 + 四号"/>
    <w:basedOn w:val="287"/>
    <w:qFormat/>
    <w:uiPriority w:val="0"/>
    <w:pPr>
      <w:spacing w:after="0" w:line="360" w:lineRule="auto"/>
      <w:ind w:left="0" w:firstLine="437"/>
    </w:pPr>
    <w:rPr>
      <w:sz w:val="24"/>
      <w:szCs w:val="21"/>
    </w:rPr>
  </w:style>
  <w:style w:type="paragraph" w:customStyle="1" w:styleId="338">
    <w:name w:val="Char Char Char Char"/>
    <w:basedOn w:val="1"/>
    <w:qFormat/>
    <w:uiPriority w:val="0"/>
    <w:rPr>
      <w:rFonts w:ascii="Tahoma" w:hAnsi="Tahoma"/>
      <w:sz w:val="24"/>
      <w:szCs w:val="20"/>
    </w:rPr>
  </w:style>
  <w:style w:type="paragraph" w:customStyle="1" w:styleId="339">
    <w:name w:val="Char Char Char Char1"/>
    <w:basedOn w:val="1"/>
    <w:qFormat/>
    <w:uiPriority w:val="0"/>
    <w:rPr>
      <w:rFonts w:ascii="Tahoma" w:hAnsi="Tahoma"/>
      <w:sz w:val="24"/>
      <w:szCs w:val="20"/>
    </w:rPr>
  </w:style>
  <w:style w:type="paragraph" w:customStyle="1" w:styleId="340">
    <w:name w:val="样式 ssss + 居中"/>
    <w:basedOn w:val="322"/>
    <w:qFormat/>
    <w:uiPriority w:val="0"/>
    <w:pPr>
      <w:jc w:val="center"/>
    </w:pPr>
    <w:rPr>
      <w:rFonts w:cs="宋体"/>
      <w:szCs w:val="20"/>
    </w:rPr>
  </w:style>
  <w:style w:type="paragraph" w:customStyle="1" w:styleId="341">
    <w:name w:val="ec_msonormal"/>
    <w:basedOn w:val="1"/>
    <w:qFormat/>
    <w:uiPriority w:val="0"/>
    <w:pPr>
      <w:widowControl/>
      <w:spacing w:before="100" w:beforeAutospacing="1" w:after="100" w:afterAutospacing="1"/>
      <w:jc w:val="left"/>
    </w:pPr>
    <w:rPr>
      <w:rFonts w:ascii="宋体" w:hAnsi="宋体"/>
      <w:sz w:val="24"/>
    </w:rPr>
  </w:style>
  <w:style w:type="paragraph" w:customStyle="1" w:styleId="342">
    <w:name w:val="样式 宋体 四号 黑色 左侧:  0.74 厘米 首行缩进:  0.74 厘米 行距: 1.5 倍行距"/>
    <w:basedOn w:val="1"/>
    <w:qFormat/>
    <w:uiPriority w:val="0"/>
    <w:pPr>
      <w:spacing w:line="360" w:lineRule="auto"/>
      <w:ind w:firstLine="420"/>
    </w:pPr>
    <w:rPr>
      <w:rFonts w:ascii="宋体"/>
      <w:color w:val="000000"/>
      <w:sz w:val="24"/>
      <w:szCs w:val="21"/>
    </w:rPr>
  </w:style>
  <w:style w:type="paragraph" w:customStyle="1" w:styleId="343">
    <w:name w:val="样式 样式 ssss + 宋体 五号 + 首行缩进:  2 字符"/>
    <w:basedOn w:val="344"/>
    <w:qFormat/>
    <w:uiPriority w:val="0"/>
    <w:pPr>
      <w:ind w:firstLine="480"/>
    </w:pPr>
  </w:style>
  <w:style w:type="paragraph" w:customStyle="1" w:styleId="344">
    <w:name w:val="样式 ssss + 宋体 五号"/>
    <w:basedOn w:val="322"/>
    <w:qFormat/>
    <w:uiPriority w:val="0"/>
    <w:pPr>
      <w:ind w:firstLine="420"/>
    </w:pPr>
    <w:rPr>
      <w:rFonts w:ascii="宋体" w:hAnsi="宋体" w:cs="宋体"/>
      <w:szCs w:val="20"/>
    </w:rPr>
  </w:style>
  <w:style w:type="paragraph" w:customStyle="1" w:styleId="345">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6">
    <w:name w:val="标题------4"/>
    <w:basedOn w:val="245"/>
    <w:qFormat/>
    <w:uiPriority w:val="0"/>
    <w:pPr>
      <w:keepLines/>
      <w:spacing w:line="360" w:lineRule="auto"/>
      <w:ind w:left="960" w:hanging="420"/>
      <w:jc w:val="both"/>
    </w:pPr>
    <w:rPr>
      <w:rFonts w:ascii="仿宋_GB2312" w:hAnsi="宋体" w:eastAsia="仿宋_GB2312" w:cs="仿宋_GB2312"/>
      <w:b/>
      <w:sz w:val="28"/>
      <w:szCs w:val="28"/>
      <w:lang w:val="zh-CN"/>
    </w:rPr>
  </w:style>
  <w:style w:type="paragraph" w:customStyle="1" w:styleId="347">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348">
    <w:name w:val="表格"/>
    <w:basedOn w:val="1"/>
    <w:qFormat/>
    <w:uiPriority w:val="0"/>
    <w:rPr>
      <w:rFonts w:ascii="Arial" w:hAnsi="Arial"/>
      <w:sz w:val="24"/>
    </w:rPr>
  </w:style>
  <w:style w:type="paragraph" w:customStyle="1" w:styleId="349">
    <w:name w:val="Header2"/>
    <w:basedOn w:val="1"/>
    <w:qFormat/>
    <w:uiPriority w:val="0"/>
    <w:pPr>
      <w:numPr>
        <w:ilvl w:val="0"/>
        <w:numId w:val="1"/>
      </w:numPr>
    </w:pPr>
  </w:style>
  <w:style w:type="paragraph" w:customStyle="1" w:styleId="350">
    <w:name w:val="正文样式1"/>
    <w:basedOn w:val="1"/>
    <w:qFormat/>
    <w:uiPriority w:val="0"/>
    <w:pPr>
      <w:spacing w:before="120" w:after="120" w:line="360" w:lineRule="auto"/>
      <w:ind w:firstLine="480"/>
    </w:pPr>
    <w:rPr>
      <w:sz w:val="24"/>
      <w:szCs w:val="20"/>
    </w:rPr>
  </w:style>
  <w:style w:type="paragraph" w:customStyle="1" w:styleId="351">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52">
    <w:name w:val="Char Char Char Char Char Char Char Char Char Char"/>
    <w:basedOn w:val="1"/>
    <w:qFormat/>
    <w:uiPriority w:val="0"/>
    <w:rPr>
      <w:rFonts w:ascii="Tahoma" w:hAnsi="Tahoma"/>
      <w:sz w:val="24"/>
      <w:szCs w:val="20"/>
    </w:rPr>
  </w:style>
  <w:style w:type="paragraph" w:customStyle="1" w:styleId="353">
    <w:name w:val="Char"/>
    <w:basedOn w:val="1"/>
    <w:qFormat/>
    <w:uiPriority w:val="0"/>
    <w:pPr>
      <w:tabs>
        <w:tab w:val="left" w:pos="360"/>
      </w:tabs>
    </w:pPr>
    <w:rPr>
      <w:sz w:val="24"/>
    </w:rPr>
  </w:style>
  <w:style w:type="paragraph" w:customStyle="1" w:styleId="354">
    <w:name w:val="Char Char 字元 字元 字元 Char Char Char Char"/>
    <w:basedOn w:val="1"/>
    <w:qFormat/>
    <w:uiPriority w:val="0"/>
    <w:pPr>
      <w:spacing w:line="360" w:lineRule="auto"/>
    </w:pPr>
    <w:rPr>
      <w:sz w:val="24"/>
      <w:szCs w:val="20"/>
    </w:rPr>
  </w:style>
  <w:style w:type="paragraph" w:customStyle="1" w:styleId="355">
    <w:name w:val="2cxspmiddle"/>
    <w:basedOn w:val="1"/>
    <w:qFormat/>
    <w:uiPriority w:val="0"/>
    <w:pPr>
      <w:widowControl/>
      <w:spacing w:before="100" w:beforeAutospacing="1" w:after="100" w:afterAutospacing="1"/>
      <w:jc w:val="left"/>
    </w:pPr>
    <w:rPr>
      <w:rFonts w:ascii="宋体" w:hAnsi="宋体" w:cs="宋体"/>
      <w:sz w:val="24"/>
    </w:rPr>
  </w:style>
  <w:style w:type="paragraph" w:customStyle="1" w:styleId="356">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7">
    <w:name w:val="正文1"/>
    <w:basedOn w:val="268"/>
    <w:qFormat/>
    <w:uiPriority w:val="0"/>
    <w:rPr>
      <w:rFonts w:ascii="Times New Roman" w:hAnsi="Times New Roman"/>
    </w:rPr>
  </w:style>
  <w:style w:type="paragraph" w:customStyle="1" w:styleId="358">
    <w:name w:val="列出段落1"/>
    <w:basedOn w:val="1"/>
    <w:qFormat/>
    <w:uiPriority w:val="99"/>
    <w:pPr>
      <w:ind w:firstLine="200"/>
    </w:pPr>
    <w:rPr>
      <w:rFonts w:ascii="Calibri" w:hAnsi="Calibri"/>
      <w:szCs w:val="22"/>
    </w:rPr>
  </w:style>
  <w:style w:type="paragraph" w:customStyle="1" w:styleId="359">
    <w:name w:val="xl25"/>
    <w:basedOn w:val="1"/>
    <w:qFormat/>
    <w:uiPriority w:val="0"/>
    <w:pPr>
      <w:widowControl/>
      <w:pBdr>
        <w:bottom w:val="single" w:color="000000" w:sz="4" w:space="0"/>
        <w:right w:val="single" w:color="000000" w:sz="4" w:space="0"/>
      </w:pBdr>
      <w:spacing w:before="100" w:beforeAutospacing="1" w:after="100" w:afterAutospacing="1"/>
    </w:pPr>
    <w:rPr>
      <w:rFonts w:hint="eastAsia" w:ascii="华文细黑" w:hAnsi="华文细黑" w:eastAsia="华文细黑"/>
      <w:sz w:val="18"/>
      <w:szCs w:val="18"/>
    </w:rPr>
  </w:style>
  <w:style w:type="paragraph" w:customStyle="1" w:styleId="360">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61">
    <w:name w:val="Char1"/>
    <w:basedOn w:val="1"/>
    <w:qFormat/>
    <w:uiPriority w:val="0"/>
    <w:rPr>
      <w:rFonts w:ascii="Tahoma" w:hAnsi="Tahoma"/>
      <w:sz w:val="24"/>
      <w:szCs w:val="20"/>
    </w:rPr>
  </w:style>
  <w:style w:type="paragraph" w:customStyle="1" w:styleId="362">
    <w:name w:val="Char Char Char"/>
    <w:basedOn w:val="1"/>
    <w:qFormat/>
    <w:uiPriority w:val="0"/>
    <w:rPr>
      <w:rFonts w:ascii="Tahoma" w:hAnsi="Tahoma"/>
      <w:sz w:val="24"/>
      <w:szCs w:val="20"/>
    </w:rPr>
  </w:style>
  <w:style w:type="paragraph" w:customStyle="1" w:styleId="363">
    <w:name w:val="msonormalcxsplast"/>
    <w:basedOn w:val="1"/>
    <w:qFormat/>
    <w:uiPriority w:val="0"/>
    <w:pPr>
      <w:widowControl/>
      <w:spacing w:before="100" w:beforeAutospacing="1" w:after="100" w:afterAutospacing="1"/>
      <w:jc w:val="left"/>
    </w:pPr>
    <w:rPr>
      <w:rFonts w:ascii="宋体" w:hAnsi="宋体" w:cs="宋体"/>
      <w:sz w:val="24"/>
    </w:rPr>
  </w:style>
  <w:style w:type="paragraph" w:customStyle="1" w:styleId="364">
    <w:name w:val="Table Text"/>
    <w:basedOn w:val="1"/>
    <w:semiHidden/>
    <w:qFormat/>
    <w:uiPriority w:val="0"/>
    <w:rPr>
      <w:rFonts w:ascii="宋体" w:hAnsi="宋体" w:cs="宋体"/>
      <w:sz w:val="20"/>
      <w:szCs w:val="20"/>
      <w:lang w:eastAsia="en-US"/>
    </w:rPr>
  </w:style>
  <w:style w:type="table" w:customStyle="1" w:styleId="365">
    <w:name w:val="网格型1"/>
    <w:basedOn w:val="253"/>
    <w:qFormat/>
    <w:uiPriority w:val="39"/>
    <w:rPr>
      <w:rFonts w:ascii="等线" w:hAnsi="等线" w:eastAsia="等线"/>
      <w:sz w:val="21"/>
      <w:szCs w:val="22"/>
    </w:rPr>
  </w:style>
  <w:style w:type="table" w:customStyle="1" w:styleId="366">
    <w:name w:val="Table Normal"/>
    <w:unhideWhenUsed/>
    <w:qFormat/>
    <w:uiPriority w:val="0"/>
    <w:tblPr>
      <w:tblCellMar>
        <w:top w:w="0" w:type="dxa"/>
        <w:left w:w="0" w:type="dxa"/>
        <w:bottom w:w="0" w:type="dxa"/>
        <w:right w:w="0" w:type="dxa"/>
      </w:tblCellMar>
    </w:tblPr>
  </w:style>
  <w:style w:type="paragraph" w:customStyle="1" w:styleId="367">
    <w:name w:val="样式 宋体 左 行距: 1.5 倍行距"/>
    <w:basedOn w:val="1"/>
    <w:qFormat/>
    <w:uiPriority w:val="0"/>
    <w:pPr>
      <w:spacing w:line="360" w:lineRule="auto"/>
      <w:jc w:val="left"/>
    </w:pPr>
    <w:rPr>
      <w:rFonts w:ascii="宋体" w:hAnsi="宋体" w:cs="宋体"/>
      <w:szCs w:val="20"/>
    </w:rPr>
  </w:style>
  <w:style w:type="paragraph" w:customStyle="1" w:styleId="368">
    <w:name w:val="toc 1"/>
    <w:basedOn w:val="1"/>
    <w:next w:val="1"/>
    <w:qFormat/>
    <w:uiPriority w:val="99"/>
  </w:style>
  <w:style w:type="paragraph" w:customStyle="1" w:styleId="369">
    <w:name w:val="普通(网站)11"/>
    <w:basedOn w:val="1"/>
    <w:qFormat/>
    <w:uiPriority w:val="99"/>
    <w:pPr>
      <w:widowControl/>
      <w:spacing w:before="100" w:beforeAutospacing="1" w:after="100" w:afterAutospacing="1"/>
      <w:ind w:firstLine="200"/>
      <w:jc w:val="left"/>
    </w:pPr>
    <w:rPr>
      <w:rFonts w:ascii="宋体" w:hAnsi="宋体" w:cs="宋体"/>
      <w:sz w:val="24"/>
    </w:rPr>
  </w:style>
  <w:style w:type="paragraph" w:customStyle="1" w:styleId="370">
    <w:name w:val="索引 41"/>
    <w:basedOn w:val="1"/>
    <w:next w:val="1"/>
    <w:qFormat/>
    <w:uiPriority w:val="0"/>
    <w:pPr>
      <w:ind w:left="600"/>
    </w:pPr>
    <w:rPr>
      <w:rFonts w:ascii="Calibri" w:hAnsi="Calibri"/>
      <w:szCs w:val="22"/>
    </w:rPr>
  </w:style>
  <w:style w:type="character" w:customStyle="1" w:styleId="371">
    <w:name w:val="正文（缩进） Char Char"/>
    <w:link w:val="52"/>
    <w:qFormat/>
    <w:uiPriority w:val="0"/>
    <w:rPr>
      <w:sz w:val="21"/>
    </w:rPr>
  </w:style>
  <w:style w:type="character" w:customStyle="1" w:styleId="372">
    <w:name w:val="font11"/>
    <w:basedOn w:val="44"/>
    <w:qFormat/>
    <w:uiPriority w:val="0"/>
    <w:rPr>
      <w:rFonts w:hint="eastAsia" w:ascii="宋体" w:hAnsi="宋体" w:eastAsia="宋体" w:cs="宋体"/>
      <w:color w:val="000000"/>
      <w:sz w:val="20"/>
      <w:szCs w:val="20"/>
      <w:u w:val="none"/>
    </w:rPr>
  </w:style>
  <w:style w:type="character" w:customStyle="1" w:styleId="373">
    <w:name w:val="font41"/>
    <w:basedOn w:val="44"/>
    <w:qFormat/>
    <w:uiPriority w:val="0"/>
    <w:rPr>
      <w:rFonts w:ascii="Calibri" w:hAnsi="Calibri" w:cs="Calibri"/>
      <w:color w:val="000000"/>
      <w:sz w:val="20"/>
      <w:szCs w:val="20"/>
      <w:u w:val="none"/>
    </w:rPr>
  </w:style>
  <w:style w:type="character" w:customStyle="1" w:styleId="374">
    <w:name w:val="font31"/>
    <w:basedOn w:val="44"/>
    <w:qFormat/>
    <w:uiPriority w:val="0"/>
    <w:rPr>
      <w:rFonts w:hint="eastAsia" w:ascii="宋体" w:hAnsi="宋体" w:eastAsia="宋体" w:cs="宋体"/>
      <w:b/>
      <w:bCs/>
      <w:color w:val="000000"/>
      <w:sz w:val="20"/>
      <w:szCs w:val="20"/>
      <w:u w:val="none"/>
    </w:rPr>
  </w:style>
  <w:style w:type="character" w:customStyle="1" w:styleId="375">
    <w:name w:val="font51"/>
    <w:basedOn w:val="44"/>
    <w:qFormat/>
    <w:uiPriority w:val="0"/>
    <w:rPr>
      <w:rFonts w:hint="eastAsia" w:ascii="宋体" w:hAnsi="宋体" w:eastAsia="宋体" w:cs="宋体"/>
      <w:color w:val="FF0000"/>
      <w:sz w:val="20"/>
      <w:szCs w:val="20"/>
      <w:u w:val="none"/>
    </w:rPr>
  </w:style>
  <w:style w:type="character" w:customStyle="1" w:styleId="376">
    <w:name w:val="font01"/>
    <w:basedOn w:val="44"/>
    <w:qFormat/>
    <w:uiPriority w:val="0"/>
    <w:rPr>
      <w:rFonts w:hint="eastAsia" w:ascii="宋体" w:hAnsi="宋体" w:eastAsia="宋体" w:cs="宋体"/>
      <w:color w:val="000000"/>
      <w:sz w:val="22"/>
      <w:szCs w:val="22"/>
      <w:u w:val="none"/>
    </w:rPr>
  </w:style>
  <w:style w:type="character" w:customStyle="1" w:styleId="377">
    <w:name w:val="font151"/>
    <w:basedOn w:val="44"/>
    <w:qFormat/>
    <w:uiPriority w:val="0"/>
    <w:rPr>
      <w:rFonts w:hint="default" w:ascii="Times New Roman" w:hAnsi="Times New Roman" w:cs="Times New Roman"/>
      <w:color w:val="000000"/>
      <w:sz w:val="21"/>
      <w:szCs w:val="21"/>
      <w:u w:val="none"/>
    </w:rPr>
  </w:style>
  <w:style w:type="character" w:customStyle="1" w:styleId="378">
    <w:name w:val="font132"/>
    <w:basedOn w:val="44"/>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52</Pages>
  <Words>8855</Words>
  <Characters>9384</Characters>
  <TotalTime>10</TotalTime>
  <ScaleCrop>false</ScaleCrop>
  <LinksUpToDate>false</LinksUpToDate>
  <CharactersWithSpaces>9493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2021-09-04T14:48:00Z</dcterms:created>
  <dc:creator>Us</dc:creator>
  <cp:lastModifiedBy>Administrator</cp:lastModifiedBy>
  <dcterms:modified xsi:type="dcterms:W3CDTF">2026-09-03T01:13:25Z</dcterms:modified>
  <dc:title>南通市</dc:title>
  <cp:revision>175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97C5FD4FD26440A78867A126109C7452_13</vt:lpwstr>
  </property>
  <property fmtid="{D5CDD505-2E9C-101B-9397-08002B2CF9AE}" pid="4" name="KSOTemplateDocerSaveRecord">
    <vt:lpwstr>eyJoZGlkIjoiM2Y4ZGI0MGFjZmJhMmE5NjgwMTJkNDJhMjFiYWRmZDYiLCJ1c2VySWQiOiIyODgxNTg0MzkifQ==</vt:lpwstr>
  </property>
</Properties>
</file>