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966"/>
      </w:pPr>
      <w:r/>
      <w:r/>
    </w:p>
    <w:p>
      <w:pPr>
        <w:pStyle w:val="945"/>
        <w:jc w:val="center"/>
        <w:rPr>
          <w:rFonts w:hint="eastAsia" w:ascii="Arial" w:hAnsi="Arial" w:eastAsia="黑体" w:cs="Arial"/>
          <w:b/>
          <w:bCs/>
          <w:sz w:val="52"/>
          <w:szCs w:val="52"/>
          <w:lang w:eastAsia="zh-CN"/>
        </w:rPr>
      </w:pPr>
      <w:r>
        <w:rPr>
          <w:rFonts w:hint="eastAsia" w:ascii="Arial" w:hAnsi="Arial" w:eastAsia="黑体" w:cs="Arial"/>
          <w:b/>
          <w:bCs/>
          <w:sz w:val="52"/>
          <w:szCs w:val="52"/>
          <w:lang w:eastAsia="zh-CN"/>
        </w:rPr>
        <w:t xml:space="preserve">扬州中国大运河博物馆</w:t>
      </w:r>
      <w:r/>
    </w:p>
    <w:p>
      <w:pPr>
        <w:pStyle w:val="945"/>
        <w:jc w:val="center"/>
        <w:rPr>
          <w:rFonts w:hint="eastAsia" w:ascii="Arial" w:hAnsi="Arial" w:eastAsia="黑体" w:cs="Arial"/>
          <w:b/>
          <w:bCs/>
          <w:sz w:val="52"/>
          <w:szCs w:val="52"/>
          <w:lang w:eastAsia="zh-CN"/>
        </w:rPr>
      </w:pPr>
      <w:r>
        <w:rPr>
          <w:rFonts w:hint="eastAsia" w:ascii="Arial" w:hAnsi="Arial" w:eastAsia="黑体" w:cs="Arial"/>
          <w:b/>
          <w:bCs/>
          <w:sz w:val="52"/>
          <w:szCs w:val="52"/>
          <w:lang w:eastAsia="zh-CN"/>
        </w:rPr>
        <w:t xml:space="preserve">智慧孪生BIM模型项目</w:t>
      </w:r>
      <w:r/>
    </w:p>
    <w:p>
      <w:pPr>
        <w:pStyle w:val="947"/>
        <w:ind w:left="1260"/>
      </w:pPr>
      <w:r/>
      <w:r/>
    </w:p>
    <w:p>
      <w:r/>
      <w:r/>
    </w:p>
    <w:p>
      <w:r/>
      <w:r/>
    </w:p>
    <w:p>
      <w:r/>
      <w:r/>
    </w:p>
    <w:p>
      <w:r/>
      <w:r/>
    </w:p>
    <w:p>
      <w:r/>
      <w:r/>
    </w:p>
    <w:p>
      <w:r/>
      <w:r/>
    </w:p>
    <w:p>
      <w:r/>
      <w:r/>
    </w:p>
    <w:p>
      <w:r/>
      <w:r/>
    </w:p>
    <w:p>
      <w:pPr>
        <w:jc w:val="center"/>
        <w:spacing w:line="360" w:lineRule="auto"/>
        <w:widowControl/>
        <w:rPr>
          <w:rFonts w:ascii="Arial" w:hAnsi="Arial" w:cs="Arial"/>
          <w:b/>
          <w:sz w:val="36"/>
          <w:szCs w:val="36"/>
        </w:rPr>
      </w:pPr>
      <w:r>
        <w:rPr>
          <w:rFonts w:hint="eastAsia" w:ascii="Arial" w:hAnsi="宋体" w:cs="Arial"/>
          <w:b/>
          <w:sz w:val="72"/>
          <w:szCs w:val="72"/>
        </w:rPr>
        <w:t xml:space="preserve">招标</w:t>
      </w:r>
      <w:r>
        <w:rPr>
          <w:rFonts w:ascii="Arial" w:hAnsi="宋体" w:cs="Arial"/>
          <w:b/>
          <w:sz w:val="72"/>
          <w:szCs w:val="72"/>
        </w:rPr>
        <w:t xml:space="preserve">文件</w:t>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highlight w:val="none"/>
        </w:rPr>
        <w:t xml:space="preserve">：</w:t>
      </w:r>
      <w:r>
        <w:rPr>
          <w:rFonts w:hint="eastAsia" w:ascii="Arial" w:hAnsi="Arial" w:cs="Arial"/>
          <w:b/>
          <w:sz w:val="32"/>
          <w:szCs w:val="32"/>
          <w:highlight w:val="none"/>
          <w:lang w:eastAsia="zh-CN"/>
        </w:rPr>
        <w:t xml:space="preserve">JSZC-320000-JCEC-G2026-0330</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947"/>
        <w:ind w:left="1260"/>
        <w:rPr>
          <w:rFonts w:ascii="Arial" w:hAnsi="Arial" w:cs="Arial"/>
          <w:sz w:val="32"/>
          <w:szCs w:val="32"/>
        </w:rPr>
      </w:pPr>
      <w:r>
        <w:rPr>
          <w:rFonts w:ascii="Arial" w:hAnsi="Arial" w:cs="Arial"/>
          <w:sz w:val="32"/>
          <w:szCs w:val="32"/>
        </w:rPr>
      </w:r>
      <w:r/>
    </w:p>
    <w:p>
      <w:pPr>
        <w:pStyle w:val="947"/>
        <w:ind w:left="1260"/>
      </w:pPr>
      <w:r/>
      <w:r/>
    </w:p>
    <w:p>
      <w:pPr>
        <w:spacing w:line="360" w:lineRule="auto"/>
        <w:widowControl/>
        <w:rPr>
          <w:rFonts w:ascii="Arial" w:hAnsi="Arial" w:cs="Arial"/>
          <w:b/>
          <w:sz w:val="36"/>
          <w:szCs w:val="36"/>
        </w:rPr>
      </w:pPr>
      <w:r>
        <w:rPr>
          <w:rFonts w:ascii="Arial" w:hAnsi="Arial" w:cs="Arial"/>
          <w:b/>
          <w:sz w:val="36"/>
          <w:szCs w:val="36"/>
        </w:rPr>
      </w:r>
      <w:r/>
    </w:p>
    <w:p>
      <w:pPr>
        <w:spacing w:line="360" w:lineRule="auto"/>
        <w:widowControl/>
        <w:rPr>
          <w:rFonts w:ascii="Arial" w:hAnsi="Arial" w:cs="Arial"/>
          <w:b/>
          <w:sz w:val="36"/>
          <w:szCs w:val="36"/>
        </w:rPr>
      </w:pPr>
      <w:r>
        <w:rPr>
          <w:rFonts w:ascii="Arial" w:hAnsi="Arial" w:cs="Arial"/>
          <w:b/>
          <w:sz w:val="36"/>
          <w:szCs w:val="36"/>
        </w:rPr>
      </w:r>
      <w:r/>
    </w:p>
    <w:p>
      <w:pP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Arial" w:eastAsia="宋体" w:cs="Arial"/>
          <w:b/>
          <w:sz w:val="32"/>
          <w:szCs w:val="32"/>
          <w:lang w:eastAsia="zh-CN"/>
        </w:rPr>
      </w:pPr>
      <w:r>
        <w:rPr>
          <w:rFonts w:hint="eastAsia" w:ascii="Arial" w:hAnsi="Arial" w:cs="Arial"/>
          <w:b/>
          <w:sz w:val="32"/>
          <w:szCs w:val="32"/>
        </w:rPr>
        <w:t xml:space="preserve">采购人：</w:t>
      </w:r>
      <w:r>
        <w:rPr>
          <w:rFonts w:hint="eastAsia" w:ascii="Arial" w:hAnsi="Arial" w:cs="Arial"/>
          <w:b/>
          <w:sz w:val="32"/>
          <w:szCs w:val="32"/>
          <w:lang w:eastAsia="zh-CN"/>
        </w:rPr>
        <w:t xml:space="preserve">扬州中国大运河博物馆</w:t>
      </w:r>
      <w:r/>
    </w:p>
    <w:p>
      <w:pPr>
        <w:jc w:val="center"/>
        <w:spacing w:line="360" w:lineRule="auto"/>
        <w:widowControl/>
        <w:rPr>
          <w:rFonts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hint="eastAsia" w:ascii="宋体" w:hAnsi="宋体" w:cs="宋体"/>
          <w:b/>
          <w:bCs/>
          <w:sz w:val="32"/>
          <w:szCs w:val="32"/>
          <w:highlight w:val="none"/>
        </w:rPr>
      </w:pPr>
      <w:r>
        <w:rPr>
          <w:rFonts w:hint="eastAsia" w:ascii="宋体" w:hAnsi="宋体" w:cs="宋体"/>
          <w:b/>
          <w:sz w:val="32"/>
          <w:szCs w:val="32"/>
        </w:rPr>
        <w:t xml:space="preserve">2026年</w:t>
      </w:r>
      <w:r>
        <w:rPr>
          <w:rFonts w:hint="eastAsia" w:ascii="宋体" w:hAnsi="宋体" w:cs="宋体"/>
          <w:b/>
          <w:sz w:val="32"/>
          <w:szCs w:val="32"/>
          <w:highlight w:val="none"/>
          <w:lang w:val="en-US" w:eastAsia="zh-CN"/>
        </w:rPr>
        <w:t xml:space="preserve">9</w:t>
      </w:r>
      <w:r>
        <w:rPr>
          <w:rFonts w:hint="eastAsia" w:ascii="宋体" w:hAnsi="宋体" w:cs="宋体"/>
          <w:b/>
          <w:sz w:val="32"/>
          <w:szCs w:val="32"/>
          <w:highlight w:val="none"/>
        </w:rPr>
        <w:t xml:space="preserve">月</w:t>
      </w:r>
      <w:r>
        <w:rPr>
          <w:rFonts w:hint="eastAsia" w:ascii="宋体" w:hAnsi="宋体" w:cs="宋体"/>
          <w:b/>
          <w:sz w:val="32"/>
          <w:szCs w:val="32"/>
          <w:highlight w:val="none"/>
          <w:lang w:val="en-US" w:eastAsia="zh-CN"/>
        </w:rPr>
        <w:t xml:space="preserve">7</w:t>
      </w:r>
      <w:r>
        <w:rPr>
          <w:rFonts w:hint="eastAsia" w:ascii="宋体" w:hAnsi="宋体" w:cs="宋体"/>
          <w:b/>
          <w:sz w:val="32"/>
          <w:szCs w:val="32"/>
          <w:highlight w:val="none"/>
        </w:rPr>
        <w:t xml:space="preserve">日</w:t>
      </w:r>
      <w:r/>
    </w:p>
    <w:p>
      <w:pPr>
        <w:jc w:val="center"/>
        <w:spacing w:line="360" w:lineRule="auto"/>
        <w:shd w:val="clear" w:color="auto" w:fill="ffffff"/>
        <w:widowControl/>
        <w:rPr>
          <w:rFonts w:ascii="宋体" w:hAnsi="宋体" w:cs="宋体"/>
          <w:b/>
          <w:bCs/>
          <w:sz w:val="32"/>
          <w:szCs w:val="32"/>
        </w:rPr>
      </w:pPr>
      <w:r>
        <w:rPr>
          <w:rFonts w:ascii="宋体" w:hAnsi="宋体" w:cs="宋体"/>
          <w:b/>
          <w:bCs/>
          <w:sz w:val="32"/>
          <w:szCs w:val="32"/>
        </w:rPr>
      </w:r>
      <w:r>
        <w:rPr>
          <w:rFonts w:ascii="宋体" w:hAnsi="宋体" w:cs="宋体"/>
          <w:b/>
          <w:bCs/>
          <w:sz w:val="32"/>
          <w:szCs w:val="32"/>
        </w:rPr>
      </w:r>
      <w:r/>
    </w:p>
    <w:p>
      <w:pPr>
        <w:jc w:val="center"/>
        <w:spacing w:line="360" w:lineRule="auto"/>
        <w:shd w:val="clear" w:color="auto" w:fill="ffffff"/>
        <w:widowControl/>
        <w:rPr>
          <w:rFonts w:ascii="宋体" w:hAnsi="宋体" w:cs="宋体"/>
          <w:b/>
          <w:bCs/>
          <w:sz w:val="32"/>
          <w:szCs w:val="32"/>
        </w:rPr>
      </w:pPr>
      <w:r>
        <w:rPr>
          <w:rFonts w:hint="eastAsia" w:ascii="宋体" w:hAnsi="宋体" w:cs="宋体"/>
          <w:b/>
          <w:sz w:val="32"/>
          <w:szCs w:val="32"/>
          <w:highlight w:val="none"/>
        </w:rPr>
      </w:r>
      <w:r>
        <w:rPr>
          <w:rFonts w:hint="eastAsia" w:ascii="宋体" w:hAnsi="宋体" w:cs="宋体"/>
          <w:b/>
          <w:sz w:val="32"/>
          <w:szCs w:val="32"/>
          <w:highlight w:val="none"/>
        </w:rPr>
      </w:r>
      <w:r/>
    </w:p>
    <w:p>
      <w:pPr>
        <w:jc w:val="center"/>
        <w:spacing w:line="360" w:lineRule="auto"/>
        <w:shd w:val="clear" w:color="auto" w:fill="ffffff"/>
        <w:widowControl/>
        <w:rPr>
          <w:rFonts w:ascii="Arial" w:hAnsi="Arial" w:cs="Arial"/>
          <w:sz w:val="36"/>
          <w:szCs w:val="36"/>
        </w:rPr>
      </w:pPr>
      <w:r>
        <w:rPr>
          <w:rFonts w:ascii="Arial" w:hAnsi="宋体" w:cs="Arial"/>
          <w:sz w:val="36"/>
          <w:szCs w:val="36"/>
          <w:lang w:val="zh-CN"/>
        </w:rPr>
        <w:t xml:space="preserve">目录</w:t>
      </w:r>
      <w:r/>
    </w:p>
    <w:p>
      <w:pPr>
        <w:pStyle w:val="950"/>
        <w:tabs>
          <w:tab w:val="right" w:pos="8296" w:leader="dot"/>
        </w:tabs>
        <w:rPr>
          <w:rFonts w:ascii="Arial" w:hAnsi="Arial" w:cs="Arial"/>
          <w:sz w:val="28"/>
          <w:szCs w:val="28"/>
        </w:rPr>
      </w:pPr>
      <w:r>
        <w:rPr>
          <w:rFonts w:ascii="Arial" w:hAnsi="Arial" w:cs="Arial"/>
          <w:sz w:val="28"/>
          <w:szCs w:val="28"/>
        </w:rPr>
      </w:r>
      <w:r/>
    </w:p>
    <w:p>
      <w:pPr>
        <w:pStyle w:val="950"/>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rPr>
        <w:fldChar w:fldCharType="begin"/>
      </w:r>
      <w:r>
        <w:instrText xml:space="preserve"> HYPERLINK \l "_Toc12498" </w:instrText>
      </w:r>
      <w:r>
        <w:rPr>
          <w:rFonts w:hint="eastAsia"/>
        </w:rP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950"/>
        <w:spacing w:line="480" w:lineRule="auto"/>
        <w:tabs>
          <w:tab w:val="right" w:pos="8299" w:leader="dot"/>
        </w:tabs>
        <w:rPr>
          <w:rFonts w:ascii="宋体" w:hAnsi="宋体" w:cs="宋体"/>
          <w:sz w:val="28"/>
          <w:szCs w:val="28"/>
        </w:rPr>
      </w:pPr>
      <w:r>
        <w:rPr>
          <w:rFonts w:hint="eastAsia"/>
        </w:rPr>
        <w:fldChar w:fldCharType="begin"/>
      </w:r>
      <w:r>
        <w:instrText xml:space="preserve"> HYPERLINK \l "_Toc17613" </w:instrText>
      </w:r>
      <w:r>
        <w:rPr>
          <w:rFonts w:hint="eastAsia"/>
        </w:rP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p>
    <w:p>
      <w:pPr>
        <w:pStyle w:val="950"/>
        <w:spacing w:line="480" w:lineRule="auto"/>
        <w:tabs>
          <w:tab w:val="right" w:pos="8299" w:leader="dot"/>
        </w:tabs>
        <w:rPr>
          <w:rFonts w:ascii="宋体" w:hAnsi="宋体" w:cs="宋体"/>
          <w:sz w:val="28"/>
          <w:szCs w:val="28"/>
        </w:rPr>
      </w:pPr>
      <w:r>
        <w:rPr>
          <w:rFonts w:hint="eastAsia"/>
        </w:rPr>
        <w:fldChar w:fldCharType="begin"/>
      </w:r>
      <w:r>
        <w:instrText xml:space="preserve"> HYPERLINK \l "_Toc9740" </w:instrText>
      </w:r>
      <w:r>
        <w:rPr>
          <w:rFonts w:hint="eastAsia"/>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p>
    <w:p>
      <w:pPr>
        <w:pStyle w:val="950"/>
        <w:spacing w:line="480" w:lineRule="auto"/>
        <w:tabs>
          <w:tab w:val="right" w:pos="8299" w:leader="dot"/>
        </w:tabs>
        <w:rPr>
          <w:rFonts w:ascii="宋体" w:hAnsi="宋体" w:cs="宋体"/>
          <w:sz w:val="28"/>
          <w:szCs w:val="28"/>
        </w:rPr>
      </w:pPr>
      <w:r>
        <w:rPr>
          <w:rFonts w:hint="eastAsia"/>
        </w:rPr>
        <w:fldChar w:fldCharType="begin"/>
      </w:r>
      <w:r>
        <w:instrText xml:space="preserve"> HYPERLINK \l "_Toc26668" </w:instrText>
      </w:r>
      <w:r>
        <w:rPr>
          <w:rFonts w:hint="eastAsia"/>
        </w:rP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rPr>
          <w:rFonts w:hint="eastAsia" w:ascii="宋体" w:hAnsi="宋体" w:cs="宋体"/>
          <w:sz w:val="28"/>
          <w:szCs w:val="28"/>
        </w:rPr>
        <w:fldChar w:fldCharType="end"/>
      </w:r>
      <w:r/>
    </w:p>
    <w:p>
      <w:pPr>
        <w:pStyle w:val="950"/>
        <w:spacing w:line="480" w:lineRule="auto"/>
        <w:tabs>
          <w:tab w:val="right" w:pos="8299" w:leader="dot"/>
        </w:tabs>
        <w:rPr>
          <w:rFonts w:ascii="宋体" w:hAnsi="宋体" w:cs="宋体"/>
          <w:sz w:val="28"/>
          <w:szCs w:val="28"/>
        </w:rPr>
      </w:pPr>
      <w:r>
        <w:rPr>
          <w:rFonts w:hint="eastAsia"/>
        </w:rPr>
        <w:fldChar w:fldCharType="begin"/>
      </w:r>
      <w:r>
        <w:instrText xml:space="preserve"> HYPERLINK \l "_Toc30691" </w:instrText>
      </w:r>
      <w:r>
        <w:rPr>
          <w:rFonts w:hint="eastAsia"/>
        </w:rP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rPr>
          <w:rFonts w:hint="eastAsia" w:ascii="宋体" w:hAnsi="宋体" w:cs="宋体"/>
          <w:sz w:val="28"/>
          <w:szCs w:val="28"/>
        </w:rPr>
        <w:fldChar w:fldCharType="end"/>
      </w:r>
      <w:r/>
    </w:p>
    <w:p>
      <w:pPr>
        <w:pStyle w:val="950"/>
        <w:spacing w:line="480" w:lineRule="auto"/>
        <w:tabs>
          <w:tab w:val="right" w:pos="8299" w:leader="dot"/>
        </w:tabs>
        <w:rPr>
          <w:rFonts w:ascii="宋体" w:hAnsi="宋体" w:cs="宋体"/>
          <w:sz w:val="28"/>
          <w:szCs w:val="28"/>
        </w:rPr>
      </w:pPr>
      <w:r>
        <w:rPr>
          <w:rFonts w:hint="eastAsia"/>
        </w:rPr>
        <w:fldChar w:fldCharType="begin"/>
      </w:r>
      <w:r>
        <w:instrText xml:space="preserve"> HYPERLINK \l "_Toc28523" </w:instrText>
      </w:r>
      <w:r>
        <w:rPr>
          <w:rFonts w:hint="eastAsia"/>
        </w:rP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32</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938"/>
        <w:rPr>
          <w:rFonts w:ascii="Arial" w:hAnsi="Arial" w:cs="Arial"/>
          <w:szCs w:val="21"/>
        </w:rPr>
        <w:sectPr>
          <w:footnotePr/>
          <w:endnotePr/>
          <w:type w:val="nextPage"/>
          <w:pgSz w:w="11905" w:h="16838" w:orient="portrait"/>
          <w:pgMar w:top="1440" w:right="1803" w:bottom="1440" w:left="1803" w:header="850" w:footer="992" w:gutter="0"/>
          <w:cols w:num="1" w:sep="0" w:space="720" w:equalWidth="1"/>
          <w:docGrid w:linePitch="360"/>
          <w:titlePg/>
        </w:sectPr>
      </w:pPr>
      <w:r/>
      <w:bookmarkStart w:id="2" w:name="_Toc481057143"/>
      <w:r/>
      <w:r/>
    </w:p>
    <w:p>
      <w:pPr>
        <w:pStyle w:val="938"/>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1"/>
      <w:r/>
      <w:bookmarkStart w:id="7" w:name="OLE_LINK6"/>
      <w:r/>
      <w:bookmarkStart w:id="8" w:name="OLE_LINK5"/>
      <w:r/>
      <w:bookmarkStart w:id="9" w:name="_Hlk74842529"/>
      <w:r/>
      <w:r/>
    </w:p>
    <w:p>
      <w:pPr>
        <w:pStyle w:val="945"/>
        <w:spacing w:line="360" w:lineRule="auto"/>
        <w:rPr>
          <w:rFonts w:hint="eastAsia" w:ascii="宋体" w:hAnsi="宋体" w:cs="宋体"/>
          <w:spacing w:val="8"/>
          <w:sz w:val="22"/>
          <w:szCs w:val="22"/>
        </w:rPr>
      </w:pPr>
      <w:r/>
      <w:bookmarkStart w:id="10" w:name="OLE_LINK3"/>
      <w:r/>
      <w:bookmarkStart w:id="11" w:name="OLE_LINK2"/>
      <w:r/>
      <w:bookmarkStart w:id="12" w:name="OLE_LINK4"/>
      <w:r/>
      <w:bookmarkStart w:id="13" w:name="_Hlk74841176"/>
      <w:r>
        <w:rPr>
          <w:rFonts w:hint="eastAsia" w:ascii="宋体" w:hAnsi="宋体" w:cs="宋体"/>
          <w:spacing w:val="8"/>
          <w:sz w:val="22"/>
          <w:szCs w:val="22"/>
        </w:rPr>
        <w:t xml:space="preserve">项目概况：</w:t>
      </w:r>
      <w:bookmarkStart w:id="43" w:name="_GoBack"/>
      <w:r/>
      <w:bookmarkEnd w:id="43"/>
      <w:r/>
      <w:r/>
    </w:p>
    <w:p>
      <w:pPr>
        <w:pStyle w:val="945"/>
        <w:ind w:firstLine="472"/>
        <w:spacing w:line="360" w:lineRule="auto"/>
        <w:rPr>
          <w:rFonts w:hint="eastAsia" w:ascii="宋体" w:hAnsi="宋体" w:cs="宋体"/>
          <w:spacing w:val="8"/>
          <w:sz w:val="22"/>
          <w:szCs w:val="22"/>
        </w:rPr>
      </w:pPr>
      <w:r>
        <w:rPr>
          <w:rFonts w:hint="eastAsia" w:ascii="宋体" w:hAnsi="宋体" w:cs="宋体"/>
          <w:spacing w:val="8"/>
          <w:sz w:val="22"/>
          <w:szCs w:val="22"/>
          <w:lang w:eastAsia="zh-CN"/>
        </w:rPr>
        <w:t xml:space="preserve">扬州中国大运河博物馆智慧孪生BIM模型项目</w:t>
      </w:r>
      <w:r>
        <w:rPr>
          <w:rFonts w:hint="eastAsia" w:ascii="宋体" w:hAnsi="宋体" w:cs="宋体"/>
          <w:spacing w:val="8"/>
          <w:sz w:val="22"/>
          <w:szCs w:val="22"/>
        </w:rPr>
        <w:t xml:space="preserve">的潜在供应商应在</w:t>
      </w:r>
      <w:r>
        <w:rPr>
          <w:rFonts w:hint="eastAsia" w:ascii="宋体" w:hAnsi="宋体" w:cs="宋体"/>
          <w:spacing w:val="8"/>
          <w:sz w:val="22"/>
          <w:szCs w:val="22"/>
        </w:rPr>
        <w:t xml:space="preserve">“</w:t>
      </w:r>
      <w:r>
        <w:rPr>
          <w:rFonts w:hint="eastAsia" w:ascii="宋体" w:hAnsi="宋体" w:cs="宋体"/>
          <w:spacing w:val="8"/>
          <w:sz w:val="22"/>
          <w:szCs w:val="22"/>
        </w:rPr>
        <w:t xml:space="preserve">苏采云</w:t>
      </w:r>
      <w:r>
        <w:rPr>
          <w:rFonts w:hint="eastAsia" w:ascii="宋体" w:hAnsi="宋体" w:cs="宋体"/>
          <w:spacing w:val="8"/>
          <w:sz w:val="22"/>
          <w:szCs w:val="22"/>
        </w:rPr>
        <w:t xml:space="preserve">”</w:t>
      </w:r>
      <w:r>
        <w:rPr>
          <w:rFonts w:hint="eastAsia" w:ascii="宋体" w:hAnsi="宋体" w:cs="宋体"/>
          <w:spacing w:val="8"/>
          <w:sz w:val="22"/>
          <w:szCs w:val="22"/>
        </w:rPr>
        <w:t xml:space="preserve">系统</w:t>
      </w:r>
      <w:r>
        <w:rPr>
          <w:rFonts w:hint="eastAsia" w:ascii="宋体" w:hAnsi="宋体" w:cs="宋体"/>
          <w:spacing w:val="8"/>
          <w:sz w:val="22"/>
          <w:szCs w:val="22"/>
        </w:rPr>
        <w:t xml:space="preserve">内</w:t>
      </w:r>
      <w:r>
        <w:rPr>
          <w:rFonts w:hint="eastAsia" w:ascii="宋体" w:hAnsi="宋体" w:cs="宋体"/>
          <w:spacing w:val="8"/>
          <w:sz w:val="22"/>
          <w:szCs w:val="22"/>
        </w:rPr>
        <w:t xml:space="preserve">获取招标文件，并于</w:t>
      </w:r>
      <w:r>
        <w:rPr>
          <w:rFonts w:hint="eastAsia" w:ascii="宋体" w:hAnsi="宋体" w:cs="宋体"/>
          <w:spacing w:val="8"/>
          <w:sz w:val="22"/>
          <w:szCs w:val="22"/>
          <w:lang w:eastAsia="zh-CN"/>
        </w:rPr>
        <w:t xml:space="preserve">2026年9月28日12点00分</w:t>
      </w:r>
      <w:r>
        <w:rPr>
          <w:rFonts w:hint="eastAsia" w:ascii="宋体" w:hAnsi="宋体" w:cs="宋体"/>
          <w:spacing w:val="8"/>
          <w:sz w:val="22"/>
          <w:szCs w:val="22"/>
        </w:rPr>
        <w:t xml:space="preserve">（北京时间）前递交投标文件。</w:t>
      </w:r>
      <w:r/>
    </w:p>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一、项目基本情况：</w:t>
      </w:r>
      <w:r/>
    </w:p>
    <w:p>
      <w:pPr>
        <w:ind w:firstLine="472"/>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cs="宋体"/>
          <w:spacing w:val="8"/>
          <w:sz w:val="22"/>
          <w:szCs w:val="22"/>
        </w:rPr>
        <w:t xml:space="preserve">1.1项目编号：</w:t>
      </w:r>
      <w:r>
        <w:rPr>
          <w:rFonts w:hint="eastAsia" w:ascii="宋体" w:hAnsi="宋体" w:cs="宋体"/>
          <w:spacing w:val="8"/>
          <w:sz w:val="22"/>
          <w:szCs w:val="22"/>
          <w:highlight w:val="none"/>
          <w:lang w:eastAsia="zh-CN"/>
        </w:rPr>
        <w:t xml:space="preserve">JSZC-320000-JCEC-G2026-0330</w:t>
      </w:r>
      <w:r/>
    </w:p>
    <w:p>
      <w:pPr>
        <w:pStyle w:val="945"/>
        <w:ind w:firstLine="472"/>
        <w:spacing w:line="360" w:lineRule="auto"/>
        <w:rPr>
          <w:rFonts w:hint="eastAsia" w:ascii="宋体" w:hAnsi="宋体" w:eastAsia="宋体" w:cs="宋体"/>
          <w:spacing w:val="8"/>
          <w:sz w:val="22"/>
          <w:szCs w:val="22"/>
          <w:lang w:eastAsia="zh-CN"/>
        </w:rPr>
      </w:pPr>
      <w:r>
        <w:rPr>
          <w:rFonts w:hint="eastAsia" w:ascii="宋体" w:hAnsi="宋体" w:cs="宋体"/>
          <w:spacing w:val="8"/>
          <w:sz w:val="22"/>
          <w:szCs w:val="22"/>
        </w:rPr>
        <w:t xml:space="preserve">1.2项目名称：</w:t>
      </w:r>
      <w:r>
        <w:rPr>
          <w:rFonts w:hint="eastAsia" w:ascii="宋体" w:hAnsi="宋体" w:cs="宋体"/>
          <w:spacing w:val="8"/>
          <w:sz w:val="22"/>
          <w:szCs w:val="22"/>
          <w:lang w:eastAsia="zh-CN"/>
        </w:rPr>
        <w:t xml:space="preserve">扬州中国大运河博物馆智慧孪生BIM模型项目</w:t>
      </w:r>
      <w:r/>
    </w:p>
    <w:p>
      <w:pPr>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1.3预算金额：</w:t>
      </w:r>
      <w:r>
        <w:rPr>
          <w:rFonts w:hint="eastAsia" w:ascii="宋体" w:hAnsi="宋体"/>
          <w:sz w:val="24"/>
        </w:rPr>
        <w:t xml:space="preserve">人</w:t>
      </w:r>
      <w:r>
        <w:rPr>
          <w:rFonts w:hint="eastAsia" w:ascii="宋体" w:hAnsi="宋体" w:cs="宋体"/>
          <w:spacing w:val="8"/>
          <w:szCs w:val="21"/>
        </w:rPr>
        <w:t xml:space="preserve">民币</w:t>
      </w:r>
      <w:r>
        <w:rPr>
          <w:rFonts w:hint="eastAsia" w:ascii="宋体" w:hAnsi="宋体" w:cs="宋体"/>
          <w:spacing w:val="8"/>
          <w:szCs w:val="21"/>
          <w:lang w:val="en-US" w:eastAsia="zh-CN"/>
        </w:rPr>
        <w:t xml:space="preserve">150</w:t>
      </w:r>
      <w:r>
        <w:rPr>
          <w:rFonts w:hint="eastAsia" w:ascii="宋体" w:hAnsi="宋体" w:cs="宋体"/>
          <w:spacing w:val="8"/>
          <w:szCs w:val="21"/>
        </w:rPr>
        <w:t xml:space="preserve">万元</w:t>
      </w:r>
      <w:r/>
    </w:p>
    <w:p>
      <w:pPr>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1.4最高限价：</w:t>
      </w:r>
      <w:r>
        <w:rPr>
          <w:rFonts w:hint="eastAsia" w:ascii="宋体" w:hAnsi="宋体" w:cs="宋体"/>
          <w:spacing w:val="8"/>
          <w:szCs w:val="21"/>
        </w:rPr>
        <w:t xml:space="preserve">人民币</w:t>
      </w:r>
      <w:r>
        <w:rPr>
          <w:rFonts w:hint="eastAsia" w:ascii="宋体" w:hAnsi="宋体" w:cs="宋体"/>
          <w:spacing w:val="8"/>
          <w:szCs w:val="21"/>
          <w:lang w:val="en-US" w:eastAsia="zh-CN"/>
        </w:rPr>
        <w:t xml:space="preserve">150</w:t>
      </w:r>
      <w:r>
        <w:rPr>
          <w:rFonts w:hint="eastAsia" w:ascii="宋体" w:hAnsi="宋体" w:cs="宋体"/>
          <w:spacing w:val="8"/>
          <w:szCs w:val="21"/>
        </w:rPr>
        <w:t xml:space="preserve">万元</w:t>
      </w:r>
      <w:r/>
    </w:p>
    <w:p>
      <w:pPr>
        <w:ind w:firstLine="472"/>
        <w:spacing w:line="360" w:lineRule="auto"/>
        <w:shd w:val="clear" w:color="auto" w:fill="ffffff"/>
        <w:widowControl/>
        <w:rPr>
          <w:rFonts w:hint="eastAsia" w:ascii="宋体" w:hAnsi="宋体" w:cs="宋体"/>
          <w:spacing w:val="8"/>
          <w:szCs w:val="21"/>
        </w:rPr>
      </w:pPr>
      <w:r>
        <w:rPr>
          <w:rFonts w:hint="eastAsia" w:ascii="宋体" w:hAnsi="宋体" w:cs="宋体"/>
          <w:spacing w:val="8"/>
          <w:sz w:val="22"/>
          <w:szCs w:val="22"/>
        </w:rPr>
        <w:t xml:space="preserve">1.5采购需求：</w:t>
      </w:r>
      <w:r>
        <w:rPr>
          <w:rFonts w:hint="eastAsia" w:ascii="宋体" w:hAnsi="宋体" w:eastAsia="宋体" w:cs="宋体"/>
          <w:spacing w:val="8"/>
          <w:szCs w:val="21"/>
        </w:rPr>
        <w:t xml:space="preserve">本项目以博物馆现有各专业竣工图及设施台账为基础，综合运用BIM逆向建模、数据集成与数字孪生技术，建设覆盖全馆7.9万平方米的智慧</w:t>
      </w:r>
      <w:r>
        <w:rPr>
          <w:rFonts w:hint="eastAsia" w:ascii="宋体" w:hAnsi="宋体" w:cs="宋体"/>
          <w:spacing w:val="8"/>
          <w:szCs w:val="21"/>
          <w:lang w:eastAsia="zh-CN"/>
        </w:rPr>
        <w:t xml:space="preserve">孪生</w:t>
      </w:r>
      <w:r>
        <w:rPr>
          <w:rFonts w:hint="eastAsia" w:ascii="宋体" w:hAnsi="宋体" w:eastAsia="宋体" w:cs="宋体"/>
          <w:spacing w:val="8"/>
          <w:szCs w:val="21"/>
        </w:rPr>
        <w:t xml:space="preserve">BIM模型，为后期以此为核心构建智能运维系统提供基础依托，具体详见招标文件。</w:t>
      </w:r>
      <w:r/>
    </w:p>
    <w:p>
      <w:pPr>
        <w:ind w:firstLine="472"/>
        <w:spacing w:line="360" w:lineRule="auto"/>
        <w:shd w:val="clear" w:color="auto" w:fill="ffffff"/>
        <w:widowControl/>
        <w:rPr>
          <w:rFonts w:hint="eastAsia" w:ascii="宋体" w:hAnsi="宋体" w:cs="宋体"/>
          <w:spacing w:val="8"/>
          <w:sz w:val="22"/>
          <w:szCs w:val="22"/>
          <w:highlight w:val="none"/>
        </w:rPr>
      </w:pPr>
      <w:r>
        <w:rPr>
          <w:rFonts w:hint="eastAsia" w:ascii="宋体" w:hAnsi="宋体" w:cs="宋体"/>
          <w:spacing w:val="8"/>
          <w:sz w:val="22"/>
          <w:szCs w:val="22"/>
        </w:rPr>
        <w:t xml:space="preserve">1.6合同履行期限：</w:t>
      </w:r>
      <w:r>
        <w:rPr>
          <w:rFonts w:hint="eastAsia" w:ascii="宋体" w:hAnsi="宋体" w:eastAsia="宋体" w:cs="宋体"/>
          <w:spacing w:val="8"/>
          <w:sz w:val="22"/>
          <w:szCs w:val="22"/>
        </w:rPr>
        <w:t xml:space="preserve">自合同正式签署生效</w:t>
      </w:r>
      <w:r>
        <w:rPr>
          <w:rFonts w:hint="eastAsia" w:ascii="宋体" w:hAnsi="宋体" w:eastAsia="宋体" w:cs="宋体"/>
          <w:spacing w:val="8"/>
          <w:sz w:val="22"/>
          <w:szCs w:val="22"/>
          <w:lang w:val="en-US" w:eastAsia="zh-CN"/>
        </w:rPr>
        <w:t xml:space="preserve">后</w:t>
      </w:r>
      <w:r>
        <w:rPr>
          <w:rFonts w:hint="eastAsia" w:ascii="宋体" w:hAnsi="宋体" w:cs="宋体"/>
          <w:spacing w:val="8"/>
          <w:sz w:val="22"/>
          <w:szCs w:val="22"/>
          <w:lang w:val="en-US" w:eastAsia="zh-CN"/>
        </w:rPr>
        <w:t xml:space="preserve">至2026</w:t>
      </w:r>
      <w:r>
        <w:rPr>
          <w:rFonts w:hint="eastAsia" w:ascii="宋体" w:hAnsi="宋体" w:cs="宋体"/>
          <w:spacing w:val="8"/>
          <w:sz w:val="22"/>
          <w:szCs w:val="22"/>
          <w:highlight w:val="none"/>
          <w:lang w:val="en-US" w:eastAsia="zh-CN"/>
        </w:rPr>
        <w:t xml:space="preserve">年11月30日前</w:t>
      </w:r>
      <w:r>
        <w:rPr>
          <w:rFonts w:hint="eastAsia" w:ascii="宋体" w:hAnsi="宋体" w:eastAsia="宋体" w:cs="宋体"/>
          <w:spacing w:val="8"/>
          <w:sz w:val="22"/>
          <w:szCs w:val="22"/>
          <w:highlight w:val="none"/>
        </w:rPr>
        <w:t xml:space="preserve">完成。</w:t>
      </w:r>
      <w:r/>
    </w:p>
    <w:p>
      <w:pPr>
        <w:ind w:firstLine="472"/>
        <w:spacing w:line="360" w:lineRule="auto"/>
        <w:shd w:val="clear" w:color="auto" w:fill="ffffff"/>
        <w:widowControl/>
        <w:rPr>
          <w:rFonts w:hint="eastAsia" w:ascii="宋体" w:hAnsi="宋体" w:cs="宋体"/>
          <w:spacing w:val="8"/>
          <w:sz w:val="22"/>
          <w:szCs w:val="22"/>
          <w:highlight w:val="none"/>
        </w:rPr>
      </w:pPr>
      <w:r>
        <w:rPr>
          <w:rFonts w:hint="eastAsia" w:ascii="宋体" w:hAnsi="宋体" w:cs="宋体"/>
          <w:spacing w:val="8"/>
          <w:sz w:val="22"/>
          <w:szCs w:val="22"/>
          <w:highlight w:val="none"/>
        </w:rPr>
        <w:t xml:space="preserve">1.7本项目标的所属行业：</w:t>
      </w:r>
      <w:r>
        <w:rPr>
          <w:rFonts w:hint="eastAsia" w:ascii="宋体" w:hAnsi="宋体" w:cs="宋体"/>
          <w:spacing w:val="8"/>
          <w:szCs w:val="21"/>
          <w:highlight w:val="none"/>
        </w:rPr>
        <w:t xml:space="preserve">软件和信息技术服务业。</w:t>
      </w:r>
      <w:r/>
    </w:p>
    <w:p>
      <w:pPr>
        <w:ind w:firstLine="472"/>
        <w:spacing w:line="360" w:lineRule="auto"/>
        <w:shd w:val="clear" w:color="auto" w:fill="ffffff"/>
        <w:widowControl/>
        <w:rPr>
          <w:rFonts w:hint="eastAsia" w:ascii="宋体" w:hAnsi="宋体" w:eastAsia="宋体" w:cs="宋体"/>
          <w:spacing w:val="8"/>
          <w:sz w:val="22"/>
          <w:szCs w:val="22"/>
        </w:rPr>
      </w:pPr>
      <w:r>
        <w:rPr>
          <w:rFonts w:hint="eastAsia" w:ascii="宋体" w:hAnsi="宋体" w:cs="宋体"/>
          <w:spacing w:val="8"/>
          <w:sz w:val="22"/>
          <w:szCs w:val="22"/>
        </w:rPr>
        <w:t xml:space="preserve">1.8</w:t>
      </w:r>
      <w:r>
        <w:rPr>
          <w:rFonts w:hint="eastAsia" w:ascii="宋体" w:hAnsi="宋体" w:eastAsia="宋体" w:cs="宋体"/>
          <w:spacing w:val="8"/>
          <w:sz w:val="22"/>
          <w:szCs w:val="22"/>
        </w:rPr>
        <w:t xml:space="preserve">本项目专门面向中小企业（或监狱企业或残疾人福利性单位）采购。</w:t>
      </w:r>
      <w:r/>
    </w:p>
    <w:p>
      <w:pPr>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1.9本项目不接受联合体投标。</w:t>
      </w:r>
      <w:r/>
    </w:p>
    <w:p>
      <w:pPr>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二、申请人的资格要求：</w:t>
      </w:r>
      <w:r/>
    </w:p>
    <w:p>
      <w:pPr>
        <w:ind w:firstLine="474"/>
        <w:spacing w:line="360" w:lineRule="auto"/>
        <w:shd w:val="clear" w:color="auto" w:fill="ffffff"/>
        <w:widowControl/>
        <w:rPr>
          <w:rFonts w:hint="eastAsia" w:ascii="宋体" w:hAnsi="宋体" w:cs="宋体"/>
          <w:b/>
          <w:bCs/>
          <w:spacing w:val="8"/>
          <w:sz w:val="22"/>
          <w:szCs w:val="22"/>
        </w:rPr>
      </w:pPr>
      <w:r>
        <w:rPr>
          <w:rFonts w:hint="eastAsia" w:ascii="宋体" w:hAnsi="宋体" w:cs="宋体"/>
          <w:b/>
          <w:bCs/>
          <w:spacing w:val="8"/>
          <w:sz w:val="22"/>
          <w:szCs w:val="22"/>
        </w:rPr>
        <w:t xml:space="preserve">2.1满足《中华人民共和国政府采购法》第二十二条规定；</w:t>
      </w:r>
      <w:r/>
    </w:p>
    <w:p>
      <w:pPr>
        <w:ind w:firstLine="37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（1）具有独立承担民事责任的能力（提供法人或者其他组织的营业执照等证明文件，复印件加盖公章）；</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（2）具有良好的商业信誉和健全的财务会计制度（提供</w:t>
      </w:r>
      <w:r>
        <w:rPr>
          <w:rFonts w:hint="eastAsia" w:ascii="宋体" w:hAnsi="宋体" w:cs="宋体"/>
          <w:sz w:val="22"/>
          <w:szCs w:val="22"/>
          <w:lang w:eastAsia="zh-CN"/>
        </w:rPr>
        <w:t xml:space="preserve">2026年3月</w:t>
      </w:r>
      <w:r>
        <w:rPr>
          <w:rFonts w:hint="eastAsia" w:ascii="宋体" w:hAnsi="宋体" w:cs="宋体"/>
          <w:sz w:val="22"/>
          <w:szCs w:val="22"/>
        </w:rPr>
        <w:t xml:space="preserve">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中任意一月份的财务状况报</w:t>
      </w:r>
      <w:r>
        <w:rPr>
          <w:rFonts w:hint="eastAsia" w:ascii="宋体" w:hAnsi="宋体" w:cs="宋体"/>
          <w:bCs/>
          <w:sz w:val="22"/>
          <w:szCs w:val="22"/>
        </w:rPr>
        <w:t xml:space="preserve">告（至少包括资产负债表和利润表）（法人</w:t>
      </w:r>
      <w:r>
        <w:rPr>
          <w:rFonts w:hint="eastAsia" w:ascii="宋体" w:hAnsi="宋体" w:cs="宋体"/>
          <w:sz w:val="22"/>
          <w:szCs w:val="22"/>
        </w:rPr>
        <w:t xml:space="preserve">或者其他组织成立未满三个月的可以不提供），或其</w:t>
      </w:r>
      <w:r>
        <w:rPr>
          <w:rFonts w:hint="eastAsia" w:ascii="宋体" w:hAnsi="宋体" w:cs="宋体"/>
          <w:sz w:val="22"/>
          <w:szCs w:val="22"/>
          <w:lang w:eastAsia="zh-CN"/>
        </w:rPr>
        <w:t xml:space="preserve">2026年3月至投标截止时间银行出具的资信证书</w:t>
      </w:r>
      <w:r>
        <w:rPr>
          <w:rFonts w:hint="eastAsia" w:ascii="宋体" w:hAnsi="宋体" w:cs="宋体"/>
          <w:sz w:val="22"/>
          <w:szCs w:val="22"/>
        </w:rPr>
        <w:t xml:space="preserve">，或其2025年度经审计的财务报告)；</w:t>
      </w:r>
      <w:r/>
    </w:p>
    <w:p>
      <w:pPr>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（3）具有履行合同所必需的设备和专业技术能力（供应商根据履行采购项目合同需要，提供履行合同所必需的设备和专业技术能力的证明材料）；</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（4）有依法缴纳税收的良好记录(提供</w:t>
      </w:r>
      <w:r>
        <w:rPr>
          <w:rFonts w:hint="eastAsia" w:ascii="宋体" w:hAnsi="宋体" w:cs="宋体"/>
          <w:sz w:val="22"/>
          <w:szCs w:val="22"/>
          <w:lang w:eastAsia="zh-CN"/>
        </w:rPr>
        <w:t xml:space="preserve">2026年3月</w:t>
      </w:r>
      <w:r>
        <w:rPr>
          <w:rFonts w:hint="eastAsia" w:ascii="宋体" w:hAnsi="宋体" w:cs="宋体"/>
          <w:sz w:val="22"/>
          <w:szCs w:val="22"/>
        </w:rPr>
        <w:t xml:space="preserve">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w:t>
      </w:r>
      <w:r>
        <w:rPr>
          <w:rFonts w:hint="eastAsia" w:ascii="宋体" w:hAnsi="宋体" w:cs="宋体"/>
          <w:spacing w:val="8"/>
          <w:sz w:val="22"/>
          <w:szCs w:val="22"/>
        </w:rPr>
        <w:t xml:space="preserve">缴纳税收的凭证，依法享受免缴、缓缴的，提供证明材料)</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（5）有依法缴纳社会保障资金的良好记录(提供</w:t>
      </w:r>
      <w:r>
        <w:rPr>
          <w:rFonts w:hint="eastAsia" w:ascii="宋体" w:hAnsi="宋体" w:cs="宋体"/>
          <w:sz w:val="22"/>
          <w:szCs w:val="22"/>
          <w:lang w:eastAsia="zh-CN"/>
        </w:rPr>
        <w:t xml:space="preserve">2026年3月</w:t>
      </w:r>
      <w:r>
        <w:rPr>
          <w:rFonts w:hint="eastAsia" w:ascii="宋体" w:hAnsi="宋体" w:cs="宋体"/>
          <w:sz w:val="22"/>
          <w:szCs w:val="22"/>
        </w:rPr>
        <w:t xml:space="preserve">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中任意一月份的依法缴纳社会保障资金的凭据)；</w:t>
      </w:r>
      <w:r/>
    </w:p>
    <w:p>
      <w:pPr>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6）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ind w:firstLine="37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（7）法律、行政法规规定的其他条件：无。</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cs="宋体"/>
          <w:spacing w:val="8"/>
          <w:sz w:val="22"/>
          <w:szCs w:val="22"/>
        </w:rPr>
        <w:t xml:space="preserve">2.2 落实政府采购政策需满足的资格要求：</w:t>
      </w:r>
      <w:r>
        <w:rPr>
          <w:rFonts w:hint="eastAsia" w:ascii="宋体" w:hAnsi="宋体" w:eastAsia="宋体" w:cs="宋体"/>
          <w:spacing w:val="8"/>
          <w:sz w:val="22"/>
          <w:szCs w:val="22"/>
          <w:lang w:val="zh-CN"/>
        </w:rPr>
        <w:t xml:space="preserve">本项目属于专门面向中小企业（或监狱企业或残疾人福利性单位）采购的项目，供应商须为符合政策要求的中小企业（含中型企业、小型企业和微型企业，或监狱企业或残疾人福利性单位），并按要求提供《中小企业声明函》或《残疾人福利性单位声明函》或属于监狱企业的证明文件。</w:t>
      </w:r>
      <w:r/>
    </w:p>
    <w:p>
      <w:pPr>
        <w:ind w:firstLine="370"/>
        <w:spacing w:line="360" w:lineRule="auto"/>
        <w:shd w:val="clear" w:color="auto" w:fill="ffffff"/>
        <w:widowControl/>
        <w:rPr>
          <w:rFonts w:hint="eastAsia"/>
        </w:rPr>
      </w:pPr>
      <w:r>
        <w:rPr>
          <w:rFonts w:hint="eastAsia" w:ascii="宋体" w:hAnsi="宋体" w:cs="宋体"/>
          <w:spacing w:val="8"/>
          <w:szCs w:val="21"/>
        </w:rPr>
        <w:t xml:space="preserve">2.3采购人根据采购项目的特殊要求规定的特定条件，并提供符合特殊要求的证明材料或者情况说明：</w:t>
      </w:r>
      <w:r>
        <w:rPr>
          <w:rFonts w:hint="eastAsia" w:ascii="宋体" w:hAnsi="宋体" w:cs="宋体"/>
          <w:bCs/>
          <w:sz w:val="22"/>
          <w:szCs w:val="22"/>
        </w:rPr>
        <w:t xml:space="preserve">无。</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w:t>
      </w:r>
      <w:r>
        <w:rPr>
          <w:rFonts w:hint="eastAsia" w:ascii="宋体" w:hAnsi="宋体" w:cs="宋体"/>
          <w:spacing w:val="8"/>
          <w:sz w:val="22"/>
          <w:szCs w:val="22"/>
        </w:rPr>
        <w:t xml:space="preserve">4</w:t>
      </w:r>
      <w:r>
        <w:rPr>
          <w:rFonts w:hint="eastAsia" w:ascii="宋体" w:hAnsi="宋体" w:cs="宋体"/>
          <w:spacing w:val="8"/>
          <w:sz w:val="22"/>
          <w:szCs w:val="22"/>
          <w:lang w:val="zh-CN"/>
        </w:rPr>
        <w:t xml:space="preserve">拒绝下述供应商参加本次招标活动：</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（1）单位负责人为同一人或者存在直接控股、管理关系的不同供应商，不得参加同一合同项下的政府采购活动。</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（2）为采购项目提供整体设计、规范编制或者项目管理、监理、检测等服务的供应商，不得参加本项目的采购活动。</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（3）供应商被“信用中国”网站（www.creditchina.gov.cn）、“中国政府采购网”(www.ccgp.gov.cn)列入失信被执行人、重大税收违法失信主体、政府采购严重违法失信行为记录名单。</w:t>
      </w:r>
      <w:r/>
    </w:p>
    <w:p>
      <w:pPr>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三、获取招标文件</w:t>
      </w:r>
      <w:r/>
    </w:p>
    <w:p>
      <w:pPr>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3.1时间：自招标文件公告发布之日起5个工作日</w:t>
      </w:r>
      <w:r/>
    </w:p>
    <w:p>
      <w:pPr>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3.2地点：</w:t>
      </w:r>
      <w:r>
        <w:rPr>
          <w:rFonts w:hint="eastAsia" w:ascii="宋体" w:hAnsi="宋体" w:cs="宋体"/>
          <w:spacing w:val="8"/>
          <w:sz w:val="22"/>
          <w:szCs w:val="22"/>
        </w:rPr>
        <w:t xml:space="preserve">“</w:t>
      </w:r>
      <w:r>
        <w:rPr>
          <w:rFonts w:hint="eastAsia" w:ascii="宋体" w:hAnsi="宋体" w:cs="宋体"/>
          <w:spacing w:val="8"/>
          <w:sz w:val="22"/>
          <w:szCs w:val="22"/>
        </w:rPr>
        <w:t xml:space="preserve">苏采云</w:t>
      </w:r>
      <w:r>
        <w:rPr>
          <w:rFonts w:hint="eastAsia" w:ascii="宋体" w:hAnsi="宋体" w:cs="宋体"/>
          <w:spacing w:val="8"/>
          <w:sz w:val="22"/>
          <w:szCs w:val="22"/>
        </w:rPr>
        <w:t xml:space="preserve">”</w:t>
      </w:r>
      <w:r>
        <w:rPr>
          <w:rFonts w:hint="eastAsia" w:ascii="宋体" w:hAnsi="宋体" w:cs="宋体"/>
          <w:spacing w:val="8"/>
          <w:sz w:val="22"/>
          <w:szCs w:val="22"/>
        </w:rPr>
        <w:t xml:space="preserve">系统</w:t>
      </w:r>
      <w:r>
        <w:rPr>
          <w:rFonts w:hint="eastAsia" w:ascii="宋体" w:hAnsi="宋体" w:cs="宋体"/>
          <w:spacing w:val="8"/>
          <w:sz w:val="22"/>
          <w:szCs w:val="22"/>
        </w:rPr>
        <w:t xml:space="preserve">内</w:t>
      </w:r>
      <w:r>
        <w:rPr>
          <w:rFonts w:hint="eastAsia" w:ascii="宋体" w:hAnsi="宋体" w:cs="宋体"/>
          <w:bCs/>
          <w:sz w:val="22"/>
          <w:szCs w:val="22"/>
        </w:rPr>
      </w:r>
      <w:r/>
    </w:p>
    <w:p>
      <w:pPr>
        <w:ind w:firstLine="440"/>
        <w:spacing w:line="360" w:lineRule="auto"/>
        <w:shd w:val="clear" w:color="auto" w:fill="ffffff"/>
        <w:widowControl/>
        <w:rPr>
          <w:rFonts w:hint="eastAsia" w:ascii="宋体" w:hAnsi="宋体" w:cs="宋体"/>
          <w:spacing w:val="15"/>
          <w:sz w:val="22"/>
          <w:szCs w:val="22"/>
          <w:shd w:val="clear" w:color="auto" w:fill="ffffff"/>
        </w:rPr>
      </w:pPr>
      <w:r>
        <w:rPr>
          <w:rFonts w:hint="eastAsia" w:ascii="宋体" w:hAnsi="宋体" w:cs="宋体"/>
          <w:bCs/>
          <w:sz w:val="22"/>
          <w:szCs w:val="22"/>
        </w:rPr>
        <w:t xml:space="preserve">3.3方式：</w:t>
      </w:r>
      <w:r>
        <w:rPr>
          <w:rFonts w:hint="eastAsia" w:ascii="宋体" w:hAnsi="宋体" w:cs="宋体"/>
          <w:sz w:val="22"/>
          <w:szCs w:val="22"/>
        </w:rPr>
        <w:t xml:space="preserve">网上下载 </w:t>
      </w:r>
      <w:r/>
    </w:p>
    <w:p>
      <w:pPr>
        <w:ind w:firstLine="444"/>
        <w:spacing w:line="360" w:lineRule="auto"/>
        <w:rPr>
          <w:rFonts w:hint="eastAsia" w:ascii="宋体" w:hAnsi="宋体" w:cs="宋体"/>
          <w:bCs/>
          <w:sz w:val="22"/>
          <w:szCs w:val="22"/>
        </w:rPr>
      </w:pPr>
      <w:r>
        <w:rPr>
          <w:rFonts w:hint="eastAsia" w:ascii="宋体" w:hAnsi="宋体" w:cs="宋体"/>
          <w:bCs/>
          <w:sz w:val="22"/>
          <w:szCs w:val="22"/>
        </w:rPr>
        <w:t xml:space="preserve">3.4</w:t>
      </w:r>
      <w:r>
        <w:rPr>
          <w:rFonts w:hint="eastAsia" w:ascii="宋体" w:hAnsi="宋体" w:cs="宋体"/>
          <w:spacing w:val="8"/>
          <w:sz w:val="22"/>
          <w:szCs w:val="22"/>
        </w:rPr>
        <w:t xml:space="preserve">售价：0.00元</w:t>
      </w:r>
      <w:r/>
    </w:p>
    <w:p>
      <w:pPr>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四、提交投标文件开始时间、截止时间、地点和开标时间、地点</w:t>
      </w:r>
      <w:r/>
    </w:p>
    <w:p>
      <w:pPr>
        <w:ind w:firstLine="370"/>
        <w:spacing w:line="360" w:lineRule="auto"/>
        <w:widowControl/>
        <w:rPr>
          <w:rFonts w:hint="eastAsia" w:ascii="宋体" w:hAnsi="宋体" w:cs="宋体"/>
          <w:spacing w:val="8"/>
          <w:sz w:val="22"/>
          <w:szCs w:val="22"/>
        </w:rPr>
      </w:pPr>
      <w:r>
        <w:rPr>
          <w:rFonts w:hint="eastAsia" w:ascii="宋体" w:hAnsi="宋体" w:cs="宋体"/>
          <w:spacing w:val="8"/>
          <w:sz w:val="22"/>
          <w:szCs w:val="22"/>
        </w:rPr>
        <w:t xml:space="preserve">4.1</w:t>
      </w:r>
      <w:r>
        <w:rPr>
          <w:rFonts w:hint="eastAsia" w:ascii="宋体" w:hAnsi="宋体" w:cs="宋体"/>
          <w:spacing w:val="15"/>
          <w:sz w:val="22"/>
          <w:szCs w:val="22"/>
          <w:shd w:val="clear" w:color="auto" w:fill="ffffff"/>
        </w:rPr>
        <w:t xml:space="preserve">提交投标文件截止时间、开标时间：</w:t>
      </w:r>
      <w:r>
        <w:rPr>
          <w:rFonts w:hint="eastAsia" w:ascii="宋体" w:hAnsi="宋体" w:cs="宋体"/>
          <w:spacing w:val="8"/>
          <w:sz w:val="22"/>
          <w:szCs w:val="22"/>
          <w:lang w:eastAsia="zh-CN"/>
        </w:rPr>
        <w:t xml:space="preserve">2026年9月28日12点00分</w:t>
      </w:r>
      <w:r>
        <w:rPr>
          <w:rFonts w:hint="eastAsia" w:ascii="宋体" w:hAnsi="宋体" w:cs="宋体"/>
          <w:spacing w:val="8"/>
          <w:sz w:val="22"/>
          <w:szCs w:val="22"/>
        </w:rPr>
        <w:t xml:space="preserve">（北京时间）</w:t>
      </w:r>
      <w:r/>
    </w:p>
    <w:p>
      <w:pPr>
        <w:pStyle w:val="952"/>
        <w:ind w:firstLine="375"/>
        <w:spacing w:before="0" w:beforeAutospacing="0" w:after="0" w:afterAutospacing="0" w:line="360" w:lineRule="auto"/>
        <w:rPr>
          <w:rFonts w:hint="eastAsia"/>
          <w:spacing w:val="15"/>
          <w:sz w:val="22"/>
          <w:szCs w:val="22"/>
          <w:shd w:val="clear" w:color="auto" w:fill="ffffff"/>
        </w:rPr>
      </w:pPr>
      <w:r>
        <w:rPr>
          <w:rFonts w:hint="eastAsia"/>
          <w:spacing w:val="15"/>
          <w:sz w:val="22"/>
          <w:szCs w:val="22"/>
          <w:shd w:val="clear" w:color="auto" w:fill="ffffff"/>
        </w:rPr>
        <w:t xml:space="preserve">4.2提交投标文件地点：江苏省政府采购管理交易系统（苏采云）（以下简称“苏采云”）（网址：https://jszfcg.jsczt.cn/jszc/login</w:t>
      </w:r>
      <w:r>
        <w:rPr>
          <w:rFonts w:hint="eastAsia"/>
          <w:color w:val="auto"/>
          <w:spacing w:val="15"/>
          <w:sz w:val="22"/>
          <w:szCs w:val="22"/>
          <w:u w:val="none"/>
          <w:shd w:val="clear" w:color="auto" w:fill="ffffff"/>
        </w:rPr>
        <w:t xml:space="preserve">）</w:t>
      </w:r>
      <w:r/>
    </w:p>
    <w:p>
      <w:pPr>
        <w:pStyle w:val="952"/>
        <w:ind w:firstLine="375"/>
        <w:spacing w:before="0" w:beforeAutospacing="0" w:after="0" w:afterAutospacing="0" w:line="360" w:lineRule="auto"/>
        <w:rPr>
          <w:rFonts w:hint="eastAsia" w:ascii="宋体" w:hAnsi="宋体" w:cs="宋体"/>
          <w:bCs/>
          <w:sz w:val="22"/>
          <w:szCs w:val="22"/>
        </w:rPr>
      </w:pPr>
      <w:r>
        <w:rPr>
          <w:rFonts w:hint="eastAsia" w:ascii="宋体" w:hAnsi="宋体" w:cs="宋体"/>
          <w:spacing w:val="15"/>
          <w:sz w:val="22"/>
          <w:szCs w:val="22"/>
          <w:shd w:val="clear" w:color="auto" w:fill="ffffff"/>
        </w:rPr>
        <w:t xml:space="preserve">4.3开标地点：“苏采云”网上开标大厅。</w:t>
      </w:r>
      <w:r/>
    </w:p>
    <w:p>
      <w:pPr>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五、公告期限</w:t>
      </w:r>
      <w:r/>
    </w:p>
    <w:p>
      <w:pPr>
        <w:ind w:firstLine="37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自本公告发布之日起5个工作日。</w:t>
      </w:r>
      <w:r/>
    </w:p>
    <w:p>
      <w:pPr>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六、其他补充事宜</w:t>
      </w:r>
      <w:r/>
    </w:p>
    <w:p>
      <w:pPr>
        <w:ind w:firstLine="370"/>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6.1本项目在</w:t>
      </w:r>
      <w:r>
        <w:rPr>
          <w:rFonts w:hint="eastAsia" w:ascii="宋体" w:hAnsi="宋体" w:cs="宋体"/>
          <w:spacing w:val="8"/>
          <w:sz w:val="22"/>
          <w:szCs w:val="22"/>
        </w:rPr>
        <w:t xml:space="preserve">江苏政府采购网、中国政府采购网</w:t>
      </w:r>
      <w:r>
        <w:rPr>
          <w:rFonts w:hint="eastAsia" w:ascii="宋体" w:hAnsi="宋体" w:cs="宋体"/>
          <w:spacing w:val="8"/>
          <w:sz w:val="22"/>
          <w:szCs w:val="22"/>
          <w:lang w:val="zh-CN"/>
        </w:rPr>
        <w:t xml:space="preserve">发布公告。</w:t>
      </w:r>
      <w:r/>
    </w:p>
    <w:p>
      <w:pPr>
        <w:ind w:firstLine="37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6.2勘察现场或答疑地点：无。</w:t>
      </w:r>
      <w:r/>
    </w:p>
    <w:p>
      <w:pPr>
        <w:ind w:firstLine="370"/>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6.</w:t>
      </w:r>
      <w:r>
        <w:rPr>
          <w:rFonts w:hint="eastAsia" w:ascii="宋体" w:hAnsi="宋体" w:cs="宋体"/>
          <w:spacing w:val="8"/>
          <w:sz w:val="22"/>
          <w:szCs w:val="22"/>
          <w:lang w:val="en-US" w:eastAsia="zh-CN"/>
        </w:rPr>
        <w:t xml:space="preserve">3供应商</w:t>
      </w:r>
      <w:r>
        <w:rPr>
          <w:rFonts w:hint="eastAsia" w:ascii="宋体" w:hAnsi="宋体" w:cs="宋体"/>
          <w:spacing w:val="8"/>
          <w:sz w:val="22"/>
          <w:szCs w:val="22"/>
          <w:lang w:val="zh-CN"/>
        </w:rPr>
        <w:t xml:space="preserve">通过“苏采云”参与政府采购项目，需要办理江苏省政府采购数字证书及电子签章的，详见苏采云官网首页“CA办理指南”。供应商通过苏采云官网首页进行供应商注册及CA绑定。CA登录后，供应商按《苏采云系统供应商操作手册》进行操作。</w:t>
      </w:r>
      <w:r/>
    </w:p>
    <w:p>
      <w:pPr>
        <w:ind w:firstLine="370"/>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首次登录“苏采云”系统的新用户，登录网址后，点击“用户注册”--“CA办理指南”--获取CA后绑定、登录系统--采购项目参与--下载采购文件（文件后缀名为“.kedt”）。</w:t>
      </w:r>
      <w:r/>
    </w:p>
    <w:p>
      <w:pPr>
        <w:ind w:firstLine="370"/>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“苏采云”南京地区客服热线025-83633744、025-83633743。</w:t>
      </w:r>
      <w:r/>
    </w:p>
    <w:p>
      <w:pPr>
        <w:ind w:firstLine="370"/>
        <w:spacing w:line="360" w:lineRule="auto"/>
        <w:shd w:val="clear" w:color="auto" w:fill="ffffff"/>
        <w:widowControl/>
        <w:rPr>
          <w:rFonts w:hint="eastAsia" w:ascii="宋体" w:hAnsi="宋体" w:cs="宋体"/>
          <w:sz w:val="22"/>
          <w:szCs w:val="22"/>
        </w:rPr>
      </w:pPr>
      <w:r>
        <w:rPr>
          <w:rFonts w:hint="eastAsia" w:ascii="宋体" w:hAnsi="宋体" w:cs="宋体"/>
          <w:spacing w:val="8"/>
          <w:sz w:val="22"/>
          <w:szCs w:val="22"/>
          <w:lang w:val="zh-CN"/>
        </w:rPr>
        <w:t xml:space="preserve"> 有关本次招标的事项若存在变动或修改，请及时关注“江苏政府采购网”（www.ccgp-jiangsu.gov.cn）</w:t>
      </w:r>
      <w:r>
        <w:rPr>
          <w:rFonts w:hint="eastAsia" w:ascii="宋体" w:hAnsi="宋体" w:cs="宋体"/>
          <w:spacing w:val="8"/>
          <w:sz w:val="22"/>
          <w:szCs w:val="22"/>
          <w:lang w:val="en-US" w:eastAsia="zh-CN"/>
        </w:rPr>
        <w:t xml:space="preserve">发布的</w:t>
      </w:r>
      <w:r>
        <w:rPr>
          <w:rFonts w:hint="eastAsia" w:ascii="宋体" w:hAnsi="宋体" w:cs="宋体"/>
          <w:spacing w:val="8"/>
          <w:sz w:val="22"/>
          <w:szCs w:val="22"/>
          <w:lang w:val="zh-CN"/>
        </w:rPr>
        <w:t xml:space="preserve">更正公告。</w:t>
      </w:r>
      <w:r/>
    </w:p>
    <w:p>
      <w:pPr>
        <w:spacing w:line="360" w:lineRule="auto"/>
        <w:shd w:val="clear" w:color="auto" w:fill="ffffff"/>
        <w:widowControl/>
        <w:rPr>
          <w:rFonts w:hint="eastAsia" w:ascii="宋体" w:hAnsi="宋体" w:cs="宋体"/>
          <w:b/>
          <w:spacing w:val="8"/>
          <w:sz w:val="22"/>
          <w:szCs w:val="22"/>
        </w:rPr>
      </w:pPr>
      <w:r>
        <w:rPr>
          <w:rFonts w:hint="eastAsia" w:ascii="宋体" w:hAnsi="宋体" w:cs="宋体"/>
          <w:b/>
          <w:spacing w:val="8"/>
          <w:sz w:val="22"/>
          <w:szCs w:val="22"/>
        </w:rPr>
        <w:t xml:space="preserve">七、对本次招标提出询问，请按以下方式联系</w:t>
      </w:r>
      <w:bookmarkEnd w:id="5"/>
      <w:r/>
      <w:bookmarkEnd w:id="6"/>
      <w:r/>
      <w:bookmarkEnd w:id="7"/>
      <w:r/>
      <w:bookmarkEnd w:id="8"/>
      <w:r/>
      <w:bookmarkEnd w:id="10"/>
      <w:r/>
      <w:bookmarkEnd w:id="11"/>
      <w:r/>
      <w:bookmarkEnd w:id="12"/>
      <w:r/>
      <w:r/>
    </w:p>
    <w:p>
      <w:pPr>
        <w:ind w:firstLine="444"/>
        <w:spacing w:line="360" w:lineRule="auto"/>
        <w:rPr>
          <w:rFonts w:hint="eastAsia" w:ascii="宋体" w:hAnsi="宋体" w:cs="宋体"/>
          <w:bCs/>
          <w:sz w:val="22"/>
          <w:szCs w:val="22"/>
          <w:lang w:val="zh-CN"/>
        </w:rPr>
      </w:pPr>
      <w:r>
        <w:rPr>
          <w:rFonts w:hint="eastAsia" w:ascii="宋体" w:hAnsi="宋体" w:cs="宋体"/>
          <w:bCs/>
          <w:sz w:val="22"/>
          <w:szCs w:val="22"/>
          <w:lang w:val="zh-CN"/>
        </w:rPr>
        <w:t xml:space="preserve">7.1采购人信息</w:t>
      </w:r>
      <w:r/>
    </w:p>
    <w:p>
      <w:pPr>
        <w:ind w:firstLine="424"/>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名 称：扬州中国大运河博物馆</w:t>
      </w:r>
      <w:r/>
    </w:p>
    <w:p>
      <w:pPr>
        <w:ind w:firstLine="424"/>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zh-CN" w:eastAsia="zh-CN"/>
        </w:rPr>
        <w:t xml:space="preserve">地址：</w:t>
      </w:r>
      <w:r>
        <w:rPr>
          <w:rFonts w:hint="eastAsia" w:ascii="宋体" w:hAnsi="宋体" w:cs="宋体"/>
          <w:color w:val="auto"/>
          <w:szCs w:val="21"/>
          <w:highlight w:val="none"/>
          <w:lang w:eastAsia="zh-CN"/>
        </w:rPr>
        <w:t xml:space="preserve">扬州市广陵区文峰街道运博路1号 </w:t>
      </w:r>
      <w:r/>
    </w:p>
    <w:p>
      <w:pPr>
        <w:ind w:firstLine="424"/>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zh-CN" w:eastAsia="zh-CN"/>
        </w:rPr>
        <w:t xml:space="preserve">联系方式：</w:t>
      </w:r>
      <w:r>
        <w:rPr>
          <w:rFonts w:hint="eastAsia" w:ascii="宋体" w:hAnsi="宋体" w:cs="宋体"/>
          <w:color w:val="auto"/>
          <w:szCs w:val="21"/>
          <w:highlight w:val="none"/>
          <w:lang w:val="en-US" w:eastAsia="zh-CN"/>
        </w:rPr>
        <w:t xml:space="preserve">周老师 0514-82773012</w:t>
      </w:r>
      <w:r/>
    </w:p>
    <w:p>
      <w:pPr>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7.2采购代理机构信息</w:t>
      </w:r>
      <w:r/>
    </w:p>
    <w:p>
      <w:pPr>
        <w:ind w:firstLine="444"/>
        <w:spacing w:line="360" w:lineRule="auto"/>
        <w:rPr>
          <w:rFonts w:hint="eastAsia" w:ascii="宋体" w:hAnsi="宋体" w:cs="宋体"/>
          <w:sz w:val="22"/>
          <w:szCs w:val="22"/>
        </w:rPr>
      </w:pPr>
      <w:r>
        <w:rPr>
          <w:rFonts w:hint="eastAsia" w:ascii="宋体" w:hAnsi="宋体" w:cs="宋体"/>
          <w:sz w:val="22"/>
          <w:szCs w:val="22"/>
        </w:rPr>
        <w:t xml:space="preserve">名称：江苏省设备成套股份有限公司</w:t>
      </w:r>
      <w:r/>
    </w:p>
    <w:p>
      <w:pPr>
        <w:ind w:firstLine="444"/>
        <w:spacing w:line="360" w:lineRule="auto"/>
        <w:rPr>
          <w:rFonts w:hint="eastAsia" w:ascii="宋体" w:hAnsi="宋体" w:cs="宋体"/>
          <w:sz w:val="22"/>
          <w:szCs w:val="22"/>
        </w:rPr>
      </w:pPr>
      <w:r>
        <w:rPr>
          <w:rFonts w:hint="eastAsia" w:ascii="宋体" w:hAnsi="宋体" w:cs="宋体"/>
          <w:sz w:val="22"/>
          <w:szCs w:val="22"/>
        </w:rPr>
        <w:t xml:space="preserve">地址：南京市鼓楼区清江南路18号鼓楼创新广场D栋10楼1003室</w:t>
      </w:r>
      <w:r/>
    </w:p>
    <w:p>
      <w:pPr>
        <w:ind w:firstLine="444"/>
        <w:spacing w:line="360" w:lineRule="auto"/>
        <w:rPr>
          <w:rFonts w:hint="eastAsia" w:ascii="宋体" w:hAnsi="宋体" w:cs="宋体"/>
          <w:sz w:val="22"/>
          <w:szCs w:val="22"/>
        </w:rPr>
      </w:pPr>
      <w:r>
        <w:rPr>
          <w:rFonts w:hint="eastAsia" w:ascii="宋体" w:hAnsi="宋体" w:cs="宋体"/>
          <w:sz w:val="22"/>
          <w:szCs w:val="22"/>
        </w:rPr>
        <w:t xml:space="preserve">联系方式：</w:t>
      </w:r>
      <w:bookmarkStart w:id="14" w:name="OLE_LINK24"/>
      <w:r>
        <w:rPr>
          <w:rFonts w:hint="eastAsia" w:ascii="宋体" w:hAnsi="宋体" w:cs="宋体"/>
          <w:sz w:val="22"/>
          <w:szCs w:val="22"/>
        </w:rPr>
        <w:t xml:space="preserve">颜丽、徐鑫磊</w:t>
      </w:r>
      <w:bookmarkEnd w:id="14"/>
      <w:r>
        <w:rPr>
          <w:rFonts w:hint="eastAsia" w:ascii="宋体" w:hAnsi="宋体" w:cs="宋体"/>
          <w:sz w:val="22"/>
          <w:szCs w:val="22"/>
        </w:rPr>
        <w:t xml:space="preserve"> 025-83311056、13913931305</w:t>
      </w:r>
      <w:r/>
    </w:p>
    <w:p>
      <w:pPr>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7.3项目联系方式</w:t>
      </w:r>
      <w:r/>
    </w:p>
    <w:p>
      <w:pPr>
        <w:ind w:firstLine="444"/>
        <w:spacing w:line="360" w:lineRule="auto"/>
        <w:rPr>
          <w:rFonts w:hint="eastAsia" w:ascii="宋体" w:hAnsi="宋体" w:cs="宋体"/>
          <w:sz w:val="22"/>
          <w:szCs w:val="22"/>
        </w:rPr>
      </w:pPr>
      <w:r>
        <w:rPr>
          <w:rFonts w:hint="eastAsia" w:ascii="宋体" w:hAnsi="宋体" w:cs="宋体"/>
          <w:sz w:val="22"/>
          <w:szCs w:val="22"/>
        </w:rPr>
        <w:t xml:space="preserve">项目联系人：颜丽、徐鑫磊</w:t>
      </w:r>
      <w:r/>
    </w:p>
    <w:p>
      <w:pPr>
        <w:ind w:firstLine="444"/>
        <w:spacing w:line="360" w:lineRule="auto"/>
        <w:rPr>
          <w:rFonts w:hint="eastAsia" w:ascii="宋体" w:hAnsi="宋体" w:cs="宋体"/>
          <w:sz w:val="22"/>
          <w:szCs w:val="22"/>
        </w:rPr>
      </w:pPr>
      <w:r>
        <w:rPr>
          <w:rFonts w:hint="eastAsia" w:ascii="宋体" w:hAnsi="宋体" w:cs="宋体"/>
          <w:sz w:val="22"/>
          <w:szCs w:val="22"/>
        </w:rPr>
        <w:t xml:space="preserve">电话：025-83311056、13913931305</w:t>
      </w:r>
      <w:bookmarkEnd w:id="4"/>
      <w:r/>
      <w:bookmarkEnd w:id="9"/>
      <w:r/>
      <w:bookmarkEnd w:id="13"/>
      <w:r/>
      <w:r/>
    </w:p>
    <w:p>
      <w:pPr>
        <w:jc w:val="left"/>
        <w:widowControl/>
        <w:rPr>
          <w:rFonts w:ascii="Arial" w:hAnsi="Arial" w:cs="Arial"/>
          <w:szCs w:val="21"/>
        </w:rPr>
      </w:pPr>
      <w:r>
        <w:rPr>
          <w:rFonts w:ascii="Arial" w:hAnsi="Arial" w:cs="Arial"/>
          <w:szCs w:val="21"/>
        </w:rPr>
        <w:br w:type="page" w:clear="all"/>
      </w:r>
      <w:r/>
    </w:p>
    <w:p>
      <w:pPr>
        <w:pStyle w:val="938"/>
        <w:numPr>
          <w:ilvl w:val="0"/>
          <w:numId w:val="0"/>
        </w:numPr>
        <w:rPr>
          <w:rFonts w:ascii="Arial" w:hAnsi="Arial" w:cs="Arial"/>
        </w:rPr>
      </w:pPr>
      <w:r/>
      <w:bookmarkStart w:id="15" w:name="_Toc17613"/>
      <w:r>
        <w:rPr>
          <w:rFonts w:ascii="Arial" w:cs="Arial"/>
        </w:rPr>
        <w:t xml:space="preserve">第二章</w:t>
      </w:r>
      <w:bookmarkStart w:id="16" w:name="_Toc452625218"/>
      <w:r>
        <w:rPr>
          <w:rFonts w:hint="eastAsia" w:ascii="Arial" w:cs="Arial"/>
        </w:rPr>
        <w:t xml:space="preserve"> </w:t>
      </w:r>
      <w:r>
        <w:rPr>
          <w:rFonts w:ascii="Arial" w:cs="Arial"/>
        </w:rPr>
        <w:t xml:space="preserve">供应商须知</w:t>
      </w:r>
      <w:bookmarkEnd w:id="15"/>
      <w:r/>
      <w:bookmarkEnd w:id="16"/>
      <w:r/>
      <w:r/>
    </w:p>
    <w:p>
      <w:pPr>
        <w:ind w:firstLine="444"/>
        <w:spacing w:line="360" w:lineRule="auto"/>
        <w:shd w:val="clear" w:color="auto" w:fill="ffffff"/>
        <w:widowControl/>
        <w:rPr>
          <w:rFonts w:hint="eastAsia" w:ascii="宋体" w:hAnsi="宋体" w:cs="宋体"/>
          <w:sz w:val="22"/>
          <w:szCs w:val="22"/>
        </w:rPr>
      </w:pPr>
      <w:r/>
      <w:bookmarkStart w:id="17" w:name="_Toc25340"/>
      <w:r/>
      <w:bookmarkStart w:id="18" w:name="_Toc481057145"/>
      <w:r>
        <w:rPr>
          <w:rFonts w:hint="eastAsia" w:ascii="宋体" w:hAnsi="宋体" w:cs="宋体"/>
          <w:b/>
          <w:bCs/>
          <w:sz w:val="22"/>
          <w:szCs w:val="22"/>
        </w:rPr>
        <w:t xml:space="preserve">一、总 则</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1、适用法律</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2、定义</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2.2“</w:t>
      </w:r>
      <w:r>
        <w:rPr>
          <w:rFonts w:hint="eastAsia" w:ascii="宋体" w:hAnsi="宋体" w:cs="宋体"/>
          <w:sz w:val="22"/>
          <w:szCs w:val="22"/>
        </w:rPr>
        <w:t xml:space="preserve">投标人（供应商）</w:t>
      </w:r>
      <w:r>
        <w:rPr>
          <w:rFonts w:hint="eastAsia" w:ascii="宋体" w:hAnsi="宋体" w:cs="宋体"/>
          <w:sz w:val="22"/>
          <w:szCs w:val="22"/>
        </w:rPr>
        <w:t xml:space="preserve">”是指参加投标竞争，并符合招标文件规定资格条件的法人、其他组织或者自然人。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2.4“货物和服务”指本招标文件中所述</w:t>
      </w:r>
      <w:r>
        <w:rPr>
          <w:rFonts w:hint="eastAsia" w:ascii="宋体" w:hAnsi="宋体" w:cs="宋体"/>
          <w:bCs/>
          <w:sz w:val="22"/>
          <w:szCs w:val="22"/>
        </w:rPr>
        <w:t xml:space="preserve">产品</w:t>
      </w:r>
      <w:r>
        <w:rPr>
          <w:rFonts w:hint="eastAsia" w:ascii="宋体" w:hAnsi="宋体" w:cs="宋体"/>
          <w:sz w:val="22"/>
          <w:szCs w:val="22"/>
        </w:rPr>
        <w:t xml:space="preserve">及相关服务。</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2.5“用户或使用单位”是指使用货物，接受服务的单位。</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3、政策功能</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3.6进口产品政策</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3.7未按要求提供相关材料的，不享受相关政策。</w:t>
      </w:r>
      <w:r/>
    </w:p>
    <w:p>
      <w:pPr>
        <w:ind w:firstLine="412"/>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二、招标文件构成</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4、招标文件组成</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4.1招标文件包括以下主要内容：采购公告；供应商须知；供应商应当提交的资格、资信证明文件；为</w:t>
      </w:r>
      <w:r>
        <w:rPr>
          <w:rFonts w:hint="eastAsia" w:ascii="宋体" w:hAnsi="宋体" w:cs="宋体"/>
          <w:sz w:val="22"/>
          <w:szCs w:val="22"/>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5、招标文件的澄清或者修改</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5.2澄清或者修改的内容可能影响投标文件编制的，采购代理机构应当在投标截止时间至少15日前，以书面形式通知所有获取招标文件的潜在供应商；不足15日的，采购代理机构应当顺延提交投标文件的截止时间。</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三、投标文件的编制</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6、投标文件的语言、计量单位、货币和编制</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6.2供应商所使用的计量单位应为国家法定计量单位。</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6.3供应商应用人民币报价。投标产品如果是进口产品的，应提供人民</w:t>
      </w:r>
      <w:r>
        <w:rPr>
          <w:rFonts w:hint="eastAsia" w:ascii="宋体" w:hAnsi="宋体" w:cs="宋体"/>
          <w:b w:val="0"/>
          <w:bCs w:val="0"/>
          <w:sz w:val="22"/>
          <w:szCs w:val="22"/>
        </w:rPr>
        <w:t xml:space="preserve">币与外币之间的汇率</w:t>
      </w:r>
      <w:r>
        <w:rPr>
          <w:rFonts w:hint="eastAsia" w:ascii="宋体" w:hAnsi="宋体" w:cs="宋体"/>
          <w:b/>
          <w:bCs/>
          <w:sz w:val="22"/>
          <w:szCs w:val="22"/>
        </w:rPr>
        <w:t xml:space="preserve">。</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cs="宋体"/>
          <w:sz w:val="22"/>
          <w:szCs w:val="22"/>
        </w:rPr>
      </w:pPr>
      <w:r>
        <w:rPr>
          <w:rFonts w:hint="eastAsia" w:ascii="宋体" w:hAnsi="宋体" w:cs="宋体"/>
          <w:bCs/>
          <w:sz w:val="22"/>
          <w:szCs w:val="22"/>
        </w:rPr>
        <w:t xml:space="preserve">6.5</w:t>
      </w:r>
      <w:r>
        <w:rPr>
          <w:rFonts w:hint="eastAsia" w:ascii="宋体" w:hAnsi="宋体" w:cs="宋体"/>
          <w:sz w:val="22"/>
          <w:szCs w:val="22"/>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7、联合体投标</w:t>
      </w:r>
      <w:r/>
    </w:p>
    <w:p>
      <w:pPr>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cs="宋体"/>
          <w:sz w:val="22"/>
          <w:szCs w:val="22"/>
        </w:rPr>
      </w:pPr>
      <w:r>
        <w:rPr>
          <w:rFonts w:hint="eastAsia" w:ascii="宋体" w:hAnsi="宋体" w:cs="宋体"/>
          <w:bCs/>
          <w:sz w:val="22"/>
          <w:szCs w:val="22"/>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8、投标文件的组成</w:t>
      </w:r>
      <w:r/>
    </w:p>
    <w:p>
      <w:pPr>
        <w:ind w:firstLine="420"/>
        <w:jc w:val="left"/>
        <w:spacing w:line="360" w:lineRule="auto"/>
        <w:shd w:val="clear" w:color="auto" w:fill="ffffff"/>
        <w:widowControl/>
        <w:rPr>
          <w:rFonts w:hint="eastAsia" w:ascii="宋体" w:hAnsi="宋体" w:cs="宋体"/>
          <w:b/>
          <w:sz w:val="22"/>
          <w:szCs w:val="22"/>
        </w:rPr>
      </w:pPr>
      <w:r>
        <w:rPr>
          <w:rFonts w:hint="eastAsia" w:ascii="宋体" w:hAnsi="宋体" w:cs="宋体"/>
          <w:sz w:val="22"/>
          <w:szCs w:val="22"/>
        </w:rPr>
        <w:t xml:space="preserve">8.1供应商应当根据招标文件要求编制投标文件，投标文件应对招标文件提出的要求和条件作出实质性响应，并在《商务条款偏离表》和《</w:t>
      </w:r>
      <w:r>
        <w:rPr>
          <w:rFonts w:hint="eastAsia" w:ascii="宋体" w:hAnsi="宋体" w:cs="宋体"/>
          <w:sz w:val="22"/>
          <w:szCs w:val="22"/>
          <w:lang w:val="en-US" w:eastAsia="zh-CN"/>
        </w:rPr>
        <w:t xml:space="preserve">技术</w:t>
      </w:r>
      <w:r>
        <w:rPr>
          <w:rFonts w:hint="eastAsia" w:ascii="宋体" w:hAnsi="宋体" w:cs="宋体"/>
          <w:sz w:val="22"/>
          <w:szCs w:val="22"/>
        </w:rPr>
        <w:t xml:space="preserve">需求偏离表》等处逐条标明满足与否。</w:t>
      </w:r>
      <w:r>
        <w:rPr>
          <w:rFonts w:hint="eastAsia" w:ascii="宋体" w:hAnsi="宋体" w:cs="宋体"/>
          <w:b/>
          <w:sz w:val="22"/>
          <w:szCs w:val="22"/>
        </w:rPr>
        <w:t xml:space="preserve">对带</w:t>
      </w:r>
      <w:r>
        <w:rPr>
          <w:rFonts w:hint="eastAsia" w:ascii="宋体" w:hAnsi="宋体" w:cs="宋体"/>
          <w:b/>
          <w:bCs/>
          <w:sz w:val="22"/>
          <w:szCs w:val="22"/>
        </w:rPr>
        <w:t xml:space="preserve">星号（“</w:t>
      </w:r>
      <w:r>
        <w:rPr>
          <w:rFonts w:hint="eastAsia" w:ascii="宋体" w:hAnsi="宋体" w:cs="宋体"/>
          <w:sz w:val="22"/>
          <w:szCs w:val="22"/>
        </w:rPr>
        <w:t xml:space="preserve">★</w:t>
      </w:r>
      <w:r>
        <w:rPr>
          <w:rFonts w:hint="eastAsia" w:ascii="宋体" w:hAnsi="宋体" w:cs="宋体"/>
          <w:b/>
          <w:bCs/>
          <w:sz w:val="22"/>
          <w:szCs w:val="22"/>
        </w:rPr>
        <w:t xml:space="preserve">”）的技术条款必须在投标文件中提供技术支持资料（具体详见技术参数要求），未提供技术支持资料的，视为未对招标文件实质性要求作出响应，评审时不予认可。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9、投标文件的商务内容</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9.1商务部分内容是证明供应商有资格参加投标和中标后有能力履行合同的文件，这些文件应能满足招标的要求，包括但不限于下列文件（</w:t>
      </w:r>
      <w:r>
        <w:rPr>
          <w:rFonts w:hint="eastAsia" w:ascii="宋体" w:hAnsi="宋体" w:cs="宋体"/>
          <w:b/>
          <w:sz w:val="22"/>
          <w:szCs w:val="22"/>
        </w:rPr>
        <w:t xml:space="preserve">（1）-（4）所述材料不得有缺失或提供不全或不满足招标文件的实质性要求</w:t>
      </w:r>
      <w:r>
        <w:rPr>
          <w:rFonts w:hint="eastAsia" w:ascii="宋体" w:hAnsi="宋体" w:cs="宋体"/>
          <w:sz w:val="22"/>
          <w:szCs w:val="22"/>
        </w:rPr>
        <w:t xml:space="preserve">）：</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（1）投标函（投标申请及声明）</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t xml:space="preserve">；</w:t>
      </w:r>
      <w:r/>
    </w:p>
    <w:p>
      <w:pPr>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（2）法定代表人授权书及委托代理人的身份证明文件的复印件</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t xml:space="preserve">；</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（3）供应商资格资信证明文件：</w:t>
      </w:r>
      <w:r/>
    </w:p>
    <w:p>
      <w:pPr>
        <w:pStyle w:val="967"/>
        <w:numPr>
          <w:ilvl w:val="1"/>
          <w:numId w:val="3"/>
        </w:numPr>
        <w:ind w:left="0" w:firstLine="385"/>
        <w:spacing w:line="360" w:lineRule="auto"/>
        <w:tabs>
          <w:tab w:val="left" w:pos="840" w:leader="none"/>
          <w:tab w:val="clear" w:pos="990" w:leader="none"/>
        </w:tabs>
        <w:rPr>
          <w:rFonts w:hint="eastAsia" w:ascii="宋体" w:hAnsi="宋体" w:cs="宋体"/>
          <w:bCs/>
          <w:sz w:val="22"/>
          <w:szCs w:val="22"/>
        </w:rPr>
      </w:pPr>
      <w:r>
        <w:rPr>
          <w:rFonts w:hint="eastAsia" w:ascii="宋体" w:hAnsi="宋体" w:cs="宋体"/>
          <w:bCs/>
          <w:sz w:val="22"/>
          <w:szCs w:val="22"/>
        </w:rPr>
        <w:t xml:space="preserve">第一章采购公告中 2.1《中华人民共和国政府采购法》规定的资格条件证明文件；</w:t>
      </w:r>
      <w:r/>
    </w:p>
    <w:p>
      <w:pPr>
        <w:pStyle w:val="967"/>
        <w:numPr>
          <w:ilvl w:val="1"/>
          <w:numId w:val="3"/>
        </w:numPr>
        <w:ind w:left="0" w:firstLine="385"/>
        <w:spacing w:line="360" w:lineRule="auto"/>
        <w:tabs>
          <w:tab w:val="left" w:pos="840" w:leader="none"/>
          <w:tab w:val="clear" w:pos="990" w:leader="none"/>
        </w:tabs>
        <w:rPr>
          <w:rFonts w:hint="eastAsia" w:ascii="宋体" w:hAnsi="宋体" w:cs="宋体"/>
          <w:bCs/>
          <w:sz w:val="22"/>
          <w:szCs w:val="22"/>
        </w:rPr>
      </w:pPr>
      <w:r>
        <w:rPr>
          <w:rFonts w:hint="eastAsia" w:ascii="宋体" w:hAnsi="宋体" w:cs="宋体"/>
          <w:bCs/>
          <w:sz w:val="22"/>
          <w:szCs w:val="22"/>
        </w:rPr>
        <w:t xml:space="preserve">第一章采购公告中 2.2</w:t>
      </w:r>
      <w:r>
        <w:rPr>
          <w:rFonts w:hint="eastAsia" w:ascii="宋体" w:hAnsi="宋体" w:cs="宋体"/>
          <w:spacing w:val="8"/>
          <w:sz w:val="22"/>
          <w:szCs w:val="22"/>
        </w:rPr>
        <w:t xml:space="preserve">落实政府采购政策需满足的资格要求；</w:t>
      </w:r>
      <w:r/>
    </w:p>
    <w:p>
      <w:pPr>
        <w:pStyle w:val="967"/>
        <w:numPr>
          <w:ilvl w:val="1"/>
          <w:numId w:val="3"/>
        </w:numPr>
        <w:ind w:left="0" w:firstLine="385"/>
        <w:spacing w:line="360" w:lineRule="auto"/>
        <w:tabs>
          <w:tab w:val="left" w:pos="840" w:leader="none"/>
          <w:tab w:val="clear" w:pos="990" w:leader="none"/>
        </w:tabs>
        <w:rPr>
          <w:rFonts w:hint="eastAsia" w:ascii="宋体" w:hAnsi="宋体" w:cs="宋体"/>
          <w:bCs/>
          <w:sz w:val="22"/>
          <w:szCs w:val="22"/>
        </w:rPr>
      </w:pPr>
      <w:r>
        <w:rPr>
          <w:rFonts w:hint="eastAsia" w:ascii="宋体" w:hAnsi="宋体" w:cs="宋体"/>
          <w:bCs/>
          <w:sz w:val="22"/>
          <w:szCs w:val="22"/>
        </w:rPr>
        <w:t xml:space="preserve">第一章采购公告中 2.3 采购人根据采购项目的特殊要求规定的特定条件证明文件。</w:t>
      </w:r>
      <w:r/>
    </w:p>
    <w:p>
      <w:pPr>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（4）开标一览表及附表</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（5）《商务条款偏离表》；</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（6）第三章评标标准中对应的所需证明材料；</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（7）其它。</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10、投标文件的技术内容</w:t>
      </w:r>
      <w:r/>
    </w:p>
    <w:p>
      <w:pPr>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技术部分</w:t>
      </w:r>
      <w:r>
        <w:rPr>
          <w:rFonts w:hint="eastAsia" w:ascii="宋体" w:hAnsi="宋体" w:cs="宋体"/>
          <w:sz w:val="22"/>
          <w:szCs w:val="22"/>
        </w:rPr>
        <w:t xml:space="preserve">内容</w:t>
      </w:r>
      <w:r>
        <w:rPr>
          <w:rFonts w:hint="eastAsia" w:ascii="宋体" w:hAnsi="宋体" w:cs="宋体"/>
          <w:sz w:val="22"/>
          <w:szCs w:val="22"/>
          <w:lang w:val="zh-CN"/>
        </w:rPr>
        <w:t xml:space="preserve">是证明</w:t>
      </w:r>
      <w:r>
        <w:rPr>
          <w:rFonts w:hint="eastAsia" w:ascii="宋体" w:hAnsi="宋体" w:cs="宋体"/>
          <w:sz w:val="22"/>
          <w:szCs w:val="22"/>
        </w:rPr>
        <w:t xml:space="preserve">供应商提供的货物和服务是合格的、并符合招标文件要求的证明文件，以及</w:t>
      </w:r>
      <w:r>
        <w:rPr>
          <w:rFonts w:hint="eastAsia" w:ascii="宋体" w:hAnsi="宋体" w:cs="宋体"/>
          <w:sz w:val="22"/>
          <w:szCs w:val="22"/>
          <w:lang w:val="zh-CN"/>
        </w:rPr>
        <w:t xml:space="preserve">对货物和服务的详细说明，这些文件可以是文字资料、图纸、数据</w:t>
      </w:r>
      <w:r>
        <w:rPr>
          <w:rFonts w:hint="eastAsia" w:ascii="宋体" w:hAnsi="宋体" w:cs="宋体"/>
          <w:sz w:val="22"/>
          <w:szCs w:val="22"/>
        </w:rPr>
        <w:t xml:space="preserve">或其他证明文件</w:t>
      </w:r>
      <w:r>
        <w:rPr>
          <w:rFonts w:hint="eastAsia" w:ascii="宋体" w:hAnsi="宋体" w:cs="宋体"/>
          <w:sz w:val="22"/>
          <w:szCs w:val="22"/>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（1）技术说明或服务方案；</w:t>
      </w:r>
      <w:r/>
    </w:p>
    <w:p>
      <w:pPr>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（2）《</w:t>
      </w:r>
      <w:r>
        <w:rPr>
          <w:rFonts w:hint="eastAsia" w:ascii="宋体" w:hAnsi="宋体" w:cs="宋体"/>
          <w:sz w:val="22"/>
          <w:szCs w:val="22"/>
          <w:lang w:val="en-US" w:eastAsia="zh-CN"/>
        </w:rPr>
        <w:t xml:space="preserve">技术</w:t>
      </w:r>
      <w:r>
        <w:rPr>
          <w:rFonts w:hint="eastAsia" w:ascii="宋体" w:hAnsi="宋体" w:cs="宋体"/>
          <w:sz w:val="22"/>
          <w:szCs w:val="22"/>
          <w:lang w:val="zh-CN"/>
        </w:rPr>
        <w:t xml:space="preserve">需求偏离表》；</w:t>
      </w:r>
      <w:r/>
    </w:p>
    <w:p>
      <w:pPr>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（3）服务承诺；</w:t>
      </w:r>
      <w:r/>
    </w:p>
    <w:p>
      <w:pPr>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（4）供应商拟投入本项目的设备、人员情况一览表；</w:t>
      </w:r>
      <w:r/>
    </w:p>
    <w:p>
      <w:pPr>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（5）供应商认为需要提供的其他技术资料。</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11、投标文件的价格内容</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11.1价格部分内容是对采购标的价格构成的说明，招标文件如无特别说明，每一项货物及服务仅接受一个价格。</w:t>
      </w:r>
      <w:r/>
    </w:p>
    <w:p>
      <w:pPr>
        <w:ind w:firstLine="420"/>
        <w:spacing w:line="360" w:lineRule="auto"/>
        <w:rPr>
          <w:rFonts w:hint="eastAsia" w:ascii="宋体" w:hAnsi="宋体" w:cs="宋体"/>
          <w:sz w:val="22"/>
          <w:szCs w:val="22"/>
        </w:rPr>
      </w:pPr>
      <w:r>
        <w:rPr>
          <w:rFonts w:hint="eastAsia" w:ascii="宋体" w:hAnsi="宋体" w:cs="宋体"/>
          <w:sz w:val="22"/>
          <w:szCs w:val="22"/>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cs="宋体"/>
          <w:sz w:val="22"/>
          <w:szCs w:val="22"/>
          <w:lang w:val="zh-CN"/>
        </w:rPr>
        <w:t xml:space="preserve">，</w:t>
      </w:r>
      <w:r>
        <w:rPr>
          <w:rFonts w:hint="eastAsia" w:ascii="宋体" w:hAnsi="宋体" w:cs="宋体"/>
          <w:bCs/>
          <w:sz w:val="22"/>
          <w:szCs w:val="22"/>
        </w:rPr>
        <w:t xml:space="preserve">以</w:t>
      </w:r>
      <w:r>
        <w:rPr>
          <w:rFonts w:hint="eastAsia" w:ascii="宋体" w:hAnsi="宋体" w:cs="宋体"/>
          <w:sz w:val="22"/>
          <w:szCs w:val="22"/>
        </w:rPr>
        <w:t xml:space="preserve">及供应商认为需要的其他费用等</w:t>
      </w:r>
      <w:r>
        <w:rPr>
          <w:rFonts w:hint="eastAsia" w:ascii="宋体" w:hAnsi="宋体" w:cs="宋体"/>
          <w:b/>
          <w:sz w:val="22"/>
          <w:szCs w:val="22"/>
        </w:rPr>
        <w:t xml:space="preserve">。</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11.4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11.6本项目预算为：详见第一章。</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12、投标文件的其他部分</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12.1 其他部分由供应商根据编制投标文件需要提供的其他相关文件组成。</w:t>
      </w:r>
      <w:r/>
    </w:p>
    <w:p>
      <w:pPr>
        <w:ind w:firstLine="420"/>
        <w:spacing w:line="360" w:lineRule="auto"/>
        <w:widowControl/>
        <w:rPr>
          <w:rFonts w:hint="eastAsia" w:ascii="宋体" w:hAnsi="宋体" w:cs="宋体"/>
          <w:sz w:val="22"/>
          <w:szCs w:val="22"/>
        </w:rPr>
      </w:pPr>
      <w:r>
        <w:rPr>
          <w:rFonts w:hint="eastAsia" w:ascii="宋体" w:hAnsi="宋体" w:cs="宋体"/>
          <w:sz w:val="22"/>
          <w:szCs w:val="22"/>
        </w:rPr>
        <w:t xml:space="preserve">12.2</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如标书制作工具中格式和内容与“江苏政府采购网”发布的</w:t>
      </w:r>
      <w:r>
        <w:rPr>
          <w:rFonts w:hint="eastAsia" w:ascii="宋体" w:hAnsi="宋体" w:cs="宋体"/>
          <w:color w:val="000000"/>
          <w:sz w:val="22"/>
          <w:szCs w:val="22"/>
        </w:rPr>
        <w:t xml:space="preserve">采购</w:t>
      </w:r>
      <w:r>
        <w:rPr>
          <w:rFonts w:hint="eastAsia" w:ascii="宋体" w:hAnsi="宋体" w:cs="宋体"/>
          <w:color w:val="000000"/>
          <w:sz w:val="22"/>
          <w:szCs w:val="22"/>
          <w:lang w:val="zh-CN"/>
        </w:rPr>
        <w:t xml:space="preserve">文件不一致，以</w:t>
      </w:r>
      <w:r>
        <w:rPr>
          <w:rFonts w:hint="eastAsia" w:ascii="宋体" w:hAnsi="宋体" w:cs="宋体"/>
          <w:color w:val="000000"/>
          <w:sz w:val="22"/>
          <w:szCs w:val="22"/>
        </w:rPr>
        <w:t xml:space="preserve">上述网站</w:t>
      </w:r>
      <w:r>
        <w:rPr>
          <w:rFonts w:hint="eastAsia" w:ascii="宋体" w:hAnsi="宋体" w:cs="宋体"/>
          <w:color w:val="000000"/>
          <w:sz w:val="22"/>
          <w:szCs w:val="22"/>
          <w:lang w:val="zh-CN"/>
        </w:rPr>
        <w:t xml:space="preserve">发布的</w:t>
      </w:r>
      <w:r>
        <w:rPr>
          <w:rFonts w:hint="eastAsia" w:ascii="宋体" w:hAnsi="宋体" w:cs="宋体"/>
          <w:color w:val="000000"/>
          <w:sz w:val="22"/>
          <w:szCs w:val="22"/>
        </w:rPr>
        <w:t xml:space="preserve">采购</w:t>
      </w:r>
      <w:r>
        <w:rPr>
          <w:rFonts w:hint="eastAsia" w:ascii="宋体" w:hAnsi="宋体" w:cs="宋体"/>
          <w:color w:val="000000"/>
          <w:sz w:val="22"/>
          <w:szCs w:val="22"/>
          <w:lang w:val="zh-CN"/>
        </w:rPr>
        <w:t xml:space="preserve">文件为准。</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13、投标保证金：（本项目无需缴纳投标保证金）</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14、投标有效期</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14.1 自开标之日起</w:t>
      </w:r>
      <w:r>
        <w:rPr>
          <w:rFonts w:hint="eastAsia" w:ascii="宋体" w:hAnsi="宋体" w:cs="宋体"/>
          <w:b/>
          <w:sz w:val="22"/>
          <w:szCs w:val="22"/>
        </w:rPr>
        <w:t xml:space="preserve">90</w:t>
      </w:r>
      <w:r>
        <w:rPr>
          <w:rFonts w:hint="eastAsia" w:ascii="宋体" w:hAnsi="宋体" w:cs="宋体"/>
          <w:sz w:val="22"/>
          <w:szCs w:val="22"/>
        </w:rPr>
        <w:t xml:space="preserve">天内投标有效</w:t>
      </w:r>
      <w:r>
        <w:rPr>
          <w:rFonts w:hint="eastAsia" w:ascii="宋体" w:hAnsi="宋体" w:cs="宋体"/>
          <w:b/>
          <w:sz w:val="22"/>
          <w:szCs w:val="22"/>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15、投标文件签署</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16、投标费用</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16.1 供应商应承担所有与准备和参加投标有关的费用，无论招标结果如何，采购代理机构和采购人在任何情况下均无义务和责任承担这些费用。</w:t>
      </w:r>
      <w:r/>
    </w:p>
    <w:p>
      <w:pPr>
        <w:ind w:firstLine="442"/>
        <w:spacing w:line="360" w:lineRule="auto"/>
        <w:widowControl/>
        <w:rPr>
          <w:rFonts w:ascii="宋体" w:hAnsi="宋体" w:cs="宋体"/>
          <w:szCs w:val="21"/>
        </w:rPr>
      </w:pPr>
      <w:r>
        <w:rPr>
          <w:rFonts w:hint="eastAsia" w:ascii="宋体" w:hAnsi="宋体" w:cs="宋体"/>
          <w:b/>
          <w:bCs/>
          <w:sz w:val="22"/>
          <w:szCs w:val="22"/>
        </w:rPr>
        <w:t xml:space="preserve">16.2 招标代理服务费：</w:t>
      </w:r>
      <w:r>
        <w:rPr>
          <w:rFonts w:hint="eastAsia" w:ascii="宋体" w:hAnsi="宋体" w:cs="宋体"/>
          <w:bCs/>
          <w:szCs w:val="21"/>
        </w:rPr>
        <w:t xml:space="preserve">代理服务费</w:t>
      </w:r>
      <w:r>
        <w:rPr>
          <w:rFonts w:hint="eastAsia" w:ascii="Arial" w:hAnsi="Arial" w:cs="Arial"/>
          <w:szCs w:val="21"/>
          <w:lang w:val="zh-CN"/>
        </w:rPr>
        <w:t xml:space="preserve">由采购人</w:t>
      </w:r>
      <w:r>
        <w:rPr>
          <w:rFonts w:hint="eastAsia" w:ascii="Arial" w:hAnsi="Arial" w:cs="Arial"/>
          <w:szCs w:val="21"/>
        </w:rPr>
        <w:t xml:space="preserve">按委托代理合同的约定</w:t>
      </w:r>
      <w:r>
        <w:rPr>
          <w:rFonts w:hint="eastAsia" w:ascii="Arial" w:hAnsi="Arial" w:cs="Arial"/>
          <w:szCs w:val="21"/>
          <w:lang w:val="zh-CN"/>
        </w:rPr>
        <w:t xml:space="preserve">支付。</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四、投标文件的递交</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17、投标文件的递交</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18、投标文件的解密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19、投标文件的修改和撤回</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20、诚实信用</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五、开标、评标与定标</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21、开标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21.2 投标人在开标过程中涉及到的投标文件解密、开标结果确认等工作，应按照《操作手册》规定执行。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21.3投标人不足3家的，不得开标。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21.4 投标人如果对开标过程和开标结果有疑义，应当根据《操作手册》规定提出，“苏采云”系统中《开标记录表》公布后5分钟内未提出的，视同认可开标结果。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21.5公开招标数额标准以上的采购项目，投标截止后投标人不足3家或者通过资格审查或符合性审查的投标人不足3家的，除采购任务取消情形外，按照以下方式处理：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p>
    <w:p>
      <w:pPr>
        <w:ind w:firstLine="440"/>
        <w:spacing w:line="360" w:lineRule="auto"/>
        <w:widowControl/>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22、评标</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 评标委员会</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22.1.1评标委员会负责具体评标事务，并独立履行下列职责：</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（三）对投标文件进行比较和评价；</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  评标程序</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22.2.1 投标文件的资格性检查。公开招标采购项目开标结束后，采购代理机构应当依法对投标人的资格进行审查。</w:t>
      </w:r>
      <w:r>
        <w:rPr>
          <w:rFonts w:hint="eastAsia" w:ascii="宋体" w:hAnsi="宋体" w:eastAsia="宋体" w:cs="宋体"/>
          <w:b/>
          <w:bCs/>
          <w:sz w:val="22"/>
          <w:szCs w:val="22"/>
          <w:lang w:val="en-US" w:eastAsia="zh-CN"/>
        </w:rPr>
        <w:t xml:space="preserve">资格</w:t>
      </w:r>
      <w:r>
        <w:rPr>
          <w:rFonts w:hint="eastAsia" w:ascii="宋体" w:hAnsi="宋体" w:eastAsia="宋体" w:cs="宋体"/>
          <w:b/>
          <w:bCs/>
          <w:sz w:val="22"/>
          <w:szCs w:val="22"/>
        </w:rPr>
        <w:t xml:space="preserve">审查时，通过“中国政府采购网”、“信用中国”网站等渠道查询供应商信用记录并保存。</w:t>
      </w:r>
      <w:r>
        <w:rPr>
          <w:rFonts w:hint="eastAsia" w:ascii="宋体" w:hAnsi="宋体" w:cs="宋体"/>
          <w:b/>
          <w:bCs/>
          <w:sz w:val="22"/>
          <w:szCs w:val="22"/>
        </w:rPr>
        <w:t xml:space="preserve">合格投标人不足3家的，不得评标。</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（2）投标文件未按照招标文件要求加盖电子公章的；</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（4）投标文件含有采购人不能接受的附加条件的；</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（6）投标人报价过低，有可能影响产品质量或者不能诚信履约的，且不能证明其报价合理性的。</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（7）现行法律、法规、规章和招标文件规定的其他无效情形。</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22.2.2.1 实质性要求是指本招标文件中用</w:t>
      </w:r>
      <w:r>
        <w:rPr>
          <w:rFonts w:hint="eastAsia" w:ascii="宋体" w:hAnsi="宋体" w:cs="宋体"/>
          <w:b/>
          <w:sz w:val="22"/>
          <w:szCs w:val="22"/>
        </w:rPr>
        <w:t xml:space="preserve">带</w:t>
      </w:r>
      <w:r>
        <w:rPr>
          <w:rFonts w:hint="eastAsia" w:ascii="宋体" w:hAnsi="宋体" w:cs="宋体"/>
          <w:b/>
          <w:bCs/>
          <w:sz w:val="22"/>
          <w:szCs w:val="22"/>
        </w:rPr>
        <w:t xml:space="preserve">星号“</w:t>
      </w:r>
      <w:r>
        <w:rPr>
          <w:rFonts w:hint="eastAsia" w:ascii="宋体" w:hAnsi="宋体" w:cs="宋体"/>
          <w:sz w:val="22"/>
          <w:szCs w:val="22"/>
        </w:rPr>
        <w:t xml:space="preserve">★</w:t>
      </w:r>
      <w:r>
        <w:rPr>
          <w:rFonts w:hint="eastAsia" w:ascii="宋体" w:hAnsi="宋体" w:cs="宋体"/>
          <w:b/>
          <w:bCs/>
          <w:sz w:val="22"/>
          <w:szCs w:val="22"/>
        </w:rPr>
        <w:t xml:space="preserve">”说明的商务和技术要求。</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22.2.2.3有下列情形之一的予以废标：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22.2.3澄清有关问题。</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评委会并非对每个投标人都做澄清要求。</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（2）大写金额和小写金额不一致的，以大写金额为准；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 评标方法和标准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评审因素，包括价格、技术、商务等。</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 评标委员会启动异常低价投标审查的情形和具体要求</w:t>
      </w:r>
      <w:r/>
    </w:p>
    <w:p>
      <w:pPr>
        <w:ind w:firstLine="420"/>
        <w:spacing w:line="360" w:lineRule="auto"/>
        <w:shd w:val="clear" w:color="auto" w:fill="ffffff"/>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（1）投标报价低于全部通过符合性审查投标人投标报价平均值</w:t>
      </w:r>
      <w:r>
        <w:rPr>
          <w:rFonts w:hint="eastAsia" w:ascii="宋体" w:hAnsi="宋体" w:cs="宋体"/>
          <w:b/>
          <w:bCs/>
          <w:sz w:val="22"/>
          <w:szCs w:val="22"/>
          <w:highlight w:val="none"/>
          <w:lang w:val="en-US" w:eastAsia="zh-CN"/>
        </w:rPr>
        <w:t xml:space="preserve">50</w:t>
      </w:r>
      <w:r>
        <w:rPr>
          <w:rFonts w:hint="eastAsia" w:ascii="宋体" w:hAnsi="宋体" w:cs="宋体"/>
          <w:b/>
          <w:bCs/>
          <w:sz w:val="22"/>
          <w:szCs w:val="22"/>
          <w:highlight w:val="none"/>
        </w:rPr>
        <w:t xml:space="preserve">%的，即投标报价&lt;全部通过符合性审查投标人投标报价平均值×</w:t>
      </w:r>
      <w:r>
        <w:rPr>
          <w:rFonts w:hint="eastAsia" w:ascii="宋体" w:hAnsi="宋体" w:cs="宋体"/>
          <w:b/>
          <w:bCs/>
          <w:sz w:val="22"/>
          <w:szCs w:val="22"/>
          <w:highlight w:val="none"/>
          <w:lang w:val="en-US" w:eastAsia="zh-CN"/>
        </w:rPr>
        <w:t xml:space="preserve">50</w:t>
      </w:r>
      <w:r>
        <w:rPr>
          <w:rFonts w:hint="eastAsia" w:ascii="宋体" w:hAnsi="宋体" w:cs="宋体"/>
          <w:b/>
          <w:bCs/>
          <w:sz w:val="22"/>
          <w:szCs w:val="22"/>
          <w:highlight w:val="none"/>
        </w:rPr>
        <w:t xml:space="preserve">%；</w:t>
      </w:r>
      <w:r/>
    </w:p>
    <w:p>
      <w:pPr>
        <w:ind w:firstLine="420"/>
        <w:spacing w:line="360" w:lineRule="auto"/>
        <w:shd w:val="clear" w:color="auto" w:fill="ffffff"/>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（2）投标报价低于通过符合性审查的次低报价投标人投标报价</w:t>
      </w:r>
      <w:r>
        <w:rPr>
          <w:rFonts w:hint="eastAsia" w:ascii="宋体" w:hAnsi="宋体" w:cs="宋体"/>
          <w:b/>
          <w:bCs/>
          <w:sz w:val="22"/>
          <w:szCs w:val="22"/>
          <w:highlight w:val="none"/>
          <w:lang w:val="en-US" w:eastAsia="zh-CN"/>
        </w:rPr>
        <w:t xml:space="preserve">50</w:t>
      </w:r>
      <w:r>
        <w:rPr>
          <w:rFonts w:hint="eastAsia" w:ascii="宋体" w:hAnsi="宋体" w:cs="宋体"/>
          <w:b/>
          <w:bCs/>
          <w:sz w:val="22"/>
          <w:szCs w:val="22"/>
          <w:highlight w:val="none"/>
        </w:rPr>
        <w:t xml:space="preserve">%的，即投标报价&lt;通过符合性审查的次低报价投标人投标报价×</w:t>
      </w:r>
      <w:r>
        <w:rPr>
          <w:rFonts w:hint="eastAsia" w:ascii="宋体" w:hAnsi="宋体" w:cs="宋体"/>
          <w:b/>
          <w:bCs/>
          <w:sz w:val="22"/>
          <w:szCs w:val="22"/>
          <w:highlight w:val="none"/>
          <w:lang w:val="en-US" w:eastAsia="zh-CN"/>
        </w:rPr>
        <w:t xml:space="preserve">50</w:t>
      </w:r>
      <w:r>
        <w:rPr>
          <w:rFonts w:hint="eastAsia" w:ascii="宋体" w:hAnsi="宋体" w:cs="宋体"/>
          <w:b/>
          <w:bCs/>
          <w:sz w:val="22"/>
          <w:szCs w:val="22"/>
          <w:highlight w:val="none"/>
        </w:rPr>
        <w:t xml:space="preserve">%；</w:t>
      </w:r>
      <w:r/>
    </w:p>
    <w:p>
      <w:pPr>
        <w:ind w:firstLine="420"/>
        <w:spacing w:line="360" w:lineRule="auto"/>
        <w:shd w:val="clear" w:color="auto" w:fill="ffffff"/>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（3）投标报价低于本项目最高限价45%的，即投标报价&lt;本项目最高限价×</w:t>
      </w:r>
      <w:r>
        <w:rPr>
          <w:rFonts w:hint="eastAsia" w:ascii="宋体" w:hAnsi="宋体" w:cs="宋体"/>
          <w:b/>
          <w:bCs/>
          <w:sz w:val="22"/>
          <w:szCs w:val="22"/>
          <w:highlight w:val="none"/>
          <w:lang w:val="en-US" w:eastAsia="zh-CN"/>
        </w:rPr>
        <w:t xml:space="preserve">45</w:t>
      </w:r>
      <w:r>
        <w:rPr>
          <w:rFonts w:hint="eastAsia" w:ascii="宋体" w:hAnsi="宋体" w:cs="宋体"/>
          <w:b/>
          <w:bCs/>
          <w:sz w:val="22"/>
          <w:szCs w:val="22"/>
          <w:highlight w:val="none"/>
        </w:rPr>
        <w:t xml:space="preserve">%；</w:t>
      </w:r>
      <w:r/>
    </w:p>
    <w:p>
      <w:pPr>
        <w:ind w:firstLine="420"/>
        <w:spacing w:line="360" w:lineRule="auto"/>
        <w:shd w:val="clear" w:color="auto" w:fill="ffffff"/>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23、确定中标人</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23.2采用综合评分法的，评标结果按评审后得分由高到低顺序排列。若得分相同的，按投标报价由低到高顺序排列。若投标报价仍相同的，按服务方案分由高到低顺序排列。若服务方案分仍相同的，则由评标委员会投票确定。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23.5 所有投标文件不论中标与否，均不退回。</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24、编写评标报告</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25、评标过程的保密性</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六、签订合同</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26、签订合同</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26.4若中标人未能按照规定或拒绝与采购人签订合同的，采购人可以按照评审报告推荐的中标候选人排序，确定下一候选人为中标人，以此类推；也可以重新开展政府采购活动。</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七、质疑和投诉</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27、质疑</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27.2提出质疑的供应商应当是参与所质疑项目采购活动的供应商。潜在供应商已依法获取其可质疑的采购文件的，可以对该文件提出质疑。</w:t>
      </w:r>
      <w:r/>
    </w:p>
    <w:p>
      <w:pPr>
        <w:ind w:firstLine="442"/>
        <w:spacing w:line="420" w:lineRule="exact"/>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27.3供应商认为采购文件、采购过程和中标结果使自己的合法权益受到损害的，可以在知道或者应知其权益受到损害之日起七个工作日内，以书面形式向采购代理机构提出质疑。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（二）质疑项目的名称、编号；</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（四）事实依据（具体条款）；</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（五）必要的法律依据（具体条款）；</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（六）提出质疑的日期。</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27.6采购代理机构在收到投标人的书面质疑后将及时组织调查核实，在</w:t>
      </w:r>
      <w:r>
        <w:rPr>
          <w:rFonts w:hint="eastAsia" w:ascii="宋体" w:hAnsi="宋体" w:cs="宋体"/>
          <w:b/>
          <w:bCs/>
          <w:sz w:val="22"/>
          <w:szCs w:val="22"/>
        </w:rPr>
        <w:t xml:space="preserve">七个工作日内</w:t>
      </w:r>
      <w:r>
        <w:rPr>
          <w:rFonts w:hint="eastAsia" w:ascii="宋体" w:hAnsi="宋体" w:cs="宋体"/>
          <w:sz w:val="22"/>
          <w:szCs w:val="22"/>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 w:val="22"/>
          <w:szCs w:val="22"/>
        </w:rPr>
      </w:pPr>
      <w:r>
        <w:rPr>
          <w:rFonts w:hint="eastAsia" w:ascii="宋体" w:hAnsi="宋体" w:cs="宋体"/>
          <w:b/>
          <w:bCs/>
          <w:sz w:val="22"/>
          <w:szCs w:val="22"/>
        </w:rPr>
        <w:t xml:space="preserve">28、投诉</w:t>
      </w:r>
      <w:r/>
    </w:p>
    <w:p>
      <w:pPr>
        <w:ind w:firstLine="440"/>
        <w:spacing w:line="420" w:lineRule="exact"/>
        <w:rPr>
          <w:rFonts w:hint="eastAsia" w:ascii="宋体" w:hAnsi="宋体" w:cs="宋体"/>
          <w:sz w:val="22"/>
          <w:szCs w:val="22"/>
        </w:rPr>
      </w:pPr>
      <w:r>
        <w:rPr>
          <w:rFonts w:hint="eastAsia" w:ascii="宋体" w:hAnsi="宋体" w:cs="宋体"/>
          <w:sz w:val="22"/>
          <w:szCs w:val="22"/>
        </w:rPr>
        <w:t xml:space="preserve">28.1质疑供应商对采购代理机构的答复不满意或者采购代理机构未在规定的时间内作出答复的，可以在答复期满后十五个工作日内向同级政府采购监督管理部门投诉。</w:t>
      </w:r>
      <w:r/>
    </w:p>
    <w:p>
      <w:pPr>
        <w:ind w:firstLine="440"/>
        <w:spacing w:line="420" w:lineRule="exact"/>
        <w:rPr>
          <w:rFonts w:hint="eastAsia" w:ascii="宋体" w:hAnsi="宋体" w:cs="宋体"/>
          <w:sz w:val="22"/>
          <w:szCs w:val="22"/>
        </w:rPr>
      </w:pPr>
      <w:r>
        <w:rPr>
          <w:rFonts w:hint="eastAsia" w:ascii="宋体" w:hAnsi="宋体" w:cs="宋体"/>
          <w:sz w:val="22"/>
          <w:szCs w:val="22"/>
        </w:rPr>
        <w:t xml:space="preserve">28.2供应商投诉应当有明确的请求和必要的证明材料。供应商投诉的事项不得超出已质疑事项的范围。</w:t>
      </w:r>
      <w:r/>
    </w:p>
    <w:p>
      <w:pPr>
        <w:ind w:firstLine="440"/>
        <w:spacing w:line="420" w:lineRule="exact"/>
        <w:rPr>
          <w:rFonts w:hint="eastAsia" w:ascii="宋体" w:hAnsi="宋体" w:cs="宋体"/>
          <w:sz w:val="22"/>
          <w:szCs w:val="22"/>
        </w:rPr>
      </w:pPr>
      <w:r>
        <w:rPr>
          <w:rFonts w:hint="eastAsia" w:ascii="宋体" w:hAnsi="宋体" w:cs="宋体"/>
          <w:sz w:val="22"/>
          <w:szCs w:val="22"/>
        </w:rPr>
        <w:t xml:space="preserve">28.3投诉人对政府采购监督管理部门的投诉处理决定不服或者政府采购监督管理部门逾期未作处理的，可以依法申请行政复议或者向人民法院提起行政诉讼。</w:t>
      </w:r>
      <w:r/>
    </w:p>
    <w:p>
      <w:pPr>
        <w:ind w:firstLine="440"/>
        <w:spacing w:line="420" w:lineRule="exact"/>
        <w:rPr>
          <w:rFonts w:hint="eastAsia" w:ascii="宋体" w:hAnsi="宋体" w:cs="宋体"/>
          <w:sz w:val="22"/>
          <w:szCs w:val="22"/>
        </w:rPr>
      </w:pPr>
      <w:r>
        <w:rPr>
          <w:rFonts w:hint="eastAsia" w:ascii="宋体" w:hAnsi="宋体" w:cs="宋体"/>
          <w:sz w:val="22"/>
          <w:szCs w:val="22"/>
        </w:rPr>
        <w:t xml:space="preserve">28.4 投诉人有下列行为之一的，属于严重失信行为，由财政部门列入不良行为记录名单，禁止其一至三年内参加政府采购活动。</w:t>
      </w:r>
      <w:r/>
    </w:p>
    <w:p>
      <w:pPr>
        <w:ind w:firstLine="440"/>
        <w:spacing w:line="420" w:lineRule="exact"/>
        <w:rPr>
          <w:rFonts w:hint="eastAsia" w:ascii="宋体" w:hAnsi="宋体" w:cs="宋体"/>
          <w:sz w:val="22"/>
          <w:szCs w:val="22"/>
        </w:rPr>
      </w:pPr>
      <w:r>
        <w:rPr>
          <w:rFonts w:hint="eastAsia" w:ascii="宋体" w:hAnsi="宋体" w:cs="宋体"/>
          <w:sz w:val="22"/>
          <w:szCs w:val="22"/>
        </w:rPr>
        <w:t xml:space="preserve">（1）投诉人在全国范围12个月内三次以上投诉查无实据的；</w:t>
      </w:r>
      <w:r/>
    </w:p>
    <w:p>
      <w:pPr>
        <w:ind w:firstLine="440"/>
        <w:spacing w:line="420" w:lineRule="exact"/>
        <w:rPr>
          <w:rFonts w:hint="eastAsia" w:ascii="宋体" w:hAnsi="宋体" w:cs="宋体"/>
          <w:sz w:val="22"/>
          <w:szCs w:val="22"/>
        </w:rPr>
      </w:pPr>
      <w:r>
        <w:rPr>
          <w:rFonts w:hint="eastAsia" w:ascii="宋体" w:hAnsi="宋体" w:cs="宋体"/>
          <w:sz w:val="22"/>
          <w:szCs w:val="22"/>
        </w:rPr>
        <w:t xml:space="preserve">（2）采用捏造事实、提供虚假材料或者以非法手段取得证明材料等方式进行虚假、恶意投诉。</w:t>
      </w:r>
      <w:r/>
    </w:p>
    <w:p>
      <w:pPr>
        <w:ind w:firstLine="440"/>
        <w:spacing w:line="420" w:lineRule="exact"/>
        <w:rPr>
          <w:rFonts w:hint="eastAsia" w:ascii="宋体" w:hAnsi="宋体" w:cs="宋体"/>
          <w:sz w:val="22"/>
          <w:szCs w:val="22"/>
        </w:rPr>
      </w:pPr>
      <w:r>
        <w:rPr>
          <w:rFonts w:hint="eastAsia" w:ascii="宋体" w:hAnsi="宋体" w:cs="宋体"/>
          <w:sz w:val="22"/>
          <w:szCs w:val="22"/>
        </w:rPr>
        <w:t xml:space="preserve">证据来源的合法性存在明显疑问，投诉人无法证明其取得方式合法的，视为以非法手段取得证明材料。</w:t>
      </w:r>
      <w:r/>
    </w:p>
    <w:p>
      <w:pPr>
        <w:ind w:firstLine="442"/>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29、其他</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29.1本项目根据江苏省财政厅关于加强政府绿色采购有关事项的通知（苏财购</w:t>
      </w:r>
      <w:r>
        <w:rPr>
          <w:rFonts w:hint="eastAsia" w:ascii="宋体" w:hAnsi="宋体" w:cs="宋体"/>
          <w:sz w:val="22"/>
          <w:szCs w:val="22"/>
        </w:rPr>
        <w:t xml:space="preserve">〔2023〕65号</w:t>
      </w:r>
      <w:r>
        <w:rPr>
          <w:rFonts w:hint="eastAsia" w:ascii="宋体" w:hAnsi="宋体" w:cs="宋体"/>
          <w:sz w:val="22"/>
          <w:szCs w:val="22"/>
        </w:rPr>
        <w:t xml:space="preserve">）规定，执行绿色采购需求标准。</w:t>
      </w:r>
      <w:r/>
    </w:p>
    <w:p>
      <w:pPr>
        <w:rPr>
          <w:rFonts w:hint="eastAsia" w:ascii="宋体" w:hAnsi="宋体" w:cs="宋体"/>
          <w:sz w:val="22"/>
          <w:szCs w:val="22"/>
        </w:rPr>
      </w:pPr>
      <w:r>
        <w:rPr>
          <w:rFonts w:hint="eastAsia" w:ascii="宋体" w:hAnsi="宋体" w:cs="宋体"/>
          <w:sz w:val="22"/>
          <w:szCs w:val="22"/>
        </w:rPr>
        <w:br w:type="page" w:clear="all"/>
      </w:r>
      <w:r/>
    </w:p>
    <w:p>
      <w:pPr>
        <w:pStyle w:val="938"/>
        <w:numPr>
          <w:ilvl w:val="0"/>
          <w:numId w:val="0"/>
        </w:numPr>
        <w:rPr>
          <w:rFonts w:ascii="Arial" w:hAnsi="Arial" w:cs="Arial"/>
        </w:rPr>
      </w:pPr>
      <w:r/>
      <w:bookmarkStart w:id="19" w:name="_Toc9740"/>
      <w:r/>
      <w:bookmarkStart w:id="20" w:name="OLE_LINK35"/>
      <w:r>
        <w:rPr>
          <w:rFonts w:hint="eastAsia" w:ascii="Arial" w:hAnsi="Arial" w:cs="Arial"/>
        </w:rPr>
        <w:t xml:space="preserve">第三章 评标标准</w:t>
      </w:r>
      <w:bookmarkEnd w:id="17"/>
      <w:r/>
      <w:bookmarkEnd w:id="19"/>
      <w:r/>
      <w:bookmarkEnd w:id="18"/>
      <w:r/>
      <w:r/>
    </w:p>
    <w:p>
      <w:pPr>
        <w:ind w:left="420" w:firstLine="440"/>
        <w:spacing w:line="360" w:lineRule="auto"/>
        <w:tabs>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本项目采用综合评分法，评分统计方法采用百分制（满分100分），将全部评委评分直接进行算术平均，小数点后保留2位。按评审后得分由高到低顺序排列，若得分相同的，按投标报价由低到高顺序排列。若投标报价仍相同的，按服务方案分由高到低顺序排列。若服务方案分仍相同的，则由评标委员会投票确定。本项目将由评标委员会推荐3名中标候选人，</w:t>
      </w:r>
      <w:r>
        <w:rPr>
          <w:rFonts w:hint="eastAsia" w:ascii="宋体" w:hAnsi="宋体" w:eastAsia="宋体" w:cs="宋体"/>
          <w:sz w:val="22"/>
          <w:szCs w:val="22"/>
          <w:lang w:val="en-US" w:eastAsia="zh-CN" w:bidi="ar-SA"/>
        </w:rPr>
        <w:t xml:space="preserve">采购人授权评标委员直接确定排名第一的中标候选人为中标人</w:t>
      </w:r>
      <w:r>
        <w:rPr>
          <w:rFonts w:hint="eastAsia" w:ascii="宋体" w:hAnsi="宋体" w:cs="宋体"/>
          <w:sz w:val="22"/>
          <w:szCs w:val="22"/>
        </w:rPr>
        <w:t xml:space="preserve">。</w:t>
      </w:r>
      <w:r/>
    </w:p>
    <w:tbl>
      <w:tblPr>
        <w:tblStyle w:val="942"/>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084"/>
        <w:gridCol w:w="6566"/>
        <w:gridCol w:w="708"/>
      </w:tblGrid>
      <w:tr>
        <w:trPr>
          <w:jc w:val="center"/>
          <w:trHeight w:val="280"/>
        </w:trPr>
        <w:tc>
          <w:tcPr>
            <w:tcW w:w="709" w:type="dxa"/>
            <w:vAlign w:val="center"/>
            <w:textDirection w:val="lrTb"/>
            <w:noWrap w:val="false"/>
          </w:tcPr>
          <w:p>
            <w:pPr>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W w:w="1084" w:type="dxa"/>
            <w:vAlign w:val="center"/>
            <w:textDirection w:val="lrTb"/>
            <w:noWrap w:val="false"/>
          </w:tcPr>
          <w:p>
            <w:pPr>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评审因素</w:t>
            </w:r>
            <w:r/>
          </w:p>
        </w:tc>
        <w:tc>
          <w:tcPr>
            <w:tcW w:w="6566" w:type="dxa"/>
            <w:vAlign w:val="center"/>
            <w:textDirection w:val="lrTb"/>
            <w:noWrap w:val="false"/>
          </w:tcPr>
          <w:p>
            <w:pPr>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评审细则</w:t>
            </w:r>
            <w:r/>
          </w:p>
        </w:tc>
        <w:tc>
          <w:tcPr>
            <w:tcW w:w="708" w:type="dxa"/>
            <w:vAlign w:val="center"/>
            <w:textDirection w:val="lrTb"/>
            <w:noWrap w:val="false"/>
          </w:tcPr>
          <w:p>
            <w:pP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分值</w:t>
            </w:r>
            <w:r/>
          </w:p>
        </w:tc>
      </w:tr>
      <w:tr>
        <w:trPr>
          <w:jc w:val="center"/>
          <w:trHeight w:val="280"/>
        </w:trPr>
        <w:tc>
          <w:tcPr>
            <w:gridSpan w:val="4"/>
            <w:tcW w:w="9067"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1.价格</w:t>
            </w:r>
            <w:r/>
          </w:p>
        </w:tc>
      </w:tr>
      <w:tr>
        <w:trPr>
          <w:jc w:val="center"/>
          <w:trHeight w:val="777"/>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w:t>
            </w:r>
            <w:r/>
          </w:p>
        </w:tc>
        <w:tc>
          <w:tcPr>
            <w:tcW w:w="6566" w:type="dxa"/>
            <w:vAlign w:val="center"/>
            <w:textDirection w:val="lrTb"/>
            <w:noWrap w:val="false"/>
          </w:tcPr>
          <w:p>
            <w:pPr>
              <w:spacing w:line="360" w:lineRule="auto"/>
              <w:widowControl/>
              <w:rPr>
                <w:rFonts w:hint="default" w:ascii="宋体" w:hAnsi="宋体" w:eastAsia="宋体" w:cs="宋体"/>
                <w:color w:val="000000"/>
                <w:sz w:val="21"/>
                <w:szCs w:val="21"/>
                <w:lang w:val="en-US"/>
              </w:rPr>
            </w:pPr>
            <w:r>
              <w:rPr>
                <w:rFonts w:hint="eastAsia" w:ascii="宋体" w:hAnsi="宋体" w:eastAsia="宋体" w:cs="宋体"/>
                <w:sz w:val="21"/>
                <w:szCs w:val="21"/>
              </w:rPr>
              <w:t xml:space="preserve">综合评分法中的价格分采用低价优先法计算，即满足招标文件要求且投标价格最低的报价为评审基准价，其价格分为满分</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分。其他供应商的价格分统一按照下列公式计算：投标报价得分=(评审基准价／投标报价)×</w:t>
            </w:r>
            <w:r>
              <w:rPr>
                <w:rFonts w:hint="eastAsia" w:ascii="宋体" w:hAnsi="宋体" w:cs="宋体"/>
                <w:sz w:val="21"/>
                <w:szCs w:val="21"/>
                <w:lang w:val="en-US" w:eastAsia="zh-CN"/>
              </w:rPr>
              <w:t xml:space="preserve">10</w:t>
            </w:r>
            <w:r/>
          </w:p>
        </w:tc>
        <w:tc>
          <w:tcPr>
            <w:tcW w:w="708" w:type="dxa"/>
            <w:vAlign w:val="center"/>
            <w:textDirection w:val="lrTb"/>
            <w:noWrap w:val="false"/>
          </w:tcPr>
          <w:p>
            <w:pPr>
              <w:jc w:val="center"/>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jc w:val="center"/>
          <w:trHeight w:val="777"/>
        </w:trPr>
        <w:tc>
          <w:tcPr>
            <w:gridSpan w:val="4"/>
            <w:tcW w:w="9067" w:type="dxa"/>
            <w:vAlign w:val="center"/>
            <w:textDirection w:val="lrTb"/>
            <w:noWrap w:val="false"/>
          </w:tcPr>
          <w:p>
            <w:pPr>
              <w:spacing w:line="360" w:lineRule="auto"/>
              <w:widowControl/>
              <w:rPr>
                <w:rFonts w:hint="eastAsia" w:ascii="宋体" w:hAnsi="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eastAsia="宋体" w:cs="宋体"/>
                <w:sz w:val="21"/>
                <w:szCs w:val="21"/>
                <w:lang w:val="en-US" w:eastAsia="zh-CN"/>
              </w:rPr>
              <w:t xml:space="preserve">技术要求及商务要求</w:t>
            </w:r>
            <w:r>
              <w:rPr>
                <w:rFonts w:hint="eastAsia" w:ascii="宋体" w:hAnsi="宋体" w:eastAsia="宋体" w:cs="宋体"/>
                <w:sz w:val="21"/>
                <w:szCs w:val="21"/>
              </w:rPr>
              <w:t xml:space="preserve">响应</w:t>
            </w:r>
            <w:r/>
          </w:p>
        </w:tc>
      </w:tr>
      <w:tr>
        <w:trPr>
          <w:jc w:val="center"/>
          <w:trHeight w:val="777"/>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084" w:type="dxa"/>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技术要求及商务要求</w:t>
            </w:r>
            <w:r>
              <w:rPr>
                <w:rFonts w:hint="eastAsia" w:ascii="宋体" w:hAnsi="宋体" w:eastAsia="宋体" w:cs="宋体"/>
                <w:sz w:val="21"/>
                <w:szCs w:val="21"/>
              </w:rPr>
              <w:t xml:space="preserve">响应</w:t>
            </w:r>
            <w:r/>
          </w:p>
        </w:tc>
        <w:tc>
          <w:tcPr>
            <w:tcW w:w="656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根据投标人针对招标文件</w:t>
            </w:r>
            <w:r>
              <w:rPr>
                <w:rFonts w:hint="eastAsia" w:ascii="宋体" w:hAnsi="宋体" w:eastAsia="宋体" w:cs="宋体"/>
                <w:sz w:val="21"/>
                <w:szCs w:val="21"/>
                <w:lang w:val="en-US" w:eastAsia="zh-CN"/>
              </w:rPr>
              <w:t xml:space="preserve">技术要求及商务要求</w:t>
            </w:r>
            <w:r>
              <w:rPr>
                <w:rFonts w:hint="eastAsia" w:ascii="宋体" w:hAnsi="宋体" w:eastAsia="宋体" w:cs="宋体"/>
                <w:sz w:val="21"/>
                <w:szCs w:val="21"/>
              </w:rPr>
              <w:t xml:space="preserve">所提供的《</w:t>
            </w:r>
            <w:r>
              <w:rPr>
                <w:rFonts w:hint="eastAsia" w:ascii="宋体" w:hAnsi="宋体" w:eastAsia="宋体" w:cs="宋体"/>
                <w:sz w:val="21"/>
                <w:szCs w:val="21"/>
                <w:lang w:val="en-US" w:eastAsia="zh-CN"/>
              </w:rPr>
              <w:t xml:space="preserve">技术</w:t>
            </w:r>
            <w:r>
              <w:rPr>
                <w:rFonts w:hint="eastAsia" w:ascii="宋体" w:hAnsi="宋体" w:eastAsia="宋体" w:cs="宋体"/>
                <w:sz w:val="21"/>
                <w:szCs w:val="21"/>
              </w:rPr>
              <w:t xml:space="preserve">需求偏离表》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商务条款偏离表</w:t>
            </w:r>
            <w:r>
              <w:rPr>
                <w:rFonts w:hint="eastAsia" w:ascii="宋体" w:hAnsi="宋体" w:eastAsia="宋体" w:cs="宋体"/>
                <w:sz w:val="21"/>
                <w:szCs w:val="21"/>
              </w:rPr>
              <w:t xml:space="preserve">》的响应情况进行评分，完全响应招标文件要求的得</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分；每有一项负偏离的扣1分，扣完为止。</w:t>
            </w:r>
            <w:r/>
          </w:p>
        </w:tc>
        <w:tc>
          <w:tcPr>
            <w:tcW w:w="708" w:type="dxa"/>
            <w:vAlign w:val="center"/>
            <w:textDirection w:val="lrTb"/>
            <w:noWrap w:val="false"/>
          </w:tcPr>
          <w:p>
            <w:pPr>
              <w:jc w:val="center"/>
              <w:spacing w:line="360" w:lineRule="auto"/>
              <w:rPr>
                <w:rFonts w:hint="eastAsia" w:ascii="宋体" w:hAnsi="宋体" w:cs="宋体"/>
                <w:color w:val="000000"/>
                <w:sz w:val="21"/>
                <w:szCs w:val="21"/>
                <w:lang w:val="en-US" w:eastAsia="zh-CN"/>
              </w:rPr>
            </w:pPr>
            <w:r>
              <w:rPr>
                <w:rFonts w:hint="eastAsia" w:ascii="宋体" w:hAnsi="宋体" w:eastAsia="宋体" w:cs="宋体"/>
                <w:sz w:val="21"/>
                <w:szCs w:val="21"/>
                <w:lang w:val="en-US" w:eastAsia="zh-CN"/>
              </w:rPr>
              <w:t xml:space="preserve">31</w:t>
            </w:r>
            <w:r/>
          </w:p>
        </w:tc>
      </w:tr>
      <w:tr>
        <w:trPr>
          <w:jc w:val="center"/>
          <w:trHeight w:val="911"/>
        </w:trPr>
        <w:tc>
          <w:tcPr>
            <w:gridSpan w:val="4"/>
            <w:tcW w:w="9067" w:type="dxa"/>
            <w:vAlign w:val="center"/>
            <w:textDirection w:val="lrTb"/>
            <w:noWrap w:val="false"/>
          </w:tcPr>
          <w:p>
            <w:pPr>
              <w:jc w:val="both"/>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.服务方案</w:t>
            </w:r>
            <w:r/>
          </w:p>
        </w:tc>
      </w:tr>
      <w:tr>
        <w:trPr>
          <w:jc w:val="center"/>
          <w:trHeight w:val="911"/>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.1</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需求分析理解</w:t>
            </w:r>
            <w:r/>
          </w:p>
        </w:tc>
        <w:tc>
          <w:tcPr>
            <w:tcW w:w="6566" w:type="dxa"/>
            <w:vAlign w:val="top"/>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根据供应商提供的</w:t>
            </w:r>
            <w:r>
              <w:rPr>
                <w:rFonts w:hint="eastAsia" w:ascii="宋体" w:hAnsi="宋体" w:eastAsia="宋体" w:cs="宋体"/>
                <w:color w:val="000000"/>
                <w:sz w:val="21"/>
                <w:szCs w:val="21"/>
              </w:rPr>
              <w:t xml:space="preserve">需求分析理解</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包括但不限于建设目标、项目</w:t>
            </w:r>
            <w:r>
              <w:rPr>
                <w:rFonts w:hint="eastAsia" w:ascii="宋体" w:hAnsi="宋体" w:eastAsia="宋体" w:cs="宋体"/>
                <w:color w:val="000000"/>
                <w:sz w:val="21"/>
                <w:szCs w:val="21"/>
              </w:rPr>
              <w:t xml:space="preserve">需求理解</w:t>
            </w:r>
            <w:r>
              <w:rPr>
                <w:rFonts w:hint="eastAsia" w:ascii="宋体" w:hAnsi="宋体" w:eastAsia="宋体" w:cs="宋体"/>
                <w:color w:val="000000"/>
                <w:sz w:val="21"/>
                <w:szCs w:val="21"/>
                <w:lang w:val="en-US" w:eastAsia="zh-CN"/>
              </w:rPr>
              <w:t xml:space="preserve">等）进行评分</w:t>
            </w:r>
            <w:r/>
          </w:p>
          <w:p>
            <w:pP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建设目标</w:t>
            </w:r>
            <w:r>
              <w:rPr>
                <w:rFonts w:hint="eastAsia" w:ascii="宋体" w:hAnsi="宋体" w:eastAsia="宋体" w:cs="宋体"/>
                <w:color w:val="000000"/>
                <w:sz w:val="21"/>
                <w:szCs w:val="21"/>
              </w:rPr>
              <w:t xml:space="preserve">分析科学深入</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需求理解</w:t>
            </w:r>
            <w:r>
              <w:rPr>
                <w:rFonts w:hint="eastAsia" w:ascii="宋体" w:hAnsi="宋体" w:eastAsia="宋体" w:cs="宋体"/>
                <w:color w:val="000000"/>
                <w:sz w:val="21"/>
                <w:szCs w:val="21"/>
                <w:lang w:val="en-US" w:eastAsia="zh-CN"/>
              </w:rPr>
              <w:t xml:space="preserve">充分</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建设目标</w:t>
            </w:r>
            <w:r>
              <w:rPr>
                <w:rFonts w:hint="eastAsia" w:ascii="宋体" w:hAnsi="宋体" w:eastAsia="宋体" w:cs="宋体"/>
                <w:color w:val="000000"/>
                <w:sz w:val="21"/>
                <w:szCs w:val="21"/>
              </w:rPr>
              <w:t xml:space="preserve">分析</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科学深入</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需求理解</w:t>
            </w:r>
            <w:r>
              <w:rPr>
                <w:rFonts w:hint="eastAsia" w:ascii="宋体" w:hAnsi="宋体" w:eastAsia="宋体" w:cs="宋体"/>
                <w:color w:val="000000"/>
                <w:sz w:val="21"/>
                <w:szCs w:val="21"/>
                <w:lang w:val="en-US" w:eastAsia="zh-CN"/>
              </w:rPr>
              <w:t xml:space="preserve">较充分</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建设目标</w:t>
            </w:r>
            <w:r>
              <w:rPr>
                <w:rFonts w:hint="eastAsia" w:ascii="宋体" w:hAnsi="宋体" w:eastAsia="宋体" w:cs="宋体"/>
                <w:color w:val="000000"/>
                <w:sz w:val="21"/>
                <w:szCs w:val="21"/>
              </w:rPr>
              <w:t xml:space="preserve">分析浅显</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需求理解</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未提供不得分。</w:t>
            </w:r>
            <w:r/>
          </w:p>
        </w:tc>
        <w:tc>
          <w:tcPr>
            <w:tcW w:w="708" w:type="dxa"/>
            <w:vAlign w:val="center"/>
            <w:textDirection w:val="lrTb"/>
            <w:noWrap w:val="false"/>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408"/>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bidi="ar-SA"/>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.2</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总体设计方案</w:t>
            </w:r>
            <w:r/>
          </w:p>
        </w:tc>
        <w:tc>
          <w:tcPr>
            <w:tcW w:w="6566" w:type="dxa"/>
            <w:vAlign w:val="top"/>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根据供应商提供的</w:t>
            </w:r>
            <w:r>
              <w:rPr>
                <w:rFonts w:hint="eastAsia" w:ascii="宋体" w:hAnsi="宋体" w:eastAsia="宋体" w:cs="宋体"/>
                <w:color w:val="000000"/>
                <w:sz w:val="21"/>
                <w:szCs w:val="21"/>
              </w:rPr>
              <w:t xml:space="preserve">总体设计方案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包括但不限于</w:t>
            </w:r>
            <w:r>
              <w:rPr>
                <w:rFonts w:hint="eastAsia" w:ascii="宋体" w:hAnsi="宋体" w:eastAsia="宋体" w:cs="宋体"/>
                <w:color w:val="000000"/>
                <w:sz w:val="21"/>
                <w:szCs w:val="21"/>
              </w:rPr>
              <w:t xml:space="preserve">总体设计思路</w:t>
            </w:r>
            <w:r>
              <w:rPr>
                <w:rFonts w:hint="eastAsia" w:ascii="宋体" w:hAnsi="宋体" w:eastAsia="宋体" w:cs="宋体"/>
                <w:color w:val="000000"/>
                <w:sz w:val="21"/>
                <w:szCs w:val="21"/>
                <w:lang w:val="en-US" w:bidi="ar-SA"/>
              </w:rPr>
              <w:t xml:space="preserve">，</w:t>
            </w:r>
            <w:r>
              <w:rPr>
                <w:rFonts w:hint="eastAsia" w:ascii="宋体" w:hAnsi="宋体" w:eastAsia="宋体" w:cs="宋体"/>
                <w:color w:val="000000"/>
                <w:sz w:val="21"/>
                <w:szCs w:val="21"/>
              </w:rPr>
              <w:t xml:space="preserve">架构设计</w:t>
            </w:r>
            <w:r>
              <w:rPr>
                <w:rFonts w:hint="eastAsia" w:ascii="宋体" w:hAnsi="宋体" w:eastAsia="宋体" w:cs="宋体"/>
                <w:color w:val="000000"/>
                <w:sz w:val="21"/>
                <w:szCs w:val="21"/>
                <w:lang w:val="en-US" w:eastAsia="zh-CN"/>
              </w:rPr>
              <w:t xml:space="preserve">等）进行评分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总体设计思路具有科学性和前瞻性，架构设计科学合理，得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总体设计思路</w:t>
            </w:r>
            <w:r>
              <w:rPr>
                <w:rFonts w:hint="eastAsia" w:ascii="宋体" w:hAnsi="宋体" w:cs="宋体"/>
                <w:color w:val="000000"/>
                <w:sz w:val="21"/>
                <w:szCs w:val="21"/>
                <w:lang w:val="en-US" w:eastAsia="zh-CN"/>
              </w:rPr>
              <w:t xml:space="preserve">略</w:t>
            </w:r>
            <w:r>
              <w:rPr>
                <w:rFonts w:hint="eastAsia" w:ascii="宋体" w:hAnsi="宋体" w:eastAsia="宋体" w:cs="宋体"/>
                <w:color w:val="000000"/>
                <w:sz w:val="21"/>
                <w:szCs w:val="21"/>
              </w:rPr>
              <w:t xml:space="preserve">有科学性，架构设计</w:t>
            </w:r>
            <w:r>
              <w:rPr>
                <w:rFonts w:hint="eastAsia" w:ascii="宋体" w:hAnsi="宋体" w:cs="宋体"/>
                <w:color w:val="000000"/>
                <w:sz w:val="21"/>
                <w:szCs w:val="21"/>
                <w:lang w:val="en-US" w:eastAsia="zh-CN"/>
              </w:rPr>
              <w:t xml:space="preserve">较合理</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总体设计思路能基本满足现有需求，架构设计基本合理，得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未提供不得分。</w:t>
            </w:r>
            <w:r/>
          </w:p>
        </w:tc>
        <w:tc>
          <w:tcPr>
            <w:tcW w:w="708" w:type="dxa"/>
            <w:vAlign w:val="center"/>
            <w:textDirection w:val="lrTb"/>
            <w:noWrap w:val="false"/>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1216"/>
        </w:trPr>
        <w:tc>
          <w:tcPr>
            <w:tcW w:w="709" w:type="dxa"/>
            <w:vAlign w:val="center"/>
            <w:textDirection w:val="lrTb"/>
            <w:noWrap w:val="false"/>
          </w:tcPr>
          <w:p>
            <w:pPr>
              <w:pStyle w:val="971"/>
              <w:ind w:left="0" w:firstLine="0"/>
              <w:jc w:val="center"/>
              <w:spacing w:line="360" w:lineRule="auto"/>
              <w:widowControl/>
              <w:rPr>
                <w:rFonts w:hint="eastAsia" w:ascii="宋体" w:hAnsi="宋体" w:eastAsia="宋体" w:cs="宋体"/>
                <w:color w:val="000000"/>
                <w:sz w:val="21"/>
                <w:szCs w:val="21"/>
                <w:lang w:val="en-US" w:eastAsia="zh-CN" w:bidi="ar-SA"/>
              </w:rPr>
            </w:pPr>
            <w:r>
              <w:rPr>
                <w:rFonts w:hint="eastAsia" w:cs="宋体"/>
                <w:color w:val="000000"/>
                <w:sz w:val="21"/>
                <w:szCs w:val="21"/>
                <w:lang w:val="en-US" w:eastAsia="zh-CN" w:bidi="ar-SA"/>
              </w:rPr>
              <w:t xml:space="preserve">3</w:t>
            </w:r>
            <w:r>
              <w:rPr>
                <w:rFonts w:hint="eastAsia" w:ascii="宋体" w:hAnsi="宋体" w:eastAsia="宋体" w:cs="宋体"/>
                <w:color w:val="000000"/>
                <w:sz w:val="21"/>
                <w:szCs w:val="21"/>
                <w:lang w:val="en-US" w:bidi="ar-SA"/>
              </w:rPr>
              <w:t xml:space="preserve">.</w:t>
            </w:r>
            <w:r>
              <w:rPr>
                <w:rFonts w:hint="eastAsia" w:ascii="宋体" w:hAnsi="宋体" w:eastAsia="宋体" w:cs="宋体"/>
                <w:color w:val="000000"/>
                <w:sz w:val="21"/>
                <w:szCs w:val="21"/>
                <w:lang w:val="en-US" w:eastAsia="zh-CN" w:bidi="ar-SA"/>
              </w:rPr>
              <w:t xml:space="preserve">3</w:t>
            </w:r>
            <w:r/>
          </w:p>
        </w:tc>
        <w:tc>
          <w:tcPr>
            <w:tcW w:w="1084" w:type="dxa"/>
            <w:vAlign w:val="center"/>
            <w:textDirection w:val="lrTb"/>
            <w:noWrap w:val="false"/>
          </w:tcPr>
          <w:p>
            <w:pPr>
              <w:pStyle w:val="971"/>
              <w:ind w:left="0" w:firstLine="0"/>
              <w:jc w:val="both"/>
              <w:spacing w:line="360" w:lineRule="auto"/>
              <w:widowControl/>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eastAsia="zh-CN"/>
              </w:rPr>
              <w:t xml:space="preserve">重难点分析</w:t>
            </w:r>
            <w:r/>
          </w:p>
        </w:tc>
        <w:tc>
          <w:tcPr>
            <w:tcW w:w="6566" w:type="dxa"/>
            <w:vAlign w:val="top"/>
            <w:textDirection w:val="lrTb"/>
            <w:noWrap w:val="false"/>
          </w:tcPr>
          <w:p>
            <w:pPr>
              <w:spacing w:line="360" w:lineRule="auto"/>
              <w:widowControl/>
              <w:rPr>
                <w:rFonts w:hint="eastAsia" w:ascii="宋体" w:hAnsi="宋体" w:eastAsia="宋体" w:cs="宋体"/>
                <w:color w:val="000000"/>
                <w:sz w:val="21"/>
                <w:szCs w:val="21"/>
                <w:lang w:val="en-US" w:bidi="ar-SA"/>
              </w:rPr>
            </w:pPr>
            <w:r>
              <w:rPr>
                <w:rFonts w:hint="eastAsia" w:ascii="宋体" w:hAnsi="宋体" w:cs="宋体"/>
                <w:color w:val="000000"/>
                <w:sz w:val="21"/>
                <w:szCs w:val="21"/>
                <w:lang w:val="en-US" w:eastAsia="zh-CN"/>
              </w:rPr>
              <w:t xml:space="preserve">根据供应商提供的</w:t>
            </w:r>
            <w:r>
              <w:rPr>
                <w:rFonts w:hint="eastAsia" w:ascii="宋体" w:hAnsi="宋体" w:eastAsia="宋体" w:cs="宋体"/>
                <w:color w:val="000000"/>
                <w:sz w:val="21"/>
                <w:szCs w:val="21"/>
                <w:lang w:val="en-US" w:eastAsia="zh-CN"/>
              </w:rPr>
              <w:t xml:space="preserve">重难点分析</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包括但不限于</w:t>
            </w:r>
            <w:r>
              <w:rPr>
                <w:rFonts w:hint="eastAsia" w:ascii="宋体" w:hAnsi="宋体" w:eastAsia="宋体" w:cs="宋体"/>
                <w:color w:val="000000"/>
                <w:sz w:val="21"/>
                <w:szCs w:val="21"/>
                <w:lang w:val="en-US" w:bidi="ar-SA"/>
              </w:rPr>
              <w:t xml:space="preserve">数据安全性设计，关键性技术问题，应对措施</w:t>
            </w:r>
            <w:r>
              <w:rPr>
                <w:rFonts w:hint="eastAsia" w:ascii="宋体" w:hAnsi="宋体" w:eastAsia="宋体" w:cs="宋体"/>
                <w:color w:val="000000"/>
                <w:sz w:val="21"/>
                <w:szCs w:val="21"/>
                <w:lang w:val="en-US" w:eastAsia="zh-CN"/>
              </w:rPr>
              <w:t xml:space="preserve">等）进行评分</w:t>
            </w:r>
            <w:r/>
          </w:p>
          <w:p>
            <w:pPr>
              <w:pStyle w:val="971"/>
              <w:ind w:left="0" w:firstLine="0"/>
              <w:jc w:val="both"/>
              <w:spacing w:line="360" w:lineRule="auto"/>
              <w:widowControl/>
              <w:rPr>
                <w:rFonts w:hint="eastAsia" w:ascii="宋体" w:hAnsi="宋体" w:eastAsia="宋体" w:cs="宋体"/>
                <w:color w:val="000000"/>
                <w:sz w:val="21"/>
                <w:szCs w:val="21"/>
                <w:lang w:val="en-US" w:bidi="ar-SA"/>
              </w:rPr>
            </w:pPr>
            <w:r>
              <w:rPr>
                <w:rFonts w:hint="eastAsia" w:cs="宋体"/>
                <w:color w:val="000000"/>
                <w:sz w:val="21"/>
                <w:szCs w:val="21"/>
                <w:lang w:val="en-US" w:eastAsia="zh-CN" w:bidi="ar-SA"/>
              </w:rPr>
              <w:t xml:space="preserve">1）</w:t>
            </w:r>
            <w:r>
              <w:rPr>
                <w:rFonts w:hint="eastAsia" w:ascii="宋体" w:hAnsi="宋体" w:eastAsia="宋体" w:cs="宋体"/>
                <w:color w:val="000000"/>
                <w:sz w:val="21"/>
                <w:szCs w:val="21"/>
                <w:lang w:val="en-US" w:bidi="ar-SA"/>
              </w:rPr>
              <w:t xml:space="preserve">数据安全性设计全面科学，关键性技术问题的认识清晰，应对措施合理可行，得</w:t>
            </w:r>
            <w:r>
              <w:rPr>
                <w:rFonts w:hint="eastAsia" w:cs="宋体"/>
                <w:color w:val="000000"/>
                <w:sz w:val="21"/>
                <w:szCs w:val="21"/>
                <w:lang w:val="en-US" w:eastAsia="zh-CN" w:bidi="ar-SA"/>
              </w:rPr>
              <w:t xml:space="preserve">6</w:t>
            </w:r>
            <w:r>
              <w:rPr>
                <w:rFonts w:hint="eastAsia" w:ascii="宋体" w:hAnsi="宋体" w:eastAsia="宋体" w:cs="宋体"/>
                <w:color w:val="000000"/>
                <w:sz w:val="21"/>
                <w:szCs w:val="21"/>
                <w:lang w:val="en-US" w:bidi="ar-SA"/>
              </w:rPr>
              <w:t xml:space="preserve">分；</w:t>
            </w:r>
            <w:r/>
          </w:p>
          <w:p>
            <w:pPr>
              <w:pStyle w:val="971"/>
              <w:ind w:left="0" w:firstLine="0"/>
              <w:jc w:val="both"/>
              <w:spacing w:line="360" w:lineRule="auto"/>
              <w:widowControl/>
              <w:rPr>
                <w:rFonts w:hint="eastAsia" w:ascii="宋体" w:hAnsi="宋体" w:eastAsia="宋体" w:cs="宋体"/>
                <w:color w:val="000000"/>
                <w:sz w:val="21"/>
                <w:szCs w:val="21"/>
                <w:lang w:val="en-US" w:bidi="ar-SA"/>
              </w:rPr>
            </w:pPr>
            <w:r>
              <w:rPr>
                <w:rFonts w:hint="eastAsia" w:cs="宋体"/>
                <w:color w:val="000000"/>
                <w:sz w:val="21"/>
                <w:szCs w:val="21"/>
                <w:lang w:val="en-US" w:eastAsia="zh-CN" w:bidi="ar-SA"/>
              </w:rPr>
              <w:t xml:space="preserve">2）</w:t>
            </w:r>
            <w:r>
              <w:rPr>
                <w:rFonts w:hint="eastAsia" w:ascii="宋体" w:hAnsi="宋体" w:eastAsia="宋体" w:cs="宋体"/>
                <w:color w:val="000000"/>
                <w:sz w:val="21"/>
                <w:szCs w:val="21"/>
                <w:lang w:val="en-US" w:bidi="ar-SA"/>
              </w:rPr>
              <w:t xml:space="preserve">数据安全设计</w:t>
            </w:r>
            <w:r>
              <w:rPr>
                <w:rFonts w:hint="eastAsia" w:cs="宋体"/>
                <w:color w:val="000000"/>
                <w:sz w:val="21"/>
                <w:szCs w:val="21"/>
                <w:lang w:val="en-US" w:eastAsia="zh-CN" w:bidi="ar-SA"/>
              </w:rPr>
              <w:t xml:space="preserve">较</w:t>
            </w:r>
            <w:r>
              <w:rPr>
                <w:rFonts w:hint="eastAsia" w:ascii="宋体" w:hAnsi="宋体" w:eastAsia="宋体" w:cs="宋体"/>
                <w:color w:val="000000"/>
                <w:sz w:val="21"/>
                <w:szCs w:val="21"/>
                <w:lang w:val="en-US" w:bidi="ar-SA"/>
              </w:rPr>
              <w:t xml:space="preserve">全面，关键性技术问题的认识</w:t>
            </w:r>
            <w:r>
              <w:rPr>
                <w:rFonts w:hint="eastAsia" w:cs="宋体"/>
                <w:color w:val="000000"/>
                <w:sz w:val="21"/>
                <w:szCs w:val="21"/>
                <w:lang w:val="en-US" w:eastAsia="zh-CN" w:bidi="ar-SA"/>
              </w:rPr>
              <w:t xml:space="preserve">较</w:t>
            </w:r>
            <w:r>
              <w:rPr>
                <w:rFonts w:hint="eastAsia" w:ascii="宋体" w:hAnsi="宋体" w:eastAsia="宋体" w:cs="宋体"/>
                <w:color w:val="000000"/>
                <w:sz w:val="21"/>
                <w:szCs w:val="21"/>
                <w:lang w:val="en-US" w:bidi="ar-SA"/>
              </w:rPr>
              <w:t xml:space="preserve">清晰，应对措施</w:t>
            </w:r>
            <w:r>
              <w:rPr>
                <w:rFonts w:hint="eastAsia" w:cs="宋体"/>
                <w:color w:val="000000"/>
                <w:sz w:val="21"/>
                <w:szCs w:val="21"/>
                <w:lang w:val="en-US" w:eastAsia="zh-CN" w:bidi="ar-SA"/>
              </w:rPr>
              <w:t xml:space="preserve">较</w:t>
            </w:r>
            <w:r>
              <w:rPr>
                <w:rFonts w:hint="eastAsia" w:ascii="宋体" w:hAnsi="宋体" w:eastAsia="宋体" w:cs="宋体"/>
                <w:color w:val="000000"/>
                <w:sz w:val="21"/>
                <w:szCs w:val="21"/>
                <w:lang w:val="en-US" w:bidi="ar-SA"/>
              </w:rPr>
              <w:t xml:space="preserve">合理可行，得</w:t>
            </w:r>
            <w:r>
              <w:rPr>
                <w:rFonts w:hint="eastAsia" w:cs="宋体"/>
                <w:color w:val="000000"/>
                <w:sz w:val="21"/>
                <w:szCs w:val="21"/>
                <w:lang w:val="en-US" w:eastAsia="zh-CN" w:bidi="ar-SA"/>
              </w:rPr>
              <w:t xml:space="preserve">4</w:t>
            </w:r>
            <w:r>
              <w:rPr>
                <w:rFonts w:hint="eastAsia" w:ascii="宋体" w:hAnsi="宋体" w:eastAsia="宋体" w:cs="宋体"/>
                <w:color w:val="000000"/>
                <w:sz w:val="21"/>
                <w:szCs w:val="21"/>
                <w:lang w:val="en-US" w:bidi="ar-SA"/>
              </w:rPr>
              <w:t xml:space="preserve">分；</w:t>
            </w:r>
            <w:r/>
          </w:p>
          <w:p>
            <w:pPr>
              <w:pStyle w:val="971"/>
              <w:ind w:left="0" w:firstLine="0"/>
              <w:jc w:val="both"/>
              <w:spacing w:line="360" w:lineRule="auto"/>
              <w:widowControl/>
              <w:rPr>
                <w:rFonts w:hint="eastAsia" w:ascii="宋体" w:hAnsi="宋体" w:eastAsia="宋体" w:cs="宋体"/>
                <w:color w:val="000000"/>
                <w:sz w:val="21"/>
                <w:szCs w:val="21"/>
                <w:lang w:val="en-US" w:bidi="ar-SA"/>
              </w:rPr>
            </w:pPr>
            <w:r>
              <w:rPr>
                <w:rFonts w:hint="eastAsia" w:cs="宋体"/>
                <w:color w:val="000000"/>
                <w:sz w:val="21"/>
                <w:szCs w:val="21"/>
                <w:lang w:val="en-US" w:eastAsia="zh-CN" w:bidi="ar-SA"/>
              </w:rPr>
              <w:t xml:space="preserve">3）</w:t>
            </w:r>
            <w:r>
              <w:rPr>
                <w:rFonts w:hint="eastAsia" w:ascii="宋体" w:hAnsi="宋体" w:eastAsia="宋体" w:cs="宋体"/>
                <w:color w:val="000000"/>
                <w:sz w:val="21"/>
                <w:szCs w:val="21"/>
                <w:lang w:val="en-US" w:bidi="ar-SA"/>
              </w:rPr>
              <w:t xml:space="preserve">数据安全设计</w:t>
            </w:r>
            <w:r>
              <w:rPr>
                <w:rFonts w:hint="eastAsia" w:cs="宋体"/>
                <w:color w:val="000000"/>
                <w:sz w:val="21"/>
                <w:szCs w:val="21"/>
                <w:lang w:val="en-US" w:eastAsia="zh-CN" w:bidi="ar-SA"/>
              </w:rPr>
              <w:t xml:space="preserve">一般</w:t>
            </w:r>
            <w:r>
              <w:rPr>
                <w:rFonts w:hint="eastAsia" w:ascii="宋体" w:hAnsi="宋体" w:eastAsia="宋体" w:cs="宋体"/>
                <w:color w:val="000000"/>
                <w:sz w:val="21"/>
                <w:szCs w:val="21"/>
                <w:lang w:val="en-US" w:bidi="ar-SA"/>
              </w:rPr>
              <w:t xml:space="preserve">，关键性技术问题的认识</w:t>
            </w:r>
            <w:r>
              <w:rPr>
                <w:rFonts w:hint="eastAsia" w:cs="宋体"/>
                <w:color w:val="000000"/>
                <w:sz w:val="21"/>
                <w:szCs w:val="21"/>
                <w:lang w:val="en-US" w:eastAsia="zh-CN" w:bidi="ar-SA"/>
              </w:rPr>
              <w:t xml:space="preserve">基本</w:t>
            </w:r>
            <w:r>
              <w:rPr>
                <w:rFonts w:hint="eastAsia" w:ascii="宋体" w:hAnsi="宋体" w:eastAsia="宋体" w:cs="宋体"/>
                <w:color w:val="000000"/>
                <w:sz w:val="21"/>
                <w:szCs w:val="21"/>
                <w:lang w:val="en-US" w:bidi="ar-SA"/>
              </w:rPr>
              <w:t xml:space="preserve">了解，应对措施</w:t>
            </w:r>
            <w:r>
              <w:rPr>
                <w:rFonts w:hint="eastAsia" w:ascii="宋体" w:hAnsi="宋体" w:eastAsia="宋体" w:cs="宋体"/>
                <w:color w:val="000000"/>
                <w:sz w:val="21"/>
                <w:szCs w:val="21"/>
                <w:lang w:val="en-US" w:eastAsia="zh-CN" w:bidi="ar-SA"/>
              </w:rPr>
              <w:t xml:space="preserve">基本</w:t>
            </w:r>
            <w:r>
              <w:rPr>
                <w:rFonts w:hint="eastAsia" w:ascii="宋体" w:hAnsi="宋体" w:eastAsia="宋体" w:cs="宋体"/>
                <w:color w:val="000000"/>
                <w:sz w:val="21"/>
                <w:szCs w:val="21"/>
                <w:lang w:val="en-US" w:bidi="ar-SA"/>
              </w:rPr>
              <w:t xml:space="preserve">合理可行，得</w:t>
            </w:r>
            <w:r>
              <w:rPr>
                <w:rFonts w:hint="eastAsia" w:cs="宋体"/>
                <w:color w:val="000000"/>
                <w:sz w:val="21"/>
                <w:szCs w:val="21"/>
                <w:lang w:val="en-US" w:eastAsia="zh-CN" w:bidi="ar-SA"/>
              </w:rPr>
              <w:t xml:space="preserve">2</w:t>
            </w:r>
            <w:r>
              <w:rPr>
                <w:rFonts w:hint="eastAsia" w:ascii="宋体" w:hAnsi="宋体" w:eastAsia="宋体" w:cs="宋体"/>
                <w:color w:val="000000"/>
                <w:sz w:val="21"/>
                <w:szCs w:val="21"/>
                <w:lang w:val="en-US" w:bidi="ar-SA"/>
              </w:rPr>
              <w:t xml:space="preserve">分</w:t>
            </w:r>
            <w:r>
              <w:rPr>
                <w:rFonts w:hint="eastAsia" w:ascii="宋体" w:hAnsi="宋体" w:eastAsia="宋体" w:cs="宋体"/>
                <w:color w:val="000000"/>
                <w:sz w:val="21"/>
                <w:szCs w:val="21"/>
                <w:lang w:eastAsia="zh-CN"/>
              </w:rPr>
              <w:t xml:space="preserve">；</w:t>
            </w:r>
            <w:r/>
          </w:p>
          <w:p>
            <w:pPr>
              <w:pStyle w:val="971"/>
              <w:ind w:left="0" w:firstLine="0"/>
              <w:jc w:val="both"/>
              <w:spacing w:line="360" w:lineRule="auto"/>
              <w:widowControl/>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eastAsia="zh-CN"/>
              </w:rPr>
              <w:t xml:space="preserve">未提供不得分。</w:t>
            </w:r>
            <w:r/>
          </w:p>
        </w:tc>
        <w:tc>
          <w:tcPr>
            <w:tcW w:w="708" w:type="dxa"/>
            <w:vAlign w:val="center"/>
            <w:textDirection w:val="lrTb"/>
            <w:noWrap w:val="false"/>
          </w:tcPr>
          <w:p>
            <w:pPr>
              <w:pStyle w:val="971"/>
              <w:ind w:left="0" w:firstLine="0"/>
              <w:jc w:val="center"/>
              <w:spacing w:line="360" w:lineRule="auto"/>
              <w:widowControl/>
              <w:rPr>
                <w:rFonts w:hint="eastAsia" w:ascii="宋体" w:hAnsi="宋体" w:eastAsia="宋体" w:cs="宋体"/>
                <w:color w:val="000000"/>
                <w:sz w:val="21"/>
                <w:szCs w:val="21"/>
                <w:lang w:val="en-US" w:eastAsia="zh-CN" w:bidi="ar-SA"/>
              </w:rPr>
            </w:pPr>
            <w:r>
              <w:rPr>
                <w:rFonts w:hint="eastAsia" w:cs="宋体"/>
                <w:color w:val="000000"/>
                <w:sz w:val="21"/>
                <w:szCs w:val="21"/>
                <w:lang w:val="en-US" w:eastAsia="zh-CN" w:bidi="ar-SA"/>
              </w:rPr>
              <w:t xml:space="preserve">6</w:t>
            </w:r>
            <w:r/>
          </w:p>
        </w:tc>
      </w:tr>
      <w:tr>
        <w:trPr>
          <w:jc w:val="center"/>
          <w:trHeight w:val="280"/>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.4</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实施方案     </w:t>
            </w:r>
            <w:r/>
          </w:p>
        </w:tc>
        <w:tc>
          <w:tcPr>
            <w:tcW w:w="6566" w:type="dxa"/>
            <w:vAlign w:val="center"/>
            <w:textDirection w:val="lrTb"/>
            <w:noWrap w:val="false"/>
          </w:tcPr>
          <w:p>
            <w:pPr>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根据供应商提供的</w:t>
            </w: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包括但不限于</w:t>
            </w:r>
            <w:r>
              <w:rPr>
                <w:rFonts w:hint="eastAsia" w:ascii="宋体" w:hAnsi="宋体" w:eastAsia="宋体" w:cs="宋体"/>
                <w:color w:val="000000"/>
                <w:sz w:val="21"/>
                <w:szCs w:val="21"/>
              </w:rPr>
              <w:t xml:space="preserve">进度安排、组织架构，信息安全管理措施、文档管理措施</w:t>
            </w:r>
            <w:r>
              <w:rPr>
                <w:rFonts w:hint="eastAsia" w:ascii="宋体" w:hAnsi="宋体" w:eastAsia="宋体" w:cs="宋体"/>
                <w:color w:val="000000"/>
                <w:sz w:val="21"/>
                <w:szCs w:val="21"/>
                <w:lang w:val="en-US" w:eastAsia="zh-CN"/>
              </w:rPr>
              <w:t xml:space="preserve">等）进行评分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进度安排</w:t>
            </w:r>
            <w:r>
              <w:rPr>
                <w:rFonts w:hint="eastAsia" w:ascii="宋体" w:hAnsi="宋体" w:cs="宋体"/>
                <w:color w:val="000000"/>
                <w:sz w:val="21"/>
                <w:szCs w:val="21"/>
                <w:lang w:val="en-US" w:eastAsia="zh-CN"/>
              </w:rPr>
              <w:t xml:space="preserve">科学</w:t>
            </w:r>
            <w:r>
              <w:rPr>
                <w:rFonts w:hint="eastAsia" w:ascii="宋体" w:hAnsi="宋体" w:eastAsia="宋体" w:cs="宋体"/>
                <w:color w:val="000000"/>
                <w:sz w:val="21"/>
                <w:szCs w:val="21"/>
              </w:rPr>
              <w:t xml:space="preserve">、组织架构</w:t>
            </w:r>
            <w:r>
              <w:rPr>
                <w:rFonts w:hint="eastAsia" w:ascii="宋体" w:hAnsi="宋体" w:cs="宋体"/>
                <w:color w:val="000000"/>
                <w:sz w:val="21"/>
                <w:szCs w:val="21"/>
                <w:lang w:val="en-US" w:eastAsia="zh-CN"/>
              </w:rPr>
              <w:t xml:space="preserve">明确、</w:t>
            </w:r>
            <w:r>
              <w:rPr>
                <w:rFonts w:hint="eastAsia" w:ascii="宋体" w:hAnsi="宋体" w:eastAsia="宋体" w:cs="宋体"/>
                <w:color w:val="000000"/>
                <w:sz w:val="21"/>
                <w:szCs w:val="21"/>
              </w:rPr>
              <w:t xml:space="preserve">信息安全管理措施</w:t>
            </w:r>
            <w:r>
              <w:rPr>
                <w:rFonts w:hint="eastAsia" w:ascii="宋体" w:hAnsi="宋体" w:cs="宋体"/>
                <w:color w:val="000000"/>
                <w:sz w:val="21"/>
                <w:szCs w:val="21"/>
                <w:lang w:val="en-US" w:eastAsia="zh-CN"/>
              </w:rPr>
              <w:t xml:space="preserve">合理</w:t>
            </w:r>
            <w:r>
              <w:rPr>
                <w:rFonts w:hint="eastAsia" w:ascii="宋体" w:hAnsi="宋体" w:eastAsia="宋体" w:cs="宋体"/>
                <w:color w:val="000000"/>
                <w:sz w:val="21"/>
                <w:szCs w:val="21"/>
              </w:rPr>
              <w:t xml:space="preserve">、文档管理措施</w:t>
            </w:r>
            <w:r>
              <w:rPr>
                <w:rFonts w:hint="eastAsia" w:ascii="宋体" w:hAnsi="宋体" w:cs="宋体"/>
                <w:color w:val="000000"/>
                <w:sz w:val="21"/>
                <w:szCs w:val="21"/>
                <w:lang w:val="en-US" w:eastAsia="zh-CN"/>
              </w:rPr>
              <w:t xml:space="preserve">合理</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进度安排</w:t>
            </w:r>
            <w:r>
              <w:rPr>
                <w:rFonts w:hint="eastAsia" w:ascii="宋体" w:hAnsi="宋体" w:eastAsia="宋体" w:cs="宋体"/>
                <w:color w:val="000000"/>
                <w:sz w:val="21"/>
                <w:szCs w:val="21"/>
                <w:lang w:val="en-US" w:eastAsia="zh-CN"/>
              </w:rPr>
              <w:t xml:space="preserve">较</w:t>
            </w:r>
            <w:r>
              <w:rPr>
                <w:rFonts w:hint="eastAsia" w:ascii="宋体" w:hAnsi="宋体" w:cs="宋体"/>
                <w:color w:val="000000"/>
                <w:sz w:val="21"/>
                <w:szCs w:val="21"/>
                <w:lang w:val="en-US" w:eastAsia="zh-CN"/>
              </w:rPr>
              <w:t xml:space="preserve">科学</w:t>
            </w:r>
            <w:r>
              <w:rPr>
                <w:rFonts w:hint="eastAsia" w:ascii="宋体" w:hAnsi="宋体" w:eastAsia="宋体" w:cs="宋体"/>
                <w:color w:val="000000"/>
                <w:sz w:val="21"/>
                <w:szCs w:val="21"/>
              </w:rPr>
              <w:t xml:space="preserve">、组织架构</w:t>
            </w:r>
            <w:r>
              <w:rPr>
                <w:rFonts w:hint="eastAsia" w:ascii="宋体" w:hAnsi="宋体" w:eastAsia="宋体" w:cs="宋体"/>
                <w:color w:val="000000"/>
                <w:sz w:val="21"/>
                <w:szCs w:val="21"/>
                <w:lang w:val="en-US" w:eastAsia="zh-CN"/>
              </w:rPr>
              <w:t xml:space="preserve">较</w:t>
            </w:r>
            <w:r>
              <w:rPr>
                <w:rFonts w:hint="eastAsia" w:ascii="宋体" w:hAnsi="宋体" w:cs="宋体"/>
                <w:color w:val="000000"/>
                <w:sz w:val="21"/>
                <w:szCs w:val="21"/>
                <w:lang w:val="en-US" w:eastAsia="zh-CN"/>
              </w:rPr>
              <w:t xml:space="preserve">明确</w:t>
            </w:r>
            <w:r>
              <w:rPr>
                <w:rFonts w:hint="eastAsia" w:ascii="宋体" w:hAnsi="宋体" w:eastAsia="宋体" w:cs="宋体"/>
                <w:color w:val="000000"/>
                <w:sz w:val="21"/>
                <w:szCs w:val="21"/>
              </w:rPr>
              <w:t xml:space="preserve">、信息安全管理措施</w:t>
            </w:r>
            <w:r>
              <w:rPr>
                <w:rFonts w:hint="eastAsia" w:ascii="宋体" w:hAnsi="宋体" w:eastAsia="宋体" w:cs="宋体"/>
                <w:color w:val="000000"/>
                <w:sz w:val="21"/>
                <w:szCs w:val="21"/>
                <w:lang w:val="en-US" w:eastAsia="zh-CN"/>
              </w:rPr>
              <w:t xml:space="preserve">较</w:t>
            </w:r>
            <w:r>
              <w:rPr>
                <w:rFonts w:hint="eastAsia" w:ascii="宋体" w:hAnsi="宋体" w:cs="宋体"/>
                <w:color w:val="000000"/>
                <w:sz w:val="21"/>
                <w:szCs w:val="21"/>
                <w:lang w:val="en-US" w:eastAsia="zh-CN"/>
              </w:rPr>
              <w:t xml:space="preserve">合理</w:t>
            </w:r>
            <w:r>
              <w:rPr>
                <w:rFonts w:hint="eastAsia" w:ascii="宋体" w:hAnsi="宋体" w:eastAsia="宋体" w:cs="宋体"/>
                <w:color w:val="000000"/>
                <w:sz w:val="21"/>
                <w:szCs w:val="21"/>
              </w:rPr>
              <w:t xml:space="preserve">、文档管理措施</w:t>
            </w:r>
            <w:r>
              <w:rPr>
                <w:rFonts w:hint="eastAsia" w:ascii="宋体" w:hAnsi="宋体" w:eastAsia="宋体" w:cs="宋体"/>
                <w:color w:val="000000"/>
                <w:sz w:val="21"/>
                <w:szCs w:val="21"/>
                <w:lang w:val="en-US" w:eastAsia="zh-CN"/>
              </w:rPr>
              <w:t xml:space="preserve">较</w:t>
            </w:r>
            <w:r>
              <w:rPr>
                <w:rFonts w:hint="eastAsia" w:ascii="宋体" w:hAnsi="宋体" w:cs="宋体"/>
                <w:color w:val="000000"/>
                <w:sz w:val="21"/>
                <w:szCs w:val="21"/>
                <w:lang w:val="en-US" w:eastAsia="zh-CN"/>
              </w:rPr>
              <w:t xml:space="preserve">合理</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进度安排</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、组织架构</w:t>
            </w:r>
            <w:r>
              <w:rPr>
                <w:rFonts w:hint="eastAsia" w:ascii="宋体" w:hAnsi="宋体" w:eastAsia="宋体" w:cs="宋体"/>
                <w:color w:val="000000"/>
                <w:sz w:val="21"/>
                <w:szCs w:val="21"/>
                <w:lang w:val="en-US" w:eastAsia="zh-CN"/>
              </w:rPr>
              <w:t xml:space="preserve">基本</w:t>
            </w:r>
            <w:r>
              <w:rPr>
                <w:rFonts w:hint="eastAsia" w:ascii="宋体" w:hAnsi="宋体" w:cs="宋体"/>
                <w:color w:val="000000"/>
                <w:sz w:val="21"/>
                <w:szCs w:val="21"/>
                <w:lang w:val="en-US" w:eastAsia="zh-CN"/>
              </w:rPr>
              <w:t xml:space="preserve">明确</w:t>
            </w:r>
            <w:r>
              <w:rPr>
                <w:rFonts w:hint="eastAsia" w:ascii="宋体" w:hAnsi="宋体" w:eastAsia="宋体" w:cs="宋体"/>
                <w:color w:val="000000"/>
                <w:sz w:val="21"/>
                <w:szCs w:val="21"/>
              </w:rPr>
              <w:t xml:space="preserve">、信息安全管理措施</w:t>
            </w:r>
            <w:r>
              <w:rPr>
                <w:rFonts w:hint="eastAsia" w:ascii="宋体" w:hAnsi="宋体" w:eastAsia="宋体" w:cs="宋体"/>
                <w:color w:val="000000"/>
                <w:sz w:val="21"/>
                <w:szCs w:val="21"/>
                <w:lang w:val="en-US" w:eastAsia="zh-CN"/>
              </w:rPr>
              <w:t xml:space="preserve">基本</w:t>
            </w:r>
            <w:r>
              <w:rPr>
                <w:rFonts w:hint="eastAsia" w:ascii="宋体" w:hAnsi="宋体" w:cs="宋体"/>
                <w:color w:val="000000"/>
                <w:sz w:val="21"/>
                <w:szCs w:val="21"/>
                <w:lang w:val="en-US" w:eastAsia="zh-CN"/>
              </w:rPr>
              <w:t xml:space="preserve">合理</w:t>
            </w:r>
            <w:r>
              <w:rPr>
                <w:rFonts w:hint="eastAsia" w:ascii="宋体" w:hAnsi="宋体" w:eastAsia="宋体" w:cs="宋体"/>
                <w:color w:val="000000"/>
                <w:sz w:val="21"/>
                <w:szCs w:val="21"/>
              </w:rPr>
              <w:t xml:space="preserve">、文档管理</w:t>
            </w:r>
            <w:r>
              <w:rPr>
                <w:rFonts w:hint="eastAsia" w:ascii="宋体" w:hAnsi="宋体" w:eastAsia="宋体" w:cs="宋体"/>
                <w:color w:val="000000"/>
                <w:sz w:val="21"/>
                <w:szCs w:val="21"/>
                <w:lang w:val="en-US" w:eastAsia="zh-CN"/>
              </w:rPr>
              <w:t xml:space="preserve">措施基本</w:t>
            </w:r>
            <w:r>
              <w:rPr>
                <w:rFonts w:hint="eastAsia" w:ascii="宋体" w:hAnsi="宋体" w:cs="宋体"/>
                <w:color w:val="000000"/>
                <w:sz w:val="21"/>
                <w:szCs w:val="21"/>
                <w:lang w:val="en-US" w:eastAsia="zh-CN"/>
              </w:rPr>
              <w:t xml:space="preserve">合理</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未提供不得分。</w:t>
            </w:r>
            <w:r/>
          </w:p>
        </w:tc>
        <w:tc>
          <w:tcPr>
            <w:tcW w:w="708" w:type="dxa"/>
            <w:vAlign w:val="center"/>
            <w:textDirection w:val="lrTb"/>
            <w:noWrap w:val="false"/>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50"/>
        </w:trPr>
        <w:tc>
          <w:tcPr>
            <w:gridSpan w:val="4"/>
            <w:tcW w:w="9067"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.服务</w:t>
            </w:r>
            <w:r/>
          </w:p>
        </w:tc>
      </w:tr>
      <w:tr>
        <w:trPr>
          <w:jc w:val="center"/>
          <w:trHeight w:val="312"/>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.1</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售后服务方案</w:t>
            </w:r>
            <w:r/>
          </w:p>
        </w:tc>
        <w:tc>
          <w:tcPr>
            <w:tcW w:w="6566"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根据供应商提供的</w:t>
            </w:r>
            <w:r>
              <w:rPr>
                <w:rFonts w:hint="eastAsia" w:ascii="宋体" w:hAnsi="宋体" w:eastAsia="宋体" w:cs="宋体"/>
                <w:color w:val="000000"/>
                <w:sz w:val="21"/>
                <w:szCs w:val="21"/>
              </w:rPr>
              <w:t xml:space="preserve">售后服务方案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包括但不限于</w:t>
            </w:r>
            <w:r>
              <w:rPr>
                <w:rFonts w:hint="eastAsia" w:ascii="宋体" w:hAnsi="宋体" w:eastAsia="宋体" w:cs="宋体"/>
                <w:color w:val="000000"/>
                <w:sz w:val="21"/>
                <w:szCs w:val="21"/>
              </w:rPr>
              <w:t xml:space="preserve">服务流程及内容，响应时间，服务人员</w:t>
            </w:r>
            <w:r>
              <w:rPr>
                <w:rFonts w:hint="eastAsia" w:ascii="宋体" w:hAnsi="宋体" w:eastAsia="宋体" w:cs="宋体"/>
                <w:color w:val="000000"/>
                <w:sz w:val="21"/>
                <w:szCs w:val="21"/>
                <w:lang w:val="en-US" w:eastAsia="zh-CN"/>
              </w:rPr>
              <w:t xml:space="preserve">配备等）进行评分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服务流程及内容具体，响应时间迅速，服务人员</w:t>
            </w:r>
            <w:r>
              <w:rPr>
                <w:rFonts w:hint="eastAsia" w:ascii="宋体" w:hAnsi="宋体" w:cs="宋体"/>
                <w:color w:val="000000"/>
                <w:sz w:val="21"/>
                <w:szCs w:val="21"/>
                <w:lang w:val="en-US" w:eastAsia="zh-CN"/>
              </w:rPr>
              <w:t xml:space="preserve">配备齐全</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服务流程及内容</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具体，响应时间较为迅速，服务人员</w:t>
            </w:r>
            <w:r>
              <w:rPr>
                <w:rFonts w:hint="eastAsia" w:ascii="宋体" w:hAnsi="宋体" w:cs="宋体"/>
                <w:color w:val="000000"/>
                <w:sz w:val="21"/>
                <w:szCs w:val="21"/>
                <w:lang w:val="en-US" w:eastAsia="zh-CN"/>
              </w:rPr>
              <w:t xml:space="preserve">配备较齐全</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服务流程及内容</w:t>
            </w:r>
            <w:r>
              <w:rPr>
                <w:rFonts w:hint="eastAsia" w:ascii="宋体" w:hAnsi="宋体" w:cs="宋体"/>
                <w:color w:val="000000"/>
                <w:sz w:val="21"/>
                <w:szCs w:val="21"/>
                <w:lang w:val="en-US" w:eastAsia="zh-CN"/>
              </w:rPr>
              <w:t xml:space="preserve">基本满足要求</w:t>
            </w:r>
            <w:r>
              <w:rPr>
                <w:rFonts w:hint="eastAsia" w:ascii="宋体" w:hAnsi="宋体" w:eastAsia="宋体" w:cs="宋体"/>
                <w:color w:val="000000"/>
                <w:sz w:val="21"/>
                <w:szCs w:val="21"/>
              </w:rPr>
              <w:t xml:space="preserve">，响应时间缓慢，服务人员</w:t>
            </w:r>
            <w:r>
              <w:rPr>
                <w:rFonts w:hint="eastAsia" w:ascii="宋体" w:hAnsi="宋体" w:cs="宋体"/>
                <w:color w:val="000000"/>
                <w:sz w:val="21"/>
                <w:szCs w:val="21"/>
                <w:lang w:val="en-US" w:eastAsia="zh-CN"/>
              </w:rPr>
              <w:t xml:space="preserve">基本满足要求</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未提供不得分。</w:t>
            </w:r>
            <w:r/>
          </w:p>
        </w:tc>
        <w:tc>
          <w:tcPr>
            <w:tcW w:w="708" w:type="dxa"/>
            <w:vAlign w:val="center"/>
            <w:textDirection w:val="lrTb"/>
            <w:noWrap w:val="false"/>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p>
        </w:tc>
      </w:tr>
      <w:tr>
        <w:trPr>
          <w:jc w:val="center"/>
          <w:trHeight w:val="312"/>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.2</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培训方案</w:t>
            </w:r>
            <w:r/>
          </w:p>
        </w:tc>
        <w:tc>
          <w:tcPr>
            <w:tcW w:w="6566"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根据供应商提供的</w:t>
            </w:r>
            <w:r>
              <w:rPr>
                <w:rFonts w:hint="eastAsia" w:ascii="宋体" w:hAnsi="宋体" w:eastAsia="宋体" w:cs="宋体"/>
                <w:color w:val="000000"/>
                <w:sz w:val="21"/>
                <w:szCs w:val="21"/>
              </w:rPr>
              <w:t xml:space="preserve">培训方案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包括但不限于</w:t>
            </w:r>
            <w:r>
              <w:rPr>
                <w:rFonts w:hint="eastAsia" w:ascii="宋体" w:hAnsi="宋体" w:eastAsia="宋体" w:cs="宋体"/>
                <w:color w:val="000000"/>
                <w:sz w:val="21"/>
                <w:szCs w:val="21"/>
              </w:rPr>
              <w:t xml:space="preserve">培训计划、培训内容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培训师资</w:t>
            </w:r>
            <w:r>
              <w:rPr>
                <w:rFonts w:hint="eastAsia" w:ascii="宋体" w:hAnsi="宋体" w:eastAsia="宋体" w:cs="宋体"/>
                <w:color w:val="000000"/>
                <w:sz w:val="21"/>
                <w:szCs w:val="21"/>
                <w:lang w:val="en-US" w:eastAsia="zh-CN"/>
              </w:rPr>
              <w:t xml:space="preserve">等）进行评分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培训计划</w:t>
            </w:r>
            <w:r>
              <w:rPr>
                <w:rFonts w:hint="eastAsia" w:ascii="宋体" w:hAnsi="宋体" w:cs="宋体"/>
                <w:color w:val="000000"/>
                <w:sz w:val="21"/>
                <w:szCs w:val="21"/>
                <w:lang w:val="en-US" w:eastAsia="zh-CN"/>
              </w:rPr>
              <w:t xml:space="preserve">详细</w:t>
            </w:r>
            <w:r>
              <w:rPr>
                <w:rFonts w:hint="eastAsia" w:ascii="宋体" w:hAnsi="宋体" w:eastAsia="宋体" w:cs="宋体"/>
                <w:color w:val="000000"/>
                <w:sz w:val="21"/>
                <w:szCs w:val="21"/>
              </w:rPr>
              <w:t xml:space="preserve">、培训内容</w:t>
            </w:r>
            <w:r>
              <w:rPr>
                <w:rFonts w:hint="eastAsia" w:ascii="宋体" w:hAnsi="宋体" w:cs="宋体"/>
                <w:color w:val="000000"/>
                <w:sz w:val="21"/>
                <w:szCs w:val="21"/>
                <w:lang w:val="en-US" w:eastAsia="zh-CN"/>
              </w:rPr>
              <w:t xml:space="preserve">全面</w:t>
            </w:r>
            <w:r>
              <w:rPr>
                <w:rFonts w:hint="eastAsia" w:ascii="宋体" w:hAnsi="宋体" w:eastAsia="宋体" w:cs="宋体"/>
                <w:color w:val="000000"/>
                <w:sz w:val="21"/>
                <w:szCs w:val="21"/>
              </w:rPr>
              <w:t xml:space="preserve">，培训师资</w:t>
            </w:r>
            <w:r>
              <w:rPr>
                <w:rFonts w:hint="eastAsia" w:ascii="宋体" w:hAnsi="宋体" w:eastAsia="宋体" w:cs="宋体"/>
                <w:color w:val="000000"/>
                <w:sz w:val="21"/>
                <w:szCs w:val="21"/>
                <w:lang w:val="en-US" w:eastAsia="zh-CN"/>
              </w:rPr>
              <w:t xml:space="preserve">专业性强</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培训计划</w:t>
            </w:r>
            <w:r>
              <w:rPr>
                <w:rFonts w:hint="eastAsia" w:ascii="宋体" w:hAnsi="宋体" w:eastAsia="宋体" w:cs="宋体"/>
                <w:color w:val="000000"/>
                <w:sz w:val="21"/>
                <w:szCs w:val="21"/>
                <w:lang w:val="en-US" w:eastAsia="zh-CN"/>
              </w:rPr>
              <w:t xml:space="preserve">较</w:t>
            </w:r>
            <w:r>
              <w:rPr>
                <w:rFonts w:hint="eastAsia" w:ascii="宋体" w:hAnsi="宋体" w:cs="宋体"/>
                <w:color w:val="000000"/>
                <w:sz w:val="21"/>
                <w:szCs w:val="21"/>
                <w:lang w:val="en-US" w:eastAsia="zh-CN"/>
              </w:rPr>
              <w:t xml:space="preserve">详细</w:t>
            </w:r>
            <w:r>
              <w:rPr>
                <w:rFonts w:hint="eastAsia" w:ascii="宋体" w:hAnsi="宋体" w:eastAsia="宋体" w:cs="宋体"/>
                <w:color w:val="000000"/>
                <w:sz w:val="21"/>
                <w:szCs w:val="21"/>
              </w:rPr>
              <w:t xml:space="preserve">、培训内容</w:t>
            </w:r>
            <w:r>
              <w:rPr>
                <w:rFonts w:hint="eastAsia" w:ascii="宋体" w:hAnsi="宋体" w:eastAsia="宋体" w:cs="宋体"/>
                <w:color w:val="000000"/>
                <w:sz w:val="21"/>
                <w:szCs w:val="21"/>
                <w:lang w:val="en-US" w:eastAsia="zh-CN"/>
              </w:rPr>
              <w:t xml:space="preserve">较</w:t>
            </w:r>
            <w:r>
              <w:rPr>
                <w:rFonts w:hint="eastAsia" w:ascii="宋体" w:hAnsi="宋体" w:cs="宋体"/>
                <w:color w:val="000000"/>
                <w:sz w:val="21"/>
                <w:szCs w:val="21"/>
                <w:lang w:val="en-US" w:eastAsia="zh-CN"/>
              </w:rPr>
              <w:t xml:space="preserve">全面</w:t>
            </w:r>
            <w:r>
              <w:rPr>
                <w:rFonts w:hint="eastAsia" w:ascii="宋体" w:hAnsi="宋体" w:eastAsia="宋体" w:cs="宋体"/>
                <w:color w:val="000000"/>
                <w:sz w:val="21"/>
                <w:szCs w:val="21"/>
              </w:rPr>
              <w:t xml:space="preserve">，培训师资</w:t>
            </w:r>
            <w:r>
              <w:rPr>
                <w:rFonts w:hint="eastAsia" w:ascii="宋体" w:hAnsi="宋体" w:eastAsia="宋体" w:cs="宋体"/>
                <w:color w:val="000000"/>
                <w:sz w:val="21"/>
                <w:szCs w:val="21"/>
                <w:lang w:val="en-US" w:eastAsia="zh-CN"/>
              </w:rPr>
              <w:t xml:space="preserve">专业性较强</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培训计划</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、培训内容</w:t>
            </w:r>
            <w:r>
              <w:rPr>
                <w:rFonts w:hint="eastAsia" w:ascii="宋体" w:hAnsi="宋体" w:eastAsia="宋体" w:cs="宋体"/>
                <w:color w:val="000000"/>
                <w:sz w:val="21"/>
                <w:szCs w:val="21"/>
                <w:lang w:val="en-US" w:eastAsia="zh-CN"/>
              </w:rPr>
              <w:t xml:space="preserve">基本满足项目需求</w:t>
            </w:r>
            <w:r>
              <w:rPr>
                <w:rFonts w:hint="eastAsia" w:ascii="宋体" w:hAnsi="宋体" w:eastAsia="宋体" w:cs="宋体"/>
                <w:color w:val="000000"/>
                <w:sz w:val="21"/>
                <w:szCs w:val="21"/>
              </w:rPr>
              <w:t xml:space="preserve">，培训师资</w:t>
            </w:r>
            <w:r>
              <w:rPr>
                <w:rFonts w:hint="eastAsia" w:ascii="宋体" w:hAnsi="宋体" w:eastAsia="宋体" w:cs="宋体"/>
                <w:color w:val="000000"/>
                <w:sz w:val="21"/>
                <w:szCs w:val="21"/>
                <w:lang w:val="en-US" w:eastAsia="zh-CN"/>
              </w:rPr>
              <w:t xml:space="preserve">专业性一般</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未提供不得分。</w:t>
            </w:r>
            <w:r/>
          </w:p>
        </w:tc>
        <w:tc>
          <w:tcPr>
            <w:tcW w:w="708" w:type="dxa"/>
            <w:vAlign w:val="center"/>
            <w:textDirection w:val="lrTb"/>
            <w:noWrap w:val="false"/>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p>
        </w:tc>
      </w:tr>
      <w:tr>
        <w:trPr>
          <w:jc w:val="center"/>
          <w:trHeight w:val="312"/>
        </w:trPr>
        <w:tc>
          <w:tcPr>
            <w:tcW w:w="709" w:type="dxa"/>
            <w:vAlign w:val="center"/>
            <w:textDirection w:val="lrTb"/>
            <w:noWrap w:val="false"/>
          </w:tcPr>
          <w:p>
            <w:pPr>
              <w:jc w:val="center"/>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.3</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质量技术控制</w:t>
            </w:r>
            <w:r>
              <w:rPr>
                <w:rFonts w:hint="eastAsia" w:ascii="宋体" w:hAnsi="宋体" w:eastAsia="宋体" w:cs="宋体"/>
                <w:color w:val="000000"/>
                <w:sz w:val="21"/>
                <w:szCs w:val="21"/>
                <w:lang w:val="en-US"/>
              </w:rPr>
              <w:t xml:space="preserve">方案</w:t>
            </w:r>
            <w:r/>
          </w:p>
        </w:tc>
        <w:tc>
          <w:tcPr>
            <w:tcW w:w="6566" w:type="dxa"/>
            <w:vAlign w:val="center"/>
            <w:textDirection w:val="lrTb"/>
            <w:noWrap w:val="false"/>
          </w:tcPr>
          <w:p>
            <w:pPr>
              <w:spacing w:line="360" w:lineRule="auto"/>
              <w:widowControl/>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根据供应商提供的</w:t>
            </w:r>
            <w:r>
              <w:rPr>
                <w:rFonts w:hint="eastAsia" w:ascii="宋体" w:hAnsi="宋体" w:eastAsia="宋体" w:cs="宋体"/>
                <w:color w:val="000000"/>
                <w:sz w:val="21"/>
                <w:szCs w:val="21"/>
                <w:lang w:val="zh-CN"/>
              </w:rPr>
              <w:t xml:space="preserve">质量技术控制</w:t>
            </w:r>
            <w:r>
              <w:rPr>
                <w:rFonts w:hint="eastAsia" w:ascii="宋体" w:hAnsi="宋体" w:eastAsia="宋体" w:cs="宋体"/>
                <w:color w:val="000000"/>
                <w:sz w:val="21"/>
                <w:szCs w:val="21"/>
                <w:lang w:val="en-US"/>
              </w:rPr>
              <w:t xml:space="preserve">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包括但不限于</w:t>
            </w:r>
            <w:r>
              <w:rPr>
                <w:rFonts w:hint="eastAsia" w:ascii="宋体" w:hAnsi="宋体" w:eastAsia="宋体" w:cs="宋体"/>
                <w:color w:val="000000"/>
                <w:sz w:val="21"/>
                <w:szCs w:val="21"/>
              </w:rPr>
              <w:t xml:space="preserve">风险控制管理、质量保障措施</w:t>
            </w:r>
            <w:r>
              <w:rPr>
                <w:rFonts w:hint="eastAsia" w:ascii="宋体" w:hAnsi="宋体" w:eastAsia="宋体" w:cs="宋体"/>
                <w:color w:val="000000"/>
                <w:sz w:val="21"/>
                <w:szCs w:val="21"/>
                <w:lang w:val="en-US" w:eastAsia="zh-CN"/>
              </w:rPr>
              <w:t xml:space="preserve">等）进行评分</w:t>
            </w:r>
            <w:r/>
          </w:p>
          <w:p>
            <w:pPr>
              <w:spacing w:line="360" w:lineRule="auto"/>
              <w:widowControl/>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风险控制管理</w:t>
            </w:r>
            <w:r>
              <w:rPr>
                <w:rFonts w:hint="eastAsia" w:ascii="宋体" w:hAnsi="宋体" w:eastAsia="宋体" w:cs="宋体"/>
                <w:color w:val="000000"/>
                <w:sz w:val="21"/>
                <w:szCs w:val="21"/>
                <w:lang w:val="en-US" w:eastAsia="zh-CN"/>
              </w:rPr>
              <w:t xml:space="preserve">完善</w:t>
            </w:r>
            <w:r>
              <w:rPr>
                <w:rFonts w:hint="eastAsia" w:ascii="宋体" w:hAnsi="宋体" w:eastAsia="宋体" w:cs="宋体"/>
                <w:color w:val="000000"/>
                <w:sz w:val="21"/>
                <w:szCs w:val="21"/>
              </w:rPr>
              <w:t xml:space="preserve">、质量保障措施</w:t>
            </w:r>
            <w:r>
              <w:rPr>
                <w:rFonts w:hint="eastAsia" w:ascii="宋体" w:hAnsi="宋体" w:eastAsia="宋体" w:cs="宋体"/>
                <w:color w:val="000000"/>
                <w:sz w:val="21"/>
                <w:szCs w:val="21"/>
                <w:lang w:val="en-US" w:eastAsia="zh-CN"/>
              </w:rPr>
              <w:t xml:space="preserve">合理</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风险控制管理</w:t>
            </w:r>
            <w:r>
              <w:rPr>
                <w:rFonts w:hint="eastAsia" w:ascii="宋体" w:hAnsi="宋体" w:eastAsia="宋体" w:cs="宋体"/>
                <w:color w:val="000000"/>
                <w:sz w:val="21"/>
                <w:szCs w:val="21"/>
                <w:lang w:val="en-US" w:eastAsia="zh-CN"/>
              </w:rPr>
              <w:t xml:space="preserve">较完善</w:t>
            </w:r>
            <w:r>
              <w:rPr>
                <w:rFonts w:hint="eastAsia" w:ascii="宋体" w:hAnsi="宋体" w:eastAsia="宋体" w:cs="宋体"/>
                <w:color w:val="000000"/>
                <w:sz w:val="21"/>
                <w:szCs w:val="21"/>
              </w:rPr>
              <w:t xml:space="preserve">、质量保障措施</w:t>
            </w:r>
            <w:r>
              <w:rPr>
                <w:rFonts w:hint="eastAsia" w:ascii="宋体" w:hAnsi="宋体" w:eastAsia="宋体" w:cs="宋体"/>
                <w:color w:val="000000"/>
                <w:sz w:val="21"/>
                <w:szCs w:val="21"/>
                <w:lang w:val="en-US" w:eastAsia="zh-CN"/>
              </w:rPr>
              <w:t xml:space="preserve">较合理</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风险控制管理</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、质量保障措施</w:t>
            </w:r>
            <w:r>
              <w:rPr>
                <w:rFonts w:hint="eastAsia" w:ascii="宋体" w:hAnsi="宋体" w:eastAsia="宋体" w:cs="宋体"/>
                <w:color w:val="000000"/>
                <w:sz w:val="21"/>
                <w:szCs w:val="21"/>
                <w:lang w:val="en-US" w:eastAsia="zh-CN"/>
              </w:rPr>
              <w:t xml:space="preserve">基本合理</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未提供不得分。</w:t>
            </w:r>
            <w:r/>
          </w:p>
        </w:tc>
        <w:tc>
          <w:tcPr>
            <w:tcW w:w="708" w:type="dxa"/>
            <w:vAlign w:val="center"/>
            <w:textDirection w:val="lrTb"/>
            <w:noWrap w:val="false"/>
          </w:tcPr>
          <w:p>
            <w:pPr>
              <w:jc w:val="center"/>
              <w:spacing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r>
      <w:tr>
        <w:trPr>
          <w:jc w:val="center"/>
          <w:trHeight w:val="916"/>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cs="宋体"/>
                <w:color w:val="000000"/>
                <w:sz w:val="21"/>
                <w:szCs w:val="21"/>
                <w:lang w:val="en-US" w:eastAsia="zh-CN"/>
              </w:rPr>
              <w:t xml:space="preserve">负责人</w:t>
            </w:r>
            <w:r/>
          </w:p>
        </w:tc>
        <w:tc>
          <w:tcPr>
            <w:tcW w:w="6566" w:type="dxa"/>
            <w:vAlign w:val="center"/>
            <w:textDirection w:val="lrTb"/>
            <w:noWrap w:val="false"/>
          </w:tcPr>
          <w:p>
            <w:pPr>
              <w:spacing w:line="360" w:lineRule="auto"/>
              <w:widowControl/>
              <w:rPr>
                <w:rFonts w:hint="default" w:ascii="宋体" w:hAnsi="宋体" w:eastAsia="宋体" w:cs="宋体"/>
                <w:color w:val="auto"/>
                <w:sz w:val="21"/>
                <w:szCs w:val="21"/>
                <w:highlight w:val="none"/>
                <w:lang w:val="en-US"/>
              </w:rPr>
            </w:pPr>
            <w:r>
              <w:rPr>
                <w:rFonts w:hint="eastAsia" w:ascii="宋体" w:hAnsi="宋体" w:eastAsia="宋体" w:cs="宋体"/>
                <w:color w:val="000000"/>
                <w:sz w:val="21"/>
                <w:szCs w:val="21"/>
                <w:highlight w:val="none"/>
              </w:rPr>
              <w:t xml:space="preserve">具有</w:t>
            </w:r>
            <w:r>
              <w:rPr>
                <w:rFonts w:hint="eastAsia" w:ascii="宋体" w:hAnsi="宋体" w:cs="宋体"/>
                <w:color w:val="000000"/>
                <w:sz w:val="21"/>
                <w:szCs w:val="21"/>
                <w:highlight w:val="none"/>
                <w:lang w:val="en-US" w:eastAsia="zh-CN"/>
              </w:rPr>
              <w:t xml:space="preserve">一级</w:t>
            </w:r>
            <w:r>
              <w:rPr>
                <w:rFonts w:hint="eastAsia" w:ascii="宋体" w:hAnsi="宋体" w:cs="宋体"/>
                <w:highlight w:val="none"/>
              </w:rPr>
              <w:t xml:space="preserve">注册建筑师执业资格</w:t>
            </w:r>
            <w:r>
              <w:rPr>
                <w:rFonts w:hint="eastAsia" w:ascii="宋体" w:hAnsi="宋体" w:cs="宋体"/>
                <w:highlight w:val="none"/>
                <w:lang w:val="en-US" w:eastAsia="zh-CN"/>
              </w:rPr>
              <w:t xml:space="preserve">同时具有</w:t>
            </w:r>
            <w:r>
              <w:rPr>
                <w:rFonts w:hint="eastAsia"/>
                <w:highlight w:val="none"/>
                <w:lang w:val="en-US" w:eastAsia="zh-CN"/>
              </w:rPr>
              <w:t xml:space="preserve">建设工程类</w:t>
            </w:r>
            <w:r>
              <w:rPr>
                <w:rFonts w:hint="eastAsia" w:ascii="宋体" w:hAnsi="宋体" w:eastAsia="宋体" w:cs="宋体"/>
                <w:color w:val="000000"/>
                <w:sz w:val="21"/>
                <w:szCs w:val="21"/>
                <w:highlight w:val="none"/>
              </w:rPr>
              <w:t xml:space="preserve">高级工程师或以上职称的得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（须提供证书复印件</w:t>
            </w:r>
            <w:r>
              <w:rPr>
                <w:rFonts w:hint="eastAsia" w:ascii="宋体" w:hAnsi="宋体" w:eastAsia="宋体" w:cs="宋体"/>
                <w:color w:val="auto"/>
                <w:sz w:val="21"/>
                <w:szCs w:val="21"/>
                <w:highlight w:val="none"/>
                <w:lang w:val="en-US" w:eastAsia="zh-CN"/>
              </w:rPr>
              <w:t xml:space="preserve">加盖公章</w:t>
            </w:r>
            <w:r>
              <w:rPr>
                <w:rFonts w:hint="eastAsia" w:ascii="宋体" w:hAnsi="宋体" w:cs="宋体"/>
                <w:color w:val="auto"/>
                <w:sz w:val="21"/>
                <w:szCs w:val="21"/>
                <w:highlight w:val="none"/>
                <w:lang w:val="en-US" w:eastAsia="zh-CN"/>
              </w:rPr>
              <w:t xml:space="preserve">)</w:t>
            </w:r>
            <w:r/>
          </w:p>
        </w:tc>
        <w:tc>
          <w:tcPr>
            <w:tcW w:w="70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p>
        </w:tc>
      </w:tr>
      <w:tr>
        <w:trPr>
          <w:jc w:val="center"/>
          <w:trHeight w:val="438"/>
        </w:trPr>
        <w:tc>
          <w:tcPr>
            <w:tcW w:w="709" w:type="dxa"/>
            <w:vAlign w:val="center"/>
            <w:textDirection w:val="lrTb"/>
            <w:noWrap w:val="false"/>
          </w:tcPr>
          <w:p>
            <w:pPr>
              <w:jc w:val="center"/>
              <w:spacing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4.5</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项目组成员</w:t>
            </w:r>
            <w:r/>
          </w:p>
        </w:tc>
        <w:tc>
          <w:tcPr>
            <w:tcW w:w="6566"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1、项目组人员中（除项目负责人以外）具有注册结构工程师执业资格的得2分；</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、项目组人员中（除项目负责人以外）具有国家注册设备工程师（给排水专业）执业资格的得2分；</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3、项目组人员中（除项目负责人以外）具有国家注册设备工程师（暖通专业）执业资格的得2分；</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4、项目组人员中（除项目负责人以外）具有国家注册电气工程师（供配电）执业资格的得2分。</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项目组人员中（除项目负责人以外）具有注册</w:t>
            </w:r>
            <w:r>
              <w:rPr>
                <w:rFonts w:hint="eastAsia" w:ascii="宋体" w:hAnsi="宋体" w:cs="宋体"/>
                <w:color w:val="auto"/>
                <w:sz w:val="21"/>
                <w:szCs w:val="21"/>
                <w:highlight w:val="none"/>
                <w:lang w:val="en-US" w:eastAsia="zh-CN"/>
              </w:rPr>
              <w:t xml:space="preserve">建筑</w:t>
            </w:r>
            <w:r>
              <w:rPr>
                <w:rFonts w:hint="eastAsia" w:ascii="宋体" w:hAnsi="宋体" w:eastAsia="宋体" w:cs="宋体"/>
                <w:color w:val="auto"/>
                <w:sz w:val="21"/>
                <w:szCs w:val="21"/>
                <w:highlight w:val="none"/>
                <w:lang w:val="en-US" w:eastAsia="zh-CN"/>
              </w:rPr>
              <w:t xml:space="preserve">师执业资格的得2分。</w:t>
            </w:r>
            <w:r/>
          </w:p>
          <w:p>
            <w:pPr>
              <w:pStyle w:val="955"/>
              <w:ind w:left="0" w:firstLine="0"/>
              <w:rPr>
                <w:rFonts w:hint="default"/>
                <w:highlight w:val="none"/>
                <w:lang w:val="en-US"/>
              </w:rPr>
            </w:pPr>
            <w:r>
              <w:rPr>
                <w:rFonts w:hint="eastAsia" w:ascii="宋体" w:hAnsi="宋体" w:eastAsia="宋体" w:cs="宋体"/>
                <w:color w:val="auto"/>
                <w:sz w:val="21"/>
                <w:szCs w:val="21"/>
                <w:highlight w:val="none"/>
                <w:lang w:val="zh-CN" w:eastAsia="zh-CN"/>
              </w:rPr>
              <w:t xml:space="preserve">（须提供证书复印件</w:t>
            </w:r>
            <w:r>
              <w:rPr>
                <w:rFonts w:hint="eastAsia" w:ascii="宋体" w:hAnsi="宋体" w:eastAsia="宋体" w:cs="宋体"/>
                <w:color w:val="auto"/>
                <w:sz w:val="21"/>
                <w:szCs w:val="21"/>
                <w:highlight w:val="none"/>
                <w:lang w:val="en-US" w:eastAsia="zh-CN"/>
              </w:rPr>
              <w:t xml:space="preserve">加盖公章,一人多证只算一个</w:t>
            </w:r>
            <w:r>
              <w:rPr>
                <w:rFonts w:hint="eastAsia" w:ascii="宋体" w:hAnsi="宋体" w:cs="宋体"/>
                <w:color w:val="auto"/>
                <w:sz w:val="21"/>
                <w:szCs w:val="21"/>
                <w:highlight w:val="none"/>
                <w:lang w:val="en-US" w:eastAsia="zh-CN"/>
              </w:rPr>
              <w:t xml:space="preserve">)</w:t>
            </w:r>
            <w:r/>
          </w:p>
        </w:tc>
        <w:tc>
          <w:tcPr>
            <w:tcW w:w="708"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p>
        </w:tc>
      </w:tr>
      <w:tr>
        <w:trPr>
          <w:jc w:val="center"/>
          <w:trHeight w:val="280"/>
        </w:trPr>
        <w:tc>
          <w:tcPr>
            <w:gridSpan w:val="4"/>
            <w:tcW w:w="9067"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.业绩</w:t>
            </w:r>
            <w:r/>
          </w:p>
        </w:tc>
      </w:tr>
      <w:tr>
        <w:trPr>
          <w:jc w:val="center"/>
          <w:trHeight w:val="1089"/>
        </w:trPr>
        <w:tc>
          <w:tcPr>
            <w:tcW w:w="709" w:type="dxa"/>
            <w:vAlign w:val="center"/>
            <w:textDirection w:val="lrTb"/>
            <w:noWrap w:val="false"/>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5</w:t>
            </w:r>
            <w:r/>
          </w:p>
        </w:tc>
        <w:tc>
          <w:tcPr>
            <w:tcW w:w="108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业绩</w:t>
            </w:r>
            <w:r/>
          </w:p>
        </w:tc>
        <w:tc>
          <w:tcPr>
            <w:tcW w:w="6566"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2"/>
                <w:szCs w:val="22"/>
                <w:highlight w:val="none"/>
              </w:rPr>
              <w:t xml:space="preserve">供应商自2023年9月1日以来（以合同签订时间为准），具有包含模型设计或建造绘制等方面内容的技术咨询服务项目（设计或施工或运维中任意阶段均可以）业绩的每有一个得2分，最多得6分。</w:t>
            </w:r>
            <w:r>
              <w:rPr>
                <w:rFonts w:hint="eastAsia" w:ascii="宋体" w:hAnsi="宋体" w:eastAsia="宋体" w:cs="宋体"/>
                <w:b/>
                <w:color w:val="auto"/>
                <w:sz w:val="22"/>
                <w:szCs w:val="22"/>
                <w:highlight w:val="none"/>
              </w:rPr>
              <w:t xml:space="preserve">注：</w:t>
            </w:r>
            <w:r>
              <w:rPr>
                <w:rFonts w:hint="eastAsia" w:ascii="宋体" w:hAnsi="宋体" w:eastAsia="宋体" w:cs="宋体"/>
                <w:b/>
                <w:color w:val="auto"/>
                <w:sz w:val="22"/>
                <w:szCs w:val="22"/>
                <w:highlight w:val="none"/>
                <w:lang w:val="en-US" w:eastAsia="zh-CN"/>
              </w:rPr>
              <w:t xml:space="preserve">需提供合同复印件并加盖公章，合同复印件不清晰辨识度差，无法辨识的不予计分。时间以合同签订时间为准，合同应能反映相关项目内容，未提供的不得分</w:t>
            </w:r>
            <w:r>
              <w:rPr>
                <w:rFonts w:hint="eastAsia" w:ascii="宋体" w:hAnsi="宋体" w:cs="宋体"/>
                <w:b/>
                <w:color w:val="auto"/>
                <w:sz w:val="22"/>
                <w:szCs w:val="22"/>
                <w:highlight w:val="none"/>
                <w:lang w:val="en-US" w:eastAsia="zh-CN"/>
              </w:rPr>
              <w:t xml:space="preserve">。</w:t>
            </w:r>
            <w:r/>
          </w:p>
        </w:tc>
        <w:tc>
          <w:tcPr>
            <w:tcW w:w="708"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p>
        </w:tc>
      </w:tr>
      <w:tr>
        <w:trPr>
          <w:jc w:val="center"/>
          <w:trHeight w:val="557"/>
        </w:trPr>
        <w:tc>
          <w:tcPr>
            <w:gridSpan w:val="3"/>
            <w:tcW w:w="8359"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708" w:type="dxa"/>
            <w:vAlign w:val="center"/>
            <w:textDirection w:val="lrTb"/>
            <w:noWrap w:val="false"/>
          </w:tcPr>
          <w:p>
            <w:pPr>
              <w:jc w:val="righ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bl>
    <w:p>
      <w:pPr>
        <w:ind w:firstLine="442"/>
        <w:rPr>
          <w:rFonts w:hint="eastAsia" w:ascii="宋体" w:hAnsi="宋体" w:cs="宋体"/>
          <w:b/>
          <w:sz w:val="22"/>
          <w:szCs w:val="22"/>
        </w:rPr>
      </w:pPr>
      <w:r>
        <w:rPr>
          <w:rFonts w:hint="eastAsia" w:ascii="宋体" w:hAnsi="宋体" w:cs="宋体"/>
          <w:b/>
          <w:sz w:val="22"/>
          <w:szCs w:val="22"/>
        </w:rPr>
        <w:t xml:space="preserve">说明：</w:t>
      </w:r>
      <w:r/>
    </w:p>
    <w:p>
      <w:pPr>
        <w:ind w:firstLine="440"/>
        <w:spacing w:line="360" w:lineRule="auto"/>
        <w:tabs>
          <w:tab w:val="left" w:pos="960" w:leader="none"/>
        </w:tabs>
        <w:rPr>
          <w:rFonts w:hint="eastAsia" w:ascii="宋体" w:hAnsi="宋体" w:cs="宋体"/>
          <w:sz w:val="22"/>
          <w:szCs w:val="22"/>
        </w:rPr>
      </w:pPr>
      <w:r>
        <w:rPr>
          <w:rFonts w:hint="eastAsia" w:ascii="宋体" w:hAnsi="宋体" w:cs="宋体"/>
          <w:sz w:val="22"/>
          <w:szCs w:val="22"/>
        </w:rPr>
        <w:t xml:space="preserve">1.所有认证、证明和业绩均以有效清晰的证明文件的复印件为依据</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中标后中标人须提供原件给采购人核查</w:t>
      </w:r>
      <w:r>
        <w:rPr>
          <w:rFonts w:hint="eastAsia" w:ascii="宋体" w:hAnsi="宋体" w:cs="宋体"/>
          <w:sz w:val="22"/>
          <w:szCs w:val="22"/>
        </w:rPr>
        <w:t xml:space="preserve">。</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bookmarkEnd w:id="20"/>
      <w:r/>
      <w:r/>
    </w:p>
    <w:p>
      <w:pPr>
        <w:pStyle w:val="938"/>
        <w:numPr>
          <w:ilvl w:val="0"/>
          <w:numId w:val="4"/>
        </w:numPr>
        <w:rPr>
          <w:rFonts w:hint="eastAsia" w:ascii="Arial" w:hAnsi="Arial" w:cs="Arial"/>
          <w:highlight w:val="none"/>
        </w:rPr>
      </w:pPr>
      <w:r/>
      <w:bookmarkStart w:id="21" w:name="_Toc26668"/>
      <w:r>
        <w:rPr>
          <w:rFonts w:ascii="Arial" w:hAnsi="Arial" w:cs="Arial"/>
          <w:highlight w:val="none"/>
        </w:rPr>
        <w:t xml:space="preserve">采购需求</w:t>
      </w:r>
      <w:bookmarkEnd w:id="21"/>
      <w:r/>
      <w:r/>
    </w:p>
    <w:p>
      <w:pPr>
        <w:spacing w:line="360" w:lineRule="auto"/>
        <w:rPr>
          <w:rFonts w:hint="eastAsia" w:ascii="宋体" w:hAnsi="宋体" w:eastAsia="宋体" w:cs="宋体"/>
          <w:b/>
          <w:bCs/>
          <w:color w:val="000000"/>
          <w:sz w:val="21"/>
          <w:szCs w:val="21"/>
          <w:highlight w:val="none"/>
          <w:lang w:eastAsia="zh-CN"/>
        </w:rPr>
        <w:outlineLvl w:val="1"/>
      </w:pPr>
      <w:r/>
      <w:bookmarkStart w:id="22" w:name="_Toc30691"/>
      <w:r/>
      <w:bookmarkStart w:id="23" w:name="_Toc481057147"/>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lang w:eastAsia="zh-CN"/>
        </w:rPr>
        <w:t xml:space="preserve">：</w:t>
      </w:r>
      <w:r/>
    </w:p>
    <w:p>
      <w:pPr>
        <w:ind w:firstLine="422"/>
        <w:spacing w:line="360" w:lineRule="auto"/>
        <w:rPr>
          <w:rFonts w:hint="eastAsia" w:ascii="宋体" w:hAnsi="宋体" w:eastAsia="宋体" w:cs="宋体"/>
          <w:b/>
          <w:bCs/>
          <w:color w:val="000000"/>
          <w:sz w:val="21"/>
          <w:szCs w:val="21"/>
          <w:highlight w:val="none"/>
          <w:lang w:eastAsia="zh-CN"/>
        </w:rPr>
        <w:outlineLvl w:val="2"/>
      </w:pPr>
      <w:r>
        <w:rPr>
          <w:rFonts w:hint="eastAsia" w:ascii="宋体" w:hAnsi="宋体" w:eastAsia="宋体" w:cs="宋体"/>
          <w:b/>
          <w:bCs/>
          <w:color w:val="000000"/>
          <w:sz w:val="21"/>
          <w:szCs w:val="21"/>
          <w:highlight w:val="none"/>
        </w:rPr>
        <w:t xml:space="preserve">1.1项目背景</w:t>
      </w:r>
      <w:r>
        <w:rPr>
          <w:rFonts w:hint="eastAsia" w:ascii="宋体" w:hAnsi="宋体" w:eastAsia="宋体" w:cs="宋体"/>
          <w:b/>
          <w:bCs/>
          <w:color w:val="000000"/>
          <w:sz w:val="21"/>
          <w:szCs w:val="21"/>
          <w:highlight w:val="none"/>
          <w:lang w:eastAsia="zh-CN"/>
        </w:rPr>
        <w:t xml:space="preserve">：</w:t>
      </w:r>
      <w:r/>
    </w:p>
    <w:p>
      <w:pPr>
        <w:spacing w:line="360" w:lineRule="auto"/>
        <w:rPr>
          <w:rFonts w:hint="eastAsia" w:ascii="宋体" w:hAnsi="宋体" w:eastAsia="宋体" w:cs="宋体"/>
          <w:color w:val="000000"/>
          <w:sz w:val="21"/>
          <w:szCs w:val="21"/>
          <w:highlight w:val="none"/>
          <w:lang w:val="en-US"/>
        </w:rPr>
        <w:outlineLvl w:val="2"/>
      </w:pPr>
      <w:r>
        <w:rPr>
          <w:rFonts w:hint="eastAsia" w:ascii="宋体" w:hAnsi="宋体" w:eastAsia="宋体" w:cs="宋体"/>
          <w:color w:val="000000"/>
          <w:sz w:val="21"/>
          <w:szCs w:val="21"/>
          <w:highlight w:val="none"/>
          <w:lang w:val="en-US"/>
        </w:rPr>
        <w:t xml:space="preserve">中国大运河博物馆是国家一级博物馆，位于扬州三湾风景区，总用地200亩，总建筑面积约7.9万平方米，由展馆、内庭院、馆前广场、大运塔和今月桥五部分组成，是集运河文物收藏、展示、研究、教育于一体，兼顾旅游休闲与对外交流的专题性博物馆，是大运河国家文化公园建设的标志性博物馆。</w:t>
      </w:r>
      <w:r/>
    </w:p>
    <w:p>
      <w:pPr>
        <w:ind w:firstLine="422"/>
        <w:spacing w:line="360" w:lineRule="auto"/>
        <w:rPr>
          <w:rFonts w:hint="eastAsia" w:ascii="宋体" w:hAnsi="宋体" w:eastAsia="宋体" w:cs="宋体"/>
          <w:b/>
          <w:bCs/>
          <w:color w:val="000000"/>
          <w:sz w:val="21"/>
          <w:szCs w:val="21"/>
          <w:highlight w:val="none"/>
          <w:lang w:eastAsia="zh-CN"/>
        </w:rPr>
        <w:outlineLvl w:val="2"/>
      </w:pPr>
      <w:r>
        <w:rPr>
          <w:rFonts w:hint="eastAsia" w:ascii="宋体" w:hAnsi="宋体" w:eastAsia="宋体" w:cs="宋体"/>
          <w:b/>
          <w:bCs/>
          <w:color w:val="000000"/>
          <w:sz w:val="21"/>
          <w:szCs w:val="21"/>
          <w:highlight w:val="none"/>
        </w:rPr>
        <w:t xml:space="preserve">1.2项目建设遵循标准</w:t>
      </w:r>
      <w:r>
        <w:rPr>
          <w:rFonts w:hint="eastAsia" w:ascii="宋体" w:hAnsi="宋体" w:eastAsia="宋体" w:cs="宋体"/>
          <w:b/>
          <w:bCs/>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建设项目需遵循以下行业标准：</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《建筑信息模型应用统一标准》GB/T 51212-2016</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《建筑信息模型施工应用标准》GB/T 51235-2017</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《建筑信息模型设计交付标准》GB/T 51301-2018</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《建筑信息模型分类和编码标准》GB/T 51269-2017</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《建筑信息模型存储标准》GB/T 51447-2021</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《建筑工程设计信息模型制图标准》JGJ/T 448-2018</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《智能建筑设计标准》GB 50314-2015</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《建筑设备监控系统工程技术规范》JGJ/T 334-2014</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《民用建筑电气设计标准》GB 51348-2019</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《安全防范工程技术标准》GB 50348-2018</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《博物馆和文物保护单位安全防范系统要求》GB/T 16571-2012</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《城市消防远程监控系统技术规范》GB/T 50440</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《建筑节能与可再生能源利用通用规范》GB 55015-2021</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《博物馆建筑设计规范》JGJ 66-2015</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《建筑工程设计信息模型制图标准》JGJ/T 448-2018</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《建筑设备监控系统工程技术规范》JGJ/T 334-2014</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《建筑信息模型应用统一标准》DB3205/T 1161-2024</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《民用建筑信息模型施工应用标准》DB32/T 4792-2024</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《建筑工程BIM规划报建数据规范》DB32/T 5255-2025</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《建筑工程竣工信息模型交付规范》DB3201/T 1145-2023</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《建筑物移动通信基础设施建设标准》DB32/ 4120-2021</w:t>
      </w:r>
      <w:r/>
    </w:p>
    <w:p>
      <w:pPr>
        <w:pStyle w:val="938"/>
        <w:numPr>
          <w:ilvl w:val="0"/>
          <w:numId w:val="0"/>
        </w:numPr>
        <w:ind w:firstLine="442"/>
        <w:jc w:val="left"/>
        <w:keepLines w:val="0"/>
        <w:keepNext w:val="0"/>
        <w:spacing w:line="450" w:lineRule="atLeast"/>
        <w:widowControl/>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如以上列出的标准有遗漏的，也必须符合相应国家标准。如标准如有更新，则按照最新标准执行。</w:t>
      </w:r>
      <w:r/>
    </w:p>
    <w:p>
      <w:pPr>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spacing w:after="120" w:line="360" w:lineRule="auto"/>
        <w:rPr>
          <w:rFonts w:hint="eastAsia" w:ascii="宋体" w:hAnsi="宋体" w:eastAsia="宋体" w:cs="宋体"/>
          <w:b/>
          <w:bCs/>
          <w:color w:val="000000"/>
          <w:sz w:val="21"/>
          <w:szCs w:val="21"/>
          <w:highlight w:val="none"/>
          <w:lang w:eastAsia="zh-CN"/>
        </w:rPr>
        <w:outlineLvl w:val="1"/>
      </w:pPr>
      <w:r>
        <w:rPr>
          <w:rFonts w:hint="eastAsia" w:ascii="宋体" w:hAnsi="宋体" w:eastAsia="宋体" w:cs="宋体"/>
          <w:b/>
          <w:bCs/>
          <w:color w:val="000000"/>
          <w:sz w:val="21"/>
          <w:szCs w:val="21"/>
          <w:highlight w:val="none"/>
        </w:rPr>
        <w:t xml:space="preserve">二、项目需求清单</w:t>
      </w:r>
      <w:r>
        <w:rPr>
          <w:rFonts w:hint="eastAsia" w:ascii="宋体" w:hAnsi="宋体" w:eastAsia="宋体" w:cs="宋体"/>
          <w:b/>
          <w:bCs/>
          <w:color w:val="000000"/>
          <w:sz w:val="21"/>
          <w:szCs w:val="21"/>
          <w:highlight w:val="none"/>
          <w:lang w:eastAsia="zh-CN"/>
        </w:rPr>
        <w:t xml:space="preserve">：</w:t>
      </w:r>
      <w:r/>
    </w:p>
    <w:tbl>
      <w:tblPr>
        <w:tblStyle w:val="94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3093"/>
        <w:gridCol w:w="1675"/>
        <w:gridCol w:w="2810"/>
      </w:tblGrid>
      <w:tr>
        <w:trPr>
          <w:jc w:val="center"/>
          <w:trHeight w:val="0"/>
          <w:tblHeader/>
        </w:trPr>
        <w:tc>
          <w:tcPr>
            <w:tcW w:w="0" w:type="auto"/>
            <w:vAlign w:val="center"/>
            <w:textDirection w:val="lrTb"/>
            <w:noWrap w:val="false"/>
          </w:tcPr>
          <w:p>
            <w:pPr>
              <w:ind w:left="0" w:right="0" w:firstLine="0"/>
              <w:jc w:val="center"/>
              <w:spacing w:line="240" w:lineRule="auto"/>
              <w:rPr>
                <w:rFonts w:hint="eastAsia" w:ascii="宋体" w:hAnsi="宋体" w:eastAsia="宋体" w:cs="宋体"/>
                <w:b/>
                <w:i w:val="0"/>
                <w:strike w:val="0"/>
                <w:color w:val="auto"/>
                <w:sz w:val="21"/>
                <w:szCs w:val="21"/>
                <w:highlight w:val="none"/>
                <w:u w:val="none"/>
                <w:lang w:eastAsia="zh-CN"/>
              </w:rPr>
            </w:pPr>
            <w:r>
              <w:rPr>
                <w:rFonts w:hint="eastAsia" w:ascii="宋体" w:hAnsi="宋体" w:eastAsia="宋体" w:cs="宋体"/>
                <w:b/>
                <w:i w:val="0"/>
                <w:strike w:val="0"/>
                <w:color w:val="auto"/>
                <w:sz w:val="21"/>
                <w:szCs w:val="21"/>
                <w:highlight w:val="none"/>
                <w:u w:val="none"/>
              </w:rPr>
              <w:t xml:space="preserve">序号</w:t>
            </w:r>
            <w:r/>
          </w:p>
        </w:tc>
        <w:tc>
          <w:tcPr>
            <w:tcW w:w="0" w:type="auto"/>
            <w:vAlign w:val="center"/>
            <w:textDirection w:val="lrTb"/>
            <w:noWrap w:val="false"/>
          </w:tcPr>
          <w:p>
            <w:pPr>
              <w:ind w:left="0" w:right="0" w:firstLine="0"/>
              <w:jc w:val="center"/>
              <w:spacing w:after="120" w:line="240" w:lineRule="auto"/>
              <w:rPr>
                <w:rFonts w:hint="eastAsia" w:ascii="宋体" w:hAnsi="宋体" w:eastAsia="宋体" w:cs="宋体"/>
                <w:b/>
                <w:i w:val="0"/>
                <w:strike w:val="0"/>
                <w:color w:val="auto"/>
                <w:sz w:val="21"/>
                <w:szCs w:val="21"/>
                <w:highlight w:val="none"/>
                <w:u w:val="none"/>
                <w:lang w:eastAsia="zh-CN"/>
              </w:rPr>
            </w:pPr>
            <w:r>
              <w:rPr>
                <w:rFonts w:hint="eastAsia" w:ascii="宋体" w:hAnsi="宋体" w:eastAsia="宋体" w:cs="宋体"/>
                <w:b/>
                <w:i w:val="0"/>
                <w:strike w:val="0"/>
                <w:color w:val="auto"/>
                <w:sz w:val="21"/>
                <w:szCs w:val="21"/>
                <w:highlight w:val="none"/>
                <w:u w:val="none"/>
              </w:rPr>
              <w:t xml:space="preserve">交付物名称</w:t>
            </w:r>
            <w:r/>
          </w:p>
        </w:tc>
        <w:tc>
          <w:tcPr>
            <w:tcW w:w="0" w:type="auto"/>
            <w:vAlign w:val="center"/>
            <w:textDirection w:val="lrTb"/>
            <w:noWrap w:val="false"/>
          </w:tcPr>
          <w:p>
            <w:pPr>
              <w:ind w:left="0" w:right="0" w:firstLine="0"/>
              <w:jc w:val="center"/>
              <w:spacing w:after="120" w:line="240" w:lineRule="auto"/>
              <w:rPr>
                <w:rFonts w:hint="eastAsia" w:ascii="宋体" w:hAnsi="宋体" w:eastAsia="宋体" w:cs="宋体"/>
                <w:b/>
                <w:i w:val="0"/>
                <w:strike w:val="0"/>
                <w:color w:val="auto"/>
                <w:sz w:val="21"/>
                <w:szCs w:val="21"/>
                <w:highlight w:val="none"/>
                <w:u w:val="none"/>
              </w:rPr>
            </w:pPr>
            <w:r>
              <w:rPr>
                <w:rFonts w:hint="eastAsia" w:ascii="宋体" w:hAnsi="宋体" w:eastAsia="宋体" w:cs="宋体"/>
                <w:b/>
                <w:i w:val="0"/>
                <w:strike w:val="0"/>
                <w:color w:val="auto"/>
                <w:sz w:val="21"/>
                <w:szCs w:val="21"/>
                <w:highlight w:val="none"/>
                <w:u w:val="none"/>
              </w:rPr>
              <w:t xml:space="preserve">格式</w:t>
            </w:r>
            <w:r/>
          </w:p>
        </w:tc>
        <w:tc>
          <w:tcPr>
            <w:tcW w:w="2810" w:type="dxa"/>
            <w:vAlign w:val="center"/>
            <w:textDirection w:val="lrTb"/>
            <w:noWrap w:val="false"/>
          </w:tcPr>
          <w:p>
            <w:pPr>
              <w:ind w:left="0" w:right="0" w:firstLine="0"/>
              <w:jc w:val="center"/>
              <w:spacing w:after="120" w:line="240" w:lineRule="auto"/>
              <w:rPr>
                <w:rFonts w:hint="eastAsia" w:ascii="宋体" w:hAnsi="宋体" w:eastAsia="宋体" w:cs="宋体"/>
                <w:b/>
                <w:i w:val="0"/>
                <w:strike w:val="0"/>
                <w:color w:val="auto"/>
                <w:sz w:val="21"/>
                <w:szCs w:val="21"/>
                <w:highlight w:val="none"/>
                <w:u w:val="none"/>
              </w:rPr>
            </w:pPr>
            <w:r>
              <w:rPr>
                <w:rFonts w:hint="eastAsia" w:ascii="宋体" w:hAnsi="宋体" w:eastAsia="宋体" w:cs="宋体"/>
                <w:b/>
                <w:i w:val="0"/>
                <w:strike w:val="0"/>
                <w:color w:val="auto"/>
                <w:sz w:val="21"/>
                <w:szCs w:val="21"/>
                <w:highlight w:val="none"/>
                <w:u w:val="none"/>
              </w:rPr>
              <w:t xml:space="preserve">备注</w:t>
            </w:r>
            <w:r/>
          </w:p>
        </w:tc>
      </w:tr>
      <w:tr>
        <w:trPr>
          <w:jc w:val="center"/>
          <w:trHeight w:val="0"/>
        </w:trPr>
        <w:tc>
          <w:tcPr>
            <w:tcW w:w="0" w:type="auto"/>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1</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全专业原始BIM模型</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.rvt / .ifc</w:t>
            </w:r>
            <w:r/>
          </w:p>
        </w:tc>
        <w:tc>
          <w:tcPr>
            <w:tcW w:w="2810" w:type="dxa"/>
            <w:vAlign w:val="center"/>
            <w:textDirection w:val="lrTb"/>
            <w:noWrap w:val="false"/>
          </w:tcPr>
          <w:p>
            <w:pPr>
              <w:ind w:left="0" w:right="0" w:firstLine="0"/>
              <w:jc w:val="left"/>
              <w:spacing w:after="120" w:line="240" w:lineRule="auto"/>
              <w:rPr>
                <w:rFonts w:hint="default" w:ascii="宋体" w:hAnsi="宋体" w:eastAsia="宋体" w:cs="宋体"/>
                <w:b w:val="0"/>
                <w:i w:val="0"/>
                <w:strike w:val="0"/>
                <w:color w:val="auto"/>
                <w:sz w:val="21"/>
                <w:szCs w:val="21"/>
                <w:highlight w:val="none"/>
                <w:u w:val="none"/>
                <w:lang w:val="en-US" w:eastAsia="zh-CN"/>
              </w:rPr>
            </w:pPr>
            <w:r>
              <w:rPr>
                <w:rFonts w:hint="eastAsia" w:ascii="宋体" w:hAnsi="宋体" w:cs="宋体"/>
                <w:b w:val="0"/>
                <w:i w:val="0"/>
                <w:strike w:val="0"/>
                <w:color w:val="auto"/>
                <w:sz w:val="21"/>
                <w:szCs w:val="21"/>
                <w:highlight w:val="none"/>
                <w:u w:val="none"/>
                <w:lang w:val="en-US" w:eastAsia="zh-CN"/>
              </w:rPr>
              <w:t xml:space="preserve">要求分阶段提供，符合各阶段模型要求</w:t>
            </w:r>
            <w:r/>
          </w:p>
        </w:tc>
      </w:tr>
      <w:tr>
        <w:trPr>
          <w:jc w:val="center"/>
          <w:trHeight w:val="0"/>
        </w:trPr>
        <w:tc>
          <w:tcPr>
            <w:tcW w:w="0" w:type="auto"/>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2</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轻量化模型包</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平台专用格式</w:t>
            </w:r>
            <w:r/>
          </w:p>
        </w:tc>
        <w:tc>
          <w:tcPr>
            <w:tcW w:w="2810"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支持网页端浏览</w:t>
            </w:r>
            <w:r/>
          </w:p>
        </w:tc>
      </w:tr>
      <w:tr>
        <w:trPr>
          <w:jc w:val="center"/>
          <w:trHeight w:val="0"/>
        </w:trPr>
        <w:tc>
          <w:tcPr>
            <w:tcW w:w="0" w:type="auto"/>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3</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设备属性数据库</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SQL / Excel</w:t>
            </w:r>
            <w:r/>
          </w:p>
        </w:tc>
        <w:tc>
          <w:tcPr>
            <w:tcW w:w="2810"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含价格及维修改造字段</w:t>
            </w:r>
            <w:r/>
          </w:p>
        </w:tc>
      </w:tr>
      <w:tr>
        <w:trPr>
          <w:jc w:val="center"/>
          <w:trHeight w:val="0"/>
        </w:trPr>
        <w:tc>
          <w:tcPr>
            <w:tcW w:w="0" w:type="auto"/>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4</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点云数据及全景影像</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.rcp / .e57 / jpg</w:t>
            </w:r>
            <w:r/>
          </w:p>
        </w:tc>
        <w:tc>
          <w:tcPr>
            <w:tcW w:w="2810"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扫描原始数据</w:t>
            </w:r>
            <w:r/>
          </w:p>
        </w:tc>
      </w:tr>
      <w:tr>
        <w:trPr>
          <w:jc w:val="center"/>
          <w:trHeight w:val="0"/>
        </w:trPr>
        <w:tc>
          <w:tcPr>
            <w:tcW w:w="0" w:type="auto"/>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5</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重点空间效果图及漫游动画</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.png / .mp4</w:t>
            </w:r>
            <w:r/>
          </w:p>
        </w:tc>
        <w:tc>
          <w:tcPr>
            <w:tcW w:w="2810" w:type="dxa"/>
            <w:vAlign w:val="center"/>
            <w:textDirection w:val="lrTb"/>
            <w:noWrap w:val="false"/>
          </w:tcPr>
          <w:p>
            <w:pPr>
              <w:ind w:left="0" w:right="0" w:firstLine="0"/>
              <w:jc w:val="left"/>
              <w:spacing w:after="120" w:line="240" w:lineRule="auto"/>
              <w:rPr>
                <w:rFonts w:hint="default" w:ascii="宋体" w:hAnsi="宋体" w:eastAsia="宋体" w:cs="宋体"/>
                <w:b w:val="0"/>
                <w:i w:val="0"/>
                <w:strike w:val="0"/>
                <w:color w:val="auto"/>
                <w:sz w:val="21"/>
                <w:szCs w:val="21"/>
                <w:highlight w:val="none"/>
                <w:u w:val="none"/>
                <w:lang w:val="en-US" w:eastAsia="zh-CN"/>
              </w:rPr>
            </w:pPr>
            <w:r>
              <w:rPr>
                <w:rFonts w:hint="eastAsia" w:ascii="宋体" w:hAnsi="宋体" w:eastAsia="宋体" w:cs="宋体"/>
                <w:b w:val="0"/>
                <w:i w:val="0"/>
                <w:strike w:val="0"/>
                <w:color w:val="auto"/>
                <w:sz w:val="21"/>
                <w:szCs w:val="21"/>
                <w:highlight w:val="none"/>
                <w:u w:val="none"/>
              </w:rPr>
              <w:t xml:space="preserve">不少于</w:t>
            </w:r>
            <w:r>
              <w:rPr>
                <w:rFonts w:hint="eastAsia" w:ascii="宋体" w:hAnsi="宋体" w:eastAsia="宋体" w:cs="宋体"/>
                <w:b w:val="0"/>
                <w:i w:val="0"/>
                <w:strike w:val="0"/>
                <w:color w:val="auto"/>
                <w:sz w:val="21"/>
                <w:szCs w:val="21"/>
                <w:highlight w:val="none"/>
                <w:u w:val="none"/>
                <w:lang w:val="en-US" w:eastAsia="zh-CN"/>
              </w:rPr>
              <w:t xml:space="preserve">50</w:t>
            </w:r>
            <w:r>
              <w:rPr>
                <w:rFonts w:hint="eastAsia" w:ascii="宋体" w:hAnsi="宋体" w:eastAsia="宋体" w:cs="宋体"/>
                <w:b w:val="0"/>
                <w:i w:val="0"/>
                <w:strike w:val="0"/>
                <w:color w:val="auto"/>
                <w:sz w:val="21"/>
                <w:szCs w:val="21"/>
                <w:highlight w:val="none"/>
                <w:u w:val="none"/>
              </w:rPr>
              <w:t xml:space="preserve">张图、</w:t>
            </w:r>
            <w:r>
              <w:rPr>
                <w:rFonts w:hint="eastAsia" w:ascii="宋体" w:hAnsi="宋体" w:eastAsia="宋体" w:cs="宋体"/>
                <w:b w:val="0"/>
                <w:i w:val="0"/>
                <w:strike w:val="0"/>
                <w:color w:val="auto"/>
                <w:sz w:val="21"/>
                <w:szCs w:val="21"/>
                <w:highlight w:val="none"/>
                <w:u w:val="none"/>
                <w:lang w:val="en-US" w:eastAsia="zh-CN"/>
              </w:rPr>
              <w:t xml:space="preserve">5</w:t>
            </w:r>
            <w:r>
              <w:rPr>
                <w:rFonts w:hint="eastAsia" w:ascii="宋体" w:hAnsi="宋体" w:eastAsia="宋体" w:cs="宋体"/>
                <w:b w:val="0"/>
                <w:i w:val="0"/>
                <w:strike w:val="0"/>
                <w:color w:val="auto"/>
                <w:sz w:val="21"/>
                <w:szCs w:val="21"/>
                <w:highlight w:val="none"/>
                <w:u w:val="none"/>
              </w:rPr>
              <w:t xml:space="preserve">段动画</w:t>
            </w:r>
            <w:r>
              <w:rPr>
                <w:rFonts w:hint="eastAsia" w:ascii="宋体" w:hAnsi="宋体" w:eastAsia="宋体" w:cs="宋体"/>
                <w:b w:val="0"/>
                <w:i w:val="0"/>
                <w:strike w:val="0"/>
                <w:color w:val="auto"/>
                <w:sz w:val="21"/>
                <w:szCs w:val="21"/>
                <w:highlight w:val="none"/>
                <w:u w:val="none"/>
                <w:lang w:val="en-US" w:eastAsia="zh-CN"/>
              </w:rPr>
              <w:t xml:space="preserve">(每段时长不少于300s）</w:t>
            </w:r>
            <w:r/>
          </w:p>
        </w:tc>
      </w:tr>
      <w:tr>
        <w:trPr>
          <w:jc w:val="center"/>
          <w:trHeight w:val="0"/>
        </w:trPr>
        <w:tc>
          <w:tcPr>
            <w:tcW w:w="0" w:type="auto"/>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6</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系统调试报告</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.pdf</w:t>
            </w:r>
            <w:r/>
          </w:p>
        </w:tc>
        <w:tc>
          <w:tcPr>
            <w:tcW w:w="2810"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含测试记录</w:t>
            </w:r>
            <w:r/>
          </w:p>
        </w:tc>
      </w:tr>
      <w:tr>
        <w:trPr>
          <w:jc w:val="center"/>
          <w:trHeight w:val="0"/>
        </w:trPr>
        <w:tc>
          <w:tcPr>
            <w:tcW w:w="0" w:type="auto"/>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7</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质量检查与不一致闭环记录</w:t>
            </w:r>
            <w:r/>
          </w:p>
        </w:tc>
        <w:tc>
          <w:tcPr>
            <w:tcW w:w="0" w:type="auto"/>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.pdf</w:t>
            </w:r>
            <w:r/>
          </w:p>
        </w:tc>
        <w:tc>
          <w:tcPr>
            <w:tcW w:w="2810"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可追溯</w:t>
            </w:r>
            <w:r/>
          </w:p>
        </w:tc>
      </w:tr>
      <w:tr>
        <w:trPr>
          <w:jc w:val="center"/>
          <w:trHeight w:val="0"/>
        </w:trPr>
        <w:tc>
          <w:tcPr>
            <w:tcW w:w="941" w:type="dxa"/>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8</w:t>
            </w:r>
            <w:r/>
          </w:p>
        </w:tc>
        <w:tc>
          <w:tcPr>
            <w:tcW w:w="3093"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操作手册及数据接口说明</w:t>
            </w:r>
            <w:r/>
          </w:p>
        </w:tc>
        <w:tc>
          <w:tcPr>
            <w:tcW w:w="1675"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.pdf</w:t>
            </w:r>
            <w:r/>
          </w:p>
        </w:tc>
        <w:tc>
          <w:tcPr>
            <w:tcW w:w="2810"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t xml:space="preserve">含运维平台对接指引</w:t>
            </w:r>
            <w:r/>
          </w:p>
        </w:tc>
      </w:tr>
      <w:tr>
        <w:trPr>
          <w:jc w:val="center"/>
          <w:trHeight w:val="0"/>
        </w:trPr>
        <w:tc>
          <w:tcPr>
            <w:tcW w:w="941" w:type="dxa"/>
            <w:vAlign w:val="center"/>
            <w:textDirection w:val="lrTb"/>
            <w:noWrap w:val="false"/>
          </w:tcPr>
          <w:p>
            <w:pPr>
              <w:ind w:left="0" w:right="0" w:firstLine="0"/>
              <w:jc w:val="center"/>
              <w:spacing w:after="120" w:line="240" w:lineRule="auto"/>
              <w:rPr>
                <w:rFonts w:hint="eastAsia" w:ascii="宋体" w:hAnsi="宋体" w:eastAsia="宋体" w:cs="宋体"/>
                <w:b w:val="0"/>
                <w:i w:val="0"/>
                <w:strike w:val="0"/>
                <w:color w:val="auto"/>
                <w:sz w:val="21"/>
                <w:szCs w:val="21"/>
                <w:highlight w:val="none"/>
                <w:u w:val="none"/>
                <w:lang w:val="en-US" w:eastAsia="zh-CN"/>
              </w:rPr>
            </w:pPr>
            <w:r>
              <w:rPr>
                <w:rFonts w:hint="eastAsia" w:ascii="宋体" w:hAnsi="宋体" w:eastAsia="宋体" w:cs="宋体"/>
                <w:b w:val="0"/>
                <w:i w:val="0"/>
                <w:strike w:val="0"/>
                <w:color w:val="auto"/>
                <w:sz w:val="21"/>
                <w:szCs w:val="21"/>
                <w:highlight w:val="none"/>
                <w:u w:val="none"/>
                <w:lang w:val="en-US" w:eastAsia="zh-CN"/>
              </w:rPr>
              <w:t xml:space="preserve">9</w:t>
            </w:r>
            <w:r/>
          </w:p>
        </w:tc>
        <w:tc>
          <w:tcPr>
            <w:tcW w:w="3093" w:type="dxa"/>
            <w:vAlign w:val="center"/>
            <w:textDirection w:val="lrTb"/>
            <w:noWrap w:val="false"/>
          </w:tcPr>
          <w:p>
            <w:pPr>
              <w:ind w:left="0" w:right="0" w:firstLine="0"/>
              <w:jc w:val="left"/>
              <w:spacing w:after="120" w:line="240" w:lineRule="auto"/>
              <w:rPr>
                <w:rFonts w:hint="default" w:ascii="宋体" w:hAnsi="宋体" w:eastAsia="宋体" w:cs="宋体"/>
                <w:b w:val="0"/>
                <w:i w:val="0"/>
                <w:strike w:val="0"/>
                <w:color w:val="auto"/>
                <w:sz w:val="21"/>
                <w:szCs w:val="21"/>
                <w:highlight w:val="none"/>
                <w:u w:val="none"/>
                <w:lang w:val="en-US" w:eastAsia="zh-CN"/>
              </w:rPr>
            </w:pPr>
            <w:r>
              <w:rPr>
                <w:rFonts w:hint="eastAsia" w:ascii="宋体" w:hAnsi="宋体" w:eastAsia="宋体" w:cs="宋体"/>
                <w:b w:val="0"/>
                <w:i w:val="0"/>
                <w:strike w:val="0"/>
                <w:color w:val="auto"/>
                <w:sz w:val="21"/>
                <w:szCs w:val="21"/>
                <w:highlight w:val="none"/>
                <w:u w:val="none"/>
                <w:lang w:val="en-US" w:eastAsia="zh-CN"/>
              </w:rPr>
              <w:t xml:space="preserve">轻量化全景漫游平台</w:t>
            </w:r>
            <w:r/>
          </w:p>
        </w:tc>
        <w:tc>
          <w:tcPr>
            <w:tcW w:w="1675" w:type="dxa"/>
            <w:vAlign w:val="center"/>
            <w:textDirection w:val="lrTb"/>
            <w:noWrap w:val="false"/>
          </w:tcPr>
          <w:p>
            <w:pPr>
              <w:ind w:left="0" w:right="0" w:firstLine="0"/>
              <w:jc w:val="left"/>
              <w:spacing w:after="120" w:line="240" w:lineRule="auto"/>
              <w:rPr>
                <w:rFonts w:hint="eastAsia" w:ascii="宋体" w:hAnsi="宋体" w:eastAsia="宋体" w:cs="宋体"/>
                <w:b w:val="0"/>
                <w:i w:val="0"/>
                <w:strike w:val="0"/>
                <w:color w:val="auto"/>
                <w:sz w:val="21"/>
                <w:szCs w:val="21"/>
                <w:highlight w:val="none"/>
                <w:u w:val="none"/>
              </w:rPr>
            </w:pPr>
            <w:r>
              <w:rPr>
                <w:rFonts w:hint="eastAsia" w:ascii="宋体" w:hAnsi="宋体" w:eastAsia="宋体" w:cs="宋体"/>
                <w:b w:val="0"/>
                <w:i w:val="0"/>
                <w:strike w:val="0"/>
                <w:color w:val="auto"/>
                <w:sz w:val="21"/>
                <w:szCs w:val="21"/>
                <w:highlight w:val="none"/>
                <w:u w:val="none"/>
              </w:rPr>
            </w:r>
            <w:r/>
          </w:p>
        </w:tc>
        <w:tc>
          <w:tcPr>
            <w:tcW w:w="2810" w:type="dxa"/>
            <w:vAlign w:val="center"/>
            <w:textDirection w:val="lrTb"/>
            <w:noWrap w:val="false"/>
          </w:tcPr>
          <w:p>
            <w:pPr>
              <w:ind w:left="0" w:right="0" w:firstLine="0"/>
              <w:jc w:val="left"/>
              <w:spacing w:after="120" w:line="240" w:lineRule="auto"/>
              <w:rPr>
                <w:rFonts w:hint="default" w:ascii="宋体" w:hAnsi="宋体" w:eastAsia="宋体" w:cs="宋体"/>
                <w:b w:val="0"/>
                <w:i w:val="0"/>
                <w:strike w:val="0"/>
                <w:color w:val="auto"/>
                <w:sz w:val="21"/>
                <w:szCs w:val="21"/>
                <w:highlight w:val="none"/>
                <w:u w:val="none"/>
                <w:lang w:val="en-US" w:eastAsia="zh-CN"/>
              </w:rPr>
            </w:pPr>
            <w:r>
              <w:rPr>
                <w:rFonts w:hint="eastAsia" w:ascii="宋体" w:hAnsi="宋体" w:eastAsia="宋体" w:cs="宋体"/>
                <w:b w:val="0"/>
                <w:i w:val="0"/>
                <w:strike w:val="0"/>
                <w:color w:val="auto"/>
                <w:sz w:val="21"/>
                <w:szCs w:val="21"/>
                <w:highlight w:val="none"/>
                <w:u w:val="none"/>
                <w:lang w:val="en-US" w:eastAsia="zh-CN"/>
              </w:rPr>
              <w:t xml:space="preserve">利用模型生成vr漫游地图，并上传至可使用的网站</w:t>
            </w:r>
            <w:r>
              <w:rPr>
                <w:rFonts w:hint="eastAsia" w:ascii="宋体" w:hAnsi="宋体" w:cs="宋体"/>
                <w:b w:val="0"/>
                <w:i w:val="0"/>
                <w:strike w:val="0"/>
                <w:color w:val="auto"/>
                <w:sz w:val="21"/>
                <w:szCs w:val="21"/>
                <w:highlight w:val="none"/>
                <w:u w:val="none"/>
                <w:lang w:val="en-US" w:eastAsia="zh-CN"/>
              </w:rPr>
              <w:t xml:space="preserve">（利用数字孪生模型，实现观众智慧导览功能，满足观众使用需求，</w:t>
            </w:r>
            <w:r>
              <w:rPr>
                <w:rFonts w:hint="eastAsia" w:ascii="宋体" w:hAnsi="宋体" w:eastAsia="宋体" w:cs="宋体"/>
                <w:b w:val="0"/>
                <w:i w:val="0"/>
                <w:strike w:val="0"/>
                <w:color w:val="auto"/>
                <w:sz w:val="21"/>
                <w:szCs w:val="21"/>
                <w:highlight w:val="none"/>
                <w:u w:val="none"/>
                <w:lang w:val="en-US" w:eastAsia="zh-CN"/>
              </w:rPr>
              <w:t xml:space="preserve">会员有效期不短于一年），用于</w:t>
            </w:r>
            <w:r>
              <w:rPr>
                <w:rFonts w:hint="eastAsia" w:ascii="宋体" w:hAnsi="宋体" w:cs="宋体"/>
                <w:b w:val="0"/>
                <w:i w:val="0"/>
                <w:strike w:val="0"/>
                <w:color w:val="auto"/>
                <w:sz w:val="21"/>
                <w:szCs w:val="21"/>
                <w:highlight w:val="none"/>
                <w:u w:val="none"/>
                <w:lang w:val="en-US" w:eastAsia="zh-CN"/>
              </w:rPr>
              <w:t xml:space="preserve">实现</w:t>
            </w:r>
            <w:r>
              <w:rPr>
                <w:rFonts w:hint="eastAsia" w:ascii="宋体" w:hAnsi="宋体" w:eastAsia="宋体" w:cs="宋体"/>
                <w:b w:val="0"/>
                <w:i w:val="0"/>
                <w:strike w:val="0"/>
                <w:color w:val="auto"/>
                <w:sz w:val="21"/>
                <w:szCs w:val="21"/>
                <w:highlight w:val="none"/>
                <w:u w:val="none"/>
                <w:lang w:val="en-US" w:eastAsia="zh-CN"/>
              </w:rPr>
              <w:t xml:space="preserve">馆内导览，定位，指示，巡检记录等功能</w:t>
            </w:r>
            <w:r/>
          </w:p>
        </w:tc>
      </w:tr>
    </w:tbl>
    <w:p>
      <w:pPr>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rPr>
        <w:t xml:space="preserve">三、技术部分要求</w:t>
      </w:r>
      <w:r>
        <w:rPr>
          <w:rFonts w:hint="eastAsia" w:ascii="宋体" w:hAnsi="宋体" w:eastAsia="宋体" w:cs="宋体"/>
          <w:b/>
          <w:bCs/>
          <w:color w:val="000000"/>
          <w:sz w:val="21"/>
          <w:szCs w:val="21"/>
          <w:highlight w:val="none"/>
          <w:lang w:val="en-US" w:eastAsia="zh-CN"/>
        </w:rPr>
        <w:t xml:space="preserve">:</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建设目标：</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1、第一阶段：</w:t>
      </w:r>
      <w:r>
        <w:rPr>
          <w:rFonts w:hint="eastAsia" w:ascii="宋体" w:hAnsi="宋体" w:eastAsia="宋体" w:cs="宋体"/>
          <w:color w:val="000000"/>
          <w:sz w:val="21"/>
          <w:szCs w:val="21"/>
          <w:highlight w:val="none"/>
          <w:lang w:val="en-US"/>
        </w:rPr>
        <w:t xml:space="preserve">建成高精度全要素逆向BIM模型</w:t>
      </w:r>
      <w:r/>
    </w:p>
    <w:p>
      <w:pPr>
        <w:ind w:firstLine="42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依据现行国家及江苏省BIM标准，基于各专业竣工图</w:t>
      </w:r>
      <w:r>
        <w:rPr>
          <w:rFonts w:hint="eastAsia" w:ascii="宋体" w:hAnsi="宋体" w:cs="宋体"/>
          <w:color w:val="000000"/>
          <w:sz w:val="21"/>
          <w:szCs w:val="21"/>
          <w:highlight w:val="none"/>
          <w:lang w:val="en-US" w:eastAsia="zh-CN"/>
        </w:rPr>
        <w:t xml:space="preserve">（仅提供PDF版）</w:t>
      </w:r>
      <w:r>
        <w:rPr>
          <w:rFonts w:hint="eastAsia" w:ascii="宋体" w:hAnsi="宋体" w:eastAsia="宋体" w:cs="宋体"/>
          <w:color w:val="000000"/>
          <w:sz w:val="21"/>
          <w:szCs w:val="21"/>
          <w:highlight w:val="none"/>
          <w:lang w:val="en-US"/>
        </w:rPr>
        <w:t xml:space="preserve">，完成博物馆全部区域的建筑、结构、给排水、暖通、电气、智能化、</w:t>
      </w:r>
      <w:r>
        <w:rPr>
          <w:rFonts w:hint="eastAsia" w:ascii="宋体" w:hAnsi="宋体" w:eastAsia="宋体" w:cs="宋体"/>
          <w:color w:val="000000"/>
          <w:sz w:val="21"/>
          <w:szCs w:val="21"/>
          <w:highlight w:val="none"/>
          <w:lang w:val="en-US" w:eastAsia="zh-CN"/>
        </w:rPr>
        <w:t xml:space="preserve">幕墙、装饰、景观</w:t>
      </w:r>
      <w:r>
        <w:rPr>
          <w:rFonts w:hint="eastAsia" w:ascii="宋体" w:hAnsi="宋体" w:eastAsia="宋体" w:cs="宋体"/>
          <w:color w:val="000000"/>
          <w:sz w:val="21"/>
          <w:szCs w:val="21"/>
          <w:highlight w:val="none"/>
          <w:lang w:val="en-US"/>
        </w:rPr>
        <w:t xml:space="preserve">等专业的BIM模型</w:t>
      </w:r>
      <w:r>
        <w:rPr>
          <w:rFonts w:hint="eastAsia" w:ascii="宋体" w:hAnsi="宋体" w:cs="宋体"/>
          <w:color w:val="000000"/>
          <w:sz w:val="21"/>
          <w:szCs w:val="21"/>
          <w:highlight w:val="none"/>
          <w:lang w:val="en-US" w:eastAsia="zh-CN"/>
        </w:rPr>
        <w:t xml:space="preserve">逆向</w:t>
      </w:r>
      <w:r>
        <w:rPr>
          <w:rFonts w:hint="eastAsia" w:ascii="宋体" w:hAnsi="宋体" w:eastAsia="宋体" w:cs="宋体"/>
          <w:color w:val="000000"/>
          <w:sz w:val="21"/>
          <w:szCs w:val="21"/>
          <w:highlight w:val="none"/>
          <w:lang w:val="en-US"/>
        </w:rPr>
        <w:t xml:space="preserve">重建工作。模型深度达到</w:t>
      </w:r>
      <w:r>
        <w:rPr>
          <w:rFonts w:hint="eastAsia" w:ascii="宋体" w:hAnsi="宋体" w:cs="宋体"/>
          <w:color w:val="000000"/>
          <w:sz w:val="21"/>
          <w:szCs w:val="21"/>
          <w:highlight w:val="none"/>
          <w:lang w:val="en-US" w:eastAsia="zh-CN"/>
        </w:rPr>
        <w:t xml:space="preserve">设计模型交付</w:t>
      </w:r>
      <w:r>
        <w:rPr>
          <w:rFonts w:hint="eastAsia" w:ascii="宋体" w:hAnsi="宋体" w:eastAsia="宋体" w:cs="宋体"/>
          <w:color w:val="000000"/>
          <w:sz w:val="21"/>
          <w:szCs w:val="21"/>
          <w:highlight w:val="none"/>
          <w:lang w:val="en-US"/>
        </w:rPr>
        <w:t xml:space="preserve">要求，精确表达机电设备、管线、末端及装修构件的几何尺寸、空间定位、连接关系等关键信息，确保模型与</w:t>
      </w:r>
      <w:r>
        <w:rPr>
          <w:rFonts w:hint="eastAsia" w:ascii="宋体" w:hAnsi="宋体" w:cs="宋体"/>
          <w:color w:val="000000"/>
          <w:sz w:val="21"/>
          <w:szCs w:val="21"/>
          <w:highlight w:val="none"/>
          <w:lang w:val="en-US" w:eastAsia="zh-CN"/>
        </w:rPr>
        <w:t xml:space="preserve">竣工图纸</w:t>
      </w:r>
      <w:r>
        <w:rPr>
          <w:rFonts w:hint="eastAsia" w:ascii="宋体" w:hAnsi="宋体" w:eastAsia="宋体" w:cs="宋体"/>
          <w:color w:val="000000"/>
          <w:sz w:val="21"/>
          <w:szCs w:val="21"/>
          <w:highlight w:val="none"/>
          <w:lang w:val="en-US"/>
        </w:rPr>
        <w:t xml:space="preserve">在精度范围内相一致</w:t>
      </w:r>
      <w:r>
        <w:rPr>
          <w:rFonts w:hint="eastAsia" w:ascii="宋体" w:hAnsi="宋体" w:cs="宋体"/>
          <w:color w:val="000000"/>
          <w:sz w:val="21"/>
          <w:szCs w:val="21"/>
          <w:highlight w:val="none"/>
          <w:lang w:val="en-US" w:eastAsia="zh-CN"/>
        </w:rPr>
        <w:t xml:space="preserve">，符合</w:t>
      </w:r>
      <w:r>
        <w:rPr>
          <w:rFonts w:hint="eastAsia" w:ascii="宋体" w:hAnsi="宋体" w:eastAsia="宋体" w:cs="宋体"/>
          <w:color w:val="000000"/>
          <w:sz w:val="21"/>
          <w:szCs w:val="21"/>
          <w:highlight w:val="none"/>
          <w:lang w:val="en-US"/>
        </w:rPr>
        <w:t xml:space="preserve">《建筑信息模型设计交付标准》GB/T 51301-2018</w:t>
      </w:r>
      <w:r>
        <w:rPr>
          <w:rFonts w:hint="eastAsia" w:ascii="宋体" w:hAnsi="宋体" w:cs="宋体"/>
          <w:color w:val="000000"/>
          <w:sz w:val="21"/>
          <w:szCs w:val="21"/>
          <w:highlight w:val="none"/>
          <w:lang w:val="en-US" w:eastAsia="zh-CN"/>
        </w:rPr>
        <w:t xml:space="preserve">中的深化设计标准要求。</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2、第二阶段：</w:t>
      </w:r>
      <w:r>
        <w:rPr>
          <w:rFonts w:hint="eastAsia" w:ascii="宋体" w:hAnsi="宋体" w:eastAsia="宋体" w:cs="宋体"/>
          <w:color w:val="000000"/>
          <w:sz w:val="21"/>
          <w:szCs w:val="21"/>
          <w:highlight w:val="none"/>
          <w:lang w:val="en-US"/>
        </w:rPr>
        <w:t xml:space="preserve">建成高精度全要素</w:t>
      </w:r>
      <w:r>
        <w:rPr>
          <w:rFonts w:hint="eastAsia" w:ascii="宋体" w:hAnsi="宋体" w:cs="宋体"/>
          <w:color w:val="000000"/>
          <w:sz w:val="21"/>
          <w:szCs w:val="21"/>
          <w:highlight w:val="none"/>
          <w:lang w:val="en-US" w:eastAsia="zh-CN"/>
        </w:rPr>
        <w:t xml:space="preserve">竣工</w:t>
      </w:r>
      <w:r>
        <w:rPr>
          <w:rFonts w:hint="eastAsia" w:ascii="宋体" w:hAnsi="宋体" w:eastAsia="宋体" w:cs="宋体"/>
          <w:color w:val="000000"/>
          <w:sz w:val="21"/>
          <w:szCs w:val="21"/>
          <w:highlight w:val="none"/>
          <w:lang w:val="en-US"/>
        </w:rPr>
        <w:t xml:space="preserve">BIM模型</w:t>
      </w:r>
      <w:r/>
    </w:p>
    <w:p>
      <w:pPr>
        <w:ind w:firstLine="420"/>
        <w:spacing w:line="360" w:lineRule="auto"/>
        <w:tabs>
          <w:tab w:val="left" w:pos="630" w:leader="none"/>
        </w:tabs>
        <w:rPr>
          <w:rFonts w:hint="default" w:ascii="宋体" w:hAnsi="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对现场建筑布局、装修改造、设备管线、隐蔽工程等全专业进行实测实量，修正逆向模型，使之符合现场实际情况。对于</w:t>
      </w:r>
      <w:r>
        <w:rPr>
          <w:rFonts w:hint="eastAsia" w:ascii="宋体" w:hAnsi="宋体" w:eastAsia="宋体" w:cs="宋体"/>
          <w:color w:val="000000"/>
          <w:sz w:val="21"/>
          <w:szCs w:val="21"/>
          <w:highlight w:val="none"/>
          <w:lang w:val="en-US"/>
        </w:rPr>
        <w:t xml:space="preserve">建筑、结构</w:t>
      </w:r>
      <w:r>
        <w:rPr>
          <w:rFonts w:hint="eastAsia" w:ascii="宋体" w:hAnsi="宋体" w:cs="宋体"/>
          <w:color w:val="000000"/>
          <w:sz w:val="21"/>
          <w:szCs w:val="21"/>
          <w:highlight w:val="none"/>
          <w:lang w:val="en-US" w:eastAsia="zh-CN"/>
        </w:rPr>
        <w:t xml:space="preserve">专业要求对由于后期改造造成的与竣工图不一致的区域进行调整。</w:t>
      </w:r>
      <w:r>
        <w:rPr>
          <w:rFonts w:hint="eastAsia" w:ascii="宋体" w:hAnsi="宋体" w:eastAsia="宋体" w:cs="宋体"/>
          <w:color w:val="000000"/>
          <w:sz w:val="21"/>
          <w:szCs w:val="21"/>
          <w:highlight w:val="none"/>
          <w:lang w:val="en-US"/>
        </w:rPr>
        <w:t xml:space="preserve">给排水、暖通、电气、智能化</w:t>
      </w:r>
      <w:r>
        <w:rPr>
          <w:rFonts w:hint="eastAsia" w:ascii="宋体" w:hAnsi="宋体" w:cs="宋体"/>
          <w:color w:val="000000"/>
          <w:sz w:val="21"/>
          <w:szCs w:val="21"/>
          <w:highlight w:val="none"/>
          <w:lang w:val="en-US" w:eastAsia="zh-CN"/>
        </w:rPr>
        <w:t xml:space="preserve">专业中DN50及以上管线、线槽，管道附件，附属设备，末端设备，重要节点等进行实测实量，修正模型。并对竣工后进行改造的部分重新绘制修正，使本阶段模型符合现场实际情况。符合</w:t>
      </w:r>
      <w:r>
        <w:rPr>
          <w:rFonts w:hint="eastAsia" w:ascii="宋体" w:hAnsi="宋体" w:eastAsia="宋体" w:cs="宋体"/>
          <w:color w:val="000000"/>
          <w:sz w:val="21"/>
          <w:szCs w:val="21"/>
          <w:highlight w:val="none"/>
          <w:lang w:val="en-US"/>
        </w:rPr>
        <w:t xml:space="preserve">《建筑信息模型设计交付标准》GB/T 51301-2018</w:t>
      </w:r>
      <w:r>
        <w:rPr>
          <w:rFonts w:hint="eastAsia" w:ascii="宋体" w:hAnsi="宋体" w:cs="宋体"/>
          <w:color w:val="000000"/>
          <w:sz w:val="21"/>
          <w:szCs w:val="21"/>
          <w:highlight w:val="none"/>
          <w:lang w:val="en-US" w:eastAsia="zh-CN"/>
        </w:rPr>
        <w:t xml:space="preserve">中深化设计要求和</w:t>
      </w:r>
      <w:r>
        <w:rPr>
          <w:rFonts w:hint="eastAsia" w:ascii="宋体" w:hAnsi="宋体" w:eastAsia="宋体" w:cs="宋体"/>
          <w:color w:val="000000"/>
          <w:sz w:val="21"/>
          <w:szCs w:val="21"/>
          <w:highlight w:val="none"/>
          <w:lang w:val="en-US"/>
        </w:rPr>
        <w:t xml:space="preserve">《建筑信息模型施工应用标准》GB/T 51235-201</w:t>
      </w:r>
      <w:r>
        <w:rPr>
          <w:rFonts w:hint="eastAsia" w:ascii="宋体" w:hAnsi="宋体" w:cs="宋体"/>
          <w:color w:val="000000"/>
          <w:sz w:val="21"/>
          <w:szCs w:val="21"/>
          <w:highlight w:val="none"/>
          <w:lang w:val="en-US" w:eastAsia="zh-CN"/>
        </w:rPr>
        <w:t xml:space="preserve">7中施工模型要求。</w:t>
      </w:r>
      <w:r/>
    </w:p>
    <w:p>
      <w:pPr>
        <w:ind w:firstLine="420"/>
        <w:spacing w:line="360" w:lineRule="auto"/>
        <w:rPr>
          <w:rFonts w:hint="eastAsia" w:ascii="宋体" w:hAnsi="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在本阶段模型中，馆内展示区域、公区及办公区域参照下表处理：</w:t>
      </w:r>
      <w:r/>
    </w:p>
    <w:tbl>
      <w:tblPr>
        <w:tblStyle w:val="942"/>
        <w:tblW w:w="8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5719"/>
      </w:tblGrid>
      <w:tr>
        <w:trPr>
          <w:jc w:val="center"/>
          <w:tblHeader/>
        </w:trPr>
        <w:tc>
          <w:tcPr>
            <w:tcW w:w="305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建模范围 </w:t>
            </w:r>
            <w:r/>
          </w:p>
        </w:tc>
        <w:tc>
          <w:tcPr>
            <w:tcW w:w="5719"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要求</w:t>
            </w:r>
            <w:r/>
          </w:p>
        </w:tc>
      </w:tr>
      <w:tr>
        <w:trPr>
          <w:jc w:val="center"/>
          <w:trHeight w:val="5489"/>
          <w:tblHeader/>
        </w:trPr>
        <w:tc>
          <w:tcPr>
            <w:tcW w:w="305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核心展示区（大厅、展厅、VIP区）（不包含展柜，展板等展陈部分）</w:t>
            </w:r>
            <w:r/>
          </w:p>
        </w:tc>
        <w:tc>
          <w:tcPr>
            <w:tcW w:w="5719" w:type="dxa"/>
            <w:vAlign w:val="center"/>
            <w:textDirection w:val="lrTb"/>
            <w:noWrap w:val="false"/>
          </w:tcPr>
          <w:p>
            <w:pPr>
              <w:numPr>
                <w:ilvl w:val="0"/>
                <w:numId w:val="5"/>
              </w:numPr>
              <w:jc w:val="left"/>
              <w:rPr>
                <w:rFonts w:hint="eastAsia" w:ascii="宋体" w:hAnsi="宋体" w:cs="宋体"/>
                <w:b/>
                <w:bCs w:val="0"/>
                <w:color w:val="auto"/>
                <w:szCs w:val="21"/>
                <w:highlight w:val="none"/>
                <w:lang w:eastAsia="zh-CN"/>
              </w:rPr>
            </w:pPr>
            <w:r>
              <w:rPr>
                <w:rFonts w:hint="eastAsia" w:ascii="宋体" w:hAnsi="宋体" w:cs="宋体"/>
                <w:b/>
                <w:bCs w:val="0"/>
                <w:color w:val="auto"/>
                <w:szCs w:val="21"/>
                <w:highlight w:val="none"/>
                <w:lang w:val="en-US" w:eastAsia="zh-CN"/>
              </w:rPr>
              <w:t xml:space="preserve">装饰面层按大面效果精准表达，体现墙、顶、地装饰层整体样式：</w:t>
            </w:r>
            <w:r/>
          </w:p>
          <w:p>
            <w:pPr>
              <w:numPr>
                <w:ilvl w:val="1"/>
                <w:numId w:val="6"/>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顶面饰面层：</w:t>
            </w:r>
            <w:r/>
          </w:p>
          <w:p>
            <w:pPr>
              <w:numPr>
                <w:ilvl w:val="0"/>
                <w:numId w:val="0"/>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表现石膏板平顶、方通顶、窗帘盒、局部挂板或者装饰大面包边；大面造型和材质边界；</w:t>
            </w:r>
            <w:r/>
          </w:p>
          <w:p>
            <w:pPr>
              <w:numPr>
                <w:ilvl w:val="0"/>
                <w:numId w:val="0"/>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表现顶面机电末端点位建模，体现和饰面层位置关系</w:t>
            </w:r>
            <w:r>
              <w:rPr>
                <w:rFonts w:hint="eastAsia" w:ascii="宋体" w:hAnsi="宋体" w:cs="宋体"/>
                <w:bCs/>
                <w:color w:val="auto"/>
                <w:szCs w:val="21"/>
                <w:highlight w:val="none"/>
                <w:lang w:eastAsia="zh-CN"/>
              </w:rPr>
              <w:t xml:space="preserve">。</w:t>
            </w:r>
            <w:r/>
          </w:p>
          <w:p>
            <w:pPr>
              <w:numPr>
                <w:ilvl w:val="1"/>
                <w:numId w:val="6"/>
              </w:numPr>
              <w:jc w:val="left"/>
              <w:rPr>
                <w:rFonts w:hint="eastAsia"/>
                <w:color w:val="auto"/>
                <w:highlight w:val="none"/>
                <w:lang w:eastAsia="zh-CN"/>
              </w:rPr>
            </w:pPr>
            <w:r>
              <w:rPr>
                <w:rFonts w:hint="eastAsia" w:ascii="宋体" w:hAnsi="宋体" w:cs="宋体"/>
                <w:bCs/>
                <w:color w:val="auto"/>
                <w:szCs w:val="21"/>
                <w:highlight w:val="none"/>
                <w:lang w:val="en-US" w:eastAsia="zh-CN"/>
              </w:rPr>
              <w:t xml:space="preserve">墙面饰面层：</w:t>
            </w:r>
            <w:r/>
          </w:p>
          <w:p>
            <w:pPr>
              <w:numPr>
                <w:ilvl w:val="0"/>
                <w:numId w:val="0"/>
              </w:numPr>
              <w:jc w:val="lef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表现墙面大面样式及不同材质的边界；</w:t>
            </w:r>
            <w:r/>
          </w:p>
          <w:p>
            <w:pPr>
              <w:numPr>
                <w:ilvl w:val="0"/>
                <w:numId w:val="0"/>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表现门、窗外形大面和样式示意（体现木质门、钢质门、玻璃门、玻璃窗、推拉窗等门窗大体样式）；</w:t>
            </w:r>
            <w:r/>
          </w:p>
          <w:p>
            <w:pPr>
              <w:numPr>
                <w:ilvl w:val="0"/>
                <w:numId w:val="0"/>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表现墙体内嵌展示栏、广告位、LED大屏等墙面构件大面样式和材质示意，展示内容贴图展示；</w:t>
            </w:r>
            <w:r/>
          </w:p>
          <w:p>
            <w:pPr>
              <w:numPr>
                <w:ilvl w:val="0"/>
                <w:numId w:val="0"/>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墙面机电末端点位建模，体现和饰面层位置关系。</w:t>
            </w:r>
            <w:r/>
          </w:p>
          <w:p>
            <w:pPr>
              <w:numPr>
                <w:ilvl w:val="1"/>
                <w:numId w:val="6"/>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地面饰面层：</w:t>
            </w:r>
            <w:r/>
          </w:p>
          <w:p>
            <w:pPr>
              <w:numPr>
                <w:ilvl w:val="0"/>
                <w:numId w:val="0"/>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表现地面尺寸分割和不同材质分类分割（瓷砖、木地板、地毯、过门石、盲道等）；</w:t>
            </w:r>
            <w:r/>
          </w:p>
          <w:p>
            <w:pPr>
              <w:numPr>
                <w:ilvl w:val="0"/>
                <w:numId w:val="0"/>
              </w:numPr>
              <w:jc w:val="lef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表现地面机电末端点位建模，体现和饰面层位置关系。</w:t>
            </w:r>
            <w:r/>
          </w:p>
          <w:p>
            <w:pPr>
              <w:numPr>
                <w:ilvl w:val="0"/>
                <w:numId w:val="5"/>
              </w:numPr>
              <w:jc w:val="left"/>
              <w:rPr>
                <w:rFonts w:hint="eastAsia" w:ascii="宋体" w:hAnsi="宋体" w:eastAsia="宋体" w:cs="宋体"/>
                <w:b/>
                <w:bCs w:val="0"/>
                <w:color w:val="auto"/>
                <w:szCs w:val="21"/>
                <w:highlight w:val="none"/>
                <w:lang w:eastAsia="zh-CN"/>
              </w:rPr>
            </w:pPr>
            <w:r>
              <w:rPr>
                <w:rFonts w:hint="eastAsia" w:ascii="宋体" w:hAnsi="宋体" w:cs="宋体"/>
                <w:b/>
                <w:bCs w:val="0"/>
                <w:color w:val="auto"/>
                <w:szCs w:val="21"/>
                <w:highlight w:val="none"/>
              </w:rPr>
              <w:t xml:space="preserve">灯具细节</w:t>
            </w:r>
            <w:r>
              <w:rPr>
                <w:rFonts w:hint="eastAsia" w:ascii="宋体" w:hAnsi="宋体" w:cs="宋体"/>
                <w:b/>
                <w:bCs w:val="0"/>
                <w:color w:val="auto"/>
                <w:szCs w:val="21"/>
                <w:highlight w:val="none"/>
                <w:lang w:eastAsia="zh-CN"/>
              </w:rPr>
              <w:t xml:space="preserve">：</w:t>
            </w:r>
            <w:r/>
          </w:p>
          <w:p>
            <w:pPr>
              <w:numPr>
                <w:ilvl w:val="0"/>
                <w:numId w:val="0"/>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表现常规灯具类型（筒灯、条形灯、面板灯等）表和大面材质颜色，用类似实体常规BIM灯具族示意展示；</w:t>
            </w:r>
            <w:r/>
          </w:p>
          <w:p>
            <w:pPr>
              <w:numPr>
                <w:ilvl w:val="0"/>
                <w:numId w:val="0"/>
              </w:numPr>
              <w:jc w:val="lef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表现异形造型灯具（如：造型吊顶、艺术灯）做尺寸事宜。</w:t>
            </w:r>
            <w:r/>
          </w:p>
          <w:p>
            <w:pPr>
              <w:numPr>
                <w:ilvl w:val="0"/>
                <w:numId w:val="5"/>
              </w:numPr>
              <w:jc w:val="left"/>
              <w:rPr>
                <w:rFonts w:hint="eastAsia" w:ascii="宋体" w:hAnsi="宋体" w:eastAsia="宋体" w:cs="宋体"/>
                <w:b/>
                <w:bCs w:val="0"/>
                <w:color w:val="auto"/>
                <w:szCs w:val="21"/>
                <w:highlight w:val="none"/>
                <w:lang w:eastAsia="zh-CN"/>
              </w:rPr>
            </w:pPr>
            <w:r>
              <w:rPr>
                <w:rFonts w:hint="eastAsia" w:ascii="宋体" w:hAnsi="宋体" w:cs="宋体"/>
                <w:b/>
                <w:bCs w:val="0"/>
                <w:color w:val="auto"/>
                <w:szCs w:val="21"/>
                <w:highlight w:val="none"/>
              </w:rPr>
              <w:t xml:space="preserve">家具尺寸及材质接缝</w:t>
            </w:r>
            <w:r>
              <w:rPr>
                <w:rFonts w:hint="eastAsia" w:ascii="宋体" w:hAnsi="宋体" w:cs="宋体"/>
                <w:b/>
                <w:bCs w:val="0"/>
                <w:color w:val="auto"/>
                <w:szCs w:val="21"/>
                <w:highlight w:val="none"/>
                <w:lang w:eastAsia="zh-CN"/>
              </w:rPr>
              <w:t xml:space="preserve">：</w:t>
            </w:r>
            <w:r/>
          </w:p>
          <w:p>
            <w:pPr>
              <w:numPr>
                <w:ilvl w:val="0"/>
                <w:numId w:val="0"/>
              </w:numPr>
              <w:jc w:val="lef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表现</w:t>
            </w:r>
            <w:r>
              <w:rPr>
                <w:rFonts w:hint="eastAsia" w:ascii="宋体" w:hAnsi="宋体" w:cs="宋体"/>
                <w:bCs/>
                <w:color w:val="auto"/>
                <w:szCs w:val="21"/>
                <w:highlight w:val="none"/>
                <w:lang w:eastAsia="zh-CN"/>
              </w:rPr>
              <w:t xml:space="preserve">家具外形尺寸、大体造型及主体大面材质，</w:t>
            </w:r>
            <w:r>
              <w:rPr>
                <w:rFonts w:hint="eastAsia" w:ascii="宋体" w:hAnsi="宋体" w:cs="宋体"/>
                <w:bCs/>
                <w:color w:val="auto"/>
                <w:szCs w:val="21"/>
                <w:highlight w:val="none"/>
                <w:lang w:val="en-US" w:eastAsia="zh-CN"/>
              </w:rPr>
              <w:t xml:space="preserve">用类似实体常规BIM类似家具族示意展示</w:t>
            </w:r>
            <w:r>
              <w:rPr>
                <w:rFonts w:hint="eastAsia" w:ascii="宋体" w:hAnsi="宋体" w:cs="宋体"/>
                <w:bCs/>
                <w:color w:val="auto"/>
                <w:szCs w:val="21"/>
                <w:highlight w:val="none"/>
                <w:lang w:eastAsia="zh-CN"/>
              </w:rPr>
              <w:t xml:space="preserve">；</w:t>
            </w:r>
            <w:r/>
          </w:p>
          <w:p>
            <w:pPr>
              <w:numPr>
                <w:ilvl w:val="0"/>
                <w:numId w:val="0"/>
              </w:numPr>
              <w:jc w:val="left"/>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4、2号展厅（运河上的舟楫）、3号展厅（因运而生——大运河街肆印象）、13号展厅（大明都水监之运河迷踪）内部存在复杂体量分隔，其中13号展厅展具装修等仅做体量占位示意；2号、3号展厅需进行内部船体，通道、仿古建筑等建模。（展厅情况参考官网介绍，https://www.grandcanalmuseum.cn/changshezhanlan.html</w:t>
            </w:r>
            <w:r/>
          </w:p>
          <w:p>
            <w:pPr>
              <w:numPr>
                <w:ilvl w:val="0"/>
                <w:numId w:val="0"/>
              </w:numPr>
              <w:jc w:val="left"/>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fldChar w:fldCharType="begin"/>
            </w:r>
            <w:r>
              <w:rPr>
                <w:rFonts w:hint="eastAsia" w:ascii="宋体" w:hAnsi="宋体" w:cs="宋体"/>
                <w:b/>
                <w:bCs w:val="0"/>
                <w:color w:val="auto"/>
                <w:szCs w:val="21"/>
                <w:highlight w:val="none"/>
                <w:lang w:val="en-US" w:eastAsia="zh-CN"/>
              </w:rPr>
              <w:instrText xml:space="preserve"> HYPERLINK "https://www.grandcanalmuseum.cn/zhuantizhanlan.html" </w:instrText>
            </w:r>
            <w:r>
              <w:rPr>
                <w:rFonts w:hint="eastAsia" w:ascii="宋体" w:hAnsi="宋体" w:cs="宋体"/>
                <w:b/>
                <w:bCs w:val="0"/>
                <w:color w:val="auto"/>
                <w:szCs w:val="21"/>
                <w:highlight w:val="none"/>
                <w:lang w:val="en-US" w:eastAsia="zh-CN"/>
              </w:rPr>
              <w:fldChar w:fldCharType="separate"/>
            </w:r>
            <w:r>
              <w:rPr>
                <w:rFonts w:hint="eastAsia" w:ascii="宋体" w:hAnsi="宋体" w:cs="宋体"/>
                <w:b/>
                <w:bCs w:val="0"/>
                <w:color w:val="auto"/>
                <w:szCs w:val="21"/>
                <w:highlight w:val="none"/>
                <w:lang w:val="en-US" w:eastAsia="zh-CN"/>
              </w:rPr>
              <w:t xml:space="preserve">https://www.grandcanalmuseum.cn/zhuantizhanlan.html</w:t>
            </w:r>
            <w:r>
              <w:rPr>
                <w:rFonts w:hint="eastAsia" w:ascii="宋体" w:hAnsi="宋体" w:cs="宋体"/>
                <w:b/>
                <w:bCs w:val="0"/>
                <w:color w:val="auto"/>
                <w:szCs w:val="21"/>
                <w:highlight w:val="none"/>
                <w:lang w:val="en-US" w:eastAsia="zh-CN"/>
              </w:rPr>
              <w:fldChar w:fldCharType="end"/>
            </w:r>
            <w:r/>
          </w:p>
          <w:p>
            <w:pPr>
              <w:numPr>
                <w:ilvl w:val="0"/>
                <w:numId w:val="0"/>
              </w:numPr>
              <w:jc w:val="left"/>
              <w:rPr>
                <w:rFonts w:hint="eastAsia" w:eastAsia="宋体"/>
                <w:highlight w:val="none"/>
                <w:lang w:val="en-US" w:eastAsia="zh-CN"/>
              </w:rPr>
            </w:pPr>
            <w:r>
              <w:rPr>
                <w:rFonts w:hint="eastAsia" w:ascii="宋体" w:hAnsi="宋体" w:cs="宋体"/>
                <w:b/>
                <w:bCs w:val="0"/>
                <w:color w:val="auto"/>
                <w:szCs w:val="21"/>
                <w:highlight w:val="none"/>
                <w:lang w:val="en-US" w:eastAsia="zh-CN"/>
              </w:rPr>
              <w:t xml:space="preserve">）</w:t>
            </w:r>
            <w:r/>
          </w:p>
        </w:tc>
      </w:tr>
      <w:tr>
        <w:trPr>
          <w:jc w:val="center"/>
          <w:trHeight w:val="1515"/>
          <w:tblHeader/>
        </w:trPr>
        <w:tc>
          <w:tcPr>
            <w:tcW w:w="305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普通功能区（走廊、办公区）</w:t>
            </w:r>
            <w:r/>
          </w:p>
        </w:tc>
        <w:tc>
          <w:tcPr>
            <w:tcW w:w="5719" w:type="dxa"/>
            <w:vAlign w:val="center"/>
            <w:textDirection w:val="lrTb"/>
            <w:noWrap w:val="false"/>
          </w:tcPr>
          <w:p>
            <w:pPr>
              <w:numPr>
                <w:ilvl w:val="0"/>
                <w:numId w:val="0"/>
              </w:numPr>
              <w:jc w:val="left"/>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准确表达构件几何尺寸与空间位置</w:t>
            </w:r>
            <w:r/>
          </w:p>
          <w:p>
            <w:pPr>
              <w:numPr>
                <w:ilvl w:val="0"/>
                <w:numId w:val="7"/>
              </w:numPr>
              <w:jc w:val="left"/>
              <w:rPr>
                <w:rFonts w:hint="default" w:eastAsiaTheme="majorEastAsia"/>
                <w:color w:val="auto"/>
                <w:highlight w:val="none"/>
                <w:lang w:val="en-US" w:eastAsia="zh-CN"/>
              </w:rPr>
            </w:pPr>
            <w:r>
              <w:rPr>
                <w:rFonts w:hint="eastAsia" w:ascii="宋体" w:hAnsi="宋体" w:cs="宋体"/>
                <w:bCs/>
                <w:color w:val="auto"/>
                <w:szCs w:val="21"/>
                <w:highlight w:val="none"/>
                <w:lang w:val="en-US" w:eastAsia="zh-CN"/>
              </w:rPr>
              <w:t xml:space="preserve">表现走廊和功能区隔墙空间分布，保证开间进深净高尺寸与现场相符；</w:t>
            </w:r>
            <w:r/>
          </w:p>
          <w:p>
            <w:pPr>
              <w:numPr>
                <w:ilvl w:val="0"/>
                <w:numId w:val="7"/>
              </w:numPr>
              <w:jc w:val="left"/>
              <w:rPr>
                <w:rFonts w:hint="default"/>
                <w:color w:val="auto"/>
                <w:highlight w:val="none"/>
                <w:lang w:val="en-US" w:eastAsia="zh-CN"/>
              </w:rPr>
            </w:pPr>
            <w:r>
              <w:rPr>
                <w:rFonts w:hint="eastAsia" w:ascii="宋体" w:hAnsi="宋体" w:cs="宋体"/>
                <w:bCs/>
                <w:color w:val="auto"/>
                <w:szCs w:val="21"/>
                <w:highlight w:val="none"/>
                <w:lang w:val="en-US" w:eastAsia="zh-CN"/>
              </w:rPr>
              <w:t xml:space="preserve">表现</w:t>
            </w:r>
            <w:r>
              <w:rPr>
                <w:rFonts w:hint="eastAsia"/>
                <w:color w:val="auto"/>
                <w:highlight w:val="none"/>
                <w:lang w:val="en-US" w:eastAsia="zh-CN"/>
              </w:rPr>
              <w:t xml:space="preserve">墙面、顶面、地面大面材质。</w:t>
            </w:r>
            <w:r/>
          </w:p>
          <w:p>
            <w:pPr>
              <w:numPr>
                <w:ilvl w:val="0"/>
                <w:numId w:val="7"/>
              </w:numPr>
              <w:jc w:val="left"/>
              <w:rPr>
                <w:rFonts w:hint="default"/>
                <w:color w:val="auto"/>
                <w:highlight w:val="none"/>
                <w:lang w:val="en-US" w:eastAsia="zh-CN"/>
              </w:rPr>
            </w:pPr>
            <w:r>
              <w:rPr>
                <w:rFonts w:hint="eastAsia"/>
                <w:color w:val="auto"/>
                <w:highlight w:val="none"/>
                <w:lang w:val="en-US" w:eastAsia="zh-CN"/>
              </w:rPr>
              <w:t xml:space="preserve">办公区家具</w:t>
            </w:r>
            <w:r>
              <w:rPr>
                <w:rFonts w:hint="eastAsia" w:ascii="宋体" w:hAnsi="宋体" w:cs="宋体"/>
                <w:bCs/>
                <w:color w:val="auto"/>
                <w:szCs w:val="21"/>
                <w:highlight w:val="none"/>
                <w:lang w:val="en-US" w:eastAsia="zh-CN"/>
              </w:rPr>
              <w:t xml:space="preserve">用类似实体常规BIM类似家具族示意，</w:t>
            </w:r>
            <w:r>
              <w:rPr>
                <w:rFonts w:hint="eastAsia"/>
                <w:color w:val="auto"/>
                <w:highlight w:val="none"/>
                <w:lang w:val="en-US" w:eastAsia="zh-CN"/>
              </w:rPr>
              <w:t xml:space="preserve">做占位表达。</w:t>
            </w:r>
            <w:r/>
          </w:p>
        </w:tc>
      </w:tr>
      <w:tr>
        <w:trPr>
          <w:jc w:val="center"/>
          <w:trHeight w:val="1911"/>
          <w:tblHeader/>
        </w:trPr>
        <w:tc>
          <w:tcPr>
            <w:tcW w:w="305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隐蔽工程（吊顶内管线、管井）</w:t>
            </w:r>
            <w:r/>
          </w:p>
        </w:tc>
        <w:tc>
          <w:tcPr>
            <w:tcW w:w="5719" w:type="dxa"/>
            <w:vAlign w:val="center"/>
            <w:textDirection w:val="lrTb"/>
            <w:noWrap w:val="false"/>
          </w:tcPr>
          <w:p>
            <w:pPr>
              <w:jc w:val="lef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保证系统连通性与路由走向准确</w:t>
            </w:r>
            <w:r/>
          </w:p>
          <w:p>
            <w:pPr>
              <w:numPr>
                <w:ilvl w:val="0"/>
                <w:numId w:val="8"/>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表现图纸内水暖电50mm以上的主管线建模，包含材质、路由、主要阀门附件体现；</w:t>
            </w:r>
            <w:r/>
          </w:p>
          <w:p>
            <w:pPr>
              <w:numPr>
                <w:ilvl w:val="0"/>
                <w:numId w:val="8"/>
              </w:numPr>
              <w:jc w:val="lef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表现吊顶内管线和管井与建筑结构空间分布，保证管线管井位置布局与现场相符，保证系统连通性和走向与现场一致；</w:t>
            </w:r>
            <w:r/>
          </w:p>
          <w:p>
            <w:pPr>
              <w:numPr>
                <w:ilvl w:val="0"/>
                <w:numId w:val="8"/>
              </w:numPr>
              <w:jc w:val="left"/>
              <w:rPr>
                <w:rFonts w:hint="default"/>
                <w:highlight w:val="none"/>
                <w:lang w:val="en-US"/>
              </w:rPr>
            </w:pPr>
            <w:r>
              <w:rPr>
                <w:rFonts w:hint="eastAsia" w:ascii="宋体" w:hAnsi="宋体" w:cs="宋体"/>
                <w:bCs/>
                <w:color w:val="auto"/>
                <w:szCs w:val="21"/>
                <w:highlight w:val="none"/>
                <w:lang w:val="en-US" w:eastAsia="zh-CN"/>
              </w:rPr>
              <w:t xml:space="preserve">表现阀门、弯头等机电附件用图纸表达类似BIM族示意，做占位表达。</w:t>
            </w:r>
            <w:r/>
          </w:p>
        </w:tc>
      </w:tr>
      <w:tr>
        <w:trPr>
          <w:jc w:val="center"/>
          <w:trHeight w:val="1622"/>
          <w:tblHeader/>
        </w:trPr>
        <w:tc>
          <w:tcPr>
            <w:tcW w:w="305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配景与软装（活动家具、绿植等）（包含展柜，展板等展陈部分）</w:t>
            </w:r>
            <w:r/>
          </w:p>
        </w:tc>
        <w:tc>
          <w:tcPr>
            <w:tcW w:w="5719" w:type="dxa"/>
            <w:vAlign w:val="top"/>
            <w:textDirection w:val="lrTb"/>
            <w:noWrap w:val="false"/>
          </w:tcPr>
          <w:p>
            <w:pPr>
              <w:jc w:val="left"/>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提供准确尺寸的占位体块，以项目完成时状态为准。</w:t>
            </w:r>
            <w:r/>
          </w:p>
          <w:p>
            <w:pPr>
              <w:numPr>
                <w:ilvl w:val="0"/>
                <w:numId w:val="9"/>
              </w:numPr>
              <w:jc w:val="lef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表现配景和软装空间分布，保证构件物体位置布局与现场相符；</w:t>
            </w:r>
            <w:r/>
          </w:p>
          <w:p>
            <w:pPr>
              <w:numPr>
                <w:ilvl w:val="0"/>
                <w:numId w:val="9"/>
              </w:numPr>
              <w:jc w:val="left"/>
              <w:rPr>
                <w:color w:val="auto"/>
                <w:highlight w:val="none"/>
              </w:rPr>
            </w:pPr>
            <w:r>
              <w:rPr>
                <w:rFonts w:hint="eastAsia" w:ascii="宋体" w:hAnsi="宋体" w:cs="宋体"/>
                <w:bCs/>
                <w:color w:val="auto"/>
                <w:szCs w:val="21"/>
                <w:highlight w:val="none"/>
                <w:lang w:val="en-US" w:eastAsia="zh-CN"/>
              </w:rPr>
              <w:t xml:space="preserve">表现配景和软装用类似实体常规BIM类似家族示意，尺寸大小以项目完成时点云扫描尺寸或者CAD深化图尺寸为准，做占位表达。</w:t>
            </w:r>
            <w:r/>
          </w:p>
        </w:tc>
      </w:tr>
    </w:tbl>
    <w:p>
      <w:pPr>
        <w:numPr>
          <w:ilvl w:val="0"/>
          <w:numId w:val="0"/>
        </w:numPr>
        <w:ind w:firstLine="420"/>
        <w:spacing w:line="360" w:lineRule="auto"/>
        <w:rPr>
          <w:rFonts w:hint="eastAsia" w:ascii="宋体" w:hAnsi="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3、第三阶段：</w:t>
      </w:r>
      <w:r>
        <w:rPr>
          <w:rFonts w:hint="eastAsia" w:ascii="宋体" w:hAnsi="宋体" w:eastAsia="宋体" w:cs="宋体"/>
          <w:color w:val="000000"/>
          <w:sz w:val="21"/>
          <w:szCs w:val="21"/>
          <w:highlight w:val="none"/>
          <w:lang w:val="en-US"/>
        </w:rPr>
        <w:t xml:space="preserve">建成数字孪生</w:t>
      </w:r>
      <w:r>
        <w:rPr>
          <w:rFonts w:hint="eastAsia" w:ascii="宋体" w:hAnsi="宋体" w:cs="宋体"/>
          <w:color w:val="000000"/>
          <w:sz w:val="21"/>
          <w:szCs w:val="21"/>
          <w:highlight w:val="none"/>
          <w:lang w:val="en-US" w:eastAsia="zh-CN"/>
        </w:rPr>
        <w:t xml:space="preserve">数据模型</w:t>
      </w:r>
      <w:r/>
    </w:p>
    <w:p>
      <w:pPr>
        <w:numPr>
          <w:ilvl w:val="0"/>
          <w:numId w:val="0"/>
        </w:numPr>
        <w:ind w:firstLine="420"/>
        <w:spacing w:line="360" w:lineRule="auto"/>
        <w:rPr>
          <w:rFonts w:hint="eastAsia" w:ascii="宋体" w:hAnsi="宋体" w:eastAsia="宋体" w:cs="宋体"/>
          <w:color w:val="000000"/>
          <w:sz w:val="21"/>
          <w:szCs w:val="21"/>
          <w:highlight w:val="none"/>
          <w:lang w:val="en-US"/>
        </w:rPr>
        <w:outlineLvl w:val="2"/>
      </w:pPr>
      <w:r>
        <w:rPr>
          <w:rFonts w:hint="default" w:ascii="宋体" w:hAnsi="宋体" w:cs="宋体"/>
          <w:color w:val="000000"/>
          <w:sz w:val="21"/>
          <w:szCs w:val="21"/>
          <w:highlight w:val="none"/>
          <w:lang w:val="en-US" w:eastAsia="zh-CN"/>
        </w:rPr>
        <w:t xml:space="preserve">将博物馆现有暖通、配电、照明、电梯、给</w:t>
      </w:r>
      <w:r>
        <w:rPr>
          <w:rFonts w:hint="default" w:ascii="宋体" w:hAnsi="宋体" w:cs="宋体"/>
          <w:color w:val="000000"/>
          <w:sz w:val="21"/>
          <w:szCs w:val="21"/>
          <w:highlight w:val="none"/>
          <w:lang w:val="en-US" w:eastAsia="zh-CN"/>
        </w:rPr>
        <w:t xml:space="preserve">排水、消防、安防、楼宇自控等机电设备及管线、装修设施的台账数据（名称、型号、参数、生产厂家、安装日期、维护记录等）进行标准化整理，并与BIM模型构件逐一关联，构建“一物一码一档”的构件级信息库，实现设备信息在三维场景中的快速定位与综合查询。未来系统搭建时可在此基础上建立统一的空间编码、设备编码与资产分类体系，融合竣工静态数据与运维动态数据（预留物联网与BA系统集成接口）。形成“空间—设备—系统—文档—实时数据”多维关联的数字孪生数据库，支撑跨系统的数据融合、空间分析及可视化决策，为后续智慧化应用奠定坚实基础</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构建一套高精度、数据化、语义化的BIM数字资产，支持消防报警定位、设备管理、应急指挥等业务场景。 </w:t>
      </w:r>
      <w:r/>
    </w:p>
    <w:p>
      <w:pPr>
        <w:numPr>
          <w:ilvl w:val="0"/>
          <w:numId w:val="0"/>
        </w:numPr>
        <w:ind w:firstLine="420"/>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4、第四阶段：</w:t>
      </w:r>
      <w:r>
        <w:rPr>
          <w:rFonts w:hint="eastAsia" w:ascii="宋体" w:hAnsi="宋体" w:eastAsia="宋体" w:cs="宋体"/>
          <w:color w:val="000000"/>
          <w:sz w:val="21"/>
          <w:szCs w:val="21"/>
          <w:highlight w:val="none"/>
          <w:lang w:val="en-US"/>
        </w:rPr>
        <w:t xml:space="preserve">搭建博物馆数字化智能运维模型的物理数据基础</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形成既有建筑运维BIM标准规范的示范项目</w:t>
      </w:r>
      <w:r/>
    </w:p>
    <w:p>
      <w:pPr>
        <w:numPr>
          <w:ilvl w:val="0"/>
          <w:numId w:val="0"/>
        </w:numPr>
        <w:ind w:firstLine="420"/>
        <w:spacing w:line="360" w:lineRule="auto"/>
        <w:rPr>
          <w:rFonts w:hint="eastAsia" w:ascii="宋体" w:hAnsi="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4.1利用交付模型进行轻量化，支持网页端预览，并开通相关账号会员（会员期不少于一年）。</w:t>
      </w:r>
      <w:r/>
    </w:p>
    <w:p>
      <w:pPr>
        <w:numPr>
          <w:ilvl w:val="0"/>
          <w:numId w:val="0"/>
        </w:numPr>
        <w:ind w:firstLine="420"/>
        <w:spacing w:line="360" w:lineRule="auto"/>
        <w:rPr>
          <w:rFonts w:hint="eastAsia" w:ascii="宋体" w:hAnsi="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4.2生成设备属性数据库、点云数据及全景影像（现场扫描，并融入模型使用）、重点空间效果图及漫游动画并与实景进行对照展示。提供操作手册及数据接口说明，并提供为期一年的模型维护升级服务，在未来一年内配合智慧消防平台的模型导入、对接、修改工作。</w:t>
      </w:r>
      <w:r/>
    </w:p>
    <w:p>
      <w:pPr>
        <w:numPr>
          <w:ilvl w:val="0"/>
          <w:numId w:val="0"/>
        </w:numPr>
        <w:ind w:firstLine="420"/>
        <w:spacing w:line="360" w:lineRule="auto"/>
        <w:rPr>
          <w:rFonts w:hint="default" w:ascii="宋体" w:hAnsi="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4.3导入轻量化全景漫游平台，实现智慧导览功能。完成导览地图建设和相关使用功能，开通相关会员（会员期不少于一年）</w:t>
      </w:r>
      <w:r/>
    </w:p>
    <w:p>
      <w:pPr>
        <w:numPr>
          <w:ilvl w:val="0"/>
          <w:numId w:val="0"/>
        </w:numPr>
        <w:ind w:firstLine="420"/>
        <w:spacing w:line="360" w:lineRule="auto"/>
        <w:rPr>
          <w:rFonts w:hint="eastAsia" w:ascii="宋体" w:hAnsi="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lang w:val="en-US" w:eastAsia="zh-CN"/>
        </w:rPr>
        <w:t xml:space="preserve">未来可依托智慧孪生模型，开发部署数字化智能运维模型，涵盖以下核心功能模块：设备全生命周期管理、故障报警与空间定位、维修工单流程联动、管线三维透明透视、应急疏散与预案模拟、能耗分项计量与分析、展厅环境监测可视化等。模型建成后，力争实现设施故障响应时间显著缩短，运维人力成本与能耗水平得到有效控制，文物保存环境保障率进一步提高</w:t>
      </w:r>
      <w:r>
        <w:rPr>
          <w:rFonts w:hint="eastAsia" w:ascii="宋体" w:hAnsi="宋体" w:cs="宋体"/>
          <w:color w:val="000000"/>
          <w:sz w:val="21"/>
          <w:szCs w:val="21"/>
          <w:highlight w:val="none"/>
          <w:lang w:val="en-US" w:eastAsia="zh-CN"/>
        </w:rPr>
        <w:t xml:space="preserve">。项目完成后总结项目实施经验，作为编制适用于既有博物馆逆向建模、信息集成与运维交付的企业技术标准或导则的示范项目，明确模型拆分规则、建模深度、信息分类编码、数据交换格式、成果验收流程等要求，为后续场馆局部改造、系统扩展提供规范的数字化底板，也为同类工程提供可复制、可推广的示范。</w:t>
      </w:r>
      <w:r/>
    </w:p>
    <w:p>
      <w:pPr>
        <w:ind w:firstLine="420"/>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4.5模型必须满足未来智慧消防系统对接需求，参照</w:t>
      </w:r>
      <w:r>
        <w:rPr>
          <w:rFonts w:hint="eastAsia" w:ascii="宋体" w:hAnsi="宋体" w:eastAsia="宋体" w:cs="宋体"/>
          <w:color w:val="000000"/>
          <w:sz w:val="21"/>
          <w:szCs w:val="21"/>
          <w:highlight w:val="none"/>
          <w:lang w:val="en-US"/>
        </w:rPr>
        <w:t xml:space="preserve">IoT设备建模与标注标准</w:t>
      </w:r>
      <w:r>
        <w:rPr>
          <w:rFonts w:hint="eastAsia" w:ascii="宋体" w:hAnsi="宋体" w:eastAsia="宋体" w:cs="宋体"/>
          <w:color w:val="000000"/>
          <w:sz w:val="21"/>
          <w:szCs w:val="21"/>
          <w:highlight w:val="none"/>
          <w:lang w:val="en-US" w:eastAsia="zh-CN"/>
        </w:rPr>
        <w:t xml:space="preserve">：</w:t>
      </w:r>
      <w:r/>
    </w:p>
    <w:p>
      <w:pPr>
        <w:ind w:firstLine="420"/>
        <w:rPr>
          <w:color w:val="000000"/>
          <w:highlight w:val="none"/>
          <w:lang w:val="en-US"/>
        </w:rPr>
      </w:pPr>
      <w:r>
        <w:rPr>
          <w:color w:val="000000"/>
          <w:highlight w:val="none"/>
          <w:lang w:val="en-US"/>
        </w:rPr>
        <w:t xml:space="preserve">设备定位：所有消防设备（灭火器、消火栓、烟感探头等）及关键开关面板，须按真实物理位置建模，标注安装高度、防火分区、空间位置，确保与现场物理位置实现1:1精确映射。</w:t>
      </w:r>
      <w:r/>
    </w:p>
    <w:p>
      <w:pPr>
        <w:ind w:left="420" w:firstLine="420"/>
        <w:rPr>
          <w:color w:val="000000"/>
          <w:highlight w:val="none"/>
          <w:lang w:val="en-US"/>
        </w:rPr>
      </w:pPr>
      <w:r>
        <w:rPr>
          <w:color w:val="000000"/>
          <w:highlight w:val="none"/>
          <w:lang w:val="en-US"/>
        </w:rPr>
        <w:t xml:space="preserve">IoT设备LOD要求：</w:t>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3"/>
        <w:gridCol w:w="2743"/>
        <w:gridCol w:w="1446"/>
        <w:gridCol w:w="2397"/>
      </w:tblGrid>
      <w:tr>
        <w:trPr>
          <w:jc w:val="center"/>
        </w:trPr>
        <w:tc>
          <w:tcPr>
            <w:tcW w:w="2183" w:type="dxa"/>
            <w:vAlign w:val="center"/>
            <w:textDirection w:val="lrTb"/>
            <w:noWrap w:val="false"/>
          </w:tcPr>
          <w:p>
            <w:pPr>
              <w:ind w:firstLine="0"/>
              <w:jc w:val="center"/>
              <w:rPr>
                <w:color w:val="000000"/>
                <w:highlight w:val="none"/>
                <w:lang w:val="en-US"/>
              </w:rPr>
            </w:pPr>
            <w:r>
              <w:rPr>
                <w:color w:val="000000"/>
                <w:highlight w:val="none"/>
                <w:lang w:val="en-US"/>
              </w:rPr>
              <w:t xml:space="preserve">功能区块</w:t>
            </w:r>
            <w:r/>
          </w:p>
        </w:tc>
        <w:tc>
          <w:tcPr>
            <w:tcW w:w="2743" w:type="dxa"/>
            <w:vAlign w:val="center"/>
            <w:textDirection w:val="lrTb"/>
            <w:noWrap w:val="false"/>
          </w:tcPr>
          <w:p>
            <w:pPr>
              <w:ind w:firstLine="0"/>
              <w:jc w:val="center"/>
              <w:rPr>
                <w:color w:val="000000"/>
                <w:highlight w:val="none"/>
                <w:lang w:val="en-US"/>
              </w:rPr>
            </w:pPr>
            <w:r>
              <w:rPr>
                <w:color w:val="000000"/>
                <w:highlight w:val="none"/>
                <w:lang w:val="en-US"/>
              </w:rPr>
              <w:t xml:space="preserve">设备类型</w:t>
            </w:r>
            <w:r/>
          </w:p>
        </w:tc>
        <w:tc>
          <w:tcPr>
            <w:tcW w:w="1446" w:type="dxa"/>
            <w:vAlign w:val="center"/>
            <w:textDirection w:val="lrTb"/>
            <w:noWrap w:val="false"/>
          </w:tcPr>
          <w:p>
            <w:pPr>
              <w:ind w:firstLine="0"/>
              <w:jc w:val="center"/>
              <w:rPr>
                <w:color w:val="000000"/>
                <w:highlight w:val="none"/>
                <w:lang w:val="en-US"/>
              </w:rPr>
            </w:pPr>
            <w:r>
              <w:rPr>
                <w:color w:val="000000"/>
                <w:highlight w:val="none"/>
                <w:lang w:val="en-US"/>
              </w:rPr>
              <w:t xml:space="preserve">LOD要求</w:t>
            </w:r>
            <w:r/>
          </w:p>
        </w:tc>
        <w:tc>
          <w:tcPr>
            <w:tcW w:w="2397" w:type="dxa"/>
            <w:vAlign w:val="center"/>
            <w:textDirection w:val="lrTb"/>
            <w:noWrap w:val="false"/>
          </w:tcPr>
          <w:p>
            <w:pPr>
              <w:ind w:firstLine="0"/>
              <w:jc w:val="center"/>
              <w:rPr>
                <w:color w:val="000000"/>
                <w:highlight w:val="none"/>
                <w:lang w:val="en-US"/>
              </w:rPr>
            </w:pPr>
            <w:r>
              <w:rPr>
                <w:color w:val="000000"/>
                <w:highlight w:val="none"/>
                <w:lang w:val="en-US"/>
              </w:rPr>
              <w:t xml:space="preserve">建模说明</w:t>
            </w:r>
            <w:r/>
          </w:p>
        </w:tc>
      </w:tr>
      <w:tr>
        <w:trPr>
          <w:jc w:val="center"/>
        </w:trPr>
        <w:tc>
          <w:tcPr>
            <w:tcW w:w="2183" w:type="dxa"/>
            <w:vAlign w:val="center"/>
            <w:textDirection w:val="lrTb"/>
            <w:noWrap w:val="false"/>
          </w:tcPr>
          <w:p>
            <w:pPr>
              <w:ind w:firstLine="0"/>
              <w:jc w:val="center"/>
              <w:rPr>
                <w:color w:val="000000"/>
                <w:highlight w:val="none"/>
                <w:lang w:val="en-US"/>
              </w:rPr>
            </w:pPr>
            <w:r>
              <w:rPr>
                <w:color w:val="000000"/>
                <w:highlight w:val="none"/>
                <w:lang w:val="en-US"/>
              </w:rPr>
              <w:t xml:space="preserve">核心展示区</w:t>
            </w:r>
            <w:r/>
          </w:p>
        </w:tc>
        <w:tc>
          <w:tcPr>
            <w:tcW w:w="2743" w:type="dxa"/>
            <w:vAlign w:val="center"/>
            <w:textDirection w:val="lrTb"/>
            <w:noWrap w:val="false"/>
          </w:tcPr>
          <w:p>
            <w:pPr>
              <w:ind w:firstLine="0"/>
              <w:jc w:val="center"/>
              <w:rPr>
                <w:color w:val="000000"/>
                <w:highlight w:val="none"/>
                <w:lang w:val="en-US"/>
              </w:rPr>
            </w:pPr>
            <w:r>
              <w:rPr>
                <w:color w:val="000000"/>
                <w:highlight w:val="none"/>
                <w:lang w:val="en-US"/>
              </w:rPr>
              <w:t xml:space="preserve">环境传感器、安防设备</w:t>
            </w:r>
            <w:r/>
          </w:p>
        </w:tc>
        <w:tc>
          <w:tcPr>
            <w:tcW w:w="1446" w:type="dxa"/>
            <w:vAlign w:val="center"/>
            <w:textDirection w:val="lrTb"/>
            <w:noWrap w:val="false"/>
          </w:tcPr>
          <w:p>
            <w:pPr>
              <w:ind w:firstLine="0"/>
              <w:jc w:val="center"/>
              <w:rPr>
                <w:color w:val="000000"/>
                <w:highlight w:val="none"/>
                <w:lang w:val="en-US"/>
              </w:rPr>
            </w:pPr>
            <w:r>
              <w:rPr>
                <w:color w:val="000000"/>
                <w:highlight w:val="none"/>
                <w:lang w:val="en-US"/>
              </w:rPr>
              <w:t xml:space="preserve">LOD 300</w:t>
            </w:r>
            <w:r/>
          </w:p>
        </w:tc>
        <w:tc>
          <w:tcPr>
            <w:tcW w:w="2397" w:type="dxa"/>
            <w:vAlign w:val="center"/>
            <w:textDirection w:val="lrTb"/>
            <w:noWrap w:val="false"/>
          </w:tcPr>
          <w:p>
            <w:pPr>
              <w:ind w:firstLine="0"/>
              <w:jc w:val="center"/>
              <w:rPr>
                <w:color w:val="000000"/>
                <w:highlight w:val="none"/>
                <w:lang w:val="en-US"/>
              </w:rPr>
            </w:pPr>
            <w:r>
              <w:rPr>
                <w:color w:val="000000"/>
                <w:highlight w:val="none"/>
                <w:lang w:val="en-US"/>
              </w:rPr>
              <w:t xml:space="preserve">位置精准，外形简化</w:t>
            </w:r>
            <w:r/>
          </w:p>
        </w:tc>
      </w:tr>
      <w:tr>
        <w:trPr>
          <w:jc w:val="center"/>
        </w:trPr>
        <w:tc>
          <w:tcPr>
            <w:tcW w:w="2183" w:type="dxa"/>
            <w:vAlign w:val="center"/>
            <w:textDirection w:val="lrTb"/>
            <w:noWrap w:val="false"/>
          </w:tcPr>
          <w:p>
            <w:pPr>
              <w:ind w:firstLine="0"/>
              <w:jc w:val="center"/>
              <w:rPr>
                <w:color w:val="000000"/>
                <w:highlight w:val="none"/>
                <w:lang w:val="en-US"/>
              </w:rPr>
            </w:pPr>
            <w:r>
              <w:rPr>
                <w:color w:val="000000"/>
                <w:highlight w:val="none"/>
                <w:lang w:val="en-US"/>
              </w:rPr>
              <w:t xml:space="preserve">普通功能区</w:t>
            </w:r>
            <w:r/>
          </w:p>
        </w:tc>
        <w:tc>
          <w:tcPr>
            <w:tcW w:w="2743" w:type="dxa"/>
            <w:vAlign w:val="center"/>
            <w:textDirection w:val="lrTb"/>
            <w:noWrap w:val="false"/>
          </w:tcPr>
          <w:p>
            <w:pPr>
              <w:ind w:firstLine="0"/>
              <w:jc w:val="center"/>
              <w:rPr>
                <w:color w:val="000000"/>
                <w:highlight w:val="none"/>
                <w:lang w:val="en-US"/>
              </w:rPr>
            </w:pPr>
            <w:r>
              <w:rPr>
                <w:color w:val="000000"/>
                <w:highlight w:val="none"/>
                <w:lang w:val="en-US"/>
              </w:rPr>
              <w:t xml:space="preserve">照明控制、温控设备</w:t>
            </w:r>
            <w:r/>
          </w:p>
        </w:tc>
        <w:tc>
          <w:tcPr>
            <w:tcW w:w="1446" w:type="dxa"/>
            <w:vAlign w:val="center"/>
            <w:textDirection w:val="lrTb"/>
            <w:noWrap w:val="false"/>
          </w:tcPr>
          <w:p>
            <w:pPr>
              <w:ind w:firstLine="0"/>
              <w:jc w:val="center"/>
              <w:rPr>
                <w:color w:val="000000"/>
                <w:highlight w:val="none"/>
                <w:lang w:val="en-US"/>
              </w:rPr>
            </w:pPr>
            <w:r>
              <w:rPr>
                <w:color w:val="000000"/>
                <w:highlight w:val="none"/>
                <w:lang w:val="en-US"/>
              </w:rPr>
              <w:t xml:space="preserve">LOD 300</w:t>
            </w:r>
            <w:r/>
          </w:p>
        </w:tc>
        <w:tc>
          <w:tcPr>
            <w:tcW w:w="2397" w:type="dxa"/>
            <w:vAlign w:val="center"/>
            <w:textDirection w:val="lrTb"/>
            <w:noWrap w:val="false"/>
          </w:tcPr>
          <w:p>
            <w:pPr>
              <w:ind w:firstLine="0"/>
              <w:jc w:val="center"/>
              <w:rPr>
                <w:color w:val="000000"/>
                <w:highlight w:val="none"/>
                <w:lang w:val="en-US"/>
              </w:rPr>
            </w:pPr>
            <w:r>
              <w:rPr>
                <w:color w:val="000000"/>
                <w:highlight w:val="none"/>
                <w:lang w:val="en-US"/>
              </w:rPr>
              <w:t xml:space="preserve">位置精准，占位准确</w:t>
            </w:r>
            <w:r/>
          </w:p>
        </w:tc>
      </w:tr>
      <w:tr>
        <w:trPr>
          <w:jc w:val="center"/>
        </w:trPr>
        <w:tc>
          <w:tcPr>
            <w:tcW w:w="2183" w:type="dxa"/>
            <w:vAlign w:val="center"/>
            <w:textDirection w:val="lrTb"/>
            <w:noWrap w:val="false"/>
          </w:tcPr>
          <w:p>
            <w:pPr>
              <w:ind w:firstLine="0"/>
              <w:jc w:val="center"/>
              <w:rPr>
                <w:color w:val="000000"/>
                <w:highlight w:val="none"/>
                <w:lang w:val="en-US"/>
              </w:rPr>
            </w:pPr>
            <w:r>
              <w:rPr>
                <w:color w:val="000000"/>
                <w:highlight w:val="none"/>
                <w:lang w:val="en-US"/>
              </w:rPr>
              <w:t xml:space="preserve">机电设备间</w:t>
            </w:r>
            <w:r/>
          </w:p>
        </w:tc>
        <w:tc>
          <w:tcPr>
            <w:tcW w:w="2743" w:type="dxa"/>
            <w:vAlign w:val="center"/>
            <w:textDirection w:val="lrTb"/>
            <w:noWrap w:val="false"/>
          </w:tcPr>
          <w:p>
            <w:pPr>
              <w:ind w:firstLine="0"/>
              <w:jc w:val="center"/>
              <w:rPr>
                <w:color w:val="000000"/>
                <w:highlight w:val="none"/>
                <w:lang w:val="en-US"/>
              </w:rPr>
            </w:pPr>
            <w:r>
              <w:rPr>
                <w:color w:val="000000"/>
                <w:highlight w:val="none"/>
                <w:lang w:val="en-US"/>
              </w:rPr>
              <w:t xml:space="preserve">仪表、阀门、传感器</w:t>
            </w:r>
            <w:r/>
          </w:p>
        </w:tc>
        <w:tc>
          <w:tcPr>
            <w:tcW w:w="1446" w:type="dxa"/>
            <w:vAlign w:val="center"/>
            <w:textDirection w:val="lrTb"/>
            <w:noWrap w:val="false"/>
          </w:tcPr>
          <w:p>
            <w:pPr>
              <w:ind w:firstLine="0"/>
              <w:jc w:val="center"/>
              <w:rPr>
                <w:color w:val="000000"/>
                <w:highlight w:val="none"/>
                <w:lang w:val="en-US"/>
              </w:rPr>
            </w:pPr>
            <w:r>
              <w:rPr>
                <w:color w:val="000000"/>
                <w:highlight w:val="none"/>
                <w:lang w:val="en-US"/>
              </w:rPr>
              <w:t xml:space="preserve">LOD 300</w:t>
            </w:r>
            <w:r/>
          </w:p>
        </w:tc>
        <w:tc>
          <w:tcPr>
            <w:tcW w:w="2397" w:type="dxa"/>
            <w:vAlign w:val="center"/>
            <w:textDirection w:val="lrTb"/>
            <w:noWrap w:val="false"/>
          </w:tcPr>
          <w:p>
            <w:pPr>
              <w:ind w:firstLine="0"/>
              <w:jc w:val="center"/>
              <w:rPr>
                <w:color w:val="000000"/>
                <w:highlight w:val="none"/>
                <w:lang w:val="en-US"/>
              </w:rPr>
            </w:pPr>
            <w:r>
              <w:rPr>
                <w:color w:val="000000"/>
                <w:highlight w:val="none"/>
                <w:lang w:val="en-US"/>
              </w:rPr>
              <w:t xml:space="preserve">系统连通性准确</w:t>
            </w:r>
            <w:r/>
          </w:p>
        </w:tc>
      </w:tr>
      <w:tr>
        <w:trPr>
          <w:jc w:val="center"/>
        </w:trPr>
        <w:tc>
          <w:tcPr>
            <w:tcW w:w="2183" w:type="dxa"/>
            <w:vAlign w:val="center"/>
            <w:textDirection w:val="lrTb"/>
            <w:noWrap w:val="false"/>
          </w:tcPr>
          <w:p>
            <w:pPr>
              <w:ind w:firstLine="0"/>
              <w:jc w:val="center"/>
              <w:rPr>
                <w:color w:val="000000"/>
                <w:highlight w:val="none"/>
                <w:lang w:val="en-US"/>
              </w:rPr>
            </w:pPr>
            <w:r>
              <w:rPr>
                <w:color w:val="000000"/>
                <w:highlight w:val="none"/>
                <w:lang w:val="en-US"/>
              </w:rPr>
              <w:t xml:space="preserve">公共区域</w:t>
            </w:r>
            <w:r/>
          </w:p>
        </w:tc>
        <w:tc>
          <w:tcPr>
            <w:tcW w:w="2743" w:type="dxa"/>
            <w:vAlign w:val="center"/>
            <w:textDirection w:val="lrTb"/>
            <w:noWrap w:val="false"/>
          </w:tcPr>
          <w:p>
            <w:pPr>
              <w:ind w:firstLine="0"/>
              <w:jc w:val="center"/>
              <w:rPr>
                <w:color w:val="000000"/>
                <w:highlight w:val="none"/>
                <w:lang w:val="en-US"/>
              </w:rPr>
            </w:pPr>
            <w:r>
              <w:rPr>
                <w:color w:val="000000"/>
                <w:highlight w:val="none"/>
                <w:lang w:val="en-US"/>
              </w:rPr>
              <w:t xml:space="preserve">消防设备、应急设备</w:t>
            </w:r>
            <w:r/>
          </w:p>
        </w:tc>
        <w:tc>
          <w:tcPr>
            <w:tcW w:w="1446" w:type="dxa"/>
            <w:vAlign w:val="center"/>
            <w:textDirection w:val="lrTb"/>
            <w:noWrap w:val="false"/>
          </w:tcPr>
          <w:p>
            <w:pPr>
              <w:ind w:firstLine="0"/>
              <w:jc w:val="center"/>
              <w:rPr>
                <w:color w:val="000000"/>
                <w:highlight w:val="none"/>
                <w:lang w:val="en-US"/>
              </w:rPr>
            </w:pPr>
            <w:r>
              <w:rPr>
                <w:color w:val="000000"/>
                <w:highlight w:val="none"/>
                <w:lang w:val="en-US"/>
              </w:rPr>
              <w:t xml:space="preserve">LOD 300</w:t>
            </w:r>
            <w:r/>
          </w:p>
        </w:tc>
        <w:tc>
          <w:tcPr>
            <w:tcW w:w="2397" w:type="dxa"/>
            <w:vAlign w:val="center"/>
            <w:textDirection w:val="lrTb"/>
            <w:noWrap w:val="false"/>
          </w:tcPr>
          <w:p>
            <w:pPr>
              <w:ind w:firstLine="0"/>
              <w:jc w:val="center"/>
              <w:rPr>
                <w:color w:val="000000"/>
                <w:highlight w:val="none"/>
                <w:lang w:val="en-US"/>
              </w:rPr>
            </w:pPr>
            <w:r>
              <w:rPr>
                <w:color w:val="000000"/>
                <w:highlight w:val="none"/>
                <w:lang w:val="en-US"/>
              </w:rPr>
              <w:t xml:space="preserve">安装位置绝对精确</w:t>
            </w:r>
            <w:r/>
          </w:p>
        </w:tc>
      </w:tr>
    </w:tbl>
    <w:p>
      <w:pPr>
        <w:rPr>
          <w:color w:val="000000"/>
          <w:highlight w:val="none"/>
          <w:lang w:val="en-US"/>
        </w:rPr>
      </w:pPr>
      <w:r>
        <w:rPr>
          <w:color w:val="000000"/>
          <w:highlight w:val="none"/>
          <w:lang w:val="en-US"/>
        </w:rPr>
      </w:r>
      <w:r/>
    </w:p>
    <w:p>
      <w:pPr>
        <w:ind w:firstLine="420"/>
        <w:rPr>
          <w:color w:val="000000"/>
          <w:highlight w:val="none"/>
          <w:lang w:val="en-US"/>
        </w:rPr>
      </w:pPr>
      <w:r>
        <w:rPr>
          <w:rFonts w:hint="eastAsia"/>
          <w:color w:val="000000"/>
          <w:highlight w:val="none"/>
          <w:lang w:val="en-US"/>
        </w:rPr>
        <w:t xml:space="preserve">以上</w:t>
      </w:r>
      <w:r>
        <w:rPr>
          <w:color w:val="000000"/>
          <w:highlight w:val="none"/>
          <w:lang w:val="en-US"/>
        </w:rPr>
        <w:t xml:space="preserve">IoT设备统一执行LOD 300标准，需保证安装位置、朝向及空间占位准确，几何外观可适当简化为形状相同的基本体块。</w:t>
      </w:r>
      <w:r/>
    </w:p>
    <w:p>
      <w:pPr>
        <w:ind w:firstLine="420"/>
        <w:rPr>
          <w:color w:val="000000"/>
          <w:highlight w:val="none"/>
          <w:lang w:val="en-US"/>
        </w:rPr>
      </w:pPr>
      <w:r>
        <w:rPr>
          <w:color w:val="000000"/>
          <w:highlight w:val="none"/>
          <w:lang w:val="en-US"/>
        </w:rPr>
        <w:t xml:space="preserve">唯一身份标识（ID）：所有需接入IoT的设备，须在BIM属性中填写全局唯一设备编码（GUID</w:t>
      </w:r>
      <w:r>
        <w:rPr>
          <w:rFonts w:hint="eastAsia"/>
          <w:color w:val="000000"/>
          <w:highlight w:val="none"/>
          <w:lang w:val="en-US"/>
        </w:rPr>
        <w:t xml:space="preserve">或KKS编码</w:t>
      </w:r>
      <w:r>
        <w:rPr>
          <w:color w:val="000000"/>
          <w:highlight w:val="none"/>
          <w:lang w:val="en-US"/>
        </w:rPr>
        <w:t xml:space="preserve">），该ID必须保证全场馆、全生命周期内绝对唯一，严禁出现重码或同物异码现象。</w:t>
      </w:r>
      <w:r/>
    </w:p>
    <w:p>
      <w:pPr>
        <w:numPr>
          <w:ilvl w:val="0"/>
          <w:numId w:val="0"/>
        </w:numPr>
        <w:ind w:firstLine="420"/>
        <w:spacing w:line="360" w:lineRule="auto"/>
        <w:rPr>
          <w:rFonts w:hint="eastAsia" w:ascii="宋体" w:hAnsi="宋体" w:eastAsia="宋体" w:cs="宋体"/>
          <w:color w:val="000000"/>
          <w:sz w:val="21"/>
          <w:szCs w:val="21"/>
          <w:highlight w:val="none"/>
          <w:lang w:val="en-US"/>
        </w:rPr>
        <w:outlineLvl w:val="2"/>
      </w:pPr>
      <w:r>
        <w:rPr>
          <w:color w:val="000000"/>
          <w:highlight w:val="none"/>
          <w:lang w:val="en-US"/>
        </w:rPr>
        <w:t xml:space="preserve">属性信息挂接：必须填写的非几何属性包括：设备名称、系统分类、所属空间、额定功率、安装日期、维保周期、通信协议类型。</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rPr>
        <w:t xml:space="preserve">软件环境：建模软件统一使用2024</w:t>
      </w:r>
      <w:r>
        <w:rPr>
          <w:rFonts w:hint="eastAsia" w:ascii="宋体" w:hAnsi="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val="en-US"/>
        </w:rPr>
        <w:t xml:space="preserve">版本的</w:t>
      </w:r>
      <w:r>
        <w:rPr>
          <w:rFonts w:hint="eastAsia" w:ascii="宋体" w:hAnsi="宋体" w:cs="宋体"/>
          <w:color w:val="000000"/>
          <w:sz w:val="21"/>
          <w:szCs w:val="21"/>
          <w:highlight w:val="none"/>
          <w:lang w:val="en-US" w:eastAsia="zh-CN"/>
        </w:rPr>
        <w:t xml:space="preserve">.rvt文件</w:t>
      </w:r>
      <w:r>
        <w:rPr>
          <w:rFonts w:hint="eastAsia" w:ascii="宋体" w:hAnsi="宋体" w:eastAsia="宋体" w:cs="宋体"/>
          <w:color w:val="000000"/>
          <w:sz w:val="21"/>
          <w:szCs w:val="21"/>
          <w:highlight w:val="none"/>
          <w:lang w:val="en-US"/>
        </w:rPr>
        <w:t xml:space="preserve">，确保与后期开发工具链完全兼容。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en-US"/>
        </w:rPr>
        <w:t xml:space="preserve">统一度量单位：几何长度：毫米（mm）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标高/总图：米（m）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角度：度（°）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 坐标系统：采用扬州城市独立坐标系（与博物馆现有GIS坐标一致）</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en-US"/>
        </w:rPr>
        <w:t xml:space="preserve">构件分组要求：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工作集独立分组：利用“工作集（Worksets）”功能，将不同LOD精度的构件划分至独立工作集。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一键导出与隔离：严禁将不同LOD构件混杂在同一图层或类别中。必须确保通过简单的"工作集"或"过滤器"勾选，即可实现一键隔离显示或隐藏指定LOD等级的模型。 </w:t>
      </w:r>
      <w:r/>
    </w:p>
    <w:p>
      <w:pPr>
        <w:ind w:firstLine="420"/>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统一坐标体系：不同LOD的分组必须处于同一项目坐标原点下，确保模型在切换精度时空间位置绝对重合，无偏移。</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en-US"/>
        </w:rPr>
        <w:t xml:space="preserve">视觉与材质技术要求</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PBR材质：所有可见构件必须采用基于物理渲染（PBR）的材质，命名格式为类别_材质名_规格，禁止使用“默认”“材质1”等无效命名。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贴图限制：常规贴图分辨率≤2048×2048，核心装饰面≤4096×4096。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发光构件：灯带、灯箱等需在材质中设置“自发光（Emissive）”属性或明确标记。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轻量化预处理：剔除墙内填充层、结构钢筋等不可见构件；曲面与异形构件进行合理的网格简化，避免三角面数过高。 </w:t>
      </w:r>
      <w:r/>
    </w:p>
    <w:p>
      <w:pPr>
        <w:ind w:firstLine="420"/>
        <w:spacing w:line="360" w:lineRule="auto"/>
        <w:rPr>
          <w:rFonts w:hint="eastAsia" w:ascii="宋体" w:hAnsi="宋体" w:eastAsia="宋体" w:cs="宋体"/>
          <w:color w:val="000000"/>
          <w:sz w:val="21"/>
          <w:szCs w:val="21"/>
          <w:highlight w:val="none"/>
          <w:lang w:val="en-US"/>
        </w:rPr>
        <w:outlineLvl w:val="2"/>
      </w:pPr>
      <w:r>
        <w:rPr>
          <w:rFonts w:hint="eastAsia" w:ascii="宋体" w:hAnsi="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val="en-US"/>
        </w:rPr>
        <w:t xml:space="preserve">交付物清单与格式要求</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 </w:t>
      </w:r>
      <w:r/>
    </w:p>
    <w:tbl>
      <w:tblPr>
        <w:tblStyle w:val="94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2919"/>
        <w:gridCol w:w="2127"/>
        <w:gridCol w:w="2810"/>
      </w:tblGrid>
      <w:tr>
        <w:trPr>
          <w:jc w:val="center"/>
          <w:trHeight w:val="90"/>
          <w:tblHeader/>
        </w:trPr>
        <w:tc>
          <w:tcPr>
            <w:tcW w:w="1225"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eastAsia="zh-CN"/>
              </w:rPr>
            </w:pPr>
            <w:r>
              <w:rPr>
                <w:rFonts w:hint="eastAsia" w:ascii="宋体" w:hAnsi="宋体" w:eastAsia="宋体" w:cs="宋体"/>
                <w:b w:val="0"/>
                <w:bCs/>
                <w:i w:val="0"/>
                <w:strike w:val="0"/>
                <w:color w:val="auto"/>
                <w:sz w:val="21"/>
                <w:szCs w:val="21"/>
                <w:highlight w:val="none"/>
                <w:u w:val="none"/>
              </w:rPr>
              <w:t xml:space="preserve">序号</w:t>
            </w:r>
            <w:r/>
          </w:p>
        </w:tc>
        <w:tc>
          <w:tcPr>
            <w:tcW w:w="2919"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交付类别</w:t>
            </w:r>
            <w:r/>
          </w:p>
        </w:tc>
        <w:tc>
          <w:tcPr>
            <w:tcW w:w="2127"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文件格式</w:t>
            </w:r>
            <w:r/>
          </w:p>
        </w:tc>
        <w:tc>
          <w:tcPr>
            <w:tcW w:w="2810"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技术要求</w:t>
            </w:r>
            <w:r/>
          </w:p>
        </w:tc>
      </w:tr>
      <w:tr>
        <w:trPr>
          <w:jc w:val="center"/>
          <w:trHeight w:val="0"/>
          <w:tblHeader/>
        </w:trPr>
        <w:tc>
          <w:tcPr>
            <w:tcW w:w="1225"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1</w:t>
            </w:r>
            <w:r/>
          </w:p>
        </w:tc>
        <w:tc>
          <w:tcPr>
            <w:tcW w:w="2919"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原生工程文件</w:t>
            </w:r>
            <w:r/>
          </w:p>
        </w:tc>
        <w:tc>
          <w:tcPr>
            <w:tcW w:w="2127"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.rvt </w:t>
            </w:r>
            <w:r/>
          </w:p>
        </w:tc>
        <w:tc>
          <w:tcPr>
            <w:tcW w:w="2810"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包含完整参数、材质与多LOD层级</w:t>
            </w:r>
            <w:r/>
          </w:p>
        </w:tc>
      </w:tr>
      <w:tr>
        <w:trPr>
          <w:jc w:val="center"/>
          <w:trHeight w:val="251"/>
          <w:tblHeader/>
        </w:trPr>
        <w:tc>
          <w:tcPr>
            <w:tcW w:w="1225"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2</w:t>
            </w:r>
            <w:r/>
          </w:p>
        </w:tc>
        <w:tc>
          <w:tcPr>
            <w:tcW w:w="2919"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通用交换文件</w:t>
            </w:r>
            <w:r/>
          </w:p>
        </w:tc>
        <w:tc>
          <w:tcPr>
            <w:tcW w:w="2127"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.ifc (IFC4)</w:t>
            </w:r>
            <w:r/>
          </w:p>
        </w:tc>
        <w:tc>
          <w:tcPr>
            <w:tcW w:w="2810"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确保几何与属性数据无损</w:t>
            </w:r>
            <w:r/>
          </w:p>
        </w:tc>
      </w:tr>
      <w:tr>
        <w:trPr>
          <w:jc w:val="center"/>
          <w:trHeight w:val="0"/>
          <w:tblHeader/>
        </w:trPr>
        <w:tc>
          <w:tcPr>
            <w:tcW w:w="1225"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3</w:t>
            </w:r>
            <w:r/>
          </w:p>
        </w:tc>
        <w:tc>
          <w:tcPr>
            <w:tcW w:w="2919"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视觉交互文件</w:t>
            </w:r>
            <w:r/>
          </w:p>
        </w:tc>
        <w:tc>
          <w:tcPr>
            <w:tcW w:w="2127"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.fbx / .udatasmith</w:t>
            </w:r>
            <w:r/>
          </w:p>
        </w:tc>
        <w:tc>
          <w:tcPr>
            <w:tcW w:w="2810"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针对Unity/Lumion/Twinmotion</w:t>
            </w:r>
            <w:r>
              <w:rPr>
                <w:rFonts w:hint="eastAsia" w:ascii="宋体" w:hAnsi="宋体" w:cs="宋体"/>
                <w:b w:val="0"/>
                <w:bCs/>
                <w:i w:val="0"/>
                <w:strike w:val="0"/>
                <w:color w:val="auto"/>
                <w:sz w:val="21"/>
                <w:szCs w:val="21"/>
                <w:highlight w:val="none"/>
                <w:u w:val="none"/>
                <w:lang w:val="en-US" w:eastAsia="zh-CN"/>
              </w:rPr>
              <w:t xml:space="preserve">等等软件</w:t>
            </w:r>
            <w:r>
              <w:rPr>
                <w:rFonts w:hint="eastAsia" w:ascii="宋体" w:hAnsi="宋体" w:eastAsia="宋体" w:cs="宋体"/>
                <w:b w:val="0"/>
                <w:bCs/>
                <w:i w:val="0"/>
                <w:strike w:val="0"/>
                <w:color w:val="auto"/>
                <w:sz w:val="21"/>
                <w:szCs w:val="21"/>
                <w:highlight w:val="none"/>
                <w:u w:val="none"/>
                <w:lang w:val="en-US" w:eastAsia="zh-CN"/>
              </w:rPr>
              <w:t xml:space="preserve">优化，包含贴图</w:t>
            </w:r>
            <w:r/>
          </w:p>
        </w:tc>
      </w:tr>
      <w:tr>
        <w:trPr>
          <w:jc w:val="center"/>
          <w:trHeight w:val="0"/>
          <w:tblHeader/>
        </w:trPr>
        <w:tc>
          <w:tcPr>
            <w:tcW w:w="1225"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4</w:t>
            </w:r>
            <w:r/>
          </w:p>
        </w:tc>
        <w:tc>
          <w:tcPr>
            <w:tcW w:w="2919"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Web轻量化模型</w:t>
            </w:r>
            <w:r/>
          </w:p>
        </w:tc>
        <w:tc>
          <w:tcPr>
            <w:tcW w:w="2127"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.glb (含Draco) / 3D</w:t>
            </w:r>
            <w:r/>
          </w:p>
        </w:tc>
        <w:tc>
          <w:tcPr>
            <w:tcW w:w="2810"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Tiles 含3级LOD，几何压缩，纹理转WebP/JPEG</w:t>
            </w:r>
            <w:r/>
          </w:p>
        </w:tc>
      </w:tr>
      <w:tr>
        <w:trPr>
          <w:jc w:val="center"/>
          <w:trHeight w:val="0"/>
          <w:tblHeader/>
        </w:trPr>
        <w:tc>
          <w:tcPr>
            <w:tcW w:w="1225"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5</w:t>
            </w:r>
            <w:r/>
          </w:p>
        </w:tc>
        <w:tc>
          <w:tcPr>
            <w:tcW w:w="2919"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数据资产表</w:t>
            </w:r>
            <w:r/>
          </w:p>
        </w:tc>
        <w:tc>
          <w:tcPr>
            <w:tcW w:w="2127"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.xlsx / .csv</w:t>
            </w:r>
            <w:r/>
          </w:p>
        </w:tc>
        <w:tc>
          <w:tcPr>
            <w:tcW w:w="2810" w:type="dxa"/>
            <w:vAlign w:val="center"/>
            <w:textDirection w:val="lrTb"/>
            <w:noWrap w:val="false"/>
          </w:tcPr>
          <w:p>
            <w:pPr>
              <w:ind w:left="0" w:right="0" w:firstLine="0"/>
              <w:jc w:val="center"/>
              <w:spacing w:line="240" w:lineRule="auto"/>
              <w:rPr>
                <w:rFonts w:hint="eastAsia" w:ascii="宋体" w:hAnsi="宋体" w:eastAsia="宋体" w:cs="宋体"/>
                <w:b w:val="0"/>
                <w:bCs/>
                <w:i w:val="0"/>
                <w:strike w:val="0"/>
                <w:color w:val="auto"/>
                <w:sz w:val="21"/>
                <w:szCs w:val="21"/>
                <w:highlight w:val="none"/>
                <w:u w:val="none"/>
                <w:lang w:val="en-US" w:eastAsia="zh-CN"/>
              </w:rPr>
            </w:pPr>
            <w:r>
              <w:rPr>
                <w:rFonts w:hint="eastAsia" w:ascii="宋体" w:hAnsi="宋体" w:eastAsia="宋体" w:cs="宋体"/>
                <w:b w:val="0"/>
                <w:bCs/>
                <w:i w:val="0"/>
                <w:strike w:val="0"/>
                <w:color w:val="auto"/>
                <w:sz w:val="21"/>
                <w:szCs w:val="21"/>
                <w:highlight w:val="none"/>
                <w:u w:val="none"/>
                <w:lang w:val="en-US" w:eastAsia="zh-CN"/>
              </w:rPr>
              <w:t xml:space="preserve">导出所有设备IoT_ID、坐标、LOD等级及非几何属性清单</w:t>
            </w:r>
            <w:r/>
          </w:p>
        </w:tc>
      </w:tr>
    </w:tbl>
    <w:p>
      <w:pPr>
        <w:spacing w:before="120" w:line="360" w:lineRule="auto"/>
        <w:rPr>
          <w:rFonts w:hint="eastAsia" w:ascii="宋体" w:hAnsi="宋体" w:eastAsia="宋体" w:cs="宋体"/>
          <w:b/>
          <w:bCs/>
          <w:color w:val="000000"/>
          <w:sz w:val="21"/>
          <w:szCs w:val="21"/>
          <w:u w:val="none"/>
        </w:rPr>
        <w:outlineLvl w:val="1"/>
      </w:pPr>
      <w:r>
        <w:rPr>
          <w:rFonts w:hint="eastAsia" w:ascii="宋体" w:hAnsi="宋体" w:eastAsia="宋体" w:cs="宋体"/>
          <w:b/>
          <w:bCs/>
          <w:color w:val="000000"/>
          <w:sz w:val="21"/>
          <w:szCs w:val="21"/>
          <w:u w:val="none"/>
        </w:rPr>
        <w:t xml:space="preserve">四、商务部分要求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服务期</w:t>
      </w:r>
      <w:r>
        <w:rPr>
          <w:rFonts w:hint="eastAsia" w:ascii="宋体" w:hAnsi="宋体" w:eastAsia="宋体" w:cs="宋体"/>
          <w:color w:val="000000"/>
          <w:sz w:val="21"/>
          <w:szCs w:val="21"/>
        </w:rPr>
        <w:t xml:space="preserve">：</w:t>
      </w:r>
      <w:r>
        <w:rPr>
          <w:rFonts w:hint="eastAsia" w:ascii="宋体" w:hAnsi="宋体" w:eastAsia="宋体" w:cs="宋体"/>
          <w:spacing w:val="8"/>
          <w:sz w:val="22"/>
          <w:szCs w:val="22"/>
        </w:rPr>
        <w:t xml:space="preserve">自合同正式签署生效</w:t>
      </w:r>
      <w:r>
        <w:rPr>
          <w:rFonts w:hint="eastAsia" w:ascii="宋体" w:hAnsi="宋体" w:eastAsia="宋体" w:cs="宋体"/>
          <w:spacing w:val="8"/>
          <w:sz w:val="22"/>
          <w:szCs w:val="22"/>
          <w:lang w:val="en-US" w:eastAsia="zh-CN"/>
        </w:rPr>
        <w:t xml:space="preserve">后</w:t>
      </w:r>
      <w:r>
        <w:rPr>
          <w:rFonts w:hint="eastAsia" w:ascii="宋体" w:hAnsi="宋体" w:cs="宋体"/>
          <w:spacing w:val="8"/>
          <w:sz w:val="22"/>
          <w:szCs w:val="22"/>
          <w:lang w:val="en-US" w:eastAsia="zh-CN"/>
        </w:rPr>
        <w:t xml:space="preserve">至2026</w:t>
      </w:r>
      <w:r>
        <w:rPr>
          <w:rFonts w:hint="eastAsia" w:ascii="宋体" w:hAnsi="宋体" w:cs="宋体"/>
          <w:spacing w:val="8"/>
          <w:sz w:val="22"/>
          <w:szCs w:val="22"/>
          <w:highlight w:val="none"/>
          <w:lang w:val="en-US" w:eastAsia="zh-CN"/>
        </w:rPr>
        <w:t xml:space="preserve">年11月30日前</w:t>
      </w:r>
      <w:r>
        <w:rPr>
          <w:rFonts w:hint="eastAsia" w:ascii="宋体" w:hAnsi="宋体" w:eastAsia="宋体" w:cs="宋体"/>
          <w:spacing w:val="8"/>
          <w:sz w:val="22"/>
          <w:szCs w:val="22"/>
          <w:highlight w:val="none"/>
        </w:rPr>
        <w:t xml:space="preserve">完成。</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2、维护期：供应商应确保本次采购所有项目的安全稳定的运行，并承诺提供不低于1年免费维护服务（自验收报告签字确认日起，开始进入免费维护期）。</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提供</w:t>
      </w:r>
      <w:r>
        <w:rPr>
          <w:rFonts w:hint="eastAsia" w:ascii="宋体" w:hAnsi="宋体" w:eastAsia="宋体" w:cs="宋体"/>
          <w:color w:val="000000"/>
          <w:sz w:val="21"/>
          <w:szCs w:val="21"/>
        </w:rPr>
        <w:t xml:space="preserve">维护服务</w:t>
      </w:r>
      <w:r>
        <w:rPr>
          <w:rFonts w:hint="eastAsia" w:ascii="宋体" w:hAnsi="宋体" w:cs="宋体"/>
          <w:color w:val="000000"/>
          <w:sz w:val="21"/>
          <w:szCs w:val="21"/>
          <w:lang w:val="en-US" w:eastAsia="zh-CN"/>
        </w:rPr>
        <w:t xml:space="preserve">承诺书加盖供应商公章</w:t>
      </w:r>
      <w:r>
        <w:rPr>
          <w:rFonts w:hint="eastAsia" w:ascii="宋体" w:hAnsi="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3、售后服务要求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）供应商需提供定期回访服务，对采购人提出的合理优化建议应提供免费升级服务。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）所有的服务方式均为供应商上门保修，即由供应商派员到系统使用现场进行故障恢复，由此产生的一切费用均由供应商承担。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4、培训要求：供应商须提供操作培训方案，方案内容包括但不限于培训方式、培训课时及培训目标成果等内容。</w:t>
      </w:r>
      <w:r/>
    </w:p>
    <w:p>
      <w:pPr>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付款方式：第一次付款：合同签订后，收到供应商开具的发票25个工作日内，支付合同金额的30%；第二次付款：项目完成第二阶段，收到供应商开具的发票25个工作日内，支付至合同金额的60%；第三次付款：项目完成第三阶段，收到供应商开具的发票25个工作日内，支付至合同金额的95%；第四次付款：项目完成第四阶段并出具结项报告，经采购人验收通过后，收到供应商开具的发票25个工作日内，支付至合同金额的100%</w:t>
      </w:r>
      <w:r>
        <w:rPr>
          <w:rFonts w:hint="eastAsia" w:ascii="宋体" w:hAnsi="宋体" w:cs="宋体"/>
          <w:color w:val="000000"/>
          <w:sz w:val="21"/>
          <w:szCs w:val="21"/>
          <w:lang w:val="en-US" w:eastAsia="zh-CN"/>
        </w:rPr>
        <w:t xml:space="preserve">。</w:t>
      </w:r>
      <w:r/>
    </w:p>
    <w:p>
      <w:pPr>
        <w:ind w:firstLine="420"/>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cs="宋体"/>
          <w:color w:val="000000"/>
          <w:sz w:val="21"/>
          <w:szCs w:val="21"/>
          <w:lang w:val="en-US" w:eastAsia="zh-CN"/>
        </w:rPr>
        <w:t xml:space="preserve">验收标准及要求</w:t>
      </w:r>
      <w:r/>
    </w:p>
    <w:p>
      <w:pPr>
        <w:ind w:firstLine="420"/>
        <w:spacing w:line="360" w:lineRule="auto"/>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6.1</w:t>
      </w:r>
      <w:r>
        <w:rPr>
          <w:rFonts w:hint="eastAsia" w:ascii="宋体" w:hAnsi="宋体" w:eastAsia="宋体" w:cs="宋体"/>
          <w:color w:val="000000"/>
          <w:sz w:val="21"/>
          <w:szCs w:val="21"/>
          <w:lang w:val="zh-CN" w:eastAsia="zh-CN"/>
        </w:rPr>
        <w:t xml:space="preserve">验收标准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按</w:t>
      </w:r>
      <w:r>
        <w:rPr>
          <w:rFonts w:hint="eastAsia" w:ascii="宋体" w:hAnsi="宋体" w:eastAsia="宋体" w:cs="宋体"/>
          <w:color w:val="000000"/>
          <w:sz w:val="21"/>
          <w:szCs w:val="21"/>
          <w:lang w:val="en-US" w:eastAsia="zh-CN"/>
        </w:rPr>
        <w:t xml:space="preserve">招标文件、投标文件、合同的</w:t>
      </w:r>
      <w:r>
        <w:rPr>
          <w:rFonts w:hint="eastAsia" w:ascii="宋体" w:hAnsi="宋体" w:eastAsia="宋体" w:cs="宋体"/>
          <w:color w:val="000000"/>
          <w:sz w:val="21"/>
          <w:szCs w:val="21"/>
          <w:lang w:val="zh-CN" w:eastAsia="zh-CN"/>
        </w:rPr>
        <w:t xml:space="preserve">规定条款进行验收。</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6.2</w:t>
      </w:r>
      <w:r>
        <w:rPr>
          <w:rFonts w:hint="eastAsia" w:ascii="宋体" w:hAnsi="宋体" w:eastAsia="宋体" w:cs="宋体"/>
          <w:color w:val="000000"/>
          <w:sz w:val="21"/>
          <w:szCs w:val="21"/>
          <w:lang w:val="en-US" w:eastAsia="zh-CN"/>
        </w:rPr>
        <w:t xml:space="preserve">验收要求：采购人将自供应商履行完合同义务之日并出具结项报告后15个工作日内组织验收。如存在少量不影响主体使用的瑕疵，项目组在5个工作日内整改完毕并书面回复。验收合格后，正式交付全部成果，并进入一年的技术支持与运维辅助期。</w:t>
      </w:r>
      <w:r/>
    </w:p>
    <w:p>
      <w:pPr>
        <w:ind w:firstLine="42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numPr>
          <w:ilvl w:val="0"/>
          <w:numId w:val="0"/>
        </w:numPr>
        <w:jc w:val="both"/>
        <w:spacing w:line="360" w:lineRule="auto"/>
        <w:widowControl w:val="off"/>
        <w:rPr>
          <w:rFonts w:hint="eastAsia" w:ascii="宋体" w:hAnsi="宋体" w:eastAsia="宋体" w:cs="宋体"/>
          <w:color w:val="000000"/>
          <w:sz w:val="21"/>
          <w:szCs w:val="21"/>
          <w:lang w:val="en-US"/>
        </w:rPr>
        <w:outlineLvl w:val="2"/>
      </w:pPr>
      <w:r>
        <w:rPr>
          <w:rFonts w:hint="eastAsia" w:ascii="宋体" w:hAnsi="宋体" w:eastAsia="宋体" w:cs="宋体"/>
          <w:color w:val="000000"/>
          <w:sz w:val="21"/>
          <w:szCs w:val="21"/>
          <w:lang w:val="en-US"/>
        </w:rPr>
      </w:r>
      <w:r/>
    </w:p>
    <w:p>
      <w:pPr>
        <w:numPr>
          <w:ilvl w:val="0"/>
          <w:numId w:val="0"/>
        </w:numPr>
        <w:jc w:val="both"/>
        <w:spacing w:line="360" w:lineRule="auto"/>
        <w:widowControl w:val="off"/>
        <w:rPr>
          <w:rFonts w:hint="eastAsia" w:ascii="Times New Roman" w:hAnsi="Times New Roman" w:eastAsia="宋体" w:cs="Times New Roman"/>
          <w:color w:val="000000"/>
          <w:lang w:val="en-US"/>
        </w:rPr>
        <w:outlineLvl w:val="2"/>
      </w:pPr>
      <w:r>
        <w:rPr>
          <w:rFonts w:hint="eastAsia" w:ascii="Times New Roman" w:hAnsi="Times New Roman" w:eastAsia="宋体" w:cs="Times New Roman"/>
          <w:color w:val="000000"/>
          <w:lang w:val="en-US"/>
        </w:rPr>
      </w:r>
      <w:r/>
    </w:p>
    <w:p>
      <w:pPr>
        <w:numPr>
          <w:ilvl w:val="0"/>
          <w:numId w:val="0"/>
        </w:numPr>
        <w:jc w:val="both"/>
        <w:spacing w:line="360" w:lineRule="auto"/>
        <w:widowControl w:val="off"/>
        <w:rPr>
          <w:rFonts w:hint="eastAsia" w:ascii="Times New Roman" w:hAnsi="Times New Roman" w:eastAsia="宋体" w:cs="Times New Roman"/>
          <w:color w:val="000000"/>
          <w:lang w:val="en-US"/>
        </w:rPr>
        <w:outlineLvl w:val="2"/>
      </w:pPr>
      <w:r>
        <w:rPr>
          <w:rFonts w:hint="eastAsia" w:ascii="Times New Roman" w:hAnsi="Times New Roman" w:eastAsia="宋体" w:cs="Times New Roman"/>
          <w:color w:val="000000"/>
          <w:lang w:val="en-US"/>
        </w:rPr>
      </w:r>
      <w:r/>
    </w:p>
    <w:p>
      <w:pPr>
        <w:numPr>
          <w:ilvl w:val="0"/>
          <w:numId w:val="0"/>
        </w:numPr>
        <w:jc w:val="both"/>
        <w:spacing w:line="360" w:lineRule="auto"/>
        <w:widowControl w:val="off"/>
        <w:rPr>
          <w:rFonts w:hint="eastAsia" w:ascii="Times New Roman" w:hAnsi="Times New Roman" w:eastAsia="宋体" w:cs="Times New Roman"/>
          <w:color w:val="000000"/>
          <w:lang w:val="en-US"/>
        </w:rPr>
        <w:outlineLvl w:val="2"/>
      </w:pPr>
      <w:r>
        <w:rPr>
          <w:rFonts w:hint="eastAsia" w:ascii="Times New Roman" w:hAnsi="Times New Roman" w:eastAsia="宋体" w:cs="Times New Roman"/>
          <w:color w:val="000000"/>
          <w:lang w:val="en-US"/>
        </w:rPr>
      </w:r>
      <w:r/>
    </w:p>
    <w:p>
      <w:pPr>
        <w:numPr>
          <w:ilvl w:val="0"/>
          <w:numId w:val="0"/>
        </w:numPr>
        <w:jc w:val="center"/>
        <w:spacing w:line="360" w:lineRule="auto"/>
        <w:rPr>
          <w:rFonts w:ascii="Arial" w:hAnsi="Arial" w:cs="Arial"/>
          <w:b/>
          <w:bCs/>
          <w:sz w:val="32"/>
          <w:szCs w:val="44"/>
        </w:rPr>
        <w:outlineLvl w:val="2"/>
      </w:pPr>
      <w:r>
        <w:rPr>
          <w:rFonts w:ascii="Arial" w:hAnsi="Arial" w:cs="Arial"/>
          <w:b/>
          <w:bCs/>
          <w:sz w:val="32"/>
          <w:szCs w:val="44"/>
        </w:rPr>
        <w:t xml:space="preserve">第五章 合同主要条款及格式</w:t>
      </w:r>
      <w:bookmarkEnd w:id="22"/>
      <w:r/>
      <w:bookmarkEnd w:id="23"/>
      <w:r/>
      <w:r/>
    </w:p>
    <w:p>
      <w:pPr>
        <w:ind w:firstLine="422"/>
        <w:spacing w:before="312" w:line="480" w:lineRule="auto"/>
        <w:rPr>
          <w:rFonts w:ascii="宋体" w:hAnsi="宋体" w:cs="宋体"/>
          <w:b/>
          <w:bCs/>
          <w:szCs w:val="21"/>
        </w:rPr>
      </w:pPr>
      <w:r>
        <w:rPr>
          <w:rFonts w:hint="eastAsia" w:ascii="宋体" w:hAnsi="宋体" w:cs="宋体"/>
          <w:b/>
          <w:bCs/>
          <w:szCs w:val="21"/>
        </w:rPr>
        <w:t xml:space="preserve">项目名称：</w:t>
      </w:r>
      <w:r>
        <w:rPr>
          <w:rFonts w:hint="eastAsia" w:ascii="宋体" w:hAnsi="宋体" w:cs="宋体"/>
          <w:b/>
          <w:bCs/>
          <w:szCs w:val="21"/>
          <w:lang w:eastAsia="zh-CN"/>
        </w:rPr>
        <w:t xml:space="preserve">扬州中国大运河博物馆智慧孪生BIM模型项目</w:t>
      </w:r>
      <w:r>
        <w:rPr>
          <w:rFonts w:hint="eastAsia" w:ascii="宋体" w:hAnsi="宋体" w:cs="宋体"/>
          <w:b/>
          <w:bCs/>
          <w:szCs w:val="21"/>
        </w:rPr>
        <w:t xml:space="preserve"> </w:t>
      </w:r>
      <w:r/>
    </w:p>
    <w:p>
      <w:pPr>
        <w:ind w:firstLine="422"/>
        <w:spacing w:line="480" w:lineRule="auto"/>
        <w:rPr>
          <w:rFonts w:ascii="宋体" w:hAnsi="宋体" w:cs="宋体"/>
          <w:b/>
          <w:bCs/>
          <w:szCs w:val="21"/>
          <w:u w:val="single"/>
        </w:rPr>
      </w:pPr>
      <w:r>
        <w:rPr>
          <w:rFonts w:hint="eastAsia" w:ascii="宋体" w:hAnsi="宋体" w:cs="宋体"/>
          <w:b/>
          <w:bCs/>
          <w:szCs w:val="21"/>
        </w:rPr>
        <w:t xml:space="preserve">项目编号：</w:t>
      </w:r>
      <w:r/>
    </w:p>
    <w:p>
      <w:pPr>
        <w:ind w:firstLine="422"/>
        <w:spacing w:line="480" w:lineRule="auto"/>
        <w:rPr>
          <w:rFonts w:hint="eastAsia" w:ascii="宋体" w:hAnsi="宋体" w:eastAsia="宋体" w:cs="宋体"/>
          <w:b/>
          <w:bCs/>
          <w:szCs w:val="21"/>
          <w:u w:val="single"/>
          <w:lang w:eastAsia="zh-CN"/>
        </w:rPr>
      </w:pPr>
      <w:r>
        <w:rPr>
          <w:rFonts w:hint="eastAsia" w:ascii="宋体" w:hAnsi="宋体" w:cs="宋体"/>
          <w:b/>
          <w:bCs/>
          <w:szCs w:val="21"/>
        </w:rPr>
        <w:t xml:space="preserve">甲方（买方）：</w:t>
      </w:r>
      <w:r>
        <w:rPr>
          <w:rFonts w:hint="eastAsia" w:ascii="宋体" w:hAnsi="宋体" w:cs="宋体"/>
          <w:b/>
          <w:bCs/>
          <w:szCs w:val="21"/>
          <w:lang w:eastAsia="zh-CN"/>
        </w:rPr>
        <w:t xml:space="preserve">扬州中国大运河博物馆</w:t>
      </w:r>
      <w:r/>
    </w:p>
    <w:p>
      <w:pPr>
        <w:ind w:firstLine="422"/>
        <w:spacing w:line="480" w:lineRule="auto"/>
        <w:rPr>
          <w:rFonts w:ascii="宋体" w:hAnsi="宋体" w:cs="宋体"/>
          <w:b/>
          <w:bCs/>
          <w:szCs w:val="21"/>
          <w:u w:val="single"/>
        </w:rPr>
      </w:pPr>
      <w:r>
        <w:rPr>
          <w:rFonts w:hint="eastAsia" w:ascii="宋体" w:hAnsi="宋体" w:cs="宋体"/>
          <w:b/>
          <w:bCs/>
          <w:szCs w:val="21"/>
        </w:rPr>
        <w:t xml:space="preserve">乙方（卖方）：</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b/>
          <w:szCs w:val="21"/>
        </w:rPr>
      </w:pPr>
      <w:r>
        <w:rPr>
          <w:rFonts w:hint="eastAsia" w:ascii="宋体" w:hAnsi="宋体" w:cs="宋体"/>
          <w:szCs w:val="21"/>
        </w:rPr>
        <w:t xml:space="preserve">甲、乙双方根据</w:t>
      </w:r>
      <w:r>
        <w:rPr>
          <w:rFonts w:hint="eastAsia" w:ascii="宋体" w:hAnsi="宋体" w:cs="宋体"/>
          <w:szCs w:val="21"/>
          <w:u w:val="single"/>
          <w:lang w:eastAsia="zh-CN"/>
        </w:rPr>
        <w:t xml:space="preserve">扬州中国大运河博物馆智慧孪生BIM模型项目</w:t>
      </w:r>
      <w:r>
        <w:rPr>
          <w:rFonts w:hint="eastAsia" w:ascii="宋体" w:hAnsi="宋体" w:cs="宋体"/>
          <w:szCs w:val="21"/>
        </w:rPr>
        <w:t xml:space="preserve">的公开招标采购结果，签署本合同。</w:t>
      </w:r>
      <w:r/>
    </w:p>
    <w:p>
      <w:pPr>
        <w:ind w:firstLine="422"/>
        <w:spacing w:line="360" w:lineRule="auto"/>
        <w:rPr>
          <w:rFonts w:ascii="宋体" w:hAnsi="宋体" w:cs="宋体"/>
          <w:b/>
          <w:szCs w:val="21"/>
        </w:rPr>
      </w:pPr>
      <w:r>
        <w:rPr>
          <w:rFonts w:hint="eastAsia" w:ascii="宋体" w:hAnsi="宋体" w:cs="宋体"/>
          <w:b/>
          <w:szCs w:val="21"/>
        </w:rPr>
        <w:t xml:space="preserve">一、采购标的</w:t>
      </w:r>
      <w:r/>
    </w:p>
    <w:p>
      <w:pPr>
        <w:pStyle w:val="948"/>
        <w:ind w:firstLine="420"/>
        <w:spacing w:line="360" w:lineRule="auto"/>
        <w:rPr>
          <w:rFonts w:hAnsi="宋体" w:cs="宋体"/>
        </w:rPr>
      </w:pPr>
      <w:r>
        <w:rPr>
          <w:rFonts w:hint="eastAsia" w:hAnsi="宋体" w:cs="宋体"/>
        </w:rPr>
        <w:t xml:space="preserve">1.1乙方向甲方提供的服务内容：</w:t>
      </w:r>
      <w:r>
        <w:rPr>
          <w:rFonts w:hint="eastAsia" w:hAnsi="宋体" w:cs="宋体"/>
          <w:u w:val="single"/>
        </w:rPr>
        <w:t xml:space="preserve">                          </w:t>
      </w:r>
      <w:r>
        <w:rPr>
          <w:rFonts w:hint="eastAsia" w:hAnsi="宋体" w:cs="宋体"/>
        </w:rPr>
        <w:t xml:space="preserve">（具体的服务的内容、要求、服务质量等详见采购文件、成交供应商的投标文件及采购过程中有关澄清、承诺文件）。</w:t>
      </w:r>
      <w:r/>
    </w:p>
    <w:p>
      <w:pPr>
        <w:pStyle w:val="948"/>
        <w:ind w:firstLine="422"/>
        <w:spacing w:line="360" w:lineRule="auto"/>
        <w:rPr>
          <w:rFonts w:hAnsi="宋体" w:cs="宋体"/>
          <w:b/>
        </w:rPr>
      </w:pPr>
      <w:r>
        <w:rPr>
          <w:rFonts w:hint="eastAsia" w:hAnsi="宋体" w:cs="宋体"/>
          <w:b/>
        </w:rPr>
        <w:t xml:space="preserve">二、合同金额</w:t>
      </w:r>
      <w:r/>
    </w:p>
    <w:p>
      <w:pPr>
        <w:pStyle w:val="948"/>
        <w:ind w:firstLine="420"/>
        <w:spacing w:line="360" w:lineRule="auto"/>
        <w:rPr>
          <w:rFonts w:hAnsi="宋体" w:cs="宋体"/>
        </w:rPr>
      </w:pPr>
      <w:r>
        <w:rPr>
          <w:rFonts w:hint="eastAsia" w:hAnsi="宋体" w:cs="宋体"/>
        </w:rPr>
        <w:t xml:space="preserve">2.1合同总价（含税）为（大写）：</w:t>
      </w:r>
      <w:r>
        <w:rPr>
          <w:rFonts w:hint="eastAsia" w:hAnsi="宋体" w:cs="宋体"/>
          <w:u w:val="single"/>
        </w:rPr>
        <w:t xml:space="preserve">           </w:t>
      </w:r>
      <w:r>
        <w:rPr>
          <w:rFonts w:hint="eastAsia" w:hAnsi="宋体" w:cs="宋体"/>
        </w:rPr>
        <w:t xml:space="preserve">（小写_____元）人民币。</w:t>
      </w:r>
      <w:r/>
    </w:p>
    <w:p>
      <w:pPr>
        <w:pStyle w:val="948"/>
        <w:ind w:firstLine="420"/>
        <w:spacing w:line="360" w:lineRule="auto"/>
        <w:rPr>
          <w:rFonts w:hAnsi="宋体" w:cs="宋体"/>
        </w:rPr>
      </w:pPr>
      <w:r>
        <w:rPr>
          <w:rFonts w:hint="eastAsia" w:hAnsi="宋体" w:cs="宋体"/>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p>
    <w:p>
      <w:pPr>
        <w:pStyle w:val="948"/>
        <w:ind w:firstLine="422"/>
        <w:spacing w:line="360" w:lineRule="auto"/>
        <w:rPr>
          <w:rFonts w:hAnsi="宋体" w:cs="宋体"/>
          <w:b/>
        </w:rPr>
      </w:pPr>
      <w:r>
        <w:rPr>
          <w:rFonts w:hint="eastAsia" w:hAnsi="宋体" w:cs="宋体"/>
          <w:b/>
        </w:rPr>
        <w:t xml:space="preserve">三、合同款支付</w:t>
      </w:r>
      <w:r/>
    </w:p>
    <w:p>
      <w:pPr>
        <w:pStyle w:val="948"/>
        <w:ind w:firstLine="420"/>
        <w:spacing w:line="360" w:lineRule="auto"/>
        <w:rPr>
          <w:rFonts w:hAnsi="宋体" w:cs="宋体"/>
          <w:bCs/>
        </w:rPr>
      </w:pPr>
      <w:r>
        <w:rPr>
          <w:rFonts w:hint="eastAsia" w:hAnsi="宋体" w:cs="宋体"/>
          <w:bCs/>
        </w:rPr>
        <w:t xml:space="preserve">3.1付款方式：详见采购需求。</w:t>
      </w:r>
      <w:r/>
    </w:p>
    <w:p>
      <w:pPr>
        <w:pStyle w:val="948"/>
        <w:ind w:firstLine="420"/>
        <w:spacing w:line="360" w:lineRule="auto"/>
        <w:rPr>
          <w:rFonts w:hAnsi="宋体" w:cs="宋体"/>
          <w:bCs/>
        </w:rPr>
      </w:pPr>
      <w:r>
        <w:rPr>
          <w:rFonts w:hint="eastAsia" w:hAnsi="宋体" w:cs="宋体"/>
          <w:bCs/>
        </w:rPr>
        <w:t xml:space="preserve">3.2甲方付款前，乙方应先向甲方出具等额的发票，若乙方未出具或出具发票不符合国家规定或甲方要求的，甲方有权延期付款并不承担任何延期付款责任。</w:t>
      </w:r>
      <w:r/>
    </w:p>
    <w:p>
      <w:pPr>
        <w:pStyle w:val="948"/>
        <w:ind w:firstLine="422"/>
        <w:spacing w:line="360" w:lineRule="auto"/>
        <w:rPr>
          <w:rFonts w:hAnsi="宋体" w:cs="宋体"/>
          <w:b/>
        </w:rPr>
      </w:pPr>
      <w:r>
        <w:rPr>
          <w:rFonts w:hint="eastAsia" w:hAnsi="宋体" w:cs="宋体"/>
          <w:b/>
        </w:rPr>
        <w:t xml:space="preserve">四、组成本合同的有关文件</w:t>
      </w:r>
      <w:r/>
    </w:p>
    <w:p>
      <w:pPr>
        <w:pStyle w:val="948"/>
        <w:ind w:firstLine="420"/>
        <w:spacing w:line="360" w:lineRule="auto"/>
        <w:rPr>
          <w:rFonts w:hAnsi="宋体" w:cs="宋体"/>
        </w:rPr>
      </w:pPr>
      <w:r>
        <w:rPr>
          <w:rFonts w:hint="eastAsia" w:hAnsi="宋体" w:cs="宋体"/>
        </w:rPr>
        <w:t xml:space="preserve">4.1本项目采购文件、成交供应商的投标文件及采购过程中有关澄清、承诺文件均为本合同有效附件，是本合同不可分割的组成部分，与本合同具有同等法律效力。</w:t>
      </w:r>
      <w:r/>
    </w:p>
    <w:p>
      <w:pPr>
        <w:pStyle w:val="948"/>
        <w:ind w:firstLine="422"/>
        <w:spacing w:line="360" w:lineRule="auto"/>
        <w:rPr>
          <w:rFonts w:hAnsi="宋体" w:cs="宋体"/>
          <w:b/>
        </w:rPr>
      </w:pPr>
      <w:r>
        <w:rPr>
          <w:rFonts w:hint="eastAsia" w:hAnsi="宋体" w:cs="宋体"/>
          <w:b/>
        </w:rPr>
        <w:t xml:space="preserve">五、服务期、服务地点</w:t>
      </w:r>
      <w:r/>
    </w:p>
    <w:p>
      <w:pPr>
        <w:pStyle w:val="948"/>
        <w:ind w:firstLine="420"/>
        <w:spacing w:line="360" w:lineRule="auto"/>
        <w:rPr>
          <w:rFonts w:hAnsi="宋体" w:cs="宋体"/>
          <w:bCs/>
        </w:rPr>
      </w:pPr>
      <w:r>
        <w:rPr>
          <w:rFonts w:hint="eastAsia" w:hAnsi="宋体" w:cs="宋体"/>
          <w:bCs/>
        </w:rPr>
        <w:t xml:space="preserve">5.1服务期/交付期：</w:t>
      </w:r>
      <w:r>
        <w:rPr>
          <w:rFonts w:hint="eastAsia" w:hAnsi="宋体" w:cs="宋体"/>
          <w:bCs/>
          <w:u w:val="single"/>
        </w:rPr>
        <w:t xml:space="preserve">                          </w:t>
      </w:r>
      <w:r>
        <w:rPr>
          <w:rFonts w:hint="eastAsia" w:hAnsi="宋体" w:cs="宋体"/>
          <w:bCs/>
        </w:rPr>
        <w:t xml:space="preserve">。</w:t>
      </w:r>
      <w:r/>
    </w:p>
    <w:p>
      <w:pPr>
        <w:pStyle w:val="948"/>
        <w:ind w:firstLine="420"/>
        <w:spacing w:line="360" w:lineRule="auto"/>
        <w:rPr>
          <w:rFonts w:hAnsi="宋体" w:cs="宋体"/>
          <w:bCs/>
          <w:u w:val="single"/>
        </w:rPr>
      </w:pPr>
      <w:r>
        <w:rPr>
          <w:rFonts w:hint="eastAsia" w:hAnsi="宋体" w:cs="宋体"/>
          <w:bCs/>
        </w:rPr>
        <w:t xml:space="preserve">5.2交付方式：</w:t>
      </w:r>
      <w:r>
        <w:rPr>
          <w:rFonts w:hint="eastAsia" w:hAnsi="宋体" w:cs="宋体"/>
          <w:bCs/>
          <w:u w:val="single"/>
        </w:rPr>
        <w:t xml:space="preserve">                               </w:t>
      </w:r>
      <w:r>
        <w:rPr>
          <w:rFonts w:hint="eastAsia" w:hAnsi="宋体" w:cs="宋体"/>
          <w:bCs/>
        </w:rPr>
        <w:t xml:space="preserve">。</w:t>
      </w:r>
      <w:r/>
    </w:p>
    <w:p>
      <w:pPr>
        <w:pStyle w:val="948"/>
        <w:ind w:firstLine="420"/>
        <w:spacing w:line="360" w:lineRule="auto"/>
        <w:rPr>
          <w:rFonts w:hAnsi="宋体" w:cs="宋体"/>
          <w:bCs/>
        </w:rPr>
      </w:pPr>
      <w:r>
        <w:rPr>
          <w:rFonts w:hint="eastAsia" w:hAnsi="宋体" w:cs="宋体"/>
          <w:bCs/>
        </w:rPr>
        <w:t xml:space="preserve">5.3服务地点：</w:t>
      </w:r>
      <w:r>
        <w:rPr>
          <w:rFonts w:hint="eastAsia" w:hAnsi="宋体" w:cs="宋体"/>
          <w:bCs/>
          <w:u w:val="single"/>
        </w:rPr>
        <w:t xml:space="preserve">                               </w:t>
      </w:r>
      <w:r>
        <w:rPr>
          <w:rFonts w:hint="eastAsia" w:hAnsi="宋体" w:cs="宋体"/>
          <w:bCs/>
        </w:rPr>
        <w:t xml:space="preserve">。</w:t>
      </w:r>
      <w:r/>
    </w:p>
    <w:p>
      <w:pPr>
        <w:ind w:firstLine="422"/>
        <w:spacing w:line="360" w:lineRule="auto"/>
        <w:rPr>
          <w:rFonts w:ascii="宋体" w:hAnsi="宋体" w:cs="宋体"/>
          <w:b/>
          <w:szCs w:val="21"/>
        </w:rPr>
      </w:pPr>
      <w:r>
        <w:rPr>
          <w:rFonts w:hint="eastAsia" w:ascii="宋体" w:hAnsi="宋体" w:cs="宋体"/>
          <w:b/>
          <w:szCs w:val="21"/>
        </w:rPr>
        <w:t xml:space="preserve">六、转包或分包</w:t>
      </w:r>
      <w:r/>
    </w:p>
    <w:p>
      <w:pPr>
        <w:ind w:firstLine="420"/>
        <w:spacing w:line="360" w:lineRule="auto"/>
        <w:rPr>
          <w:rFonts w:ascii="宋体" w:hAnsi="宋体" w:cs="宋体"/>
          <w:szCs w:val="21"/>
        </w:rPr>
      </w:pPr>
      <w:r>
        <w:rPr>
          <w:rFonts w:hint="eastAsia" w:ascii="宋体" w:hAnsi="宋体" w:cs="宋体"/>
          <w:szCs w:val="21"/>
        </w:rPr>
        <w:t xml:space="preserve">6.1</w:t>
      </w:r>
      <w:bookmarkStart w:id="24" w:name="_Hlk143439965"/>
      <w:r>
        <w:rPr>
          <w:rFonts w:hint="eastAsia" w:ascii="宋体" w:hAnsi="宋体" w:cs="宋体"/>
          <w:szCs w:val="21"/>
        </w:rPr>
        <w:t xml:space="preserve">本合同范围内服务，应由乙方直接提供，不得转让他人承接；</w:t>
      </w:r>
      <w:bookmarkEnd w:id="24"/>
      <w:r/>
      <w:r/>
    </w:p>
    <w:p>
      <w:pPr>
        <w:ind w:firstLine="420"/>
        <w:spacing w:line="360" w:lineRule="auto"/>
        <w:rPr>
          <w:rFonts w:ascii="宋体" w:hAnsi="宋体" w:cs="宋体"/>
          <w:szCs w:val="21"/>
        </w:rPr>
      </w:pPr>
      <w:r>
        <w:rPr>
          <w:rFonts w:hint="eastAsia" w:ascii="宋体" w:hAnsi="宋体" w:cs="宋体"/>
          <w:szCs w:val="21"/>
        </w:rPr>
        <w:t xml:space="preserve">6.2 除非得到甲方的书面同意，乙方不得部分分包给他人承接。</w:t>
      </w:r>
      <w:r/>
    </w:p>
    <w:p>
      <w:pPr>
        <w:ind w:firstLine="420"/>
        <w:spacing w:line="360" w:lineRule="auto"/>
        <w:rPr>
          <w:rFonts w:ascii="宋体" w:hAnsi="宋体" w:cs="宋体"/>
          <w:szCs w:val="21"/>
        </w:rPr>
      </w:pPr>
      <w:r>
        <w:rPr>
          <w:rFonts w:hint="eastAsia" w:ascii="宋体" w:hAnsi="宋体" w:cs="宋体"/>
          <w:szCs w:val="21"/>
        </w:rPr>
        <w:t xml:space="preserve">6.3若乙方擅自转包或分包的，甲方有权解除合同并要求乙方承担由此造成的全部损失。</w:t>
      </w:r>
      <w:r/>
    </w:p>
    <w:p>
      <w:pPr>
        <w:ind w:firstLine="422"/>
        <w:spacing w:line="360" w:lineRule="auto"/>
        <w:rPr>
          <w:rFonts w:ascii="宋体" w:hAnsi="宋体" w:cs="宋体"/>
          <w:szCs w:val="21"/>
        </w:rPr>
      </w:pPr>
      <w:r>
        <w:rPr>
          <w:rFonts w:hint="eastAsia" w:ascii="宋体" w:hAnsi="宋体" w:cs="宋体"/>
          <w:b/>
          <w:bCs/>
          <w:szCs w:val="21"/>
        </w:rPr>
        <w:t xml:space="preserve">七、</w:t>
      </w:r>
      <w:bookmarkStart w:id="25" w:name="_Hlk143440018"/>
      <w:r>
        <w:rPr>
          <w:rFonts w:hint="eastAsia" w:ascii="宋体" w:hAnsi="宋体" w:cs="宋体"/>
          <w:b/>
          <w:bCs/>
          <w:szCs w:val="21"/>
        </w:rPr>
        <w:t xml:space="preserve">甲方权利和义务：</w:t>
      </w:r>
      <w:bookmarkEnd w:id="25"/>
      <w:r/>
      <w:r/>
    </w:p>
    <w:p>
      <w:pPr>
        <w:pStyle w:val="948"/>
        <w:ind w:firstLine="420"/>
        <w:spacing w:line="360" w:lineRule="auto"/>
        <w:rPr>
          <w:rFonts w:hAnsi="宋体" w:cs="宋体"/>
        </w:rPr>
      </w:pPr>
      <w:r>
        <w:rPr>
          <w:rFonts w:hint="eastAsia" w:hAnsi="宋体" w:cs="宋体"/>
        </w:rPr>
        <w:t xml:space="preserve">7.1 甲方依法组织履约验收工作：</w:t>
      </w:r>
      <w:r/>
    </w:p>
    <w:p>
      <w:pPr>
        <w:pStyle w:val="948"/>
        <w:ind w:firstLine="420"/>
        <w:spacing w:line="360" w:lineRule="auto"/>
        <w:rPr>
          <w:rFonts w:hAnsi="宋体" w:cs="宋体"/>
        </w:rPr>
      </w:pPr>
      <w:r>
        <w:rPr>
          <w:rFonts w:hint="eastAsia" w:hAnsi="宋体" w:cs="宋体"/>
        </w:rPr>
        <w:t xml:space="preserve">（</w:t>
      </w:r>
      <w:r>
        <w:rPr>
          <w:rFonts w:hint="eastAsia" w:hAnsi="宋体" w:cs="宋体"/>
          <w:lang w:val="en-US" w:eastAsia="zh-CN"/>
        </w:rPr>
        <w:t xml:space="preserve">1</w:t>
      </w:r>
      <w:r>
        <w:rPr>
          <w:rFonts w:hint="eastAsia" w:hAnsi="宋体" w:cs="宋体"/>
        </w:rPr>
        <w:t xml:space="preserve">）对于实际使用人和甲方分离的项目，甲方邀请实际使用人参与验收。</w:t>
      </w:r>
      <w:r/>
    </w:p>
    <w:p>
      <w:pPr>
        <w:pStyle w:val="948"/>
        <w:ind w:firstLine="420"/>
        <w:spacing w:line="360" w:lineRule="auto"/>
        <w:rPr>
          <w:rFonts w:hAnsi="宋体" w:cs="宋体"/>
        </w:rPr>
      </w:pPr>
      <w:r>
        <w:rPr>
          <w:rFonts w:hint="eastAsia" w:hAnsi="宋体" w:cs="宋体"/>
        </w:rPr>
        <w:t xml:space="preserve">（</w:t>
      </w:r>
      <w:r>
        <w:rPr>
          <w:rFonts w:hint="eastAsia" w:hAnsi="宋体" w:cs="宋体"/>
          <w:lang w:val="en-US" w:eastAsia="zh-CN"/>
        </w:rPr>
        <w:t xml:space="preserve">2</w:t>
      </w:r>
      <w:r>
        <w:rPr>
          <w:rFonts w:hint="eastAsia" w:hAnsi="宋体" w:cs="宋体"/>
        </w:rPr>
        <w:t xml:space="preserve">）如有必要，甲方邀请参加本项目的其他供应商或第三方专业机构及专家参与验收，相关意见将作为验收书的参考资料。若服务经考核验收不符合技术服务要求和标准的，由乙方承担验收费用。</w:t>
      </w:r>
      <w:r/>
    </w:p>
    <w:p>
      <w:pPr>
        <w:pStyle w:val="948"/>
        <w:ind w:firstLine="420"/>
        <w:spacing w:line="360" w:lineRule="auto"/>
        <w:rPr>
          <w:rFonts w:hAnsi="宋体" w:cs="宋体"/>
        </w:rPr>
      </w:pPr>
      <w:r>
        <w:rPr>
          <w:rFonts w:hint="eastAsia" w:hAnsi="宋体" w:cs="宋体"/>
        </w:rPr>
        <w:t xml:space="preserve">（</w:t>
      </w:r>
      <w:r>
        <w:rPr>
          <w:rFonts w:hint="eastAsia" w:hAnsi="宋体" w:cs="宋体"/>
          <w:lang w:val="en-US" w:eastAsia="zh-CN"/>
        </w:rPr>
        <w:t xml:space="preserve">3</w:t>
      </w:r>
      <w:r>
        <w:rPr>
          <w:rFonts w:hint="eastAsia" w:hAnsi="宋体" w:cs="宋体"/>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48"/>
        <w:ind w:firstLine="420"/>
        <w:spacing w:line="360" w:lineRule="auto"/>
        <w:rPr>
          <w:rFonts w:hAnsi="宋体" w:cs="宋体"/>
        </w:rPr>
      </w:pPr>
      <w:r>
        <w:rPr>
          <w:rFonts w:hint="eastAsia" w:hAnsi="宋体" w:cs="宋体"/>
        </w:rPr>
        <w:t xml:space="preserve">（</w:t>
      </w:r>
      <w:r>
        <w:rPr>
          <w:rFonts w:hint="eastAsia" w:hAnsi="宋体" w:cs="宋体"/>
          <w:lang w:val="en-US" w:eastAsia="zh-CN"/>
        </w:rPr>
        <w:t xml:space="preserve">4</w:t>
      </w:r>
      <w:r>
        <w:rPr>
          <w:rFonts w:hint="eastAsia" w:hAnsi="宋体" w:cs="宋体"/>
        </w:rPr>
        <w:t xml:space="preserve">）验收合格的项目,甲方根据采购合同的约定及时向乙方支付合同款项。验收不合格的项目，甲方依法及时处理。乙方在履约过程中有政府采购法律法规规定的违法违规情形的,甲方将及时报告本级财政部门。</w:t>
      </w:r>
      <w:r/>
    </w:p>
    <w:p>
      <w:pPr>
        <w:pStyle w:val="948"/>
        <w:ind w:firstLine="420"/>
        <w:spacing w:line="360" w:lineRule="auto"/>
        <w:rPr>
          <w:rFonts w:hAnsi="宋体" w:cs="宋体"/>
        </w:rPr>
      </w:pPr>
      <w:r>
        <w:rPr>
          <w:rFonts w:hint="eastAsia" w:hAnsi="宋体" w:cs="宋体"/>
        </w:rPr>
        <w:t xml:space="preserve">（</w:t>
      </w:r>
      <w:r>
        <w:rPr>
          <w:rFonts w:hint="eastAsia" w:hAnsi="宋体" w:cs="宋体"/>
          <w:lang w:val="en-US" w:eastAsia="zh-CN"/>
        </w:rPr>
        <w:t xml:space="preserve">5</w:t>
      </w:r>
      <w:r>
        <w:rPr>
          <w:rFonts w:hint="eastAsia" w:hAnsi="宋体" w:cs="宋体"/>
        </w:rPr>
        <w:t xml:space="preserve">）招标文件规定以外的验收费用由甲乙双方协商解决。若产品经验收不符合技术标准或质量要求，由乙方承担验收费用。</w:t>
      </w:r>
      <w:r/>
    </w:p>
    <w:p>
      <w:pPr>
        <w:ind w:firstLine="420"/>
        <w:spacing w:line="360" w:lineRule="auto"/>
        <w:rPr>
          <w:rFonts w:ascii="宋体" w:hAnsi="宋体" w:cs="宋体"/>
          <w:szCs w:val="21"/>
        </w:rPr>
      </w:pPr>
      <w:r/>
      <w:bookmarkStart w:id="26" w:name="_Hlk143440446"/>
      <w:r>
        <w:rPr>
          <w:rFonts w:hint="eastAsia" w:ascii="宋体" w:hAnsi="宋体" w:cs="宋体"/>
          <w:szCs w:val="21"/>
        </w:rPr>
        <w:t xml:space="preserve">7.2因突发情况，甲方需调动乙方人员和器材设备时，乙方应服从安排并予以配合。</w:t>
      </w:r>
      <w:r/>
    </w:p>
    <w:p>
      <w:pPr>
        <w:ind w:firstLine="420"/>
        <w:spacing w:line="360" w:lineRule="auto"/>
        <w:rPr>
          <w:rFonts w:ascii="宋体" w:hAnsi="宋体" w:cs="宋体"/>
          <w:szCs w:val="21"/>
        </w:rPr>
      </w:pPr>
      <w:r>
        <w:rPr>
          <w:rFonts w:hint="eastAsia" w:ascii="宋体" w:hAnsi="宋体" w:cs="宋体"/>
          <w:szCs w:val="21"/>
        </w:rPr>
        <w:t xml:space="preserve">7.3甲方有权根据国家政策或法律法规的变动对服务的需求标准和质量做出相应变动。</w:t>
      </w:r>
      <w:bookmarkEnd w:id="26"/>
      <w:r/>
      <w:r/>
    </w:p>
    <w:p>
      <w:pPr>
        <w:ind w:firstLine="422"/>
        <w:spacing w:line="360" w:lineRule="auto"/>
        <w:rPr>
          <w:rFonts w:ascii="宋体" w:hAnsi="宋体" w:cs="宋体"/>
          <w:szCs w:val="21"/>
        </w:rPr>
      </w:pPr>
      <w:r/>
      <w:bookmarkStart w:id="27" w:name="_Hlk143440463"/>
      <w:r>
        <w:rPr>
          <w:rFonts w:hint="eastAsia" w:ascii="宋体" w:hAnsi="宋体" w:cs="宋体"/>
          <w:b/>
          <w:bCs/>
          <w:szCs w:val="21"/>
        </w:rPr>
        <w:t xml:space="preserve">八、乙方权利和义务：</w:t>
      </w:r>
      <w:bookmarkEnd w:id="27"/>
      <w:r/>
      <w:r/>
    </w:p>
    <w:p>
      <w:pPr>
        <w:ind w:firstLine="420"/>
        <w:spacing w:line="360" w:lineRule="auto"/>
        <w:rPr>
          <w:rFonts w:ascii="宋体" w:hAnsi="宋体" w:cs="宋体"/>
          <w:szCs w:val="21"/>
        </w:rPr>
      </w:pPr>
      <w:r/>
      <w:bookmarkStart w:id="28" w:name="_Hlk143440488"/>
      <w:r>
        <w:rPr>
          <w:rFonts w:hint="eastAsia" w:ascii="宋体" w:hAnsi="宋体" w:cs="宋体"/>
          <w:szCs w:val="21"/>
        </w:rPr>
        <w:t xml:space="preserve">8.1乙方应根据国家标准、行业标准和规范要求、采购文件规定的服务质量标准和有关要求及投标文件所作的承诺完成服务工作。</w:t>
      </w:r>
      <w:r/>
    </w:p>
    <w:p>
      <w:pPr>
        <w:ind w:firstLine="420"/>
        <w:spacing w:line="360" w:lineRule="auto"/>
        <w:rPr>
          <w:rFonts w:ascii="宋体" w:hAnsi="宋体" w:cs="宋体"/>
          <w:szCs w:val="21"/>
        </w:rPr>
      </w:pPr>
      <w:r>
        <w:rPr>
          <w:rFonts w:hint="eastAsia" w:ascii="宋体" w:hAnsi="宋体" w:cs="宋体"/>
          <w:szCs w:val="21"/>
        </w:rPr>
        <w:t xml:space="preserve">8.2乙方应接受并主动配合甲方及行业主管部门的检查，对甲方指出的问题，应及时做出合理解释或予以纠正。</w:t>
      </w:r>
      <w:r/>
    </w:p>
    <w:p>
      <w:pPr>
        <w:ind w:firstLine="420"/>
        <w:spacing w:line="360" w:lineRule="auto"/>
        <w:rPr>
          <w:rFonts w:ascii="宋体" w:hAnsi="宋体" w:cs="宋体"/>
          <w:szCs w:val="21"/>
        </w:rPr>
      </w:pPr>
      <w:r>
        <w:rPr>
          <w:rFonts w:hint="eastAsia" w:ascii="宋体" w:hAnsi="宋体" w:cs="宋体"/>
          <w:szCs w:val="21"/>
        </w:rPr>
        <w:t xml:space="preserve">8.3对因乙方管理不善而造成甲方的损失，乙方应负责及时修复或照价赔偿。</w:t>
      </w:r>
      <w:r/>
    </w:p>
    <w:p>
      <w:pPr>
        <w:ind w:firstLine="420"/>
        <w:spacing w:line="360" w:lineRule="auto"/>
        <w:rPr>
          <w:rFonts w:ascii="宋体" w:hAnsi="宋体" w:cs="宋体"/>
          <w:szCs w:val="21"/>
        </w:rPr>
      </w:pPr>
      <w:r>
        <w:rPr>
          <w:rFonts w:hint="eastAsia" w:ascii="宋体" w:hAnsi="宋体" w:cs="宋体"/>
          <w:szCs w:val="21"/>
        </w:rPr>
        <w:t xml:space="preserve">8.4乙方应按招标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p>
    <w:p>
      <w:pPr>
        <w:pStyle w:val="948"/>
        <w:ind w:firstLine="420"/>
        <w:spacing w:line="360" w:lineRule="auto"/>
        <w:rPr>
          <w:rFonts w:hAnsi="宋体" w:cs="宋体"/>
          <w:u w:val="single"/>
        </w:rPr>
      </w:pPr>
      <w:r>
        <w:rPr>
          <w:rFonts w:hint="eastAsia" w:hAnsi="宋体" w:cs="宋体"/>
          <w:bCs/>
        </w:rPr>
        <w:t xml:space="preserve">8.5</w:t>
      </w:r>
      <w:r>
        <w:rPr>
          <w:rFonts w:hint="eastAsia" w:hAnsi="宋体" w:cs="宋体"/>
        </w:rPr>
        <w:t xml:space="preserve">乙方保证所交付的产品的所有权在交付甲方前完全属于乙方，且无任何抵押、查封等产权瑕疵。</w:t>
      </w:r>
      <w:r/>
    </w:p>
    <w:p>
      <w:pPr>
        <w:ind w:firstLine="420"/>
        <w:spacing w:line="360" w:lineRule="auto"/>
        <w:rPr>
          <w:rFonts w:ascii="宋体" w:hAnsi="宋体" w:cs="宋体"/>
          <w:szCs w:val="21"/>
        </w:rPr>
      </w:pPr>
      <w:r>
        <w:rPr>
          <w:rFonts w:hint="eastAsia" w:ascii="宋体" w:hAnsi="宋体" w:cs="宋体"/>
          <w:szCs w:val="21"/>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ascii="宋体" w:hAnsi="宋体" w:cs="宋体"/>
          <w:szCs w:val="21"/>
        </w:rPr>
      </w:pPr>
      <w:r>
        <w:rPr>
          <w:rFonts w:hint="eastAsia" w:ascii="宋体" w:hAnsi="宋体" w:cs="宋体"/>
          <w:szCs w:val="21"/>
        </w:rPr>
        <w:t xml:space="preserve">8.7乙方应做好详细的管理台账，建立管理档案，并按双方约定将管理情况汇总报送甲方。</w:t>
      </w:r>
      <w:r/>
    </w:p>
    <w:p>
      <w:pPr>
        <w:ind w:firstLine="420"/>
        <w:spacing w:line="360" w:lineRule="auto"/>
        <w:rPr>
          <w:rFonts w:ascii="宋体" w:hAnsi="宋体" w:cs="宋体"/>
          <w:szCs w:val="21"/>
        </w:rPr>
      </w:pPr>
      <w:r>
        <w:rPr>
          <w:rFonts w:hint="eastAsia" w:ascii="宋体" w:hAnsi="宋体" w:cs="宋体"/>
          <w:szCs w:val="21"/>
        </w:rPr>
        <w:t xml:space="preserve">8.8为确保服务质量，乙方须安排管理人员进行监督管理。</w:t>
      </w:r>
      <w:r/>
    </w:p>
    <w:p>
      <w:pPr>
        <w:ind w:firstLine="420"/>
        <w:spacing w:line="360" w:lineRule="auto"/>
        <w:rPr>
          <w:rFonts w:ascii="宋体" w:hAnsi="宋体" w:cs="宋体"/>
          <w:szCs w:val="21"/>
        </w:rPr>
      </w:pPr>
      <w:r>
        <w:rPr>
          <w:rFonts w:hint="eastAsia" w:ascii="宋体" w:hAnsi="宋体" w:cs="宋体"/>
          <w:szCs w:val="21"/>
        </w:rPr>
        <w:t xml:space="preserve">8.9服务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20"/>
        <w:spacing w:line="360" w:lineRule="auto"/>
        <w:rPr>
          <w:rFonts w:ascii="宋体" w:hAnsi="宋体" w:cs="宋体"/>
          <w:szCs w:val="21"/>
        </w:rPr>
      </w:pPr>
      <w:r>
        <w:rPr>
          <w:rFonts w:hint="eastAsia" w:ascii="宋体" w:hAnsi="宋体" w:cs="宋体"/>
          <w:szCs w:val="21"/>
        </w:rPr>
        <w:t xml:space="preserve">8.10本项目新产生成果的知识产权、所有权、使用权、转让权以及收益等一切权利归甲方享有。未经甲方书面同意，乙方不得公开发表或对外提供。</w:t>
      </w:r>
      <w:r/>
    </w:p>
    <w:p>
      <w:pPr>
        <w:ind w:firstLine="420"/>
        <w:spacing w:line="360" w:lineRule="auto"/>
        <w:rPr>
          <w:rFonts w:ascii="宋体" w:hAnsi="宋体" w:cs="宋体"/>
          <w:szCs w:val="21"/>
        </w:rPr>
      </w:pPr>
      <w:r>
        <w:rPr>
          <w:rFonts w:hint="eastAsia" w:ascii="宋体" w:hAnsi="宋体" w:cs="宋体"/>
          <w:szCs w:val="21"/>
        </w:rPr>
        <w:t xml:space="preserve">8.11 乙方应自行承担技术服务工作的一切有关费用，包括食宿、交通、差旅费等。</w:t>
      </w:r>
      <w:bookmarkEnd w:id="28"/>
      <w:r/>
      <w:r/>
    </w:p>
    <w:p>
      <w:pPr>
        <w:pStyle w:val="948"/>
        <w:ind w:firstLine="422"/>
        <w:spacing w:line="360" w:lineRule="auto"/>
        <w:rPr>
          <w:rFonts w:hAnsi="宋体" w:cs="宋体"/>
          <w:b/>
        </w:rPr>
      </w:pPr>
      <w:r>
        <w:rPr>
          <w:rFonts w:hint="eastAsia" w:hAnsi="宋体" w:cs="宋体"/>
          <w:b/>
        </w:rPr>
        <w:t xml:space="preserve">九、违约责任</w:t>
      </w:r>
      <w:r/>
    </w:p>
    <w:p>
      <w:pPr>
        <w:ind w:firstLine="420"/>
        <w:spacing w:line="360" w:lineRule="auto"/>
        <w:rPr>
          <w:rFonts w:ascii="宋体" w:hAnsi="宋体" w:cs="宋体"/>
          <w:szCs w:val="21"/>
        </w:rPr>
      </w:pPr>
      <w:r>
        <w:rPr>
          <w:rFonts w:hint="eastAsia" w:ascii="宋体" w:hAnsi="宋体" w:cs="宋体"/>
          <w:szCs w:val="21"/>
        </w:rPr>
        <w:t xml:space="preserve">9.1甲方无正当理由要求取消服务的，应按合同总价款的</w:t>
      </w:r>
      <w:r>
        <w:rPr>
          <w:rFonts w:hint="eastAsia" w:ascii="宋体" w:hAnsi="宋体" w:cs="宋体"/>
          <w:szCs w:val="21"/>
          <w:u w:val="single"/>
        </w:rPr>
        <w:t xml:space="preserve">5‰ </w:t>
      </w:r>
      <w:r>
        <w:rPr>
          <w:rFonts w:hint="eastAsia" w:ascii="宋体" w:hAnsi="宋体" w:cs="宋体"/>
          <w:szCs w:val="21"/>
        </w:rPr>
        <w:t xml:space="preserve">向乙方偿付违约金。</w:t>
      </w:r>
      <w:r/>
    </w:p>
    <w:p>
      <w:pPr>
        <w:pStyle w:val="948"/>
        <w:ind w:firstLine="420"/>
        <w:spacing w:line="360" w:lineRule="auto"/>
        <w:rPr>
          <w:rFonts w:hAnsi="宋体" w:cs="宋体"/>
        </w:rPr>
      </w:pPr>
      <w:r>
        <w:rPr>
          <w:rFonts w:hint="eastAsia" w:hAnsi="宋体" w:cs="宋体"/>
        </w:rPr>
        <w:t xml:space="preserve">9.2甲方无故逾期验收和办理合同款支付手续的,甲方应按逾期付款总额</w:t>
      </w:r>
      <w:r>
        <w:rPr>
          <w:rFonts w:hint="eastAsia" w:hAnsi="宋体" w:cs="宋体"/>
          <w:u w:val="single"/>
        </w:rPr>
        <w:t xml:space="preserve"> 6‰ </w:t>
      </w:r>
      <w:r>
        <w:rPr>
          <w:rFonts w:hint="eastAsia" w:hAnsi="宋体" w:cs="宋体"/>
        </w:rPr>
        <w:t xml:space="preserve">向乙方支付违约金。</w:t>
      </w:r>
      <w:r/>
    </w:p>
    <w:p>
      <w:pPr>
        <w:pStyle w:val="948"/>
        <w:ind w:firstLine="420"/>
        <w:spacing w:line="360" w:lineRule="auto"/>
        <w:rPr>
          <w:rFonts w:hAnsi="宋体" w:cs="宋体"/>
        </w:rPr>
      </w:pPr>
      <w:r>
        <w:rPr>
          <w:rFonts w:hint="eastAsia" w:hAnsi="宋体" w:cs="宋体"/>
        </w:rPr>
        <w:t xml:space="preserve">9.3乙方不能按约定时间和要求提供服务的，乙方应按合同总额</w:t>
      </w:r>
      <w:r>
        <w:rPr>
          <w:rFonts w:hint="eastAsia" w:hAnsi="宋体" w:cs="宋体"/>
          <w:u w:val="single"/>
        </w:rPr>
        <w:t xml:space="preserve"> 每日6‰ </w:t>
      </w:r>
      <w:r>
        <w:rPr>
          <w:rFonts w:hint="eastAsia" w:hAnsi="宋体" w:cs="宋体"/>
        </w:rPr>
        <w:t xml:space="preserve">向甲方支付违约金，由甲方从待付合同款中扣除。逾期超过约定日期10个自然日（含本数）不能提供约定服务的，甲方可解除本合同。乙方因违约行为导致甲方解除合同的，乙方应向甲方支付合同总价款</w:t>
      </w:r>
      <w:r>
        <w:rPr>
          <w:rFonts w:hint="eastAsia" w:hAnsi="宋体" w:cs="宋体"/>
          <w:u w:val="single"/>
        </w:rPr>
        <w:t xml:space="preserve"> 5% </w:t>
      </w:r>
      <w:r>
        <w:rPr>
          <w:rFonts w:hint="eastAsia" w:hAnsi="宋体" w:cs="宋体"/>
        </w:rPr>
        <w:t xml:space="preserve">的违约金，如造成甲方损失超过违约金的，超出部分由乙方继续承担赔偿责任。 </w:t>
      </w:r>
      <w:r/>
    </w:p>
    <w:p>
      <w:pPr>
        <w:pStyle w:val="948"/>
        <w:ind w:firstLine="420"/>
        <w:spacing w:line="360" w:lineRule="auto"/>
        <w:rPr>
          <w:rFonts w:hAnsi="宋体" w:cs="宋体"/>
        </w:rPr>
      </w:pPr>
      <w:r>
        <w:rPr>
          <w:rFonts w:hint="eastAsia" w:hAnsi="宋体" w:cs="宋体"/>
        </w:rPr>
        <w:t xml:space="preserve">9.4乙方提供的服务不符合采购文件项目需求要求、乙方投标文件承诺及国家有关质量标准的，甲方有权拒收。乙方愿意完善但逾期提供约定要求服务的，按乙方逾期提供服务处理。乙方拒绝完善的，甲方可单方面解除合同，并由乙方赔偿由此造成的甲方全部损失。</w:t>
      </w:r>
      <w:r/>
    </w:p>
    <w:p>
      <w:pPr>
        <w:pStyle w:val="948"/>
        <w:ind w:firstLine="422"/>
        <w:spacing w:line="360" w:lineRule="auto"/>
        <w:rPr>
          <w:rFonts w:hAnsi="宋体" w:cs="宋体"/>
          <w:b/>
          <w:bCs/>
        </w:rPr>
      </w:pPr>
      <w:r/>
      <w:bookmarkStart w:id="29" w:name="_Hlk143441133"/>
      <w:r>
        <w:rPr>
          <w:rFonts w:hint="eastAsia" w:hAnsi="宋体" w:cs="宋体"/>
          <w:b/>
          <w:bCs/>
        </w:rPr>
        <w:t xml:space="preserve">十、合同的解除</w:t>
      </w:r>
      <w:r/>
    </w:p>
    <w:p>
      <w:pPr>
        <w:ind w:firstLine="420"/>
        <w:spacing w:line="360" w:lineRule="auto"/>
        <w:rPr>
          <w:rFonts w:ascii="宋体" w:hAnsi="宋体" w:cs="宋体"/>
          <w:szCs w:val="21"/>
        </w:rPr>
      </w:pPr>
      <w:r/>
      <w:bookmarkStart w:id="30" w:name="_Hlk143441220"/>
      <w:r>
        <w:rPr>
          <w:rFonts w:hint="eastAsia" w:ascii="宋体" w:hAnsi="宋体" w:cs="宋体"/>
          <w:szCs w:val="21"/>
        </w:rPr>
        <w:t xml:space="preserve">10.1有下列情形之一，合同一方可以解除合同：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（1）因合同一方违约导致合同不能履行，另一方有权解除合同（含本数）。</w:t>
      </w:r>
      <w:r/>
    </w:p>
    <w:p>
      <w:pPr>
        <w:ind w:firstLine="420"/>
        <w:spacing w:line="360" w:lineRule="auto"/>
        <w:rPr>
          <w:rFonts w:ascii="宋体" w:hAnsi="宋体" w:cs="宋体"/>
          <w:szCs w:val="21"/>
        </w:rPr>
      </w:pPr>
      <w:r>
        <w:rPr>
          <w:rFonts w:hint="eastAsia" w:ascii="宋体" w:hAnsi="宋体" w:cs="宋体"/>
          <w:szCs w:val="21"/>
        </w:rPr>
        <w:t xml:space="preserve">（2）甲方有权在出现以下情形时单方面解除合同，合同解除自书面解除通知到达乙方时生效：</w:t>
      </w:r>
      <w:r/>
    </w:p>
    <w:p>
      <w:pPr>
        <w:ind w:firstLine="420"/>
        <w:spacing w:line="360" w:lineRule="auto"/>
        <w:rPr>
          <w:rFonts w:ascii="宋体" w:hAnsi="宋体" w:cs="宋体"/>
          <w:szCs w:val="21"/>
        </w:rPr>
      </w:pPr>
      <w:r>
        <w:rPr>
          <w:rFonts w:hint="eastAsia" w:ascii="宋体" w:hAnsi="宋体" w:cs="宋体"/>
          <w:szCs w:val="21"/>
        </w:rPr>
        <w:t xml:space="preserve">① 乙方逾期未实施或完成约定服务超过</w:t>
      </w:r>
      <w:r>
        <w:rPr>
          <w:rFonts w:hint="eastAsia" w:ascii="宋体" w:hAnsi="宋体" w:cs="宋体"/>
          <w:szCs w:val="21"/>
          <w:u w:val="single"/>
        </w:rPr>
        <w:t xml:space="preserve">10个自然日</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② 乙方履行本合同约定义务时，未达到约定要求，修改或整改超过</w:t>
      </w:r>
      <w:r>
        <w:rPr>
          <w:rFonts w:hint="eastAsia" w:ascii="宋体" w:hAnsi="宋体" w:cs="宋体"/>
          <w:szCs w:val="21"/>
          <w:u w:val="single"/>
        </w:rPr>
        <w:t xml:space="preserve">3</w:t>
      </w:r>
      <w:r>
        <w:rPr>
          <w:rFonts w:hint="eastAsia" w:ascii="宋体" w:hAnsi="宋体" w:cs="宋体"/>
          <w:szCs w:val="21"/>
        </w:rPr>
        <w:t xml:space="preserve">次仍然无法达到约定要求。</w:t>
      </w:r>
      <w:r/>
    </w:p>
    <w:p>
      <w:pPr>
        <w:ind w:firstLine="420"/>
        <w:spacing w:line="360" w:lineRule="auto"/>
        <w:rPr>
          <w:rFonts w:ascii="宋体" w:hAnsi="宋体" w:cs="宋体"/>
          <w:szCs w:val="21"/>
        </w:rPr>
      </w:pPr>
      <w:r>
        <w:rPr>
          <w:rFonts w:hint="eastAsia" w:ascii="宋体" w:hAnsi="宋体" w:cs="宋体"/>
          <w:szCs w:val="21"/>
        </w:rPr>
        <w:t xml:space="preserve">③ 乙方有转让或未经甲方同意的分包行为。 </w:t>
      </w:r>
      <w:r/>
    </w:p>
    <w:p>
      <w:pPr>
        <w:pStyle w:val="948"/>
        <w:ind w:firstLine="420"/>
        <w:spacing w:line="360" w:lineRule="auto"/>
        <w:rPr>
          <w:rFonts w:hAnsi="宋体" w:cs="宋体"/>
        </w:rPr>
      </w:pPr>
      <w:r>
        <w:rPr>
          <w:rFonts w:hint="eastAsia" w:hAnsi="宋体" w:cs="宋体"/>
        </w:rPr>
        <w:t xml:space="preserve">10.2乙方应对甲方提供的资料具有保密义务，未经甲方同意，不得将与本合同的相关内容资料提供给任何第三方单位和个人，否则甲方有权解除合同，并由乙方赔偿由此造成的甲方全部损失。</w:t>
      </w:r>
      <w:bookmarkEnd w:id="29"/>
      <w:r/>
      <w:bookmarkEnd w:id="30"/>
      <w:r/>
      <w:r/>
    </w:p>
    <w:p>
      <w:pPr>
        <w:ind w:firstLine="422"/>
        <w:spacing w:line="360" w:lineRule="auto"/>
        <w:rPr>
          <w:rFonts w:ascii="宋体" w:hAnsi="宋体" w:cs="宋体"/>
          <w:b/>
          <w:szCs w:val="21"/>
        </w:rPr>
      </w:pPr>
      <w:r>
        <w:rPr>
          <w:rFonts w:hint="eastAsia" w:ascii="宋体" w:hAnsi="宋体" w:cs="宋体"/>
          <w:b/>
          <w:szCs w:val="21"/>
        </w:rPr>
        <w:t xml:space="preserve">十一、补充条款</w:t>
      </w:r>
      <w:r/>
    </w:p>
    <w:p>
      <w:pPr>
        <w:pStyle w:val="948"/>
        <w:ind w:firstLine="420"/>
        <w:spacing w:line="360" w:lineRule="auto"/>
        <w:rPr>
          <w:rFonts w:hAnsi="宋体" w:cs="宋体"/>
          <w:b/>
        </w:rPr>
      </w:pPr>
      <w:r>
        <w:rPr>
          <w:rFonts w:hint="eastAsia" w:hAnsi="宋体" w:cs="宋体"/>
          <w:u w:val="single"/>
        </w:rPr>
        <w:t xml:space="preserve">                                                                 </w:t>
      </w:r>
      <w:r/>
    </w:p>
    <w:p>
      <w:pPr>
        <w:pStyle w:val="948"/>
        <w:ind w:firstLine="422"/>
        <w:spacing w:line="360" w:lineRule="auto"/>
        <w:rPr>
          <w:rFonts w:hAnsi="宋体" w:cs="宋体"/>
          <w:b/>
        </w:rPr>
      </w:pPr>
      <w:r>
        <w:rPr>
          <w:rFonts w:hint="eastAsia" w:hAnsi="宋体" w:cs="宋体"/>
          <w:b/>
        </w:rPr>
        <w:t xml:space="preserve">十二、不可抗力事件处理</w:t>
      </w:r>
      <w:r/>
    </w:p>
    <w:p>
      <w:pPr>
        <w:pStyle w:val="948"/>
        <w:ind w:firstLine="420"/>
        <w:spacing w:line="360" w:lineRule="auto"/>
        <w:rPr>
          <w:rFonts w:hAnsi="宋体" w:cs="宋体"/>
        </w:rPr>
      </w:pPr>
      <w:r>
        <w:rPr>
          <w:rFonts w:hint="eastAsia" w:hAnsi="宋体" w:cs="宋体"/>
        </w:rPr>
        <w:t xml:space="preserve">12.1 在合同有效期内，任何一方因不可抗力事件导致不能履行合同，则合同履行期可延长，其延长期与不可抗力影响期相同。</w:t>
      </w:r>
      <w:r/>
    </w:p>
    <w:p>
      <w:pPr>
        <w:pStyle w:val="948"/>
        <w:ind w:firstLine="420"/>
        <w:spacing w:line="360" w:lineRule="auto"/>
        <w:rPr>
          <w:rFonts w:hAnsi="宋体" w:cs="宋体"/>
        </w:rPr>
      </w:pPr>
      <w:r>
        <w:rPr>
          <w:rFonts w:hint="eastAsia" w:hAnsi="宋体" w:cs="宋体"/>
        </w:rPr>
        <w:t xml:space="preserve">12.2 不可抗力事件发生后，应立即通知对方，并寄送有关权威机构出具的证明。</w:t>
      </w:r>
      <w:r/>
    </w:p>
    <w:p>
      <w:pPr>
        <w:pStyle w:val="948"/>
        <w:ind w:firstLine="420"/>
        <w:spacing w:line="360" w:lineRule="auto"/>
        <w:rPr>
          <w:rFonts w:hAnsi="宋体" w:cs="宋体"/>
        </w:rPr>
      </w:pPr>
      <w:r>
        <w:rPr>
          <w:rFonts w:hint="eastAsia" w:hAnsi="宋体" w:cs="宋体"/>
        </w:rPr>
        <w:t xml:space="preserve">12.3 不可抗力事件延续120天以上，双方应通过友好协商，确定是否继续履行合同。</w:t>
      </w:r>
      <w:r/>
    </w:p>
    <w:p>
      <w:pPr>
        <w:pStyle w:val="948"/>
        <w:ind w:firstLine="422"/>
        <w:spacing w:line="360" w:lineRule="auto"/>
        <w:rPr>
          <w:rFonts w:hAnsi="宋体" w:cs="宋体"/>
          <w:b/>
        </w:rPr>
      </w:pPr>
      <w:r>
        <w:rPr>
          <w:rFonts w:hint="eastAsia" w:hAnsi="宋体" w:cs="宋体"/>
          <w:b/>
        </w:rPr>
        <w:t xml:space="preserve">十三、解决争议的方法</w:t>
      </w:r>
      <w:r/>
    </w:p>
    <w:p>
      <w:pPr>
        <w:pStyle w:val="948"/>
        <w:ind w:firstLine="420"/>
        <w:spacing w:line="360" w:lineRule="auto"/>
        <w:rPr>
          <w:rFonts w:hAnsi="宋体" w:cs="宋体"/>
        </w:rPr>
      </w:pPr>
      <w:r>
        <w:rPr>
          <w:rFonts w:hint="eastAsia" w:hAnsi="宋体" w:cs="宋体"/>
        </w:rPr>
        <w:t xml:space="preserve">13.1 双方在执行合同中所发生的一切争议，应通过协商解决。如协商不成，可向甲方所在地法院起诉。</w:t>
      </w:r>
      <w:r/>
    </w:p>
    <w:p>
      <w:pPr>
        <w:pStyle w:val="948"/>
        <w:ind w:firstLine="422"/>
        <w:spacing w:line="360" w:lineRule="auto"/>
        <w:rPr>
          <w:rFonts w:hAnsi="宋体" w:cs="宋体"/>
          <w:b/>
        </w:rPr>
      </w:pPr>
      <w:r/>
      <w:bookmarkStart w:id="31" w:name="_Hlk47429795"/>
      <w:r>
        <w:rPr>
          <w:rFonts w:hint="eastAsia" w:hAnsi="宋体" w:cs="宋体"/>
          <w:b/>
        </w:rPr>
        <w:t xml:space="preserve">十四、合同生效及其它</w:t>
      </w:r>
      <w:bookmarkEnd w:id="31"/>
      <w:r/>
      <w:r/>
    </w:p>
    <w:p>
      <w:pPr>
        <w:pStyle w:val="948"/>
        <w:ind w:firstLine="420"/>
        <w:spacing w:line="360" w:lineRule="auto"/>
        <w:rPr>
          <w:rFonts w:hAnsi="宋体" w:cs="宋体"/>
        </w:rPr>
      </w:pPr>
      <w:r>
        <w:rPr>
          <w:rFonts w:hint="eastAsia" w:hAnsi="宋体" w:cs="宋体"/>
        </w:rPr>
        <w:t xml:space="preserve">14.1 合同经双方法定代表人或授权委托代表人签字并加盖单位公章</w:t>
      </w:r>
      <w:bookmarkStart w:id="32" w:name="_Hlk143441663"/>
      <w:r>
        <w:rPr>
          <w:rFonts w:hint="eastAsia" w:hAnsi="宋体" w:cs="宋体"/>
        </w:rPr>
        <w:t xml:space="preserve">或合同专用章</w:t>
      </w:r>
      <w:bookmarkEnd w:id="32"/>
      <w:r>
        <w:rPr>
          <w:rFonts w:hint="eastAsia" w:hAnsi="宋体" w:cs="宋体"/>
        </w:rPr>
        <w:t xml:space="preserve">后生效。合同有效期为自合同生效至乙方完成本合同、采购文件以及投标文件等规定的所有服务项目并通过甲方验收止。</w:t>
      </w:r>
      <w:r/>
    </w:p>
    <w:p>
      <w:pPr>
        <w:pStyle w:val="948"/>
        <w:ind w:firstLine="420"/>
        <w:spacing w:line="360" w:lineRule="auto"/>
        <w:rPr>
          <w:rFonts w:hAnsi="宋体" w:cs="宋体"/>
        </w:rPr>
      </w:pPr>
      <w:r>
        <w:rPr>
          <w:rFonts w:hint="eastAsia" w:hAnsi="宋体" w:cs="宋体"/>
        </w:rPr>
        <w:t xml:space="preserve">14.2本合同未尽事宜，遵照《中华人民共和国民法典》</w:t>
      </w:r>
      <w:bookmarkStart w:id="33" w:name="_Hlk143441688"/>
      <w:r>
        <w:rPr>
          <w:rFonts w:hint="eastAsia" w:hAnsi="宋体" w:cs="宋体"/>
        </w:rPr>
        <w:t xml:space="preserve">等有关条文执行，双方可经协商达成书面补充协议，补充协议与本合同具有同等法律效力。</w:t>
      </w:r>
      <w:bookmarkEnd w:id="33"/>
      <w:r/>
      <w:r/>
    </w:p>
    <w:p>
      <w:pPr>
        <w:pStyle w:val="948"/>
        <w:ind w:firstLine="420"/>
        <w:spacing w:line="360" w:lineRule="auto"/>
        <w:rPr>
          <w:rFonts w:hAnsi="宋体" w:cs="宋体"/>
        </w:rPr>
      </w:pPr>
      <w:r>
        <w:rPr>
          <w:rFonts w:hint="eastAsia" w:hAnsi="宋体" w:cs="宋体"/>
        </w:rPr>
        <w:t xml:space="preserve">14.3 本合同正本一式</w:t>
      </w:r>
      <w:r>
        <w:rPr>
          <w:rFonts w:hint="eastAsia" w:hAnsi="宋体" w:cs="宋体"/>
          <w:u w:val="single"/>
        </w:rPr>
        <w:t xml:space="preserve">四</w:t>
      </w:r>
      <w:r>
        <w:rPr>
          <w:rFonts w:hint="eastAsia" w:hAnsi="宋体" w:cs="宋体"/>
        </w:rPr>
        <w:t xml:space="preserve">份，具有同等法律效力，甲乙方各执</w:t>
      </w:r>
      <w:r>
        <w:rPr>
          <w:rFonts w:hint="eastAsia" w:hAnsi="宋体" w:cs="宋体"/>
          <w:u w:val="single"/>
        </w:rPr>
        <w:t xml:space="preserve">两</w:t>
      </w:r>
      <w:r>
        <w:rPr>
          <w:rFonts w:hint="eastAsia" w:hAnsi="宋体" w:cs="宋体"/>
        </w:rPr>
        <w:t xml:space="preserve">份。</w:t>
      </w:r>
      <w:r/>
    </w:p>
    <w:p>
      <w:pPr>
        <w:pStyle w:val="948"/>
        <w:ind w:firstLine="420"/>
        <w:spacing w:line="360" w:lineRule="auto"/>
        <w:rPr>
          <w:rFonts w:hAnsi="宋体" w:cs="宋体"/>
        </w:rPr>
      </w:pPr>
      <w:r>
        <w:rPr>
          <w:rFonts w:hint="eastAsia" w:hAnsi="宋体" w:cs="宋体"/>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948"/>
        <w:spacing w:line="360" w:lineRule="auto"/>
        <w:rPr>
          <w:rFonts w:hint="eastAsia" w:hAnsi="宋体" w:cs="宋体"/>
        </w:rPr>
      </w:pPr>
      <w:r>
        <w:rPr>
          <w:rFonts w:hint="eastAsia" w:hAnsi="宋体" w:cs="宋体"/>
        </w:rPr>
      </w:r>
      <w:r/>
    </w:p>
    <w:p>
      <w:pPr>
        <w:pStyle w:val="948"/>
        <w:spacing w:line="360" w:lineRule="auto"/>
        <w:rPr>
          <w:rFonts w:hAnsi="宋体" w:cs="宋体"/>
        </w:rPr>
      </w:pPr>
      <w:r>
        <w:rPr>
          <w:rFonts w:hint="eastAsia" w:hAnsi="宋体" w:cs="宋体"/>
        </w:rPr>
        <w:t xml:space="preserve">甲方全称（盖章）：                   乙方全称（盖章）： </w:t>
      </w:r>
      <w:r/>
    </w:p>
    <w:p>
      <w:pPr>
        <w:pStyle w:val="948"/>
        <w:spacing w:line="360" w:lineRule="auto"/>
        <w:rPr>
          <w:rFonts w:hAnsi="宋体" w:cs="宋体"/>
        </w:rPr>
      </w:pPr>
      <w:r>
        <w:rPr>
          <w:rFonts w:hint="eastAsia" w:hAnsi="宋体" w:cs="宋体"/>
        </w:rPr>
        <w:t xml:space="preserve">法定代表人或授权代表（签字）：       法定代表人或授权代表（签字）：</w:t>
      </w:r>
      <w:r/>
    </w:p>
    <w:p>
      <w:pPr>
        <w:pStyle w:val="948"/>
        <w:spacing w:line="360" w:lineRule="auto"/>
        <w:rPr>
          <w:rFonts w:hAnsi="宋体" w:cs="宋体"/>
        </w:rPr>
      </w:pPr>
      <w:r>
        <w:rPr>
          <w:rFonts w:hint="eastAsia" w:hAnsi="宋体" w:cs="宋体"/>
        </w:rPr>
        <w:t xml:space="preserve">地    址：                          地    址： </w:t>
      </w:r>
      <w:r/>
    </w:p>
    <w:p>
      <w:pPr>
        <w:pStyle w:val="948"/>
        <w:spacing w:line="360" w:lineRule="auto"/>
        <w:rPr>
          <w:rFonts w:hAnsi="宋体" w:cs="宋体"/>
        </w:rPr>
      </w:pPr>
      <w:r>
        <w:rPr>
          <w:rFonts w:hint="eastAsia" w:hAnsi="宋体" w:cs="宋体"/>
        </w:rPr>
        <w:t xml:space="preserve">联系电话：                          联系电话：</w:t>
      </w:r>
      <w:r/>
    </w:p>
    <w:p>
      <w:pPr>
        <w:pStyle w:val="948"/>
        <w:spacing w:line="360" w:lineRule="auto"/>
        <w:rPr>
          <w:rFonts w:hAnsi="宋体" w:cs="宋体"/>
        </w:rPr>
      </w:pPr>
      <w:r>
        <w:rPr>
          <w:rFonts w:hint="eastAsia" w:hAnsi="宋体" w:cs="宋体"/>
        </w:rPr>
        <w:t xml:space="preserve">签订日期：                          签订日期：</w:t>
      </w:r>
      <w:r/>
    </w:p>
    <w:p>
      <w:pPr>
        <w:rPr>
          <w:rFonts w:ascii="仿宋" w:hAnsi="仿宋" w:eastAsia="仿宋" w:cs="仿宋"/>
          <w:sz w:val="28"/>
          <w:szCs w:val="28"/>
        </w:rPr>
      </w:pPr>
      <w:r>
        <w:rPr>
          <w:rFonts w:hint="eastAsia" w:ascii="仿宋" w:hAnsi="仿宋" w:eastAsia="仿宋" w:cs="仿宋"/>
          <w:sz w:val="28"/>
          <w:szCs w:val="28"/>
        </w:rPr>
        <w:t xml:space="preserve">注：格式仅作参考</w:t>
      </w:r>
      <w:bookmarkEnd w:id="0"/>
      <w:r/>
      <w:bookmarkEnd w:id="1"/>
      <w:r/>
      <w:r/>
    </w:p>
    <w:p>
      <w:pPr>
        <w:rPr>
          <w:rFonts w:ascii="Arial" w:hAnsi="Arial" w:cs="Arial"/>
        </w:rPr>
      </w:pPr>
      <w:r/>
      <w:bookmarkStart w:id="34" w:name="_Toc28523"/>
      <w:r/>
      <w:r/>
    </w:p>
    <w:p>
      <w:pPr>
        <w:pStyle w:val="938"/>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4"/>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项目编号：</w:t>
      </w:r>
      <w:r/>
    </w:p>
    <w:p>
      <w:pPr>
        <w:pStyle w:val="956"/>
        <w:ind w:firstLine="720"/>
      </w:pPr>
      <w:r>
        <w:rPr>
          <w:rFonts w:hint="eastAsia" w:ascii="宋体" w:hAnsi="宋体" w:cs="宋体"/>
          <w:sz w:val="36"/>
          <w:szCs w:val="36"/>
        </w:rPr>
        <w:t xml:space="preserve">包号：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2" w:after="312"/>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3、本项目服务时间为：满足采购文件要求。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、一旦我方中标，我方将根据招标文件的规定严格履行合同，并保证于承诺的时间完成</w:t>
      </w:r>
      <w:r>
        <w:rPr>
          <w:rFonts w:hint="eastAsia" w:ascii="Arial" w:hAnsi="Arial" w:cs="Arial"/>
          <w:szCs w:val="21"/>
          <w:lang w:val="en-US" w:eastAsia="zh-CN"/>
        </w:rPr>
        <w:t xml:space="preserve">本项目</w:t>
      </w:r>
      <w:r>
        <w:rPr>
          <w:rFonts w:ascii="Arial" w:hAnsi="Arial" w:cs="Arial"/>
          <w:szCs w:val="21"/>
        </w:rPr>
        <w:t xml:space="preserve">，交付采购人验收、使用。</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pStyle w:val="939"/>
        <w:rPr>
          <w:rFonts w:ascii="宋体" w:hAnsi="宋体" w:cs="宋体"/>
          <w:szCs w:val="21"/>
        </w:rPr>
      </w:pPr>
      <w:r>
        <w:rPr>
          <w:rFonts w:ascii="Arial" w:hAnsi="Arial" w:cs="Arial"/>
          <w:szCs w:val="21"/>
        </w:rPr>
        <w:br w:type="page" w:clear="all"/>
      </w:r>
      <w:r>
        <w:rPr>
          <w:rFonts w:ascii="Arial" w:hAnsi="Arial" w:cs="Arial"/>
          <w:sz w:val="21"/>
          <w:szCs w:val="21"/>
          <w:lang w:val="zh-CN"/>
        </w:rPr>
        <w:t xml:space="preserve">附件二、法定代表人授权委托书</w:t>
      </w:r>
      <w:r/>
    </w:p>
    <w:p>
      <w:pPr>
        <w:ind w:firstLine="720"/>
        <w:jc w:val="center"/>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51"/>
        <w:rPr>
          <w:rFonts w:cs="宋体"/>
        </w:rPr>
      </w:pPr>
      <w:r>
        <w:rPr>
          <w:rFonts w:cs="宋体"/>
        </w:rPr>
      </w:r>
      <w:r/>
    </w:p>
    <w:p>
      <w:pPr>
        <w:pStyle w:val="951"/>
        <w:rPr>
          <w:rFonts w:cs="宋体"/>
        </w:rPr>
      </w:pPr>
      <w:r>
        <w:rPr>
          <w:rFonts w:cs="宋体"/>
        </w:rPr>
      </w:r>
      <w:r/>
    </w:p>
    <w:p>
      <w:pPr>
        <w:pStyle w:val="951"/>
        <w:rPr>
          <w:rFonts w:cs="宋体"/>
        </w:rPr>
      </w:pPr>
      <w:r>
        <w:rPr>
          <w:rFonts w:cs="宋体"/>
        </w:rPr>
      </w:r>
      <w:r/>
    </w:p>
    <w:p>
      <w:pPr>
        <w:rPr>
          <w:rFonts w:ascii="Arial" w:hAnsi="Arial" w:cs="Arial"/>
          <w:b/>
          <w:bCs/>
          <w:szCs w:val="21"/>
          <w:lang w:val="zh-CN"/>
        </w:rPr>
      </w:pPr>
      <w:r>
        <w:rPr>
          <w:rFonts w:ascii="Arial" w:hAnsi="Arial" w:cs="Arial"/>
          <w:b/>
          <w:bCs/>
          <w:szCs w:val="21"/>
          <w:lang w:val="zh-CN"/>
        </w:rPr>
        <w:br w:type="page" w:clear="all"/>
      </w:r>
      <w:r/>
    </w:p>
    <w:p>
      <w:pPr>
        <w:spacing w:line="360" w:lineRule="auto"/>
        <w:rPr>
          <w:rFonts w:ascii="Arial" w:hAnsi="Arial" w:cs="Arial"/>
          <w:lang w:val="zh-CN"/>
        </w:rPr>
      </w:pPr>
      <w:r>
        <w:rPr>
          <w:rFonts w:ascii="Arial" w:hAnsi="Arial" w:cs="Arial"/>
          <w:b/>
          <w:bCs/>
          <w:szCs w:val="21"/>
          <w:lang w:val="zh-CN"/>
        </w:rPr>
        <w:t xml:space="preserve">附件</w:t>
      </w:r>
      <w:r>
        <w:rPr>
          <w:rFonts w:hint="eastAsia" w:ascii="Arial" w:hAnsi="Arial" w:cs="Arial"/>
          <w:b/>
          <w:bCs/>
          <w:szCs w:val="21"/>
        </w:rPr>
        <w:t xml:space="preserve">三</w:t>
      </w:r>
      <w:r>
        <w:rPr>
          <w:rFonts w:ascii="Arial" w:hAnsi="Arial" w:cs="Arial"/>
          <w:b/>
          <w:bCs/>
          <w:szCs w:val="21"/>
          <w:lang w:val="zh-CN"/>
        </w:rPr>
        <w:t xml:space="preserve">、报价表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944"/>
        <w:ind w:firstLine="474"/>
        <w:spacing w:line="440" w:lineRule="exact"/>
        <w:rPr>
          <w:rFonts w:ascii="Arial" w:hAnsi="Arial" w:cs="Arial"/>
          <w:sz w:val="21"/>
          <w:szCs w:val="21"/>
        </w:rPr>
      </w:pPr>
      <w:r>
        <w:rPr>
          <w:rFonts w:ascii="Arial" w:hAnsi="Arial" w:cs="Arial"/>
          <w:sz w:val="21"/>
          <w:szCs w:val="21"/>
        </w:rPr>
        <w:t xml:space="preserve">项目名称：                     </w:t>
      </w:r>
      <w:r/>
    </w:p>
    <w:p>
      <w:pPr>
        <w:pStyle w:val="944"/>
        <w:ind w:firstLine="474"/>
        <w:spacing w:line="440" w:lineRule="exact"/>
        <w:rPr>
          <w:rFonts w:ascii="Arial" w:hAnsi="Arial" w:cs="Arial"/>
          <w:sz w:val="21"/>
          <w:szCs w:val="21"/>
        </w:rPr>
      </w:pPr>
      <w:r>
        <w:rPr>
          <w:rFonts w:ascii="Arial" w:hAnsi="Arial" w:cs="Arial"/>
          <w:sz w:val="21"/>
          <w:szCs w:val="21"/>
        </w:rPr>
        <w:t xml:space="preserve">项目编号：</w:t>
      </w:r>
      <w:r/>
    </w:p>
    <w:tbl>
      <w:tblPr>
        <w:tblStyle w:val="942"/>
        <w:tblW w:w="1010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5"/>
        <w:gridCol w:w="8053"/>
      </w:tblGrid>
      <w:tr>
        <w:trPr>
          <w:cantSplit/>
          <w:trHeight w:val="1682"/>
        </w:trPr>
        <w:tc>
          <w:tcPr>
            <w:tcW w:w="2055" w:type="dxa"/>
            <w:vAlign w:val="center"/>
            <w:textDirection w:val="lrTb"/>
            <w:noWrap w:val="false"/>
          </w:tcPr>
          <w:p>
            <w:pPr>
              <w:pStyle w:val="944"/>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8053" w:type="dxa"/>
            <w:vAlign w:val="center"/>
            <w:textDirection w:val="lrTb"/>
            <w:noWrap w:val="false"/>
          </w:tcPr>
          <w:p>
            <w:pPr>
              <w:pStyle w:val="944"/>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p>
          <w:p>
            <w:pPr>
              <w:pStyle w:val="944"/>
              <w:ind w:firstLine="474"/>
              <w:spacing w:line="440" w:lineRule="exact"/>
              <w:rPr>
                <w:rFonts w:ascii="Arial" w:hAnsi="Arial" w:cs="Arial"/>
                <w:sz w:val="21"/>
                <w:szCs w:val="21"/>
              </w:rPr>
            </w:pPr>
            <w:r>
              <w:rPr>
                <w:rFonts w:ascii="Arial" w:hAnsi="Arial" w:cs="Arial"/>
                <w:sz w:val="21"/>
                <w:szCs w:val="21"/>
              </w:rPr>
            </w:r>
            <w:r/>
          </w:p>
          <w:p>
            <w:pPr>
              <w:pStyle w:val="944"/>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r>
      <w:tr>
        <w:trPr>
          <w:cantSplit/>
          <w:trHeight w:val="1682"/>
        </w:trPr>
        <w:tc>
          <w:tcPr>
            <w:tcW w:w="2055" w:type="dxa"/>
            <w:vAlign w:val="center"/>
            <w:textDirection w:val="lrTb"/>
            <w:noWrap w:val="false"/>
          </w:tcPr>
          <w:p>
            <w:pPr>
              <w:pStyle w:val="944"/>
              <w:ind w:firstLine="0"/>
              <w:spacing w:line="440" w:lineRule="exact"/>
              <w:rPr>
                <w:rFonts w:hint="default" w:ascii="Arial" w:hAnsi="Arial" w:eastAsia="宋体" w:cs="Arial"/>
                <w:sz w:val="21"/>
                <w:szCs w:val="21"/>
                <w:lang w:val="en-US" w:eastAsia="zh-CN"/>
              </w:rPr>
            </w:pPr>
            <w:r>
              <w:rPr>
                <w:rFonts w:hint="eastAsia" w:ascii="Arial" w:hAnsi="Arial" w:cs="Arial"/>
                <w:sz w:val="21"/>
                <w:szCs w:val="21"/>
                <w:lang w:val="en-US" w:eastAsia="zh-CN"/>
              </w:rPr>
              <w:t xml:space="preserve">项目负责人</w:t>
            </w:r>
            <w:r/>
          </w:p>
        </w:tc>
        <w:tc>
          <w:tcPr>
            <w:tcW w:w="8053" w:type="dxa"/>
            <w:vAlign w:val="center"/>
            <w:textDirection w:val="lrTb"/>
            <w:noWrap w:val="false"/>
          </w:tcPr>
          <w:p>
            <w:pPr>
              <w:pStyle w:val="944"/>
              <w:ind w:firstLine="0"/>
              <w:spacing w:line="440" w:lineRule="exact"/>
              <w:rPr>
                <w:rFonts w:ascii="Arial" w:hAnsi="Arial" w:cs="Arial"/>
                <w:sz w:val="21"/>
                <w:szCs w:val="21"/>
              </w:rPr>
            </w:pPr>
            <w:r>
              <w:rPr>
                <w:rFonts w:ascii="Arial" w:hAnsi="Arial" w:cs="Arial"/>
                <w:sz w:val="21"/>
                <w:szCs w:val="21"/>
              </w:rPr>
            </w:r>
            <w:r/>
          </w:p>
        </w:tc>
      </w:tr>
      <w:tr>
        <w:trPr>
          <w:trHeight w:val="1009"/>
        </w:trPr>
        <w:tc>
          <w:tcPr>
            <w:tcW w:w="2055" w:type="dxa"/>
            <w:vAlign w:val="center"/>
            <w:textDirection w:val="lrTb"/>
            <w:noWrap w:val="false"/>
          </w:tcPr>
          <w:p>
            <w:pPr>
              <w:pStyle w:val="944"/>
              <w:ind w:firstLine="0"/>
              <w:spacing w:line="440" w:lineRule="exact"/>
              <w:rPr>
                <w:rFonts w:ascii="Arial" w:hAnsi="Arial" w:cs="Arial"/>
                <w:sz w:val="21"/>
                <w:szCs w:val="21"/>
              </w:rPr>
            </w:pPr>
            <w:r>
              <w:rPr>
                <w:rFonts w:hint="eastAsia" w:ascii="Arial" w:hAnsi="Arial" w:cs="Arial"/>
                <w:sz w:val="21"/>
                <w:szCs w:val="21"/>
              </w:rPr>
              <w:t xml:space="preserve">服务期</w:t>
            </w:r>
            <w:r/>
          </w:p>
        </w:tc>
        <w:tc>
          <w:tcPr>
            <w:tcW w:w="8053" w:type="dxa"/>
            <w:vAlign w:val="center"/>
            <w:textDirection w:val="lrTb"/>
            <w:noWrap w:val="false"/>
          </w:tcPr>
          <w:p>
            <w:pPr>
              <w:pStyle w:val="944"/>
              <w:ind w:firstLine="0"/>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lang w:val="en-US" w:eastAsia="zh-CN"/>
              </w:rPr>
              <w:t xml:space="preserve">招标</w:t>
            </w:r>
            <w:r>
              <w:rPr>
                <w:rFonts w:ascii="Arial" w:hAnsi="Arial" w:cs="Arial"/>
                <w:sz w:val="21"/>
                <w:szCs w:val="21"/>
                <w:u w:val="single"/>
              </w:rPr>
              <w:t xml:space="preserve">文件要求。</w:t>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pPr>
      <w:r>
        <w:rPr>
          <w:rFonts w:ascii="Arial" w:hAnsi="Arial" w:cs="Arial"/>
          <w:b/>
          <w:bCs/>
          <w:szCs w:val="21"/>
          <w:lang w:val="zh-CN"/>
        </w:rPr>
        <w:t xml:space="preserve">附</w:t>
      </w:r>
      <w:r>
        <w:rPr>
          <w:rFonts w:hint="eastAsia" w:ascii="Arial" w:hAnsi="Arial" w:cs="Arial"/>
          <w:b/>
          <w:bCs/>
          <w:szCs w:val="21"/>
        </w:rPr>
        <w:t xml:space="preserve">表</w:t>
      </w:r>
      <w:r>
        <w:rPr>
          <w:rFonts w:ascii="Arial" w:hAnsi="Arial" w:cs="Arial"/>
          <w:b/>
          <w:bCs/>
          <w:szCs w:val="21"/>
          <w:lang w:val="zh-CN"/>
        </w:rPr>
        <w:t xml:space="preserve">、分项报价表</w:t>
      </w:r>
      <w:r>
        <w:rPr>
          <w:rFonts w:hint="eastAsia" w:ascii="Arial" w:hAnsi="Arial" w:cs="Arial"/>
          <w:b/>
          <w:bCs/>
          <w:szCs w:val="21"/>
          <w:lang w:val="zh-CN"/>
        </w:rPr>
        <w:t xml:space="preserve">（如果有，格式自拟）</w:t>
      </w:r>
      <w:r/>
    </w:p>
    <w:p>
      <w:pPr>
        <w:rPr>
          <w:lang w:val="zh-CN"/>
        </w:rPr>
      </w:pPr>
      <w:r>
        <w:rPr>
          <w:lang w:val="zh-CN"/>
        </w:rPr>
      </w:r>
      <w:r/>
    </w:p>
    <w:p>
      <w:pPr>
        <w:rPr>
          <w:lang w:val="zh-CN"/>
        </w:rPr>
      </w:pPr>
      <w:r>
        <w:rPr>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966"/>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1、分项报价表总价需与开标一览表中投标总价一致。</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hint="eastAsia" w:ascii="Arial" w:hAnsi="Arial" w:cs="Arial"/>
          <w:szCs w:val="21"/>
        </w:rPr>
      </w:pPr>
      <w:r>
        <w:rPr>
          <w:rFonts w:ascii="Arial" w:hAnsi="Arial" w:cs="Arial"/>
          <w:szCs w:val="21"/>
        </w:rPr>
        <w:t xml:space="preserve"> </w:t>
      </w: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lang w:val="en-US" w:eastAsia="zh-CN"/>
        </w:rPr>
        <w:t xml:space="preserve">技术</w:t>
      </w:r>
      <w:r>
        <w:rPr>
          <w:rFonts w:hint="eastAsia" w:ascii="Arial" w:hAnsi="Arial" w:cs="Arial"/>
          <w:b/>
          <w:bCs/>
          <w:szCs w:val="21"/>
        </w:rPr>
        <w:t xml:space="preserve">需求偏离表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hint="eastAsia" w:ascii="Arial" w:hAnsi="Arial" w:cs="Arial"/>
          <w:b/>
          <w:szCs w:val="21"/>
        </w:rPr>
      </w:pPr>
      <w:r>
        <w:rPr>
          <w:rFonts w:hint="eastAsia" w:ascii="Arial" w:hAnsi="Arial" w:cs="Arial"/>
          <w:b/>
          <w:sz w:val="36"/>
          <w:szCs w:val="36"/>
          <w:lang w:val="en-US" w:eastAsia="zh-CN"/>
        </w:rPr>
        <w:t xml:space="preserve">技术</w:t>
      </w:r>
      <w:r>
        <w:rPr>
          <w:rFonts w:hint="eastAsia" w:ascii="Arial" w:hAnsi="Arial" w:cs="Arial"/>
          <w:b/>
          <w:sz w:val="36"/>
          <w:szCs w:val="36"/>
        </w:rPr>
        <w:t xml:space="preserve">需求偏离表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42"/>
        <w:tblW w:w="941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5"/>
        <w:gridCol w:w="1843"/>
        <w:gridCol w:w="1843"/>
        <w:gridCol w:w="1843"/>
        <w:gridCol w:w="2076"/>
      </w:tblGrid>
      <w:tr>
        <w:trPr>
          <w:cantSplit/>
          <w:jc w:val="center"/>
        </w:trPr>
        <w:tc>
          <w:tcPr>
            <w:tcBorders>
              <w:top w:val="single" w:color="auto" w:sz="4" w:space="0"/>
              <w:right w:val="single" w:color="auto" w:sz="4" w:space="0"/>
            </w:tcBorders>
            <w:tcW w:w="675" w:type="dxa"/>
            <w:vAlign w:val="center"/>
            <w:vMerge w:val="restart"/>
            <w:textDirection w:val="lrTb"/>
            <w:noWrap w:val="false"/>
          </w:tcPr>
          <w:p>
            <w:pPr>
              <w:jc w:val="center"/>
              <w:rPr>
                <w:rFonts w:ascii="宋体" w:hAnsi="宋体" w:cs="宋体"/>
                <w:szCs w:val="21"/>
              </w:rPr>
            </w:pPr>
            <w:r>
              <w:rPr>
                <w:rFonts w:hint="eastAsia" w:ascii="宋体" w:hAnsi="宋体" w:cs="宋体"/>
              </w:rPr>
              <w:t xml:space="preserve">序号</w:t>
            </w:r>
            <w:r/>
          </w:p>
        </w:tc>
        <w:tc>
          <w:tcPr>
            <w:gridSpan w:val="2"/>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rPr>
                <w:rFonts w:ascii="宋体" w:hAnsi="宋体" w:cs="宋体"/>
                <w:szCs w:val="21"/>
              </w:rPr>
            </w:pPr>
            <w:r>
              <w:rPr>
                <w:rFonts w:hint="eastAsia" w:ascii="宋体" w:hAnsi="宋体" w:cs="宋体"/>
              </w:rPr>
              <w:t xml:space="preserve">招标文件</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szCs w:val="21"/>
              </w:rPr>
            </w:pPr>
            <w:r>
              <w:rPr>
                <w:rFonts w:hint="eastAsia" w:ascii="宋体" w:hAnsi="宋体" w:cs="宋体"/>
              </w:rPr>
              <w:t xml:space="preserve">投标文件</w:t>
            </w:r>
            <w:r/>
          </w:p>
        </w:tc>
        <w:tc>
          <w:tcPr>
            <w:tcBorders>
              <w:top w:val="single" w:color="auto" w:sz="4" w:space="0"/>
              <w:left w:val="none" w:color="000000" w:sz="4" w:space="0"/>
              <w:right w:val="single" w:color="auto" w:sz="4" w:space="0"/>
            </w:tcBorders>
            <w:tcW w:w="1843" w:type="dxa"/>
            <w:vAlign w:val="center"/>
            <w:vMerge w:val="restart"/>
            <w:textDirection w:val="lrTb"/>
            <w:noWrap w:val="false"/>
          </w:tcPr>
          <w:p>
            <w:pPr>
              <w:jc w:val="center"/>
              <w:rPr>
                <w:rFonts w:ascii="宋体" w:hAnsi="宋体" w:cs="宋体"/>
                <w:szCs w:val="21"/>
              </w:rPr>
            </w:pPr>
            <w:r>
              <w:rPr>
                <w:rFonts w:hint="eastAsia" w:ascii="宋体" w:hAnsi="宋体" w:cs="宋体"/>
              </w:rPr>
              <w:t xml:space="preserve">说明</w:t>
            </w:r>
            <w:r/>
          </w:p>
        </w:tc>
        <w:tc>
          <w:tcPr>
            <w:tcBorders>
              <w:top w:val="single" w:color="auto" w:sz="4" w:space="0"/>
              <w:left w:val="none" w:color="000000" w:sz="4" w:space="0"/>
            </w:tcBorders>
            <w:tcW w:w="2076" w:type="dxa"/>
            <w:vAlign w:val="top"/>
            <w:vMerge w:val="restart"/>
            <w:textDirection w:val="lrTb"/>
            <w:noWrap w:val="false"/>
          </w:tcPr>
          <w:p>
            <w:pPr>
              <w:jc w:val="center"/>
              <w:rPr>
                <w:rFonts w:ascii="宋体" w:hAnsi="宋体" w:cs="宋体"/>
                <w:szCs w:val="21"/>
              </w:rPr>
            </w:pPr>
            <w:r>
              <w:rPr>
                <w:rFonts w:hint="eastAsia" w:ascii="宋体" w:hAnsi="宋体" w:cs="宋体"/>
              </w:rPr>
              <w:t xml:space="preserve">重要证明文件响应的具体位置</w:t>
            </w:r>
            <w:r/>
          </w:p>
        </w:tc>
      </w:tr>
      <w:tr>
        <w:trPr>
          <w:cantSplit/>
          <w:jc w:val="center"/>
        </w:trPr>
        <w:tc>
          <w:tcPr>
            <w:tcBorders>
              <w:bottom w:val="single" w:color="auto" w:sz="4" w:space="0"/>
              <w:right w:val="single" w:color="auto" w:sz="4" w:space="0"/>
            </w:tcBorders>
            <w:tcW w:w="675" w:type="dxa"/>
            <w:vAlign w:val="top"/>
            <w:vMerge w:val="continue"/>
            <w:textDirection w:val="lrTb"/>
            <w:noWrap w:val="false"/>
          </w:tcPr>
          <w:p>
            <w:pPr>
              <w:rPr>
                <w:rFonts w:ascii="宋体" w:hAnsi="宋体" w:cs="宋体"/>
                <w:sz w:val="20"/>
                <w:szCs w:val="20"/>
              </w:rPr>
            </w:pPr>
            <w:r>
              <w:rPr>
                <w:rFonts w:ascii="宋体" w:hAnsi="宋体" w:cs="宋体"/>
                <w:sz w:val="20"/>
                <w:szCs w:val="20"/>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jc w:val="center"/>
              <w:rPr>
                <w:rFonts w:ascii="宋体" w:hAnsi="宋体" w:cs="宋体"/>
                <w:szCs w:val="21"/>
              </w:rPr>
            </w:pPr>
            <w:r>
              <w:rPr>
                <w:rFonts w:hint="eastAsia" w:ascii="宋体" w:hAnsi="宋体" w:cs="宋体"/>
              </w:rPr>
              <w:t xml:space="preserve">条目号</w:t>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jc w:val="center"/>
              <w:rPr>
                <w:rFonts w:ascii="宋体" w:hAnsi="宋体" w:cs="宋体"/>
                <w:szCs w:val="21"/>
              </w:rPr>
            </w:pPr>
            <w:r>
              <w:rPr>
                <w:rFonts w:hint="eastAsia" w:ascii="宋体" w:hAnsi="宋体" w:cs="宋体"/>
              </w:rPr>
              <w:t xml:space="preserve">采购要求</w:t>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jc w:val="center"/>
              <w:rPr>
                <w:rFonts w:ascii="宋体" w:hAnsi="宋体" w:cs="宋体"/>
                <w:szCs w:val="21"/>
              </w:rPr>
            </w:pPr>
            <w:r>
              <w:rPr>
                <w:rFonts w:hint="eastAsia" w:ascii="宋体" w:hAnsi="宋体" w:cs="宋体"/>
              </w:rPr>
              <w:t xml:space="preserve">响应具体情况</w:t>
            </w:r>
            <w:r/>
          </w:p>
        </w:tc>
        <w:tc>
          <w:tcPr>
            <w:tcBorders>
              <w:left w:val="none" w:color="000000" w:sz="4" w:space="0"/>
              <w:bottom w:val="single" w:color="auto" w:sz="4" w:space="0"/>
              <w:right w:val="single" w:color="auto" w:sz="4" w:space="0"/>
            </w:tcBorders>
            <w:tcW w:w="1843" w:type="dxa"/>
            <w:vAlign w:val="top"/>
            <w:vMerge w:val="continue"/>
            <w:textDirection w:val="lrTb"/>
            <w:noWrap w:val="false"/>
          </w:tcPr>
          <w:p>
            <w:pPr>
              <w:rPr>
                <w:rFonts w:ascii="宋体" w:hAnsi="宋体" w:cs="宋体"/>
                <w:sz w:val="20"/>
                <w:szCs w:val="20"/>
              </w:rPr>
            </w:pPr>
            <w:r>
              <w:rPr>
                <w:rFonts w:ascii="宋体" w:hAnsi="宋体" w:cs="宋体"/>
                <w:sz w:val="20"/>
                <w:szCs w:val="20"/>
              </w:rPr>
            </w:r>
            <w:r/>
          </w:p>
        </w:tc>
        <w:tc>
          <w:tcPr>
            <w:tcBorders>
              <w:left w:val="none" w:color="000000" w:sz="4" w:space="0"/>
              <w:bottom w:val="single" w:color="auto" w:sz="4" w:space="0"/>
            </w:tcBorders>
            <w:tcW w:w="2076" w:type="dxa"/>
            <w:vAlign w:val="top"/>
            <w:vMerge w:val="continue"/>
            <w:textDirection w:val="lrTb"/>
            <w:noWrap w:val="false"/>
          </w:tcPr>
          <w:p>
            <w:pPr>
              <w:rPr>
                <w:rFonts w:ascii="宋体" w:hAnsi="宋体" w:cs="宋体"/>
                <w:sz w:val="20"/>
                <w:szCs w:val="20"/>
              </w:rPr>
            </w:pPr>
            <w:r>
              <w:rPr>
                <w:rFonts w:ascii="宋体" w:hAnsi="宋体" w:cs="宋体"/>
                <w:sz w:val="20"/>
                <w:szCs w:val="20"/>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67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135"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tcBorders>
            <w:tcW w:w="2076" w:type="dxa"/>
            <w:vAlign w:val="top"/>
            <w:textDirection w:val="lrTb"/>
            <w:noWrap w:val="false"/>
          </w:tcPr>
          <w:p>
            <w:pPr>
              <w:rPr>
                <w:rFonts w:ascii="宋体" w:hAnsi="宋体" w:cs="宋体"/>
                <w:szCs w:val="21"/>
              </w:rPr>
            </w:pPr>
            <w:r>
              <w:rPr>
                <w:rFonts w:ascii="宋体" w:hAnsi="宋体" w:cs="宋体"/>
                <w:szCs w:val="21"/>
              </w:rPr>
            </w:r>
            <w:r/>
          </w:p>
        </w:tc>
      </w:tr>
    </w:tbl>
    <w:p>
      <w:pPr>
        <w:ind w:firstLine="420"/>
        <w:rPr>
          <w:rFonts w:ascii="宋体" w:hAnsi="宋体" w:cs="宋体"/>
          <w:b/>
          <w:bCs/>
        </w:rPr>
      </w:pPr>
      <w:r>
        <w:rPr>
          <w:rFonts w:hint="eastAsia" w:ascii="宋体" w:hAnsi="宋体" w:cs="宋体"/>
        </w:rPr>
        <w:t xml:space="preserve">注：1、</w:t>
      </w:r>
      <w:r>
        <w:rPr>
          <w:rFonts w:hint="eastAsia" w:ascii="宋体" w:hAnsi="宋体" w:cs="宋体"/>
          <w:b/>
          <w:bCs/>
        </w:rPr>
        <w:t xml:space="preserve">供应商应对招标文件第四章</w:t>
      </w:r>
      <w:r>
        <w:rPr>
          <w:rFonts w:hint="eastAsia" w:ascii="宋体" w:hAnsi="宋体" w:cs="宋体"/>
          <w:b/>
          <w:bCs/>
          <w:lang w:val="en-US" w:eastAsia="zh-CN"/>
        </w:rPr>
        <w:t xml:space="preserve">技术</w:t>
      </w:r>
      <w:r>
        <w:rPr>
          <w:rFonts w:hint="eastAsia" w:ascii="宋体" w:hAnsi="宋体" w:cs="宋体"/>
          <w:b/>
          <w:bCs/>
        </w:rPr>
        <w:t xml:space="preserve">需求的内容给予逐条响应，缺项漏项视为负偏离。</w:t>
      </w:r>
      <w:r>
        <w:rPr>
          <w:rFonts w:hint="eastAsia" w:ascii="宋体" w:hAnsi="宋体" w:cs="宋体"/>
        </w:rPr>
        <w:t xml:space="preserve">以投标所能达到的内容予以填写，而不应通过简单拷贝招标文件</w:t>
      </w:r>
      <w:r>
        <w:rPr>
          <w:rFonts w:hint="eastAsia" w:ascii="宋体" w:hAnsi="宋体" w:cs="宋体"/>
          <w:lang w:val="en-US" w:eastAsia="zh-CN"/>
        </w:rPr>
        <w:t xml:space="preserve">技术</w:t>
      </w:r>
      <w:r>
        <w:rPr>
          <w:rFonts w:hint="eastAsia" w:ascii="宋体" w:hAnsi="宋体" w:cs="宋体"/>
        </w:rPr>
        <w:t xml:space="preserve">需求作为响应内容。</w:t>
      </w:r>
      <w:r/>
    </w:p>
    <w:p>
      <w:pPr>
        <w:ind w:firstLine="420"/>
        <w:rPr>
          <w:rFonts w:ascii="宋体" w:hAnsi="宋体" w:cs="宋体"/>
        </w:rPr>
      </w:pPr>
      <w:r>
        <w:rPr>
          <w:rFonts w:hint="eastAsia" w:ascii="宋体" w:hAnsi="宋体" w:cs="宋体"/>
        </w:rPr>
        <w:t xml:space="preserve">2、投标文件“响应具体情况",指所投产品的技术应答情况。“说明”栏请注明“响应/正偏离/负偏离”，并且标注针对重要响应的证明文件在投标文件中的页码及具体位置。</w:t>
      </w:r>
      <w:r/>
    </w:p>
    <w:p>
      <w:pPr>
        <w:ind w:firstLine="420"/>
        <w:rPr>
          <w:rFonts w:ascii="宋体" w:hAnsi="宋体" w:cs="宋体"/>
        </w:rPr>
      </w:pPr>
      <w:r>
        <w:rPr>
          <w:rFonts w:hint="eastAsia" w:ascii="宋体" w:hAnsi="宋体" w:cs="宋体"/>
        </w:rPr>
        <w:t xml:space="preserve">4、如果行数不够，请自行增加。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hd w:val="clear" w:color="auto" w:fill="ffffff"/>
        <w:widowControl/>
        <w:rPr>
          <w:rFonts w:ascii="宋体" w:hAnsi="宋体" w:cs="宋体"/>
          <w:b/>
          <w:szCs w:val="21"/>
        </w:rPr>
      </w:pPr>
      <w:r>
        <w:rPr>
          <w:rFonts w:ascii="宋体" w:hAnsi="宋体" w:cs="宋体"/>
          <w:b/>
          <w:szCs w:val="21"/>
        </w:rPr>
      </w:r>
      <w:r/>
    </w:p>
    <w:p>
      <w:pPr>
        <w:jc w:val="left"/>
        <w:shd w:val="clear" w:color="auto" w:fill="ffffff"/>
        <w:widowControl/>
        <w:rPr>
          <w:rFonts w:ascii="宋体" w:hAnsi="宋体" w:cs="宋体"/>
          <w:szCs w:val="21"/>
        </w:rPr>
      </w:pPr>
      <w:r>
        <w:rPr>
          <w:rFonts w:ascii="宋体" w:hAnsi="宋体" w:cs="宋体"/>
          <w:szCs w:val="21"/>
        </w:rPr>
      </w:r>
      <w:r/>
    </w:p>
    <w:p>
      <w:pPr>
        <w:ind w:firstLine="96"/>
        <w:jc w:val="left"/>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42"/>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437"/>
      </w:tblGrid>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jc w:val="center"/>
              <w:widowControl/>
              <w:rPr>
                <w:rFonts w:ascii="宋体" w:hAnsi="宋体" w:cs="宋体"/>
                <w:szCs w:val="21"/>
              </w:rPr>
            </w:pPr>
            <w:r>
              <w:rPr>
                <w:rFonts w:ascii="宋体" w:hAnsi="宋体" w:cs="宋体"/>
                <w:szCs w:val="21"/>
              </w:rPr>
            </w:r>
            <w:r/>
          </w:p>
        </w:tc>
      </w:tr>
    </w:tbl>
    <w:p>
      <w:pPr>
        <w:ind w:firstLine="420"/>
        <w:rPr>
          <w:rFonts w:ascii="宋体" w:hAnsi="宋体" w:cs="宋体"/>
          <w:b w:val="0"/>
          <w:bCs w:val="0"/>
        </w:rPr>
      </w:pPr>
      <w:r>
        <w:rPr>
          <w:rFonts w:hint="eastAsia" w:ascii="宋体" w:hAnsi="宋体" w:cs="宋体"/>
        </w:rPr>
        <w:t xml:space="preserve">注：1、供应商如对包括服</w:t>
      </w:r>
      <w:r>
        <w:rPr>
          <w:rFonts w:hint="eastAsia" w:ascii="宋体" w:hAnsi="宋体" w:cs="宋体"/>
          <w:b w:val="0"/>
          <w:bCs w:val="0"/>
        </w:rPr>
        <w:t xml:space="preserve">务期、付款方式等商务条款的响应有任何偏离，请在本表中详细填写；如不列出，则视为供应商完全同意招标文件的商务条款。</w:t>
      </w:r>
      <w:r/>
    </w:p>
    <w:p>
      <w:pPr>
        <w:ind w:left="420"/>
        <w:rPr>
          <w:rFonts w:ascii="宋体" w:hAnsi="宋体" w:cs="宋体"/>
        </w:rPr>
      </w:pPr>
      <w:r>
        <w:rPr>
          <w:rFonts w:hint="eastAsia" w:ascii="宋体" w:hAnsi="宋体" w:cs="宋体"/>
        </w:rPr>
        <w:t xml:space="preserve">2、“供应商的承诺或说明”栏请注明“响应/正偏离/负偏离”，正偏离指供应商的响应高于招标文件要求，负偏离指供应商的响应低于招标文件要求。</w:t>
      </w:r>
      <w:r/>
    </w:p>
    <w:p>
      <w:pPr>
        <w:ind w:firstLine="420"/>
        <w:rPr>
          <w:rFonts w:ascii="宋体" w:hAnsi="宋体" w:cs="宋体"/>
        </w:rPr>
      </w:pPr>
      <w:r>
        <w:rPr>
          <w:rFonts w:hint="eastAsia" w:ascii="宋体" w:hAnsi="宋体" w:cs="宋体"/>
        </w:rPr>
        <w:t xml:space="preserve">3、如果行数不够，请自行增加。</w:t>
      </w:r>
      <w:r/>
    </w:p>
    <w:p>
      <w:pPr>
        <w:jc w:val="left"/>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Arial" w:hAnsi="Arial" w:cs="Arial"/>
          <w:b/>
          <w:szCs w:val="21"/>
        </w:rPr>
      </w:pPr>
      <w:r>
        <w:rPr>
          <w:rFonts w:ascii="Arial" w:hAnsi="Arial" w:cs="Arial"/>
          <w:b/>
          <w:bCs/>
          <w:szCs w:val="21"/>
        </w:rPr>
        <w:br w:type="page" w:clear="all"/>
      </w:r>
      <w:r>
        <w:rPr>
          <w:rFonts w:ascii="Arial" w:hAnsi="Arial" w:cs="Arial"/>
          <w:b/>
          <w:bCs/>
          <w:szCs w:val="21"/>
        </w:rPr>
        <w:t xml:space="preserve">附件</w:t>
      </w:r>
      <w:r>
        <w:rPr>
          <w:rFonts w:hint="eastAsia" w:ascii="Arial" w:hAnsi="Arial" w:cs="Arial"/>
          <w:b/>
          <w:bCs/>
          <w:szCs w:val="21"/>
        </w:rPr>
        <w:t xml:space="preserve">六</w:t>
      </w:r>
      <w:r>
        <w:rPr>
          <w:rFonts w:ascii="Arial" w:hAnsi="Arial" w:cs="Arial"/>
          <w:b/>
          <w:bCs/>
          <w:szCs w:val="21"/>
        </w:rPr>
        <w:t xml:space="preserve">、</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968"/>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968"/>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w:t>
      </w:r>
      <w:r>
        <w:rPr>
          <w:rFonts w:hint="eastAsia" w:ascii="Arial" w:hAnsi="Arial" w:cs="Arial"/>
          <w:b/>
          <w:bCs/>
          <w:sz w:val="24"/>
        </w:rPr>
        <w:t xml:space="preserve">七</w:t>
      </w:r>
      <w:r>
        <w:rPr>
          <w:rFonts w:ascii="Arial" w:hAnsi="Arial" w:cs="Arial"/>
          <w:b/>
          <w:bCs/>
          <w:sz w:val="24"/>
        </w:rPr>
        <w:t xml:space="preserve">、拟参与本项目服务人员一览表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94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94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合同签订</w:t>
            </w: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939"/>
        <w:numPr>
          <w:ilvl w:val="0"/>
          <w:numId w:val="0"/>
        </w:numPr>
        <w:rPr>
          <w:rFonts w:hint="eastAsia" w:cs="宋体"/>
          <w:szCs w:val="21"/>
        </w:rPr>
      </w:pPr>
      <w:r>
        <w:rPr>
          <w:rFonts w:ascii="Arial" w:hAnsi="Arial" w:cs="Arial"/>
          <w:szCs w:val="21"/>
          <w:u w:val="single"/>
        </w:rPr>
        <w:br w:type="page" w:clear="all"/>
      </w:r>
      <w:r>
        <w:rPr>
          <w:rFonts w:hint="eastAsia" w:ascii="宋体" w:hAnsi="宋体" w:eastAsia="宋体" w:cs="宋体"/>
          <w:b w:val="0"/>
          <w:sz w:val="21"/>
          <w:szCs w:val="21"/>
        </w:rPr>
        <w:t xml:space="preserve">附件九：政府采购政策相关资料</w:t>
      </w:r>
      <w:r/>
    </w:p>
    <w:p>
      <w:pPr>
        <w:spacing w:line="400" w:lineRule="exact"/>
        <w:rPr>
          <w:rFonts w:hAnsi="宋体"/>
          <w:b/>
          <w:szCs w:val="21"/>
        </w:rPr>
        <w:outlineLvl w:val="2"/>
      </w:pPr>
      <w:r/>
      <w:bookmarkStart w:id="35" w:name="_Toc447021131"/>
      <w:r/>
      <w:bookmarkStart w:id="36" w:name="_Toc450220984"/>
      <w:r>
        <w:rPr>
          <w:rFonts w:hint="eastAsia" w:hAnsi="宋体"/>
          <w:bCs/>
          <w:szCs w:val="21"/>
        </w:rPr>
        <w:t xml:space="preserve">（一）政府采购促进中小企业发展政策</w:t>
      </w:r>
      <w:bookmarkEnd w:id="35"/>
      <w:r/>
      <w:bookmarkEnd w:id="36"/>
      <w:r/>
      <w:r/>
    </w:p>
    <w:p>
      <w:pPr>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rPr>
        <w:t xml:space="preserve">1、中小企业声明函（</w:t>
      </w:r>
      <w:r>
        <w:rPr>
          <w:rFonts w:hint="eastAsia" w:ascii="宋体" w:hAnsi="宋体" w:cs="Arial"/>
          <w:b/>
          <w:bCs/>
          <w:sz w:val="28"/>
          <w:szCs w:val="28"/>
        </w:rPr>
        <w:t xml:space="preserve">服务</w:t>
      </w:r>
      <w:r>
        <w:rPr>
          <w:rFonts w:hint="eastAsia" w:ascii="Arial" w:hAnsi="Arial" w:cs="Arial"/>
          <w:b/>
          <w:bCs/>
          <w:sz w:val="28"/>
        </w:rPr>
        <w:t xml:space="preserve">）</w:t>
      </w:r>
      <w:r/>
    </w:p>
    <w:p>
      <w:pPr>
        <w:pStyle w:val="946"/>
        <w:jc w:val="both"/>
        <w:spacing w:before="2"/>
        <w:rPr>
          <w:rFonts w:ascii="宋体"/>
          <w:sz w:val="47"/>
        </w:rPr>
      </w:pPr>
      <w:r>
        <w:rPr>
          <w:rFonts w:ascii="宋体"/>
          <w:sz w:val="47"/>
        </w:rPr>
      </w:r>
      <w:r/>
    </w:p>
    <w:p>
      <w:pPr>
        <w:pStyle w:val="946"/>
        <w:ind w:right="295"/>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w:t>
      </w:r>
      <w:r/>
    </w:p>
    <w:p>
      <w:pPr>
        <w:pStyle w:val="946"/>
        <w:ind w:right="295"/>
        <w:jc w:val="both"/>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下：</w:t>
      </w:r>
      <w:r/>
    </w:p>
    <w:p>
      <w:pPr>
        <w:pStyle w:val="946"/>
        <w:ind w:right="295"/>
        <w:jc w:val="left"/>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1.（标的名称），属于（采购文件中明确的所属行业）；承建（承接）企业为（企业名称），从业人员 </w:t>
      </w:r>
      <w:r>
        <w:rPr>
          <w:rFonts w:hint="eastAsia" w:ascii="宋体" w:hAnsi="宋体" w:eastAsia="宋体" w:cs="宋体"/>
          <w:b w:val="0"/>
          <w:bCs w:val="0"/>
          <w:sz w:val="21"/>
        </w:rPr>
        <w:tab/>
      </w:r>
      <w:r>
        <w:rPr>
          <w:rFonts w:hint="eastAsia" w:ascii="宋体" w:hAnsi="宋体" w:eastAsia="宋体" w:cs="宋体"/>
          <w:b w:val="0"/>
          <w:bCs w:val="0"/>
          <w:sz w:val="21"/>
        </w:rPr>
        <w:t xml:space="preserve">人，营业收入为 </w:t>
      </w:r>
      <w:r>
        <w:rPr>
          <w:rFonts w:hint="eastAsia" w:ascii="宋体" w:hAnsi="宋体" w:eastAsia="宋体" w:cs="宋体"/>
          <w:b w:val="0"/>
          <w:bCs w:val="0"/>
          <w:sz w:val="21"/>
        </w:rPr>
        <w:tab/>
      </w:r>
      <w:r>
        <w:rPr>
          <w:rFonts w:hint="eastAsia" w:ascii="宋体" w:hAnsi="宋体" w:eastAsia="宋体" w:cs="宋体"/>
          <w:b w:val="0"/>
          <w:bCs w:val="0"/>
          <w:sz w:val="21"/>
        </w:rPr>
        <w:t xml:space="preserve">万元，资产总额为 </w:t>
      </w:r>
      <w:r>
        <w:rPr>
          <w:rFonts w:hint="eastAsia" w:ascii="宋体" w:hAnsi="宋体" w:eastAsia="宋体" w:cs="宋体"/>
          <w:b w:val="0"/>
          <w:bCs w:val="0"/>
          <w:sz w:val="21"/>
        </w:rPr>
        <w:tab/>
      </w:r>
      <w:r>
        <w:rPr>
          <w:rFonts w:hint="eastAsia" w:ascii="宋体" w:hAnsi="宋体" w:eastAsia="宋体" w:cs="宋体"/>
          <w:b w:val="0"/>
          <w:bCs w:val="0"/>
          <w:sz w:val="21"/>
        </w:rPr>
        <w:t xml:space="preserve">   万元</w:t>
      </w:r>
      <w:r>
        <w:rPr>
          <w:rFonts w:hint="eastAsia" w:ascii="宋体" w:hAnsi="宋体" w:eastAsia="宋体" w:cs="宋体"/>
          <w:b w:val="0"/>
          <w:bCs w:val="0"/>
          <w:sz w:val="21"/>
        </w:rPr>
        <w:fldChar w:fldCharType="begin"/>
      </w:r>
      <w:r>
        <w:rPr>
          <w:rFonts w:hint="eastAsia" w:ascii="宋体" w:hAnsi="宋体" w:eastAsia="宋体" w:cs="宋体"/>
          <w:b w:val="0"/>
          <w:bCs w:val="0"/>
          <w:sz w:val="21"/>
        </w:rPr>
        <w:instrText xml:space="preserve"> HYPERLINK \l "_bookmark1" </w:instrText>
      </w:r>
      <w:r>
        <w:rPr>
          <w:rFonts w:hint="eastAsia" w:ascii="宋体" w:hAnsi="宋体" w:eastAsia="宋体" w:cs="宋体"/>
          <w:b w:val="0"/>
          <w:bCs w:val="0"/>
          <w:sz w:val="21"/>
        </w:rPr>
        <w:fldChar w:fldCharType="separate"/>
      </w:r>
      <w:r>
        <w:rPr>
          <w:rFonts w:hint="eastAsia" w:ascii="宋体" w:hAnsi="宋体" w:eastAsia="宋体" w:cs="宋体"/>
          <w:b w:val="0"/>
          <w:bCs w:val="0"/>
          <w:sz w:val="21"/>
        </w:rPr>
        <w:t xml:space="preserve">1</w:t>
      </w:r>
      <w:r>
        <w:rPr>
          <w:rFonts w:hint="eastAsia" w:ascii="宋体" w:hAnsi="宋体" w:eastAsia="宋体" w:cs="宋体"/>
          <w:b w:val="0"/>
          <w:bCs w:val="0"/>
          <w:sz w:val="21"/>
        </w:rPr>
        <w:fldChar w:fldCharType="end"/>
      </w:r>
      <w:r>
        <w:rPr>
          <w:rFonts w:hint="eastAsia" w:ascii="宋体" w:hAnsi="宋体" w:eastAsia="宋体" w:cs="宋体"/>
          <w:b w:val="0"/>
          <w:bCs w:val="0"/>
          <w:sz w:val="21"/>
        </w:rPr>
        <w:t xml:space="preserve">，属于（中型企业、小型企业、微型企业）；</w:t>
      </w:r>
      <w:r/>
    </w:p>
    <w:p>
      <w:pPr>
        <w:pStyle w:val="946"/>
        <w:ind w:firstLine="376"/>
        <w:jc w:val="left"/>
        <w:spacing w:before="34"/>
        <w:rPr>
          <w:rFonts w:hint="eastAsia" w:ascii="宋体" w:hAnsi="宋体" w:eastAsia="宋体" w:cs="宋体"/>
          <w:b w:val="0"/>
          <w:bCs w:val="0"/>
          <w:sz w:val="21"/>
        </w:rPr>
      </w:pPr>
      <w:r>
        <w:rPr>
          <w:rFonts w:hint="eastAsia" w:ascii="宋体" w:hAnsi="宋体" w:eastAsia="宋体" w:cs="宋体"/>
          <w:b w:val="0"/>
          <w:bCs w:val="0"/>
          <w:sz w:val="21"/>
        </w:rPr>
        <w:t xml:space="preserve"> 2.（标的名称），属于（采购文件中明确的所属行业）；承建（承接）企业为（企业名称），从业人员 </w:t>
      </w:r>
      <w:r>
        <w:rPr>
          <w:rFonts w:hint="eastAsia" w:ascii="宋体" w:hAnsi="宋体" w:eastAsia="宋体" w:cs="宋体"/>
          <w:b w:val="0"/>
          <w:bCs w:val="0"/>
          <w:sz w:val="21"/>
        </w:rPr>
        <w:tab/>
      </w:r>
      <w:r>
        <w:rPr>
          <w:rFonts w:hint="eastAsia" w:ascii="宋体" w:hAnsi="宋体" w:eastAsia="宋体" w:cs="宋体"/>
          <w:b w:val="0"/>
          <w:bCs w:val="0"/>
          <w:sz w:val="21"/>
        </w:rPr>
        <w:t xml:space="preserve">  人，营业收入为 </w:t>
      </w:r>
      <w:r>
        <w:rPr>
          <w:rFonts w:hint="eastAsia" w:ascii="宋体" w:hAnsi="宋体" w:eastAsia="宋体" w:cs="宋体"/>
          <w:b w:val="0"/>
          <w:bCs w:val="0"/>
          <w:sz w:val="21"/>
        </w:rPr>
        <w:tab/>
      </w:r>
      <w:r>
        <w:rPr>
          <w:rFonts w:hint="eastAsia" w:ascii="宋体" w:hAnsi="宋体" w:eastAsia="宋体" w:cs="宋体"/>
          <w:b w:val="0"/>
          <w:bCs w:val="0"/>
          <w:sz w:val="21"/>
        </w:rPr>
        <w:t xml:space="preserve">万元，资产总额为 </w:t>
      </w:r>
      <w:r>
        <w:rPr>
          <w:rFonts w:hint="eastAsia" w:ascii="宋体" w:hAnsi="宋体" w:eastAsia="宋体" w:cs="宋体"/>
          <w:b w:val="0"/>
          <w:bCs w:val="0"/>
          <w:sz w:val="21"/>
        </w:rPr>
        <w:tab/>
      </w:r>
      <w:r>
        <w:rPr>
          <w:rFonts w:hint="eastAsia" w:ascii="宋体" w:hAnsi="宋体" w:eastAsia="宋体" w:cs="宋体"/>
          <w:b w:val="0"/>
          <w:bCs w:val="0"/>
          <w:sz w:val="21"/>
        </w:rPr>
        <w:t xml:space="preserve">   万元</w:t>
      </w:r>
      <w:r>
        <w:rPr>
          <w:rFonts w:hint="eastAsia" w:ascii="宋体" w:hAnsi="宋体" w:eastAsia="宋体" w:cs="宋体"/>
          <w:b w:val="0"/>
          <w:bCs w:val="0"/>
          <w:sz w:val="21"/>
        </w:rPr>
        <w:fldChar w:fldCharType="begin"/>
      </w:r>
      <w:r>
        <w:rPr>
          <w:rFonts w:hint="eastAsia" w:ascii="宋体" w:hAnsi="宋体" w:eastAsia="宋体" w:cs="宋体"/>
          <w:b w:val="0"/>
          <w:bCs w:val="0"/>
          <w:sz w:val="21"/>
        </w:rPr>
        <w:instrText xml:space="preserve"> HYPERLINK \l "_bookmark1" </w:instrText>
      </w:r>
      <w:r>
        <w:rPr>
          <w:rFonts w:hint="eastAsia" w:ascii="宋体" w:hAnsi="宋体" w:eastAsia="宋体" w:cs="宋体"/>
          <w:b w:val="0"/>
          <w:bCs w:val="0"/>
          <w:sz w:val="21"/>
        </w:rPr>
        <w:fldChar w:fldCharType="separate"/>
      </w:r>
      <w:r>
        <w:rPr>
          <w:rFonts w:hint="eastAsia" w:ascii="宋体" w:hAnsi="宋体" w:eastAsia="宋体" w:cs="宋体"/>
          <w:b w:val="0"/>
          <w:bCs w:val="0"/>
          <w:sz w:val="21"/>
        </w:rPr>
        <w:t xml:space="preserve">1</w:t>
      </w:r>
      <w:r>
        <w:rPr>
          <w:rFonts w:hint="eastAsia" w:ascii="宋体" w:hAnsi="宋体" w:eastAsia="宋体" w:cs="宋体"/>
          <w:b w:val="0"/>
          <w:bCs w:val="0"/>
          <w:sz w:val="21"/>
        </w:rPr>
        <w:fldChar w:fldCharType="end"/>
      </w:r>
      <w:r>
        <w:rPr>
          <w:rFonts w:hint="eastAsia" w:ascii="宋体" w:hAnsi="宋体" w:eastAsia="宋体" w:cs="宋体"/>
          <w:b w:val="0"/>
          <w:bCs w:val="0"/>
          <w:sz w:val="21"/>
        </w:rPr>
        <w:t xml:space="preserve">，属于（中型企业、小型企业、微型企业）；</w:t>
      </w:r>
      <w:r/>
    </w:p>
    <w:p>
      <w:pPr>
        <w:pStyle w:val="946"/>
        <w:ind w:firstLine="376"/>
        <w:jc w:val="left"/>
        <w:spacing w:before="34"/>
        <w:rPr>
          <w:rFonts w:hint="eastAsia" w:ascii="宋体" w:hAnsi="宋体" w:eastAsia="宋体" w:cs="宋体"/>
          <w:b w:val="0"/>
          <w:bCs w:val="0"/>
          <w:sz w:val="21"/>
        </w:rPr>
      </w:pPr>
      <w:r>
        <w:rPr>
          <w:rFonts w:hint="eastAsia" w:ascii="宋体" w:hAnsi="宋体" w:eastAsia="宋体" w:cs="宋体"/>
          <w:b w:val="0"/>
          <w:bCs w:val="0"/>
          <w:sz w:val="21"/>
        </w:rPr>
        <w:t xml:space="preserve">……</w:t>
      </w:r>
      <w:r/>
    </w:p>
    <w:p>
      <w:pPr>
        <w:pStyle w:val="946"/>
        <w:ind w:right="297"/>
        <w:jc w:val="left"/>
        <w:spacing w:before="99"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以上企业，不属于大企业的分支机构，不存在控股股东为大企业的情形，也不存在与大企业的负责人为同一人的情形。</w:t>
      </w:r>
      <w:r/>
    </w:p>
    <w:p>
      <w:pPr>
        <w:pStyle w:val="946"/>
        <w:ind w:right="297"/>
        <w:jc w:val="left"/>
        <w:spacing w:before="99"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本企业对上述声明内容的真实性负责。如有虚假，将依法承担相应责任。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2.《中小企业声明函》中所填的行业应与本采购标的对应的中小企业划分标准所属行业一致。</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3.如未对（中型企业、小型企业、微型企业）进行勾选，视同非中小微企业。</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jc w:val="left"/>
        <w:widowControl/>
        <w:rPr>
          <w:rFonts w:ascii="Arial" w:hAnsi="Arial" w:cs="Arial"/>
          <w:szCs w:val="21"/>
        </w:rPr>
      </w:pPr>
      <w:r>
        <w:rPr>
          <w:rFonts w:ascii="Arial" w:hAnsi="Arial" w:cs="Arial"/>
          <w:szCs w:val="21"/>
        </w:rPr>
      </w:r>
      <w:r/>
    </w:p>
    <w:tbl>
      <w:tblPr>
        <w:tblStyle w:val="942"/>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行业名称</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指标名称</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计量</w:t>
            </w:r>
            <w:r/>
          </w:p>
          <w:p>
            <w:pPr>
              <w:ind w:left="147"/>
              <w:jc w:val="center"/>
              <w:spacing w:before="31" w:line="228" w:lineRule="auto"/>
              <w:rPr>
                <w:rFonts w:ascii="宋体" w:hAnsi="宋体" w:cs="宋体"/>
              </w:rPr>
            </w:pPr>
            <w:r>
              <w:rPr>
                <w:rFonts w:hint="eastAsia" w:ascii="宋体" w:hAnsi="宋体" w:cs="宋体"/>
              </w:rPr>
              <w:t xml:space="preserve">单位</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中型</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小型</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农、林、牧、渔</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工业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建筑业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6000≤Y＜80000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300≤Y＜6000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300≤Z＜5000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批发业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5≤X＜20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零售业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10≤X＜50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交通运输业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200≤Y＜3000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仓储业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邮政业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住宿业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餐饮业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信息传输业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软件和信息技术服务业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房地产开发经营</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1000≤Y＜200000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物业管理</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hint="eastAsia" w:ascii="宋体" w:hAnsi="宋体" w:cs="宋体"/>
              </w:rPr>
            </w:pPr>
            <w:r>
              <w:rPr>
                <w:rFonts w:hint="eastAsia" w:ascii="宋体" w:hAnsi="宋体" w:cs="宋体"/>
              </w:rPr>
              <w:t xml:space="preserve">租赁和商务服务业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8000≤Z＜120000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100≤Z＜8000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hint="eastAsia" w:ascii="宋体" w:hAnsi="宋体" w:cs="宋体"/>
              </w:rPr>
            </w:pPr>
            <w:r>
              <w:rPr>
                <w:rFonts w:hint="eastAsia" w:ascii="宋体" w:hAnsi="宋体" w:cs="宋体"/>
              </w:rPr>
              <w:t xml:space="preserve">其他未列明行业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bl>
    <w:p>
      <w:pPr>
        <w:rPr>
          <w:rFonts w:ascii="宋体" w:hAnsi="宋体" w:cs="宋体"/>
        </w:rPr>
      </w:pPr>
      <w:r>
        <w:rPr>
          <w:rFonts w:ascii="宋体" w:hAnsi="宋体" w:cs="宋体"/>
        </w:rPr>
      </w:r>
      <w:r/>
    </w:p>
    <w:p>
      <w:pPr>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37" w:name="_Toc27977"/>
      <w:r>
        <w:rPr>
          <w:rFonts w:hint="eastAsia" w:ascii="宋体" w:hAnsi="宋体" w:cs="宋体"/>
        </w:rPr>
        <w:t xml:space="preserve">小型企业须同时满足所列指标的下限，否则下划一档；微型企业只须满足所列指标中的一项即可。</w:t>
      </w:r>
      <w:bookmarkEnd w:id="37"/>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jc w:val="center"/>
        <w:spacing w:line="360" w:lineRule="auto"/>
        <w:rPr>
          <w:rFonts w:ascii="Arial" w:hAnsi="Arial" w:cs="Arial"/>
          <w:b/>
          <w:bCs/>
          <w:sz w:val="28"/>
        </w:rPr>
      </w:pPr>
      <w:r>
        <w:rPr>
          <w:rFonts w:hint="eastAsia" w:ascii="Arial" w:hAnsi="Arial" w:cs="Arial"/>
          <w:b/>
          <w:bCs/>
          <w:sz w:val="28"/>
        </w:rPr>
        <w:t xml:space="preserve">2、</w:t>
      </w: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rPr>
        <w:t xml:space="preserve">3、</w:t>
      </w: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rPr>
          <w:rFonts w:ascii="宋体" w:hAnsi="宋体" w:cs="宋体"/>
        </w:rPr>
      </w:pPr>
      <w:r>
        <w:rPr>
          <w:rFonts w:ascii="Arial" w:hAnsi="Arial" w:cs="Arial"/>
          <w:b/>
          <w:bCs/>
          <w:sz w:val="28"/>
        </w:rPr>
        <w:br w:type="page" w:clear="all"/>
      </w:r>
      <w:bookmarkStart w:id="38" w:name="_Toc30860"/>
      <w:r>
        <w:rPr>
          <w:rFonts w:hint="eastAsia" w:ascii="宋体" w:hAnsi="宋体" w:cs="宋体"/>
        </w:rPr>
        <w:t xml:space="preserve">附件十、资格资信证明文件</w:t>
      </w:r>
      <w:bookmarkEnd w:id="38"/>
      <w:r/>
      <w:r/>
    </w:p>
    <w:p>
      <w:pPr>
        <w:pStyle w:val="947"/>
        <w:ind w:left="0"/>
        <w:rPr>
          <w:rFonts w:ascii="宋体" w:hAnsi="宋体" w:cs="宋体"/>
        </w:rPr>
      </w:pPr>
      <w:r>
        <w:rPr>
          <w:rFonts w:ascii="宋体" w:hAnsi="宋体" w:cs="宋体"/>
        </w:rPr>
      </w:r>
      <w:r/>
    </w:p>
    <w:p>
      <w:pPr>
        <w:jc w:val="left"/>
        <w:widowControl/>
        <w:rPr>
          <w:rFonts w:ascii="宋体" w:hAnsi="宋体" w:cs="宋体"/>
          <w:b/>
          <w:bCs/>
        </w:rPr>
        <w:outlineLvl w:val="2"/>
      </w:pPr>
      <w:r/>
      <w:bookmarkStart w:id="39" w:name="_Toc4890"/>
      <w:r>
        <w:rPr>
          <w:rFonts w:hint="eastAsia" w:ascii="宋体" w:hAnsi="宋体" w:cs="宋体"/>
          <w:b/>
          <w:bCs/>
        </w:rPr>
        <w:t xml:space="preserve">1、</w:t>
      </w:r>
      <w:bookmarkEnd w:id="39"/>
      <w:r>
        <w:rPr>
          <w:rFonts w:hint="eastAsia" w:ascii="宋体" w:hAnsi="宋体" w:cs="宋体"/>
          <w:bCs/>
          <w:szCs w:val="21"/>
        </w:rPr>
        <w:t xml:space="preserve">具有独立承担民事责任的能力（提供法人或者其他组织的营业执照等证明文件，复印件加盖公章）</w:t>
      </w:r>
      <w:r>
        <w:rPr>
          <w:rFonts w:hint="eastAsia" w:ascii="宋体" w:hAnsi="宋体" w:cs="宋体"/>
          <w:b/>
          <w:bCs/>
        </w:rPr>
        <w:t xml:space="preserve">；</w:t>
      </w:r>
      <w:r/>
    </w:p>
    <w:p>
      <w:pPr>
        <w:jc w:val="left"/>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sectPr>
          <w:footerReference w:type="default" r:id="rId10"/>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rPr>
      </w:r>
      <w:r/>
    </w:p>
    <w:p>
      <w:pPr>
        <w:jc w:val="left"/>
        <w:rPr>
          <w:rFonts w:ascii="宋体" w:hAnsi="宋体" w:cs="宋体"/>
          <w:b/>
          <w:szCs w:val="21"/>
        </w:rPr>
        <w:outlineLvl w:val="2"/>
      </w:pPr>
      <w:r/>
      <w:bookmarkStart w:id="40" w:name="_Toc24411"/>
      <w:r>
        <w:rPr>
          <w:rFonts w:hint="eastAsia" w:cs="宋体"/>
        </w:rPr>
        <w:t xml:space="preserve">2</w:t>
      </w:r>
      <w:r>
        <w:rPr>
          <w:rFonts w:hint="eastAsia" w:ascii="宋体" w:hAnsi="宋体" w:cs="宋体"/>
          <w:b/>
          <w:bCs/>
        </w:rPr>
        <w:t xml:space="preserve">、</w:t>
      </w:r>
      <w:bookmarkEnd w:id="40"/>
      <w:r>
        <w:rPr>
          <w:rFonts w:hint="eastAsia" w:ascii="宋体" w:hAnsi="宋体" w:cs="宋体"/>
          <w:szCs w:val="21"/>
        </w:rPr>
        <w:t xml:space="preserve">具有良好的商业信誉和健全的财务会计制度（提供</w:t>
      </w:r>
      <w:r>
        <w:rPr>
          <w:rFonts w:hint="eastAsia" w:ascii="宋体" w:hAnsi="宋体" w:cs="宋体"/>
          <w:szCs w:val="21"/>
          <w:lang w:eastAsia="zh-CN"/>
        </w:rPr>
        <w:t xml:space="preserve">2026年3月</w:t>
      </w:r>
      <w:r>
        <w:rPr>
          <w:rFonts w:hint="eastAsia" w:ascii="宋体" w:hAnsi="宋体" w:cs="宋体"/>
          <w:szCs w:val="21"/>
        </w:rPr>
        <w:t xml:space="preserve">至投标截止时间中任意一月份的财务状况报告（至少包括资产负债表和利润表）（法人或者其他组织成立未满三个月的可以不提供），或其</w:t>
      </w:r>
      <w:r>
        <w:rPr>
          <w:rFonts w:hint="eastAsia" w:ascii="宋体" w:hAnsi="宋体" w:cs="宋体"/>
          <w:szCs w:val="21"/>
          <w:lang w:eastAsia="zh-CN"/>
        </w:rPr>
        <w:t xml:space="preserve">2026年3月至投标截止时间银行出具的资信证书</w:t>
      </w:r>
      <w:r>
        <w:rPr>
          <w:rFonts w:hint="eastAsia" w:ascii="宋体" w:hAnsi="宋体" w:cs="宋体"/>
          <w:szCs w:val="21"/>
        </w:rPr>
        <w:t xml:space="preserve">，或其2025年度经审计的财务报告)；</w:t>
      </w:r>
      <w:r/>
    </w:p>
    <w:p>
      <w:pPr>
        <w:pStyle w:val="947"/>
        <w:ind w:left="1260"/>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41" w:name="_Toc20874"/>
      <w:r>
        <w:rPr>
          <w:rFonts w:hint="eastAsia" w:ascii="宋体" w:hAnsi="宋体" w:cs="宋体"/>
          <w:b/>
          <w:bCs/>
        </w:rPr>
        <w:t xml:space="preserve">3、</w:t>
      </w:r>
      <w:bookmarkEnd w:id="41"/>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rPr>
          <w:rFonts w:hint="eastAsia" w:ascii="宋体" w:hAnsi="宋体" w:cs="宋体"/>
          <w:b/>
          <w:bCs/>
          <w:szCs w:val="21"/>
        </w:rPr>
        <w:t xml:space="preserve">；</w:t>
      </w:r>
      <w:r/>
    </w:p>
    <w:p>
      <w:pPr>
        <w:jc w:val="left"/>
        <w:rPr>
          <w:rFonts w:ascii="宋体" w:hAnsi="宋体" w:cs="宋体"/>
        </w:rPr>
      </w:pPr>
      <w:r>
        <w:rPr>
          <w:rFonts w:ascii="宋体" w:hAnsi="宋体" w:cs="宋体"/>
        </w:rPr>
      </w:r>
      <w:r/>
    </w:p>
    <w:p>
      <w:pPr>
        <w:ind w:left="480"/>
        <w:jc w:val="center"/>
        <w:rPr>
          <w:rFonts w:hint="eastAsia"/>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p>
    <w:p>
      <w:pPr>
        <w:jc w:val="left"/>
        <w:shd w:val="clear" w:color="auto" w:fill="ffffff"/>
        <w:widowControl/>
        <w:rPr>
          <w:rFonts w:ascii="宋体" w:hAnsi="宋体" w:cs="宋体"/>
          <w:szCs w:val="21"/>
        </w:rPr>
      </w:pPr>
      <w:r>
        <w:rPr>
          <w:rFonts w:hint="eastAsia" w:ascii="宋体" w:hAnsi="宋体" w:cs="宋体"/>
          <w:szCs w:val="21"/>
        </w:rPr>
        <w:t xml:space="preserve">日期：</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42" w:name="_Toc13855"/>
      <w:r>
        <w:rPr>
          <w:rFonts w:hint="eastAsia" w:ascii="宋体" w:hAnsi="宋体" w:cs="宋体"/>
          <w:b/>
          <w:bCs/>
        </w:rPr>
        <w:t xml:space="preserve">4、</w:t>
      </w:r>
      <w:bookmarkEnd w:id="42"/>
      <w:r>
        <w:rPr>
          <w:rFonts w:hint="eastAsia" w:ascii="宋体" w:hAnsi="宋体" w:cs="宋体"/>
          <w:szCs w:val="21"/>
        </w:rPr>
        <w:t xml:space="preserve">有依法缴纳税收的良好记录(提供</w:t>
      </w:r>
      <w:r>
        <w:rPr>
          <w:rFonts w:hint="eastAsia" w:ascii="宋体" w:hAnsi="宋体" w:cs="宋体"/>
          <w:szCs w:val="21"/>
          <w:lang w:eastAsia="zh-CN"/>
        </w:rPr>
        <w:t xml:space="preserve">2026年3月</w:t>
      </w:r>
      <w:r>
        <w:rPr>
          <w:rFonts w:hint="eastAsia" w:ascii="宋体" w:hAnsi="宋体" w:cs="宋体"/>
          <w:szCs w:val="21"/>
        </w:rPr>
        <w:t xml:space="preserve">至</w:t>
      </w:r>
      <w:r>
        <w:rPr>
          <w:rFonts w:hint="eastAsia" w:ascii="宋体" w:hAnsi="宋体" w:cs="宋体"/>
          <w:bCs/>
          <w:szCs w:val="21"/>
        </w:rPr>
        <w:t xml:space="preserve">投标截止时间</w:t>
      </w:r>
      <w:r>
        <w:rPr>
          <w:rFonts w:hint="eastAsia" w:ascii="宋体" w:hAnsi="宋体" w:cs="宋体"/>
          <w:szCs w:val="21"/>
        </w:rPr>
        <w:t xml:space="preserve">中任意一月份的</w:t>
      </w:r>
      <w:r>
        <w:rPr>
          <w:rFonts w:hint="eastAsia" w:ascii="宋体" w:hAnsi="宋体" w:cs="宋体"/>
          <w:spacing w:val="8"/>
          <w:sz w:val="22"/>
          <w:szCs w:val="22"/>
        </w:rPr>
        <w:t xml:space="preserve">缴纳税收的凭证，依法享受免缴、缓缴的，提供证明材料)</w:t>
      </w:r>
      <w:r>
        <w:rPr>
          <w:rFonts w:hint="eastAsia" w:ascii="宋体" w:hAnsi="宋体" w:cs="宋体"/>
          <w:szCs w:val="21"/>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rPr>
        <w:outlineLvl w:val="2"/>
      </w:pPr>
      <w:r>
        <w:rPr>
          <w:rFonts w:hint="eastAsia" w:ascii="宋体" w:hAnsi="宋体" w:cs="宋体"/>
        </w:rPr>
        <w:t xml:space="preserve">5、</w:t>
      </w:r>
      <w:r>
        <w:rPr>
          <w:rFonts w:hint="eastAsia" w:ascii="宋体" w:hAnsi="宋体" w:cs="宋体"/>
          <w:szCs w:val="21"/>
        </w:rPr>
        <w:t xml:space="preserve">有依法缴纳社会保障资金的良好记录(提供</w:t>
      </w:r>
      <w:r>
        <w:rPr>
          <w:rFonts w:hint="eastAsia" w:ascii="宋体" w:hAnsi="宋体" w:cs="宋体"/>
          <w:szCs w:val="21"/>
          <w:lang w:eastAsia="zh-CN"/>
        </w:rPr>
        <w:t xml:space="preserve">2026年3月</w:t>
      </w:r>
      <w:r>
        <w:rPr>
          <w:rFonts w:hint="eastAsia" w:ascii="宋体" w:hAnsi="宋体" w:cs="宋体"/>
          <w:szCs w:val="21"/>
        </w:rPr>
        <w:t xml:space="preserve">至</w:t>
      </w:r>
      <w:r>
        <w:rPr>
          <w:rFonts w:hint="eastAsia" w:ascii="宋体" w:hAnsi="宋体" w:cs="宋体"/>
          <w:bCs/>
          <w:szCs w:val="21"/>
        </w:rPr>
        <w:t xml:space="preserve">投标截止时间</w:t>
      </w:r>
      <w:r>
        <w:rPr>
          <w:rFonts w:hint="eastAsia" w:ascii="宋体" w:hAnsi="宋体" w:cs="宋体"/>
          <w:szCs w:val="21"/>
        </w:rPr>
        <w:t xml:space="preserve">中任意一月份的依法缴纳社会保障资金的凭据)；</w:t>
      </w:r>
      <w:r/>
    </w:p>
    <w:p>
      <w:pPr>
        <w:pStyle w:val="951"/>
        <w:rPr>
          <w:rFonts w:cs="宋体"/>
        </w:rPr>
      </w:pPr>
      <w:r>
        <w:rPr>
          <w:rFonts w:cs="宋体"/>
        </w:rPr>
      </w:r>
      <w:r/>
    </w:p>
    <w:p>
      <w:pPr>
        <w:pStyle w:val="951"/>
        <w:rPr>
          <w:rFonts w:cs="宋体"/>
        </w:rPr>
      </w:pPr>
      <w:r>
        <w:rPr>
          <w:rFonts w:cs="宋体"/>
        </w:rPr>
      </w:r>
      <w:r/>
    </w:p>
    <w:p>
      <w:pPr>
        <w:rPr>
          <w:rFonts w:ascii="宋体" w:hAnsi="宋体" w:cs="宋体"/>
        </w:rPr>
      </w:pPr>
      <w:r>
        <w:rPr>
          <w:rFonts w:ascii="宋体" w:hAnsi="宋体" w:cs="宋体"/>
        </w:rPr>
      </w:r>
      <w:r/>
    </w:p>
    <w:p>
      <w:pPr>
        <w:spacing w:line="360" w:lineRule="auto"/>
        <w:rPr>
          <w:rFonts w:ascii="Arial" w:hAnsi="Arial" w:cs="Arial"/>
          <w:bCs/>
        </w:rPr>
      </w:pPr>
      <w:r>
        <w:rPr>
          <w:rFonts w:ascii="Arial" w:hAnsi="Arial" w:cs="Arial"/>
          <w:b/>
          <w:szCs w:val="21"/>
          <w:lang w:val="zh-CN"/>
        </w:rPr>
        <w:br w:type="page" w:clear="all"/>
      </w:r>
      <w:r>
        <w:rPr>
          <w:rFonts w:hint="eastAsia" w:ascii="Arial" w:hAnsi="Arial" w:cs="Arial"/>
          <w:b/>
          <w:szCs w:val="21"/>
        </w:rPr>
        <w:t xml:space="preserve">6、</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spacing w:line="360" w:lineRule="auto"/>
        <w:rPr>
          <w:rFonts w:ascii="Arial" w:hAnsi="Arial" w:cs="Arial"/>
          <w:b/>
        </w:rPr>
      </w:pPr>
      <w:r>
        <w:rPr>
          <w:rFonts w:ascii="Arial" w:hAnsi="Arial" w:cs="Arial"/>
          <w:b/>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460"/>
        <w:spacing w:line="360" w:lineRule="auto"/>
        <w:rPr>
          <w:rFonts w:ascii="Arial" w:hAnsi="Arial" w:cs="Arial"/>
          <w:b/>
        </w:rPr>
      </w:pPr>
      <w:r>
        <w:rPr>
          <w:rFonts w:ascii="Arial" w:hAnsi="Arial" w:cs="Arial"/>
          <w:szCs w:val="21"/>
          <w:lang w:val="zh-CN"/>
        </w:rPr>
        <w:t xml:space="preserve">日期：年</w:t>
      </w:r>
      <w:r>
        <w:rPr>
          <w:rFonts w:hint="eastAsia" w:ascii="Arial" w:hAnsi="Arial" w:cs="Arial"/>
          <w:szCs w:val="21"/>
        </w:rPr>
        <w:t xml:space="preserve"> </w:t>
      </w:r>
      <w:r>
        <w:rPr>
          <w:rFonts w:ascii="Arial" w:hAnsi="Arial" w:cs="Arial"/>
          <w:szCs w:val="21"/>
          <w:lang w:val="zh-CN"/>
        </w:rPr>
        <w:t xml:space="preserve">月</w:t>
      </w:r>
      <w:r>
        <w:rPr>
          <w:rFonts w:hint="eastAsia" w:ascii="Arial" w:hAnsi="Arial" w:cs="Arial"/>
          <w:szCs w:val="21"/>
        </w:rPr>
        <w:t xml:space="preserve"> 日</w:t>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pStyle w:val="939"/>
        <w:numPr>
          <w:ilvl w:val="0"/>
          <w:numId w:val="0"/>
        </w:numPr>
        <w:rPr>
          <w:rFonts w:hint="eastAsia" w:ascii="宋体" w:hAnsi="宋体" w:cs="宋体"/>
          <w:b w:val="0"/>
          <w:sz w:val="21"/>
          <w:szCs w:val="21"/>
        </w:rPr>
      </w:pPr>
      <w:r>
        <w:rPr>
          <w:rFonts w:hint="eastAsia" w:ascii="宋体" w:hAnsi="宋体" w:cs="宋体"/>
          <w:b w:val="0"/>
          <w:sz w:val="21"/>
          <w:szCs w:val="21"/>
        </w:rPr>
        <w:t xml:space="preserve">附件十</w:t>
      </w:r>
      <w:r>
        <w:rPr>
          <w:rFonts w:hint="eastAsia" w:ascii="宋体" w:hAnsi="宋体" w:cs="宋体"/>
          <w:b w:val="0"/>
          <w:sz w:val="21"/>
          <w:szCs w:val="21"/>
          <w:lang w:val="en-US" w:eastAsia="zh-CN"/>
        </w:rPr>
        <w:t xml:space="preserve">一</w:t>
      </w:r>
      <w:r>
        <w:rPr>
          <w:rFonts w:hint="eastAsia" w:ascii="宋体" w:hAnsi="宋体" w:cs="宋体"/>
          <w:b w:val="0"/>
          <w:sz w:val="21"/>
          <w:szCs w:val="21"/>
        </w:rPr>
        <w:t xml:space="preserve">、声明函</w:t>
      </w:r>
      <w:r/>
    </w:p>
    <w:p>
      <w:pPr>
        <w:jc w:val="center"/>
        <w:rPr>
          <w:sz w:val="36"/>
          <w:szCs w:val="36"/>
        </w:rPr>
      </w:pPr>
      <w:r>
        <w:rPr>
          <w:rFonts w:hint="eastAsia"/>
          <w:sz w:val="36"/>
          <w:szCs w:val="36"/>
        </w:rPr>
        <w:t xml:space="preserve">声明函</w:t>
      </w:r>
      <w:r/>
    </w:p>
    <w:p>
      <w:r/>
      <w:r/>
    </w:p>
    <w:p>
      <w:pPr>
        <w:spacing w:line="360" w:lineRule="auto"/>
        <w:rPr>
          <w:rFonts w:hint="eastAsia" w:ascii="宋体" w:hAnsi="宋体" w:eastAsia="宋体" w:cs="宋体"/>
          <w:szCs w:val="21"/>
          <w:lang w:eastAsia="zh-CN"/>
        </w:rPr>
      </w:pPr>
      <w:r>
        <w:rPr>
          <w:rFonts w:hint="eastAsia" w:ascii="宋体" w:hAnsi="宋体" w:cs="宋体"/>
          <w:szCs w:val="21"/>
        </w:rPr>
        <w:t xml:space="preserve">致：</w:t>
      </w:r>
      <w:r>
        <w:rPr>
          <w:rFonts w:hint="eastAsia" w:ascii="宋体" w:hAnsi="宋体" w:cs="宋体"/>
          <w:szCs w:val="21"/>
          <w:lang w:eastAsia="zh-CN"/>
        </w:rPr>
        <w:t xml:space="preserve">扬州中国大运河博物馆</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20"/>
        <w:jc w:val="left"/>
        <w:spacing w:line="360" w:lineRule="auto"/>
        <w:rPr>
          <w:rFonts w:ascii="宋体" w:hAnsi="宋体" w:cs="宋体"/>
          <w:szCs w:val="21"/>
        </w:rPr>
      </w:pPr>
      <w:r>
        <w:rPr>
          <w:rFonts w:ascii="宋体" w:hAnsi="宋体" w:cs="宋体"/>
          <w:szCs w:val="21"/>
        </w:rPr>
        <w:t xml:space="preserve">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p>
    <w:p>
      <w:pPr>
        <w:jc w:val="left"/>
        <w:shd w:val="clear" w:color="auto" w:fill="ffffff"/>
        <w:widowControl/>
        <w:rPr>
          <w:rFonts w:ascii="宋体" w:hAnsi="宋体" w:cs="宋体"/>
          <w:szCs w:val="21"/>
        </w:rPr>
      </w:pPr>
      <w:r>
        <w:rPr>
          <w:rFonts w:hint="eastAsia" w:ascii="宋体" w:hAnsi="宋体" w:cs="宋体"/>
          <w:szCs w:val="21"/>
        </w:rPr>
        <w:t xml:space="preserve">日期：</w:t>
      </w:r>
      <w:r/>
    </w:p>
    <w:p>
      <w:pPr>
        <w:jc w:val="left"/>
        <w:widowControl/>
        <w:rPr>
          <w:rFonts w:hint="eastAsia" w:ascii="宋体" w:hAnsi="宋体" w:cs="宋体"/>
          <w:b/>
          <w:sz w:val="32"/>
          <w:szCs w:val="20"/>
        </w:rPr>
      </w:pPr>
      <w:r>
        <w:rPr>
          <w:rFonts w:hint="eastAsia" w:ascii="宋体" w:hAnsi="宋体" w:cs="宋体"/>
          <w:b/>
          <w:sz w:val="32"/>
          <w:szCs w:val="20"/>
        </w:rPr>
        <w:br w:type="page" w:clear="all"/>
      </w:r>
      <w:r>
        <w:rPr>
          <w:rFonts w:hint="eastAsia" w:ascii="宋体" w:hAnsi="宋体" w:cs="宋体"/>
          <w:bCs/>
          <w:szCs w:val="21"/>
        </w:rPr>
        <w:t xml:space="preserve">附件十</w:t>
      </w:r>
      <w:r>
        <w:rPr>
          <w:rFonts w:hint="eastAsia" w:ascii="宋体" w:hAnsi="宋体" w:cs="宋体"/>
          <w:bCs/>
          <w:szCs w:val="21"/>
          <w:lang w:val="en-US" w:eastAsia="zh-CN"/>
        </w:rPr>
        <w:t xml:space="preserve">二</w:t>
      </w:r>
      <w:r>
        <w:rPr>
          <w:rFonts w:hint="eastAsia" w:ascii="宋体" w:hAnsi="宋体" w:cs="宋体"/>
          <w:bCs/>
          <w:szCs w:val="21"/>
        </w:rPr>
        <w:t xml:space="preserve">、其他资料</w:t>
      </w:r>
      <w:r/>
    </w:p>
    <w:p>
      <w:pPr>
        <w:jc w:val="left"/>
        <w:widowControl/>
        <w:rPr>
          <w:rFonts w:hint="eastAsia" w:ascii="宋体" w:hAnsi="宋体" w:cs="宋体"/>
          <w:b/>
          <w:sz w:val="32"/>
          <w:szCs w:val="20"/>
        </w:rPr>
      </w:pPr>
      <w:r>
        <w:rPr>
          <w:rFonts w:hint="eastAsia" w:ascii="宋体" w:hAnsi="宋体" w:cs="宋体"/>
          <w:b/>
          <w:sz w:val="32"/>
          <w:szCs w:val="20"/>
        </w:rPr>
      </w:r>
      <w:r/>
    </w:p>
    <w:p>
      <w:r/>
      <w:r/>
    </w:p>
    <w:sectPr>
      <w:headerReference w:type="default" r:id="rId9"/>
      <w:footerReference w:type="default" r:id="rId11"/>
      <w:footerReference w:type="first" r:id="rId12"/>
      <w:footnotePr/>
      <w:endnotePr/>
      <w:type w:val="nextPage"/>
      <w:pgSz w:w="11905" w:h="16838" w:orient="portrait"/>
      <w:pgMar w:top="1440" w:right="1803" w:bottom="1440" w:left="1803" w:header="85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Courier New">
    <w:panose1 w:val="02070309020205020404"/>
  </w:font>
  <w:font w:name="Calibri">
    <w:panose1 w:val="020F0502020204030204"/>
  </w:font>
  <w:font w:name="黑体">
    <w:panose1 w:val="02010609060101010101"/>
  </w:font>
  <w:font w:name="幼圆">
    <w:panose1 w:val="02010509060101010101"/>
  </w:font>
  <w:font w:name="Calibri Light">
    <w:panose1 w:val="020F03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98"/>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v:textbox>
            </v:shape>
          </w:pict>
        </mc:Fallback>
      </mc:AlternateContent>
    </w:r>
    <w:r/>
  </w:p>
  <w:p>
    <w:pPr>
      <w:pStyle w:val="946"/>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9"/>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38"/>
      <w:isLgl w:val="false"/>
      <w:suff w:val="nothing"/>
      <w:lvlText w:val="第%1章"/>
      <w:lvlJc w:val="left"/>
      <w:pPr>
        <w:ind w:left="0" w:firstLine="0"/>
      </w:pPr>
    </w:lvl>
    <w:lvl w:ilvl="1">
      <w:start w:val="1"/>
      <w:numFmt w:val="none"/>
      <w:pStyle w:val="939"/>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nothing"/>
      <w:lvlText w:val="%1.%2、"/>
      <w:lvlJc w:val="left"/>
      <w:pPr>
        <w:ind w:left="0" w:firstLine="0"/>
      </w:pPr>
      <w:rPr>
        <w:rFonts w:hint="default"/>
      </w:rPr>
    </w:lvl>
    <w:lvl w:ilvl="2">
      <w:start w:val="1"/>
      <w:numFmt w:val="decimal"/>
      <w:isLgl w:val="false"/>
      <w:suff w:val="nothing"/>
      <w:lvlText w:val="%1.%2.%3、"/>
      <w:lvlJc w:val="left"/>
      <w:pPr>
        <w:ind w:left="0" w:firstLine="0"/>
      </w:pPr>
      <w:rPr>
        <w:rFonts w:hint="default"/>
      </w:rPr>
    </w:lvl>
    <w:lvl w:ilvl="3">
      <w:start w:val="1"/>
      <w:numFmt w:val="decimal"/>
      <w:isLgl w:val="false"/>
      <w:suff w:val="nothing"/>
      <w:lvlText w:val="%1.%2.%3.%4、"/>
      <w:lvlJc w:val="left"/>
      <w:pPr>
        <w:ind w:left="0" w:firstLine="0"/>
      </w:pPr>
      <w:rPr>
        <w:rFonts w:hint="default"/>
      </w:rPr>
    </w:lvl>
    <w:lvl w:ilvl="4">
      <w:start w:val="1"/>
      <w:numFmt w:val="decimal"/>
      <w:isLgl w:val="false"/>
      <w:suff w:val="nothing"/>
      <w:lvlText w:val="%1.%2.%3.%4.%5、"/>
      <w:lvlJc w:val="left"/>
      <w:pPr>
        <w:ind w:left="0" w:firstLine="0"/>
      </w:pPr>
      <w:rPr>
        <w:rFonts w:hint="default"/>
      </w:rPr>
    </w:lvl>
    <w:lvl w:ilvl="5">
      <w:start w:val="1"/>
      <w:numFmt w:val="decimal"/>
      <w:isLgl w:val="false"/>
      <w:suff w:val="nothing"/>
      <w:lvlText w:val="%1.%2.%3.%4.%5.%6、"/>
      <w:lvlJc w:val="left"/>
      <w:pPr>
        <w:ind w:left="0" w:firstLine="0"/>
      </w:pPr>
      <w:rPr>
        <w:rFonts w:hint="default"/>
      </w:rPr>
    </w:lvl>
    <w:lvl w:ilvl="6">
      <w:start w:val="1"/>
      <w:numFmt w:val="decimal"/>
      <w:isLgl w:val="false"/>
      <w:suff w:val="nothing"/>
      <w:lvlText w:val="%1.%2.%3.%4.%5.%6.%7、"/>
      <w:lvlJc w:val="left"/>
      <w:pPr>
        <w:ind w:left="0" w:firstLine="0"/>
      </w:pPr>
      <w:rPr>
        <w:rFonts w:hint="default"/>
      </w:rPr>
    </w:lvl>
    <w:lvl w:ilvl="7">
      <w:start w:val="1"/>
      <w:numFmt w:val="decimal"/>
      <w:isLgl w:val="false"/>
      <w:suff w:val="nothing"/>
      <w:lvlText w:val="%1.%2.%3.%4.%5.%6.%7.%8、"/>
      <w:lvlJc w:val="left"/>
      <w:pPr>
        <w:ind w:left="0" w:firstLine="0"/>
      </w:pPr>
      <w:rPr>
        <w:rFonts w:hint="default"/>
      </w:rPr>
    </w:lvl>
    <w:lvl w:ilvl="8">
      <w:start w:val="1"/>
      <w:numFmt w:val="decimal"/>
      <w:isLgl w:val="false"/>
      <w:suff w:val="nothing"/>
      <w:lvlText w:val="%1.%2.%3.%4.%5.%6.%7.%8.%9、"/>
      <w:lvlJc w:val="left"/>
      <w:pPr>
        <w:ind w:left="0" w:firstLine="0"/>
      </w:pPr>
      <w:rPr>
        <w:rFonts w:hint="default"/>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940"/>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3"/>
  </w:num>
  <w:num w:numId="2">
    <w:abstractNumId w:val="8"/>
  </w:num>
  <w:num w:numId="3">
    <w:abstractNumId w:val="4"/>
  </w:num>
  <w:num w:numId="4">
    <w:abstractNumId w:val="2"/>
  </w:num>
  <w:num w:numId="5">
    <w:abstractNumId w:val="0"/>
  </w:num>
  <w:num w:numId="6">
    <w:abstractNumId w:val="5"/>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41"/>
    <w:link w:val="938"/>
    <w:uiPriority w:val="9"/>
    <w:rPr>
      <w:rFonts w:ascii="Arial" w:hAnsi="Arial" w:eastAsia="Arial" w:cs="Arial"/>
      <w:sz w:val="40"/>
      <w:szCs w:val="40"/>
    </w:rPr>
  </w:style>
  <w:style w:type="character" w:styleId="769">
    <w:name w:val="Heading 2 Char"/>
    <w:basedOn w:val="941"/>
    <w:link w:val="939"/>
    <w:uiPriority w:val="9"/>
    <w:rPr>
      <w:rFonts w:ascii="Arial" w:hAnsi="Arial" w:eastAsia="Arial" w:cs="Arial"/>
      <w:sz w:val="34"/>
    </w:rPr>
  </w:style>
  <w:style w:type="paragraph" w:styleId="770">
    <w:name w:val="Heading 3"/>
    <w:basedOn w:val="937"/>
    <w:next w:val="937"/>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basedOn w:val="941"/>
    <w:link w:val="770"/>
    <w:uiPriority w:val="9"/>
    <w:rPr>
      <w:rFonts w:ascii="Arial" w:hAnsi="Arial" w:eastAsia="Arial" w:cs="Arial"/>
      <w:sz w:val="30"/>
      <w:szCs w:val="30"/>
    </w:rPr>
  </w:style>
  <w:style w:type="character" w:styleId="772">
    <w:name w:val="Heading 4 Char"/>
    <w:basedOn w:val="941"/>
    <w:link w:val="940"/>
    <w:uiPriority w:val="9"/>
    <w:rPr>
      <w:rFonts w:ascii="Arial" w:hAnsi="Arial" w:eastAsia="Arial" w:cs="Arial"/>
      <w:b/>
      <w:bCs/>
      <w:sz w:val="26"/>
      <w:szCs w:val="26"/>
    </w:rPr>
  </w:style>
  <w:style w:type="paragraph" w:styleId="773">
    <w:name w:val="Heading 5"/>
    <w:basedOn w:val="937"/>
    <w:next w:val="937"/>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basedOn w:val="941"/>
    <w:link w:val="773"/>
    <w:uiPriority w:val="9"/>
    <w:rPr>
      <w:rFonts w:ascii="Arial" w:hAnsi="Arial" w:eastAsia="Arial" w:cs="Arial"/>
      <w:b/>
      <w:bCs/>
      <w:sz w:val="24"/>
      <w:szCs w:val="24"/>
    </w:rPr>
  </w:style>
  <w:style w:type="paragraph" w:styleId="775">
    <w:name w:val="Heading 6"/>
    <w:basedOn w:val="937"/>
    <w:next w:val="937"/>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basedOn w:val="941"/>
    <w:link w:val="775"/>
    <w:uiPriority w:val="9"/>
    <w:rPr>
      <w:rFonts w:ascii="Arial" w:hAnsi="Arial" w:eastAsia="Arial" w:cs="Arial"/>
      <w:b/>
      <w:bCs/>
      <w:sz w:val="22"/>
      <w:szCs w:val="22"/>
    </w:rPr>
  </w:style>
  <w:style w:type="paragraph" w:styleId="777">
    <w:name w:val="Heading 7"/>
    <w:basedOn w:val="937"/>
    <w:next w:val="937"/>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basedOn w:val="941"/>
    <w:link w:val="777"/>
    <w:uiPriority w:val="9"/>
    <w:rPr>
      <w:rFonts w:ascii="Arial" w:hAnsi="Arial" w:eastAsia="Arial" w:cs="Arial"/>
      <w:b/>
      <w:bCs/>
      <w:i/>
      <w:iCs/>
      <w:sz w:val="22"/>
      <w:szCs w:val="22"/>
    </w:rPr>
  </w:style>
  <w:style w:type="paragraph" w:styleId="779">
    <w:name w:val="Heading 8"/>
    <w:basedOn w:val="937"/>
    <w:next w:val="937"/>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basedOn w:val="941"/>
    <w:link w:val="779"/>
    <w:uiPriority w:val="9"/>
    <w:rPr>
      <w:rFonts w:ascii="Arial" w:hAnsi="Arial" w:eastAsia="Arial" w:cs="Arial"/>
      <w:i/>
      <w:iCs/>
      <w:sz w:val="22"/>
      <w:szCs w:val="22"/>
    </w:rPr>
  </w:style>
  <w:style w:type="paragraph" w:styleId="781">
    <w:name w:val="Heading 9"/>
    <w:basedOn w:val="937"/>
    <w:next w:val="937"/>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basedOn w:val="941"/>
    <w:link w:val="781"/>
    <w:uiPriority w:val="9"/>
    <w:rPr>
      <w:rFonts w:ascii="Arial" w:hAnsi="Arial" w:eastAsia="Arial" w:cs="Arial"/>
      <w:i/>
      <w:iCs/>
      <w:sz w:val="21"/>
      <w:szCs w:val="21"/>
    </w:rPr>
  </w:style>
  <w:style w:type="paragraph" w:styleId="783">
    <w:name w:val="Title"/>
    <w:basedOn w:val="937"/>
    <w:next w:val="937"/>
    <w:link w:val="784"/>
    <w:uiPriority w:val="10"/>
    <w:qFormat/>
    <w:pPr>
      <w:contextualSpacing/>
      <w:spacing w:before="300" w:after="200"/>
    </w:pPr>
    <w:rPr>
      <w:sz w:val="48"/>
      <w:szCs w:val="48"/>
    </w:rPr>
  </w:style>
  <w:style w:type="character" w:styleId="784">
    <w:name w:val="Title Char"/>
    <w:basedOn w:val="941"/>
    <w:link w:val="783"/>
    <w:uiPriority w:val="10"/>
    <w:rPr>
      <w:sz w:val="48"/>
      <w:szCs w:val="48"/>
    </w:rPr>
  </w:style>
  <w:style w:type="paragraph" w:styleId="785">
    <w:name w:val="Subtitle"/>
    <w:basedOn w:val="937"/>
    <w:next w:val="937"/>
    <w:link w:val="786"/>
    <w:uiPriority w:val="11"/>
    <w:qFormat/>
    <w:pPr>
      <w:spacing w:before="200" w:after="200"/>
    </w:pPr>
    <w:rPr>
      <w:sz w:val="24"/>
      <w:szCs w:val="24"/>
    </w:rPr>
  </w:style>
  <w:style w:type="character" w:styleId="786">
    <w:name w:val="Subtitle Char"/>
    <w:basedOn w:val="941"/>
    <w:link w:val="785"/>
    <w:uiPriority w:val="11"/>
    <w:rPr>
      <w:sz w:val="24"/>
      <w:szCs w:val="24"/>
    </w:rPr>
  </w:style>
  <w:style w:type="paragraph" w:styleId="787">
    <w:name w:val="Quote"/>
    <w:basedOn w:val="937"/>
    <w:next w:val="937"/>
    <w:link w:val="788"/>
    <w:uiPriority w:val="29"/>
    <w:qFormat/>
    <w:pPr>
      <w:ind w:left="720" w:right="720"/>
    </w:pPr>
    <w:rPr>
      <w:i/>
    </w:rPr>
  </w:style>
  <w:style w:type="character" w:styleId="788">
    <w:name w:val="Quote Char"/>
    <w:link w:val="787"/>
    <w:uiPriority w:val="29"/>
    <w:rPr>
      <w:i/>
    </w:rPr>
  </w:style>
  <w:style w:type="paragraph" w:styleId="789">
    <w:name w:val="Intense Quote"/>
    <w:basedOn w:val="937"/>
    <w:next w:val="937"/>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37"/>
    <w:link w:val="792"/>
    <w:uiPriority w:val="99"/>
    <w:unhideWhenUsed/>
    <w:pPr>
      <w:spacing w:after="0" w:line="240" w:lineRule="auto"/>
      <w:tabs>
        <w:tab w:val="center" w:pos="7143" w:leader="none"/>
        <w:tab w:val="right" w:pos="14287" w:leader="none"/>
      </w:tabs>
    </w:pPr>
  </w:style>
  <w:style w:type="character" w:styleId="792">
    <w:name w:val="Header Char"/>
    <w:basedOn w:val="941"/>
    <w:link w:val="791"/>
    <w:uiPriority w:val="99"/>
  </w:style>
  <w:style w:type="character" w:styleId="793">
    <w:name w:val="Footer Char"/>
    <w:basedOn w:val="941"/>
    <w:link w:val="949"/>
    <w:uiPriority w:val="99"/>
  </w:style>
  <w:style w:type="paragraph" w:styleId="794">
    <w:name w:val="Caption"/>
    <w:basedOn w:val="937"/>
    <w:next w:val="937"/>
    <w:uiPriority w:val="35"/>
    <w:semiHidden/>
    <w:unhideWhenUsed/>
    <w:qFormat/>
    <w:pPr>
      <w:spacing w:line="276" w:lineRule="auto"/>
    </w:pPr>
    <w:rPr>
      <w:b/>
      <w:bCs/>
      <w:color w:val="4f81bd" w:themeColor="accent1"/>
      <w:sz w:val="18"/>
      <w:szCs w:val="18"/>
    </w:rPr>
  </w:style>
  <w:style w:type="character" w:styleId="795">
    <w:name w:val="Caption Char"/>
    <w:basedOn w:val="794"/>
    <w:link w:val="949"/>
    <w:uiPriority w:val="99"/>
  </w:style>
  <w:style w:type="table" w:styleId="796">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1">
    <w:name w:val="footnote text"/>
    <w:basedOn w:val="937"/>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basedOn w:val="941"/>
    <w:uiPriority w:val="99"/>
    <w:unhideWhenUsed/>
    <w:rPr>
      <w:vertAlign w:val="superscript"/>
    </w:rPr>
  </w:style>
  <w:style w:type="paragraph" w:styleId="924">
    <w:name w:val="endnote text"/>
    <w:basedOn w:val="937"/>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basedOn w:val="941"/>
    <w:uiPriority w:val="99"/>
    <w:semiHidden/>
    <w:unhideWhenUsed/>
    <w:rPr>
      <w:vertAlign w:val="superscript"/>
    </w:r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3"/>
    <w:uiPriority w:val="0"/>
    <w:qFormat/>
    <w:pPr>
      <w:jc w:val="both"/>
      <w:widowControl w:val="off"/>
    </w:pPr>
    <w:rPr>
      <w:rFonts w:ascii="Times New Roman" w:hAnsi="Times New Roman" w:eastAsia="宋体" w:cs="Times New Roman"/>
      <w:sz w:val="21"/>
      <w:szCs w:val="24"/>
      <w:lang w:val="en-US" w:eastAsia="zh-CN" w:bidi="ar-SA"/>
    </w:rPr>
  </w:style>
  <w:style w:type="paragraph" w:styleId="938">
    <w:name w:val="Heading 1"/>
    <w:basedOn w:val="937"/>
    <w:next w:val="937"/>
    <w:uiPriority w:val="0"/>
    <w:qFormat/>
    <w:pPr>
      <w:numPr>
        <w:ilvl w:val="0"/>
        <w:numId w:val="1"/>
      </w:numPr>
      <w:jc w:val="center"/>
      <w:keepLines/>
      <w:keepNext/>
      <w:spacing w:before="340" w:after="330" w:line="578" w:lineRule="auto"/>
      <w:outlineLvl w:val="0"/>
    </w:pPr>
    <w:rPr>
      <w:b/>
      <w:bCs/>
      <w:sz w:val="32"/>
      <w:szCs w:val="44"/>
    </w:rPr>
  </w:style>
  <w:style w:type="paragraph" w:styleId="939">
    <w:name w:val="Heading 2"/>
    <w:basedOn w:val="937"/>
    <w:next w:val="93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40">
    <w:name w:val="Heading 4"/>
    <w:basedOn w:val="937"/>
    <w:next w:val="937"/>
    <w:link w:val="976"/>
    <w:uiPriority w:val="0"/>
    <w:unhideWhenUsed/>
    <w:qFormat/>
    <w:pPr>
      <w:numPr>
        <w:ilvl w:val="3"/>
        <w:numId w:val="2"/>
      </w:numPr>
      <w:jc w:val="left"/>
      <w:spacing w:line="360" w:lineRule="auto"/>
      <w:outlineLvl w:val="3"/>
    </w:pPr>
    <w:rPr>
      <w:rFonts w:ascii="Calibri Light" w:hAnsi="Calibri Light" w:cs="Times New Roman"/>
      <w:b/>
      <w:bCs/>
      <w:spacing w:val="5"/>
      <w:szCs w:val="24"/>
      <w:lang w:eastAsia="en-US" w:bidi="en-US"/>
    </w:rPr>
  </w:style>
  <w:style w:type="character" w:styleId="941" w:default="1">
    <w:name w:val="Default Paragraph Font"/>
    <w:uiPriority w:val="0"/>
    <w:semiHidden/>
    <w:qFormat/>
  </w:style>
  <w:style w:type="table" w:styleId="942" w:default="1">
    <w:name w:val="Normal Table"/>
    <w:uiPriority w:val="0"/>
    <w:semiHidden/>
    <w:qFormat/>
    <w:tblPr>
      <w:tblCellMar>
        <w:left w:w="108" w:type="dxa"/>
        <w:top w:w="0" w:type="dxa"/>
        <w:right w:w="108" w:type="dxa"/>
        <w:bottom w:w="0" w:type="dxa"/>
      </w:tblCellMar>
    </w:tblPr>
  </w:style>
  <w:style w:type="paragraph" w:styleId="943" w:customStyle="1">
    <w:name w:val="列表段落1"/>
    <w:basedOn w:val="937"/>
    <w:uiPriority w:val="99"/>
    <w:qFormat/>
    <w:pPr>
      <w:ind w:firstLine="420"/>
    </w:pPr>
    <w:rPr>
      <w:szCs w:val="20"/>
    </w:rPr>
  </w:style>
  <w:style w:type="paragraph" w:styleId="944">
    <w:name w:val="Normal Indent"/>
    <w:basedOn w:val="937"/>
    <w:uiPriority w:val="0"/>
    <w:qFormat/>
    <w:pPr>
      <w:ind w:firstLine="420"/>
    </w:pPr>
    <w:rPr>
      <w:b/>
      <w:sz w:val="24"/>
      <w:szCs w:val="20"/>
    </w:rPr>
  </w:style>
  <w:style w:type="paragraph" w:styleId="945">
    <w:name w:val="annotation text"/>
    <w:basedOn w:val="937"/>
    <w:uiPriority w:val="0"/>
    <w:qFormat/>
    <w:pPr>
      <w:jc w:val="left"/>
    </w:pPr>
  </w:style>
  <w:style w:type="paragraph" w:styleId="946">
    <w:name w:val="Body Text"/>
    <w:basedOn w:val="937"/>
    <w:uiPriority w:val="0"/>
    <w:qFormat/>
    <w:pPr>
      <w:jc w:val="center"/>
    </w:pPr>
    <w:rPr>
      <w:rFonts w:eastAsia="幼圆"/>
      <w:b/>
      <w:bCs/>
      <w:sz w:val="44"/>
    </w:rPr>
  </w:style>
  <w:style w:type="paragraph" w:styleId="947">
    <w:name w:val="index 4"/>
    <w:basedOn w:val="937"/>
    <w:next w:val="937"/>
    <w:uiPriority w:val="0"/>
    <w:qFormat/>
    <w:pPr>
      <w:ind w:left="600"/>
    </w:pPr>
    <w:rPr>
      <w:rFonts w:ascii="Calibri" w:hAnsi="Calibri"/>
    </w:rPr>
  </w:style>
  <w:style w:type="paragraph" w:styleId="948">
    <w:name w:val="Plain Text"/>
    <w:basedOn w:val="937"/>
    <w:uiPriority w:val="0"/>
    <w:qFormat/>
    <w:rPr>
      <w:rFonts w:ascii="宋体" w:hAnsi="Courier New" w:cs="Courier New"/>
      <w:szCs w:val="21"/>
    </w:rPr>
  </w:style>
  <w:style w:type="paragraph" w:styleId="949">
    <w:name w:val="Footer"/>
    <w:basedOn w:val="937"/>
    <w:uiPriority w:val="99"/>
    <w:qFormat/>
    <w:pPr>
      <w:jc w:val="left"/>
      <w:tabs>
        <w:tab w:val="center" w:pos="4153" w:leader="none"/>
        <w:tab w:val="right" w:pos="8306" w:leader="none"/>
      </w:tabs>
    </w:pPr>
    <w:rPr>
      <w:sz w:val="18"/>
      <w:szCs w:val="18"/>
    </w:rPr>
  </w:style>
  <w:style w:type="paragraph" w:styleId="950">
    <w:name w:val="toc 1"/>
    <w:basedOn w:val="937"/>
    <w:next w:val="937"/>
    <w:uiPriority w:val="39"/>
    <w:qFormat/>
  </w:style>
  <w:style w:type="paragraph" w:styleId="951">
    <w:name w:val="HTML Preformatted"/>
    <w:basedOn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2">
    <w:name w:val="Normal (Web)"/>
    <w:basedOn w:val="937"/>
    <w:uiPriority w:val="0"/>
    <w:qFormat/>
    <w:pPr>
      <w:jc w:val="left"/>
      <w:spacing w:before="100" w:beforeAutospacing="1" w:after="100" w:afterAutospacing="1"/>
      <w:widowControl/>
    </w:pPr>
    <w:rPr>
      <w:rFonts w:ascii="宋体" w:hAnsi="宋体" w:cs="宋体"/>
      <w:sz w:val="24"/>
    </w:rPr>
  </w:style>
  <w:style w:type="table" w:styleId="953">
    <w:name w:val="Table Grid"/>
    <w:basedOn w:val="94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Hyperlink"/>
    <w:basedOn w:val="941"/>
    <w:uiPriority w:val="0"/>
    <w:qFormat/>
    <w:rPr>
      <w:color w:val="0000ff"/>
      <w:u w:val="single"/>
    </w:rPr>
  </w:style>
  <w:style w:type="paragraph" w:styleId="955" w:customStyle="1">
    <w:name w:val="首行缩进"/>
    <w:basedOn w:val="937"/>
    <w:uiPriority w:val="0"/>
    <w:qFormat/>
    <w:pPr>
      <w:ind w:firstLine="480"/>
    </w:pPr>
    <w:rPr>
      <w:rFonts w:eastAsia="楷体_GB2312"/>
      <w:sz w:val="26"/>
      <w:lang w:val="zh-CN"/>
    </w:rPr>
  </w:style>
  <w:style w:type="paragraph" w:styleId="956" w:customStyle="1">
    <w:name w:val="正文1"/>
    <w:basedOn w:val="957"/>
    <w:next w:val="937"/>
    <w:uiPriority w:val="0"/>
    <w:qFormat/>
    <w:pPr>
      <w:jc w:val="both"/>
      <w:widowControl w:val="off"/>
    </w:pPr>
    <w:rPr>
      <w:rFonts w:ascii="Calibri" w:hAnsi="Calibri" w:eastAsia="宋体" w:cs="Times New Roman"/>
      <w:lang w:val="en-US" w:eastAsia="zh-CN" w:bidi="ar-SA"/>
    </w:rPr>
  </w:style>
  <w:style w:type="paragraph" w:styleId="957" w:customStyle="1">
    <w:name w:val="正文_1"/>
    <w:basedOn w:val="958"/>
    <w:uiPriority w:val="0"/>
    <w:qFormat/>
    <w:rPr>
      <w:rFonts w:ascii="Calibri" w:hAnsi="Calibri" w:cs="Calibri"/>
      <w:szCs w:val="21"/>
    </w:rPr>
  </w:style>
  <w:style w:type="paragraph" w:styleId="958" w:customStyle="1">
    <w:name w:val="正文_2"/>
    <w:basedOn w:val="959"/>
    <w:next w:val="965"/>
    <w:uiPriority w:val="0"/>
    <w:qFormat/>
    <w:pPr>
      <w:jc w:val="both"/>
      <w:widowControl w:val="off"/>
    </w:pPr>
    <w:rPr>
      <w:rFonts w:ascii="Calibri" w:hAnsi="Calibri"/>
      <w:sz w:val="21"/>
      <w:szCs w:val="22"/>
      <w:lang w:val="en-US" w:eastAsia="zh-CN" w:bidi="ar-SA"/>
    </w:rPr>
  </w:style>
  <w:style w:type="paragraph" w:styleId="959" w:customStyle="1">
    <w:name w:val="正文_3"/>
    <w:next w:val="960"/>
    <w:uiPriority w:val="0"/>
    <w:qFormat/>
    <w:pPr>
      <w:jc w:val="both"/>
      <w:widowControl w:val="off"/>
    </w:pPr>
    <w:rPr>
      <w:rFonts w:ascii="Times New Roman" w:hAnsi="Times New Roman" w:eastAsia="宋体" w:cs="Times New Roman"/>
      <w:sz w:val="21"/>
      <w:szCs w:val="22"/>
      <w:lang w:val="en-US" w:eastAsia="zh-CN" w:bidi="ar-SA"/>
    </w:rPr>
  </w:style>
  <w:style w:type="paragraph" w:styleId="960" w:customStyle="1">
    <w:name w:val="正文文本_1"/>
    <w:basedOn w:val="961"/>
    <w:uiPriority w:val="0"/>
    <w:unhideWhenUsed/>
    <w:qFormat/>
    <w:pPr>
      <w:spacing w:after="120"/>
    </w:pPr>
    <w:rPr>
      <w:rFonts w:eastAsia="宋体" w:cs="Times New Roman"/>
    </w:rPr>
  </w:style>
  <w:style w:type="paragraph" w:styleId="961" w:customStyle="1">
    <w:name w:val="正文_2_0"/>
    <w:basedOn w:val="962"/>
    <w:next w:val="960"/>
    <w:uiPriority w:val="0"/>
    <w:qFormat/>
    <w:pPr>
      <w:jc w:val="both"/>
      <w:widowControl w:val="off"/>
    </w:pPr>
    <w:rPr>
      <w:rFonts w:ascii="Calibri" w:hAnsi="Calibri"/>
      <w:sz w:val="21"/>
      <w:szCs w:val="22"/>
      <w:lang w:val="en-US" w:eastAsia="zh-CN" w:bidi="ar-SA"/>
    </w:rPr>
  </w:style>
  <w:style w:type="paragraph" w:styleId="962" w:customStyle="1">
    <w:name w:val="正文_3_0"/>
    <w:basedOn w:val="963"/>
    <w:uiPriority w:val="0"/>
    <w:qFormat/>
    <w:pPr>
      <w:widowControl w:val="off"/>
    </w:pPr>
    <w:rPr>
      <w:rFonts w:ascii="仿宋" w:hAnsi="仿宋" w:eastAsia="仿宋" w:cs="仿宋"/>
      <w:sz w:val="22"/>
      <w:szCs w:val="22"/>
      <w:lang w:val="en-US" w:eastAsia="en-US" w:bidi="ar-SA"/>
    </w:rPr>
  </w:style>
  <w:style w:type="paragraph" w:styleId="963" w:customStyle="1">
    <w:name w:val="正文_4_0"/>
    <w:basedOn w:val="964"/>
    <w:uiPriority w:val="0"/>
    <w:qFormat/>
    <w:pPr>
      <w:jc w:val="both"/>
      <w:widowControl w:val="off"/>
    </w:pPr>
    <w:rPr>
      <w:rFonts w:ascii="Calibri" w:hAnsi="Calibri"/>
      <w:sz w:val="21"/>
      <w:szCs w:val="22"/>
      <w:lang w:val="en-US" w:eastAsia="zh-CN" w:bidi="ar-SA"/>
    </w:rPr>
  </w:style>
  <w:style w:type="paragraph" w:styleId="964"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965">
    <w:name w:val="No Spacing"/>
    <w:uiPriority w:val="1"/>
    <w:qFormat/>
    <w:rPr>
      <w:rFonts w:ascii="Times New Roman" w:hAnsi="Times New Roman" w:eastAsia="宋体" w:cs="Times New Roman"/>
      <w:lang w:val="en-US" w:eastAsia="zh-CN" w:bidi="ar-SA"/>
    </w:rPr>
  </w:style>
  <w:style w:type="paragraph" w:styleId="96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List Paragraph1"/>
    <w:basedOn w:val="937"/>
    <w:uiPriority w:val="34"/>
    <w:qFormat/>
    <w:pPr>
      <w:ind w:firstLine="420"/>
    </w:pPr>
  </w:style>
  <w:style w:type="paragraph" w:styleId="968" w:customStyle="1">
    <w:name w:val="普通正文"/>
    <w:basedOn w:val="937"/>
    <w:uiPriority w:val="0"/>
    <w:qFormat/>
    <w:pPr>
      <w:ind w:firstLine="480"/>
      <w:jc w:val="left"/>
      <w:spacing w:before="120" w:after="120" w:line="360" w:lineRule="auto"/>
    </w:pPr>
    <w:rPr>
      <w:rFonts w:ascii="Arial" w:hAnsi="Arial"/>
      <w:sz w:val="24"/>
    </w:rPr>
  </w:style>
  <w:style w:type="table" w:styleId="969"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970" w:customStyle="1">
    <w:name w:val="_Style 32"/>
    <w:uiPriority w:val="99"/>
    <w:unhideWhenUsed/>
    <w:qFormat/>
    <w:rPr>
      <w:rFonts w:ascii="Times New Roman" w:hAnsi="Times New Roman" w:eastAsia="宋体" w:cs="Times New Roman"/>
      <w:sz w:val="21"/>
      <w:szCs w:val="24"/>
      <w:lang w:val="en-US" w:eastAsia="zh-CN" w:bidi="ar-SA"/>
    </w:rPr>
  </w:style>
  <w:style w:type="paragraph" w:styleId="971">
    <w:name w:val="List Paragraph"/>
    <w:basedOn w:val="937"/>
    <w:uiPriority w:val="1"/>
    <w:qFormat/>
    <w:pPr>
      <w:ind w:left="618" w:firstLine="240"/>
      <w:jc w:val="left"/>
    </w:pPr>
    <w:rPr>
      <w:rFonts w:ascii="宋体" w:hAnsi="宋体" w:eastAsia="宋体" w:cs="宋体"/>
      <w:sz w:val="22"/>
      <w:lang w:val="zh-CN" w:bidi="zh-CN"/>
    </w:rPr>
  </w:style>
  <w:style w:type="paragraph" w:styleId="972" w:customStyle="1">
    <w:name w:val="正文文本首行缩进 2"/>
    <w:basedOn w:val="973"/>
    <w:next w:val="937"/>
    <w:uiPriority w:val="99"/>
    <w:qFormat/>
    <w:pPr>
      <w:ind w:firstLine="420"/>
      <w:spacing w:line="360" w:lineRule="auto"/>
    </w:pPr>
    <w:rPr>
      <w:rFonts w:ascii="宋体" w:hAnsi="宋体" w:eastAsia="宋体"/>
      <w:sz w:val="21"/>
      <w:szCs w:val="20"/>
    </w:rPr>
  </w:style>
  <w:style w:type="paragraph" w:styleId="973" w:customStyle="1">
    <w:name w:val="正文文本缩进11"/>
    <w:basedOn w:val="937"/>
    <w:next w:val="974"/>
    <w:uiPriority w:val="99"/>
    <w:qFormat/>
    <w:pPr>
      <w:ind w:firstLine="645"/>
    </w:pPr>
    <w:rPr>
      <w:rFonts w:ascii="楷体_GB2312" w:eastAsia="楷体_GB2312"/>
      <w:sz w:val="32"/>
      <w:szCs w:val="32"/>
    </w:rPr>
  </w:style>
  <w:style w:type="paragraph" w:styleId="974" w:customStyle="1">
    <w:name w:val="寄信人地址1"/>
    <w:basedOn w:val="937"/>
    <w:uiPriority w:val="0"/>
    <w:qFormat/>
    <w:rPr>
      <w:rFonts w:ascii="Arial" w:hAnsi="Arial" w:eastAsia="宋体" w:cs="宋体"/>
    </w:rPr>
  </w:style>
  <w:style w:type="paragraph" w:styleId="975" w:customStyle="1">
    <w:name w:val="*正文"/>
    <w:basedOn w:val="937"/>
    <w:uiPriority w:val="0"/>
    <w:qFormat/>
    <w:pPr>
      <w:ind w:firstLine="200"/>
    </w:pPr>
    <w:rPr>
      <w:rFonts w:hAnsi="宋体" w:eastAsia="宋体" w:cs="宋体"/>
    </w:rPr>
  </w:style>
  <w:style w:type="character" w:styleId="976" w:customStyle="1">
    <w:name w:val="标题 4 Char"/>
    <w:link w:val="940"/>
    <w:uiPriority w:val="0"/>
    <w:qFormat/>
    <w:rPr>
      <w:rFonts w:ascii="Calibri Light" w:hAnsi="Calibri Light" w:cs="Times New Roman"/>
      <w:b/>
      <w:bCs/>
      <w:spacing w:val="5"/>
      <w:szCs w:val="24"/>
      <w:lang w:eastAsia="en-US" w:bidi="en-US"/>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36303</dc:creator>
  <cp:lastModifiedBy>颜丽</cp:lastModifiedBy>
  <cp:revision>282</cp:revision>
  <dcterms:created xsi:type="dcterms:W3CDTF">2026-08-19T08:47:00Z</dcterms:created>
  <dcterms:modified xsi:type="dcterms:W3CDTF">2026-09-07T09:37:39Z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E1FA8FDAC7BA40C7B174DC4136B5ABC5_13</vt:lpwstr>
  </property>
  <property fmtid="{D5CDD505-2E9C-101B-9397-08002B2CF9AE}" pid="4" name="KSOTemplateDocerSaveRecord">
    <vt:lpwstr>eyJoZGlkIjoiNWY5ZDVjZmY2MTE5YWRlNjQ1M2EwMzM0OGY1NTE4NDkiLCJ1c2VySWQiOiI1NjE0NzAxMjEifQ==</vt:lpwstr>
  </property>
</Properties>
</file>