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left"/>
        <w:spacing w:before="120" w:after="120" w:line="360" w:lineRule="auto"/>
        <w:rPr>
          <w:rFonts w:ascii="Arial" w:hAnsi="Arial" w:eastAsia="黑体"/>
          <w:b/>
          <w:bCs/>
          <w:color w:val="auto"/>
          <w:sz w:val="84"/>
          <w:szCs w:val="24"/>
          <w:highlight w:val="none"/>
        </w:rPr>
      </w:pPr>
      <w:r>
        <w:rPr>
          <w:rFonts w:ascii="Arial" w:hAnsi="Arial" w:eastAsia="黑体"/>
          <w:b/>
          <w:bCs/>
          <w:color w:val="auto"/>
          <w:sz w:val="84"/>
          <w:szCs w:val="24"/>
          <w:highlight w:val="none"/>
        </w:rPr>
      </w:r>
      <w:r/>
    </w:p>
    <w:p>
      <w:pPr>
        <w:ind w:firstLine="1687"/>
        <w:jc w:val="center"/>
        <w:spacing w:before="120" w:after="120" w:line="360" w:lineRule="auto"/>
        <w:rPr>
          <w:rFonts w:ascii="Arial" w:hAnsi="Arial" w:eastAsia="黑体"/>
          <w:b/>
          <w:bCs/>
          <w:color w:val="auto"/>
          <w:sz w:val="84"/>
          <w:szCs w:val="24"/>
          <w:highlight w:val="none"/>
        </w:rPr>
      </w:pPr>
      <w:r>
        <w:rPr>
          <w:rFonts w:ascii="Arial" w:hAnsi="Arial" w:eastAsia="黑体"/>
          <w:b/>
          <w:bCs/>
          <w:color w:val="auto"/>
          <w:sz w:val="84"/>
          <w:szCs w:val="24"/>
          <w:highlight w:val="none"/>
        </w:rPr>
      </w:r>
      <w:r/>
    </w:p>
    <w:p>
      <w:pPr>
        <w:ind w:firstLine="1687"/>
        <w:jc w:val="center"/>
        <w:spacing w:before="120" w:after="120" w:line="360" w:lineRule="auto"/>
        <w:rPr>
          <w:rFonts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招　标　文　件</w:t>
      </w:r>
      <w:r/>
    </w:p>
    <w:p>
      <w:pPr>
        <w:ind w:firstLine="643"/>
        <w:jc w:val="left"/>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ind w:firstLine="643"/>
        <w:jc w:val="left"/>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ind w:firstLine="361"/>
        <w:jc w:val="left"/>
        <w:spacing w:line="600" w:lineRule="exact"/>
        <w:rPr>
          <w:rFonts w:asciiTheme="minorEastAsia" w:hAnsiTheme="minorEastAsia" w:eastAsiaTheme="minorEastAsia"/>
          <w:b/>
          <w:bCs/>
          <w:color w:val="auto"/>
          <w:sz w:val="36"/>
          <w:szCs w:val="24"/>
          <w:highlight w:val="none"/>
        </w:rPr>
      </w:pPr>
      <w:r>
        <w:rPr>
          <w:rFonts w:hint="eastAsia" w:asciiTheme="minorEastAsia" w:hAnsiTheme="minorEastAsia" w:eastAsiaTheme="minorEastAsia"/>
          <w:b/>
          <w:bCs/>
          <w:color w:val="auto"/>
          <w:sz w:val="36"/>
          <w:szCs w:val="24"/>
          <w:highlight w:val="none"/>
        </w:rPr>
        <w:t xml:space="preserve">项目编号：JSZC-320581-SZXY-G2026-0038</w:t>
      </w:r>
      <w:r/>
    </w:p>
    <w:p>
      <w:pPr>
        <w:ind w:firstLine="361"/>
        <w:spacing w:line="600" w:lineRule="exact"/>
        <w:rPr>
          <w:rFonts w:asciiTheme="minorEastAsia" w:hAnsiTheme="minorEastAsia" w:eastAsiaTheme="minorEastAsia"/>
          <w:b/>
          <w:bCs/>
          <w:color w:val="auto"/>
          <w:sz w:val="36"/>
          <w:szCs w:val="24"/>
          <w:highlight w:val="none"/>
        </w:rPr>
      </w:pPr>
      <w:r>
        <w:rPr>
          <w:rFonts w:hint="eastAsia" w:asciiTheme="minorEastAsia" w:hAnsiTheme="minorEastAsia" w:eastAsiaTheme="minorEastAsia"/>
          <w:b/>
          <w:bCs/>
          <w:color w:val="auto"/>
          <w:sz w:val="36"/>
          <w:szCs w:val="24"/>
          <w:highlight w:val="none"/>
        </w:rPr>
        <w:t xml:space="preserve">项目名称：昆承湖幸福河湖建设信息化设备</w:t>
      </w:r>
      <w:r/>
    </w:p>
    <w:p>
      <w:pPr>
        <w:ind w:firstLine="361"/>
        <w:jc w:val="left"/>
        <w:spacing w:line="600" w:lineRule="exact"/>
        <w:rPr>
          <w:rFonts w:asciiTheme="minorEastAsia" w:hAnsiTheme="minorEastAsia" w:eastAsiaTheme="minorEastAsia"/>
          <w:b/>
          <w:bCs/>
          <w:color w:val="auto"/>
          <w:sz w:val="36"/>
          <w:szCs w:val="24"/>
          <w:highlight w:val="none"/>
        </w:rPr>
      </w:pPr>
      <w:r>
        <w:rPr>
          <w:rFonts w:hint="eastAsia" w:asciiTheme="minorEastAsia" w:hAnsiTheme="minorEastAsia" w:eastAsiaTheme="minorEastAsia"/>
          <w:b/>
          <w:bCs/>
          <w:color w:val="auto"/>
          <w:sz w:val="36"/>
          <w:szCs w:val="24"/>
          <w:highlight w:val="none"/>
        </w:rPr>
        <w:t xml:space="preserve">项目属性：货物类项目</w:t>
      </w:r>
      <w:r/>
    </w:p>
    <w:p>
      <w:pPr>
        <w:ind w:left="2100" w:firstLine="480"/>
        <w:rPr>
          <w:rFonts w:ascii="Times New Roman" w:hAnsi="Times New Roman"/>
          <w:color w:val="auto"/>
          <w:szCs w:val="21"/>
          <w:highlight w:val="none"/>
        </w:rPr>
      </w:pPr>
      <w:r>
        <w:rPr>
          <w:rFonts w:ascii="Times New Roman" w:hAnsi="Times New Roman"/>
          <w:color w:val="auto"/>
          <w:szCs w:val="21"/>
          <w:highlight w:val="none"/>
        </w:rPr>
      </w:r>
      <w:r/>
    </w:p>
    <w:p>
      <w:pPr>
        <w:ind w:left="2100" w:firstLine="480"/>
        <w:rPr>
          <w:rFonts w:ascii="Times New Roman" w:hAnsi="Times New Roman"/>
          <w:b/>
          <w:color w:val="auto"/>
          <w:sz w:val="30"/>
          <w:szCs w:val="30"/>
          <w:highlight w:val="none"/>
        </w:rPr>
      </w:pP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jc w:val="center"/>
        <w:spacing w:before="120" w:after="120" w:line="360" w:lineRule="auto"/>
        <w:rPr>
          <w:rFonts w:ascii="宋体" w:hAnsi="宋体"/>
          <w:b/>
          <w:bCs/>
          <w:color w:val="auto"/>
          <w:sz w:val="40"/>
          <w:szCs w:val="28"/>
          <w:highlight w:val="none"/>
        </w:rPr>
      </w:pPr>
      <w:r>
        <w:rPr>
          <w:rFonts w:ascii="宋体" w:hAnsi="宋体"/>
          <w:b/>
          <w:bCs/>
          <w:color w:val="auto"/>
          <w:sz w:val="40"/>
          <w:szCs w:val="28"/>
          <w:highlight w:val="none"/>
        </w:rPr>
      </w:r>
      <w:r/>
    </w:p>
    <w:p>
      <w:pPr>
        <w:jc w:val="center"/>
        <w:spacing w:before="120" w:after="120" w:line="360" w:lineRule="auto"/>
        <w:rPr>
          <w:rFonts w:ascii="宋体" w:hAnsi="宋体"/>
          <w:b/>
          <w:bCs/>
          <w:color w:val="auto"/>
          <w:sz w:val="40"/>
          <w:szCs w:val="28"/>
          <w:highlight w:val="none"/>
        </w:rPr>
      </w:pPr>
      <w:r>
        <w:rPr>
          <w:rFonts w:hint="eastAsia" w:ascii="宋体" w:hAnsi="宋体"/>
          <w:b/>
          <w:bCs/>
          <w:color w:val="auto"/>
          <w:sz w:val="40"/>
          <w:szCs w:val="28"/>
          <w:highlight w:val="none"/>
        </w:rPr>
        <w:t xml:space="preserve">苏州新一造价师价格事务所有限公司</w:t>
      </w:r>
      <w:r/>
    </w:p>
    <w:p>
      <w:pPr>
        <w:jc w:val="center"/>
        <w:spacing w:before="120" w:after="120" w:line="360" w:lineRule="auto"/>
        <w:rPr>
          <w:rFonts w:ascii="宋体" w:hAnsi="宋体"/>
          <w:color w:val="auto"/>
          <w:sz w:val="32"/>
          <w:szCs w:val="28"/>
          <w:highlight w:val="none"/>
        </w:rPr>
      </w:pPr>
      <w:r>
        <w:rPr>
          <w:rFonts w:ascii="宋体" w:hAnsi="宋体"/>
          <w:b/>
          <w:bCs/>
          <w:color w:val="auto"/>
          <w:sz w:val="40"/>
          <w:szCs w:val="28"/>
          <w:highlight w:val="none"/>
        </w:rPr>
        <w:t xml:space="preserve">202</w:t>
      </w:r>
      <w:r>
        <w:rPr>
          <w:rFonts w:hint="eastAsia" w:ascii="宋体" w:hAnsi="宋体"/>
          <w:b/>
          <w:bCs/>
          <w:color w:val="auto"/>
          <w:sz w:val="40"/>
          <w:szCs w:val="28"/>
          <w:highlight w:val="none"/>
        </w:rPr>
        <w:t xml:space="preserve">6年9月7日</w:t>
      </w:r>
      <w:r/>
    </w:p>
    <w:p>
      <w:pPr>
        <w:pStyle w:val="1198"/>
        <w:ind w:firstLine="640"/>
        <w:jc w:val="center"/>
        <w:keepLines w:val="0"/>
        <w:keepNext w:val="0"/>
        <w:widowControl w:val="off"/>
        <w:rPr>
          <w:b/>
          <w:bCs/>
          <w:color w:val="auto"/>
          <w:highlight w:val="none"/>
          <w:lang w:val="zh-CN"/>
        </w:rPr>
        <w:sectPr>
          <w:headerReference w:type="default" r:id="rId9"/>
          <w:footerReference w:type="default" r:id="rId10"/>
          <w:footerReference w:type="even" r:id="rId11"/>
          <w:footnotePr/>
          <w:endnotePr/>
          <w:type w:val="nextPage"/>
          <w:pgSz w:w="11906" w:h="16838" w:orient="portrait"/>
          <w:pgMar w:top="771" w:right="720" w:bottom="993" w:left="720" w:header="231" w:footer="452" w:gutter="0"/>
          <w:cols w:num="1" w:sep="0" w:space="720" w:equalWidth="1"/>
          <w:docGrid w:linePitch="360"/>
          <w:titlePg/>
        </w:sectPr>
      </w:pPr>
      <w:r/>
      <w:bookmarkStart w:id="0" w:name="_Toc120614210"/>
      <w:r/>
      <w:bookmarkStart w:id="1" w:name="_Toc513029200"/>
      <w:r/>
      <w:bookmarkStart w:id="2" w:name="_Toc16938516"/>
      <w:r/>
      <w:bookmarkStart w:id="3" w:name="_Toc20823272"/>
      <w:r/>
      <w:bookmarkStart w:id="4" w:name="_Toc523127445"/>
      <w:r/>
      <w:bookmarkStart w:id="5" w:name="_Toc479757206"/>
      <w:r/>
      <w:r/>
    </w:p>
    <w:p>
      <w:pPr>
        <w:pStyle w:val="1198"/>
        <w:ind w:firstLine="640"/>
        <w:jc w:val="center"/>
        <w:keepLines w:val="0"/>
        <w:keepNext w:val="0"/>
        <w:widowControl w:val="off"/>
        <w:rPr>
          <w:b/>
          <w:bCs/>
          <w:color w:val="auto"/>
          <w:highlight w:val="none"/>
        </w:rPr>
      </w:pPr>
      <w:r>
        <w:rPr>
          <w:b/>
          <w:bCs/>
          <w:color w:val="auto"/>
          <w:highlight w:val="none"/>
          <w:lang w:val="zh-CN"/>
        </w:rPr>
        <w:t xml:space="preserve">目录</w:t>
      </w:r>
      <w:r/>
    </w:p>
    <w:p>
      <w:pPr>
        <w:pStyle w:val="839"/>
        <w:tabs>
          <w:tab w:val="right" w:pos="10456" w:leader="dot"/>
        </w:tabs>
        <w:rPr>
          <w:rFonts w:asciiTheme="minorHAnsi" w:hAnsiTheme="minorHAnsi" w:eastAsiaTheme="minorEastAsia" w:cstheme="minorBidi"/>
          <w:color w:val="auto"/>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TOC \o "1-3" \h \z \u </w:instrText>
      </w:r>
      <w:r>
        <w:rPr>
          <w:rFonts w:ascii="Times New Roman" w:hAnsi="Times New Roman"/>
          <w:color w:val="auto"/>
          <w:highlight w:val="none"/>
        </w:rPr>
        <w:fldChar w:fldCharType="separate"/>
      </w:r>
      <w:r>
        <w:rPr>
          <w:color w:val="auto"/>
          <w:highlight w:val="none"/>
        </w:rPr>
        <w:fldChar w:fldCharType="begin"/>
      </w:r>
      <w:r>
        <w:rPr>
          <w:color w:val="auto"/>
          <w:highlight w:val="none"/>
        </w:rPr>
        <w:instrText xml:space="preserve"> HYPERLINK \l "_Toc239671886" </w:instrText>
      </w:r>
      <w:r>
        <w:rPr>
          <w:color w:val="auto"/>
          <w:highlight w:val="none"/>
        </w:rPr>
        <w:fldChar w:fldCharType="separate"/>
      </w:r>
      <w:r>
        <w:rPr>
          <w:rStyle w:val="859"/>
          <w:rFonts w:ascii="黑体" w:hAnsi="Times New Roman" w:eastAsia="黑体"/>
          <w:color w:val="auto"/>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_Toc239671886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"_Toc239671887" </w:instrText>
      </w:r>
      <w:r>
        <w:rPr>
          <w:color w:val="auto"/>
          <w:highlight w:val="none"/>
        </w:rPr>
        <w:fldChar w:fldCharType="separate"/>
      </w:r>
      <w:r>
        <w:rPr>
          <w:rStyle w:val="859"/>
          <w:rFonts w:ascii="Times New Roman" w:hAnsi="Times New Roman"/>
          <w:b/>
          <w:bCs/>
          <w:color w:val="auto"/>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_Toc239671887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"_Toc239671888" </w:instrText>
      </w:r>
      <w:r>
        <w:rPr>
          <w:color w:val="auto"/>
          <w:highlight w:val="none"/>
        </w:rPr>
        <w:fldChar w:fldCharType="separate"/>
      </w:r>
      <w:r>
        <w:rPr>
          <w:rStyle w:val="859"/>
          <w:rFonts w:ascii="Times New Roman" w:hAnsi="Times New Roman"/>
          <w:b/>
          <w:bCs/>
          <w:color w:val="auto"/>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_Toc239671888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"_Toc239671889" </w:instrText>
      </w:r>
      <w:r>
        <w:rPr>
          <w:color w:val="auto"/>
          <w:highlight w:val="none"/>
        </w:rPr>
        <w:fldChar w:fldCharType="separate"/>
      </w:r>
      <w:r>
        <w:rPr>
          <w:rStyle w:val="859"/>
          <w:rFonts w:ascii="Times New Roman" w:hAnsi="Times New Roman"/>
          <w:b/>
          <w:bCs/>
          <w:color w:val="auto"/>
          <w:highlight w:val="none"/>
        </w:rPr>
        <w:t xml:space="preserve">三、获取招标文件</w:t>
      </w:r>
      <w:r>
        <w:rPr>
          <w:color w:val="auto"/>
          <w:highlight w:val="none"/>
        </w:rPr>
        <w:tab/>
      </w:r>
      <w:r>
        <w:rPr>
          <w:color w:val="auto"/>
          <w:highlight w:val="none"/>
        </w:rPr>
        <w:fldChar w:fldCharType="begin"/>
      </w:r>
      <w:r>
        <w:rPr>
          <w:color w:val="auto"/>
          <w:highlight w:val="none"/>
        </w:rPr>
        <w:instrText xml:space="preserve"> PAGEREF _Toc239671889 \h </w:instrText>
      </w:r>
      <w:r>
        <w:rPr>
          <w:color w:val="auto"/>
          <w:highlight w:val="none"/>
        </w:rPr>
        <w:fldChar w:fldCharType="separate"/>
      </w:r>
      <w:r>
        <w:rPr>
          <w:color w:val="auto"/>
          <w:highlight w:val="none"/>
        </w:rPr>
        <w:t xml:space="preserve">2</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"_Toc239671890" </w:instrText>
      </w:r>
      <w:r>
        <w:rPr>
          <w:color w:val="auto"/>
          <w:highlight w:val="none"/>
        </w:rPr>
        <w:fldChar w:fldCharType="separate"/>
      </w:r>
      <w:r>
        <w:rPr>
          <w:rStyle w:val="859"/>
          <w:rFonts w:ascii="Times New Roman" w:hAnsi="Times New Roman"/>
          <w:b/>
          <w:bCs/>
          <w:color w:val="auto"/>
          <w:highlight w:val="none"/>
        </w:rPr>
        <w:t xml:space="preserve">四、提交投标文件截止时间、开标时间和地点</w:t>
      </w:r>
      <w:r>
        <w:rPr>
          <w:color w:val="auto"/>
          <w:highlight w:val="none"/>
        </w:rPr>
        <w:tab/>
      </w:r>
      <w:r>
        <w:rPr>
          <w:color w:val="auto"/>
          <w:highlight w:val="none"/>
        </w:rPr>
        <w:fldChar w:fldCharType="begin"/>
      </w:r>
      <w:r>
        <w:rPr>
          <w:color w:val="auto"/>
          <w:highlight w:val="none"/>
        </w:rPr>
        <w:instrText xml:space="preserve"> PAGEREF _Toc239671890 \h </w:instrText>
      </w:r>
      <w:r>
        <w:rPr>
          <w:color w:val="auto"/>
          <w:highlight w:val="none"/>
        </w:rPr>
        <w:fldChar w:fldCharType="separate"/>
      </w:r>
      <w:r>
        <w:rPr>
          <w:color w:val="auto"/>
          <w:highlight w:val="none"/>
        </w:rPr>
        <w:t xml:space="preserve">2</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"_Toc239671891" </w:instrText>
      </w:r>
      <w:r>
        <w:rPr>
          <w:color w:val="auto"/>
          <w:highlight w:val="none"/>
        </w:rPr>
        <w:fldChar w:fldCharType="separate"/>
      </w:r>
      <w:r>
        <w:rPr>
          <w:rStyle w:val="859"/>
          <w:rFonts w:ascii="Times New Roman" w:hAnsi="Times New Roman"/>
          <w:b/>
          <w:bCs/>
          <w:color w:val="auto"/>
          <w:highlight w:val="none"/>
        </w:rPr>
        <w:t xml:space="preserve">五、公告期限</w:t>
      </w:r>
      <w:r>
        <w:rPr>
          <w:color w:val="auto"/>
          <w:highlight w:val="none"/>
        </w:rPr>
        <w:tab/>
      </w:r>
      <w:r>
        <w:rPr>
          <w:color w:val="auto"/>
          <w:highlight w:val="none"/>
        </w:rPr>
        <w:fldChar w:fldCharType="begin"/>
      </w:r>
      <w:r>
        <w:rPr>
          <w:color w:val="auto"/>
          <w:highlight w:val="none"/>
        </w:rPr>
        <w:instrText xml:space="preserve"> PAGEREF _Toc239671891 \h </w:instrText>
      </w:r>
      <w:r>
        <w:rPr>
          <w:color w:val="auto"/>
          <w:highlight w:val="none"/>
        </w:rPr>
        <w:fldChar w:fldCharType="separate"/>
      </w:r>
      <w:r>
        <w:rPr>
          <w:color w:val="auto"/>
          <w:highlight w:val="none"/>
        </w:rPr>
        <w:t xml:space="preserve">2</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"_Toc239671892" </w:instrText>
      </w:r>
      <w:r>
        <w:rPr>
          <w:color w:val="auto"/>
          <w:highlight w:val="none"/>
        </w:rPr>
        <w:fldChar w:fldCharType="separate"/>
      </w:r>
      <w:r>
        <w:rPr>
          <w:rStyle w:val="859"/>
          <w:rFonts w:ascii="Times New Roman" w:hAnsi="Times New Roman"/>
          <w:b/>
          <w:bCs/>
          <w:color w:val="auto"/>
          <w:highlight w:val="none"/>
        </w:rPr>
        <w:t xml:space="preserve">六、其他补充事宜</w:t>
      </w:r>
      <w:r>
        <w:rPr>
          <w:color w:val="auto"/>
          <w:highlight w:val="none"/>
        </w:rPr>
        <w:tab/>
      </w:r>
      <w:r>
        <w:rPr>
          <w:color w:val="auto"/>
          <w:highlight w:val="none"/>
        </w:rPr>
        <w:fldChar w:fldCharType="begin"/>
      </w:r>
      <w:r>
        <w:rPr>
          <w:color w:val="auto"/>
          <w:highlight w:val="none"/>
        </w:rPr>
        <w:instrText xml:space="preserve"> PAGEREF _Toc239671892 \h </w:instrText>
      </w:r>
      <w:r>
        <w:rPr>
          <w:color w:val="auto"/>
          <w:highlight w:val="none"/>
        </w:rPr>
        <w:fldChar w:fldCharType="separate"/>
      </w:r>
      <w:r>
        <w:rPr>
          <w:color w:val="auto"/>
          <w:highlight w:val="none"/>
        </w:rPr>
        <w:t xml:space="preserve">2</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"_Toc239671893" </w:instrText>
      </w:r>
      <w:r>
        <w:rPr>
          <w:color w:val="auto"/>
          <w:highlight w:val="none"/>
        </w:rPr>
        <w:fldChar w:fldCharType="separate"/>
      </w:r>
      <w:r>
        <w:rPr>
          <w:rStyle w:val="859"/>
          <w:rFonts w:ascii="Times New Roman" w:hAnsi="Times New Roman"/>
          <w:b/>
          <w:bCs/>
          <w:color w:val="auto"/>
          <w:highlight w:val="none"/>
        </w:rPr>
        <w:t xml:space="preserve">七、本次招标联系方式</w:t>
      </w:r>
      <w:r>
        <w:rPr>
          <w:color w:val="auto"/>
          <w:highlight w:val="none"/>
        </w:rPr>
        <w:tab/>
      </w:r>
      <w:r>
        <w:rPr>
          <w:color w:val="auto"/>
          <w:highlight w:val="none"/>
        </w:rPr>
        <w:fldChar w:fldCharType="begin"/>
      </w:r>
      <w:r>
        <w:rPr>
          <w:color w:val="auto"/>
          <w:highlight w:val="none"/>
        </w:rPr>
        <w:instrText xml:space="preserve"> PAGEREF _Toc239671893 \h </w:instrText>
      </w:r>
      <w:r>
        <w:rPr>
          <w:color w:val="auto"/>
          <w:highlight w:val="none"/>
        </w:rPr>
        <w:fldChar w:fldCharType="separate"/>
      </w:r>
      <w:r>
        <w:rPr>
          <w:color w:val="auto"/>
          <w:highlight w:val="none"/>
        </w:rPr>
        <w:t xml:space="preserve">2</w:t>
      </w:r>
      <w:r>
        <w:rPr>
          <w:color w:val="auto"/>
          <w:highlight w:val="none"/>
        </w:rPr>
        <w:fldChar w:fldCharType="end"/>
      </w:r>
      <w:r>
        <w:rPr>
          <w:color w:val="auto"/>
          <w:highlight w:val="none"/>
        </w:rPr>
        <w:fldChar w:fldCharType="end"/>
      </w:r>
      <w:r/>
    </w:p>
    <w:p>
      <w:pPr>
        <w:pStyle w:val="839"/>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"_Toc239671894" </w:instrText>
      </w:r>
      <w:r>
        <w:rPr>
          <w:color w:val="auto"/>
          <w:highlight w:val="none"/>
        </w:rPr>
        <w:fldChar w:fldCharType="separate"/>
      </w:r>
      <w:r>
        <w:rPr>
          <w:rStyle w:val="859"/>
          <w:rFonts w:ascii="黑体" w:hAnsi="Times New Roman" w:eastAsia="黑体"/>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_Toc239671894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"_Toc239671895" </w:instrText>
      </w:r>
      <w:r>
        <w:rPr>
          <w:color w:val="auto"/>
          <w:highlight w:val="none"/>
        </w:rPr>
        <w:fldChar w:fldCharType="separate"/>
      </w:r>
      <w:r>
        <w:rPr>
          <w:rStyle w:val="859"/>
          <w:rFonts w:ascii="宋体" w:hAnsi="宋体" w:cs="宋体"/>
          <w:b/>
          <w:bCs/>
          <w:color w:val="auto"/>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_Toc239671895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"_Toc239671896" </w:instrText>
      </w:r>
      <w:r>
        <w:rPr>
          <w:color w:val="auto"/>
          <w:highlight w:val="none"/>
        </w:rPr>
        <w:fldChar w:fldCharType="separate"/>
      </w:r>
      <w:r>
        <w:rPr>
          <w:rStyle w:val="859"/>
          <w:rFonts w:ascii="宋体" w:hAnsi="宋体" w:cs="宋体"/>
          <w:b/>
          <w:bCs/>
          <w:color w:val="auto"/>
          <w:highlight w:val="none"/>
        </w:rPr>
        <w:t xml:space="preserve">二、招标文件</w:t>
      </w:r>
      <w:r>
        <w:rPr>
          <w:color w:val="auto"/>
          <w:highlight w:val="none"/>
        </w:rPr>
        <w:tab/>
      </w:r>
      <w:r>
        <w:rPr>
          <w:color w:val="auto"/>
          <w:highlight w:val="none"/>
        </w:rPr>
        <w:fldChar w:fldCharType="begin"/>
      </w:r>
      <w:r>
        <w:rPr>
          <w:color w:val="auto"/>
          <w:highlight w:val="none"/>
        </w:rPr>
        <w:instrText xml:space="preserve"> PAGEREF _Toc239671896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"_Toc239671897" </w:instrText>
      </w:r>
      <w:r>
        <w:rPr>
          <w:color w:val="auto"/>
          <w:highlight w:val="none"/>
        </w:rPr>
        <w:fldChar w:fldCharType="separate"/>
      </w:r>
      <w:r>
        <w:rPr>
          <w:rStyle w:val="859"/>
          <w:rFonts w:ascii="宋体" w:hAnsi="宋体" w:cs="宋体"/>
          <w:b/>
          <w:bCs/>
          <w:color w:val="auto"/>
          <w:highlight w:val="none"/>
        </w:rPr>
        <w:t xml:space="preserve">三、投标文件的编制</w:t>
      </w:r>
      <w:r>
        <w:rPr>
          <w:color w:val="auto"/>
          <w:highlight w:val="none"/>
        </w:rPr>
        <w:tab/>
      </w:r>
      <w:r>
        <w:rPr>
          <w:color w:val="auto"/>
          <w:highlight w:val="none"/>
        </w:rPr>
        <w:fldChar w:fldCharType="begin"/>
      </w:r>
      <w:r>
        <w:rPr>
          <w:color w:val="auto"/>
          <w:highlight w:val="none"/>
        </w:rPr>
        <w:instrText xml:space="preserve"> PAGEREF _Toc239671897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"_Toc239671898" </w:instrText>
      </w:r>
      <w:r>
        <w:rPr>
          <w:color w:val="auto"/>
          <w:highlight w:val="none"/>
        </w:rPr>
        <w:fldChar w:fldCharType="separate"/>
      </w:r>
      <w:r>
        <w:rPr>
          <w:rStyle w:val="859"/>
          <w:rFonts w:ascii="宋体" w:hAnsi="宋体" w:cs="宋体"/>
          <w:b/>
          <w:bCs/>
          <w:color w:val="auto"/>
          <w:highlight w:val="none"/>
        </w:rPr>
        <w:t xml:space="preserve">四、投标文件的递交</w:t>
      </w:r>
      <w:r>
        <w:rPr>
          <w:color w:val="auto"/>
          <w:highlight w:val="none"/>
        </w:rPr>
        <w:tab/>
      </w:r>
      <w:r>
        <w:rPr>
          <w:color w:val="auto"/>
          <w:highlight w:val="none"/>
        </w:rPr>
        <w:fldChar w:fldCharType="begin"/>
      </w:r>
      <w:r>
        <w:rPr>
          <w:color w:val="auto"/>
          <w:highlight w:val="none"/>
        </w:rPr>
        <w:instrText xml:space="preserve"> PAGEREF _Toc239671898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"_Toc239671899" </w:instrText>
      </w:r>
      <w:r>
        <w:rPr>
          <w:color w:val="auto"/>
          <w:highlight w:val="none"/>
        </w:rPr>
        <w:fldChar w:fldCharType="separate"/>
      </w:r>
      <w:r>
        <w:rPr>
          <w:rStyle w:val="859"/>
          <w:rFonts w:ascii="宋体" w:hAnsi="宋体" w:cs="宋体"/>
          <w:b/>
          <w:bCs/>
          <w:color w:val="auto"/>
          <w:highlight w:val="none"/>
        </w:rPr>
        <w:t xml:space="preserve">五、开标与评标</w:t>
      </w:r>
      <w:r>
        <w:rPr>
          <w:color w:val="auto"/>
          <w:highlight w:val="none"/>
        </w:rPr>
        <w:tab/>
      </w:r>
      <w:r>
        <w:rPr>
          <w:color w:val="auto"/>
          <w:highlight w:val="none"/>
        </w:rPr>
        <w:fldChar w:fldCharType="begin"/>
      </w:r>
      <w:r>
        <w:rPr>
          <w:color w:val="auto"/>
          <w:highlight w:val="none"/>
        </w:rPr>
        <w:instrText xml:space="preserve"> PAGEREF _Toc239671899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"_Toc239671900" </w:instrText>
      </w:r>
      <w:r>
        <w:rPr>
          <w:color w:val="auto"/>
          <w:highlight w:val="none"/>
        </w:rPr>
        <w:fldChar w:fldCharType="separate"/>
      </w:r>
      <w:r>
        <w:rPr>
          <w:rStyle w:val="859"/>
          <w:rFonts w:ascii="宋体" w:hAnsi="宋体" w:cs="宋体"/>
          <w:b/>
          <w:bCs/>
          <w:color w:val="auto"/>
          <w:highlight w:val="none"/>
        </w:rPr>
        <w:t xml:space="preserve">六、定标</w:t>
      </w:r>
      <w:r>
        <w:rPr>
          <w:color w:val="auto"/>
          <w:highlight w:val="none"/>
        </w:rPr>
        <w:tab/>
      </w:r>
      <w:r>
        <w:rPr>
          <w:color w:val="auto"/>
          <w:highlight w:val="none"/>
        </w:rPr>
        <w:fldChar w:fldCharType="begin"/>
      </w:r>
      <w:r>
        <w:rPr>
          <w:color w:val="auto"/>
          <w:highlight w:val="none"/>
        </w:rPr>
        <w:instrText xml:space="preserve"> PAGEREF _Toc239671900 \h </w:instrText>
      </w:r>
      <w:r>
        <w:rPr>
          <w:color w:val="auto"/>
          <w:highlight w:val="none"/>
        </w:rPr>
        <w:fldChar w:fldCharType="separate"/>
      </w:r>
      <w:r>
        <w:rPr>
          <w:color w:val="auto"/>
          <w:highlight w:val="none"/>
        </w:rPr>
        <w:t xml:space="preserve">10</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"_Toc239671901" </w:instrText>
      </w:r>
      <w:r>
        <w:rPr>
          <w:color w:val="auto"/>
          <w:highlight w:val="none"/>
        </w:rPr>
        <w:fldChar w:fldCharType="separate"/>
      </w:r>
      <w:r>
        <w:rPr>
          <w:rStyle w:val="859"/>
          <w:rFonts w:ascii="宋体" w:hAnsi="宋体" w:cs="宋体"/>
          <w:b/>
          <w:bCs/>
          <w:color w:val="auto"/>
          <w:highlight w:val="none"/>
        </w:rPr>
        <w:t xml:space="preserve">七、授予合同</w:t>
      </w:r>
      <w:r>
        <w:rPr>
          <w:color w:val="auto"/>
          <w:highlight w:val="none"/>
        </w:rPr>
        <w:tab/>
      </w:r>
      <w:r>
        <w:rPr>
          <w:color w:val="auto"/>
          <w:highlight w:val="none"/>
        </w:rPr>
        <w:fldChar w:fldCharType="begin"/>
      </w:r>
      <w:r>
        <w:rPr>
          <w:color w:val="auto"/>
          <w:highlight w:val="none"/>
        </w:rPr>
        <w:instrText xml:space="preserve"> PAGEREF _Toc239671901 \h </w:instrText>
      </w:r>
      <w:r>
        <w:rPr>
          <w:color w:val="auto"/>
          <w:highlight w:val="none"/>
        </w:rPr>
        <w:fldChar w:fldCharType="separate"/>
      </w:r>
      <w:r>
        <w:rPr>
          <w:color w:val="auto"/>
          <w:highlight w:val="none"/>
        </w:rPr>
        <w:t xml:space="preserve">12</w:t>
      </w:r>
      <w:r>
        <w:rPr>
          <w:color w:val="auto"/>
          <w:highlight w:val="none"/>
        </w:rPr>
        <w:fldChar w:fldCharType="end"/>
      </w:r>
      <w:r>
        <w:rPr>
          <w:color w:val="auto"/>
          <w:highlight w:val="none"/>
        </w:rPr>
        <w:fldChar w:fldCharType="end"/>
      </w:r>
      <w:r/>
    </w:p>
    <w:p>
      <w:pPr>
        <w:pStyle w:val="839"/>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"_Toc239671902" </w:instrText>
      </w:r>
      <w:r>
        <w:rPr>
          <w:color w:val="auto"/>
          <w:highlight w:val="none"/>
        </w:rPr>
        <w:fldChar w:fldCharType="separate"/>
      </w:r>
      <w:r>
        <w:rPr>
          <w:rStyle w:val="859"/>
          <w:rFonts w:ascii="黑体" w:hAnsi="Times New Roman" w:eastAsia="黑体"/>
          <w:bCs/>
          <w:color w:val="auto"/>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_Toc239671902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839"/>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"_Toc239671903" </w:instrText>
      </w:r>
      <w:r>
        <w:rPr>
          <w:color w:val="auto"/>
          <w:highlight w:val="none"/>
        </w:rPr>
        <w:fldChar w:fldCharType="separate"/>
      </w:r>
      <w:r>
        <w:rPr>
          <w:rStyle w:val="859"/>
          <w:rFonts w:ascii="黑体" w:hAnsi="Courier New" w:eastAsia="黑体" w:cs="Courier New"/>
          <w:bCs/>
          <w:color w:val="auto"/>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_Toc239671903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839"/>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"_Toc239671904" </w:instrText>
      </w:r>
      <w:r>
        <w:rPr>
          <w:color w:val="auto"/>
          <w:highlight w:val="none"/>
        </w:rPr>
        <w:fldChar w:fldCharType="separate"/>
      </w:r>
      <w:r>
        <w:rPr>
          <w:rStyle w:val="859"/>
          <w:rFonts w:ascii="宋体" w:hAnsi="宋体"/>
          <w:b/>
          <w:color w:val="auto"/>
          <w:highlight w:val="none"/>
        </w:rPr>
        <w:t xml:space="preserve">水位雨量站</w:t>
      </w:r>
      <w:r>
        <w:rPr>
          <w:color w:val="auto"/>
          <w:highlight w:val="none"/>
        </w:rPr>
        <w:tab/>
      </w:r>
      <w:r>
        <w:rPr>
          <w:color w:val="auto"/>
          <w:highlight w:val="none"/>
        </w:rPr>
        <w:fldChar w:fldCharType="begin"/>
      </w:r>
      <w:r>
        <w:rPr>
          <w:color w:val="auto"/>
          <w:highlight w:val="none"/>
        </w:rPr>
        <w:instrText xml:space="preserve"> PAGEREF _Toc239671904 \h </w:instrText>
      </w:r>
      <w:r>
        <w:rPr>
          <w:color w:val="auto"/>
          <w:highlight w:val="none"/>
        </w:rPr>
        <w:fldChar w:fldCharType="separate"/>
      </w:r>
      <w:r>
        <w:rPr>
          <w:color w:val="auto"/>
          <w:highlight w:val="none"/>
        </w:rPr>
        <w:t xml:space="preserve">23</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"_Toc239671905" </w:instrText>
      </w:r>
      <w:r>
        <w:rPr>
          <w:color w:val="auto"/>
          <w:highlight w:val="none"/>
        </w:rPr>
        <w:fldChar w:fldCharType="separate"/>
      </w:r>
      <w:r>
        <w:rPr>
          <w:rStyle w:val="859"/>
          <w:rFonts w:ascii="宋体" w:hAnsi="宋体" w:cs="宋体"/>
          <w:b/>
          <w:bCs/>
          <w:color w:val="auto"/>
          <w:highlight w:val="none"/>
        </w:rPr>
        <w:t xml:space="preserve">一、雷达水位计</w:t>
      </w:r>
      <w:r>
        <w:rPr>
          <w:color w:val="auto"/>
          <w:highlight w:val="none"/>
        </w:rPr>
        <w:tab/>
      </w:r>
      <w:r>
        <w:rPr>
          <w:color w:val="auto"/>
          <w:highlight w:val="none"/>
        </w:rPr>
        <w:fldChar w:fldCharType="begin"/>
      </w:r>
      <w:r>
        <w:rPr>
          <w:color w:val="auto"/>
          <w:highlight w:val="none"/>
        </w:rPr>
        <w:instrText xml:space="preserve"> PAGEREF _Toc239671905 \h </w:instrText>
      </w:r>
      <w:r>
        <w:rPr>
          <w:color w:val="auto"/>
          <w:highlight w:val="none"/>
        </w:rPr>
        <w:fldChar w:fldCharType="separate"/>
      </w:r>
      <w:r>
        <w:rPr>
          <w:color w:val="auto"/>
          <w:highlight w:val="none"/>
        </w:rPr>
        <w:t xml:space="preserve">23</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"_Toc239671906" </w:instrText>
      </w:r>
      <w:r>
        <w:rPr>
          <w:color w:val="auto"/>
          <w:highlight w:val="none"/>
        </w:rPr>
        <w:fldChar w:fldCharType="separate"/>
      </w:r>
      <w:r>
        <w:rPr>
          <w:rStyle w:val="859"/>
          <w:rFonts w:ascii="宋体" w:hAnsi="宋体" w:cs="宋体"/>
          <w:b/>
          <w:bCs/>
          <w:color w:val="auto"/>
          <w:highlight w:val="none"/>
        </w:rPr>
        <w:t xml:space="preserve">二、智能雨量测量仪</w:t>
      </w:r>
      <w:r>
        <w:rPr>
          <w:color w:val="auto"/>
          <w:highlight w:val="none"/>
        </w:rPr>
        <w:tab/>
      </w:r>
      <w:r>
        <w:rPr>
          <w:color w:val="auto"/>
          <w:highlight w:val="none"/>
        </w:rPr>
        <w:fldChar w:fldCharType="begin"/>
      </w:r>
      <w:r>
        <w:rPr>
          <w:color w:val="auto"/>
          <w:highlight w:val="none"/>
        </w:rPr>
        <w:instrText xml:space="preserve"> PAGEREF _Toc239671906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"_Toc239671907" </w:instrText>
      </w:r>
      <w:r>
        <w:rPr>
          <w:color w:val="auto"/>
          <w:highlight w:val="none"/>
        </w:rPr>
        <w:fldChar w:fldCharType="separate"/>
      </w:r>
      <w:r>
        <w:rPr>
          <w:rStyle w:val="859"/>
          <w:rFonts w:ascii="宋体" w:hAnsi="宋体" w:cs="宋体"/>
          <w:b/>
          <w:bCs/>
          <w:color w:val="auto"/>
          <w:highlight w:val="none"/>
        </w:rPr>
        <w:t xml:space="preserve">三、RTU</w:t>
      </w:r>
      <w:r>
        <w:rPr>
          <w:color w:val="auto"/>
          <w:highlight w:val="none"/>
        </w:rPr>
        <w:tab/>
      </w:r>
      <w:r>
        <w:rPr>
          <w:color w:val="auto"/>
          <w:highlight w:val="none"/>
        </w:rPr>
        <w:fldChar w:fldCharType="begin"/>
      </w:r>
      <w:r>
        <w:rPr>
          <w:color w:val="auto"/>
          <w:highlight w:val="none"/>
        </w:rPr>
        <w:instrText xml:space="preserve"> PAGEREF _Toc239671907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"_Toc239671908" </w:instrText>
      </w:r>
      <w:r>
        <w:rPr>
          <w:color w:val="auto"/>
          <w:highlight w:val="none"/>
        </w:rPr>
        <w:fldChar w:fldCharType="separate"/>
      </w:r>
      <w:r>
        <w:rPr>
          <w:rStyle w:val="859"/>
          <w:rFonts w:ascii="宋体" w:hAnsi="宋体" w:cs="宋体"/>
          <w:b/>
          <w:bCs/>
          <w:color w:val="auto"/>
          <w:highlight w:val="none"/>
        </w:rPr>
        <w:t xml:space="preserve">四、蓄电池</w:t>
      </w:r>
      <w:r>
        <w:rPr>
          <w:color w:val="auto"/>
          <w:highlight w:val="none"/>
        </w:rPr>
        <w:tab/>
      </w:r>
      <w:r>
        <w:rPr>
          <w:color w:val="auto"/>
          <w:highlight w:val="none"/>
        </w:rPr>
        <w:fldChar w:fldCharType="begin"/>
      </w:r>
      <w:r>
        <w:rPr>
          <w:color w:val="auto"/>
          <w:highlight w:val="none"/>
        </w:rPr>
        <w:instrText xml:space="preserve"> PAGEREF _Toc239671908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"_Toc239671909" </w:instrText>
      </w:r>
      <w:r>
        <w:rPr>
          <w:color w:val="auto"/>
          <w:highlight w:val="none"/>
        </w:rPr>
        <w:fldChar w:fldCharType="separate"/>
      </w:r>
      <w:r>
        <w:rPr>
          <w:rStyle w:val="859"/>
          <w:rFonts w:ascii="宋体" w:hAnsi="宋体" w:cs="宋体"/>
          <w:b/>
          <w:bCs/>
          <w:color w:val="auto"/>
          <w:highlight w:val="none"/>
        </w:rPr>
        <w:t xml:space="preserve">五、充电控制器</w:t>
      </w:r>
      <w:r>
        <w:rPr>
          <w:color w:val="auto"/>
          <w:highlight w:val="none"/>
        </w:rPr>
        <w:tab/>
      </w:r>
      <w:r>
        <w:rPr>
          <w:color w:val="auto"/>
          <w:highlight w:val="none"/>
        </w:rPr>
        <w:fldChar w:fldCharType="begin"/>
      </w:r>
      <w:r>
        <w:rPr>
          <w:color w:val="auto"/>
          <w:highlight w:val="none"/>
        </w:rPr>
        <w:instrText xml:space="preserve"> PAGEREF _Toc239671909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"_Toc239671910" </w:instrText>
      </w:r>
      <w:r>
        <w:rPr>
          <w:color w:val="auto"/>
          <w:highlight w:val="none"/>
        </w:rPr>
        <w:fldChar w:fldCharType="separate"/>
      </w:r>
      <w:r>
        <w:rPr>
          <w:rStyle w:val="859"/>
          <w:rFonts w:ascii="宋体" w:hAnsi="宋体" w:cs="宋体"/>
          <w:b/>
          <w:bCs/>
          <w:color w:val="auto"/>
          <w:highlight w:val="none"/>
        </w:rPr>
        <w:t xml:space="preserve">六、太阳能板</w:t>
      </w:r>
      <w:r>
        <w:rPr>
          <w:color w:val="auto"/>
          <w:highlight w:val="none"/>
        </w:rPr>
        <w:tab/>
      </w:r>
      <w:r>
        <w:rPr>
          <w:color w:val="auto"/>
          <w:highlight w:val="none"/>
        </w:rPr>
        <w:fldChar w:fldCharType="begin"/>
      </w:r>
      <w:r>
        <w:rPr>
          <w:color w:val="auto"/>
          <w:highlight w:val="none"/>
        </w:rPr>
        <w:instrText xml:space="preserve"> PAGEREF _Toc239671910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"_Toc239671911" </w:instrText>
      </w:r>
      <w:r>
        <w:rPr>
          <w:color w:val="auto"/>
          <w:highlight w:val="none"/>
        </w:rPr>
        <w:fldChar w:fldCharType="separate"/>
      </w:r>
      <w:r>
        <w:rPr>
          <w:rStyle w:val="859"/>
          <w:rFonts w:ascii="宋体" w:hAnsi="宋体" w:cs="宋体"/>
          <w:b/>
          <w:bCs/>
          <w:color w:val="auto"/>
          <w:highlight w:val="none"/>
        </w:rPr>
        <w:t xml:space="preserve">七、设备箱</w:t>
      </w:r>
      <w:r>
        <w:rPr>
          <w:color w:val="auto"/>
          <w:highlight w:val="none"/>
        </w:rPr>
        <w:tab/>
      </w:r>
      <w:r>
        <w:rPr>
          <w:color w:val="auto"/>
          <w:highlight w:val="none"/>
        </w:rPr>
        <w:fldChar w:fldCharType="begin"/>
      </w:r>
      <w:r>
        <w:rPr>
          <w:color w:val="auto"/>
          <w:highlight w:val="none"/>
        </w:rPr>
        <w:instrText xml:space="preserve"> PAGEREF _Toc239671911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"_Toc239671912" </w:instrText>
      </w:r>
      <w:r>
        <w:rPr>
          <w:color w:val="auto"/>
          <w:highlight w:val="none"/>
        </w:rPr>
        <w:fldChar w:fldCharType="separate"/>
      </w:r>
      <w:r>
        <w:rPr>
          <w:rStyle w:val="859"/>
          <w:rFonts w:ascii="宋体" w:hAnsi="宋体" w:cs="宋体"/>
          <w:b/>
          <w:bCs/>
          <w:color w:val="auto"/>
          <w:highlight w:val="none"/>
        </w:rPr>
        <w:t xml:space="preserve">八、立杆及支架</w:t>
      </w:r>
      <w:r>
        <w:rPr>
          <w:color w:val="auto"/>
          <w:highlight w:val="none"/>
        </w:rPr>
        <w:tab/>
      </w:r>
      <w:r>
        <w:rPr>
          <w:color w:val="auto"/>
          <w:highlight w:val="none"/>
        </w:rPr>
        <w:fldChar w:fldCharType="begin"/>
      </w:r>
      <w:r>
        <w:rPr>
          <w:color w:val="auto"/>
          <w:highlight w:val="none"/>
        </w:rPr>
        <w:instrText xml:space="preserve"> PAGEREF _Toc239671912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"_Toc239671913" </w:instrText>
      </w:r>
      <w:r>
        <w:rPr>
          <w:color w:val="auto"/>
          <w:highlight w:val="none"/>
        </w:rPr>
        <w:fldChar w:fldCharType="separate"/>
      </w:r>
      <w:r>
        <w:rPr>
          <w:rStyle w:val="859"/>
          <w:rFonts w:ascii="宋体" w:hAnsi="宋体" w:cs="宋体"/>
          <w:b/>
          <w:bCs/>
          <w:color w:val="auto"/>
          <w:highlight w:val="none"/>
        </w:rPr>
        <w:t xml:space="preserve">九、水尺</w:t>
      </w:r>
      <w:r>
        <w:rPr>
          <w:color w:val="auto"/>
          <w:highlight w:val="none"/>
        </w:rPr>
        <w:tab/>
      </w:r>
      <w:r>
        <w:rPr>
          <w:color w:val="auto"/>
          <w:highlight w:val="none"/>
        </w:rPr>
        <w:fldChar w:fldCharType="begin"/>
      </w:r>
      <w:r>
        <w:rPr>
          <w:color w:val="auto"/>
          <w:highlight w:val="none"/>
        </w:rPr>
        <w:instrText xml:space="preserve"> PAGEREF _Toc239671913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839"/>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"_Toc239671914" </w:instrText>
      </w:r>
      <w:r>
        <w:rPr>
          <w:color w:val="auto"/>
          <w:highlight w:val="none"/>
        </w:rPr>
        <w:fldChar w:fldCharType="separate"/>
      </w:r>
      <w:r>
        <w:rPr>
          <w:rStyle w:val="859"/>
          <w:rFonts w:ascii="宋体" w:hAnsi="宋体" w:cs="宋体"/>
          <w:b/>
          <w:color w:val="auto"/>
          <w:highlight w:val="none"/>
        </w:rPr>
        <w:t xml:space="preserve">流量站</w:t>
      </w:r>
      <w:r>
        <w:rPr>
          <w:color w:val="auto"/>
          <w:highlight w:val="none"/>
        </w:rPr>
        <w:tab/>
      </w:r>
      <w:r>
        <w:rPr>
          <w:color w:val="auto"/>
          <w:highlight w:val="none"/>
        </w:rPr>
        <w:fldChar w:fldCharType="begin"/>
      </w:r>
      <w:r>
        <w:rPr>
          <w:color w:val="auto"/>
          <w:highlight w:val="none"/>
        </w:rPr>
        <w:instrText xml:space="preserve"> PAGEREF _Toc239671914 \h </w:instrText>
      </w:r>
      <w:r>
        <w:rPr>
          <w:color w:val="auto"/>
          <w:highlight w:val="none"/>
        </w:rPr>
        <w:fldChar w:fldCharType="separate"/>
      </w:r>
      <w:r>
        <w:rPr>
          <w:color w:val="auto"/>
          <w:highlight w:val="none"/>
        </w:rPr>
        <w:t xml:space="preserve">25</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"_Toc239671915" </w:instrText>
      </w:r>
      <w:r>
        <w:rPr>
          <w:color w:val="auto"/>
          <w:highlight w:val="none"/>
        </w:rPr>
        <w:fldChar w:fldCharType="separate"/>
      </w:r>
      <w:r>
        <w:rPr>
          <w:rStyle w:val="859"/>
          <w:rFonts w:ascii="宋体" w:hAnsi="宋体" w:cs="宋体"/>
          <w:b/>
          <w:bCs/>
          <w:color w:val="auto"/>
          <w:highlight w:val="none"/>
        </w:rPr>
        <w:t xml:space="preserve">一、H-ADCP</w:t>
      </w:r>
      <w:r>
        <w:rPr>
          <w:color w:val="auto"/>
          <w:highlight w:val="none"/>
        </w:rPr>
        <w:tab/>
      </w:r>
      <w:r>
        <w:rPr>
          <w:color w:val="auto"/>
          <w:highlight w:val="none"/>
        </w:rPr>
        <w:fldChar w:fldCharType="begin"/>
      </w:r>
      <w:r>
        <w:rPr>
          <w:color w:val="auto"/>
          <w:highlight w:val="none"/>
        </w:rPr>
        <w:instrText xml:space="preserve"> PAGEREF _Toc239671915 \h </w:instrText>
      </w:r>
      <w:r>
        <w:rPr>
          <w:color w:val="auto"/>
          <w:highlight w:val="none"/>
        </w:rPr>
        <w:fldChar w:fldCharType="separate"/>
      </w:r>
      <w:r>
        <w:rPr>
          <w:color w:val="auto"/>
          <w:highlight w:val="none"/>
        </w:rPr>
        <w:t xml:space="preserve">25</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"_Toc239671916" </w:instrText>
      </w:r>
      <w:r>
        <w:rPr>
          <w:color w:val="auto"/>
          <w:highlight w:val="none"/>
        </w:rPr>
        <w:fldChar w:fldCharType="separate"/>
      </w:r>
      <w:r>
        <w:rPr>
          <w:rStyle w:val="859"/>
          <w:rFonts w:ascii="宋体" w:hAnsi="宋体" w:cs="宋体"/>
          <w:b/>
          <w:bCs/>
          <w:color w:val="auto"/>
          <w:highlight w:val="none"/>
        </w:rPr>
        <w:t xml:space="preserve">二、雷达水位计</w:t>
      </w:r>
      <w:r>
        <w:rPr>
          <w:color w:val="auto"/>
          <w:highlight w:val="none"/>
        </w:rPr>
        <w:tab/>
      </w:r>
      <w:r>
        <w:rPr>
          <w:color w:val="auto"/>
          <w:highlight w:val="none"/>
        </w:rPr>
        <w:fldChar w:fldCharType="begin"/>
      </w:r>
      <w:r>
        <w:rPr>
          <w:color w:val="auto"/>
          <w:highlight w:val="none"/>
        </w:rPr>
        <w:instrText xml:space="preserve"> PAGEREF _Toc239671916 \h </w:instrText>
      </w:r>
      <w:r>
        <w:rPr>
          <w:color w:val="auto"/>
          <w:highlight w:val="none"/>
        </w:rPr>
        <w:fldChar w:fldCharType="separate"/>
      </w:r>
      <w:r>
        <w:rPr>
          <w:color w:val="auto"/>
          <w:highlight w:val="none"/>
        </w:rPr>
        <w:t xml:space="preserve">25</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"_Toc239671917" </w:instrText>
      </w:r>
      <w:r>
        <w:rPr>
          <w:color w:val="auto"/>
          <w:highlight w:val="none"/>
        </w:rPr>
        <w:fldChar w:fldCharType="separate"/>
      </w:r>
      <w:r>
        <w:rPr>
          <w:rStyle w:val="859"/>
          <w:rFonts w:ascii="宋体" w:hAnsi="宋体" w:cs="宋体"/>
          <w:b/>
          <w:bCs/>
          <w:color w:val="auto"/>
          <w:highlight w:val="none"/>
        </w:rPr>
        <w:t xml:space="preserve">三、遥测终端机</w:t>
      </w:r>
      <w:r>
        <w:rPr>
          <w:color w:val="auto"/>
          <w:highlight w:val="none"/>
        </w:rPr>
        <w:tab/>
      </w:r>
      <w:r>
        <w:rPr>
          <w:color w:val="auto"/>
          <w:highlight w:val="none"/>
        </w:rPr>
        <w:fldChar w:fldCharType="begin"/>
      </w:r>
      <w:r>
        <w:rPr>
          <w:color w:val="auto"/>
          <w:highlight w:val="none"/>
        </w:rPr>
        <w:instrText xml:space="preserve"> PAGEREF _Toc239671917 \h </w:instrText>
      </w:r>
      <w:r>
        <w:rPr>
          <w:color w:val="auto"/>
          <w:highlight w:val="none"/>
        </w:rPr>
        <w:fldChar w:fldCharType="separate"/>
      </w:r>
      <w:r>
        <w:rPr>
          <w:color w:val="auto"/>
          <w:highlight w:val="none"/>
        </w:rPr>
        <w:t xml:space="preserve">25</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"_Toc239671918" </w:instrText>
      </w:r>
      <w:r>
        <w:rPr>
          <w:color w:val="auto"/>
          <w:highlight w:val="none"/>
        </w:rPr>
        <w:fldChar w:fldCharType="separate"/>
      </w:r>
      <w:r>
        <w:rPr>
          <w:rStyle w:val="859"/>
          <w:rFonts w:ascii="宋体" w:hAnsi="宋体" w:cs="宋体"/>
          <w:b/>
          <w:bCs/>
          <w:color w:val="auto"/>
          <w:highlight w:val="none"/>
        </w:rPr>
        <w:t xml:space="preserve">四、蓄电池</w:t>
      </w:r>
      <w:r>
        <w:rPr>
          <w:color w:val="auto"/>
          <w:highlight w:val="none"/>
        </w:rPr>
        <w:tab/>
      </w:r>
      <w:r>
        <w:rPr>
          <w:color w:val="auto"/>
          <w:highlight w:val="none"/>
        </w:rPr>
        <w:fldChar w:fldCharType="begin"/>
      </w:r>
      <w:r>
        <w:rPr>
          <w:color w:val="auto"/>
          <w:highlight w:val="none"/>
        </w:rPr>
        <w:instrText xml:space="preserve"> PAGEREF _Toc239671918 \h </w:instrText>
      </w:r>
      <w:r>
        <w:rPr>
          <w:color w:val="auto"/>
          <w:highlight w:val="none"/>
        </w:rPr>
        <w:fldChar w:fldCharType="separate"/>
      </w:r>
      <w:r>
        <w:rPr>
          <w:color w:val="auto"/>
          <w:highlight w:val="none"/>
        </w:rPr>
        <w:t xml:space="preserve">25</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"_Toc239671919" </w:instrText>
      </w:r>
      <w:r>
        <w:rPr>
          <w:color w:val="auto"/>
          <w:highlight w:val="none"/>
        </w:rPr>
        <w:fldChar w:fldCharType="separate"/>
      </w:r>
      <w:r>
        <w:rPr>
          <w:rStyle w:val="859"/>
          <w:rFonts w:ascii="宋体" w:hAnsi="宋体" w:cs="宋体"/>
          <w:b/>
          <w:bCs/>
          <w:color w:val="auto"/>
          <w:highlight w:val="none"/>
        </w:rPr>
        <w:t xml:space="preserve">五、太阳能板</w:t>
      </w:r>
      <w:r>
        <w:rPr>
          <w:color w:val="auto"/>
          <w:highlight w:val="none"/>
        </w:rPr>
        <w:tab/>
      </w:r>
      <w:r>
        <w:rPr>
          <w:color w:val="auto"/>
          <w:highlight w:val="none"/>
        </w:rPr>
        <w:fldChar w:fldCharType="begin"/>
      </w:r>
      <w:r>
        <w:rPr>
          <w:color w:val="auto"/>
          <w:highlight w:val="none"/>
        </w:rPr>
        <w:instrText xml:space="preserve"> PAGEREF _Toc239671919 \h </w:instrText>
      </w:r>
      <w:r>
        <w:rPr>
          <w:color w:val="auto"/>
          <w:highlight w:val="none"/>
        </w:rPr>
        <w:fldChar w:fldCharType="separate"/>
      </w:r>
      <w:r>
        <w:rPr>
          <w:color w:val="auto"/>
          <w:highlight w:val="none"/>
        </w:rPr>
        <w:t xml:space="preserve">25</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"_Toc239671920" </w:instrText>
      </w:r>
      <w:r>
        <w:rPr>
          <w:color w:val="auto"/>
          <w:highlight w:val="none"/>
        </w:rPr>
        <w:fldChar w:fldCharType="separate"/>
      </w:r>
      <w:r>
        <w:rPr>
          <w:rStyle w:val="859"/>
          <w:rFonts w:ascii="宋体" w:hAnsi="宋体" w:cs="宋体"/>
          <w:b/>
          <w:bCs/>
          <w:color w:val="auto"/>
          <w:highlight w:val="none"/>
        </w:rPr>
        <w:t xml:space="preserve">六、充电控制器</w:t>
      </w:r>
      <w:r>
        <w:rPr>
          <w:color w:val="auto"/>
          <w:highlight w:val="none"/>
        </w:rPr>
        <w:tab/>
      </w:r>
      <w:r>
        <w:rPr>
          <w:color w:val="auto"/>
          <w:highlight w:val="none"/>
        </w:rPr>
        <w:fldChar w:fldCharType="begin"/>
      </w:r>
      <w:r>
        <w:rPr>
          <w:color w:val="auto"/>
          <w:highlight w:val="none"/>
        </w:rPr>
        <w:instrText xml:space="preserve"> PAGEREF _Toc239671920 \h </w:instrText>
      </w:r>
      <w:r>
        <w:rPr>
          <w:color w:val="auto"/>
          <w:highlight w:val="none"/>
        </w:rPr>
        <w:fldChar w:fldCharType="separate"/>
      </w:r>
      <w:r>
        <w:rPr>
          <w:color w:val="auto"/>
          <w:highlight w:val="none"/>
        </w:rPr>
        <w:t xml:space="preserve">26</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"_Toc239671921" </w:instrText>
      </w:r>
      <w:r>
        <w:rPr>
          <w:color w:val="auto"/>
          <w:highlight w:val="none"/>
        </w:rPr>
        <w:fldChar w:fldCharType="separate"/>
      </w:r>
      <w:r>
        <w:rPr>
          <w:rStyle w:val="859"/>
          <w:rFonts w:ascii="宋体" w:hAnsi="宋体" w:cs="宋体"/>
          <w:b/>
          <w:bCs/>
          <w:color w:val="auto"/>
          <w:highlight w:val="none"/>
        </w:rPr>
        <w:t xml:space="preserve">七、设备箱</w:t>
      </w:r>
      <w:r>
        <w:rPr>
          <w:color w:val="auto"/>
          <w:highlight w:val="none"/>
        </w:rPr>
        <w:tab/>
      </w:r>
      <w:r>
        <w:rPr>
          <w:color w:val="auto"/>
          <w:highlight w:val="none"/>
        </w:rPr>
        <w:fldChar w:fldCharType="begin"/>
      </w:r>
      <w:r>
        <w:rPr>
          <w:color w:val="auto"/>
          <w:highlight w:val="none"/>
        </w:rPr>
        <w:instrText xml:space="preserve"> PAGEREF _Toc239671921 \h </w:instrText>
      </w:r>
      <w:r>
        <w:rPr>
          <w:color w:val="auto"/>
          <w:highlight w:val="none"/>
        </w:rPr>
        <w:fldChar w:fldCharType="separate"/>
      </w:r>
      <w:r>
        <w:rPr>
          <w:color w:val="auto"/>
          <w:highlight w:val="none"/>
        </w:rPr>
        <w:t xml:space="preserve">26</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"_Toc239671922" </w:instrText>
      </w:r>
      <w:r>
        <w:rPr>
          <w:color w:val="auto"/>
          <w:highlight w:val="none"/>
        </w:rPr>
        <w:fldChar w:fldCharType="separate"/>
      </w:r>
      <w:r>
        <w:rPr>
          <w:rStyle w:val="859"/>
          <w:rFonts w:ascii="宋体" w:hAnsi="宋体" w:cs="宋体"/>
          <w:b/>
          <w:bCs/>
          <w:color w:val="auto"/>
          <w:highlight w:val="none"/>
        </w:rPr>
        <w:t xml:space="preserve">八、立杆及支架</w:t>
      </w:r>
      <w:r>
        <w:rPr>
          <w:color w:val="auto"/>
          <w:highlight w:val="none"/>
        </w:rPr>
        <w:tab/>
      </w:r>
      <w:r>
        <w:rPr>
          <w:color w:val="auto"/>
          <w:highlight w:val="none"/>
        </w:rPr>
        <w:fldChar w:fldCharType="begin"/>
      </w:r>
      <w:r>
        <w:rPr>
          <w:color w:val="auto"/>
          <w:highlight w:val="none"/>
        </w:rPr>
        <w:instrText xml:space="preserve"> PAGEREF _Toc239671922 \h </w:instrText>
      </w:r>
      <w:r>
        <w:rPr>
          <w:color w:val="auto"/>
          <w:highlight w:val="none"/>
        </w:rPr>
        <w:fldChar w:fldCharType="separate"/>
      </w:r>
      <w:r>
        <w:rPr>
          <w:color w:val="auto"/>
          <w:highlight w:val="none"/>
        </w:rPr>
        <w:t xml:space="preserve">26</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"_Toc239671923" </w:instrText>
      </w:r>
      <w:r>
        <w:rPr>
          <w:color w:val="auto"/>
          <w:highlight w:val="none"/>
        </w:rPr>
        <w:fldChar w:fldCharType="separate"/>
      </w:r>
      <w:r>
        <w:rPr>
          <w:rStyle w:val="859"/>
          <w:rFonts w:ascii="宋体" w:hAnsi="宋体" w:cs="宋体"/>
          <w:b/>
          <w:bCs/>
          <w:color w:val="auto"/>
          <w:highlight w:val="none"/>
        </w:rPr>
        <w:t xml:space="preserve">九、H-ADCP安装支架</w:t>
      </w:r>
      <w:r>
        <w:rPr>
          <w:color w:val="auto"/>
          <w:highlight w:val="none"/>
        </w:rPr>
        <w:tab/>
      </w:r>
      <w:r>
        <w:rPr>
          <w:color w:val="auto"/>
          <w:highlight w:val="none"/>
        </w:rPr>
        <w:fldChar w:fldCharType="begin"/>
      </w:r>
      <w:r>
        <w:rPr>
          <w:color w:val="auto"/>
          <w:highlight w:val="none"/>
        </w:rPr>
        <w:instrText xml:space="preserve"> PAGEREF _Toc239671923 \h </w:instrText>
      </w:r>
      <w:r>
        <w:rPr>
          <w:color w:val="auto"/>
          <w:highlight w:val="none"/>
        </w:rPr>
        <w:fldChar w:fldCharType="separate"/>
      </w:r>
      <w:r>
        <w:rPr>
          <w:color w:val="auto"/>
          <w:highlight w:val="none"/>
        </w:rPr>
        <w:t xml:space="preserve">26</w:t>
      </w:r>
      <w:r>
        <w:rPr>
          <w:color w:val="auto"/>
          <w:highlight w:val="none"/>
        </w:rPr>
        <w:fldChar w:fldCharType="end"/>
      </w:r>
      <w:r>
        <w:rPr>
          <w:color w:val="auto"/>
          <w:highlight w:val="none"/>
        </w:rPr>
        <w:fldChar w:fldCharType="end"/>
      </w:r>
      <w:r/>
    </w:p>
    <w:p>
      <w:pPr>
        <w:pStyle w:val="839"/>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"_Toc239671924" </w:instrText>
      </w:r>
      <w:r>
        <w:rPr>
          <w:color w:val="auto"/>
          <w:highlight w:val="none"/>
        </w:rPr>
        <w:fldChar w:fldCharType="separate"/>
      </w:r>
      <w:r>
        <w:rPr>
          <w:rStyle w:val="859"/>
          <w:rFonts w:ascii="宋体" w:hAnsi="宋体" w:cs="宋体"/>
          <w:b/>
          <w:color w:val="auto"/>
          <w:highlight w:val="none"/>
        </w:rPr>
        <w:t xml:space="preserve">闸门开度监测站</w:t>
      </w:r>
      <w:r>
        <w:rPr>
          <w:color w:val="auto"/>
          <w:highlight w:val="none"/>
        </w:rPr>
        <w:tab/>
      </w:r>
      <w:r>
        <w:rPr>
          <w:color w:val="auto"/>
          <w:highlight w:val="none"/>
        </w:rPr>
        <w:fldChar w:fldCharType="begin"/>
      </w:r>
      <w:r>
        <w:rPr>
          <w:color w:val="auto"/>
          <w:highlight w:val="none"/>
        </w:rPr>
        <w:instrText xml:space="preserve"> PAGEREF _Toc239671924 \h </w:instrText>
      </w:r>
      <w:r>
        <w:rPr>
          <w:color w:val="auto"/>
          <w:highlight w:val="none"/>
        </w:rPr>
        <w:fldChar w:fldCharType="separate"/>
      </w:r>
      <w:r>
        <w:rPr>
          <w:color w:val="auto"/>
          <w:highlight w:val="none"/>
        </w:rPr>
        <w:t xml:space="preserve">26</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"_Toc239671925" </w:instrText>
      </w:r>
      <w:r>
        <w:rPr>
          <w:color w:val="auto"/>
          <w:highlight w:val="none"/>
        </w:rPr>
        <w:fldChar w:fldCharType="separate"/>
      </w:r>
      <w:r>
        <w:rPr>
          <w:rStyle w:val="859"/>
          <w:rFonts w:ascii="宋体" w:hAnsi="宋体" w:cs="宋体"/>
          <w:b/>
          <w:bCs/>
          <w:color w:val="auto"/>
          <w:highlight w:val="none"/>
        </w:rPr>
        <w:t xml:space="preserve">一、闸位计</w:t>
      </w:r>
      <w:r>
        <w:rPr>
          <w:color w:val="auto"/>
          <w:highlight w:val="none"/>
        </w:rPr>
        <w:tab/>
      </w:r>
      <w:r>
        <w:rPr>
          <w:color w:val="auto"/>
          <w:highlight w:val="none"/>
        </w:rPr>
        <w:fldChar w:fldCharType="begin"/>
      </w:r>
      <w:r>
        <w:rPr>
          <w:color w:val="auto"/>
          <w:highlight w:val="none"/>
        </w:rPr>
        <w:instrText xml:space="preserve"> PAGEREF _Toc239671925 \h </w:instrText>
      </w:r>
      <w:r>
        <w:rPr>
          <w:color w:val="auto"/>
          <w:highlight w:val="none"/>
        </w:rPr>
        <w:fldChar w:fldCharType="separate"/>
      </w:r>
      <w:r>
        <w:rPr>
          <w:color w:val="auto"/>
          <w:highlight w:val="none"/>
        </w:rPr>
        <w:t xml:space="preserve">26</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"_Toc239671926" </w:instrText>
      </w:r>
      <w:r>
        <w:rPr>
          <w:color w:val="auto"/>
          <w:highlight w:val="none"/>
        </w:rPr>
        <w:fldChar w:fldCharType="separate"/>
      </w:r>
      <w:r>
        <w:rPr>
          <w:rStyle w:val="859"/>
          <w:rFonts w:ascii="宋体" w:hAnsi="宋体" w:cs="宋体"/>
          <w:b/>
          <w:bCs/>
          <w:color w:val="auto"/>
          <w:highlight w:val="none"/>
        </w:rPr>
        <w:t xml:space="preserve">二、遥测终端机</w:t>
      </w:r>
      <w:r>
        <w:rPr>
          <w:color w:val="auto"/>
          <w:highlight w:val="none"/>
        </w:rPr>
        <w:tab/>
      </w:r>
      <w:r>
        <w:rPr>
          <w:color w:val="auto"/>
          <w:highlight w:val="none"/>
        </w:rPr>
        <w:fldChar w:fldCharType="begin"/>
      </w:r>
      <w:r>
        <w:rPr>
          <w:color w:val="auto"/>
          <w:highlight w:val="none"/>
        </w:rPr>
        <w:instrText xml:space="preserve"> PAGEREF _Toc239671926 \h </w:instrText>
      </w:r>
      <w:r>
        <w:rPr>
          <w:color w:val="auto"/>
          <w:highlight w:val="none"/>
        </w:rPr>
        <w:fldChar w:fldCharType="separate"/>
      </w:r>
      <w:r>
        <w:rPr>
          <w:color w:val="auto"/>
          <w:highlight w:val="none"/>
        </w:rPr>
        <w:t xml:space="preserve">26</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"_Toc239671927" </w:instrText>
      </w:r>
      <w:r>
        <w:rPr>
          <w:color w:val="auto"/>
          <w:highlight w:val="none"/>
        </w:rPr>
        <w:fldChar w:fldCharType="separate"/>
      </w:r>
      <w:r>
        <w:rPr>
          <w:rStyle w:val="859"/>
          <w:rFonts w:ascii="宋体" w:hAnsi="宋体" w:cs="宋体"/>
          <w:b/>
          <w:bCs/>
          <w:color w:val="auto"/>
          <w:highlight w:val="none"/>
        </w:rPr>
        <w:t xml:space="preserve">三、电源适配器</w:t>
      </w:r>
      <w:r>
        <w:rPr>
          <w:color w:val="auto"/>
          <w:highlight w:val="none"/>
        </w:rPr>
        <w:tab/>
      </w:r>
      <w:r>
        <w:rPr>
          <w:color w:val="auto"/>
          <w:highlight w:val="none"/>
        </w:rPr>
        <w:fldChar w:fldCharType="begin"/>
      </w:r>
      <w:r>
        <w:rPr>
          <w:color w:val="auto"/>
          <w:highlight w:val="none"/>
        </w:rPr>
        <w:instrText xml:space="preserve"> PAGEREF _Toc239671927 \h </w:instrText>
      </w:r>
      <w:r>
        <w:rPr>
          <w:color w:val="auto"/>
          <w:highlight w:val="none"/>
        </w:rPr>
        <w:fldChar w:fldCharType="separate"/>
      </w:r>
      <w:r>
        <w:rPr>
          <w:color w:val="auto"/>
          <w:highlight w:val="none"/>
        </w:rPr>
        <w:t xml:space="preserve">27</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"_Toc239671928" </w:instrText>
      </w:r>
      <w:r>
        <w:rPr>
          <w:color w:val="auto"/>
          <w:highlight w:val="none"/>
        </w:rPr>
        <w:fldChar w:fldCharType="separate"/>
      </w:r>
      <w:r>
        <w:rPr>
          <w:rStyle w:val="859"/>
          <w:rFonts w:ascii="宋体" w:hAnsi="宋体" w:cs="宋体"/>
          <w:b/>
          <w:bCs/>
          <w:color w:val="auto"/>
          <w:highlight w:val="none"/>
        </w:rPr>
        <w:t xml:space="preserve">四、设备箱</w:t>
      </w:r>
      <w:r>
        <w:rPr>
          <w:color w:val="auto"/>
          <w:highlight w:val="none"/>
        </w:rPr>
        <w:tab/>
      </w:r>
      <w:r>
        <w:rPr>
          <w:color w:val="auto"/>
          <w:highlight w:val="none"/>
        </w:rPr>
        <w:fldChar w:fldCharType="begin"/>
      </w:r>
      <w:r>
        <w:rPr>
          <w:color w:val="auto"/>
          <w:highlight w:val="none"/>
        </w:rPr>
        <w:instrText xml:space="preserve"> PAGEREF _Toc239671928 \h </w:instrText>
      </w:r>
      <w:r>
        <w:rPr>
          <w:color w:val="auto"/>
          <w:highlight w:val="none"/>
        </w:rPr>
        <w:fldChar w:fldCharType="separate"/>
      </w:r>
      <w:r>
        <w:rPr>
          <w:color w:val="auto"/>
          <w:highlight w:val="none"/>
        </w:rPr>
        <w:t xml:space="preserve">27</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"_Toc239671929" </w:instrText>
      </w:r>
      <w:r>
        <w:rPr>
          <w:color w:val="auto"/>
          <w:highlight w:val="none"/>
        </w:rPr>
        <w:fldChar w:fldCharType="separate"/>
      </w:r>
      <w:r>
        <w:rPr>
          <w:rStyle w:val="859"/>
          <w:rFonts w:ascii="宋体" w:hAnsi="宋体" w:cs="宋体"/>
          <w:b/>
          <w:bCs/>
          <w:color w:val="auto"/>
          <w:highlight w:val="none"/>
        </w:rPr>
        <w:t xml:space="preserve">五、闸位计支架</w:t>
      </w:r>
      <w:r>
        <w:rPr>
          <w:color w:val="auto"/>
          <w:highlight w:val="none"/>
        </w:rPr>
        <w:tab/>
      </w:r>
      <w:r>
        <w:rPr>
          <w:color w:val="auto"/>
          <w:highlight w:val="none"/>
        </w:rPr>
        <w:fldChar w:fldCharType="begin"/>
      </w:r>
      <w:r>
        <w:rPr>
          <w:color w:val="auto"/>
          <w:highlight w:val="none"/>
        </w:rPr>
        <w:instrText xml:space="preserve"> PAGEREF _Toc239671929 \h </w:instrText>
      </w:r>
      <w:r>
        <w:rPr>
          <w:color w:val="auto"/>
          <w:highlight w:val="none"/>
        </w:rPr>
        <w:fldChar w:fldCharType="separate"/>
      </w:r>
      <w:r>
        <w:rPr>
          <w:color w:val="auto"/>
          <w:highlight w:val="none"/>
        </w:rPr>
        <w:t xml:space="preserve">27</w:t>
      </w:r>
      <w:r>
        <w:rPr>
          <w:color w:val="auto"/>
          <w:highlight w:val="none"/>
        </w:rPr>
        <w:fldChar w:fldCharType="end"/>
      </w:r>
      <w:r>
        <w:rPr>
          <w:color w:val="auto"/>
          <w:highlight w:val="none"/>
        </w:rPr>
        <w:fldChar w:fldCharType="end"/>
      </w:r>
      <w:r/>
    </w:p>
    <w:p>
      <w:pPr>
        <w:pStyle w:val="839"/>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"_Toc239671930" </w:instrText>
      </w:r>
      <w:r>
        <w:rPr>
          <w:color w:val="auto"/>
          <w:highlight w:val="none"/>
        </w:rPr>
        <w:fldChar w:fldCharType="separate"/>
      </w:r>
      <w:r>
        <w:rPr>
          <w:rStyle w:val="859"/>
          <w:rFonts w:ascii="宋体" w:hAnsi="宋体" w:cs="宋体"/>
          <w:b/>
          <w:color w:val="auto"/>
          <w:highlight w:val="none"/>
        </w:rPr>
        <w:t xml:space="preserve">视频监测站</w:t>
      </w:r>
      <w:r>
        <w:rPr>
          <w:color w:val="auto"/>
          <w:highlight w:val="none"/>
        </w:rPr>
        <w:tab/>
      </w:r>
      <w:r>
        <w:rPr>
          <w:color w:val="auto"/>
          <w:highlight w:val="none"/>
        </w:rPr>
        <w:fldChar w:fldCharType="begin"/>
      </w:r>
      <w:r>
        <w:rPr>
          <w:color w:val="auto"/>
          <w:highlight w:val="none"/>
        </w:rPr>
        <w:instrText xml:space="preserve"> PAGEREF _Toc239671930 \h </w:instrText>
      </w:r>
      <w:r>
        <w:rPr>
          <w:color w:val="auto"/>
          <w:highlight w:val="none"/>
        </w:rPr>
        <w:fldChar w:fldCharType="separate"/>
      </w:r>
      <w:r>
        <w:rPr>
          <w:color w:val="auto"/>
          <w:highlight w:val="none"/>
        </w:rPr>
        <w:t xml:space="preserve">27</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"_Toc239671931" </w:instrText>
      </w:r>
      <w:r>
        <w:rPr>
          <w:color w:val="auto"/>
          <w:highlight w:val="none"/>
        </w:rPr>
        <w:fldChar w:fldCharType="separate"/>
      </w:r>
      <w:r>
        <w:rPr>
          <w:rStyle w:val="859"/>
          <w:rFonts w:ascii="宋体" w:hAnsi="宋体" w:cs="宋体"/>
          <w:b/>
          <w:bCs/>
          <w:color w:val="auto"/>
          <w:highlight w:val="none"/>
        </w:rPr>
        <w:t xml:space="preserve">一、高清视频球机</w:t>
      </w:r>
      <w:r>
        <w:rPr>
          <w:color w:val="auto"/>
          <w:highlight w:val="none"/>
        </w:rPr>
        <w:tab/>
      </w:r>
      <w:r>
        <w:rPr>
          <w:color w:val="auto"/>
          <w:highlight w:val="none"/>
        </w:rPr>
        <w:fldChar w:fldCharType="begin"/>
      </w:r>
      <w:r>
        <w:rPr>
          <w:color w:val="auto"/>
          <w:highlight w:val="none"/>
        </w:rPr>
        <w:instrText xml:space="preserve"> PAGEREF _Toc239671931 \h </w:instrText>
      </w:r>
      <w:r>
        <w:rPr>
          <w:color w:val="auto"/>
          <w:highlight w:val="none"/>
        </w:rPr>
        <w:fldChar w:fldCharType="separate"/>
      </w:r>
      <w:r>
        <w:rPr>
          <w:color w:val="auto"/>
          <w:highlight w:val="none"/>
        </w:rPr>
        <w:t xml:space="preserve">27</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"_Toc239671932" </w:instrText>
      </w:r>
      <w:r>
        <w:rPr>
          <w:color w:val="auto"/>
          <w:highlight w:val="none"/>
        </w:rPr>
        <w:fldChar w:fldCharType="separate"/>
      </w:r>
      <w:r>
        <w:rPr>
          <w:rStyle w:val="859"/>
          <w:rFonts w:ascii="宋体" w:hAnsi="宋体" w:cs="宋体"/>
          <w:b/>
          <w:bCs/>
          <w:color w:val="auto"/>
          <w:highlight w:val="none"/>
        </w:rPr>
        <w:t xml:space="preserve">二、硬盘录像机</w:t>
      </w:r>
      <w:r>
        <w:rPr>
          <w:color w:val="auto"/>
          <w:highlight w:val="none"/>
        </w:rPr>
        <w:tab/>
      </w:r>
      <w:r>
        <w:rPr>
          <w:color w:val="auto"/>
          <w:highlight w:val="none"/>
        </w:rPr>
        <w:fldChar w:fldCharType="begin"/>
      </w:r>
      <w:r>
        <w:rPr>
          <w:color w:val="auto"/>
          <w:highlight w:val="none"/>
        </w:rPr>
        <w:instrText xml:space="preserve"> PAGEREF _Toc239671932 \h </w:instrText>
      </w:r>
      <w:r>
        <w:rPr>
          <w:color w:val="auto"/>
          <w:highlight w:val="none"/>
        </w:rPr>
        <w:fldChar w:fldCharType="separate"/>
      </w:r>
      <w:r>
        <w:rPr>
          <w:color w:val="auto"/>
          <w:highlight w:val="none"/>
        </w:rPr>
        <w:t xml:space="preserve">28</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"_Toc239671933" </w:instrText>
      </w:r>
      <w:r>
        <w:rPr>
          <w:color w:val="auto"/>
          <w:highlight w:val="none"/>
        </w:rPr>
        <w:fldChar w:fldCharType="separate"/>
      </w:r>
      <w:r>
        <w:rPr>
          <w:rStyle w:val="859"/>
          <w:rFonts w:ascii="宋体" w:hAnsi="宋体" w:cs="宋体"/>
          <w:b/>
          <w:bCs/>
          <w:color w:val="auto"/>
          <w:highlight w:val="none"/>
        </w:rPr>
        <w:t xml:space="preserve">三、防雷设备</w:t>
      </w:r>
      <w:r>
        <w:rPr>
          <w:color w:val="auto"/>
          <w:highlight w:val="none"/>
        </w:rPr>
        <w:tab/>
      </w:r>
      <w:r>
        <w:rPr>
          <w:color w:val="auto"/>
          <w:highlight w:val="none"/>
        </w:rPr>
        <w:fldChar w:fldCharType="begin"/>
      </w:r>
      <w:r>
        <w:rPr>
          <w:color w:val="auto"/>
          <w:highlight w:val="none"/>
        </w:rPr>
        <w:instrText xml:space="preserve"> PAGEREF _Toc239671933 \h </w:instrText>
      </w:r>
      <w:r>
        <w:rPr>
          <w:color w:val="auto"/>
          <w:highlight w:val="none"/>
        </w:rPr>
        <w:fldChar w:fldCharType="separate"/>
      </w:r>
      <w:r>
        <w:rPr>
          <w:color w:val="auto"/>
          <w:highlight w:val="none"/>
        </w:rPr>
        <w:t xml:space="preserve">28</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"_Toc239671934" </w:instrText>
      </w:r>
      <w:r>
        <w:rPr>
          <w:color w:val="auto"/>
          <w:highlight w:val="none"/>
        </w:rPr>
        <w:fldChar w:fldCharType="separate"/>
      </w:r>
      <w:r>
        <w:rPr>
          <w:rStyle w:val="859"/>
          <w:rFonts w:ascii="宋体" w:hAnsi="宋体" w:cs="宋体"/>
          <w:b/>
          <w:bCs/>
          <w:color w:val="auto"/>
          <w:highlight w:val="none"/>
        </w:rPr>
        <w:t xml:space="preserve">四、电源箱</w:t>
      </w:r>
      <w:r>
        <w:rPr>
          <w:color w:val="auto"/>
          <w:highlight w:val="none"/>
        </w:rPr>
        <w:tab/>
      </w:r>
      <w:r>
        <w:rPr>
          <w:color w:val="auto"/>
          <w:highlight w:val="none"/>
        </w:rPr>
        <w:fldChar w:fldCharType="begin"/>
      </w:r>
      <w:r>
        <w:rPr>
          <w:color w:val="auto"/>
          <w:highlight w:val="none"/>
        </w:rPr>
        <w:instrText xml:space="preserve"> PAGEREF _Toc239671934 \h </w:instrText>
      </w:r>
      <w:r>
        <w:rPr>
          <w:color w:val="auto"/>
          <w:highlight w:val="none"/>
        </w:rPr>
        <w:fldChar w:fldCharType="separate"/>
      </w:r>
      <w:r>
        <w:rPr>
          <w:color w:val="auto"/>
          <w:highlight w:val="none"/>
        </w:rPr>
        <w:t xml:space="preserve">28</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"_Toc239671935" </w:instrText>
      </w:r>
      <w:r>
        <w:rPr>
          <w:color w:val="auto"/>
          <w:highlight w:val="none"/>
        </w:rPr>
        <w:fldChar w:fldCharType="separate"/>
      </w:r>
      <w:r>
        <w:rPr>
          <w:rStyle w:val="859"/>
          <w:rFonts w:ascii="宋体" w:hAnsi="宋体" w:cs="宋体"/>
          <w:b/>
          <w:bCs/>
          <w:color w:val="auto"/>
          <w:highlight w:val="none"/>
        </w:rPr>
        <w:t xml:space="preserve">五、立杆支架</w:t>
      </w:r>
      <w:r>
        <w:rPr>
          <w:color w:val="auto"/>
          <w:highlight w:val="none"/>
        </w:rPr>
        <w:tab/>
      </w:r>
      <w:r>
        <w:rPr>
          <w:color w:val="auto"/>
          <w:highlight w:val="none"/>
        </w:rPr>
        <w:fldChar w:fldCharType="begin"/>
      </w:r>
      <w:r>
        <w:rPr>
          <w:color w:val="auto"/>
          <w:highlight w:val="none"/>
        </w:rPr>
        <w:instrText xml:space="preserve"> PAGEREF _Toc239671935 \h </w:instrText>
      </w:r>
      <w:r>
        <w:rPr>
          <w:color w:val="auto"/>
          <w:highlight w:val="none"/>
        </w:rPr>
        <w:fldChar w:fldCharType="separate"/>
      </w:r>
      <w:r>
        <w:rPr>
          <w:color w:val="auto"/>
          <w:highlight w:val="none"/>
        </w:rPr>
        <w:t xml:space="preserve">28</w:t>
      </w:r>
      <w:r>
        <w:rPr>
          <w:color w:val="auto"/>
          <w:highlight w:val="none"/>
        </w:rPr>
        <w:fldChar w:fldCharType="end"/>
      </w:r>
      <w:r>
        <w:rPr>
          <w:color w:val="auto"/>
          <w:highlight w:val="none"/>
        </w:rPr>
        <w:fldChar w:fldCharType="end"/>
      </w:r>
      <w:r/>
    </w:p>
    <w:p>
      <w:pPr>
        <w:pStyle w:val="839"/>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"_Toc239671936" </w:instrText>
      </w:r>
      <w:r>
        <w:rPr>
          <w:color w:val="auto"/>
          <w:highlight w:val="none"/>
        </w:rPr>
        <w:fldChar w:fldCharType="separate"/>
      </w:r>
      <w:r>
        <w:rPr>
          <w:rStyle w:val="859"/>
          <w:rFonts w:ascii="宋体" w:hAnsi="宋体" w:cs="宋体"/>
          <w:b/>
          <w:color w:val="auto"/>
          <w:highlight w:val="none"/>
        </w:rPr>
        <w:t xml:space="preserve">鸟类生物多样性监测站</w:t>
      </w:r>
      <w:r>
        <w:rPr>
          <w:color w:val="auto"/>
          <w:highlight w:val="none"/>
        </w:rPr>
        <w:tab/>
      </w:r>
      <w:r>
        <w:rPr>
          <w:color w:val="auto"/>
          <w:highlight w:val="none"/>
        </w:rPr>
        <w:fldChar w:fldCharType="begin"/>
      </w:r>
      <w:r>
        <w:rPr>
          <w:color w:val="auto"/>
          <w:highlight w:val="none"/>
        </w:rPr>
        <w:instrText xml:space="preserve"> PAGEREF _Toc239671936 \h </w:instrText>
      </w:r>
      <w:r>
        <w:rPr>
          <w:color w:val="auto"/>
          <w:highlight w:val="none"/>
        </w:rPr>
        <w:fldChar w:fldCharType="separate"/>
      </w:r>
      <w:r>
        <w:rPr>
          <w:color w:val="auto"/>
          <w:highlight w:val="none"/>
        </w:rPr>
        <w:t xml:space="preserve">28</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"_Toc239671937" </w:instrText>
      </w:r>
      <w:r>
        <w:rPr>
          <w:color w:val="auto"/>
          <w:highlight w:val="none"/>
        </w:rPr>
        <w:fldChar w:fldCharType="separate"/>
      </w:r>
      <w:r>
        <w:rPr>
          <w:rStyle w:val="859"/>
          <w:rFonts w:ascii="宋体" w:hAnsi="宋体" w:cs="宋体"/>
          <w:b/>
          <w:bCs/>
          <w:color w:val="auto"/>
          <w:highlight w:val="none"/>
        </w:rPr>
        <w:t xml:space="preserve">一、鸟类智能识别探头</w:t>
      </w:r>
      <w:r>
        <w:rPr>
          <w:color w:val="auto"/>
          <w:highlight w:val="none"/>
        </w:rPr>
        <w:tab/>
      </w:r>
      <w:r>
        <w:rPr>
          <w:color w:val="auto"/>
          <w:highlight w:val="none"/>
        </w:rPr>
        <w:fldChar w:fldCharType="begin"/>
      </w:r>
      <w:r>
        <w:rPr>
          <w:color w:val="auto"/>
          <w:highlight w:val="none"/>
        </w:rPr>
        <w:instrText xml:space="preserve"> PAGEREF _Toc239671937 \h </w:instrText>
      </w:r>
      <w:r>
        <w:rPr>
          <w:color w:val="auto"/>
          <w:highlight w:val="none"/>
        </w:rPr>
        <w:fldChar w:fldCharType="separate"/>
      </w:r>
      <w:r>
        <w:rPr>
          <w:color w:val="auto"/>
          <w:highlight w:val="none"/>
        </w:rPr>
        <w:t xml:space="preserve">28</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"_Toc239671938" </w:instrText>
      </w:r>
      <w:r>
        <w:rPr>
          <w:color w:val="auto"/>
          <w:highlight w:val="none"/>
        </w:rPr>
        <w:fldChar w:fldCharType="separate"/>
      </w:r>
      <w:r>
        <w:rPr>
          <w:rStyle w:val="859"/>
          <w:rFonts w:ascii="宋体" w:hAnsi="宋体" w:cs="宋体"/>
          <w:b/>
          <w:bCs/>
          <w:color w:val="auto"/>
          <w:highlight w:val="none"/>
        </w:rPr>
        <w:t xml:space="preserve">二、鸟类鸣声监测设备</w:t>
      </w:r>
      <w:r>
        <w:rPr>
          <w:color w:val="auto"/>
          <w:highlight w:val="none"/>
        </w:rPr>
        <w:tab/>
      </w:r>
      <w:r>
        <w:rPr>
          <w:color w:val="auto"/>
          <w:highlight w:val="none"/>
        </w:rPr>
        <w:fldChar w:fldCharType="begin"/>
      </w:r>
      <w:r>
        <w:rPr>
          <w:color w:val="auto"/>
          <w:highlight w:val="none"/>
        </w:rPr>
        <w:instrText xml:space="preserve"> PAGEREF _Toc239671938 \h </w:instrText>
      </w:r>
      <w:r>
        <w:rPr>
          <w:color w:val="auto"/>
          <w:highlight w:val="none"/>
        </w:rPr>
        <w:fldChar w:fldCharType="separate"/>
      </w:r>
      <w:r>
        <w:rPr>
          <w:color w:val="auto"/>
          <w:highlight w:val="none"/>
        </w:rPr>
        <w:t xml:space="preserve">29</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"_Toc239671939" </w:instrText>
      </w:r>
      <w:r>
        <w:rPr>
          <w:color w:val="auto"/>
          <w:highlight w:val="none"/>
        </w:rPr>
        <w:fldChar w:fldCharType="separate"/>
      </w:r>
      <w:r>
        <w:rPr>
          <w:rStyle w:val="859"/>
          <w:rFonts w:ascii="宋体" w:hAnsi="宋体" w:cs="宋体"/>
          <w:b/>
          <w:bCs/>
          <w:color w:val="auto"/>
          <w:highlight w:val="none"/>
        </w:rPr>
        <w:t xml:space="preserve">三、可移动望远镜</w:t>
      </w:r>
      <w:r>
        <w:rPr>
          <w:color w:val="auto"/>
          <w:highlight w:val="none"/>
        </w:rPr>
        <w:tab/>
      </w:r>
      <w:r>
        <w:rPr>
          <w:color w:val="auto"/>
          <w:highlight w:val="none"/>
        </w:rPr>
        <w:fldChar w:fldCharType="begin"/>
      </w:r>
      <w:r>
        <w:rPr>
          <w:color w:val="auto"/>
          <w:highlight w:val="none"/>
        </w:rPr>
        <w:instrText xml:space="preserve"> PAGEREF _Toc239671939 \h </w:instrText>
      </w:r>
      <w:r>
        <w:rPr>
          <w:color w:val="auto"/>
          <w:highlight w:val="none"/>
        </w:rPr>
        <w:fldChar w:fldCharType="separate"/>
      </w:r>
      <w:r>
        <w:rPr>
          <w:color w:val="auto"/>
          <w:highlight w:val="none"/>
        </w:rPr>
        <w:t xml:space="preserve">29</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"_Toc239671940" </w:instrText>
      </w:r>
      <w:r>
        <w:rPr>
          <w:color w:val="auto"/>
          <w:highlight w:val="none"/>
        </w:rPr>
        <w:fldChar w:fldCharType="separate"/>
      </w:r>
      <w:r>
        <w:rPr>
          <w:rStyle w:val="859"/>
          <w:rFonts w:ascii="宋体" w:hAnsi="宋体" w:cs="宋体"/>
          <w:b/>
          <w:bCs/>
          <w:color w:val="auto"/>
          <w:highlight w:val="none"/>
        </w:rPr>
        <w:t xml:space="preserve">四、控制终端</w:t>
      </w:r>
      <w:r>
        <w:rPr>
          <w:color w:val="auto"/>
          <w:highlight w:val="none"/>
        </w:rPr>
        <w:tab/>
      </w:r>
      <w:r>
        <w:rPr>
          <w:color w:val="auto"/>
          <w:highlight w:val="none"/>
        </w:rPr>
        <w:fldChar w:fldCharType="begin"/>
      </w:r>
      <w:r>
        <w:rPr>
          <w:color w:val="auto"/>
          <w:highlight w:val="none"/>
        </w:rPr>
        <w:instrText xml:space="preserve"> PAGEREF _Toc239671940 \h </w:instrText>
      </w:r>
      <w:r>
        <w:rPr>
          <w:color w:val="auto"/>
          <w:highlight w:val="none"/>
        </w:rPr>
        <w:fldChar w:fldCharType="separate"/>
      </w:r>
      <w:r>
        <w:rPr>
          <w:color w:val="auto"/>
          <w:highlight w:val="none"/>
        </w:rPr>
        <w:t xml:space="preserve">29</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"_Toc239671941" </w:instrText>
      </w:r>
      <w:r>
        <w:rPr>
          <w:color w:val="auto"/>
          <w:highlight w:val="none"/>
        </w:rPr>
        <w:fldChar w:fldCharType="separate"/>
      </w:r>
      <w:r>
        <w:rPr>
          <w:rStyle w:val="859"/>
          <w:rFonts w:ascii="宋体" w:hAnsi="宋体" w:cs="宋体"/>
          <w:b/>
          <w:bCs/>
          <w:color w:val="auto"/>
          <w:highlight w:val="none"/>
        </w:rPr>
        <w:t xml:space="preserve">五、无人机</w:t>
      </w:r>
      <w:r>
        <w:rPr>
          <w:color w:val="auto"/>
          <w:highlight w:val="none"/>
        </w:rPr>
        <w:tab/>
      </w:r>
      <w:r>
        <w:rPr>
          <w:color w:val="auto"/>
          <w:highlight w:val="none"/>
        </w:rPr>
        <w:fldChar w:fldCharType="begin"/>
      </w:r>
      <w:r>
        <w:rPr>
          <w:color w:val="auto"/>
          <w:highlight w:val="none"/>
        </w:rPr>
        <w:instrText xml:space="preserve"> PAGEREF _Toc239671941 \h </w:instrText>
      </w:r>
      <w:r>
        <w:rPr>
          <w:color w:val="auto"/>
          <w:highlight w:val="none"/>
        </w:rPr>
        <w:fldChar w:fldCharType="separate"/>
      </w:r>
      <w:r>
        <w:rPr>
          <w:color w:val="auto"/>
          <w:highlight w:val="none"/>
        </w:rPr>
        <w:t xml:space="preserve">29</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"_Toc239671942" </w:instrText>
      </w:r>
      <w:r>
        <w:rPr>
          <w:color w:val="auto"/>
          <w:highlight w:val="none"/>
        </w:rPr>
        <w:fldChar w:fldCharType="separate"/>
      </w:r>
      <w:r>
        <w:rPr>
          <w:rStyle w:val="859"/>
          <w:rFonts w:ascii="宋体" w:hAnsi="宋体" w:cs="宋体"/>
          <w:b/>
          <w:bCs/>
          <w:color w:val="auto"/>
          <w:highlight w:val="none"/>
        </w:rPr>
        <w:t xml:space="preserve">六、鸟类监测站房（甲供）配套设施</w:t>
      </w:r>
      <w:r>
        <w:rPr>
          <w:color w:val="auto"/>
          <w:highlight w:val="none"/>
        </w:rPr>
        <w:tab/>
      </w:r>
      <w:r>
        <w:rPr>
          <w:color w:val="auto"/>
          <w:highlight w:val="none"/>
        </w:rPr>
        <w:fldChar w:fldCharType="begin"/>
      </w:r>
      <w:r>
        <w:rPr>
          <w:color w:val="auto"/>
          <w:highlight w:val="none"/>
        </w:rPr>
        <w:instrText xml:space="preserve"> PAGEREF _Toc239671942 \h </w:instrText>
      </w:r>
      <w:r>
        <w:rPr>
          <w:color w:val="auto"/>
          <w:highlight w:val="none"/>
        </w:rPr>
        <w:fldChar w:fldCharType="separate"/>
      </w:r>
      <w:r>
        <w:rPr>
          <w:color w:val="auto"/>
          <w:highlight w:val="none"/>
        </w:rPr>
        <w:t xml:space="preserve">30</w:t>
      </w:r>
      <w:r>
        <w:rPr>
          <w:color w:val="auto"/>
          <w:highlight w:val="none"/>
        </w:rPr>
        <w:fldChar w:fldCharType="end"/>
      </w:r>
      <w:r>
        <w:rPr>
          <w:color w:val="auto"/>
          <w:highlight w:val="none"/>
        </w:rPr>
        <w:fldChar w:fldCharType="end"/>
      </w:r>
      <w:r/>
    </w:p>
    <w:p>
      <w:pPr>
        <w:pStyle w:val="839"/>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"_Toc239671943" </w:instrText>
      </w:r>
      <w:r>
        <w:rPr>
          <w:color w:val="auto"/>
          <w:highlight w:val="none"/>
        </w:rPr>
        <w:fldChar w:fldCharType="separate"/>
      </w:r>
      <w:r>
        <w:rPr>
          <w:rStyle w:val="859"/>
          <w:rFonts w:ascii="宋体" w:hAnsi="宋体" w:cs="宋体"/>
          <w:b/>
          <w:color w:val="auto"/>
          <w:highlight w:val="none"/>
        </w:rPr>
        <w:t xml:space="preserve">无人机及机场</w:t>
      </w:r>
      <w:r>
        <w:rPr>
          <w:color w:val="auto"/>
          <w:highlight w:val="none"/>
        </w:rPr>
        <w:tab/>
      </w:r>
      <w:r>
        <w:rPr>
          <w:color w:val="auto"/>
          <w:highlight w:val="none"/>
        </w:rPr>
        <w:fldChar w:fldCharType="begin"/>
      </w:r>
      <w:r>
        <w:rPr>
          <w:color w:val="auto"/>
          <w:highlight w:val="none"/>
        </w:rPr>
        <w:instrText xml:space="preserve"> PAGEREF _Toc239671943 \h </w:instrText>
      </w:r>
      <w:r>
        <w:rPr>
          <w:color w:val="auto"/>
          <w:highlight w:val="none"/>
        </w:rPr>
        <w:fldChar w:fldCharType="separate"/>
      </w:r>
      <w:r>
        <w:rPr>
          <w:color w:val="auto"/>
          <w:highlight w:val="none"/>
        </w:rPr>
        <w:t xml:space="preserve">30</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"_Toc239671944" </w:instrText>
      </w:r>
      <w:r>
        <w:rPr>
          <w:color w:val="auto"/>
          <w:highlight w:val="none"/>
        </w:rPr>
        <w:fldChar w:fldCharType="separate"/>
      </w:r>
      <w:r>
        <w:rPr>
          <w:rStyle w:val="859"/>
          <w:rFonts w:ascii="宋体" w:hAnsi="宋体" w:cs="宋体"/>
          <w:b/>
          <w:bCs/>
          <w:color w:val="auto"/>
          <w:highlight w:val="none"/>
        </w:rPr>
        <w:t xml:space="preserve">一、 无人机场</w:t>
      </w:r>
      <w:r>
        <w:rPr>
          <w:color w:val="auto"/>
          <w:highlight w:val="none"/>
        </w:rPr>
        <w:tab/>
      </w:r>
      <w:r>
        <w:rPr>
          <w:color w:val="auto"/>
          <w:highlight w:val="none"/>
        </w:rPr>
        <w:fldChar w:fldCharType="begin"/>
      </w:r>
      <w:r>
        <w:rPr>
          <w:color w:val="auto"/>
          <w:highlight w:val="none"/>
        </w:rPr>
        <w:instrText xml:space="preserve"> PAGEREF _Toc239671944 \h </w:instrText>
      </w:r>
      <w:r>
        <w:rPr>
          <w:color w:val="auto"/>
          <w:highlight w:val="none"/>
        </w:rPr>
        <w:fldChar w:fldCharType="separate"/>
      </w:r>
      <w:r>
        <w:rPr>
          <w:color w:val="auto"/>
          <w:highlight w:val="none"/>
        </w:rPr>
        <w:t xml:space="preserve">30</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"_Toc239671945" </w:instrText>
      </w:r>
      <w:r>
        <w:rPr>
          <w:color w:val="auto"/>
          <w:highlight w:val="none"/>
        </w:rPr>
        <w:fldChar w:fldCharType="separate"/>
      </w:r>
      <w:r>
        <w:rPr>
          <w:rStyle w:val="859"/>
          <w:rFonts w:ascii="宋体" w:hAnsi="宋体" w:cs="宋体"/>
          <w:b/>
          <w:bCs/>
          <w:color w:val="auto"/>
          <w:highlight w:val="none"/>
        </w:rPr>
        <w:t xml:space="preserve">二、 无人机</w:t>
      </w:r>
      <w:r>
        <w:rPr>
          <w:color w:val="auto"/>
          <w:highlight w:val="none"/>
        </w:rPr>
        <w:tab/>
      </w:r>
      <w:r>
        <w:rPr>
          <w:color w:val="auto"/>
          <w:highlight w:val="none"/>
        </w:rPr>
        <w:fldChar w:fldCharType="begin"/>
      </w:r>
      <w:r>
        <w:rPr>
          <w:color w:val="auto"/>
          <w:highlight w:val="none"/>
        </w:rPr>
        <w:instrText xml:space="preserve"> PAGEREF _Toc239671945 \h </w:instrText>
      </w:r>
      <w:r>
        <w:rPr>
          <w:color w:val="auto"/>
          <w:highlight w:val="none"/>
        </w:rPr>
        <w:fldChar w:fldCharType="separate"/>
      </w:r>
      <w:r>
        <w:rPr>
          <w:color w:val="auto"/>
          <w:highlight w:val="none"/>
        </w:rPr>
        <w:t xml:space="preserve">30</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"_Toc239671946" </w:instrText>
      </w:r>
      <w:r>
        <w:rPr>
          <w:color w:val="auto"/>
          <w:highlight w:val="none"/>
        </w:rPr>
        <w:fldChar w:fldCharType="separate"/>
      </w:r>
      <w:r>
        <w:rPr>
          <w:rStyle w:val="859"/>
          <w:rFonts w:ascii="宋体" w:hAnsi="宋体" w:cs="宋体"/>
          <w:b/>
          <w:bCs/>
          <w:color w:val="auto"/>
          <w:highlight w:val="none"/>
        </w:rPr>
        <w:t xml:space="preserve">三、 遥控器</w:t>
      </w:r>
      <w:r>
        <w:rPr>
          <w:color w:val="auto"/>
          <w:highlight w:val="none"/>
        </w:rPr>
        <w:tab/>
      </w:r>
      <w:r>
        <w:rPr>
          <w:color w:val="auto"/>
          <w:highlight w:val="none"/>
        </w:rPr>
        <w:fldChar w:fldCharType="begin"/>
      </w:r>
      <w:r>
        <w:rPr>
          <w:color w:val="auto"/>
          <w:highlight w:val="none"/>
        </w:rPr>
        <w:instrText xml:space="preserve"> PAGEREF _Toc239671946 \h </w:instrText>
      </w:r>
      <w:r>
        <w:rPr>
          <w:color w:val="auto"/>
          <w:highlight w:val="none"/>
        </w:rPr>
        <w:fldChar w:fldCharType="separate"/>
      </w:r>
      <w:r>
        <w:rPr>
          <w:color w:val="auto"/>
          <w:highlight w:val="none"/>
        </w:rPr>
        <w:t xml:space="preserve">30</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"_Toc239671947" </w:instrText>
      </w:r>
      <w:r>
        <w:rPr>
          <w:color w:val="auto"/>
          <w:highlight w:val="none"/>
        </w:rPr>
        <w:fldChar w:fldCharType="separate"/>
      </w:r>
      <w:r>
        <w:rPr>
          <w:rStyle w:val="859"/>
          <w:rFonts w:ascii="宋体" w:hAnsi="宋体" w:cs="宋体"/>
          <w:b/>
          <w:bCs/>
          <w:color w:val="auto"/>
          <w:highlight w:val="none"/>
        </w:rPr>
        <w:t xml:space="preserve">四、 图传模块</w:t>
      </w:r>
      <w:r>
        <w:rPr>
          <w:color w:val="auto"/>
          <w:highlight w:val="none"/>
        </w:rPr>
        <w:tab/>
      </w:r>
      <w:r>
        <w:rPr>
          <w:color w:val="auto"/>
          <w:highlight w:val="none"/>
        </w:rPr>
        <w:fldChar w:fldCharType="begin"/>
      </w:r>
      <w:r>
        <w:rPr>
          <w:color w:val="auto"/>
          <w:highlight w:val="none"/>
        </w:rPr>
        <w:instrText xml:space="preserve"> PAGEREF _Toc239671947 \h </w:instrText>
      </w:r>
      <w:r>
        <w:rPr>
          <w:color w:val="auto"/>
          <w:highlight w:val="none"/>
        </w:rPr>
        <w:fldChar w:fldCharType="separate"/>
      </w:r>
      <w:r>
        <w:rPr>
          <w:color w:val="auto"/>
          <w:highlight w:val="none"/>
        </w:rPr>
        <w:t xml:space="preserve">31</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"_Toc239671948" </w:instrText>
      </w:r>
      <w:r>
        <w:rPr>
          <w:color w:val="auto"/>
          <w:highlight w:val="none"/>
        </w:rPr>
        <w:fldChar w:fldCharType="separate"/>
      </w:r>
      <w:r>
        <w:rPr>
          <w:rStyle w:val="859"/>
          <w:rFonts w:ascii="宋体" w:hAnsi="宋体" w:cs="宋体"/>
          <w:b/>
          <w:bCs/>
          <w:color w:val="auto"/>
          <w:highlight w:val="none"/>
        </w:rPr>
        <w:t xml:space="preserve">五、 喊话器</w:t>
      </w:r>
      <w:r>
        <w:rPr>
          <w:color w:val="auto"/>
          <w:highlight w:val="none"/>
        </w:rPr>
        <w:tab/>
      </w:r>
      <w:r>
        <w:rPr>
          <w:color w:val="auto"/>
          <w:highlight w:val="none"/>
        </w:rPr>
        <w:fldChar w:fldCharType="begin"/>
      </w:r>
      <w:r>
        <w:rPr>
          <w:color w:val="auto"/>
          <w:highlight w:val="none"/>
        </w:rPr>
        <w:instrText xml:space="preserve"> PAGEREF _Toc239671948 \h </w:instrText>
      </w:r>
      <w:r>
        <w:rPr>
          <w:color w:val="auto"/>
          <w:highlight w:val="none"/>
        </w:rPr>
        <w:fldChar w:fldCharType="separate"/>
      </w:r>
      <w:r>
        <w:rPr>
          <w:color w:val="auto"/>
          <w:highlight w:val="none"/>
        </w:rPr>
        <w:t xml:space="preserve">31</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"_Toc239671949" </w:instrText>
      </w:r>
      <w:r>
        <w:rPr>
          <w:color w:val="auto"/>
          <w:highlight w:val="none"/>
        </w:rPr>
        <w:fldChar w:fldCharType="separate"/>
      </w:r>
      <w:r>
        <w:rPr>
          <w:rStyle w:val="859"/>
          <w:rFonts w:ascii="宋体" w:hAnsi="宋体" w:cs="宋体"/>
          <w:b/>
          <w:bCs/>
          <w:color w:val="auto"/>
          <w:highlight w:val="none"/>
        </w:rPr>
        <w:t xml:space="preserve">六、 探照灯</w:t>
      </w:r>
      <w:r>
        <w:rPr>
          <w:color w:val="auto"/>
          <w:highlight w:val="none"/>
        </w:rPr>
        <w:tab/>
      </w:r>
      <w:r>
        <w:rPr>
          <w:color w:val="auto"/>
          <w:highlight w:val="none"/>
        </w:rPr>
        <w:fldChar w:fldCharType="begin"/>
      </w:r>
      <w:r>
        <w:rPr>
          <w:color w:val="auto"/>
          <w:highlight w:val="none"/>
        </w:rPr>
        <w:instrText xml:space="preserve"> PAGEREF _Toc239671949 \h </w:instrText>
      </w:r>
      <w:r>
        <w:rPr>
          <w:color w:val="auto"/>
          <w:highlight w:val="none"/>
        </w:rPr>
        <w:fldChar w:fldCharType="separate"/>
      </w:r>
      <w:r>
        <w:rPr>
          <w:color w:val="auto"/>
          <w:highlight w:val="none"/>
        </w:rPr>
        <w:t xml:space="preserve">31</w:t>
      </w:r>
      <w:r>
        <w:rPr>
          <w:color w:val="auto"/>
          <w:highlight w:val="none"/>
        </w:rPr>
        <w:fldChar w:fldCharType="end"/>
      </w:r>
      <w:r>
        <w:rPr>
          <w:color w:val="auto"/>
          <w:highlight w:val="none"/>
        </w:rPr>
        <w:fldChar w:fldCharType="end"/>
      </w:r>
      <w:r/>
    </w:p>
    <w:p>
      <w:pPr>
        <w:pStyle w:val="839"/>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"_Toc239671950" </w:instrText>
      </w:r>
      <w:r>
        <w:rPr>
          <w:color w:val="auto"/>
          <w:highlight w:val="none"/>
        </w:rPr>
        <w:fldChar w:fldCharType="separate"/>
      </w:r>
      <w:r>
        <w:rPr>
          <w:rStyle w:val="859"/>
          <w:rFonts w:ascii="宋体" w:hAnsi="宋体" w:cs="宋体"/>
          <w:b/>
          <w:color w:val="auto"/>
          <w:highlight w:val="none"/>
        </w:rPr>
        <w:t xml:space="preserve">水质监测站</w:t>
      </w:r>
      <w:r>
        <w:rPr>
          <w:color w:val="auto"/>
          <w:highlight w:val="none"/>
        </w:rPr>
        <w:tab/>
      </w:r>
      <w:r>
        <w:rPr>
          <w:color w:val="auto"/>
          <w:highlight w:val="none"/>
        </w:rPr>
        <w:fldChar w:fldCharType="begin"/>
      </w:r>
      <w:r>
        <w:rPr>
          <w:color w:val="auto"/>
          <w:highlight w:val="none"/>
        </w:rPr>
        <w:instrText xml:space="preserve"> PAGEREF _Toc239671950 \h </w:instrText>
      </w:r>
      <w:r>
        <w:rPr>
          <w:color w:val="auto"/>
          <w:highlight w:val="none"/>
        </w:rPr>
        <w:fldChar w:fldCharType="separate"/>
      </w:r>
      <w:r>
        <w:rPr>
          <w:color w:val="auto"/>
          <w:highlight w:val="none"/>
        </w:rPr>
        <w:t xml:space="preserve">31</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"_Toc239671951" </w:instrText>
      </w:r>
      <w:r>
        <w:rPr>
          <w:color w:val="auto"/>
          <w:highlight w:val="none"/>
        </w:rPr>
        <w:fldChar w:fldCharType="separate"/>
      </w:r>
      <w:r>
        <w:rPr>
          <w:rStyle w:val="859"/>
          <w:rFonts w:ascii="宋体" w:hAnsi="宋体" w:cs="宋体"/>
          <w:b/>
          <w:bCs/>
          <w:color w:val="auto"/>
          <w:highlight w:val="none"/>
        </w:rPr>
        <w:t xml:space="preserve">一、监测站房</w:t>
      </w:r>
      <w:r>
        <w:rPr>
          <w:color w:val="auto"/>
          <w:highlight w:val="none"/>
        </w:rPr>
        <w:tab/>
      </w:r>
      <w:r>
        <w:rPr>
          <w:color w:val="auto"/>
          <w:highlight w:val="none"/>
        </w:rPr>
        <w:fldChar w:fldCharType="begin"/>
      </w:r>
      <w:r>
        <w:rPr>
          <w:color w:val="auto"/>
          <w:highlight w:val="none"/>
        </w:rPr>
        <w:instrText xml:space="preserve"> PAGEREF _Toc239671951 \h </w:instrText>
      </w:r>
      <w:r>
        <w:rPr>
          <w:color w:val="auto"/>
          <w:highlight w:val="none"/>
        </w:rPr>
        <w:fldChar w:fldCharType="separate"/>
      </w:r>
      <w:r>
        <w:rPr>
          <w:color w:val="auto"/>
          <w:highlight w:val="none"/>
        </w:rPr>
        <w:t xml:space="preserve">31</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"_Toc239671952" </w:instrText>
      </w:r>
      <w:r>
        <w:rPr>
          <w:color w:val="auto"/>
          <w:highlight w:val="none"/>
        </w:rPr>
        <w:fldChar w:fldCharType="separate"/>
      </w:r>
      <w:r>
        <w:rPr>
          <w:rStyle w:val="859"/>
          <w:rFonts w:ascii="宋体" w:hAnsi="宋体" w:cs="宋体"/>
          <w:b/>
          <w:bCs/>
          <w:color w:val="auto"/>
          <w:highlight w:val="none"/>
        </w:rPr>
        <w:t xml:space="preserve">二、水样预处理装置设备</w:t>
      </w:r>
      <w:r>
        <w:rPr>
          <w:color w:val="auto"/>
          <w:highlight w:val="none"/>
        </w:rPr>
        <w:tab/>
      </w:r>
      <w:r>
        <w:rPr>
          <w:color w:val="auto"/>
          <w:highlight w:val="none"/>
        </w:rPr>
        <w:fldChar w:fldCharType="begin"/>
      </w:r>
      <w:r>
        <w:rPr>
          <w:color w:val="auto"/>
          <w:highlight w:val="none"/>
        </w:rPr>
        <w:instrText xml:space="preserve"> PAGEREF _Toc239671952 \h </w:instrText>
      </w:r>
      <w:r>
        <w:rPr>
          <w:color w:val="auto"/>
          <w:highlight w:val="none"/>
        </w:rPr>
        <w:fldChar w:fldCharType="separate"/>
      </w:r>
      <w:r>
        <w:rPr>
          <w:color w:val="auto"/>
          <w:highlight w:val="none"/>
        </w:rPr>
        <w:t xml:space="preserve">31</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"_Toc239671953" </w:instrText>
      </w:r>
      <w:r>
        <w:rPr>
          <w:color w:val="auto"/>
          <w:highlight w:val="none"/>
        </w:rPr>
        <w:fldChar w:fldCharType="separate"/>
      </w:r>
      <w:r>
        <w:rPr>
          <w:rStyle w:val="859"/>
          <w:rFonts w:ascii="宋体" w:hAnsi="宋体" w:cs="宋体"/>
          <w:b/>
          <w:bCs/>
          <w:color w:val="auto"/>
          <w:highlight w:val="none"/>
        </w:rPr>
        <w:t xml:space="preserve">三、配水装置设备</w:t>
      </w:r>
      <w:r>
        <w:rPr>
          <w:color w:val="auto"/>
          <w:highlight w:val="none"/>
        </w:rPr>
        <w:tab/>
      </w:r>
      <w:r>
        <w:rPr>
          <w:color w:val="auto"/>
          <w:highlight w:val="none"/>
        </w:rPr>
        <w:fldChar w:fldCharType="begin"/>
      </w:r>
      <w:r>
        <w:rPr>
          <w:color w:val="auto"/>
          <w:highlight w:val="none"/>
        </w:rPr>
        <w:instrText xml:space="preserve"> PAGEREF _Toc239671953 \h </w:instrText>
      </w:r>
      <w:r>
        <w:rPr>
          <w:color w:val="auto"/>
          <w:highlight w:val="none"/>
        </w:rPr>
        <w:fldChar w:fldCharType="separate"/>
      </w:r>
      <w:r>
        <w:rPr>
          <w:color w:val="auto"/>
          <w:highlight w:val="none"/>
        </w:rPr>
        <w:t xml:space="preserve">32</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"_Toc239671954" </w:instrText>
      </w:r>
      <w:r>
        <w:rPr>
          <w:color w:val="auto"/>
          <w:highlight w:val="none"/>
        </w:rPr>
        <w:fldChar w:fldCharType="separate"/>
      </w:r>
      <w:r>
        <w:rPr>
          <w:rStyle w:val="859"/>
          <w:rFonts w:ascii="宋体" w:hAnsi="宋体" w:cs="宋体"/>
          <w:b/>
          <w:bCs/>
          <w:color w:val="auto"/>
          <w:highlight w:val="none"/>
        </w:rPr>
        <w:t xml:space="preserve">四、控制单元设备</w:t>
      </w:r>
      <w:r>
        <w:rPr>
          <w:color w:val="auto"/>
          <w:highlight w:val="none"/>
        </w:rPr>
        <w:tab/>
      </w:r>
      <w:r>
        <w:rPr>
          <w:color w:val="auto"/>
          <w:highlight w:val="none"/>
        </w:rPr>
        <w:fldChar w:fldCharType="begin"/>
      </w:r>
      <w:r>
        <w:rPr>
          <w:color w:val="auto"/>
          <w:highlight w:val="none"/>
        </w:rPr>
        <w:instrText xml:space="preserve"> PAGEREF _Toc239671954 \h </w:instrText>
      </w:r>
      <w:r>
        <w:rPr>
          <w:color w:val="auto"/>
          <w:highlight w:val="none"/>
        </w:rPr>
        <w:fldChar w:fldCharType="separate"/>
      </w:r>
      <w:r>
        <w:rPr>
          <w:color w:val="auto"/>
          <w:highlight w:val="none"/>
        </w:rPr>
        <w:t xml:space="preserve">32</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"_Toc239671955" </w:instrText>
      </w:r>
      <w:r>
        <w:rPr>
          <w:color w:val="auto"/>
          <w:highlight w:val="none"/>
        </w:rPr>
        <w:fldChar w:fldCharType="separate"/>
      </w:r>
      <w:r>
        <w:rPr>
          <w:rStyle w:val="859"/>
          <w:rFonts w:ascii="宋体" w:hAnsi="宋体" w:cs="宋体"/>
          <w:b/>
          <w:bCs/>
          <w:color w:val="auto"/>
          <w:highlight w:val="none"/>
        </w:rPr>
        <w:t xml:space="preserve">五、质控单元</w:t>
      </w:r>
      <w:r>
        <w:rPr>
          <w:color w:val="auto"/>
          <w:highlight w:val="none"/>
        </w:rPr>
        <w:tab/>
      </w:r>
      <w:r>
        <w:rPr>
          <w:color w:val="auto"/>
          <w:highlight w:val="none"/>
        </w:rPr>
        <w:fldChar w:fldCharType="begin"/>
      </w:r>
      <w:r>
        <w:rPr>
          <w:color w:val="auto"/>
          <w:highlight w:val="none"/>
        </w:rPr>
        <w:instrText xml:space="preserve"> PAGEREF _Toc239671955 \h </w:instrText>
      </w:r>
      <w:r>
        <w:rPr>
          <w:color w:val="auto"/>
          <w:highlight w:val="none"/>
        </w:rPr>
        <w:fldChar w:fldCharType="separate"/>
      </w:r>
      <w:r>
        <w:rPr>
          <w:color w:val="auto"/>
          <w:highlight w:val="none"/>
        </w:rPr>
        <w:t xml:space="preserve">33</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"_Toc239671956" </w:instrText>
      </w:r>
      <w:r>
        <w:rPr>
          <w:color w:val="auto"/>
          <w:highlight w:val="none"/>
        </w:rPr>
        <w:fldChar w:fldCharType="separate"/>
      </w:r>
      <w:r>
        <w:rPr>
          <w:rStyle w:val="859"/>
          <w:rFonts w:ascii="宋体" w:hAnsi="宋体" w:cs="宋体"/>
          <w:b/>
          <w:bCs/>
          <w:color w:val="auto"/>
          <w:highlight w:val="none"/>
        </w:rPr>
        <w:t xml:space="preserve">六、数据采集传输设备</w:t>
      </w:r>
      <w:r>
        <w:rPr>
          <w:color w:val="auto"/>
          <w:highlight w:val="none"/>
        </w:rPr>
        <w:tab/>
      </w:r>
      <w:r>
        <w:rPr>
          <w:color w:val="auto"/>
          <w:highlight w:val="none"/>
        </w:rPr>
        <w:fldChar w:fldCharType="begin"/>
      </w:r>
      <w:r>
        <w:rPr>
          <w:color w:val="auto"/>
          <w:highlight w:val="none"/>
        </w:rPr>
        <w:instrText xml:space="preserve"> PAGEREF _Toc239671956 \h </w:instrText>
      </w:r>
      <w:r>
        <w:rPr>
          <w:color w:val="auto"/>
          <w:highlight w:val="none"/>
        </w:rPr>
        <w:fldChar w:fldCharType="separate"/>
      </w:r>
      <w:r>
        <w:rPr>
          <w:color w:val="auto"/>
          <w:highlight w:val="none"/>
        </w:rPr>
        <w:t xml:space="preserve">33</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"_Toc239671957" </w:instrText>
      </w:r>
      <w:r>
        <w:rPr>
          <w:color w:val="auto"/>
          <w:highlight w:val="none"/>
        </w:rPr>
        <w:fldChar w:fldCharType="separate"/>
      </w:r>
      <w:r>
        <w:rPr>
          <w:rStyle w:val="859"/>
          <w:rFonts w:ascii="宋体" w:hAnsi="宋体" w:cs="宋体"/>
          <w:b/>
          <w:bCs/>
          <w:color w:val="auto"/>
          <w:highlight w:val="none"/>
        </w:rPr>
        <w:t xml:space="preserve">七、环境集成配套设备</w:t>
      </w:r>
      <w:r>
        <w:rPr>
          <w:color w:val="auto"/>
          <w:highlight w:val="none"/>
        </w:rPr>
        <w:tab/>
      </w:r>
      <w:r>
        <w:rPr>
          <w:color w:val="auto"/>
          <w:highlight w:val="none"/>
        </w:rPr>
        <w:fldChar w:fldCharType="begin"/>
      </w:r>
      <w:r>
        <w:rPr>
          <w:color w:val="auto"/>
          <w:highlight w:val="none"/>
        </w:rPr>
        <w:instrText xml:space="preserve"> PAGEREF _Toc239671957 \h </w:instrText>
      </w:r>
      <w:r>
        <w:rPr>
          <w:color w:val="auto"/>
          <w:highlight w:val="none"/>
        </w:rPr>
        <w:fldChar w:fldCharType="separate"/>
      </w:r>
      <w:r>
        <w:rPr>
          <w:color w:val="auto"/>
          <w:highlight w:val="none"/>
        </w:rPr>
        <w:t xml:space="preserve">33</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"_Toc239671958" </w:instrText>
      </w:r>
      <w:r>
        <w:rPr>
          <w:color w:val="auto"/>
          <w:highlight w:val="none"/>
        </w:rPr>
        <w:fldChar w:fldCharType="separate"/>
      </w:r>
      <w:r>
        <w:rPr>
          <w:rStyle w:val="859"/>
          <w:rFonts w:ascii="宋体" w:hAnsi="宋体" w:cs="宋体"/>
          <w:b/>
          <w:bCs/>
          <w:color w:val="auto"/>
          <w:highlight w:val="none"/>
        </w:rPr>
        <w:t xml:space="preserve">八、电力设施及监控设备</w:t>
      </w:r>
      <w:r>
        <w:rPr>
          <w:color w:val="auto"/>
          <w:highlight w:val="none"/>
        </w:rPr>
        <w:tab/>
      </w:r>
      <w:r>
        <w:rPr>
          <w:color w:val="auto"/>
          <w:highlight w:val="none"/>
        </w:rPr>
        <w:fldChar w:fldCharType="begin"/>
      </w:r>
      <w:r>
        <w:rPr>
          <w:color w:val="auto"/>
          <w:highlight w:val="none"/>
        </w:rPr>
        <w:instrText xml:space="preserve"> PAGEREF _Toc239671958 \h </w:instrText>
      </w:r>
      <w:r>
        <w:rPr>
          <w:color w:val="auto"/>
          <w:highlight w:val="none"/>
        </w:rPr>
        <w:fldChar w:fldCharType="separate"/>
      </w:r>
      <w:r>
        <w:rPr>
          <w:color w:val="auto"/>
          <w:highlight w:val="none"/>
        </w:rPr>
        <w:t xml:space="preserve">33</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"_Toc239671959" </w:instrText>
      </w:r>
      <w:r>
        <w:rPr>
          <w:color w:val="auto"/>
          <w:highlight w:val="none"/>
        </w:rPr>
        <w:fldChar w:fldCharType="separate"/>
      </w:r>
      <w:r>
        <w:rPr>
          <w:rStyle w:val="859"/>
          <w:rFonts w:ascii="宋体" w:hAnsi="宋体" w:cs="宋体"/>
          <w:b/>
          <w:bCs/>
          <w:color w:val="auto"/>
          <w:highlight w:val="none"/>
        </w:rPr>
        <w:t xml:space="preserve">九、留样单元</w:t>
      </w:r>
      <w:r>
        <w:rPr>
          <w:color w:val="auto"/>
          <w:highlight w:val="none"/>
        </w:rPr>
        <w:tab/>
      </w:r>
      <w:r>
        <w:rPr>
          <w:color w:val="auto"/>
          <w:highlight w:val="none"/>
        </w:rPr>
        <w:fldChar w:fldCharType="begin"/>
      </w:r>
      <w:r>
        <w:rPr>
          <w:color w:val="auto"/>
          <w:highlight w:val="none"/>
        </w:rPr>
        <w:instrText xml:space="preserve"> PAGEREF _Toc239671959 \h </w:instrText>
      </w:r>
      <w:r>
        <w:rPr>
          <w:color w:val="auto"/>
          <w:highlight w:val="none"/>
        </w:rPr>
        <w:fldChar w:fldCharType="separate"/>
      </w:r>
      <w:r>
        <w:rPr>
          <w:color w:val="auto"/>
          <w:highlight w:val="none"/>
        </w:rPr>
        <w:t xml:space="preserve">33</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"_Toc239671960" </w:instrText>
      </w:r>
      <w:r>
        <w:rPr>
          <w:color w:val="auto"/>
          <w:highlight w:val="none"/>
        </w:rPr>
        <w:fldChar w:fldCharType="separate"/>
      </w:r>
      <w:r>
        <w:rPr>
          <w:rStyle w:val="859"/>
          <w:rFonts w:ascii="宋体" w:hAnsi="宋体" w:cs="宋体"/>
          <w:b/>
          <w:bCs/>
          <w:color w:val="auto"/>
          <w:highlight w:val="none"/>
        </w:rPr>
        <w:t xml:space="preserve">十、多普勒流速仪</w:t>
      </w:r>
      <w:r>
        <w:rPr>
          <w:color w:val="auto"/>
          <w:highlight w:val="none"/>
        </w:rPr>
        <w:tab/>
      </w:r>
      <w:r>
        <w:rPr>
          <w:color w:val="auto"/>
          <w:highlight w:val="none"/>
        </w:rPr>
        <w:fldChar w:fldCharType="begin"/>
      </w:r>
      <w:r>
        <w:rPr>
          <w:color w:val="auto"/>
          <w:highlight w:val="none"/>
        </w:rPr>
        <w:instrText xml:space="preserve"> PAGEREF _Toc239671960 \h </w:instrText>
      </w:r>
      <w:r>
        <w:rPr>
          <w:color w:val="auto"/>
          <w:highlight w:val="none"/>
        </w:rPr>
        <w:fldChar w:fldCharType="separate"/>
      </w:r>
      <w:r>
        <w:rPr>
          <w:color w:val="auto"/>
          <w:highlight w:val="none"/>
        </w:rPr>
        <w:t xml:space="preserve">33</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"_Toc239671961" </w:instrText>
      </w:r>
      <w:r>
        <w:rPr>
          <w:color w:val="auto"/>
          <w:highlight w:val="none"/>
        </w:rPr>
        <w:fldChar w:fldCharType="separate"/>
      </w:r>
      <w:r>
        <w:rPr>
          <w:rStyle w:val="859"/>
          <w:rFonts w:ascii="宋体" w:hAnsi="宋体" w:cs="宋体"/>
          <w:b/>
          <w:bCs/>
          <w:color w:val="auto"/>
          <w:highlight w:val="none"/>
        </w:rPr>
        <w:t xml:space="preserve">十一、高锰酸盐指数在线监测仪</w:t>
      </w:r>
      <w:r>
        <w:rPr>
          <w:color w:val="auto"/>
          <w:highlight w:val="none"/>
        </w:rPr>
        <w:tab/>
      </w:r>
      <w:r>
        <w:rPr>
          <w:color w:val="auto"/>
          <w:highlight w:val="none"/>
        </w:rPr>
        <w:fldChar w:fldCharType="begin"/>
      </w:r>
      <w:r>
        <w:rPr>
          <w:color w:val="auto"/>
          <w:highlight w:val="none"/>
        </w:rPr>
        <w:instrText xml:space="preserve"> PAGEREF _Toc239671961 \h </w:instrText>
      </w:r>
      <w:r>
        <w:rPr>
          <w:color w:val="auto"/>
          <w:highlight w:val="none"/>
        </w:rPr>
        <w:fldChar w:fldCharType="separate"/>
      </w:r>
      <w:r>
        <w:rPr>
          <w:color w:val="auto"/>
          <w:highlight w:val="none"/>
        </w:rPr>
        <w:t xml:space="preserve">34</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"_Toc239671962" </w:instrText>
      </w:r>
      <w:r>
        <w:rPr>
          <w:color w:val="auto"/>
          <w:highlight w:val="none"/>
        </w:rPr>
        <w:fldChar w:fldCharType="separate"/>
      </w:r>
      <w:r>
        <w:rPr>
          <w:rStyle w:val="859"/>
          <w:rFonts w:ascii="宋体" w:hAnsi="宋体" w:cs="宋体"/>
          <w:b/>
          <w:bCs/>
          <w:color w:val="auto"/>
          <w:highlight w:val="none"/>
        </w:rPr>
        <w:t xml:space="preserve">十二、氨氮在线监测仪</w:t>
      </w:r>
      <w:r>
        <w:rPr>
          <w:color w:val="auto"/>
          <w:highlight w:val="none"/>
        </w:rPr>
        <w:tab/>
      </w:r>
      <w:r>
        <w:rPr>
          <w:color w:val="auto"/>
          <w:highlight w:val="none"/>
        </w:rPr>
        <w:fldChar w:fldCharType="begin"/>
      </w:r>
      <w:r>
        <w:rPr>
          <w:color w:val="auto"/>
          <w:highlight w:val="none"/>
        </w:rPr>
        <w:instrText xml:space="preserve"> PAGEREF _Toc239671962 \h </w:instrText>
      </w:r>
      <w:r>
        <w:rPr>
          <w:color w:val="auto"/>
          <w:highlight w:val="none"/>
        </w:rPr>
        <w:fldChar w:fldCharType="separate"/>
      </w:r>
      <w:r>
        <w:rPr>
          <w:color w:val="auto"/>
          <w:highlight w:val="none"/>
        </w:rPr>
        <w:t xml:space="preserve">34</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"_Toc239671963" </w:instrText>
      </w:r>
      <w:r>
        <w:rPr>
          <w:color w:val="auto"/>
          <w:highlight w:val="none"/>
        </w:rPr>
        <w:fldChar w:fldCharType="separate"/>
      </w:r>
      <w:r>
        <w:rPr>
          <w:rStyle w:val="859"/>
          <w:rFonts w:ascii="宋体" w:hAnsi="宋体" w:cs="宋体"/>
          <w:b/>
          <w:bCs/>
          <w:color w:val="auto"/>
          <w:highlight w:val="none"/>
        </w:rPr>
        <w:t xml:space="preserve">十三、总磷在线监测仪</w:t>
      </w:r>
      <w:r>
        <w:rPr>
          <w:color w:val="auto"/>
          <w:highlight w:val="none"/>
        </w:rPr>
        <w:tab/>
      </w:r>
      <w:r>
        <w:rPr>
          <w:color w:val="auto"/>
          <w:highlight w:val="none"/>
        </w:rPr>
        <w:fldChar w:fldCharType="begin"/>
      </w:r>
      <w:r>
        <w:rPr>
          <w:color w:val="auto"/>
          <w:highlight w:val="none"/>
        </w:rPr>
        <w:instrText xml:space="preserve"> PAGEREF _Toc239671963 \h </w:instrText>
      </w:r>
      <w:r>
        <w:rPr>
          <w:color w:val="auto"/>
          <w:highlight w:val="none"/>
        </w:rPr>
        <w:fldChar w:fldCharType="separate"/>
      </w:r>
      <w:r>
        <w:rPr>
          <w:color w:val="auto"/>
          <w:highlight w:val="none"/>
        </w:rPr>
        <w:t xml:space="preserve">35</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"_Toc239671964" </w:instrText>
      </w:r>
      <w:r>
        <w:rPr>
          <w:color w:val="auto"/>
          <w:highlight w:val="none"/>
        </w:rPr>
        <w:fldChar w:fldCharType="separate"/>
      </w:r>
      <w:r>
        <w:rPr>
          <w:rStyle w:val="859"/>
          <w:rFonts w:ascii="宋体" w:hAnsi="宋体" w:cs="宋体"/>
          <w:b/>
          <w:bCs/>
          <w:color w:val="auto"/>
          <w:highlight w:val="none"/>
        </w:rPr>
        <w:t xml:space="preserve">十四、总氮在线监测仪</w:t>
      </w:r>
      <w:r>
        <w:rPr>
          <w:color w:val="auto"/>
          <w:highlight w:val="none"/>
        </w:rPr>
        <w:tab/>
      </w:r>
      <w:r>
        <w:rPr>
          <w:color w:val="auto"/>
          <w:highlight w:val="none"/>
        </w:rPr>
        <w:fldChar w:fldCharType="begin"/>
      </w:r>
      <w:r>
        <w:rPr>
          <w:color w:val="auto"/>
          <w:highlight w:val="none"/>
        </w:rPr>
        <w:instrText xml:space="preserve"> PAGEREF _Toc239671964 \h </w:instrText>
      </w:r>
      <w:r>
        <w:rPr>
          <w:color w:val="auto"/>
          <w:highlight w:val="none"/>
        </w:rPr>
        <w:fldChar w:fldCharType="separate"/>
      </w:r>
      <w:r>
        <w:rPr>
          <w:color w:val="auto"/>
          <w:highlight w:val="none"/>
        </w:rPr>
        <w:t xml:space="preserve">35</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"_Toc239671965" </w:instrText>
      </w:r>
      <w:r>
        <w:rPr>
          <w:color w:val="auto"/>
          <w:highlight w:val="none"/>
        </w:rPr>
        <w:fldChar w:fldCharType="separate"/>
      </w:r>
      <w:r>
        <w:rPr>
          <w:rStyle w:val="859"/>
          <w:rFonts w:ascii="宋体" w:hAnsi="宋体" w:cs="宋体"/>
          <w:b/>
          <w:bCs/>
          <w:color w:val="auto"/>
          <w:highlight w:val="none"/>
        </w:rPr>
        <w:t xml:space="preserve">十五、常规五参数分析仪</w:t>
      </w:r>
      <w:r>
        <w:rPr>
          <w:color w:val="auto"/>
          <w:highlight w:val="none"/>
        </w:rPr>
        <w:tab/>
      </w:r>
      <w:r>
        <w:rPr>
          <w:color w:val="auto"/>
          <w:highlight w:val="none"/>
        </w:rPr>
        <w:fldChar w:fldCharType="begin"/>
      </w:r>
      <w:r>
        <w:rPr>
          <w:color w:val="auto"/>
          <w:highlight w:val="none"/>
        </w:rPr>
        <w:instrText xml:space="preserve"> PAGEREF _Toc239671965 \h </w:instrText>
      </w:r>
      <w:r>
        <w:rPr>
          <w:color w:val="auto"/>
          <w:highlight w:val="none"/>
        </w:rPr>
        <w:fldChar w:fldCharType="separate"/>
      </w:r>
      <w:r>
        <w:rPr>
          <w:color w:val="auto"/>
          <w:highlight w:val="none"/>
        </w:rPr>
        <w:t xml:space="preserve">36</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"_Toc239671966" </w:instrText>
      </w:r>
      <w:r>
        <w:rPr>
          <w:color w:val="auto"/>
          <w:highlight w:val="none"/>
        </w:rPr>
        <w:fldChar w:fldCharType="separate"/>
      </w:r>
      <w:r>
        <w:rPr>
          <w:rStyle w:val="859"/>
          <w:rFonts w:ascii="宋体" w:hAnsi="宋体" w:cs="宋体"/>
          <w:b/>
          <w:bCs/>
          <w:color w:val="auto"/>
          <w:highlight w:val="none"/>
        </w:rPr>
        <w:t xml:space="preserve">十六、蓝绿藻监测仪</w:t>
      </w:r>
      <w:r>
        <w:rPr>
          <w:color w:val="auto"/>
          <w:highlight w:val="none"/>
        </w:rPr>
        <w:tab/>
      </w:r>
      <w:r>
        <w:rPr>
          <w:color w:val="auto"/>
          <w:highlight w:val="none"/>
        </w:rPr>
        <w:fldChar w:fldCharType="begin"/>
      </w:r>
      <w:r>
        <w:rPr>
          <w:color w:val="auto"/>
          <w:highlight w:val="none"/>
        </w:rPr>
        <w:instrText xml:space="preserve"> PAGEREF _Toc239671966 \h </w:instrText>
      </w:r>
      <w:r>
        <w:rPr>
          <w:color w:val="auto"/>
          <w:highlight w:val="none"/>
        </w:rPr>
        <w:fldChar w:fldCharType="separate"/>
      </w:r>
      <w:r>
        <w:rPr>
          <w:color w:val="auto"/>
          <w:highlight w:val="none"/>
        </w:rPr>
        <w:t xml:space="preserve">36</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"_Toc239671967" </w:instrText>
      </w:r>
      <w:r>
        <w:rPr>
          <w:color w:val="auto"/>
          <w:highlight w:val="none"/>
        </w:rPr>
        <w:fldChar w:fldCharType="separate"/>
      </w:r>
      <w:r>
        <w:rPr>
          <w:rStyle w:val="859"/>
          <w:rFonts w:ascii="宋体" w:hAnsi="宋体" w:cs="宋体"/>
          <w:b/>
          <w:bCs/>
          <w:color w:val="auto"/>
          <w:highlight w:val="none"/>
        </w:rPr>
        <w:t xml:space="preserve">昆承湖幸福河湖建设信息化设备集成要求</w:t>
      </w:r>
      <w:r>
        <w:rPr>
          <w:color w:val="auto"/>
          <w:highlight w:val="none"/>
        </w:rPr>
        <w:tab/>
      </w:r>
      <w:r>
        <w:rPr>
          <w:color w:val="auto"/>
          <w:highlight w:val="none"/>
        </w:rPr>
        <w:fldChar w:fldCharType="begin"/>
      </w:r>
      <w:r>
        <w:rPr>
          <w:color w:val="auto"/>
          <w:highlight w:val="none"/>
        </w:rPr>
        <w:instrText xml:space="preserve"> PAGEREF _Toc239671967 \h </w:instrText>
      </w:r>
      <w:r>
        <w:rPr>
          <w:color w:val="auto"/>
          <w:highlight w:val="none"/>
        </w:rPr>
        <w:fldChar w:fldCharType="separate"/>
      </w:r>
      <w:r>
        <w:rPr>
          <w:color w:val="auto"/>
          <w:highlight w:val="none"/>
        </w:rPr>
        <w:t xml:space="preserve">36</w:t>
      </w:r>
      <w:r>
        <w:rPr>
          <w:color w:val="auto"/>
          <w:highlight w:val="none"/>
        </w:rPr>
        <w:fldChar w:fldCharType="end"/>
      </w:r>
      <w:r>
        <w:rPr>
          <w:color w:val="auto"/>
          <w:highlight w:val="none"/>
        </w:rPr>
        <w:fldChar w:fldCharType="end"/>
      </w:r>
      <w:r/>
    </w:p>
    <w:p>
      <w:pPr>
        <w:pStyle w:val="839"/>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"_Toc239671968" </w:instrText>
      </w:r>
      <w:r>
        <w:rPr>
          <w:color w:val="auto"/>
          <w:highlight w:val="none"/>
        </w:rPr>
        <w:fldChar w:fldCharType="separate"/>
      </w:r>
      <w:r>
        <w:rPr>
          <w:rStyle w:val="859"/>
          <w:rFonts w:ascii="黑体" w:hAnsi="Courier New" w:eastAsia="黑体" w:cs="Courier New"/>
          <w:bCs/>
          <w:color w:val="auto"/>
          <w:highlight w:val="none"/>
        </w:rPr>
        <w:t xml:space="preserve">第五章  评审因素和评分标准</w:t>
      </w:r>
      <w:r>
        <w:rPr>
          <w:color w:val="auto"/>
          <w:highlight w:val="none"/>
        </w:rPr>
        <w:tab/>
      </w:r>
      <w:r>
        <w:rPr>
          <w:color w:val="auto"/>
          <w:highlight w:val="none"/>
        </w:rPr>
        <w:fldChar w:fldCharType="begin"/>
      </w:r>
      <w:r>
        <w:rPr>
          <w:color w:val="auto"/>
          <w:highlight w:val="none"/>
        </w:rPr>
        <w:instrText xml:space="preserve"> PAGEREF _Toc239671968 \h </w:instrText>
      </w:r>
      <w:r>
        <w:rPr>
          <w:color w:val="auto"/>
          <w:highlight w:val="none"/>
        </w:rPr>
        <w:fldChar w:fldCharType="separate"/>
      </w:r>
      <w:r>
        <w:rPr>
          <w:color w:val="auto"/>
          <w:highlight w:val="none"/>
        </w:rPr>
        <w:t xml:space="preserve">41</w:t>
      </w:r>
      <w:r>
        <w:rPr>
          <w:color w:val="auto"/>
          <w:highlight w:val="none"/>
        </w:rPr>
        <w:fldChar w:fldCharType="end"/>
      </w:r>
      <w:r>
        <w:rPr>
          <w:color w:val="auto"/>
          <w:highlight w:val="none"/>
        </w:rPr>
        <w:fldChar w:fldCharType="end"/>
      </w:r>
      <w:r/>
    </w:p>
    <w:p>
      <w:pPr>
        <w:pStyle w:val="839"/>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"_Toc239671969" </w:instrText>
      </w:r>
      <w:r>
        <w:rPr>
          <w:color w:val="auto"/>
          <w:highlight w:val="none"/>
        </w:rPr>
        <w:fldChar w:fldCharType="separate"/>
      </w:r>
      <w:r>
        <w:rPr>
          <w:rStyle w:val="859"/>
          <w:rFonts w:ascii="黑体" w:hAnsi="Courier New" w:eastAsia="黑体" w:cs="Courier New"/>
          <w:bCs/>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_Toc239671969 \h </w:instrText>
      </w:r>
      <w:r>
        <w:rPr>
          <w:color w:val="auto"/>
          <w:highlight w:val="none"/>
        </w:rPr>
        <w:fldChar w:fldCharType="separate"/>
      </w:r>
      <w:r>
        <w:rPr>
          <w:color w:val="auto"/>
          <w:highlight w:val="none"/>
        </w:rPr>
        <w:t xml:space="preserve">46</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"_Toc239671970" </w:instrText>
      </w:r>
      <w:r>
        <w:rPr>
          <w:color w:val="auto"/>
          <w:highlight w:val="none"/>
        </w:rPr>
        <w:fldChar w:fldCharType="separate"/>
      </w:r>
      <w:r>
        <w:rPr>
          <w:rStyle w:val="859"/>
          <w:rFonts w:ascii="Times New Roman" w:hAnsi="Times New Roman"/>
          <w:b/>
          <w:bCs/>
          <w:color w:val="auto"/>
          <w:highlight w:val="none"/>
        </w:rPr>
        <w:t xml:space="preserve">附件1 开标一览表</w:t>
      </w:r>
      <w:r>
        <w:rPr>
          <w:color w:val="auto"/>
          <w:highlight w:val="none"/>
        </w:rPr>
        <w:tab/>
      </w:r>
      <w:r>
        <w:rPr>
          <w:color w:val="auto"/>
          <w:highlight w:val="none"/>
        </w:rPr>
        <w:fldChar w:fldCharType="begin"/>
      </w:r>
      <w:r>
        <w:rPr>
          <w:color w:val="auto"/>
          <w:highlight w:val="none"/>
        </w:rPr>
        <w:instrText xml:space="preserve"> PAGEREF _Toc239671970 \h </w:instrText>
      </w:r>
      <w:r>
        <w:rPr>
          <w:color w:val="auto"/>
          <w:highlight w:val="none"/>
        </w:rPr>
        <w:fldChar w:fldCharType="separate"/>
      </w:r>
      <w:r>
        <w:rPr>
          <w:color w:val="auto"/>
          <w:highlight w:val="none"/>
        </w:rPr>
        <w:t xml:space="preserve">48</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"_Toc239671971" </w:instrText>
      </w:r>
      <w:r>
        <w:rPr>
          <w:color w:val="auto"/>
          <w:highlight w:val="none"/>
        </w:rPr>
        <w:fldChar w:fldCharType="separate"/>
      </w:r>
      <w:r>
        <w:rPr>
          <w:rStyle w:val="859"/>
          <w:rFonts w:ascii="Times New Roman" w:hAnsi="Times New Roman"/>
          <w:b/>
          <w:bCs/>
          <w:color w:val="auto"/>
          <w:highlight w:val="none"/>
        </w:rPr>
        <w:t xml:space="preserve">附件2 报价明细表</w:t>
      </w:r>
      <w:r>
        <w:rPr>
          <w:color w:val="auto"/>
          <w:highlight w:val="none"/>
        </w:rPr>
        <w:tab/>
      </w:r>
      <w:r>
        <w:rPr>
          <w:color w:val="auto"/>
          <w:highlight w:val="none"/>
        </w:rPr>
        <w:fldChar w:fldCharType="begin"/>
      </w:r>
      <w:r>
        <w:rPr>
          <w:color w:val="auto"/>
          <w:highlight w:val="none"/>
        </w:rPr>
        <w:instrText xml:space="preserve"> PAGEREF _Toc239671971 \h </w:instrText>
      </w:r>
      <w:r>
        <w:rPr>
          <w:color w:val="auto"/>
          <w:highlight w:val="none"/>
        </w:rPr>
        <w:fldChar w:fldCharType="separate"/>
      </w:r>
      <w:r>
        <w:rPr>
          <w:color w:val="auto"/>
          <w:highlight w:val="none"/>
        </w:rPr>
        <w:t xml:space="preserve">49</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"_Toc239671972" </w:instrText>
      </w:r>
      <w:r>
        <w:rPr>
          <w:color w:val="auto"/>
          <w:highlight w:val="none"/>
        </w:rPr>
        <w:fldChar w:fldCharType="separate"/>
      </w:r>
      <w:r>
        <w:rPr>
          <w:rStyle w:val="859"/>
          <w:rFonts w:ascii="Times New Roman" w:hAnsi="Times New Roman"/>
          <w:b/>
          <w:bCs/>
          <w:color w:val="auto"/>
          <w:highlight w:val="none"/>
        </w:rPr>
        <w:t xml:space="preserve">附件3 </w:t>
      </w:r>
      <w:r>
        <w:rPr>
          <w:rStyle w:val="859"/>
          <w:rFonts w:ascii="Times New Roman" w:hAnsi="Times New Roman"/>
          <w:b/>
          <w:color w:val="auto"/>
          <w:highlight w:val="none"/>
          <w:lang w:bidi="ar"/>
        </w:rPr>
        <w:t xml:space="preserve">技术要求响应及偏离表</w:t>
      </w:r>
      <w:r>
        <w:rPr>
          <w:color w:val="auto"/>
          <w:highlight w:val="none"/>
        </w:rPr>
        <w:tab/>
      </w:r>
      <w:r>
        <w:rPr>
          <w:color w:val="auto"/>
          <w:highlight w:val="none"/>
        </w:rPr>
        <w:fldChar w:fldCharType="begin"/>
      </w:r>
      <w:r>
        <w:rPr>
          <w:color w:val="auto"/>
          <w:highlight w:val="none"/>
        </w:rPr>
        <w:instrText xml:space="preserve"> PAGEREF _Toc239671972 \h </w:instrText>
      </w:r>
      <w:r>
        <w:rPr>
          <w:color w:val="auto"/>
          <w:highlight w:val="none"/>
        </w:rPr>
        <w:fldChar w:fldCharType="separate"/>
      </w:r>
      <w:r>
        <w:rPr>
          <w:color w:val="auto"/>
          <w:highlight w:val="none"/>
        </w:rPr>
        <w:t xml:space="preserve">50</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"_Toc239671973" </w:instrText>
      </w:r>
      <w:r>
        <w:rPr>
          <w:color w:val="auto"/>
          <w:highlight w:val="none"/>
        </w:rPr>
        <w:fldChar w:fldCharType="separate"/>
      </w:r>
      <w:r>
        <w:rPr>
          <w:rStyle w:val="859"/>
          <w:rFonts w:ascii="Times New Roman" w:hAnsi="Times New Roman"/>
          <w:b/>
          <w:bCs/>
          <w:color w:val="auto"/>
          <w:highlight w:val="none"/>
        </w:rPr>
        <w:t xml:space="preserve">附件4 项目方案</w:t>
      </w:r>
      <w:r>
        <w:rPr>
          <w:color w:val="auto"/>
          <w:highlight w:val="none"/>
        </w:rPr>
        <w:tab/>
      </w:r>
      <w:r>
        <w:rPr>
          <w:color w:val="auto"/>
          <w:highlight w:val="none"/>
        </w:rPr>
        <w:fldChar w:fldCharType="begin"/>
      </w:r>
      <w:r>
        <w:rPr>
          <w:color w:val="auto"/>
          <w:highlight w:val="none"/>
        </w:rPr>
        <w:instrText xml:space="preserve"> PAGEREF _Toc239671973 \h </w:instrText>
      </w:r>
      <w:r>
        <w:rPr>
          <w:color w:val="auto"/>
          <w:highlight w:val="none"/>
        </w:rPr>
        <w:fldChar w:fldCharType="separate"/>
      </w:r>
      <w:r>
        <w:rPr>
          <w:color w:val="auto"/>
          <w:highlight w:val="none"/>
        </w:rPr>
        <w:t xml:space="preserve">51</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"_Toc239671974" </w:instrText>
      </w:r>
      <w:r>
        <w:rPr>
          <w:color w:val="auto"/>
          <w:highlight w:val="none"/>
        </w:rPr>
        <w:fldChar w:fldCharType="separate"/>
      </w:r>
      <w:r>
        <w:rPr>
          <w:rStyle w:val="859"/>
          <w:rFonts w:ascii="Times New Roman" w:hAnsi="Times New Roman"/>
          <w:b/>
          <w:bCs/>
          <w:color w:val="auto"/>
          <w:highlight w:val="none"/>
        </w:rPr>
        <w:t xml:space="preserve">附件5 </w:t>
      </w:r>
      <w:r>
        <w:rPr>
          <w:rStyle w:val="859"/>
          <w:rFonts w:ascii="Times New Roman" w:hAnsi="Times New Roman"/>
          <w:b/>
          <w:color w:val="auto"/>
          <w:highlight w:val="none"/>
          <w:lang w:bidi="ar"/>
        </w:rPr>
        <w:t xml:space="preserve">质量保证及售后服务</w:t>
      </w:r>
      <w:r>
        <w:rPr>
          <w:color w:val="auto"/>
          <w:highlight w:val="none"/>
        </w:rPr>
        <w:tab/>
      </w:r>
      <w:r>
        <w:rPr>
          <w:color w:val="auto"/>
          <w:highlight w:val="none"/>
        </w:rPr>
        <w:fldChar w:fldCharType="begin"/>
      </w:r>
      <w:r>
        <w:rPr>
          <w:color w:val="auto"/>
          <w:highlight w:val="none"/>
        </w:rPr>
        <w:instrText xml:space="preserve"> PAGEREF _Toc239671974 \h </w:instrText>
      </w:r>
      <w:r>
        <w:rPr>
          <w:color w:val="auto"/>
          <w:highlight w:val="none"/>
        </w:rPr>
        <w:fldChar w:fldCharType="separate"/>
      </w:r>
      <w:r>
        <w:rPr>
          <w:color w:val="auto"/>
          <w:highlight w:val="none"/>
        </w:rPr>
        <w:t xml:space="preserve">52</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"_Toc239671975" </w:instrText>
      </w:r>
      <w:r>
        <w:rPr>
          <w:color w:val="auto"/>
          <w:highlight w:val="none"/>
        </w:rPr>
        <w:fldChar w:fldCharType="separate"/>
      </w:r>
      <w:r>
        <w:rPr>
          <w:rStyle w:val="859"/>
          <w:rFonts w:ascii="Times New Roman" w:hAnsi="Times New Roman"/>
          <w:b/>
          <w:bCs/>
          <w:color w:val="auto"/>
          <w:highlight w:val="none"/>
        </w:rPr>
        <w:t xml:space="preserve">附件6 业绩一览表</w:t>
      </w:r>
      <w:r>
        <w:rPr>
          <w:color w:val="auto"/>
          <w:highlight w:val="none"/>
        </w:rPr>
        <w:tab/>
      </w:r>
      <w:r>
        <w:rPr>
          <w:color w:val="auto"/>
          <w:highlight w:val="none"/>
        </w:rPr>
        <w:fldChar w:fldCharType="begin"/>
      </w:r>
      <w:r>
        <w:rPr>
          <w:color w:val="auto"/>
          <w:highlight w:val="none"/>
        </w:rPr>
        <w:instrText xml:space="preserve"> PAGEREF _Toc239671975 \h </w:instrText>
      </w:r>
      <w:r>
        <w:rPr>
          <w:color w:val="auto"/>
          <w:highlight w:val="none"/>
        </w:rPr>
        <w:fldChar w:fldCharType="separate"/>
      </w:r>
      <w:r>
        <w:rPr>
          <w:color w:val="auto"/>
          <w:highlight w:val="none"/>
        </w:rPr>
        <w:t xml:space="preserve">53</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"_Toc239671976" </w:instrText>
      </w:r>
      <w:r>
        <w:rPr>
          <w:color w:val="auto"/>
          <w:highlight w:val="none"/>
        </w:rPr>
        <w:fldChar w:fldCharType="separate"/>
      </w:r>
      <w:r>
        <w:rPr>
          <w:rStyle w:val="859"/>
          <w:rFonts w:ascii="Times New Roman" w:hAnsi="Times New Roman"/>
          <w:b/>
          <w:bCs/>
          <w:color w:val="auto"/>
          <w:highlight w:val="none"/>
        </w:rPr>
        <w:t xml:space="preserve">附件7 商务要求响应及偏离表</w:t>
      </w:r>
      <w:r>
        <w:rPr>
          <w:color w:val="auto"/>
          <w:highlight w:val="none"/>
        </w:rPr>
        <w:tab/>
      </w:r>
      <w:r>
        <w:rPr>
          <w:color w:val="auto"/>
          <w:highlight w:val="none"/>
        </w:rPr>
        <w:fldChar w:fldCharType="begin"/>
      </w:r>
      <w:r>
        <w:rPr>
          <w:color w:val="auto"/>
          <w:highlight w:val="none"/>
        </w:rPr>
        <w:instrText xml:space="preserve"> PAGEREF _Toc239671976 \h </w:instrText>
      </w:r>
      <w:r>
        <w:rPr>
          <w:color w:val="auto"/>
          <w:highlight w:val="none"/>
        </w:rPr>
        <w:fldChar w:fldCharType="separate"/>
      </w:r>
      <w:r>
        <w:rPr>
          <w:color w:val="auto"/>
          <w:highlight w:val="none"/>
        </w:rPr>
        <w:t xml:space="preserve">54</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"_Toc239671977" </w:instrText>
      </w:r>
      <w:r>
        <w:rPr>
          <w:color w:val="auto"/>
          <w:highlight w:val="none"/>
        </w:rPr>
        <w:fldChar w:fldCharType="separate"/>
      </w:r>
      <w:r>
        <w:rPr>
          <w:rStyle w:val="859"/>
          <w:rFonts w:ascii="Times New Roman" w:hAnsi="Times New Roman"/>
          <w:b/>
          <w:bCs/>
          <w:color w:val="auto"/>
          <w:highlight w:val="none"/>
        </w:rPr>
        <w:t xml:space="preserve">附件8 其他</w:t>
      </w:r>
      <w:r>
        <w:rPr>
          <w:color w:val="auto"/>
          <w:highlight w:val="none"/>
        </w:rPr>
        <w:tab/>
      </w:r>
      <w:r>
        <w:rPr>
          <w:color w:val="auto"/>
          <w:highlight w:val="none"/>
        </w:rPr>
        <w:fldChar w:fldCharType="begin"/>
      </w:r>
      <w:r>
        <w:rPr>
          <w:color w:val="auto"/>
          <w:highlight w:val="none"/>
        </w:rPr>
        <w:instrText xml:space="preserve"> PAGEREF _Toc239671977 \h </w:instrText>
      </w:r>
      <w:r>
        <w:rPr>
          <w:color w:val="auto"/>
          <w:highlight w:val="none"/>
        </w:rPr>
        <w:fldChar w:fldCharType="separate"/>
      </w:r>
      <w:r>
        <w:rPr>
          <w:color w:val="auto"/>
          <w:highlight w:val="none"/>
        </w:rPr>
        <w:t xml:space="preserve">55</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"_Toc239671978" </w:instrText>
      </w:r>
      <w:r>
        <w:rPr>
          <w:color w:val="auto"/>
          <w:highlight w:val="none"/>
        </w:rPr>
        <w:fldChar w:fldCharType="separate"/>
      </w:r>
      <w:r>
        <w:rPr>
          <w:rStyle w:val="859"/>
          <w:rFonts w:ascii="Times New Roman" w:hAnsi="Times New Roman"/>
          <w:b/>
          <w:bCs/>
          <w:color w:val="auto"/>
          <w:highlight w:val="none"/>
        </w:rPr>
        <w:t xml:space="preserve">附件9 具备履行合同所必需的设备和专业技术能力的书面声明</w:t>
      </w:r>
      <w:r>
        <w:rPr>
          <w:color w:val="auto"/>
          <w:highlight w:val="none"/>
        </w:rPr>
        <w:tab/>
      </w:r>
      <w:r>
        <w:rPr>
          <w:color w:val="auto"/>
          <w:highlight w:val="none"/>
        </w:rPr>
        <w:fldChar w:fldCharType="begin"/>
      </w:r>
      <w:r>
        <w:rPr>
          <w:color w:val="auto"/>
          <w:highlight w:val="none"/>
        </w:rPr>
        <w:instrText xml:space="preserve"> PAGEREF _Toc239671978 \h </w:instrText>
      </w:r>
      <w:r>
        <w:rPr>
          <w:color w:val="auto"/>
          <w:highlight w:val="none"/>
        </w:rPr>
        <w:fldChar w:fldCharType="separate"/>
      </w:r>
      <w:r>
        <w:rPr>
          <w:color w:val="auto"/>
          <w:highlight w:val="none"/>
        </w:rPr>
        <w:t xml:space="preserve">56</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"_Toc239671979" </w:instrText>
      </w:r>
      <w:r>
        <w:rPr>
          <w:color w:val="auto"/>
          <w:highlight w:val="none"/>
        </w:rPr>
        <w:fldChar w:fldCharType="separate"/>
      </w:r>
      <w:r>
        <w:rPr>
          <w:rStyle w:val="859"/>
          <w:rFonts w:ascii="Times New Roman" w:hAnsi="Times New Roman"/>
          <w:b/>
          <w:bCs/>
          <w:color w:val="auto"/>
          <w:highlight w:val="none"/>
        </w:rPr>
        <w:t xml:space="preserve">附件10 参加政府采购活动前 3 年内在经营活动中没有重大违法记录的书面声明</w:t>
      </w:r>
      <w:r>
        <w:rPr>
          <w:color w:val="auto"/>
          <w:highlight w:val="none"/>
        </w:rPr>
        <w:tab/>
      </w:r>
      <w:r>
        <w:rPr>
          <w:color w:val="auto"/>
          <w:highlight w:val="none"/>
        </w:rPr>
        <w:fldChar w:fldCharType="begin"/>
      </w:r>
      <w:r>
        <w:rPr>
          <w:color w:val="auto"/>
          <w:highlight w:val="none"/>
        </w:rPr>
        <w:instrText xml:space="preserve"> PAGEREF _Toc239671979 \h </w:instrText>
      </w:r>
      <w:r>
        <w:rPr>
          <w:color w:val="auto"/>
          <w:highlight w:val="none"/>
        </w:rPr>
        <w:fldChar w:fldCharType="separate"/>
      </w:r>
      <w:r>
        <w:rPr>
          <w:color w:val="auto"/>
          <w:highlight w:val="none"/>
        </w:rPr>
        <w:t xml:space="preserve">57</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"_Toc239671980" </w:instrText>
      </w:r>
      <w:r>
        <w:rPr>
          <w:color w:val="auto"/>
          <w:highlight w:val="none"/>
        </w:rPr>
        <w:fldChar w:fldCharType="separate"/>
      </w:r>
      <w:r>
        <w:rPr>
          <w:rStyle w:val="859"/>
          <w:rFonts w:ascii="Times New Roman" w:hAnsi="Times New Roman"/>
          <w:b/>
          <w:bCs/>
          <w:color w:val="auto"/>
          <w:highlight w:val="none"/>
        </w:rPr>
        <w:t xml:space="preserve">附件11 法人授权书</w:t>
      </w:r>
      <w:r>
        <w:rPr>
          <w:color w:val="auto"/>
          <w:highlight w:val="none"/>
        </w:rPr>
        <w:tab/>
      </w:r>
      <w:r>
        <w:rPr>
          <w:color w:val="auto"/>
          <w:highlight w:val="none"/>
        </w:rPr>
        <w:fldChar w:fldCharType="begin"/>
      </w:r>
      <w:r>
        <w:rPr>
          <w:color w:val="auto"/>
          <w:highlight w:val="none"/>
        </w:rPr>
        <w:instrText xml:space="preserve"> PAGEREF _Toc239671980 \h </w:instrText>
      </w:r>
      <w:r>
        <w:rPr>
          <w:color w:val="auto"/>
          <w:highlight w:val="none"/>
        </w:rPr>
        <w:fldChar w:fldCharType="separate"/>
      </w:r>
      <w:r>
        <w:rPr>
          <w:color w:val="auto"/>
          <w:highlight w:val="none"/>
        </w:rPr>
        <w:t xml:space="preserve">58</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"_Toc239671981" </w:instrText>
      </w:r>
      <w:r>
        <w:rPr>
          <w:color w:val="auto"/>
          <w:highlight w:val="none"/>
        </w:rPr>
        <w:fldChar w:fldCharType="separate"/>
      </w:r>
      <w:r>
        <w:rPr>
          <w:rStyle w:val="859"/>
          <w:rFonts w:ascii="Times New Roman" w:hAnsi="Times New Roman"/>
          <w:b/>
          <w:bCs/>
          <w:color w:val="auto"/>
          <w:highlight w:val="none"/>
        </w:rPr>
        <w:t xml:space="preserve">附件12 中小企业声明函</w:t>
      </w:r>
      <w:r>
        <w:rPr>
          <w:color w:val="auto"/>
          <w:highlight w:val="none"/>
        </w:rPr>
        <w:tab/>
      </w:r>
      <w:r>
        <w:rPr>
          <w:color w:val="auto"/>
          <w:highlight w:val="none"/>
        </w:rPr>
        <w:fldChar w:fldCharType="begin"/>
      </w:r>
      <w:r>
        <w:rPr>
          <w:color w:val="auto"/>
          <w:highlight w:val="none"/>
        </w:rPr>
        <w:instrText xml:space="preserve"> PAGEREF _Toc239671981 \h </w:instrText>
      </w:r>
      <w:r>
        <w:rPr>
          <w:color w:val="auto"/>
          <w:highlight w:val="none"/>
        </w:rPr>
        <w:fldChar w:fldCharType="separate"/>
      </w:r>
      <w:r>
        <w:rPr>
          <w:color w:val="auto"/>
          <w:highlight w:val="none"/>
        </w:rPr>
        <w:t xml:space="preserve">59</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"_Toc239671982" </w:instrText>
      </w:r>
      <w:r>
        <w:rPr>
          <w:color w:val="auto"/>
          <w:highlight w:val="none"/>
        </w:rPr>
        <w:fldChar w:fldCharType="separate"/>
      </w:r>
      <w:r>
        <w:rPr>
          <w:rStyle w:val="859"/>
          <w:rFonts w:ascii="Times New Roman" w:hAnsi="Times New Roman"/>
          <w:b/>
          <w:bCs/>
          <w:color w:val="auto"/>
          <w:highlight w:val="none"/>
        </w:rPr>
        <w:t xml:space="preserve">附件13 残疾人福利性单位声明函</w:t>
      </w:r>
      <w:r>
        <w:rPr>
          <w:color w:val="auto"/>
          <w:highlight w:val="none"/>
        </w:rPr>
        <w:tab/>
      </w:r>
      <w:r>
        <w:rPr>
          <w:color w:val="auto"/>
          <w:highlight w:val="none"/>
        </w:rPr>
        <w:fldChar w:fldCharType="begin"/>
      </w:r>
      <w:r>
        <w:rPr>
          <w:color w:val="auto"/>
          <w:highlight w:val="none"/>
        </w:rPr>
        <w:instrText xml:space="preserve"> PAGEREF _Toc239671982 \h </w:instrText>
      </w:r>
      <w:r>
        <w:rPr>
          <w:color w:val="auto"/>
          <w:highlight w:val="none"/>
        </w:rPr>
        <w:fldChar w:fldCharType="separate"/>
      </w:r>
      <w:r>
        <w:rPr>
          <w:color w:val="auto"/>
          <w:highlight w:val="none"/>
        </w:rPr>
        <w:t xml:space="preserve">63</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"_Toc239671983" </w:instrText>
      </w:r>
      <w:r>
        <w:rPr>
          <w:color w:val="auto"/>
          <w:highlight w:val="none"/>
        </w:rPr>
        <w:fldChar w:fldCharType="separate"/>
      </w:r>
      <w:r>
        <w:rPr>
          <w:rStyle w:val="859"/>
          <w:rFonts w:ascii="Times New Roman" w:hAnsi="Times New Roman"/>
          <w:b/>
          <w:bCs/>
          <w:color w:val="auto"/>
          <w:highlight w:val="none"/>
        </w:rPr>
        <w:t xml:space="preserve">附件14 投标函</w:t>
      </w:r>
      <w:r>
        <w:rPr>
          <w:color w:val="auto"/>
          <w:highlight w:val="none"/>
        </w:rPr>
        <w:tab/>
      </w:r>
      <w:r>
        <w:rPr>
          <w:color w:val="auto"/>
          <w:highlight w:val="none"/>
        </w:rPr>
        <w:fldChar w:fldCharType="begin"/>
      </w:r>
      <w:r>
        <w:rPr>
          <w:color w:val="auto"/>
          <w:highlight w:val="none"/>
        </w:rPr>
        <w:instrText xml:space="preserve"> PAGEREF _Toc239671983 \h </w:instrText>
      </w:r>
      <w:r>
        <w:rPr>
          <w:color w:val="auto"/>
          <w:highlight w:val="none"/>
        </w:rPr>
        <w:fldChar w:fldCharType="separate"/>
      </w:r>
      <w:r>
        <w:rPr>
          <w:color w:val="auto"/>
          <w:highlight w:val="none"/>
        </w:rPr>
        <w:t xml:space="preserve">64</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"_Toc239671984" </w:instrText>
      </w:r>
      <w:r>
        <w:rPr>
          <w:color w:val="auto"/>
          <w:highlight w:val="none"/>
        </w:rPr>
        <w:fldChar w:fldCharType="separate"/>
      </w:r>
      <w:r>
        <w:rPr>
          <w:rStyle w:val="859"/>
          <w:rFonts w:ascii="Times New Roman" w:hAnsi="Times New Roman"/>
          <w:b/>
          <w:bCs/>
          <w:color w:val="auto"/>
          <w:highlight w:val="none"/>
        </w:rPr>
        <w:t xml:space="preserve">附件15 实质性要求响应及偏离表</w:t>
      </w:r>
      <w:r>
        <w:rPr>
          <w:color w:val="auto"/>
          <w:highlight w:val="none"/>
        </w:rPr>
        <w:tab/>
      </w:r>
      <w:r>
        <w:rPr>
          <w:color w:val="auto"/>
          <w:highlight w:val="none"/>
        </w:rPr>
        <w:fldChar w:fldCharType="begin"/>
      </w:r>
      <w:r>
        <w:rPr>
          <w:color w:val="auto"/>
          <w:highlight w:val="none"/>
        </w:rPr>
        <w:instrText xml:space="preserve"> PAGEREF _Toc239671984 \h </w:instrText>
      </w:r>
      <w:r>
        <w:rPr>
          <w:color w:val="auto"/>
          <w:highlight w:val="none"/>
        </w:rPr>
        <w:fldChar w:fldCharType="separate"/>
      </w:r>
      <w:r>
        <w:rPr>
          <w:color w:val="auto"/>
          <w:highlight w:val="none"/>
        </w:rPr>
        <w:t xml:space="preserve">65</w:t>
      </w:r>
      <w:r>
        <w:rPr>
          <w:color w:val="auto"/>
          <w:highlight w:val="none"/>
        </w:rPr>
        <w:fldChar w:fldCharType="end"/>
      </w:r>
      <w:r>
        <w:rPr>
          <w:color w:val="auto"/>
          <w:highlight w:val="none"/>
        </w:rPr>
        <w:fldChar w:fldCharType="end"/>
      </w:r>
      <w:r/>
    </w:p>
    <w:p>
      <w:pPr>
        <w:pStyle w:val="846"/>
        <w:tabs>
          <w:tab w:val="right" w:pos="10456"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"_Toc239671985" </w:instrText>
      </w:r>
      <w:r>
        <w:rPr>
          <w:color w:val="auto"/>
          <w:highlight w:val="none"/>
        </w:rPr>
        <w:fldChar w:fldCharType="separate"/>
      </w:r>
      <w:r>
        <w:rPr>
          <w:rStyle w:val="859"/>
          <w:rFonts w:ascii="Times New Roman" w:hAnsi="Times New Roman"/>
          <w:b/>
          <w:bCs/>
          <w:color w:val="auto"/>
          <w:highlight w:val="none"/>
        </w:rPr>
        <w:t xml:space="preserve">附件16 关于符合本国产品标准的声明函</w:t>
      </w:r>
      <w:r>
        <w:rPr>
          <w:color w:val="auto"/>
          <w:highlight w:val="none"/>
        </w:rPr>
        <w:tab/>
      </w:r>
      <w:r>
        <w:rPr>
          <w:color w:val="auto"/>
          <w:highlight w:val="none"/>
        </w:rPr>
        <w:fldChar w:fldCharType="begin"/>
      </w:r>
      <w:r>
        <w:rPr>
          <w:color w:val="auto"/>
          <w:highlight w:val="none"/>
        </w:rPr>
        <w:instrText xml:space="preserve"> PAGEREF _Toc239671985 \h </w:instrText>
      </w:r>
      <w:r>
        <w:rPr>
          <w:color w:val="auto"/>
          <w:highlight w:val="none"/>
        </w:rPr>
        <w:fldChar w:fldCharType="separate"/>
      </w:r>
      <w:r>
        <w:rPr>
          <w:color w:val="auto"/>
          <w:highlight w:val="none"/>
        </w:rPr>
        <w:t xml:space="preserve">66</w:t>
      </w:r>
      <w:r>
        <w:rPr>
          <w:color w:val="auto"/>
          <w:highlight w:val="none"/>
        </w:rPr>
        <w:fldChar w:fldCharType="end"/>
      </w:r>
      <w:r>
        <w:rPr>
          <w:color w:val="auto"/>
          <w:highlight w:val="none"/>
        </w:rPr>
        <w:fldChar w:fldCharType="end"/>
      </w:r>
      <w:r/>
    </w:p>
    <w:p>
      <w:pPr>
        <w:jc w:val="left"/>
        <w:spacing w:line="440" w:lineRule="exact"/>
        <w:rPr>
          <w:rFonts w:ascii="Times New Roman" w:hAnsi="Times New Roman"/>
          <w:caps/>
          <w:color w:val="auto"/>
          <w:sz w:val="24"/>
          <w:szCs w:val="24"/>
          <w:highlight w:val="none"/>
        </w:rPr>
      </w:pPr>
      <w:r>
        <w:rPr>
          <w:rFonts w:ascii="Times New Roman" w:hAnsi="Times New Roman"/>
          <w:caps/>
          <w:color w:val="auto"/>
          <w:szCs w:val="24"/>
          <w:highlight w:val="none"/>
        </w:rPr>
        <w:fldChar w:fldCharType="end"/>
      </w:r>
      <w:r/>
    </w:p>
    <w:p>
      <w:pPr>
        <w:ind w:firstLine="880"/>
        <w:jc w:val="center"/>
        <w:rPr>
          <w:rFonts w:ascii="黑体" w:hAnsi="Times New Roman" w:eastAsia="黑体"/>
          <w:color w:val="auto"/>
          <w:sz w:val="44"/>
          <w:szCs w:val="44"/>
          <w:highlight w:val="none"/>
        </w:rPr>
        <w:sectPr>
          <w:footerReference w:type="default" r:id="rId12"/>
          <w:footerReference w:type="first" r:id="rId13"/>
          <w:footnotePr/>
          <w:endnotePr/>
          <w:type w:val="nextPage"/>
          <w:pgSz w:w="11906" w:h="16838" w:orient="portrait"/>
          <w:pgMar w:top="771" w:right="720" w:bottom="993" w:left="720" w:header="231" w:footer="452" w:gutter="0"/>
          <w:cols w:num="1" w:sep="0" w:space="720" w:equalWidth="1"/>
          <w:docGrid w:linePitch="360"/>
          <w:titlePg/>
        </w:sectPr>
        <w:outlineLvl w:val="0"/>
      </w:pPr>
      <w:r/>
      <w:bookmarkStart w:id="6" w:name="_Toc1234"/>
      <w:r/>
      <w:bookmarkStart w:id="7" w:name="_Toc16473"/>
      <w:r/>
      <w:bookmarkStart w:id="8" w:name="_Toc17177"/>
      <w:r/>
      <w:r/>
    </w:p>
    <w:p>
      <w:pPr>
        <w:ind w:firstLine="880"/>
        <w:jc w:val="center"/>
        <w:rPr>
          <w:rFonts w:ascii="黑体" w:hAnsi="Times New Roman" w:eastAsia="黑体"/>
          <w:bCs/>
          <w:color w:val="auto"/>
          <w:sz w:val="44"/>
          <w:szCs w:val="44"/>
          <w:highlight w:val="none"/>
        </w:rPr>
        <w:outlineLvl w:val="0"/>
      </w:pPr>
      <w:r/>
      <w:bookmarkStart w:id="9" w:name="_Toc239671886"/>
      <w:r>
        <w:rPr>
          <w:rFonts w:hint="eastAsia" w:ascii="黑体" w:hAnsi="Times New Roman" w:eastAsia="黑体"/>
          <w:color w:val="auto"/>
          <w:sz w:val="44"/>
          <w:szCs w:val="44"/>
          <w:highlight w:val="none"/>
        </w:rPr>
        <w:t xml:space="preserve">第一章  </w:t>
      </w:r>
      <w:bookmarkEnd w:id="0"/>
      <w:r>
        <w:rPr>
          <w:rFonts w:hint="eastAsia" w:ascii="黑体" w:hAnsi="Times New Roman" w:eastAsia="黑体"/>
          <w:color w:val="auto"/>
          <w:sz w:val="44"/>
          <w:szCs w:val="44"/>
          <w:highlight w:val="none"/>
        </w:rPr>
        <w:t xml:space="preserve">投标邀请</w:t>
      </w:r>
      <w:bookmarkEnd w:id="6"/>
      <w:r/>
      <w:bookmarkEnd w:id="7"/>
      <w:r/>
      <w:bookmarkEnd w:id="8"/>
      <w:r/>
      <w:bookmarkEnd w:id="9"/>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受常熟市水利工程建设管理中心的委托，苏州新一造价师价格事务所有限公司就昆承湖幸福河湖建设信息化设备(</w:t>
      </w:r>
      <w:r>
        <w:rPr>
          <w:rFonts w:hint="eastAsia" w:ascii="Times New Roman" w:hAnsi="Times New Roman"/>
          <w:color w:val="auto"/>
          <w:sz w:val="24"/>
          <w:szCs w:val="24"/>
          <w:highlight w:val="none"/>
        </w:rPr>
        <w:t xml:space="preserve">JSZC-320581-SZXY-G2026-0038</w:t>
      </w:r>
      <w:r>
        <w:rPr>
          <w:rFonts w:hint="eastAsia" w:ascii="宋体" w:hAnsi="宋体"/>
          <w:color w:val="auto"/>
          <w:sz w:val="24"/>
          <w:szCs w:val="24"/>
          <w:highlight w:val="none"/>
        </w:rPr>
        <w:t xml:space="preserve">)项目进行公开招标采购，欢迎符合条件的供应商投标。</w:t>
      </w:r>
      <w:r/>
    </w:p>
    <w:p>
      <w:pPr>
        <w:ind w:firstLine="480"/>
        <w:spacing w:line="460" w:lineRule="exact"/>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460" w:lineRule="exact"/>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rPr>
        <w:t xml:space="preserve">昆承湖幸福河湖建设信息化设备</w:t>
      </w:r>
      <w:r>
        <w:rPr>
          <w:rFonts w:hint="eastAsia" w:ascii="Times New Roman" w:hAnsi="Times New Roman"/>
          <w:color w:val="auto"/>
          <w:sz w:val="24"/>
          <w:szCs w:val="24"/>
          <w:highlight w:val="none"/>
        </w:rPr>
        <w:t xml:space="preserve">招标项目的潜在投标人应在“</w:t>
      </w:r>
      <w:r>
        <w:rPr>
          <w:rFonts w:ascii="Times New Roman" w:hAnsi="Times New Roman"/>
          <w:color w:val="auto"/>
          <w:sz w:val="24"/>
          <w:szCs w:val="24"/>
          <w:highlight w:val="none"/>
        </w:rPr>
        <w:t xml:space="preserve">苏采云政府采购一体化平台</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中参与项目</w:t>
      </w:r>
      <w:r>
        <w:rPr>
          <w:rFonts w:hint="eastAsia" w:ascii="Times New Roman" w:hAnsi="Times New Roman"/>
          <w:color w:val="auto"/>
          <w:sz w:val="24"/>
          <w:szCs w:val="24"/>
          <w:highlight w:val="none"/>
        </w:rPr>
        <w:t xml:space="preserve">获取招标文件，并于</w:t>
      </w:r>
      <w:r>
        <w:rPr>
          <w:rFonts w:hint="eastAsia" w:ascii="Times New Roman" w:hAnsi="Times New Roman"/>
          <w:color w:val="auto"/>
          <w:sz w:val="24"/>
          <w:szCs w:val="21"/>
          <w:highlight w:val="none"/>
          <w:u w:val="single"/>
        </w:rPr>
        <w:t xml:space="preserve">2026</w:t>
      </w:r>
      <w:r>
        <w:rPr>
          <w:rFonts w:ascii="Times New Roman" w:hAnsi="Times New Roman"/>
          <w:color w:val="auto"/>
          <w:sz w:val="24"/>
          <w:szCs w:val="21"/>
          <w:highlight w:val="none"/>
          <w:u w:val="single"/>
        </w:rPr>
        <w:t xml:space="preserve">年</w:t>
      </w:r>
      <w:r>
        <w:rPr>
          <w:rFonts w:hint="eastAsia" w:ascii="Times New Roman" w:hAnsi="Times New Roman"/>
          <w:color w:val="auto"/>
          <w:sz w:val="24"/>
          <w:szCs w:val="21"/>
          <w:highlight w:val="none"/>
          <w:u w:val="single"/>
        </w:rPr>
        <w:t xml:space="preserve">9月29日09点00分（北京时间）</w:t>
      </w:r>
      <w:r>
        <w:rPr>
          <w:rFonts w:hint="eastAsia" w:hAnsi="宋体"/>
          <w:color w:val="auto"/>
          <w:sz w:val="24"/>
          <w:szCs w:val="21"/>
          <w:highlight w:val="none"/>
        </w:rPr>
        <w:t xml:space="preserve">前按规定提交投标</w:t>
      </w:r>
      <w:r>
        <w:rPr>
          <w:rFonts w:hAnsi="宋体"/>
          <w:color w:val="auto"/>
          <w:sz w:val="24"/>
          <w:szCs w:val="21"/>
          <w:highlight w:val="none"/>
        </w:rPr>
        <w:t xml:space="preserve">文件</w:t>
      </w:r>
      <w:r>
        <w:rPr>
          <w:rFonts w:hint="eastAsia" w:hAnsi="宋体"/>
          <w:color w:val="auto"/>
          <w:sz w:val="24"/>
          <w:szCs w:val="21"/>
          <w:highlight w:val="none"/>
        </w:rPr>
        <w:t xml:space="preserve">。</w:t>
      </w:r>
      <w:r/>
    </w:p>
    <w:p>
      <w:pPr>
        <w:ind w:firstLine="482"/>
        <w:spacing w:line="440" w:lineRule="exact"/>
        <w:rPr>
          <w:rFonts w:ascii="Times New Roman" w:hAnsi="Times New Roman"/>
          <w:b/>
          <w:bCs/>
          <w:color w:val="auto"/>
          <w:sz w:val="24"/>
          <w:szCs w:val="24"/>
          <w:highlight w:val="none"/>
        </w:rPr>
        <w:outlineLvl w:val="1"/>
      </w:pPr>
      <w:r/>
      <w:bookmarkStart w:id="10" w:name="_Toc239671887"/>
      <w:r/>
      <w:bookmarkStart w:id="11" w:name="_Toc38985263"/>
      <w:r/>
      <w:bookmarkStart w:id="12" w:name="_Toc28359002"/>
      <w:r/>
      <w:bookmarkStart w:id="13" w:name="_Toc3672"/>
      <w:r/>
      <w:bookmarkStart w:id="14" w:name="_Toc21970"/>
      <w:r/>
      <w:bookmarkStart w:id="15" w:name="_Toc35393621"/>
      <w:r/>
      <w:bookmarkStart w:id="16" w:name="_Toc4661"/>
      <w:r/>
      <w:bookmarkStart w:id="17" w:name="_Toc28359079"/>
      <w:r/>
      <w:bookmarkStart w:id="18" w:name="_Toc35393790"/>
      <w:r/>
      <w:bookmarkStart w:id="19" w:name="_Hlk24379207"/>
      <w:r>
        <w:rPr>
          <w:rFonts w:ascii="Times New Roman" w:hAnsi="Times New Roman"/>
          <w:b/>
          <w:bCs/>
          <w:color w:val="auto"/>
          <w:sz w:val="24"/>
          <w:szCs w:val="24"/>
          <w:highlight w:val="none"/>
        </w:rPr>
        <w:t xml:space="preserve">一、项目基本情况</w:t>
      </w:r>
      <w:bookmarkEnd w:id="10"/>
      <w:r/>
      <w:bookmarkEnd w:id="11"/>
      <w:r/>
      <w:bookmarkEnd w:id="12"/>
      <w:r/>
      <w:bookmarkEnd w:id="13"/>
      <w:r/>
      <w:bookmarkEnd w:id="14"/>
      <w:r/>
      <w:bookmarkEnd w:id="15"/>
      <w:r/>
      <w:bookmarkEnd w:id="16"/>
      <w:r/>
      <w:bookmarkEnd w:id="17"/>
      <w:r/>
      <w:bookmarkEnd w:id="18"/>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项目编号：JSZC-320581-SZXY-G2026-0038</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项目名称：昆承湖幸福河湖建设信息化设备</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采购方式：公开招标</w:t>
      </w:r>
      <w:bookmarkEnd w:id="19"/>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预算金额：人民币326.00万元</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最高限价（如有）：</w:t>
      </w:r>
      <w:bookmarkStart w:id="20" w:name="_Toc28359080"/>
      <w:r/>
      <w:bookmarkStart w:id="21" w:name="_Toc35393791"/>
      <w:r/>
      <w:bookmarkStart w:id="22" w:name="_Toc38985264"/>
      <w:r/>
      <w:bookmarkStart w:id="23" w:name="_Toc35393622"/>
      <w:r/>
      <w:bookmarkStart w:id="24" w:name="_Toc28359003"/>
      <w:r>
        <w:rPr>
          <w:rFonts w:hint="eastAsia" w:ascii="宋体" w:hAnsi="宋体"/>
          <w:color w:val="auto"/>
          <w:sz w:val="24"/>
          <w:szCs w:val="24"/>
          <w:highlight w:val="none"/>
        </w:rPr>
        <w:t xml:space="preserve">无</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采购需求概况：常熟市水利工程建设管理中心所需的昆承湖幸福河湖建设信息化设备，主要包括水位雨量站、流量站、闸门开度监测站、视频监测站等设备的供货、安装调试等工作。</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合同履行期限：签订合同后，在接到书面进场通知</w:t>
      </w:r>
      <w:r>
        <w:rPr>
          <w:rFonts w:hint="eastAsia" w:ascii="宋体" w:hAnsi="宋体" w:cs="宋体"/>
          <w:color w:val="auto"/>
          <w:sz w:val="24"/>
          <w:szCs w:val="24"/>
          <w:highlight w:val="none"/>
        </w:rPr>
        <w:t xml:space="preserve">40日历天内</w:t>
      </w:r>
      <w:r>
        <w:rPr>
          <w:rFonts w:hint="eastAsia" w:ascii="宋体" w:hAnsi="宋体"/>
          <w:color w:val="auto"/>
          <w:sz w:val="24"/>
          <w:szCs w:val="24"/>
          <w:highlight w:val="none"/>
        </w:rPr>
        <w:t xml:space="preserve">（包括节假日在内）向采购人交付合同约定的货物，并完成安装、调试、验收合格，交付采购人使用。</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本项目不接受联合体投标。</w:t>
      </w:r>
      <w:bookmarkEnd w:id="20"/>
      <w:r/>
      <w:bookmarkEnd w:id="21"/>
      <w:r/>
      <w:bookmarkEnd w:id="22"/>
      <w:r/>
      <w:bookmarkEnd w:id="23"/>
      <w:r/>
      <w:bookmarkEnd w:id="24"/>
      <w:r/>
      <w:r/>
    </w:p>
    <w:p>
      <w:pPr>
        <w:ind w:firstLine="482"/>
        <w:spacing w:line="440" w:lineRule="exact"/>
        <w:rPr>
          <w:rFonts w:ascii="Times New Roman" w:hAnsi="Times New Roman"/>
          <w:b/>
          <w:bCs/>
          <w:color w:val="auto"/>
          <w:sz w:val="24"/>
          <w:szCs w:val="24"/>
          <w:highlight w:val="none"/>
        </w:rPr>
        <w:outlineLvl w:val="1"/>
      </w:pPr>
      <w:r/>
      <w:bookmarkStart w:id="25" w:name="_Toc239671888"/>
      <w:r/>
      <w:bookmarkStart w:id="26" w:name="_Toc20955"/>
      <w:r/>
      <w:bookmarkStart w:id="27" w:name="_Toc32260"/>
      <w:r/>
      <w:bookmarkStart w:id="28" w:name="_Toc25841"/>
      <w:r/>
      <w:bookmarkStart w:id="29" w:name="_Toc21588"/>
      <w:r/>
      <w:bookmarkStart w:id="30" w:name="_Toc35393792"/>
      <w:r/>
      <w:bookmarkStart w:id="31" w:name="_Toc28359004"/>
      <w:r/>
      <w:bookmarkStart w:id="32" w:name="_Toc28359081"/>
      <w:r/>
      <w:bookmarkStart w:id="33" w:name="_Toc38985265"/>
      <w:r/>
      <w:bookmarkStart w:id="34" w:name="_Toc35393623"/>
      <w:r>
        <w:rPr>
          <w:rFonts w:hint="eastAsia" w:ascii="Times New Roman" w:hAnsi="Times New Roman"/>
          <w:b/>
          <w:bCs/>
          <w:color w:val="auto"/>
          <w:sz w:val="24"/>
          <w:szCs w:val="24"/>
          <w:highlight w:val="none"/>
        </w:rPr>
        <w:t xml:space="preserve">二、申请人的资格要求</w:t>
      </w:r>
      <w:bookmarkEnd w:id="25"/>
      <w:r/>
      <w:bookmarkEnd w:id="26"/>
      <w:r/>
      <w:bookmarkEnd w:id="27"/>
      <w:r/>
      <w:bookmarkEnd w:id="28"/>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（一）满足《中华人民共和国政府采购法》第二十二条规定；</w:t>
      </w:r>
      <w:r/>
    </w:p>
    <w:p>
      <w:pPr>
        <w:ind w:firstLine="787"/>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1、具有独立承担民事责任的能力。（法人或者其他组织的营业执照等证明文件）</w:t>
      </w:r>
      <w:r/>
    </w:p>
    <w:p>
      <w:pPr>
        <w:ind w:firstLine="787"/>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2、具有良好的商业信誉和健全的财务会计制度。（提供最近一期的财务报告（财务报表）或金融机构（中介机构）出具的资信证明）</w:t>
      </w:r>
      <w:r/>
    </w:p>
    <w:p>
      <w:pPr>
        <w:ind w:firstLine="787"/>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3、具有履行合同所必需的设备和专业技术能力。（具备履行合同所必需的设备和专业技术能力的书面声明）</w:t>
      </w:r>
      <w:r/>
    </w:p>
    <w:p>
      <w:pPr>
        <w:ind w:firstLine="787"/>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4、有依法缴纳税收和社会保障资金的良好记录。（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p>
    <w:p>
      <w:pPr>
        <w:ind w:firstLine="787"/>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5、参加政府采购活动前三年内，在经营活动中没有重大违法记录。（参加政府采购活动前 3 年内在经营活动中没有重大违法记录的书面声明。）</w:t>
      </w:r>
      <w:r/>
    </w:p>
    <w:p>
      <w:pPr>
        <w:ind w:firstLine="480"/>
        <w:spacing w:line="44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（二）落实政府采购政策需满足的资格要求：</w:t>
      </w:r>
      <w:r>
        <w:rPr>
          <w:rFonts w:hint="eastAsia" w:ascii="宋体" w:hAnsi="宋体" w:cs="宋体"/>
          <w:b/>
          <w:bCs/>
          <w:color w:val="auto"/>
          <w:sz w:val="24"/>
          <w:szCs w:val="24"/>
          <w:highlight w:val="none"/>
        </w:rPr>
        <w:t xml:space="preserve">本项目非专门面向中小企业采购，所属行业为工业。</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（三）本项目的特定资格要求：无。</w:t>
      </w:r>
      <w:r/>
    </w:p>
    <w:p>
      <w:pPr>
        <w:ind w:firstLine="482"/>
        <w:spacing w:line="440" w:lineRule="exact"/>
        <w:rPr>
          <w:rFonts w:ascii="Times New Roman" w:hAnsi="Times New Roman"/>
          <w:b/>
          <w:bCs/>
          <w:color w:val="auto"/>
          <w:sz w:val="24"/>
          <w:szCs w:val="24"/>
          <w:highlight w:val="none"/>
        </w:rPr>
        <w:outlineLvl w:val="1"/>
      </w:pPr>
      <w:r/>
      <w:bookmarkStart w:id="35" w:name="_Toc25808"/>
      <w:r/>
      <w:bookmarkStart w:id="36" w:name="_Toc239671889"/>
      <w:r/>
      <w:bookmarkStart w:id="37" w:name="_Toc17182"/>
      <w:r>
        <w:rPr>
          <w:rFonts w:hint="eastAsia" w:ascii="Times New Roman" w:hAnsi="Times New Roman"/>
          <w:b/>
          <w:bCs/>
          <w:color w:val="auto"/>
          <w:sz w:val="24"/>
          <w:szCs w:val="24"/>
          <w:highlight w:val="none"/>
        </w:rPr>
        <w:t xml:space="preserve">三、获取招标文件</w:t>
      </w:r>
      <w:bookmarkEnd w:id="29"/>
      <w:r/>
      <w:bookmarkEnd w:id="30"/>
      <w:r/>
      <w:bookmarkEnd w:id="31"/>
      <w:r/>
      <w:bookmarkEnd w:id="32"/>
      <w:r/>
      <w:bookmarkEnd w:id="33"/>
      <w:r/>
      <w:bookmarkEnd w:id="34"/>
      <w:r/>
      <w:bookmarkEnd w:id="35"/>
      <w:r/>
      <w:bookmarkEnd w:id="36"/>
      <w:r/>
      <w:bookmarkEnd w:id="37"/>
      <w:r/>
      <w:bookmarkStart w:id="38" w:name="_Toc38985266"/>
      <w:r/>
      <w:bookmarkStart w:id="39" w:name="_Toc35393624"/>
      <w:r/>
      <w:bookmarkStart w:id="40" w:name="_Toc28359005"/>
      <w:r/>
      <w:bookmarkStart w:id="41" w:name="_Toc35393793"/>
      <w:r/>
      <w:bookmarkStart w:id="42" w:name="_Toc28359082"/>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时间：自招标文件公告发布之日起5个工作日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地点：苏采云政府采购一体化平台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方式：在“苏采云政府采购一体化平台”自行免费下载采购文件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售价：0.00元 </w:t>
      </w:r>
      <w:r/>
    </w:p>
    <w:p>
      <w:pPr>
        <w:ind w:firstLine="482"/>
        <w:spacing w:line="440" w:lineRule="exact"/>
        <w:rPr>
          <w:rFonts w:ascii="Times New Roman" w:hAnsi="Times New Roman"/>
          <w:b/>
          <w:bCs/>
          <w:color w:val="auto"/>
          <w:sz w:val="24"/>
          <w:szCs w:val="24"/>
          <w:highlight w:val="none"/>
        </w:rPr>
        <w:outlineLvl w:val="1"/>
      </w:pPr>
      <w:r/>
      <w:bookmarkStart w:id="43" w:name="_Toc27568"/>
      <w:r/>
      <w:bookmarkStart w:id="44" w:name="_Toc1683"/>
      <w:r/>
      <w:bookmarkStart w:id="45" w:name="_Toc239671890"/>
      <w:r/>
      <w:bookmarkStart w:id="46" w:name="_Toc5167"/>
      <w:r>
        <w:rPr>
          <w:rFonts w:hint="eastAsia" w:ascii="Times New Roman" w:hAnsi="Times New Roman"/>
          <w:b/>
          <w:bCs/>
          <w:color w:val="auto"/>
          <w:sz w:val="24"/>
          <w:szCs w:val="24"/>
          <w:highlight w:val="none"/>
        </w:rPr>
        <w:t xml:space="preserve">四、</w:t>
      </w:r>
      <w:bookmarkEnd w:id="38"/>
      <w:r/>
      <w:bookmarkEnd w:id="39"/>
      <w:r/>
      <w:bookmarkEnd w:id="40"/>
      <w:r/>
      <w:bookmarkEnd w:id="41"/>
      <w:r/>
      <w:bookmarkEnd w:id="42"/>
      <w:r>
        <w:rPr>
          <w:rFonts w:hint="eastAsia" w:ascii="Times New Roman" w:hAnsi="Times New Roman"/>
          <w:b/>
          <w:bCs/>
          <w:color w:val="auto"/>
          <w:sz w:val="24"/>
          <w:szCs w:val="24"/>
          <w:highlight w:val="none"/>
        </w:rPr>
        <w:t xml:space="preserve">提交投标文件截止时间、开标</w:t>
      </w:r>
      <w:r>
        <w:rPr>
          <w:rFonts w:ascii="Times New Roman" w:hAnsi="Times New Roman"/>
          <w:b/>
          <w:bCs/>
          <w:color w:val="auto"/>
          <w:sz w:val="24"/>
          <w:szCs w:val="24"/>
          <w:highlight w:val="none"/>
        </w:rPr>
        <w:t xml:space="preserve">时间和地点</w:t>
      </w:r>
      <w:bookmarkEnd w:id="43"/>
      <w:r/>
      <w:bookmarkEnd w:id="44"/>
      <w:r/>
      <w:bookmarkEnd w:id="45"/>
      <w:r/>
      <w:bookmarkEnd w:id="46"/>
      <w:r/>
      <w:r/>
    </w:p>
    <w:p>
      <w:pPr>
        <w:ind w:firstLine="480"/>
        <w:spacing w:line="440" w:lineRule="exact"/>
        <w:rPr>
          <w:rFonts w:ascii="Times New Roman" w:hAnsi="Times New Roman"/>
          <w:color w:val="auto"/>
          <w:sz w:val="24"/>
          <w:szCs w:val="24"/>
          <w:highlight w:val="none"/>
        </w:rPr>
      </w:pPr>
      <w:r/>
      <w:bookmarkStart w:id="47" w:name="_Toc28359007"/>
      <w:r/>
      <w:bookmarkStart w:id="48" w:name="_Toc38985267"/>
      <w:r/>
      <w:bookmarkStart w:id="49" w:name="_Toc35393625"/>
      <w:r/>
      <w:bookmarkStart w:id="50" w:name="_Toc28359084"/>
      <w:r/>
      <w:bookmarkStart w:id="51" w:name="_Toc35393794"/>
      <w:r>
        <w:rPr>
          <w:rFonts w:hint="eastAsia" w:ascii="Times New Roman" w:hAnsi="Times New Roman"/>
          <w:color w:val="auto"/>
          <w:sz w:val="24"/>
          <w:szCs w:val="24"/>
          <w:highlight w:val="none"/>
        </w:rPr>
        <w:t xml:space="preserve">时间：2026-9-29  09：00（北京时间）</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地点：苏采云政府采购一体化平台开标大厅</w:t>
      </w:r>
      <w:r/>
    </w:p>
    <w:p>
      <w:pPr>
        <w:ind w:firstLine="482"/>
        <w:spacing w:line="440" w:lineRule="exact"/>
        <w:rPr>
          <w:rFonts w:ascii="Times New Roman" w:hAnsi="Times New Roman"/>
          <w:b/>
          <w:bCs/>
          <w:color w:val="auto"/>
          <w:sz w:val="24"/>
          <w:szCs w:val="24"/>
          <w:highlight w:val="none"/>
        </w:rPr>
        <w:outlineLvl w:val="1"/>
      </w:pPr>
      <w:r/>
      <w:bookmarkStart w:id="52" w:name="_Toc22789"/>
      <w:r/>
      <w:bookmarkStart w:id="53" w:name="_Toc8401"/>
      <w:r/>
      <w:bookmarkStart w:id="54" w:name="_Toc239671891"/>
      <w:r/>
      <w:bookmarkStart w:id="55" w:name="_Toc21009"/>
      <w:r>
        <w:rPr>
          <w:rFonts w:hint="eastAsia" w:ascii="Times New Roman" w:hAnsi="Times New Roman"/>
          <w:b/>
          <w:bCs/>
          <w:color w:val="auto"/>
          <w:sz w:val="24"/>
          <w:szCs w:val="24"/>
          <w:highlight w:val="none"/>
        </w:rPr>
        <w:t xml:space="preserve">五、</w:t>
      </w:r>
      <w:bookmarkEnd w:id="47"/>
      <w:r/>
      <w:bookmarkEnd w:id="48"/>
      <w:r/>
      <w:bookmarkEnd w:id="49"/>
      <w:r/>
      <w:bookmarkEnd w:id="50"/>
      <w:r/>
      <w:bookmarkEnd w:id="51"/>
      <w:r>
        <w:rPr>
          <w:rFonts w:ascii="Times New Roman" w:hAnsi="Times New Roman"/>
          <w:b/>
          <w:bCs/>
          <w:color w:val="auto"/>
          <w:sz w:val="24"/>
          <w:szCs w:val="24"/>
          <w:highlight w:val="none"/>
        </w:rPr>
        <w:t xml:space="preserve">公告</w:t>
      </w:r>
      <w:r>
        <w:rPr>
          <w:rFonts w:hint="eastAsia" w:ascii="Times New Roman" w:hAnsi="Times New Roman"/>
          <w:b/>
          <w:bCs/>
          <w:color w:val="auto"/>
          <w:sz w:val="24"/>
          <w:szCs w:val="24"/>
          <w:highlight w:val="none"/>
        </w:rPr>
        <w:t xml:space="preserve">期限</w:t>
      </w:r>
      <w:bookmarkEnd w:id="52"/>
      <w:r/>
      <w:bookmarkEnd w:id="53"/>
      <w:r/>
      <w:bookmarkEnd w:id="54"/>
      <w:r/>
      <w:bookmarkEnd w:id="55"/>
      <w:r/>
      <w:r/>
    </w:p>
    <w:p>
      <w:pPr>
        <w:ind w:firstLine="480"/>
        <w:spacing w:line="440" w:lineRule="exact"/>
        <w:rPr>
          <w:rFonts w:ascii="Times New Roman" w:hAnsi="Times New Roman"/>
          <w:color w:val="auto"/>
          <w:sz w:val="24"/>
          <w:szCs w:val="24"/>
          <w:highlight w:val="none"/>
        </w:rPr>
      </w:pPr>
      <w:r/>
      <w:bookmarkStart w:id="56" w:name="_Toc35393795"/>
      <w:r/>
      <w:bookmarkStart w:id="57" w:name="_Toc35393626"/>
      <w:r/>
      <w:bookmarkStart w:id="58" w:name="_Toc38985268"/>
      <w:r>
        <w:rPr>
          <w:rFonts w:hint="eastAsia" w:ascii="Times New Roman" w:hAnsi="Times New Roman"/>
          <w:color w:val="auto"/>
          <w:sz w:val="24"/>
          <w:szCs w:val="24"/>
          <w:highlight w:val="none"/>
        </w:rPr>
        <w:t xml:space="preserve">公告期限：自本公告发布之日起5个工作日。</w:t>
      </w:r>
      <w:r/>
    </w:p>
    <w:p>
      <w:pPr>
        <w:ind w:firstLine="482"/>
        <w:spacing w:line="440" w:lineRule="exact"/>
        <w:rPr>
          <w:rFonts w:ascii="Times New Roman" w:hAnsi="Times New Roman"/>
          <w:b/>
          <w:bCs/>
          <w:color w:val="auto"/>
          <w:sz w:val="24"/>
          <w:szCs w:val="24"/>
          <w:highlight w:val="none"/>
        </w:rPr>
        <w:outlineLvl w:val="1"/>
      </w:pPr>
      <w:r/>
      <w:bookmarkStart w:id="59" w:name="_Toc3744"/>
      <w:r/>
      <w:bookmarkStart w:id="60" w:name="_Toc1945"/>
      <w:r/>
      <w:bookmarkStart w:id="61" w:name="_Toc239671892"/>
      <w:r/>
      <w:bookmarkStart w:id="62" w:name="_Toc26774"/>
      <w:r>
        <w:rPr>
          <w:rFonts w:hint="eastAsia" w:ascii="Times New Roman" w:hAnsi="Times New Roman"/>
          <w:b/>
          <w:bCs/>
          <w:color w:val="auto"/>
          <w:sz w:val="24"/>
          <w:szCs w:val="24"/>
          <w:highlight w:val="none"/>
        </w:rPr>
        <w:t xml:space="preserve">六、其他补充事宜</w:t>
      </w:r>
      <w:bookmarkEnd w:id="56"/>
      <w:r/>
      <w:bookmarkEnd w:id="57"/>
      <w:r/>
      <w:bookmarkEnd w:id="58"/>
      <w:r/>
      <w:bookmarkEnd w:id="59"/>
      <w:r/>
      <w:bookmarkEnd w:id="60"/>
      <w:r/>
      <w:bookmarkEnd w:id="61"/>
      <w:r/>
      <w:bookmarkEnd w:id="62"/>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单位负责人为同一人或者存在直接控股、管理关系的不同供应商，不得参加同一合同项下的政府采购活动。</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CA证书办理：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4、投标人在“苏采云”系统操作过程中如有疑问，请按以下方式联系：</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CA技术咨询电话：400-608-6099；电子签章技术咨询电话：15380932027、15371015030、13675197356、13675197221；系统使用指导与咨询电话：18261002950、0512-69820854、0519-86722802。</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5、有关本次采购的事项若存在变动或修改，敬请及时关注政府采购信息发布媒体上的更正（补充）公告</w:t>
      </w:r>
      <w:bookmarkStart w:id="63" w:name="_Hlk87882297"/>
      <w:r>
        <w:rPr>
          <w:rFonts w:hint="eastAsia" w:ascii="Times New Roman" w:hAnsi="Times New Roman"/>
          <w:color w:val="auto"/>
          <w:sz w:val="24"/>
          <w:szCs w:val="24"/>
          <w:highlight w:val="none"/>
        </w:rPr>
        <w:t xml:space="preserve">，并按规定获取相关信息内容。</w:t>
      </w:r>
      <w:bookmarkEnd w:id="63"/>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6、本次采购项目有关时间要求均以北京时间为标准，使用24小时制。</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7、本次招标不收取投标保证金。</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8、公告媒体：苏州市政府采购网、江苏政府采购网。</w:t>
      </w:r>
      <w:r/>
    </w:p>
    <w:p>
      <w:pPr>
        <w:ind w:firstLine="482"/>
        <w:spacing w:line="440" w:lineRule="exact"/>
        <w:rPr>
          <w:rFonts w:ascii="Times New Roman" w:hAnsi="Times New Roman"/>
          <w:b/>
          <w:bCs/>
          <w:color w:val="auto"/>
          <w:sz w:val="24"/>
          <w:szCs w:val="24"/>
          <w:highlight w:val="none"/>
        </w:rPr>
        <w:outlineLvl w:val="1"/>
      </w:pPr>
      <w:r/>
      <w:bookmarkStart w:id="64" w:name="_Toc35393796"/>
      <w:r/>
      <w:bookmarkStart w:id="65" w:name="_Toc28359008"/>
      <w:r/>
      <w:bookmarkStart w:id="66" w:name="_Toc38985269"/>
      <w:r/>
      <w:bookmarkStart w:id="67" w:name="_Toc28359085"/>
      <w:r/>
      <w:bookmarkStart w:id="68" w:name="_Toc35393627"/>
      <w:r/>
      <w:bookmarkStart w:id="69" w:name="_Toc6658"/>
      <w:r/>
      <w:bookmarkStart w:id="70" w:name="_Toc25299"/>
      <w:r/>
      <w:bookmarkStart w:id="71" w:name="_Toc239671893"/>
      <w:r/>
      <w:bookmarkStart w:id="72" w:name="_Toc4478"/>
      <w:r>
        <w:rPr>
          <w:rFonts w:hint="eastAsia" w:ascii="Times New Roman" w:hAnsi="Times New Roman"/>
          <w:b/>
          <w:bCs/>
          <w:color w:val="auto"/>
          <w:sz w:val="24"/>
          <w:szCs w:val="24"/>
          <w:highlight w:val="none"/>
        </w:rPr>
        <w:t xml:space="preserve">七、本次招标联系</w:t>
      </w:r>
      <w:bookmarkEnd w:id="64"/>
      <w:r/>
      <w:bookmarkEnd w:id="65"/>
      <w:r/>
      <w:bookmarkEnd w:id="66"/>
      <w:r/>
      <w:bookmarkEnd w:id="67"/>
      <w:r/>
      <w:bookmarkEnd w:id="68"/>
      <w:r>
        <w:rPr>
          <w:rFonts w:hint="eastAsia" w:ascii="Times New Roman" w:hAnsi="Times New Roman"/>
          <w:b/>
          <w:bCs/>
          <w:color w:val="auto"/>
          <w:sz w:val="24"/>
          <w:szCs w:val="24"/>
          <w:highlight w:val="none"/>
        </w:rPr>
        <w:t xml:space="preserve">方式</w:t>
      </w:r>
      <w:bookmarkEnd w:id="69"/>
      <w:r/>
      <w:bookmarkEnd w:id="70"/>
      <w:r/>
      <w:bookmarkEnd w:id="71"/>
      <w:r/>
      <w:bookmarkEnd w:id="72"/>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1、采购人信息</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单位名称：常熟市水利工程建设管理中心</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单位地址：江苏省苏州市常熟市碧海路1号</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联系人：丁工</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联系方式：0512-51530638</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2、采购代理机构信息</w:t>
      </w:r>
      <w:r/>
    </w:p>
    <w:p>
      <w:pPr>
        <w:ind w:firstLine="480"/>
        <w:spacing w:line="440" w:lineRule="exact"/>
        <w:rPr>
          <w:rFonts w:ascii="Times New Roman" w:hAnsi="Times New Roman"/>
          <w:color w:val="auto"/>
          <w:sz w:val="24"/>
          <w:szCs w:val="24"/>
          <w:highlight w:val="none"/>
        </w:rPr>
      </w:pPr>
      <w:r/>
      <w:bookmarkStart w:id="73" w:name="_Toc28359087"/>
      <w:r/>
      <w:bookmarkStart w:id="74" w:name="_Toc28359010"/>
      <w:r>
        <w:rPr>
          <w:rFonts w:hint="eastAsia" w:ascii="Times New Roman" w:hAnsi="Times New Roman"/>
          <w:color w:val="auto"/>
          <w:sz w:val="24"/>
          <w:szCs w:val="24"/>
          <w:highlight w:val="none"/>
        </w:rPr>
        <w:t xml:space="preserve">单位名称：苏州新一造价师价格事务所有限公司</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单位地址：常熟市开元东路2号一楼</w:t>
      </w:r>
      <w:r/>
    </w:p>
    <w:p>
      <w:pPr>
        <w:ind w:firstLine="480"/>
        <w:spacing w:line="44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rPr>
        <w:t xml:space="preserve">联系人：韩忆程</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代福勇、吕永中</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联系方式：0512-52808032</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3、项目联系方式</w:t>
      </w:r>
      <w:r/>
    </w:p>
    <w:p>
      <w:pPr>
        <w:ind w:firstLine="480"/>
        <w:spacing w:line="44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rPr>
        <w:t xml:space="preserve">项目联系人：韩忆程</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代福勇、吕永中</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电话：0512-52808032</w:t>
      </w:r>
      <w:bookmarkEnd w:id="73"/>
      <w:r/>
      <w:bookmarkEnd w:id="74"/>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rPr>
          <w:rFonts w:ascii="宋体" w:hAnsi="宋体"/>
          <w:color w:val="auto"/>
          <w:sz w:val="24"/>
          <w:szCs w:val="24"/>
          <w:highlight w:val="none"/>
        </w:rPr>
      </w:pPr>
      <w:r>
        <w:rPr>
          <w:rFonts w:ascii="宋体" w:hAnsi="宋体"/>
          <w:color w:val="auto"/>
          <w:sz w:val="24"/>
          <w:szCs w:val="24"/>
          <w:highlight w:val="none"/>
        </w:rPr>
        <w:br w:type="page" w:clear="all"/>
      </w:r>
      <w:r/>
    </w:p>
    <w:p>
      <w:pPr>
        <w:ind w:firstLine="880"/>
        <w:jc w:val="center"/>
        <w:rPr>
          <w:rFonts w:ascii="黑体" w:hAnsi="Times New Roman" w:eastAsia="黑体"/>
          <w:color w:val="auto"/>
          <w:sz w:val="44"/>
          <w:szCs w:val="44"/>
          <w:highlight w:val="none"/>
        </w:rPr>
        <w:outlineLvl w:val="0"/>
      </w:pPr>
      <w:r/>
      <w:bookmarkStart w:id="75" w:name="_Toc120614211"/>
      <w:r/>
      <w:bookmarkStart w:id="76" w:name="_Toc2460"/>
      <w:r/>
      <w:bookmarkStart w:id="77" w:name="_Toc31792"/>
      <w:r/>
      <w:bookmarkStart w:id="78" w:name="_Toc239671894"/>
      <w:r/>
      <w:bookmarkStart w:id="79" w:name="_Toc2828"/>
      <w:r>
        <w:rPr>
          <w:rFonts w:hint="eastAsia" w:ascii="黑体" w:hAnsi="Times New Roman" w:eastAsia="黑体"/>
          <w:color w:val="auto"/>
          <w:sz w:val="44"/>
          <w:szCs w:val="44"/>
          <w:highlight w:val="none"/>
        </w:rPr>
        <w:t xml:space="preserve">第二章  </w:t>
      </w:r>
      <w:bookmarkEnd w:id="1"/>
      <w:r/>
      <w:bookmarkEnd w:id="2"/>
      <w:r/>
      <w:bookmarkEnd w:id="3"/>
      <w:r/>
      <w:bookmarkEnd w:id="4"/>
      <w:r/>
      <w:bookmarkEnd w:id="5"/>
      <w:r/>
      <w:bookmarkEnd w:id="75"/>
      <w:r/>
      <w:bookmarkStart w:id="80" w:name="_Toc513029202"/>
      <w:r/>
      <w:bookmarkStart w:id="81" w:name="_Toc20823274"/>
      <w:r/>
      <w:bookmarkStart w:id="82" w:name="_Toc16938518"/>
      <w:r/>
      <w:bookmarkStart w:id="83" w:name="_Toc120614213"/>
      <w:r>
        <w:rPr>
          <w:rFonts w:hint="eastAsia" w:ascii="黑体" w:hAnsi="Times New Roman" w:eastAsia="黑体"/>
          <w:color w:val="auto"/>
          <w:sz w:val="44"/>
          <w:szCs w:val="44"/>
          <w:highlight w:val="none"/>
        </w:rPr>
        <w:t xml:space="preserve">投标人须知</w:t>
      </w:r>
      <w:bookmarkEnd w:id="76"/>
      <w:r/>
      <w:bookmarkEnd w:id="77"/>
      <w:r/>
      <w:bookmarkEnd w:id="78"/>
      <w:r/>
      <w:bookmarkEnd w:id="79"/>
      <w:r/>
      <w:bookmarkEnd w:id="80"/>
      <w:r/>
      <w:bookmarkEnd w:id="81"/>
      <w:r/>
      <w:bookmarkEnd w:id="82"/>
      <w:r/>
      <w:bookmarkEnd w:id="83"/>
      <w:r/>
      <w:r/>
    </w:p>
    <w:p>
      <w:pPr>
        <w:ind w:firstLine="562"/>
        <w:spacing w:line="440" w:lineRule="exact"/>
        <w:rPr>
          <w:rFonts w:ascii="宋体" w:hAnsi="宋体" w:cs="宋体"/>
          <w:b/>
          <w:bCs/>
          <w:color w:val="auto"/>
          <w:sz w:val="28"/>
          <w:szCs w:val="28"/>
          <w:highlight w:val="none"/>
        </w:rPr>
        <w:outlineLvl w:val="1"/>
      </w:pPr>
      <w:r/>
      <w:bookmarkStart w:id="84" w:name="_Toc239671895"/>
      <w:r/>
      <w:bookmarkStart w:id="85" w:name="_Toc20266"/>
      <w:r/>
      <w:bookmarkStart w:id="86" w:name="_Toc18113"/>
      <w:r/>
      <w:bookmarkStart w:id="87" w:name="_Toc8896"/>
      <w:r/>
      <w:bookmarkStart w:id="88" w:name="_Toc20823275"/>
      <w:r/>
      <w:bookmarkStart w:id="89" w:name="_Toc120614214"/>
      <w:r/>
      <w:bookmarkStart w:id="90" w:name="_Toc16938519"/>
      <w:r/>
      <w:bookmarkStart w:id="91" w:name="_Toc513029203"/>
      <w:r>
        <w:rPr>
          <w:rFonts w:hint="eastAsia" w:ascii="宋体" w:hAnsi="宋体" w:cs="宋体"/>
          <w:b/>
          <w:bCs/>
          <w:color w:val="auto"/>
          <w:sz w:val="28"/>
          <w:szCs w:val="28"/>
          <w:highlight w:val="none"/>
        </w:rPr>
        <w:t xml:space="preserve">一、总则</w:t>
      </w:r>
      <w:bookmarkEnd w:id="84"/>
      <w:r/>
      <w:bookmarkEnd w:id="85"/>
      <w:r/>
      <w:bookmarkEnd w:id="86"/>
      <w:r/>
      <w:bookmarkEnd w:id="87"/>
      <w:r/>
      <w:bookmarkEnd w:id="88"/>
      <w:r/>
      <w:bookmarkEnd w:id="89"/>
      <w:r/>
      <w:bookmarkEnd w:id="90"/>
      <w:r/>
      <w:bookmarkEnd w:id="91"/>
      <w:r/>
      <w:r/>
    </w:p>
    <w:p>
      <w:pPr>
        <w:ind w:firstLine="480"/>
        <w:spacing w:line="440" w:lineRule="exact"/>
        <w:rPr>
          <w:rFonts w:ascii="宋体" w:hAnsi="宋体" w:cs="宋体"/>
          <w:color w:val="auto"/>
          <w:sz w:val="24"/>
          <w:szCs w:val="24"/>
          <w:highlight w:val="none"/>
        </w:rPr>
        <w:outlineLvl w:val="3"/>
      </w:pPr>
      <w:r/>
      <w:bookmarkStart w:id="92" w:name="_Hlt16619475"/>
      <w:r/>
      <w:bookmarkEnd w:id="92"/>
      <w:r/>
      <w:bookmarkStart w:id="93" w:name="_Toc458694821"/>
      <w:r/>
      <w:bookmarkStart w:id="94" w:name="_Toc20823276"/>
      <w:r/>
      <w:bookmarkStart w:id="95" w:name="_Toc16938520"/>
      <w:r/>
      <w:bookmarkStart w:id="96" w:name="_Toc513029204"/>
      <w:r>
        <w:rPr>
          <w:rFonts w:hint="eastAsia" w:ascii="宋体" w:hAnsi="宋体" w:cs="宋体"/>
          <w:color w:val="auto"/>
          <w:sz w:val="24"/>
          <w:szCs w:val="24"/>
          <w:highlight w:val="none"/>
        </w:rPr>
        <w:t xml:space="preserve">1</w:t>
      </w:r>
      <w:bookmarkEnd w:id="93"/>
      <w:r>
        <w:rPr>
          <w:rFonts w:hint="eastAsia" w:ascii="宋体" w:hAnsi="宋体" w:cs="宋体"/>
          <w:color w:val="auto"/>
          <w:sz w:val="24"/>
          <w:szCs w:val="24"/>
          <w:highlight w:val="none"/>
        </w:rPr>
        <w:t xml:space="preserve">、采购方式</w:t>
      </w:r>
      <w:bookmarkEnd w:id="94"/>
      <w:r/>
      <w:bookmarkEnd w:id="95"/>
      <w:r/>
      <w:bookmarkEnd w:id="96"/>
      <w:r>
        <w:rPr>
          <w:rFonts w:hint="eastAsia" w:ascii="宋体" w:hAnsi="宋体" w:cs="宋体"/>
          <w:color w:val="auto"/>
          <w:sz w:val="24"/>
          <w:szCs w:val="24"/>
          <w:highlight w:val="none"/>
        </w:rPr>
        <w:t xml:space="preserve">及适用法律</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 本次招标采取公开招标方式，本招标文件仅适用于招标公告中所述项目。</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 本次招标及由此产生的合同受中华人民共和国有关的法律法规制约和保护。</w:t>
      </w:r>
      <w:r/>
    </w:p>
    <w:p>
      <w:pPr>
        <w:ind w:firstLine="480"/>
        <w:spacing w:line="440" w:lineRule="exact"/>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2、定义</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 “采购人”系指购买本项目货物并接受相关服务的国家机关、事业单位、团体组织。</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 “采购代理机构”系指依法接受采购人委托，从事货物和服务等政府采购业务的采购代理机构（以下简称“代理机构”）。本项目采购代理机构为苏州新一造价师价格事务所有限公司。</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 “投标人”系指响应招标、参加投标竞争的供应商。</w:t>
      </w:r>
      <w:r/>
    </w:p>
    <w:p>
      <w:pPr>
        <w:ind w:firstLine="480"/>
        <w:spacing w:line="440" w:lineRule="exact"/>
        <w:rPr>
          <w:rFonts w:ascii="宋体" w:hAnsi="宋体" w:cs="宋体"/>
          <w:color w:val="auto"/>
          <w:sz w:val="24"/>
          <w:szCs w:val="24"/>
          <w:highlight w:val="none"/>
        </w:rPr>
        <w:outlineLvl w:val="3"/>
      </w:pPr>
      <w:r/>
      <w:bookmarkStart w:id="97" w:name="_Toc16938521"/>
      <w:r/>
      <w:bookmarkStart w:id="98" w:name="_Toc20823277"/>
      <w:r/>
      <w:bookmarkStart w:id="99" w:name="_Toc513029205"/>
      <w:r>
        <w:rPr>
          <w:rFonts w:hint="eastAsia" w:ascii="宋体" w:hAnsi="宋体" w:cs="宋体"/>
          <w:color w:val="auto"/>
          <w:sz w:val="24"/>
          <w:szCs w:val="24"/>
          <w:highlight w:val="none"/>
        </w:rPr>
        <w:t xml:space="preserve">3、合格的投标人</w:t>
      </w:r>
      <w:bookmarkEnd w:id="97"/>
      <w:r/>
      <w:bookmarkEnd w:id="98"/>
      <w:r/>
      <w:bookmarkEnd w:id="99"/>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 满足招标公告中供应商的资格要求的规定，详见《第一章 投标邀请》中投标人资格要求。</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3.2 满足本文件实质性要求和条件的规定。</w:t>
      </w:r>
      <w:r/>
    </w:p>
    <w:p>
      <w:pPr>
        <w:ind w:firstLine="480"/>
        <w:spacing w:line="440" w:lineRule="exact"/>
        <w:rPr>
          <w:rFonts w:ascii="宋体" w:hAnsi="宋体" w:cs="宋体"/>
          <w:color w:val="auto"/>
          <w:sz w:val="24"/>
          <w:szCs w:val="24"/>
          <w:highlight w:val="none"/>
        </w:rPr>
        <w:outlineLvl w:val="3"/>
      </w:pPr>
      <w:r/>
      <w:bookmarkStart w:id="100" w:name="_Toc16938523"/>
      <w:r/>
      <w:bookmarkStart w:id="101" w:name="_Toc513029207"/>
      <w:r/>
      <w:bookmarkStart w:id="102" w:name="_Toc20823279"/>
      <w:r/>
      <w:bookmarkStart w:id="103" w:name="_Toc462564067"/>
      <w:r>
        <w:rPr>
          <w:rFonts w:hint="eastAsia" w:ascii="宋体" w:hAnsi="宋体" w:cs="宋体"/>
          <w:color w:val="auto"/>
          <w:sz w:val="24"/>
          <w:szCs w:val="24"/>
          <w:highlight w:val="none"/>
        </w:rPr>
        <w:t xml:space="preserve">4、投标费用</w:t>
      </w:r>
      <w:bookmarkEnd w:id="100"/>
      <w:r/>
      <w:bookmarkEnd w:id="101"/>
      <w:r/>
      <w:bookmarkEnd w:id="102"/>
      <w:r/>
      <w:bookmarkEnd w:id="103"/>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4.1 无论投标过程中的做法和结果如何，投标人应自行承担所有与准备和参加投标有关的全部费用。</w:t>
      </w:r>
      <w:r/>
    </w:p>
    <w:p>
      <w:pPr>
        <w:ind w:firstLine="789"/>
        <w:spacing w:line="440" w:lineRule="exact"/>
        <w:rPr>
          <w:rFonts w:ascii="宋体" w:hAnsi="宋体" w:cs="宋体"/>
          <w:b/>
          <w:color w:val="auto"/>
          <w:sz w:val="24"/>
          <w:szCs w:val="24"/>
          <w:highlight w:val="none"/>
        </w:rPr>
      </w:pPr>
      <w:r>
        <w:rPr>
          <w:rFonts w:hint="eastAsia" w:ascii="宋体" w:hAnsi="宋体" w:cs="宋体"/>
          <w:color w:val="auto"/>
          <w:sz w:val="24"/>
          <w:szCs w:val="24"/>
          <w:highlight w:val="none"/>
        </w:rPr>
        <w:t xml:space="preserve">4.2 </w:t>
      </w:r>
      <w:r>
        <w:rPr>
          <w:rFonts w:hint="eastAsia" w:ascii="宋体" w:hAnsi="宋体" w:cs="宋体"/>
          <w:b/>
          <w:color w:val="auto"/>
          <w:sz w:val="24"/>
          <w:szCs w:val="24"/>
          <w:highlight w:val="none"/>
        </w:rPr>
        <w:t xml:space="preserve">本次招标不收取采购文件工本费</w:t>
      </w:r>
      <w:r/>
    </w:p>
    <w:p>
      <w:pPr>
        <w:ind w:firstLine="790"/>
        <w:spacing w:line="440" w:lineRule="exact"/>
        <w:rPr>
          <w:rFonts w:ascii="宋体" w:hAnsi="宋体" w:cs="宋体"/>
          <w:b/>
          <w:color w:val="auto"/>
          <w:sz w:val="24"/>
          <w:szCs w:val="24"/>
          <w:highlight w:val="none"/>
        </w:rPr>
      </w:pPr>
      <w:r>
        <w:rPr>
          <w:rFonts w:hint="eastAsia" w:ascii="宋体" w:hAnsi="宋体" w:cs="宋体"/>
          <w:color w:val="auto"/>
          <w:sz w:val="24"/>
          <w:szCs w:val="24"/>
          <w:highlight w:val="none"/>
        </w:rPr>
        <w:t xml:space="preserve">4.3 </w:t>
      </w:r>
      <w:r>
        <w:rPr>
          <w:rFonts w:hint="eastAsia" w:ascii="宋体" w:hAnsi="宋体" w:cs="宋体"/>
          <w:b/>
          <w:color w:val="auto"/>
          <w:sz w:val="24"/>
          <w:szCs w:val="24"/>
          <w:highlight w:val="none"/>
        </w:rPr>
        <w:t xml:space="preserve">采购代理服务费用：本项目采购代理费由采购人支付，服务费金额为：25000.00元</w:t>
      </w:r>
      <w:r/>
    </w:p>
    <w:p>
      <w:pPr>
        <w:ind w:firstLine="480"/>
        <w:spacing w:line="440" w:lineRule="exact"/>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5、招标文件的约束力</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5.1 投标人一旦参加本项目采购活动，即被认为接受了本招标文件的规定和约束。</w:t>
      </w:r>
      <w:r/>
    </w:p>
    <w:p>
      <w:pPr>
        <w:ind w:firstLine="562"/>
        <w:spacing w:line="440" w:lineRule="exact"/>
        <w:rPr>
          <w:rFonts w:ascii="宋体" w:hAnsi="宋体" w:cs="宋体"/>
          <w:b/>
          <w:bCs/>
          <w:color w:val="auto"/>
          <w:sz w:val="28"/>
          <w:szCs w:val="28"/>
          <w:highlight w:val="none"/>
        </w:rPr>
        <w:outlineLvl w:val="1"/>
      </w:pPr>
      <w:r/>
      <w:bookmarkStart w:id="104" w:name="_Toc16938525"/>
      <w:r/>
      <w:bookmarkStart w:id="105" w:name="_Toc22648"/>
      <w:r/>
      <w:bookmarkStart w:id="106" w:name="_Toc239671896"/>
      <w:r/>
      <w:bookmarkStart w:id="107" w:name="_Toc20823281"/>
      <w:r/>
      <w:bookmarkStart w:id="108" w:name="_Toc513029209"/>
      <w:r/>
      <w:bookmarkStart w:id="109" w:name="_Toc26596"/>
      <w:r/>
      <w:bookmarkStart w:id="110" w:name="_Toc120614215"/>
      <w:r/>
      <w:bookmarkStart w:id="111" w:name="_Toc27390"/>
      <w:r>
        <w:rPr>
          <w:rFonts w:hint="eastAsia" w:ascii="宋体" w:hAnsi="宋体" w:cs="宋体"/>
          <w:b/>
          <w:bCs/>
          <w:color w:val="auto"/>
          <w:sz w:val="28"/>
          <w:szCs w:val="28"/>
          <w:highlight w:val="none"/>
        </w:rPr>
        <w:t xml:space="preserve">二、招标文件</w:t>
      </w:r>
      <w:bookmarkEnd w:id="104"/>
      <w:r/>
      <w:bookmarkEnd w:id="105"/>
      <w:r/>
      <w:bookmarkEnd w:id="106"/>
      <w:r/>
      <w:bookmarkEnd w:id="107"/>
      <w:r/>
      <w:bookmarkEnd w:id="108"/>
      <w:r/>
      <w:bookmarkEnd w:id="109"/>
      <w:r/>
      <w:bookmarkEnd w:id="110"/>
      <w:r/>
      <w:bookmarkEnd w:id="111"/>
      <w:r/>
      <w:r/>
    </w:p>
    <w:p>
      <w:pPr>
        <w:ind w:firstLine="480"/>
        <w:spacing w:line="440" w:lineRule="exact"/>
        <w:rPr>
          <w:rFonts w:ascii="宋体" w:hAnsi="宋体" w:cs="宋体"/>
          <w:color w:val="auto"/>
          <w:sz w:val="24"/>
          <w:szCs w:val="24"/>
          <w:highlight w:val="none"/>
        </w:rPr>
        <w:outlineLvl w:val="3"/>
      </w:pPr>
      <w:r/>
      <w:bookmarkStart w:id="112" w:name="_Toc20823282"/>
      <w:r/>
      <w:bookmarkStart w:id="113" w:name="_Toc16938526"/>
      <w:r/>
      <w:bookmarkStart w:id="114" w:name="_Toc513029210"/>
      <w:r>
        <w:rPr>
          <w:rFonts w:hint="eastAsia" w:ascii="宋体" w:hAnsi="宋体" w:cs="宋体"/>
          <w:color w:val="auto"/>
          <w:sz w:val="24"/>
          <w:szCs w:val="24"/>
          <w:highlight w:val="none"/>
        </w:rPr>
        <w:t xml:space="preserve">1、招标文件构成</w:t>
      </w:r>
      <w:bookmarkEnd w:id="112"/>
      <w:r/>
      <w:bookmarkEnd w:id="113"/>
      <w:r/>
      <w:bookmarkEnd w:id="114"/>
      <w:r/>
      <w:r/>
    </w:p>
    <w:p>
      <w:pPr>
        <w:ind w:firstLine="789"/>
        <w:spacing w:line="44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1.1</w:t>
      </w:r>
      <w:r>
        <w:rPr>
          <w:rFonts w:hint="eastAsia" w:ascii="宋体" w:hAnsi="宋体" w:cs="宋体"/>
          <w:color w:val="auto"/>
          <w:sz w:val="24"/>
          <w:szCs w:val="24"/>
          <w:highlight w:val="none"/>
        </w:rPr>
        <w:t xml:space="preserve"> 招标文件由以下部分组成：</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（1）投标邀请</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（2）投标人须知</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（3）合同文本</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（5）评标方法与评标标准</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（6）投标文件格式</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请仔细检查招标文件是否齐全，如有缺漏请立即与代理机构联系解决。</w:t>
      </w:r>
      <w:r/>
    </w:p>
    <w:p>
      <w:pPr>
        <w:ind w:firstLine="789"/>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1.3 招标文件及其更正事项如不是直接从指定媒体地址下载获得的，采购人或代理机构对招标文件及其补遗的真实性、完整性不承担任何责任。</w:t>
      </w:r>
      <w:r/>
    </w:p>
    <w:p>
      <w:pPr>
        <w:ind w:firstLine="480"/>
        <w:spacing w:line="440" w:lineRule="exact"/>
        <w:rPr>
          <w:rFonts w:ascii="宋体" w:hAnsi="宋体" w:cs="宋体"/>
          <w:color w:val="auto"/>
          <w:sz w:val="24"/>
          <w:szCs w:val="24"/>
          <w:highlight w:val="none"/>
        </w:rPr>
        <w:outlineLvl w:val="3"/>
      </w:pPr>
      <w:r/>
      <w:bookmarkStart w:id="115" w:name="_Toc462564070"/>
      <w:r/>
      <w:bookmarkStart w:id="116" w:name="_Toc20823283"/>
      <w:r/>
      <w:bookmarkStart w:id="117" w:name="_Toc16938527"/>
      <w:r/>
      <w:bookmarkStart w:id="118" w:name="_Toc513029211"/>
      <w:r>
        <w:rPr>
          <w:rFonts w:hint="eastAsia" w:ascii="宋体" w:hAnsi="宋体" w:cs="宋体"/>
          <w:color w:val="auto"/>
          <w:sz w:val="24"/>
          <w:szCs w:val="24"/>
          <w:highlight w:val="none"/>
        </w:rPr>
        <w:t xml:space="preserve">2、招标文件的澄清、修改</w:t>
      </w:r>
      <w:r/>
    </w:p>
    <w:p>
      <w:pPr>
        <w:ind w:firstLine="789"/>
        <w:spacing w:line="440" w:lineRule="exact"/>
        <w:rPr>
          <w:rFonts w:ascii="宋体" w:hAnsi="宋体" w:cs="宋体"/>
          <w:b/>
          <w:bCs/>
          <w:color w:val="auto"/>
          <w:sz w:val="24"/>
          <w:szCs w:val="24"/>
          <w:highlight w:val="none"/>
        </w:rPr>
      </w:pPr>
      <w:r>
        <w:rPr>
          <w:rFonts w:hint="eastAsia" w:ascii="宋体" w:hAnsi="宋体" w:cs="宋体"/>
          <w:bCs/>
          <w:color w:val="auto"/>
          <w:sz w:val="24"/>
          <w:szCs w:val="24"/>
          <w:highlight w:val="none"/>
        </w:rPr>
        <w:t xml:space="preserve">2.1 出于实际需要或澄清投标人问题的情况下，代理机构可对已发出的招标文件进行必要的澄清或者修改，并将在指定媒体上发布。</w:t>
      </w:r>
      <w:r>
        <w:rPr>
          <w:rFonts w:hint="eastAsia" w:ascii="宋体" w:hAnsi="宋体" w:cs="宋体"/>
          <w:b/>
          <w:bCs/>
          <w:color w:val="auto"/>
          <w:sz w:val="24"/>
          <w:szCs w:val="24"/>
          <w:highlight w:val="none"/>
        </w:rPr>
        <w:t xml:space="preserve">各投标人应在投标截止时间前关注</w:t>
      </w:r>
      <w:r>
        <w:rPr>
          <w:rFonts w:hint="eastAsia" w:ascii="Times New Roman" w:hAnsi="Times New Roman"/>
          <w:b/>
          <w:bCs/>
          <w:color w:val="auto"/>
          <w:sz w:val="24"/>
          <w:szCs w:val="24"/>
          <w:highlight w:val="none"/>
        </w:rPr>
        <w:t xml:space="preserve">政府采购信息发布媒体上</w:t>
      </w:r>
      <w:r>
        <w:rPr>
          <w:rFonts w:hint="eastAsia" w:ascii="宋体" w:hAnsi="宋体" w:cs="宋体"/>
          <w:b/>
          <w:bCs/>
          <w:color w:val="auto"/>
          <w:sz w:val="24"/>
          <w:szCs w:val="24"/>
          <w:highlight w:val="none"/>
        </w:rPr>
        <w:t xml:space="preserve">“补充通知”栏，按规定获取相关信息内容，否则其投标风险由投标人承担。</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 代理机构有权按照法定的要求顺延投标截止时间和开标时间。</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 有关澄清或者修改的内容将作为招标文件的组成部分，对所有投标人具有约束力。</w:t>
      </w:r>
      <w:bookmarkEnd w:id="115"/>
      <w:r/>
      <w:bookmarkEnd w:id="116"/>
      <w:r/>
      <w:bookmarkEnd w:id="117"/>
      <w:r/>
      <w:bookmarkEnd w:id="118"/>
      <w:r/>
      <w:r/>
    </w:p>
    <w:p>
      <w:pPr>
        <w:ind w:firstLine="562"/>
        <w:spacing w:line="440" w:lineRule="exact"/>
        <w:rPr>
          <w:rFonts w:ascii="宋体" w:hAnsi="宋体" w:cs="宋体"/>
          <w:b/>
          <w:bCs/>
          <w:color w:val="auto"/>
          <w:sz w:val="28"/>
          <w:szCs w:val="28"/>
          <w:highlight w:val="none"/>
        </w:rPr>
        <w:outlineLvl w:val="1"/>
      </w:pPr>
      <w:r/>
      <w:bookmarkStart w:id="119" w:name="_Toc120614216"/>
      <w:r/>
      <w:bookmarkStart w:id="120" w:name="_Toc513029213"/>
      <w:r/>
      <w:bookmarkStart w:id="121" w:name="_Toc20196"/>
      <w:r/>
      <w:bookmarkStart w:id="122" w:name="_Toc20823285"/>
      <w:r/>
      <w:bookmarkStart w:id="123" w:name="_Toc462564072"/>
      <w:r/>
      <w:bookmarkStart w:id="124" w:name="_Toc239671897"/>
      <w:r/>
      <w:bookmarkStart w:id="125" w:name="_Toc16938529"/>
      <w:r/>
      <w:bookmarkStart w:id="126" w:name="_Toc22408"/>
      <w:r/>
      <w:bookmarkStart w:id="127" w:name="_Toc17779"/>
      <w:r>
        <w:rPr>
          <w:rFonts w:hint="eastAsia" w:ascii="宋体" w:hAnsi="宋体" w:cs="宋体"/>
          <w:b/>
          <w:bCs/>
          <w:color w:val="auto"/>
          <w:sz w:val="28"/>
          <w:szCs w:val="28"/>
          <w:highlight w:val="none"/>
        </w:rPr>
        <w:t xml:space="preserve">三、投标文件的编制</w:t>
      </w:r>
      <w:bookmarkEnd w:id="119"/>
      <w:r/>
      <w:bookmarkEnd w:id="120"/>
      <w:r/>
      <w:bookmarkEnd w:id="121"/>
      <w:r/>
      <w:bookmarkEnd w:id="122"/>
      <w:r/>
      <w:bookmarkEnd w:id="123"/>
      <w:r/>
      <w:bookmarkEnd w:id="124"/>
      <w:r/>
      <w:bookmarkEnd w:id="125"/>
      <w:r/>
      <w:bookmarkEnd w:id="126"/>
      <w:r/>
      <w:bookmarkEnd w:id="127"/>
      <w:r/>
      <w:r/>
    </w:p>
    <w:p>
      <w:pPr>
        <w:ind w:firstLine="480"/>
        <w:spacing w:line="440" w:lineRule="exact"/>
        <w:rPr>
          <w:rFonts w:ascii="宋体" w:hAnsi="宋体" w:cs="宋体"/>
          <w:b/>
          <w:color w:val="auto"/>
          <w:sz w:val="24"/>
          <w:szCs w:val="24"/>
          <w:highlight w:val="none"/>
        </w:rPr>
        <w:outlineLvl w:val="3"/>
      </w:pPr>
      <w:r/>
      <w:bookmarkStart w:id="128" w:name="_Toc513029214"/>
      <w:r/>
      <w:bookmarkStart w:id="129" w:name="_Toc462564073"/>
      <w:r/>
      <w:bookmarkStart w:id="130" w:name="_Toc16938530"/>
      <w:r/>
      <w:bookmarkStart w:id="131" w:name="_Toc20823286"/>
      <w:r>
        <w:rPr>
          <w:rFonts w:hint="eastAsia" w:ascii="宋体" w:hAnsi="宋体" w:cs="宋体"/>
          <w:color w:val="auto"/>
          <w:sz w:val="24"/>
          <w:szCs w:val="24"/>
          <w:highlight w:val="none"/>
        </w:rPr>
        <w:t xml:space="preserve">1、投标文件的语言及度量衡单位</w:t>
      </w:r>
      <w:bookmarkEnd w:id="128"/>
      <w:r/>
      <w:bookmarkEnd w:id="129"/>
      <w:r/>
      <w:bookmarkEnd w:id="130"/>
      <w:r/>
      <w:bookmarkEnd w:id="131"/>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 投标人提交的投标文件以及投标人与代理机构就有关投标的所有来往通知、函件和文件均应使用</w:t>
      </w:r>
      <w:r>
        <w:rPr>
          <w:rFonts w:hint="eastAsia" w:ascii="宋体" w:hAnsi="宋体" w:cs="宋体"/>
          <w:b/>
          <w:bCs/>
          <w:color w:val="auto"/>
          <w:sz w:val="24"/>
          <w:szCs w:val="24"/>
          <w:highlight w:val="none"/>
        </w:rPr>
        <w:t xml:space="preserve">简体中文</w:t>
      </w:r>
      <w:r>
        <w:rPr>
          <w:rFonts w:hint="eastAsia" w:ascii="宋体" w:hAnsi="宋体" w:cs="宋体"/>
          <w:color w:val="auto"/>
          <w:sz w:val="24"/>
          <w:szCs w:val="24"/>
          <w:highlight w:val="none"/>
        </w:rPr>
        <w:t xml:space="preserve">。</w:t>
      </w:r>
      <w:r/>
    </w:p>
    <w:p>
      <w:pPr>
        <w:ind w:firstLine="789"/>
        <w:spacing w:line="440" w:lineRule="exact"/>
        <w:rPr>
          <w:rFonts w:ascii="宋体" w:hAnsi="宋体" w:cs="宋体"/>
          <w:color w:val="auto"/>
          <w:sz w:val="24"/>
          <w:szCs w:val="21"/>
          <w:highlight w:val="none"/>
        </w:rPr>
      </w:pPr>
      <w:r>
        <w:rPr>
          <w:rFonts w:hint="eastAsia" w:ascii="宋体" w:hAnsi="宋体" w:cs="宋体"/>
          <w:color w:val="auto"/>
          <w:sz w:val="24"/>
          <w:szCs w:val="24"/>
          <w:highlight w:val="none"/>
        </w:rPr>
        <w:t xml:space="preserve">1.2 除技术性能另有规定外，投标文件所使用的度量衡单位，均须采用国家法定计量单位。</w:t>
      </w:r>
      <w:r/>
    </w:p>
    <w:p>
      <w:pPr>
        <w:ind w:firstLine="480"/>
        <w:spacing w:line="440" w:lineRule="exact"/>
        <w:rPr>
          <w:rFonts w:ascii="宋体" w:hAnsi="宋体" w:cs="宋体"/>
          <w:color w:val="auto"/>
          <w:sz w:val="24"/>
          <w:szCs w:val="24"/>
          <w:highlight w:val="none"/>
        </w:rPr>
        <w:outlineLvl w:val="3"/>
      </w:pPr>
      <w:r/>
      <w:bookmarkStart w:id="132" w:name="_Toc20823287"/>
      <w:r/>
      <w:bookmarkStart w:id="133" w:name="_Toc462564074"/>
      <w:r/>
      <w:bookmarkStart w:id="134" w:name="_Toc513029215"/>
      <w:r/>
      <w:bookmarkStart w:id="135" w:name="_Toc16938531"/>
      <w:r>
        <w:rPr>
          <w:rFonts w:hint="eastAsia" w:ascii="宋体" w:hAnsi="宋体" w:cs="宋体"/>
          <w:color w:val="auto"/>
          <w:sz w:val="24"/>
          <w:szCs w:val="24"/>
          <w:highlight w:val="none"/>
        </w:rPr>
        <w:t xml:space="preserve">2、投标文件构成</w:t>
      </w:r>
      <w:bookmarkEnd w:id="132"/>
      <w:r/>
      <w:bookmarkEnd w:id="133"/>
      <w:r/>
      <w:bookmarkEnd w:id="134"/>
      <w:r/>
      <w:bookmarkEnd w:id="135"/>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 投标人编写的投标文件应包括资格证明文件、开标一览表、报价明细表、投标函、服务（或商务）要求响应及偏离表、项目实施方案、其他证明文件等部分。</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 如标书制作工具中格式和内容与指定媒体发布的招标文件不一致，请以指定媒体发布的招标文件为准。</w:t>
      </w:r>
      <w:r/>
    </w:p>
    <w:p>
      <w:pPr>
        <w:ind w:firstLine="480"/>
        <w:spacing w:line="440" w:lineRule="exact"/>
        <w:rPr>
          <w:rFonts w:ascii="宋体" w:hAnsi="宋体" w:cs="宋体"/>
          <w:color w:val="auto"/>
          <w:sz w:val="24"/>
          <w:szCs w:val="24"/>
          <w:highlight w:val="none"/>
        </w:rPr>
        <w:outlineLvl w:val="3"/>
      </w:pPr>
      <w:r/>
      <w:bookmarkStart w:id="136" w:name="_Hlt26670360"/>
      <w:r/>
      <w:bookmarkEnd w:id="136"/>
      <w:r/>
      <w:bookmarkStart w:id="137" w:name="_Hlt26954838"/>
      <w:r/>
      <w:bookmarkEnd w:id="137"/>
      <w:r/>
      <w:bookmarkStart w:id="138" w:name="_Hlt26668975"/>
      <w:r/>
      <w:bookmarkEnd w:id="138"/>
      <w:r/>
      <w:bookmarkStart w:id="139" w:name="_Toc49090507"/>
      <w:r/>
      <w:bookmarkStart w:id="140" w:name="_Toc513029216"/>
      <w:r/>
      <w:bookmarkStart w:id="141" w:name="_Toc49090509"/>
      <w:r/>
      <w:bookmarkStart w:id="142" w:name="_Toc14577354"/>
      <w:r/>
      <w:bookmarkStart w:id="143" w:name="_Toc14577357"/>
      <w:r/>
      <w:bookmarkStart w:id="144" w:name="_Toc513029219"/>
      <w:r/>
      <w:bookmarkStart w:id="145" w:name="_Toc14577355"/>
      <w:r/>
      <w:bookmarkStart w:id="146" w:name="_Toc49090508"/>
      <w:r>
        <w:rPr>
          <w:rFonts w:hint="eastAsia" w:ascii="宋体" w:hAnsi="宋体" w:cs="宋体"/>
          <w:color w:val="auto"/>
          <w:sz w:val="24"/>
          <w:szCs w:val="24"/>
          <w:highlight w:val="none"/>
        </w:rPr>
        <w:t xml:space="preserve">3、证明投标人及投标标的符合招标文件规定的文件</w:t>
      </w:r>
      <w:bookmarkEnd w:id="139"/>
      <w:r/>
      <w:bookmarkEnd w:id="140"/>
      <w:r/>
      <w:bookmarkEnd w:id="141"/>
      <w:r/>
      <w:bookmarkEnd w:id="142"/>
      <w:r/>
      <w:bookmarkEnd w:id="143"/>
      <w:r/>
      <w:bookmarkEnd w:id="144"/>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 投标人应按照招标文件要求提交证明文件，证明其及投标标的符合招标文件规定。</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3.2招标文件对证明文件无明确形式要求的，证明文件可以以文字资料、图纸和数据等形式提交。</w:t>
      </w:r>
      <w:bookmarkEnd w:id="145"/>
      <w:r/>
      <w:bookmarkEnd w:id="146"/>
      <w:r/>
      <w:r/>
    </w:p>
    <w:p>
      <w:pPr>
        <w:ind w:firstLine="480"/>
        <w:spacing w:line="440" w:lineRule="exact"/>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4、投标函和开标一览表</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4.1 投标人应按照招标文件中提供的格式完整、正确填写投标函、开标一览表。</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4.2 对于采用货币报价的项目，开标一览表中的投标总报价应与报价明细表中的投标总报价一致，如不一致不作为无效投标处理，但评标时按开标一览表中价格为准。</w:t>
      </w:r>
      <w:r/>
    </w:p>
    <w:p>
      <w:pPr>
        <w:ind w:firstLine="480"/>
        <w:spacing w:line="440" w:lineRule="exact"/>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5、报价明细表</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5.1 投标人应按照招标文件规定格式填报报价明细表。</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5.2 投标货币。投标文件中的单价和总价无特殊规定的采用人民币报价，以元为单位标注。招标文件中另有规定的按规定执行。</w:t>
      </w:r>
      <w:r/>
    </w:p>
    <w:p>
      <w:pPr>
        <w:ind w:firstLine="480"/>
        <w:spacing w:line="440" w:lineRule="exact"/>
        <w:rPr>
          <w:rFonts w:ascii="宋体" w:hAnsi="宋体" w:cs="宋体"/>
          <w:color w:val="auto"/>
          <w:sz w:val="24"/>
          <w:szCs w:val="24"/>
          <w:highlight w:val="none"/>
        </w:rPr>
        <w:outlineLvl w:val="3"/>
      </w:pPr>
      <w:r/>
      <w:bookmarkStart w:id="147" w:name="_Hlt26954848"/>
      <w:r/>
      <w:bookmarkEnd w:id="147"/>
      <w:r/>
      <w:bookmarkStart w:id="148" w:name="_Hlt26670486"/>
      <w:r/>
      <w:bookmarkEnd w:id="148"/>
      <w:r/>
      <w:bookmarkStart w:id="149" w:name="_Hlt26670482"/>
      <w:r/>
      <w:bookmarkEnd w:id="149"/>
      <w:r/>
      <w:bookmarkStart w:id="150" w:name="_Hlt26954731"/>
      <w:r/>
      <w:bookmarkEnd w:id="150"/>
      <w:r/>
      <w:bookmarkStart w:id="151" w:name="_Hlt26954846"/>
      <w:r/>
      <w:bookmarkEnd w:id="151"/>
      <w:r/>
      <w:bookmarkStart w:id="152" w:name="_Hlk155763835"/>
      <w:r>
        <w:rPr>
          <w:rFonts w:hint="eastAsia" w:ascii="宋体" w:hAnsi="宋体" w:cs="宋体"/>
          <w:color w:val="auto"/>
          <w:sz w:val="24"/>
          <w:szCs w:val="24"/>
          <w:highlight w:val="none"/>
        </w:rPr>
        <w:t xml:space="preserve">6、技术、商务要求响应及偏离表</w:t>
      </w:r>
      <w:r/>
    </w:p>
    <w:p>
      <w:pPr>
        <w:ind w:firstLine="789"/>
        <w:spacing w:line="440" w:lineRule="exact"/>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6.1</w:t>
      </w:r>
      <w:r>
        <w:rPr>
          <w:rFonts w:hint="eastAsia" w:ascii="宋体" w:hAnsi="宋体" w:cs="宋体"/>
          <w:color w:val="auto"/>
          <w:sz w:val="24"/>
          <w:szCs w:val="24"/>
          <w:highlight w:val="none"/>
          <w:lang w:val="zh-CN"/>
        </w:rPr>
        <w:t xml:space="preserve"> 投标人需对招标文件中的</w:t>
      </w:r>
      <w:r>
        <w:rPr>
          <w:rFonts w:hint="eastAsia" w:ascii="宋体" w:hAnsi="宋体" w:cs="宋体"/>
          <w:color w:val="auto"/>
          <w:sz w:val="24"/>
          <w:szCs w:val="24"/>
          <w:highlight w:val="none"/>
        </w:rPr>
        <w:t xml:space="preserve">技术</w:t>
      </w:r>
      <w:r>
        <w:rPr>
          <w:rFonts w:hint="eastAsia" w:ascii="宋体" w:hAnsi="宋体" w:cs="宋体"/>
          <w:color w:val="auto"/>
          <w:sz w:val="24"/>
          <w:szCs w:val="24"/>
          <w:highlight w:val="none"/>
          <w:lang w:val="zh-CN"/>
        </w:rPr>
        <w:t xml:space="preserve">要求与商务要求逐项作出响应或偏离，并说明原因。</w:t>
      </w:r>
      <w:r/>
    </w:p>
    <w:p>
      <w:pPr>
        <w:ind w:firstLine="789"/>
        <w:spacing w:line="440" w:lineRule="exact"/>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6.2</w:t>
      </w:r>
      <w:r>
        <w:rPr>
          <w:rFonts w:hint="eastAsia" w:ascii="宋体" w:hAnsi="宋体" w:cs="宋体"/>
          <w:color w:val="auto"/>
          <w:sz w:val="24"/>
          <w:szCs w:val="24"/>
          <w:highlight w:val="none"/>
          <w:lang w:val="zh-CN"/>
        </w:rPr>
        <w:t xml:space="preserve"> 投标人需按照招标文件要求，在投标文件中提供与</w:t>
      </w:r>
      <w:r>
        <w:rPr>
          <w:rFonts w:hint="eastAsia" w:ascii="宋体" w:hAnsi="宋体" w:cs="宋体"/>
          <w:color w:val="auto"/>
          <w:sz w:val="24"/>
          <w:szCs w:val="24"/>
          <w:highlight w:val="none"/>
        </w:rPr>
        <w:t xml:space="preserve">技术</w:t>
      </w:r>
      <w:r>
        <w:rPr>
          <w:rFonts w:hint="eastAsia" w:ascii="宋体" w:hAnsi="宋体" w:cs="宋体"/>
          <w:color w:val="auto"/>
          <w:sz w:val="24"/>
          <w:szCs w:val="24"/>
          <w:highlight w:val="none"/>
          <w:lang w:val="zh-CN"/>
        </w:rPr>
        <w:t xml:space="preserve">要求和商务要求相关的证明材料。</w:t>
      </w:r>
      <w:bookmarkEnd w:id="152"/>
      <w:r>
        <w:rPr>
          <w:rFonts w:hint="eastAsia" w:ascii="宋体" w:hAnsi="宋体" w:cs="宋体"/>
          <w:color w:val="auto"/>
          <w:sz w:val="24"/>
          <w:szCs w:val="24"/>
          <w:highlight w:val="none"/>
          <w:lang w:val="zh-CN"/>
        </w:rPr>
        <w:t xml:space="preserve">（如有）</w:t>
      </w:r>
      <w:r/>
    </w:p>
    <w:p>
      <w:pPr>
        <w:ind w:firstLine="480"/>
        <w:spacing w:line="440" w:lineRule="exact"/>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7、项目服务方案业绩情况</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7.1 投标人需根据招标文件要求提供有关项目服务方案和关键技术问题及难点分析、项目进度计划安排、质量管理及保证措施、响应承诺等。</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7.2 投标人需根据招标文件要求提供实施的类似项目业绩情况。</w:t>
      </w:r>
      <w:bookmarkStart w:id="153" w:name="_Toc49090510"/>
      <w:r/>
      <w:bookmarkStart w:id="154" w:name="_Toc14577359"/>
      <w:r/>
      <w:r/>
    </w:p>
    <w:p>
      <w:pPr>
        <w:ind w:firstLine="480"/>
        <w:spacing w:line="440" w:lineRule="exact"/>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8、其他</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8.1 投标人需根据招标文件要求提供的其他证明材料。</w:t>
      </w:r>
      <w:bookmarkEnd w:id="153"/>
      <w:r/>
      <w:bookmarkEnd w:id="154"/>
      <w:r/>
      <w:r/>
    </w:p>
    <w:p>
      <w:pPr>
        <w:ind w:firstLine="480"/>
        <w:spacing w:line="440" w:lineRule="exact"/>
        <w:rPr>
          <w:rFonts w:ascii="宋体" w:hAnsi="宋体" w:cs="宋体"/>
          <w:color w:val="auto"/>
          <w:sz w:val="24"/>
          <w:szCs w:val="24"/>
          <w:highlight w:val="none"/>
        </w:rPr>
        <w:outlineLvl w:val="3"/>
      </w:pPr>
      <w:r/>
      <w:bookmarkStart w:id="155" w:name="_Toc49090511"/>
      <w:r/>
      <w:bookmarkStart w:id="156" w:name="_Toc14577360"/>
      <w:r>
        <w:rPr>
          <w:rFonts w:hint="eastAsia" w:ascii="宋体" w:hAnsi="宋体" w:cs="宋体"/>
          <w:color w:val="auto"/>
          <w:sz w:val="24"/>
          <w:szCs w:val="24"/>
          <w:highlight w:val="none"/>
        </w:rPr>
        <w:t xml:space="preserve">9、投标有效期</w:t>
      </w:r>
      <w:bookmarkEnd w:id="155"/>
      <w:r/>
      <w:bookmarkEnd w:id="156"/>
      <w:r/>
      <w:r/>
    </w:p>
    <w:p>
      <w:pPr>
        <w:ind w:firstLine="789"/>
        <w:spacing w:line="44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9.1投标有效期为代理机构</w:t>
      </w:r>
      <w:r>
        <w:rPr>
          <w:rFonts w:hint="eastAsia" w:ascii="宋体" w:hAnsi="宋体" w:cs="宋体"/>
          <w:bCs/>
          <w:color w:val="auto"/>
          <w:sz w:val="24"/>
          <w:szCs w:val="24"/>
          <w:highlight w:val="none"/>
        </w:rPr>
        <w:t xml:space="preserve">规定的开标之日后</w:t>
      </w:r>
      <w:r>
        <w:rPr>
          <w:rFonts w:hint="eastAsia" w:ascii="宋体" w:hAnsi="宋体" w:cs="宋体"/>
          <w:b/>
          <w:color w:val="auto"/>
          <w:sz w:val="24"/>
          <w:szCs w:val="24"/>
          <w:highlight w:val="none"/>
          <w:u w:val="single"/>
        </w:rPr>
        <w:t xml:space="preserve">六十（60）天</w:t>
      </w:r>
      <w:r>
        <w:rPr>
          <w:rFonts w:hint="eastAsia" w:ascii="宋体" w:hAnsi="宋体" w:cs="宋体"/>
          <w:bCs/>
          <w:color w:val="auto"/>
          <w:sz w:val="24"/>
          <w:szCs w:val="24"/>
          <w:highlight w:val="none"/>
        </w:rPr>
        <w:t xml:space="preserve">。投标有效期比规定短的将被视为未实质性响应招标文件而予以拒绝。</w:t>
      </w:r>
      <w:r/>
    </w:p>
    <w:p>
      <w:pPr>
        <w:ind w:firstLine="480"/>
        <w:spacing w:line="440" w:lineRule="exact"/>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10、投标有效期的延长</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firstLine="562"/>
        <w:spacing w:line="440" w:lineRule="exact"/>
        <w:rPr>
          <w:rFonts w:ascii="宋体" w:hAnsi="宋体" w:cs="宋体"/>
          <w:b/>
          <w:bCs/>
          <w:color w:val="auto"/>
          <w:sz w:val="28"/>
          <w:szCs w:val="28"/>
          <w:highlight w:val="none"/>
        </w:rPr>
        <w:outlineLvl w:val="1"/>
      </w:pPr>
      <w:r/>
      <w:bookmarkStart w:id="157" w:name="_Hlt26954852"/>
      <w:r/>
      <w:bookmarkEnd w:id="157"/>
      <w:r/>
      <w:bookmarkStart w:id="158" w:name="_Hlt26954739"/>
      <w:r/>
      <w:bookmarkEnd w:id="158"/>
      <w:r/>
      <w:bookmarkStart w:id="159" w:name="_Toc120614217"/>
      <w:r/>
      <w:bookmarkStart w:id="160" w:name="_Toc239671898"/>
      <w:r/>
      <w:bookmarkStart w:id="161" w:name="_Toc20823296"/>
      <w:r/>
      <w:bookmarkStart w:id="162" w:name="_Toc27972"/>
      <w:r/>
      <w:bookmarkStart w:id="163" w:name="_Toc25691"/>
      <w:r/>
      <w:bookmarkStart w:id="164" w:name="_Toc18898"/>
      <w:r/>
      <w:bookmarkStart w:id="165" w:name="_Toc16938540"/>
      <w:r/>
      <w:bookmarkStart w:id="166" w:name="_Toc513029224"/>
      <w:r>
        <w:rPr>
          <w:rFonts w:hint="eastAsia" w:ascii="宋体" w:hAnsi="宋体" w:cs="宋体"/>
          <w:b/>
          <w:bCs/>
          <w:color w:val="auto"/>
          <w:sz w:val="28"/>
          <w:szCs w:val="28"/>
          <w:highlight w:val="none"/>
        </w:rPr>
        <w:t xml:space="preserve">四、投标文件的递交</w:t>
      </w:r>
      <w:bookmarkEnd w:id="159"/>
      <w:r/>
      <w:bookmarkEnd w:id="160"/>
      <w:r/>
      <w:bookmarkEnd w:id="161"/>
      <w:r/>
      <w:bookmarkEnd w:id="162"/>
      <w:r/>
      <w:bookmarkEnd w:id="163"/>
      <w:r/>
      <w:bookmarkEnd w:id="164"/>
      <w:r/>
      <w:bookmarkEnd w:id="165"/>
      <w:r/>
      <w:bookmarkEnd w:id="166"/>
      <w:r/>
      <w:r/>
    </w:p>
    <w:p>
      <w:pPr>
        <w:ind w:firstLine="480"/>
        <w:spacing w:line="440" w:lineRule="exact"/>
        <w:rPr>
          <w:rFonts w:ascii="宋体" w:hAnsi="宋体" w:cs="宋体"/>
          <w:color w:val="auto"/>
          <w:sz w:val="24"/>
          <w:szCs w:val="24"/>
          <w:highlight w:val="none"/>
        </w:rPr>
        <w:outlineLvl w:val="3"/>
      </w:pPr>
      <w:r/>
      <w:bookmarkStart w:id="167" w:name="_Toc462564084"/>
      <w:r/>
      <w:bookmarkStart w:id="168" w:name="_Toc513029225"/>
      <w:r/>
      <w:bookmarkStart w:id="169" w:name="_Toc16938541"/>
      <w:r/>
      <w:bookmarkStart w:id="170" w:name="_Toc20823297"/>
      <w:r>
        <w:rPr>
          <w:rFonts w:hint="eastAsia" w:ascii="宋体" w:hAnsi="宋体" w:cs="宋体"/>
          <w:color w:val="auto"/>
          <w:sz w:val="24"/>
          <w:szCs w:val="24"/>
          <w:highlight w:val="none"/>
        </w:rPr>
        <w:t xml:space="preserve">1、电子投标文件</w:t>
      </w:r>
      <w:bookmarkEnd w:id="167"/>
      <w:r/>
      <w:bookmarkEnd w:id="168"/>
      <w:r/>
      <w:bookmarkEnd w:id="169"/>
      <w:r/>
      <w:bookmarkEnd w:id="170"/>
      <w:r>
        <w:rPr>
          <w:rFonts w:hint="eastAsia" w:ascii="宋体" w:hAnsi="宋体" w:cs="宋体"/>
          <w:color w:val="auto"/>
          <w:sz w:val="24"/>
          <w:szCs w:val="24"/>
          <w:highlight w:val="none"/>
        </w:rPr>
        <w:t xml:space="preserve">的递交</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1.1投标人应当按照《苏采云系统供应商操作手册》规定，在投标截止时间前制作并上传电子投标文件。</w:t>
      </w:r>
      <w:bookmarkStart w:id="171" w:name="_Toc16938542"/>
      <w:r/>
      <w:bookmarkStart w:id="172" w:name="_Toc20823298"/>
      <w:r/>
      <w:bookmarkStart w:id="173" w:name="_Toc513029226"/>
      <w:r/>
      <w:r/>
    </w:p>
    <w:p>
      <w:pPr>
        <w:ind w:firstLine="480"/>
        <w:spacing w:line="440" w:lineRule="exact"/>
        <w:rPr>
          <w:rFonts w:ascii="宋体" w:hAnsi="宋体" w:cs="宋体"/>
          <w:bCs/>
          <w:color w:val="auto"/>
          <w:sz w:val="24"/>
          <w:szCs w:val="24"/>
          <w:highlight w:val="none"/>
        </w:rPr>
        <w:outlineLvl w:val="3"/>
      </w:pPr>
      <w:r>
        <w:rPr>
          <w:rFonts w:hint="eastAsia" w:ascii="宋体" w:hAnsi="宋体" w:cs="宋体"/>
          <w:bCs/>
          <w:color w:val="auto"/>
          <w:sz w:val="24"/>
          <w:szCs w:val="24"/>
          <w:highlight w:val="none"/>
        </w:rPr>
        <w:t xml:space="preserve">2、投标截止日期</w:t>
      </w:r>
      <w:bookmarkEnd w:id="171"/>
      <w:r/>
      <w:bookmarkEnd w:id="172"/>
      <w:r/>
      <w:bookmarkEnd w:id="173"/>
      <w:r/>
      <w:r/>
    </w:p>
    <w:p>
      <w:pPr>
        <w:ind w:firstLine="789"/>
        <w:spacing w:line="440" w:lineRule="exact"/>
        <w:rPr>
          <w:rFonts w:ascii="宋体" w:hAnsi="宋体" w:cs="宋体"/>
          <w:bCs/>
          <w:iCs/>
          <w:color w:val="auto"/>
          <w:sz w:val="24"/>
          <w:szCs w:val="24"/>
          <w:highlight w:val="none"/>
          <w:u w:val="single"/>
        </w:rPr>
      </w:pPr>
      <w:r>
        <w:rPr>
          <w:rFonts w:hint="eastAsia" w:ascii="宋体" w:hAnsi="宋体" w:cs="宋体"/>
          <w:iCs/>
          <w:color w:val="auto"/>
          <w:sz w:val="24"/>
          <w:szCs w:val="24"/>
          <w:highlight w:val="none"/>
          <w:u w:val="single"/>
        </w:rPr>
        <w:t xml:space="preserve">2.1</w:t>
      </w:r>
      <w:r>
        <w:rPr>
          <w:rFonts w:hint="eastAsia" w:ascii="宋体" w:hAnsi="宋体" w:cs="宋体"/>
          <w:bCs/>
          <w:iCs/>
          <w:color w:val="auto"/>
          <w:sz w:val="24"/>
          <w:szCs w:val="24"/>
          <w:highlight w:val="none"/>
          <w:u w:val="single"/>
        </w:rPr>
        <w:t xml:space="preserve"> 投标人上传电子投标文件的时间不得迟于招标公告中规定的投标截止时间。</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789"/>
        <w:spacing w:line="44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2.2</w:t>
      </w:r>
      <w:r>
        <w:rPr>
          <w:rFonts w:hint="eastAsia" w:ascii="宋体" w:hAnsi="宋体" w:cs="宋体"/>
          <w:bCs/>
          <w:color w:val="auto"/>
          <w:sz w:val="24"/>
          <w:szCs w:val="24"/>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80"/>
        <w:spacing w:line="440" w:lineRule="exact"/>
        <w:rPr>
          <w:rFonts w:ascii="宋体" w:hAnsi="宋体" w:cs="宋体"/>
          <w:color w:val="auto"/>
          <w:sz w:val="24"/>
          <w:szCs w:val="24"/>
          <w:highlight w:val="none"/>
        </w:rPr>
        <w:outlineLvl w:val="3"/>
      </w:pPr>
      <w:r/>
      <w:bookmarkStart w:id="174" w:name="_Toc513029227"/>
      <w:r/>
      <w:bookmarkStart w:id="175" w:name="_Toc20823299"/>
      <w:r/>
      <w:bookmarkStart w:id="176" w:name="_Toc16938543"/>
      <w:r>
        <w:rPr>
          <w:rFonts w:hint="eastAsia" w:ascii="宋体" w:hAnsi="宋体" w:cs="宋体"/>
          <w:color w:val="auto"/>
          <w:sz w:val="24"/>
          <w:szCs w:val="24"/>
          <w:highlight w:val="none"/>
        </w:rPr>
        <w:t xml:space="preserve">3、投标文件</w:t>
      </w:r>
      <w:bookmarkEnd w:id="174"/>
      <w:r/>
      <w:bookmarkEnd w:id="175"/>
      <w:r/>
      <w:bookmarkEnd w:id="176"/>
      <w:r>
        <w:rPr>
          <w:rFonts w:hint="eastAsia" w:ascii="宋体" w:hAnsi="宋体" w:cs="宋体"/>
          <w:color w:val="auto"/>
          <w:sz w:val="24"/>
          <w:szCs w:val="24"/>
          <w:highlight w:val="none"/>
        </w:rPr>
        <w:t xml:space="preserve">的拒收</w:t>
      </w:r>
      <w:r/>
    </w:p>
    <w:p>
      <w:pPr>
        <w:ind w:firstLine="789"/>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3.1 代理机构拒绝接收在其规定的投标截止时间后上传的任何投标文件。</w:t>
      </w:r>
      <w:r/>
    </w:p>
    <w:p>
      <w:pPr>
        <w:ind w:firstLine="480"/>
        <w:spacing w:line="440" w:lineRule="exact"/>
        <w:rPr>
          <w:rFonts w:ascii="宋体" w:hAnsi="宋体" w:cs="宋体"/>
          <w:color w:val="auto"/>
          <w:sz w:val="24"/>
          <w:szCs w:val="24"/>
          <w:highlight w:val="none"/>
        </w:rPr>
        <w:outlineLvl w:val="3"/>
      </w:pPr>
      <w:r/>
      <w:bookmarkStart w:id="177" w:name="_Toc16938544"/>
      <w:r/>
      <w:bookmarkStart w:id="178" w:name="_Toc513029228"/>
      <w:r/>
      <w:bookmarkStart w:id="179" w:name="_Toc20823300"/>
      <w:r>
        <w:rPr>
          <w:rFonts w:hint="eastAsia" w:ascii="宋体" w:hAnsi="宋体" w:cs="宋体"/>
          <w:color w:val="auto"/>
          <w:sz w:val="24"/>
          <w:szCs w:val="24"/>
          <w:highlight w:val="none"/>
        </w:rPr>
        <w:t xml:space="preserve">4、投标文件的撤回和修改</w:t>
      </w:r>
      <w:bookmarkEnd w:id="177"/>
      <w:r/>
      <w:bookmarkEnd w:id="178"/>
      <w:r/>
      <w:bookmarkEnd w:id="179"/>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4.1 投标文件的撤回</w:t>
      </w:r>
      <w:r/>
    </w:p>
    <w:p>
      <w:pPr>
        <w:ind w:firstLine="96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4.1.1 电子投标文件的撤回</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投标人可在投标截止时间前，撤回其电子投标文件，具体操作方法见《苏采云系统供应商操作手册》。</w:t>
      </w:r>
      <w:r/>
    </w:p>
    <w:p>
      <w:pPr>
        <w:ind w:firstLine="96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4.1.2 投标人撤回电子投标文件，则认为其不再参与本项目投标活动。</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4.2 投标文件的修改</w:t>
      </w:r>
      <w:r/>
    </w:p>
    <w:p>
      <w:pPr>
        <w:ind w:firstLine="96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4.2.1投标人可在投标截止时间前，对其电子投标文件进行修改，具体操作方法见《苏采云系统供应商操作手册》。</w:t>
      </w:r>
      <w:r/>
    </w:p>
    <w:p>
      <w:pPr>
        <w:ind w:firstLine="96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4.2.2 在投标截止时间之后，投标人不得对其电子投标文件作任何修改。</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4.3 在投标截止时间至招标文件中规定的投标有效期满之间的这段时间内，投标人不得撤回其投标。</w:t>
      </w:r>
      <w:r/>
    </w:p>
    <w:p>
      <w:pPr>
        <w:ind w:firstLine="562"/>
        <w:spacing w:line="440" w:lineRule="exact"/>
        <w:rPr>
          <w:rFonts w:ascii="宋体" w:hAnsi="宋体" w:cs="宋体"/>
          <w:b/>
          <w:bCs/>
          <w:color w:val="auto"/>
          <w:sz w:val="28"/>
          <w:szCs w:val="28"/>
          <w:highlight w:val="none"/>
        </w:rPr>
        <w:outlineLvl w:val="1"/>
      </w:pPr>
      <w:r/>
      <w:bookmarkStart w:id="180" w:name="_Toc1477"/>
      <w:r/>
      <w:bookmarkStart w:id="181" w:name="_Toc120614218"/>
      <w:r/>
      <w:bookmarkStart w:id="182" w:name="_Toc20236"/>
      <w:r/>
      <w:bookmarkStart w:id="183" w:name="_Toc29724"/>
      <w:r/>
      <w:bookmarkStart w:id="184" w:name="_Toc20823301"/>
      <w:r/>
      <w:bookmarkStart w:id="185" w:name="_Toc16938545"/>
      <w:r/>
      <w:bookmarkStart w:id="186" w:name="_Toc513029229"/>
      <w:r/>
      <w:bookmarkStart w:id="187" w:name="_Toc239671899"/>
      <w:r>
        <w:rPr>
          <w:rFonts w:hint="eastAsia" w:ascii="宋体" w:hAnsi="宋体" w:cs="宋体"/>
          <w:b/>
          <w:bCs/>
          <w:color w:val="auto"/>
          <w:sz w:val="28"/>
          <w:szCs w:val="28"/>
          <w:highlight w:val="none"/>
        </w:rPr>
        <w:t xml:space="preserve">五、开标与评标</w:t>
      </w:r>
      <w:bookmarkEnd w:id="180"/>
      <w:r/>
      <w:bookmarkEnd w:id="181"/>
      <w:r/>
      <w:bookmarkEnd w:id="182"/>
      <w:r/>
      <w:bookmarkEnd w:id="183"/>
      <w:r/>
      <w:bookmarkEnd w:id="184"/>
      <w:r/>
      <w:bookmarkEnd w:id="185"/>
      <w:r/>
      <w:bookmarkEnd w:id="186"/>
      <w:r/>
      <w:bookmarkEnd w:id="187"/>
      <w:r/>
      <w:r/>
    </w:p>
    <w:p>
      <w:pPr>
        <w:ind w:firstLine="480"/>
        <w:spacing w:line="440" w:lineRule="exact"/>
        <w:rPr>
          <w:rFonts w:ascii="宋体" w:hAnsi="宋体" w:cs="宋体"/>
          <w:color w:val="auto"/>
          <w:sz w:val="24"/>
          <w:szCs w:val="24"/>
          <w:highlight w:val="none"/>
        </w:rPr>
        <w:outlineLvl w:val="3"/>
      </w:pPr>
      <w:r/>
      <w:bookmarkStart w:id="188" w:name="_Toc513029230"/>
      <w:r/>
      <w:bookmarkStart w:id="189" w:name="_Toc16938546"/>
      <w:r/>
      <w:bookmarkStart w:id="190" w:name="_Toc20823302"/>
      <w:r>
        <w:rPr>
          <w:rFonts w:hint="eastAsia" w:ascii="宋体" w:hAnsi="宋体" w:cs="宋体"/>
          <w:color w:val="auto"/>
          <w:sz w:val="24"/>
          <w:szCs w:val="24"/>
          <w:highlight w:val="none"/>
        </w:rPr>
        <w:t xml:space="preserve">1、开标</w:t>
      </w:r>
      <w:bookmarkEnd w:id="188"/>
      <w:r/>
      <w:bookmarkEnd w:id="189"/>
      <w:r/>
      <w:bookmarkEnd w:id="190"/>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 代理机构将在招标公告中规定的时间和地点组织公开开标。投标人应当按照《苏采云系统供应商操作手册》规定，参加开标活动和在苏采云系统规定的时间内对投标文件进行解密。</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1.2开标仪式由代理机构组织。苏采云系统将自动对项目进行开标，并宣布各投标人名称和投标价格。</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1.3投标人在开标过程中涉及到的投标文件解密、开标结果确认等工作，应按照《苏采云系统供应商操作手册》规定执行。</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1.4投标人如果对开标过程和开标记录有疑义，应当根据《操作手册》规定提出，如苏采云系统中《开标记录表》宣布后5分钟内未提出的，视同认可开标结果。</w:t>
      </w:r>
      <w:r/>
    </w:p>
    <w:p>
      <w:pPr>
        <w:ind w:firstLine="480"/>
        <w:spacing w:line="440" w:lineRule="exact"/>
        <w:rPr>
          <w:rFonts w:ascii="宋体" w:hAnsi="宋体" w:cs="宋体"/>
          <w:color w:val="auto"/>
          <w:sz w:val="24"/>
          <w:szCs w:val="24"/>
          <w:highlight w:val="none"/>
        </w:rPr>
        <w:outlineLvl w:val="3"/>
      </w:pPr>
      <w:r/>
      <w:bookmarkStart w:id="191" w:name="_Toc16938547"/>
      <w:r/>
      <w:bookmarkStart w:id="192" w:name="_Toc20823303"/>
      <w:r/>
      <w:bookmarkStart w:id="193" w:name="_Toc513029231"/>
      <w:r>
        <w:rPr>
          <w:rFonts w:hint="eastAsia" w:ascii="宋体" w:hAnsi="宋体" w:cs="宋体"/>
          <w:color w:val="auto"/>
          <w:sz w:val="24"/>
          <w:szCs w:val="24"/>
          <w:highlight w:val="none"/>
        </w:rPr>
        <w:t xml:space="preserve">2、评标委员会</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 开标后，代理机构将立即组织评标委员会（以下简称评委会）进行评标。</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 评委会由采购人代表和有关技术、经济等方面的专家组成，且人员构成符合政府采购有关规定。</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2.3评委会独立工作，负责评审所有投标文件并确定中标侯选人。</w:t>
      </w:r>
      <w:r/>
    </w:p>
    <w:p>
      <w:pPr>
        <w:ind w:firstLine="480"/>
        <w:spacing w:line="440" w:lineRule="exact"/>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3．评标过程的保密与公正</w:t>
      </w:r>
      <w:bookmarkEnd w:id="191"/>
      <w:r/>
      <w:bookmarkEnd w:id="192"/>
      <w:r/>
      <w:bookmarkEnd w:id="193"/>
      <w:r/>
      <w:r/>
    </w:p>
    <w:p>
      <w:pPr>
        <w:ind w:firstLine="789"/>
        <w:spacing w:line="44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3.1</w:t>
      </w:r>
      <w:r>
        <w:rPr>
          <w:rFonts w:hint="eastAsia" w:ascii="宋体" w:hAnsi="宋体" w:cs="宋体"/>
          <w:bCs/>
          <w:color w:val="auto"/>
          <w:sz w:val="24"/>
          <w:szCs w:val="24"/>
          <w:highlight w:val="none"/>
        </w:rPr>
        <w:t xml:space="preserve">凡是与审查、澄清、评价和比较投标的有关资料以及授标建议等，采购人、评委、代理机构均不得向投标人或与评标无关的其他人员透露。</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3.2在评标过程中，投标人不得以任何行为影响评标过程，否则其投标文件将被作为无效投标文件。</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3.3 代理机构和评委会不向未中标的投标人解释未中标原因，也不公布评标过程中的相关细节。</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3.4 采用综合评分法的项目，未中标的投标人可于中标结果公告期限届满之日起通过苏采云系统查看自己的评审得分及排序情况。</w:t>
      </w:r>
      <w:r/>
    </w:p>
    <w:p>
      <w:pPr>
        <w:ind w:firstLine="480"/>
        <w:spacing w:line="440" w:lineRule="exact"/>
        <w:rPr>
          <w:rFonts w:ascii="宋体" w:hAnsi="宋体" w:cs="宋体"/>
          <w:color w:val="auto"/>
          <w:sz w:val="24"/>
          <w:szCs w:val="24"/>
          <w:highlight w:val="none"/>
        </w:rPr>
        <w:outlineLvl w:val="3"/>
      </w:pPr>
      <w:r/>
      <w:bookmarkStart w:id="194" w:name="_Toc513029232"/>
      <w:r/>
      <w:bookmarkStart w:id="195" w:name="_Toc16938548"/>
      <w:r/>
      <w:bookmarkStart w:id="196" w:name="_Toc20823304"/>
      <w:r>
        <w:rPr>
          <w:rFonts w:hint="eastAsia" w:ascii="宋体" w:hAnsi="宋体" w:cs="宋体"/>
          <w:color w:val="auto"/>
          <w:sz w:val="24"/>
          <w:szCs w:val="24"/>
          <w:highlight w:val="none"/>
        </w:rPr>
        <w:t xml:space="preserve">4. 投标文件的澄清</w:t>
      </w:r>
      <w:bookmarkEnd w:id="194"/>
      <w:r/>
      <w:bookmarkEnd w:id="195"/>
      <w:r/>
      <w:bookmarkEnd w:id="196"/>
      <w:r/>
      <w:r/>
    </w:p>
    <w:p>
      <w:pPr>
        <w:ind w:firstLine="789"/>
        <w:spacing w:line="440" w:lineRule="exact"/>
        <w:rPr>
          <w:rFonts w:ascii="宋体" w:hAnsi="宋体" w:cs="宋体"/>
          <w:color w:val="auto"/>
          <w:sz w:val="24"/>
          <w:szCs w:val="24"/>
          <w:highlight w:val="none"/>
        </w:rPr>
      </w:pPr>
      <w:r/>
      <w:bookmarkStart w:id="197" w:name="_Toc513029233"/>
      <w:r/>
      <w:bookmarkStart w:id="198" w:name="_Toc16938549"/>
      <w:r/>
      <w:bookmarkStart w:id="199" w:name="_Toc20823305"/>
      <w:r>
        <w:rPr>
          <w:rFonts w:hint="eastAsia" w:ascii="宋体" w:hAnsi="宋体" w:cs="宋体"/>
          <w:color w:val="auto"/>
          <w:sz w:val="24"/>
          <w:szCs w:val="24"/>
          <w:highlight w:val="none"/>
        </w:rPr>
        <w:t xml:space="preserve">4.1评标期间，评委会对投标文件中含义不明确、同类问题表述不一致或者有明显文字和计算错误的内容 ，有权要求投标人作出必要的澄清、说明或者补正。</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投标人的澄清、说明或者补正不得超出投标文件的范围或者改变投标文件的实质性内容。</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评标委员会并非对每个投标人都做澄清要求。</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4.3 接到评委会澄清、说明和补正要求的投标人如未按规定做出澄清、说明和补正，其风险由投标人自行承担。</w:t>
      </w:r>
      <w:r/>
    </w:p>
    <w:p>
      <w:pPr>
        <w:ind w:firstLine="480"/>
        <w:spacing w:line="440" w:lineRule="exact"/>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5. 对投标文件的初审</w:t>
      </w:r>
      <w:bookmarkEnd w:id="197"/>
      <w:r/>
      <w:bookmarkEnd w:id="198"/>
      <w:r/>
      <w:bookmarkEnd w:id="199"/>
      <w:r/>
      <w:r/>
    </w:p>
    <w:p>
      <w:pPr>
        <w:ind w:firstLine="789"/>
        <w:spacing w:line="44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5.1</w:t>
      </w:r>
      <w:r>
        <w:rPr>
          <w:rFonts w:hint="eastAsia" w:ascii="宋体" w:hAnsi="宋体" w:cs="宋体"/>
          <w:bCs/>
          <w:color w:val="auto"/>
          <w:sz w:val="24"/>
          <w:szCs w:val="24"/>
          <w:highlight w:val="none"/>
        </w:rPr>
        <w:t xml:space="preserve">投标文件初审分为资格审查和符合性审查。</w:t>
      </w:r>
      <w:r/>
    </w:p>
    <w:p>
      <w:pPr>
        <w:ind w:firstLine="1027"/>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5.1.1 资格审查：依据法律法规和招标文件的规定，由采购人对投标文件中的资格证明文件进行审查。资格审查的结论，采购人以书面形式向评委会进行反馈。</w:t>
      </w:r>
      <w:r/>
    </w:p>
    <w:p>
      <w:pPr>
        <w:ind w:firstLine="789"/>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采购人在进行资格性审查的同时，将在</w:t>
      </w:r>
      <w:r>
        <w:rPr>
          <w:rFonts w:hint="eastAsia" w:cs="宋体"/>
          <w:color w:val="auto"/>
          <w:sz w:val="24"/>
          <w:szCs w:val="24"/>
          <w:highlight w:val="none"/>
        </w:rPr>
        <w:t xml:space="preserve">中国政府采购网</w:t>
      </w:r>
      <w:r>
        <w:rPr>
          <w:rFonts w:cs="宋体"/>
          <w:color w:val="auto"/>
          <w:sz w:val="24"/>
          <w:szCs w:val="24"/>
          <w:highlight w:val="none"/>
        </w:rPr>
        <w:t xml:space="preserve">(http://www.ccgp.gov.cn/search/cr/)、信用中国（https://www.creditchina.gov.cn/）、信用江苏（http://credit.jiangsu.gov.cn/）、信用中国（江苏苏州）（https://credit.suzhou.gov.cn/）</w:t>
      </w:r>
      <w:r>
        <w:rPr>
          <w:rFonts w:hint="eastAsia" w:ascii="宋体" w:hAnsi="宋体" w:cs="宋体"/>
          <w:bCs/>
          <w:color w:val="auto"/>
          <w:sz w:val="24"/>
          <w:szCs w:val="24"/>
          <w:highlight w:val="none"/>
        </w:rPr>
        <w:t xml:space="preserve">等查询投标人的信用记录，以确定投标人是否具备投标资格,查询结果留存并归档。</w:t>
      </w:r>
      <w:r/>
    </w:p>
    <w:p>
      <w:pPr>
        <w:ind w:firstLine="789"/>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1027"/>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5.1.2 符合性审查：依据招标文件的规定，由评委会从投标文件的有效性、完整性和对招标文件的响应程度进行审查，以确定是否对招标文件的实质性要求作出响应。</w:t>
      </w:r>
      <w:r/>
    </w:p>
    <w:p>
      <w:pPr>
        <w:ind w:firstLine="1027"/>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5.1.3 未通过资格审查或符合性审查的投标人，代理机构将在苏采云系统中告知未通过资格审查或符合性审查的原因，评审结束后，代理机构将不再告知未通过资格审查或符合性审查的原因。</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auto"/>
          <w:sz w:val="24"/>
          <w:szCs w:val="24"/>
          <w:highlight w:val="none"/>
        </w:rPr>
        <w:t xml:space="preserve">评委决定投标文件的响应性只根据投标文件本身的内容，而不寻求外部的证据。</w:t>
      </w:r>
      <w:r/>
    </w:p>
    <w:p>
      <w:pPr>
        <w:ind w:firstLine="789"/>
        <w:spacing w:line="44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5.3</w:t>
      </w:r>
      <w:r>
        <w:rPr>
          <w:rFonts w:hint="eastAsia" w:ascii="宋体" w:hAnsi="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789"/>
        <w:spacing w:line="44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5.4</w:t>
      </w:r>
      <w:r>
        <w:rPr>
          <w:rFonts w:hint="eastAsia" w:ascii="宋体" w:hAnsi="宋体" w:cs="宋体"/>
          <w:bCs/>
          <w:color w:val="auto"/>
          <w:sz w:val="24"/>
          <w:szCs w:val="24"/>
          <w:highlight w:val="none"/>
        </w:rPr>
        <w:t xml:space="preserve">评委会将对确定为实质性响应的投标进行进一步审核，看其是否有计算上或累加上的算术错误，修正错误的原则如下：</w:t>
      </w:r>
      <w:r/>
    </w:p>
    <w:p>
      <w:pPr>
        <w:ind w:firstLine="789"/>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（1）投标文件中开标一览表内容与投标文件中相应内容不一致的，以开标一览表为准。</w:t>
      </w:r>
      <w:r/>
    </w:p>
    <w:p>
      <w:pPr>
        <w:ind w:firstLine="789"/>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（2）大写金额和小写金额不一致的，以大写金额为准。</w:t>
      </w:r>
      <w:r/>
    </w:p>
    <w:p>
      <w:pPr>
        <w:ind w:firstLine="789"/>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（3）单价金额小数点或者百分比有明显错位的，以开标一览表的总价为准，并修改单价。</w:t>
      </w:r>
      <w:r/>
    </w:p>
    <w:p>
      <w:pPr>
        <w:ind w:firstLine="789"/>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（4）总价金额与按单价汇总金额不一致的，以单价金额计算结果为准。</w:t>
      </w:r>
      <w:r/>
    </w:p>
    <w:p>
      <w:pPr>
        <w:ind w:firstLine="96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同时出现两种以上错误的，按照前款规定的顺序修正。</w:t>
      </w:r>
      <w:r/>
    </w:p>
    <w:p>
      <w:pPr>
        <w:ind w:firstLine="789"/>
        <w:spacing w:line="44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5.5</w:t>
      </w:r>
      <w:r>
        <w:rPr>
          <w:rFonts w:hint="eastAsia" w:ascii="宋体" w:hAnsi="宋体" w:cs="宋体"/>
          <w:bCs/>
          <w:color w:val="auto"/>
          <w:sz w:val="24"/>
          <w:szCs w:val="24"/>
          <w:highlight w:val="none"/>
        </w:rPr>
        <w:t xml:space="preserve">评委会将按上述修正错误的方法调整投标文件中的投标报价，并通过</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告知投标人，调整后的价格应对投标人具有约束力。如果投标人不接受修正后的价格，则其投标将被拒绝。</w:t>
      </w:r>
      <w:r/>
    </w:p>
    <w:p>
      <w:pPr>
        <w:ind w:firstLine="789"/>
        <w:spacing w:line="440" w:lineRule="exact"/>
        <w:rPr>
          <w:rFonts w:ascii="宋体" w:hAnsi="宋体" w:cs="宋体"/>
          <w:color w:val="auto"/>
          <w:sz w:val="24"/>
          <w:szCs w:val="24"/>
          <w:highlight w:val="none"/>
        </w:rPr>
      </w:pPr>
      <w:r/>
      <w:bookmarkStart w:id="200" w:name="_Toc20823306"/>
      <w:r/>
      <w:bookmarkStart w:id="201" w:name="_Toc513029234"/>
      <w:r/>
      <w:bookmarkStart w:id="202" w:name="_Toc16938550"/>
      <w:r>
        <w:rPr>
          <w:rFonts w:hint="eastAsia" w:ascii="宋体" w:hAnsi="宋体" w:cs="宋体"/>
          <w:color w:val="auto"/>
          <w:sz w:val="24"/>
          <w:szCs w:val="24"/>
          <w:highlight w:val="none"/>
        </w:rPr>
        <w:t xml:space="preserve">5.6使用综合评分法的采购项目，评委会将对通过资格性和符合性检查的投标人进行综合评审，按评审后得分由高到低顺序排列。评审得分相同的，由</w:t>
      </w:r>
      <w:r>
        <w:rPr>
          <w:rFonts w:hint="eastAsia" w:ascii="宋体" w:hAnsi="宋体" w:cs="宋体"/>
          <w:bCs/>
          <w:color w:val="auto"/>
          <w:sz w:val="24"/>
          <w:szCs w:val="24"/>
          <w:highlight w:val="none"/>
        </w:rPr>
        <w:t xml:space="preserve">评委会</w:t>
      </w:r>
      <w:r>
        <w:rPr>
          <w:rFonts w:hint="eastAsia" w:ascii="宋体" w:hAnsi="宋体" w:cs="宋体"/>
          <w:color w:val="auto"/>
          <w:sz w:val="24"/>
          <w:szCs w:val="24"/>
          <w:highlight w:val="none"/>
        </w:rPr>
        <w:t xml:space="preserve">根据招标文件规定的方式（招标文件未规定的采取随机抽取的方式）确定一个中标候选人。</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5.7投标人在开、评标全过程中应保持通讯畅通，及时登录苏采云系统查阅、答复相关信息，并安排专人与代理机构及</w:t>
      </w:r>
      <w:r>
        <w:rPr>
          <w:rFonts w:hint="eastAsia" w:ascii="宋体" w:hAnsi="宋体" w:cs="宋体"/>
          <w:bCs/>
          <w:color w:val="auto"/>
          <w:sz w:val="24"/>
          <w:szCs w:val="24"/>
          <w:highlight w:val="none"/>
        </w:rPr>
        <w:t xml:space="preserve">评委会</w:t>
      </w:r>
      <w:r>
        <w:rPr>
          <w:rFonts w:hint="eastAsia" w:ascii="宋体" w:hAnsi="宋体" w:cs="宋体"/>
          <w:color w:val="auto"/>
          <w:sz w:val="24"/>
          <w:szCs w:val="24"/>
          <w:highlight w:val="none"/>
        </w:rPr>
        <w:t xml:space="preserve">联系。</w:t>
      </w:r>
      <w:r/>
    </w:p>
    <w:p>
      <w:pPr>
        <w:ind w:firstLine="480"/>
        <w:spacing w:line="440" w:lineRule="exact"/>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6</w:t>
      </w:r>
      <w:bookmarkEnd w:id="200"/>
      <w:r/>
      <w:bookmarkEnd w:id="201"/>
      <w:r/>
      <w:bookmarkEnd w:id="202"/>
      <w:r>
        <w:rPr>
          <w:rFonts w:hint="eastAsia" w:ascii="宋体" w:hAnsi="宋体" w:cs="宋体"/>
          <w:color w:val="auto"/>
          <w:sz w:val="24"/>
          <w:szCs w:val="24"/>
          <w:highlight w:val="none"/>
        </w:rPr>
        <w:t xml:space="preserve">.无效投标条款和废标条款</w:t>
      </w:r>
      <w:r/>
    </w:p>
    <w:p>
      <w:pPr>
        <w:ind w:firstLine="789"/>
        <w:spacing w:line="440" w:lineRule="exact"/>
        <w:rPr>
          <w:rFonts w:ascii="宋体" w:hAnsi="宋体" w:cs="宋体"/>
          <w:color w:val="auto"/>
          <w:sz w:val="24"/>
          <w:szCs w:val="24"/>
          <w:highlight w:val="none"/>
        </w:rPr>
      </w:pPr>
      <w:r/>
      <w:bookmarkStart w:id="203" w:name="_Toc16938551"/>
      <w:r/>
      <w:bookmarkStart w:id="204" w:name="_Toc513029235"/>
      <w:r/>
      <w:bookmarkStart w:id="205" w:name="_Toc20823307"/>
      <w:r>
        <w:rPr>
          <w:rFonts w:hint="eastAsia" w:ascii="宋体" w:hAnsi="宋体" w:cs="宋体"/>
          <w:color w:val="auto"/>
          <w:sz w:val="24"/>
          <w:szCs w:val="24"/>
          <w:highlight w:val="none"/>
        </w:rPr>
        <w:t xml:space="preserve">6.1无效投标条款</w:t>
      </w:r>
      <w:r/>
    </w:p>
    <w:p>
      <w:pPr>
        <w:ind w:firstLine="1027"/>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6.1.1 投标人在苏采云系统规定的时间内未成功解密电子投标文件的。</w:t>
      </w:r>
      <w:r/>
    </w:p>
    <w:p>
      <w:pPr>
        <w:ind w:firstLine="1027"/>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6.1.2 投标人未按照招标文件要求上传电子投标文件的。</w:t>
      </w:r>
      <w:r/>
    </w:p>
    <w:p>
      <w:pPr>
        <w:ind w:firstLine="1027"/>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6.1.3同一投标人提交两个（含两个）以上不同的投标报价的。</w:t>
      </w:r>
      <w:r/>
    </w:p>
    <w:p>
      <w:pPr>
        <w:ind w:firstLine="1027"/>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6.1.4投标人不具备招标文件中规定资格要求的。</w:t>
      </w:r>
      <w:r/>
    </w:p>
    <w:p>
      <w:pPr>
        <w:ind w:firstLine="1027"/>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6.1.5投标人的报价超过了采购预算或最高限价的。</w:t>
      </w:r>
      <w:r/>
    </w:p>
    <w:p>
      <w:pPr>
        <w:ind w:firstLine="1027"/>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6.1.6未通过符合性审查的。</w:t>
      </w:r>
      <w:r/>
    </w:p>
    <w:p>
      <w:pPr>
        <w:ind w:firstLine="1027"/>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6.1.7不符合招标文件中规定的实质性要求和条件的</w:t>
      </w:r>
      <w:r>
        <w:rPr>
          <w:rFonts w:hint="eastAsia" w:ascii="宋体" w:hAnsi="宋体"/>
          <w:bCs/>
          <w:color w:val="auto"/>
          <w:sz w:val="24"/>
          <w:szCs w:val="21"/>
          <w:highlight w:val="none"/>
        </w:rPr>
        <w:t xml:space="preserve">（</w:t>
      </w:r>
      <w:r>
        <w:rPr>
          <w:rFonts w:hint="eastAsia" w:ascii="宋体" w:hAnsi="宋体"/>
          <w:bCs/>
          <w:i/>
          <w:color w:val="auto"/>
          <w:sz w:val="24"/>
          <w:szCs w:val="21"/>
          <w:highlight w:val="none"/>
          <w:u w:val="single"/>
        </w:rPr>
        <w:t xml:space="preserve">本招标文件中斜体且有下划线部分为实质性要求和条件）</w:t>
      </w:r>
      <w:r>
        <w:rPr>
          <w:rFonts w:hint="eastAsia" w:ascii="宋体" w:hAnsi="宋体" w:cs="宋体"/>
          <w:bCs/>
          <w:color w:val="auto"/>
          <w:sz w:val="24"/>
          <w:szCs w:val="24"/>
          <w:highlight w:val="none"/>
        </w:rPr>
        <w:t xml:space="preserve">。</w:t>
      </w:r>
      <w:r/>
    </w:p>
    <w:p>
      <w:pPr>
        <w:ind w:firstLine="1027"/>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6.1.8 投标人在中国政府采购网、信用中国网站、信用江苏网站、信用中国（江苏苏州）网站存在下列依法拒绝投标人参加政府采购的失信信息的。</w:t>
      </w:r>
      <w:r/>
    </w:p>
    <w:p>
      <w:pPr>
        <w:ind w:firstLine="7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（1）政府采购严重违法记录，即投标人被全国各级财政部门列入“政府采购严重违法失信行为记录名单”，且在处罚有效期内的。</w:t>
      </w:r>
      <w:r/>
    </w:p>
    <w:p>
      <w:pPr>
        <w:ind w:firstLine="7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p>
    <w:p>
      <w:pPr>
        <w:ind w:firstLine="1027"/>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6.1.9  投标文件含有采购人不能接受的附加条件的。</w:t>
      </w:r>
      <w:r/>
    </w:p>
    <w:p>
      <w:pPr>
        <w:ind w:firstLine="1027"/>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6.1.10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1027"/>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1027"/>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6.1.12 投标文件未按照招标文件要求加盖CA电子公章的。</w:t>
      </w:r>
      <w:r/>
    </w:p>
    <w:p>
      <w:pPr>
        <w:ind w:firstLine="1027"/>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6.1.13其他法律、法规及本招标文件规定的属无效投标的情形。</w:t>
      </w:r>
      <w:r/>
    </w:p>
    <w:p>
      <w:pPr>
        <w:ind w:left="479" w:firstLine="24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6.2废标条款</w:t>
      </w:r>
      <w:r/>
    </w:p>
    <w:p>
      <w:pPr>
        <w:ind w:left="479"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6.2.1符合专业条件的供应商或者对招标文件作实质响应的供应商不足三家的。</w:t>
      </w:r>
      <w:r/>
    </w:p>
    <w:p>
      <w:pPr>
        <w:ind w:left="479"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6.2.2出现影响采购公正的违法、违规行为的。</w:t>
      </w:r>
      <w:r/>
    </w:p>
    <w:p>
      <w:pPr>
        <w:ind w:left="479"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6.2.3因重大变故，采购任务取消的。</w:t>
      </w:r>
      <w:r/>
    </w:p>
    <w:p>
      <w:pPr>
        <w:ind w:left="479"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6.2.4评标委员会认定招标文件存在歧义、重大缺陷导致评审工作无法进行。</w:t>
      </w:r>
      <w:r/>
    </w:p>
    <w:p>
      <w:pPr>
        <w:ind w:left="479"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6.2.5 因</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系统故障原因造成开标不成功的。</w:t>
      </w:r>
      <w:r/>
    </w:p>
    <w:p>
      <w:pPr>
        <w:ind w:left="479" w:firstLine="24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6.3 投标截止时间结束后参加投标的供应商不足三家的处理：</w:t>
      </w:r>
      <w:r/>
    </w:p>
    <w:p>
      <w:pPr>
        <w:ind w:firstLine="1027"/>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6.3.1如出现投标截止时间结束后参加投标的供应商或者在评标期间对招标文件做出实质响应的供应商不足三家情况，按政府采购相关规定执行。</w:t>
      </w:r>
      <w:r/>
    </w:p>
    <w:p>
      <w:pPr>
        <w:ind w:firstLine="562"/>
        <w:spacing w:line="440" w:lineRule="exact"/>
        <w:rPr>
          <w:rFonts w:ascii="宋体" w:hAnsi="宋体" w:cs="宋体"/>
          <w:b/>
          <w:bCs/>
          <w:color w:val="auto"/>
          <w:sz w:val="28"/>
          <w:szCs w:val="28"/>
          <w:highlight w:val="none"/>
        </w:rPr>
        <w:outlineLvl w:val="1"/>
      </w:pPr>
      <w:r/>
      <w:bookmarkStart w:id="206" w:name="_Toc14618"/>
      <w:r/>
      <w:bookmarkStart w:id="207" w:name="_Toc22057"/>
      <w:r/>
      <w:bookmarkStart w:id="208" w:name="_Toc120614219"/>
      <w:r/>
      <w:bookmarkStart w:id="209" w:name="_Toc239671900"/>
      <w:r/>
      <w:bookmarkStart w:id="210" w:name="_Toc3565"/>
      <w:r>
        <w:rPr>
          <w:rFonts w:hint="eastAsia" w:ascii="宋体" w:hAnsi="宋体" w:cs="宋体"/>
          <w:b/>
          <w:bCs/>
          <w:color w:val="auto"/>
          <w:sz w:val="28"/>
          <w:szCs w:val="28"/>
          <w:highlight w:val="none"/>
        </w:rPr>
        <w:t xml:space="preserve">六、</w:t>
      </w:r>
      <w:bookmarkEnd w:id="203"/>
      <w:r/>
      <w:bookmarkEnd w:id="204"/>
      <w:r/>
      <w:bookmarkEnd w:id="205"/>
      <w:r>
        <w:rPr>
          <w:rFonts w:hint="eastAsia" w:ascii="宋体" w:hAnsi="宋体" w:cs="宋体"/>
          <w:b/>
          <w:bCs/>
          <w:color w:val="auto"/>
          <w:sz w:val="28"/>
          <w:szCs w:val="28"/>
          <w:highlight w:val="none"/>
        </w:rPr>
        <w:t xml:space="preserve">定标</w:t>
      </w:r>
      <w:bookmarkEnd w:id="206"/>
      <w:r/>
      <w:bookmarkEnd w:id="207"/>
      <w:r/>
      <w:bookmarkEnd w:id="208"/>
      <w:r/>
      <w:bookmarkEnd w:id="209"/>
      <w:r/>
      <w:bookmarkEnd w:id="210"/>
      <w:r/>
      <w:r/>
    </w:p>
    <w:p>
      <w:pPr>
        <w:ind w:firstLine="480"/>
        <w:spacing w:line="440" w:lineRule="exact"/>
        <w:rPr>
          <w:rFonts w:ascii="宋体" w:hAnsi="宋体" w:cs="宋体"/>
          <w:bCs/>
          <w:color w:val="auto"/>
          <w:sz w:val="24"/>
          <w:szCs w:val="24"/>
          <w:highlight w:val="none"/>
        </w:rPr>
        <w:outlineLvl w:val="3"/>
      </w:pPr>
      <w:r/>
      <w:bookmarkStart w:id="211" w:name="_Toc513029238"/>
      <w:r/>
      <w:bookmarkStart w:id="212" w:name="_Toc20823310"/>
      <w:r/>
      <w:bookmarkStart w:id="213" w:name="_Toc16938554"/>
      <w:r>
        <w:rPr>
          <w:rFonts w:hint="eastAsia" w:ascii="宋体" w:hAnsi="宋体" w:cs="宋体"/>
          <w:bCs/>
          <w:color w:val="auto"/>
          <w:sz w:val="24"/>
          <w:szCs w:val="24"/>
          <w:highlight w:val="none"/>
        </w:rPr>
        <w:t xml:space="preserve">1、</w:t>
      </w:r>
      <w:bookmarkEnd w:id="211"/>
      <w:r>
        <w:rPr>
          <w:rFonts w:hint="eastAsia" w:ascii="宋体" w:hAnsi="宋体" w:cs="宋体"/>
          <w:bCs/>
          <w:color w:val="auto"/>
          <w:sz w:val="24"/>
          <w:szCs w:val="24"/>
          <w:highlight w:val="none"/>
        </w:rPr>
        <w:t xml:space="preserve">确定</w:t>
      </w:r>
      <w:bookmarkEnd w:id="212"/>
      <w:r/>
      <w:bookmarkEnd w:id="213"/>
      <w:r>
        <w:rPr>
          <w:rFonts w:hint="eastAsia" w:ascii="宋体" w:hAnsi="宋体" w:cs="宋体"/>
          <w:bCs/>
          <w:color w:val="auto"/>
          <w:sz w:val="24"/>
          <w:szCs w:val="24"/>
          <w:highlight w:val="none"/>
        </w:rPr>
        <w:t xml:space="preserve">中标单位</w:t>
      </w:r>
      <w:r/>
    </w:p>
    <w:p>
      <w:pPr>
        <w:ind w:firstLine="789"/>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1.1中标候选人的选取原则和数量见招标文件第五章规定。 </w:t>
      </w:r>
      <w:r/>
    </w:p>
    <w:p>
      <w:pPr>
        <w:ind w:firstLine="789"/>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1.2 采购人应根据评委会推荐的中标候选人确定中标人。</w:t>
      </w:r>
      <w:r/>
    </w:p>
    <w:p>
      <w:pPr>
        <w:ind w:firstLine="789"/>
        <w:spacing w:line="44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1.3 </w:t>
      </w:r>
      <w:r>
        <w:rPr>
          <w:rFonts w:hint="eastAsia" w:ascii="宋体" w:hAnsi="宋体" w:cs="宋体"/>
          <w:color w:val="auto"/>
          <w:sz w:val="24"/>
          <w:szCs w:val="24"/>
          <w:highlight w:val="none"/>
        </w:rPr>
        <w:t xml:space="preserve">代理机构将在指定媒体上发布中标公告，公告期限为1个工作日。</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  若有充分证据证明，中标人出现下列情况之一的，一经查实，将被取消中标资格：</w:t>
      </w:r>
      <w:r/>
    </w:p>
    <w:p>
      <w:pPr>
        <w:ind w:firstLine="1027"/>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1.4.1提供虚假材料谋取中标的。</w:t>
      </w:r>
      <w:r/>
    </w:p>
    <w:p>
      <w:pPr>
        <w:ind w:firstLine="1027"/>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1.4.2向采购人、代理机构行贿或者提供其他不正当利益的。</w:t>
      </w:r>
      <w:r/>
    </w:p>
    <w:p>
      <w:pPr>
        <w:ind w:firstLine="1027"/>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1.4.3属于本文件规定的无效条件，但在评标过程中又未被评委会发现的。</w:t>
      </w:r>
      <w:r/>
    </w:p>
    <w:p>
      <w:pPr>
        <w:ind w:firstLine="1027"/>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1.4.4与采购人或者其他供应商恶意串通的。</w:t>
      </w:r>
      <w:r/>
    </w:p>
    <w:p>
      <w:pPr>
        <w:ind w:firstLine="1027"/>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1.4.5采取不正当手段诋毁、排挤其他供应商的。</w:t>
      </w:r>
      <w:r/>
    </w:p>
    <w:p>
      <w:pPr>
        <w:ind w:firstLine="789"/>
        <w:spacing w:line="440" w:lineRule="exact"/>
        <w:rPr>
          <w:rFonts w:ascii="宋体" w:hAnsi="宋体" w:cs="宋体"/>
          <w:color w:val="auto"/>
          <w:sz w:val="24"/>
          <w:szCs w:val="24"/>
          <w:highlight w:val="none"/>
        </w:rPr>
      </w:pPr>
      <w:r/>
      <w:bookmarkStart w:id="214" w:name="_Toc200451960"/>
      <w:r>
        <w:rPr>
          <w:rFonts w:hint="eastAsia" w:ascii="宋体" w:hAnsi="宋体" w:cs="宋体"/>
          <w:color w:val="auto"/>
          <w:sz w:val="24"/>
          <w:szCs w:val="24"/>
          <w:highlight w:val="none"/>
        </w:rPr>
        <w:t xml:space="preserve">1.5. 有下列情形之一的，视为投标人串通投标，投标无效：</w:t>
      </w:r>
      <w:r/>
    </w:p>
    <w:p>
      <w:pPr>
        <w:ind w:firstLine="1027"/>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1.5.1不同投标人的投标文件由同一单位或者个人编制；</w:t>
      </w:r>
      <w:r/>
    </w:p>
    <w:p>
      <w:pPr>
        <w:ind w:firstLine="1027"/>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1.5.2不同投标人委托同一单位或者个人办理投标事宜；</w:t>
      </w:r>
      <w:r/>
    </w:p>
    <w:p>
      <w:pPr>
        <w:ind w:firstLine="1027"/>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1.5.3 不同投标人的投标文件载明的项目管理成员或者联系人员为同一人；</w:t>
      </w:r>
      <w:r/>
    </w:p>
    <w:p>
      <w:pPr>
        <w:ind w:firstLine="1027"/>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1.5.4不同投标人的投标文件异常一致或者投标报价呈规律性差异；</w:t>
      </w:r>
      <w:r/>
    </w:p>
    <w:p>
      <w:pPr>
        <w:ind w:firstLine="480"/>
        <w:spacing w:line="440" w:lineRule="exact"/>
        <w:rPr>
          <w:rFonts w:ascii="宋体" w:hAnsi="宋体" w:cs="宋体"/>
          <w:bCs/>
          <w:color w:val="auto"/>
          <w:sz w:val="24"/>
          <w:szCs w:val="24"/>
          <w:highlight w:val="none"/>
        </w:rPr>
        <w:outlineLvl w:val="3"/>
      </w:pPr>
      <w:r>
        <w:rPr>
          <w:rFonts w:hint="eastAsia" w:ascii="宋体" w:hAnsi="宋体" w:cs="宋体"/>
          <w:bCs/>
          <w:color w:val="auto"/>
          <w:sz w:val="24"/>
          <w:szCs w:val="24"/>
          <w:highlight w:val="none"/>
        </w:rPr>
        <w:t xml:space="preserve">2、质疑处理</w:t>
      </w:r>
      <w:bookmarkEnd w:id="214"/>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 提出质疑的供应商应当是参与所质疑项目采购活动的供应商。潜在供应商依法获取其可质疑的采购文件的，可以对采购文件提出质疑。请将</w:t>
      </w:r>
      <w:bookmarkStart w:id="215" w:name="_Hlk98510751"/>
      <w:r>
        <w:rPr>
          <w:rFonts w:hint="eastAsia" w:ascii="宋体" w:hAnsi="宋体" w:cs="宋体"/>
          <w:color w:val="auto"/>
          <w:sz w:val="24"/>
          <w:szCs w:val="24"/>
          <w:highlight w:val="none"/>
        </w:rPr>
        <w:t xml:space="preserve">获取采购文件后打印留存的《投标供应商确认函》等</w:t>
      </w:r>
      <w:bookmarkEnd w:id="215"/>
      <w:r>
        <w:rPr>
          <w:rFonts w:hint="eastAsia" w:ascii="宋体" w:hAnsi="宋体" w:cs="宋体"/>
          <w:color w:val="auto"/>
          <w:sz w:val="24"/>
          <w:szCs w:val="24"/>
          <w:highlight w:val="none"/>
        </w:rPr>
        <w:t xml:space="preserve">必要的证明材料与质疑函一起递交，否则不予受理。</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2.2供应商认为采购文件、采购过程和采购结果使自己的权益受到损害的，可以在知道或应知其权益受到损害之日起七个工作日内，以书面形式提出质疑。上述应知其权益受到损害之日，是指：</w:t>
      </w:r>
      <w:r/>
    </w:p>
    <w:p>
      <w:pPr>
        <w:ind w:firstLine="1027"/>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2.2.1对可以质疑的采购文件提出质疑的，为收到采购文件之日或者采购文件公告期限届满之日；</w:t>
      </w:r>
      <w:r/>
    </w:p>
    <w:p>
      <w:pPr>
        <w:ind w:firstLine="1027"/>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2.2.2对采购过程提出质疑的，为各采购程序环节结束之日；</w:t>
      </w:r>
      <w:r/>
    </w:p>
    <w:p>
      <w:pPr>
        <w:ind w:firstLine="1027"/>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2.2.3对中标或者成交结果提出质疑的，为中标或者成交结果公告期限届满之日。</w:t>
      </w:r>
      <w:r/>
    </w:p>
    <w:p>
      <w:pPr>
        <w:ind w:firstLine="1027"/>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787"/>
        <w:spacing w:line="440" w:lineRule="exact"/>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2.4代理机构只接收以纸质原件形式送达的质疑</w:t>
      </w:r>
      <w:r>
        <w:rPr>
          <w:rFonts w:hint="eastAsia" w:ascii="宋体" w:hAnsi="宋体" w:cs="宋体"/>
          <w:b/>
          <w:bCs/>
          <w:color w:val="auto"/>
          <w:sz w:val="24"/>
          <w:szCs w:val="24"/>
          <w:highlight w:val="none"/>
        </w:rPr>
        <w:t xml:space="preserve">（采购人和代理机构不接受未填写快递运单的快件），</w:t>
      </w:r>
      <w:r>
        <w:rPr>
          <w:rFonts w:hint="eastAsia" w:ascii="宋体" w:hAnsi="宋体" w:cs="宋体"/>
          <w:color w:val="auto"/>
          <w:sz w:val="24"/>
          <w:highlight w:val="none"/>
        </w:rPr>
        <w:t xml:space="preserve">质疑接收单位为苏州新一造价师价格事务所有限公司，联系地址：常熟市开元东路2号一楼，联系人：韩忆程，联系电话：189 1565 5067</w:t>
      </w:r>
      <w:r>
        <w:rPr>
          <w:rFonts w:ascii="宋体" w:hAnsi="宋体" w:cs="宋体"/>
          <w:color w:val="auto"/>
          <w:sz w:val="24"/>
          <w:highlight w:val="none"/>
        </w:rPr>
        <w:t xml:space="preserve">。潜在投标人提出书面质疑必须有理、有据，不得捏造事实、提供虚假材料进行恶意质疑。否则，一经查实，将报请监管部门对该供应商进行相应的处罚。</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 以下情形的质疑不予受理</w:t>
      </w:r>
      <w:r/>
    </w:p>
    <w:p>
      <w:pPr>
        <w:ind w:firstLine="1027"/>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2.5.1 内容不符合《政府采购质疑和投诉办法》第十二条规定的质疑。</w:t>
      </w:r>
      <w:r/>
    </w:p>
    <w:p>
      <w:pPr>
        <w:ind w:firstLine="1027"/>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2.5.2 超出政府采购法定期限的质疑。</w:t>
      </w:r>
      <w:r/>
    </w:p>
    <w:p>
      <w:pPr>
        <w:ind w:firstLine="1027"/>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2.5.3 以传真、电子邮件等方式递交的非原件形式的质疑。</w:t>
      </w:r>
      <w:r/>
    </w:p>
    <w:p>
      <w:pPr>
        <w:ind w:firstLine="1027"/>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2.5.4 未参加投标活动的供应商或在投标活动中自身权益未受到损害的供应商所提出的质疑。</w:t>
      </w:r>
      <w:r/>
    </w:p>
    <w:p>
      <w:pPr>
        <w:ind w:firstLine="1027"/>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2.5.5供应商组成联合体参加投标，联合体中任何一方或多方未按要求签字、盖章、加盖公章的质疑。</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480"/>
        <w:spacing w:line="440" w:lineRule="exact"/>
        <w:rPr>
          <w:rFonts w:ascii="宋体" w:hAnsi="宋体" w:cs="宋体"/>
          <w:bCs/>
          <w:color w:val="auto"/>
          <w:sz w:val="24"/>
          <w:szCs w:val="24"/>
          <w:highlight w:val="none"/>
        </w:rPr>
        <w:outlineLvl w:val="3"/>
      </w:pPr>
      <w:r>
        <w:rPr>
          <w:rFonts w:hint="eastAsia" w:ascii="宋体" w:hAnsi="宋体" w:cs="宋体"/>
          <w:bCs/>
          <w:color w:val="auto"/>
          <w:sz w:val="24"/>
          <w:szCs w:val="24"/>
          <w:highlight w:val="none"/>
        </w:rPr>
        <w:t xml:space="preserve">3、中标通知书</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3.l</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2"/>
        <w:spacing w:line="440" w:lineRule="exact"/>
        <w:rPr>
          <w:rFonts w:ascii="宋体" w:hAnsi="宋体" w:cs="宋体"/>
          <w:b/>
          <w:bCs/>
          <w:color w:val="auto"/>
          <w:sz w:val="28"/>
          <w:szCs w:val="28"/>
          <w:highlight w:val="none"/>
        </w:rPr>
        <w:outlineLvl w:val="1"/>
      </w:pPr>
      <w:r/>
      <w:bookmarkStart w:id="216" w:name="_Toc20823308"/>
      <w:r/>
      <w:bookmarkStart w:id="217" w:name="_Toc16938552"/>
      <w:r/>
      <w:bookmarkStart w:id="218" w:name="_Toc32034"/>
      <w:r/>
      <w:bookmarkStart w:id="219" w:name="_Toc239671901"/>
      <w:r/>
      <w:bookmarkStart w:id="220" w:name="_Toc120614220"/>
      <w:r/>
      <w:bookmarkStart w:id="221" w:name="_Toc8001"/>
      <w:r/>
      <w:bookmarkStart w:id="222" w:name="_Toc31221"/>
      <w:r/>
      <w:bookmarkStart w:id="223" w:name="_Toc513029236"/>
      <w:r>
        <w:rPr>
          <w:rFonts w:hint="eastAsia" w:ascii="宋体" w:hAnsi="宋体" w:cs="宋体"/>
          <w:b/>
          <w:bCs/>
          <w:color w:val="auto"/>
          <w:sz w:val="28"/>
          <w:szCs w:val="28"/>
          <w:highlight w:val="none"/>
        </w:rPr>
        <w:t xml:space="preserve">七、授予合同</w:t>
      </w:r>
      <w:bookmarkEnd w:id="216"/>
      <w:r/>
      <w:bookmarkEnd w:id="217"/>
      <w:r/>
      <w:bookmarkEnd w:id="218"/>
      <w:r/>
      <w:bookmarkEnd w:id="219"/>
      <w:r/>
      <w:bookmarkEnd w:id="220"/>
      <w:r/>
      <w:bookmarkEnd w:id="221"/>
      <w:r/>
      <w:bookmarkEnd w:id="222"/>
      <w:r/>
      <w:bookmarkEnd w:id="223"/>
      <w:r/>
      <w:r/>
    </w:p>
    <w:p>
      <w:pPr>
        <w:ind w:firstLine="480"/>
        <w:spacing w:line="440" w:lineRule="exact"/>
        <w:rPr>
          <w:rFonts w:ascii="宋体" w:hAnsi="宋体" w:cs="宋体"/>
          <w:bCs/>
          <w:color w:val="auto"/>
          <w:sz w:val="24"/>
          <w:szCs w:val="24"/>
          <w:highlight w:val="none"/>
        </w:rPr>
        <w:outlineLvl w:val="3"/>
      </w:pPr>
      <w:r/>
      <w:bookmarkStart w:id="224" w:name="_Toc513029237"/>
      <w:r/>
      <w:bookmarkStart w:id="225" w:name="_Toc20823309"/>
      <w:r/>
      <w:bookmarkStart w:id="226" w:name="_Toc16938553"/>
      <w:r>
        <w:rPr>
          <w:rFonts w:hint="eastAsia" w:ascii="宋体" w:hAnsi="宋体" w:cs="宋体"/>
          <w:bCs/>
          <w:color w:val="auto"/>
          <w:sz w:val="24"/>
          <w:szCs w:val="24"/>
          <w:highlight w:val="none"/>
        </w:rPr>
        <w:t xml:space="preserve">1、签订合同</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1.l中标人应当在中标通知书发出之日起三十日内，按照招标文件确定的事项与采购人签订政府采购合同。</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招标文件、中标人的投标文件及招标过程中有关澄清、承诺文件均应作为合同附件。</w:t>
      </w:r>
      <w:r/>
    </w:p>
    <w:p>
      <w:pPr>
        <w:ind w:firstLine="789"/>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1.3 签订合同后，</w:t>
      </w:r>
      <w:r>
        <w:rPr>
          <w:rFonts w:hint="eastAsia" w:ascii="宋体" w:hAnsi="宋体" w:cs="宋体"/>
          <w:i/>
          <w:color w:val="auto"/>
          <w:sz w:val="24"/>
          <w:szCs w:val="24"/>
          <w:highlight w:val="none"/>
          <w:u w:val="single"/>
        </w:rPr>
        <w:t xml:space="preserve">中标人不得将合同标的进行转包</w:t>
      </w:r>
      <w:r>
        <w:rPr>
          <w:rFonts w:hint="eastAsia" w:ascii="宋体" w:hAnsi="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440" w:lineRule="exact"/>
        <w:rPr>
          <w:rFonts w:ascii="宋体" w:hAnsi="宋体" w:cs="宋体"/>
          <w:bCs/>
          <w:color w:val="auto"/>
          <w:sz w:val="24"/>
          <w:szCs w:val="24"/>
          <w:highlight w:val="none"/>
        </w:rPr>
        <w:outlineLvl w:val="3"/>
      </w:pPr>
      <w:r>
        <w:rPr>
          <w:rFonts w:hint="eastAsia" w:ascii="宋体" w:hAnsi="宋体" w:cs="宋体"/>
          <w:bCs/>
          <w:color w:val="auto"/>
          <w:sz w:val="24"/>
          <w:szCs w:val="24"/>
          <w:highlight w:val="none"/>
        </w:rPr>
        <w:t xml:space="preserve">2、服务（包含与项目有关的服务）的追加</w:t>
      </w:r>
      <w:r/>
    </w:p>
    <w:p>
      <w:pPr>
        <w:ind w:firstLine="1027"/>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2.1政府采购合同履行中，采购人需追加与合同标的相同的服务（包含与项目有关的服务）的，在不改变合同其他条款的前提下，可以与中标人协商签订补充合同，但所有补充合同的采购金额不超过原合同金额10%。</w:t>
      </w:r>
      <w:bookmarkEnd w:id="224"/>
      <w:r/>
      <w:bookmarkEnd w:id="225"/>
      <w:r/>
      <w:bookmarkEnd w:id="226"/>
      <w:r/>
      <w:r/>
    </w:p>
    <w:p>
      <w:pPr>
        <w:ind w:firstLine="480"/>
        <w:spacing w:line="440" w:lineRule="exact"/>
        <w:rPr>
          <w:rFonts w:ascii="宋体" w:hAnsi="宋体" w:cs="宋体"/>
          <w:bCs/>
          <w:color w:val="auto"/>
          <w:sz w:val="24"/>
          <w:szCs w:val="24"/>
          <w:highlight w:val="none"/>
        </w:rPr>
        <w:outlineLvl w:val="3"/>
      </w:pPr>
      <w:r/>
      <w:bookmarkStart w:id="227" w:name="_Toc513029242"/>
      <w:r/>
      <w:bookmarkStart w:id="228" w:name="_Toc16938558"/>
      <w:r/>
      <w:bookmarkStart w:id="229" w:name="_Toc479757207"/>
      <w:r/>
      <w:bookmarkStart w:id="230" w:name="_Toc120614221"/>
      <w:r/>
      <w:bookmarkStart w:id="231" w:name="_Toc20823314"/>
      <w:r>
        <w:rPr>
          <w:rFonts w:hint="eastAsia" w:ascii="宋体" w:hAnsi="宋体" w:cs="宋体"/>
          <w:bCs/>
          <w:color w:val="auto"/>
          <w:sz w:val="24"/>
          <w:szCs w:val="24"/>
          <w:highlight w:val="none"/>
        </w:rPr>
        <w:t xml:space="preserve">3、政府采购信用融资政策</w:t>
      </w:r>
      <w:r/>
    </w:p>
    <w:p>
      <w:pPr>
        <w:ind w:firstLine="1027"/>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 中标供应商可凭政府采购合同办理融资贷款，详情请见苏州市政府采购网“政府采购合同信用融资”专栏。</w:t>
      </w:r>
      <w:r/>
    </w:p>
    <w:p>
      <w:pPr>
        <w:ind w:firstLine="480"/>
        <w:spacing w:line="440" w:lineRule="exact"/>
        <w:rPr>
          <w:rFonts w:ascii="宋体" w:hAnsi="宋体" w:cs="宋体"/>
          <w:bCs/>
          <w:color w:val="auto"/>
          <w:sz w:val="24"/>
          <w:szCs w:val="24"/>
          <w:highlight w:val="none"/>
        </w:rPr>
        <w:outlineLvl w:val="3"/>
      </w:pPr>
      <w:r>
        <w:rPr>
          <w:rFonts w:hint="eastAsia" w:ascii="宋体" w:hAnsi="宋体" w:cs="宋体"/>
          <w:bCs/>
          <w:color w:val="auto"/>
          <w:sz w:val="24"/>
          <w:szCs w:val="24"/>
          <w:highlight w:val="none"/>
        </w:rPr>
        <w:t xml:space="preserve">4、合同公示</w:t>
      </w:r>
      <w:r/>
    </w:p>
    <w:p>
      <w:pPr>
        <w:ind w:firstLine="1027"/>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4.1采购合同将在签订之日起2个工作日内在指定媒体公示，涉及国家秘密、商业秘密的内容除外。</w:t>
      </w:r>
      <w:r/>
    </w:p>
    <w:p>
      <w:pPr>
        <w:rPr>
          <w:color w:val="auto"/>
          <w:highlight w:val="none"/>
        </w:rPr>
      </w:pPr>
      <w:r>
        <w:rPr>
          <w:rFonts w:hint="eastAsia"/>
          <w:color w:val="auto"/>
          <w:highlight w:val="none"/>
        </w:rPr>
        <w:br w:type="page" w:clear="all"/>
      </w:r>
      <w:r/>
    </w:p>
    <w:p>
      <w:pPr>
        <w:ind w:firstLine="880"/>
        <w:jc w:val="center"/>
        <w:rPr>
          <w:rFonts w:ascii="黑体" w:hAnsi="Times New Roman" w:eastAsia="黑体"/>
          <w:bCs/>
          <w:color w:val="auto"/>
          <w:sz w:val="44"/>
          <w:szCs w:val="28"/>
          <w:highlight w:val="none"/>
        </w:rPr>
        <w:outlineLvl w:val="0"/>
      </w:pPr>
      <w:r/>
      <w:bookmarkStart w:id="232" w:name="_Toc29161"/>
      <w:r/>
      <w:bookmarkStart w:id="233" w:name="_Toc18520"/>
      <w:r/>
      <w:bookmarkStart w:id="234" w:name="_Toc10899"/>
      <w:r/>
      <w:bookmarkStart w:id="235" w:name="_Toc239671902"/>
      <w:r>
        <w:rPr>
          <w:rFonts w:hint="eastAsia" w:ascii="黑体" w:hAnsi="Times New Roman" w:eastAsia="黑体"/>
          <w:bCs/>
          <w:color w:val="auto"/>
          <w:sz w:val="44"/>
          <w:szCs w:val="28"/>
          <w:highlight w:val="none"/>
        </w:rPr>
        <w:t xml:space="preserve">第三章  合同</w:t>
      </w:r>
      <w:bookmarkEnd w:id="227"/>
      <w:r/>
      <w:bookmarkEnd w:id="228"/>
      <w:r/>
      <w:bookmarkEnd w:id="229"/>
      <w:r/>
      <w:bookmarkEnd w:id="230"/>
      <w:r/>
      <w:bookmarkEnd w:id="231"/>
      <w:r>
        <w:rPr>
          <w:rFonts w:hint="eastAsia" w:ascii="黑体" w:hAnsi="Times New Roman" w:eastAsia="黑体"/>
          <w:bCs/>
          <w:color w:val="auto"/>
          <w:sz w:val="44"/>
          <w:szCs w:val="28"/>
          <w:highlight w:val="none"/>
        </w:rPr>
        <w:t xml:space="preserve">文本</w:t>
      </w:r>
      <w:bookmarkEnd w:id="232"/>
      <w:r/>
      <w:bookmarkEnd w:id="233"/>
      <w:r/>
      <w:bookmarkEnd w:id="234"/>
      <w:r/>
      <w:bookmarkEnd w:id="235"/>
      <w:r/>
      <w:r/>
    </w:p>
    <w:p>
      <w:pPr>
        <w:ind w:left="6237" w:right="-27"/>
        <w:spacing w:line="660" w:lineRule="exact"/>
        <w:rPr>
          <w:rFonts w:ascii="宋体" w:hAnsi="宋体" w:cs="宋体"/>
          <w:bCs/>
          <w:color w:val="auto"/>
          <w:sz w:val="24"/>
          <w:szCs w:val="24"/>
          <w:highlight w:val="none"/>
        </w:rPr>
      </w:pPr>
      <w:r/>
      <w:bookmarkStart w:id="236" w:name="_Hlt16619369"/>
      <w:r/>
      <w:bookmarkEnd w:id="236"/>
      <w:r/>
      <w:bookmarkStart w:id="237" w:name="_Hlt16619350"/>
      <w:r/>
      <w:bookmarkStart w:id="238" w:name="_Toc16938590"/>
      <w:r/>
      <w:bookmarkStart w:id="239" w:name="_Toc20823346"/>
      <w:r/>
      <w:bookmarkStart w:id="240" w:name="_Toc120614244"/>
      <w:r/>
      <w:bookmarkStart w:id="241" w:name="_Toc462564139"/>
      <w:r/>
      <w:bookmarkStart w:id="242" w:name="_Toc479757211"/>
      <w:r>
        <w:rPr>
          <w:rFonts w:hint="eastAsia" w:ascii="宋体" w:hAnsi="宋体" w:cs="宋体"/>
          <w:bCs/>
          <w:color w:val="auto"/>
          <w:sz w:val="24"/>
          <w:szCs w:val="24"/>
          <w:highlight w:val="none"/>
        </w:rPr>
        <w:t xml:space="preserve">编号：</w:t>
      </w:r>
      <w:r/>
    </w:p>
    <w:p>
      <w:pPr>
        <w:ind w:left="6237" w:right="-27"/>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签订地点：常熟市</w:t>
      </w:r>
      <w:r/>
    </w:p>
    <w:p>
      <w:pPr>
        <w:ind w:right="-27"/>
        <w:spacing w:line="440" w:lineRule="exact"/>
        <w:tabs>
          <w:tab w:val="left" w:pos="0" w:leader="none"/>
        </w:tabs>
        <w:rPr>
          <w:rFonts w:ascii="宋体" w:hAnsi="宋体" w:cs="宋体"/>
          <w:bCs/>
          <w:color w:val="auto"/>
          <w:sz w:val="24"/>
          <w:szCs w:val="24"/>
          <w:highlight w:val="none"/>
        </w:rPr>
      </w:pPr>
      <w:r>
        <w:rPr>
          <w:rFonts w:ascii="宋体" w:hAnsi="宋体" w:cs="宋体"/>
          <w:bCs/>
          <w:color w:val="auto"/>
          <w:sz w:val="24"/>
          <w:szCs w:val="24"/>
          <w:highlight w:val="none"/>
        </w:rPr>
      </w:r>
      <w:r/>
    </w:p>
    <w:p>
      <w:pPr>
        <w:ind w:right="-27"/>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甲方：</w:t>
      </w:r>
      <w:r>
        <w:rPr>
          <w:rFonts w:hint="eastAsia" w:ascii="宋体" w:hAnsi="宋体" w:cs="宋体"/>
          <w:bCs/>
          <w:color w:val="auto"/>
          <w:sz w:val="24"/>
          <w:szCs w:val="24"/>
          <w:highlight w:val="none"/>
          <w:u w:val="single"/>
        </w:rPr>
        <w:t xml:space="preserve">常熟市水利工程建设管理中心   </w:t>
      </w:r>
      <w:r/>
    </w:p>
    <w:p>
      <w:pPr>
        <w:ind w:right="-27"/>
        <w:spacing w:line="480" w:lineRule="exact"/>
        <w:tabs>
          <w:tab w:val="left" w:pos="0" w:leader="none"/>
        </w:tabs>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乙方：</w:t>
      </w:r>
      <w:r>
        <w:rPr>
          <w:rFonts w:hint="eastAsia" w:ascii="宋体" w:hAnsi="宋体" w:cs="宋体"/>
          <w:bCs/>
          <w:color w:val="auto"/>
          <w:sz w:val="24"/>
          <w:szCs w:val="24"/>
          <w:highlight w:val="none"/>
          <w:u w:val="single"/>
        </w:rPr>
        <w:t xml:space="preserve">                                </w:t>
      </w:r>
      <w:r/>
    </w:p>
    <w:p>
      <w:pPr>
        <w:spacing w:line="440" w:lineRule="exact"/>
        <w:rPr>
          <w:bCs/>
          <w:color w:val="auto"/>
          <w:sz w:val="24"/>
          <w:szCs w:val="24"/>
          <w:highlight w:val="none"/>
        </w:rPr>
      </w:pPr>
      <w:r>
        <w:rPr>
          <w:rFonts w:hint="eastAsia"/>
          <w:bCs/>
          <w:color w:val="auto"/>
          <w:sz w:val="24"/>
          <w:szCs w:val="24"/>
          <w:highlight w:val="none"/>
        </w:rPr>
        <w:t xml:space="preserve">信用融资回款账户：</w:t>
      </w:r>
      <w:r>
        <w:rPr>
          <w:rFonts w:hint="eastAsia"/>
          <w:bCs/>
          <w:color w:val="auto"/>
          <w:sz w:val="24"/>
          <w:szCs w:val="24"/>
          <w:highlight w:val="none"/>
          <w:u w:val="single"/>
        </w:rPr>
        <w:t xml:space="preserve">                               </w:t>
      </w:r>
      <w:r>
        <w:rPr>
          <w:rFonts w:hint="eastAsia"/>
          <w:bCs/>
          <w:color w:val="auto"/>
          <w:sz w:val="24"/>
          <w:szCs w:val="24"/>
          <w:highlight w:val="none"/>
        </w:rPr>
        <w:t xml:space="preserve">（如无可不填写）</w:t>
      </w:r>
      <w:r/>
    </w:p>
    <w:p>
      <w:pPr>
        <w:ind w:right="-27"/>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开户银行：</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w:t>
      </w:r>
      <w:r/>
    </w:p>
    <w:p>
      <w:pPr>
        <w:ind w:right="-27" w:firstLine="480"/>
        <w:spacing w:line="480" w:lineRule="exact"/>
        <w:tabs>
          <w:tab w:val="left" w:pos="0" w:leader="none"/>
        </w:tabs>
        <w:rPr>
          <w:rFonts w:ascii="宋体" w:hAnsi="宋体" w:cs="宋体"/>
          <w:bCs/>
          <w:color w:val="auto"/>
          <w:sz w:val="24"/>
          <w:szCs w:val="24"/>
          <w:highlight w:val="none"/>
        </w:rPr>
      </w:pPr>
      <w:r>
        <w:rPr>
          <w:rFonts w:ascii="宋体" w:hAnsi="宋体" w:cs="宋体"/>
          <w:bCs/>
          <w:color w:val="auto"/>
          <w:sz w:val="24"/>
          <w:szCs w:val="24"/>
          <w:highlight w:val="none"/>
        </w:rPr>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根据《中华人民共和国政府采购法》及其实施条例、《中华人民共和国民法典》等法律法规的规定，甲乙双方按照</w:t>
      </w:r>
      <w:r>
        <w:rPr>
          <w:rFonts w:hint="eastAsia" w:ascii="宋体" w:hAnsi="宋体"/>
          <w:color w:val="auto"/>
          <w:sz w:val="24"/>
          <w:szCs w:val="24"/>
          <w:highlight w:val="none"/>
          <w:u w:val="single"/>
        </w:rPr>
        <w:t xml:space="preserve">昆承湖幸福河湖建设信息化设备</w:t>
      </w:r>
      <w:r>
        <w:rPr>
          <w:rFonts w:hint="eastAsia" w:ascii="宋体" w:hAnsi="宋体" w:cs="宋体"/>
          <w:bCs/>
          <w:color w:val="auto"/>
          <w:sz w:val="24"/>
          <w:szCs w:val="24"/>
          <w:highlight w:val="none"/>
        </w:rPr>
        <w:t xml:space="preserve">项目（项目编号：</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JSZC-320581-SZXY-G2026-0038</w:t>
      </w:r>
      <w:r>
        <w:rPr>
          <w:rFonts w:hint="eastAsia" w:ascii="宋体" w:hAnsi="宋体" w:cs="宋体"/>
          <w:bCs/>
          <w:color w:val="auto"/>
          <w:sz w:val="24"/>
          <w:szCs w:val="24"/>
          <w:highlight w:val="none"/>
        </w:rPr>
        <w:t xml:space="preserve">）政府采购结果签订本合同。</w:t>
      </w:r>
      <w:r/>
    </w:p>
    <w:p>
      <w:pPr>
        <w:ind w:right="-27" w:firstLine="482"/>
        <w:spacing w:line="440" w:lineRule="exact"/>
        <w:tabs>
          <w:tab w:val="left" w:pos="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第一条 定义</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除非另有特别解释或说明，本合同有关词语应按如下定义解释：</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1、合同：甲乙双方签署的，与本项目相关的合同书、附件、附录、其他文件以及政府采购程序中的全部文件。</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2、甲方：购买本合同项下服务的国家机关、事业单位、团体组织。</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3、乙方：提供本合同项下服务的法人、其他组织或自然人。</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4、货物：根据合同规定乙方为完成本项目应向甲方提供的一切货物及备件、工具、手册、技术资料及其他材料。</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5、服务：根据合同规定乙方承担的与货物有关的辅助服务，包括但不限于货物的运输、保险、伴随服务（如安装、调试、测试、提供技术指导和支持、培训等）、售后服务及其他所有应由乙方承担的类似义务。</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w:t>
      </w:r>
      <w:r>
        <w:rPr>
          <w:rFonts w:hint="eastAsia" w:ascii="Times New Roman" w:hAnsi="Times New Roman" w:cs="宋体"/>
          <w:color w:val="auto"/>
          <w:sz w:val="24"/>
          <w:highlight w:val="none"/>
          <w:lang w:bidi="ar"/>
        </w:rPr>
        <w:t xml:space="preserve">合同总价：根据合同规定乙方在正确、及时、全面履行合同义务后甲方应支付给乙方的价款，包含了甲方购买货物及其相关服务的一切费用，包括但不限于货物本身的价值金额、乙方的利润、增值税及其他乙方应缴的税金</w:t>
      </w:r>
      <w:r>
        <w:rPr>
          <w:rFonts w:ascii="Times New Roman" w:hAnsi="Times New Roman"/>
          <w:color w:val="auto"/>
          <w:sz w:val="24"/>
          <w:highlight w:val="none"/>
          <w:lang w:bidi="ar"/>
        </w:rPr>
        <w:t xml:space="preserve">/</w:t>
      </w:r>
      <w:r>
        <w:rPr>
          <w:rFonts w:hint="eastAsia" w:ascii="Times New Roman" w:hAnsi="Times New Roman" w:cs="宋体"/>
          <w:color w:val="auto"/>
          <w:sz w:val="24"/>
          <w:highlight w:val="none"/>
          <w:lang w:bidi="ar"/>
        </w:rPr>
        <w:t xml:space="preserve">安装费</w:t>
      </w:r>
      <w:r>
        <w:rPr>
          <w:rFonts w:ascii="Times New Roman" w:hAnsi="Times New Roman"/>
          <w:color w:val="auto"/>
          <w:sz w:val="24"/>
          <w:highlight w:val="none"/>
          <w:lang w:bidi="ar"/>
        </w:rPr>
        <w:t xml:space="preserve">/</w:t>
      </w:r>
      <w:r>
        <w:rPr>
          <w:rFonts w:hint="eastAsia" w:ascii="Times New Roman" w:hAnsi="Times New Roman" w:cs="宋体"/>
          <w:color w:val="auto"/>
          <w:sz w:val="24"/>
          <w:highlight w:val="none"/>
          <w:lang w:bidi="ar"/>
        </w:rPr>
        <w:t xml:space="preserve">调试费</w:t>
      </w:r>
      <w:r>
        <w:rPr>
          <w:rFonts w:ascii="Times New Roman" w:hAnsi="Times New Roman"/>
          <w:color w:val="auto"/>
          <w:sz w:val="24"/>
          <w:highlight w:val="none"/>
          <w:lang w:bidi="ar"/>
        </w:rPr>
        <w:t xml:space="preserve">/</w:t>
      </w:r>
      <w:r>
        <w:rPr>
          <w:rFonts w:hint="eastAsia" w:ascii="Times New Roman" w:hAnsi="Times New Roman" w:cs="宋体"/>
          <w:color w:val="auto"/>
          <w:sz w:val="24"/>
          <w:highlight w:val="none"/>
          <w:lang w:bidi="ar"/>
        </w:rPr>
        <w:t xml:space="preserve">人工费</w:t>
      </w:r>
      <w:r>
        <w:rPr>
          <w:rFonts w:ascii="Times New Roman" w:hAnsi="Times New Roman"/>
          <w:color w:val="auto"/>
          <w:sz w:val="24"/>
          <w:highlight w:val="none"/>
          <w:lang w:bidi="ar"/>
        </w:rPr>
        <w:t xml:space="preserve">/</w:t>
      </w:r>
      <w:r>
        <w:rPr>
          <w:rFonts w:hint="eastAsia" w:ascii="Times New Roman" w:hAnsi="Times New Roman" w:cs="宋体"/>
          <w:color w:val="auto"/>
          <w:sz w:val="24"/>
          <w:highlight w:val="none"/>
          <w:lang w:bidi="ar"/>
        </w:rPr>
        <w:t xml:space="preserve">技术支持与培训费</w:t>
      </w:r>
      <w:r>
        <w:rPr>
          <w:rFonts w:ascii="Times New Roman" w:hAnsi="Times New Roman"/>
          <w:color w:val="auto"/>
          <w:sz w:val="24"/>
          <w:highlight w:val="none"/>
          <w:lang w:bidi="ar"/>
        </w:rPr>
        <w:t xml:space="preserve">/</w:t>
      </w:r>
      <w:r>
        <w:rPr>
          <w:rFonts w:hint="eastAsia" w:ascii="Times New Roman" w:hAnsi="Times New Roman" w:cs="宋体"/>
          <w:color w:val="auto"/>
          <w:sz w:val="24"/>
          <w:highlight w:val="none"/>
          <w:lang w:bidi="ar"/>
        </w:rPr>
        <w:t xml:space="preserve">运输装卸费</w:t>
      </w:r>
      <w:r>
        <w:rPr>
          <w:rFonts w:ascii="Times New Roman" w:hAnsi="Times New Roman"/>
          <w:color w:val="auto"/>
          <w:sz w:val="24"/>
          <w:highlight w:val="none"/>
          <w:lang w:bidi="ar"/>
        </w:rPr>
        <w:t xml:space="preserve">/</w:t>
      </w:r>
      <w:r>
        <w:rPr>
          <w:rFonts w:hint="eastAsia" w:ascii="Times New Roman" w:hAnsi="Times New Roman" w:cs="宋体"/>
          <w:color w:val="auto"/>
          <w:sz w:val="24"/>
          <w:highlight w:val="none"/>
          <w:lang w:bidi="ar"/>
        </w:rPr>
        <w:t xml:space="preserve">保险费用</w:t>
      </w:r>
      <w:r>
        <w:rPr>
          <w:rFonts w:ascii="Times New Roman" w:hAnsi="Times New Roman"/>
          <w:color w:val="auto"/>
          <w:sz w:val="24"/>
          <w:highlight w:val="none"/>
          <w:lang w:bidi="ar"/>
        </w:rPr>
        <w:t xml:space="preserve">/</w:t>
      </w:r>
      <w:r>
        <w:rPr>
          <w:rFonts w:hint="eastAsia" w:ascii="Times New Roman" w:hAnsi="Times New Roman" w:cs="宋体"/>
          <w:color w:val="auto"/>
          <w:sz w:val="24"/>
          <w:highlight w:val="none"/>
          <w:lang w:bidi="ar"/>
        </w:rPr>
        <w:t xml:space="preserve">样品费用等一切费用，乙方不得以任何理由要求甲方（或集中建设单位）支付任何额外的费用。</w:t>
      </w:r>
      <w:r/>
    </w:p>
    <w:p>
      <w:pPr>
        <w:ind w:right="-27" w:firstLine="482"/>
        <w:spacing w:line="440" w:lineRule="exact"/>
        <w:tabs>
          <w:tab w:val="left" w:pos="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第二条 组成本合同的文件</w:t>
      </w:r>
      <w:r/>
    </w:p>
    <w:p>
      <w:pPr>
        <w:ind w:right="-27" w:firstLine="480"/>
        <w:spacing w:line="440" w:lineRule="exact"/>
        <w:tabs>
          <w:tab w:val="left" w:pos="0"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、下列文件是组成本合同的不可分割的部分：</w:t>
      </w:r>
      <w:r/>
    </w:p>
    <w:p>
      <w:pPr>
        <w:ind w:right="-27" w:firstLine="480"/>
        <w:spacing w:line="440" w:lineRule="exact"/>
        <w:tabs>
          <w:tab w:val="left" w:pos="0" w:leader="none"/>
        </w:tabs>
        <w:rPr>
          <w:rFonts w:ascii="Times New Roman" w:hAnsi="Times New Roman"/>
          <w:color w:val="auto"/>
          <w:sz w:val="24"/>
          <w:szCs w:val="24"/>
          <w:highlight w:val="none"/>
        </w:rPr>
      </w:pPr>
      <w:r>
        <w:rPr>
          <w:rFonts w:hint="eastAsia" w:ascii="宋体" w:hAnsi="宋体"/>
          <w:color w:val="auto"/>
          <w:sz w:val="24"/>
          <w:szCs w:val="24"/>
          <w:highlight w:val="none"/>
        </w:rPr>
        <w:t xml:space="preserve">①中标通知书；</w:t>
      </w:r>
      <w:r/>
    </w:p>
    <w:p>
      <w:pPr>
        <w:ind w:right="-27" w:firstLine="480"/>
        <w:spacing w:line="440" w:lineRule="exact"/>
        <w:tabs>
          <w:tab w:val="left" w:pos="0" w:leader="none"/>
        </w:tabs>
        <w:rPr>
          <w:rFonts w:ascii="Times New Roman" w:hAnsi="Times New Roman"/>
          <w:color w:val="auto"/>
          <w:sz w:val="24"/>
          <w:szCs w:val="24"/>
          <w:highlight w:val="none"/>
        </w:rPr>
      </w:pPr>
      <w:r>
        <w:rPr>
          <w:rFonts w:hint="eastAsia" w:ascii="宋体" w:hAnsi="宋体"/>
          <w:color w:val="auto"/>
          <w:sz w:val="24"/>
          <w:szCs w:val="24"/>
          <w:highlight w:val="none"/>
        </w:rPr>
        <w:t xml:space="preserve">②招标文件（以下统称“采购文件”）；</w:t>
      </w:r>
      <w:r/>
    </w:p>
    <w:p>
      <w:pPr>
        <w:ind w:right="-27" w:firstLine="480"/>
        <w:spacing w:line="440" w:lineRule="exact"/>
        <w:tabs>
          <w:tab w:val="left" w:pos="0" w:leader="none"/>
        </w:tabs>
        <w:rPr>
          <w:rFonts w:ascii="Times New Roman" w:hAnsi="Times New Roman"/>
          <w:color w:val="auto"/>
          <w:sz w:val="24"/>
          <w:szCs w:val="24"/>
          <w:highlight w:val="none"/>
        </w:rPr>
      </w:pPr>
      <w:r>
        <w:rPr>
          <w:rFonts w:hint="eastAsia" w:ascii="宋体" w:hAnsi="宋体"/>
          <w:color w:val="auto"/>
          <w:sz w:val="24"/>
          <w:szCs w:val="24"/>
          <w:highlight w:val="none"/>
        </w:rPr>
        <w:t xml:space="preserve">③乙方的投标文件；</w:t>
      </w:r>
      <w:r/>
    </w:p>
    <w:p>
      <w:pPr>
        <w:ind w:right="-27" w:firstLine="480"/>
        <w:spacing w:line="440" w:lineRule="exact"/>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④乙方在投标过程中所作的其它承诺、声明、书面澄清等。</w:t>
      </w:r>
      <w:r/>
    </w:p>
    <w:p>
      <w:pPr>
        <w:ind w:right="-27" w:firstLine="480"/>
        <w:spacing w:line="440" w:lineRule="exact"/>
        <w:tabs>
          <w:tab w:val="left" w:pos="0" w:leader="none"/>
        </w:tabs>
        <w:rPr>
          <w:rFonts w:ascii="宋体" w:hAnsi="宋体"/>
          <w:color w:val="auto"/>
          <w:sz w:val="24"/>
          <w:szCs w:val="24"/>
          <w:highlight w:val="none"/>
        </w:rPr>
      </w:pPr>
      <w:r/>
      <w:bookmarkStart w:id="243" w:name="_Hlk144021334"/>
      <w:r>
        <w:rPr>
          <w:rFonts w:hint="eastAsia" w:ascii="宋体" w:hAnsi="宋体"/>
          <w:color w:val="auto"/>
          <w:sz w:val="24"/>
          <w:szCs w:val="24"/>
          <w:highlight w:val="none"/>
        </w:rPr>
        <w:t xml:space="preserve">2、上述文件之间如果出现不一致的，以甲方文件确定的内容为准，但乙方文件的内容对甲方更有利的，适用乙方文件。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Times New Roman" w:hAnsi="Times New Roman"/>
          <w:color w:val="auto"/>
          <w:sz w:val="24"/>
          <w:szCs w:val="24"/>
          <w:highlight w:val="none"/>
        </w:rPr>
      </w:pPr>
      <w:r>
        <w:rPr>
          <w:rFonts w:hint="eastAsia" w:ascii="宋体" w:hAnsi="宋体"/>
          <w:color w:val="auto"/>
          <w:sz w:val="24"/>
          <w:szCs w:val="24"/>
          <w:highlight w:val="none"/>
        </w:rPr>
        <w:t xml:space="preserve">3、乙方文件应当符合采购文件确定的原则，如果乙方文件中的表述，形式上符合招标文件原则，但具体内容对甲方不利、对乙方有利的，视为背离采购文件，不予适用。</w:t>
      </w:r>
      <w:bookmarkEnd w:id="243"/>
      <w:r/>
      <w:r/>
    </w:p>
    <w:p>
      <w:pPr>
        <w:ind w:right="-27" w:firstLine="482"/>
        <w:spacing w:line="440" w:lineRule="exact"/>
        <w:tabs>
          <w:tab w:val="left" w:pos="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第三条 合同货物</w:t>
      </w:r>
      <w:r/>
    </w:p>
    <w:p>
      <w:pPr>
        <w:ind w:right="-27" w:firstLine="480"/>
        <w:spacing w:line="440" w:lineRule="exact"/>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合同货物清单详见采购文件；乙方负责按照合同要求向甲方提供前述清单中的货物。</w:t>
      </w:r>
      <w:r/>
    </w:p>
    <w:p>
      <w:pPr>
        <w:ind w:right="-27" w:firstLine="482"/>
        <w:spacing w:line="440" w:lineRule="exact"/>
        <w:tabs>
          <w:tab w:val="left" w:pos="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第四条 合同总价</w:t>
      </w:r>
      <w:r/>
    </w:p>
    <w:p>
      <w:pPr>
        <w:ind w:firstLine="480"/>
        <w:spacing w:line="440" w:lineRule="exact"/>
        <w:rPr>
          <w:rFonts w:ascii="Times New Roman" w:hAnsi="Times New Roman"/>
          <w:color w:val="auto"/>
          <w:sz w:val="24"/>
          <w:highlight w:val="none"/>
        </w:rPr>
      </w:pPr>
      <w:r>
        <w:rPr>
          <w:rFonts w:ascii="Times New Roman" w:hAnsi="Times New Roman"/>
          <w:color w:val="auto"/>
          <w:sz w:val="24"/>
          <w:highlight w:val="none"/>
          <w:lang w:bidi="ar"/>
        </w:rPr>
        <w:t xml:space="preserve">1</w:t>
      </w:r>
      <w:r>
        <w:rPr>
          <w:rFonts w:hint="eastAsia" w:ascii="Times New Roman" w:hAnsi="Times New Roman" w:cs="宋体"/>
          <w:color w:val="auto"/>
          <w:sz w:val="24"/>
          <w:highlight w:val="none"/>
          <w:lang w:bidi="ar"/>
        </w:rPr>
        <w:t xml:space="preserve">、合同总价按此次采购结果执行，总金额为人民币</w:t>
      </w:r>
      <w:r>
        <w:rPr>
          <w:rFonts w:ascii="Times New Roman" w:hAnsi="Times New Roman"/>
          <w:color w:val="auto"/>
          <w:sz w:val="24"/>
          <w:highlight w:val="none"/>
          <w:u w:val="single"/>
          <w:lang w:bidi="ar"/>
        </w:rPr>
        <w:t xml:space="preserve">          </w:t>
      </w:r>
      <w:r>
        <w:rPr>
          <w:rFonts w:hint="eastAsia" w:ascii="Times New Roman" w:hAnsi="Times New Roman" w:cs="宋体"/>
          <w:color w:val="auto"/>
          <w:sz w:val="24"/>
          <w:highlight w:val="none"/>
          <w:lang w:bidi="ar"/>
        </w:rPr>
        <w:t xml:space="preserve">元（大写</w:t>
      </w:r>
      <w:r>
        <w:rPr>
          <w:rFonts w:ascii="Times New Roman" w:hAnsi="Times New Roman"/>
          <w:color w:val="auto"/>
          <w:sz w:val="24"/>
          <w:highlight w:val="none"/>
          <w:u w:val="single"/>
          <w:lang w:bidi="ar"/>
        </w:rPr>
        <w:t xml:space="preserve">           </w:t>
      </w:r>
      <w:r>
        <w:rPr>
          <w:rFonts w:hint="eastAsia" w:ascii="Times New Roman" w:hAnsi="Times New Roman" w:cs="宋体"/>
          <w:color w:val="auto"/>
          <w:sz w:val="24"/>
          <w:highlight w:val="none"/>
          <w:lang w:bidi="ar"/>
        </w:rPr>
        <w:t xml:space="preserve">）。</w:t>
      </w:r>
      <w:r/>
    </w:p>
    <w:p>
      <w:pPr>
        <w:ind w:right="-27" w:firstLine="482"/>
        <w:spacing w:line="460" w:lineRule="exact"/>
        <w:tabs>
          <w:tab w:val="left" w:pos="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第五条 付款方式 </w:t>
      </w:r>
      <w:r/>
    </w:p>
    <w:p>
      <w:pPr>
        <w:ind w:firstLine="480"/>
        <w:spacing w:line="440" w:lineRule="exact"/>
        <w:rPr>
          <w:rFonts w:ascii="Times New Roman" w:hAnsi="Times New Roman"/>
          <w:color w:val="auto"/>
          <w:sz w:val="24"/>
          <w:highlight w:val="none"/>
          <w:lang w:bidi="ar"/>
        </w:rPr>
      </w:pPr>
      <w:r>
        <w:rPr>
          <w:rFonts w:hint="eastAsia" w:ascii="Times New Roman" w:hAnsi="Times New Roman"/>
          <w:color w:val="auto"/>
          <w:sz w:val="24"/>
          <w:highlight w:val="none"/>
          <w:lang w:bidi="ar"/>
        </w:rPr>
        <w:t xml:space="preserve">1、合同签订后的一个月内，甲方向乙方支付合同总价的70</w:t>
      </w:r>
      <w:r>
        <w:rPr>
          <w:rFonts w:ascii="Times New Roman" w:hAnsi="Times New Roman"/>
          <w:color w:val="auto"/>
          <w:sz w:val="24"/>
          <w:highlight w:val="none"/>
          <w:lang w:bidi="ar"/>
        </w:rPr>
        <w:t xml:space="preserve">%</w:t>
      </w:r>
      <w:r>
        <w:rPr>
          <w:rFonts w:hint="eastAsia" w:ascii="Times New Roman" w:hAnsi="Times New Roman"/>
          <w:color w:val="auto"/>
          <w:sz w:val="24"/>
          <w:highlight w:val="none"/>
          <w:lang w:bidi="ar"/>
        </w:rPr>
        <w:t xml:space="preserve">作为预付款；</w:t>
      </w:r>
      <w:r/>
    </w:p>
    <w:p>
      <w:pPr>
        <w:ind w:firstLine="480"/>
        <w:spacing w:line="440" w:lineRule="exact"/>
        <w:rPr>
          <w:rFonts w:ascii="Times New Roman" w:hAnsi="Times New Roman"/>
          <w:color w:val="auto"/>
          <w:sz w:val="24"/>
          <w:highlight w:val="none"/>
          <w:lang w:bidi="ar"/>
        </w:rPr>
      </w:pPr>
      <w:r>
        <w:rPr>
          <w:rFonts w:hint="eastAsia" w:ascii="Times New Roman" w:hAnsi="Times New Roman"/>
          <w:color w:val="auto"/>
          <w:sz w:val="24"/>
          <w:highlight w:val="none"/>
          <w:lang w:bidi="ar"/>
        </w:rPr>
        <w:t xml:space="preserve">2、乙方提供的货物经甲方验收合格后的两个月内，甲方向乙方支付至合同总价的90</w:t>
      </w:r>
      <w:r>
        <w:rPr>
          <w:rFonts w:ascii="Times New Roman" w:hAnsi="Times New Roman"/>
          <w:color w:val="auto"/>
          <w:sz w:val="24"/>
          <w:highlight w:val="none"/>
          <w:lang w:bidi="ar"/>
        </w:rPr>
        <w:t xml:space="preserve">%</w:t>
      </w:r>
      <w:r>
        <w:rPr>
          <w:rFonts w:hint="eastAsia" w:ascii="Times New Roman" w:hAnsi="Times New Roman"/>
          <w:color w:val="auto"/>
          <w:sz w:val="24"/>
          <w:highlight w:val="none"/>
          <w:lang w:bidi="ar"/>
        </w:rPr>
        <w:t xml:space="preserve">；</w:t>
      </w:r>
      <w:r/>
    </w:p>
    <w:p>
      <w:pPr>
        <w:ind w:firstLine="480"/>
        <w:spacing w:line="440" w:lineRule="exact"/>
        <w:rPr>
          <w:rFonts w:ascii="Times New Roman" w:hAnsi="Times New Roman"/>
          <w:color w:val="auto"/>
          <w:sz w:val="24"/>
          <w:highlight w:val="none"/>
          <w:lang w:bidi="ar"/>
        </w:rPr>
      </w:pPr>
      <w:r>
        <w:rPr>
          <w:rFonts w:hint="eastAsia" w:ascii="Times New Roman" w:hAnsi="Times New Roman"/>
          <w:color w:val="auto"/>
          <w:sz w:val="24"/>
          <w:highlight w:val="none"/>
          <w:lang w:bidi="ar"/>
        </w:rPr>
        <w:t xml:space="preserve">3、安装调试验收合格之日起一周年后的农历年前，甲方向乙方支付至合同总价的100%。</w:t>
      </w:r>
      <w:r/>
    </w:p>
    <w:p>
      <w:pPr>
        <w:ind w:left="50" w:right="50" w:firstLine="480"/>
        <w:spacing w:line="440" w:lineRule="exact"/>
        <w:rPr>
          <w:iCs/>
          <w:color w:val="auto"/>
          <w:sz w:val="24"/>
          <w:szCs w:val="24"/>
          <w:highlight w:val="none"/>
        </w:rPr>
      </w:pPr>
      <w:r>
        <w:rPr>
          <w:rFonts w:hint="eastAsia"/>
          <w:iCs/>
          <w:color w:val="auto"/>
          <w:sz w:val="24"/>
          <w:szCs w:val="24"/>
          <w:highlight w:val="none"/>
        </w:rPr>
        <w:t xml:space="preserve">注：（</w:t>
      </w:r>
      <w:r>
        <w:rPr>
          <w:iCs/>
          <w:color w:val="auto"/>
          <w:sz w:val="24"/>
          <w:szCs w:val="24"/>
          <w:highlight w:val="none"/>
        </w:rPr>
        <w:t xml:space="preserve">1</w:t>
      </w:r>
      <w:r>
        <w:rPr>
          <w:rFonts w:hint="eastAsia"/>
          <w:iCs/>
          <w:color w:val="auto"/>
          <w:sz w:val="24"/>
          <w:szCs w:val="24"/>
          <w:highlight w:val="none"/>
        </w:rPr>
        <w:t xml:space="preserve">）以上每次付款前，乙方均应提供符合甲方要求的同等金额的合法有效发票。否则，甲方有权顺延付款时间，且不承担任何违约及赔偿责任。 </w:t>
      </w:r>
      <w:r/>
    </w:p>
    <w:p>
      <w:pPr>
        <w:ind w:left="50" w:right="50" w:firstLine="993"/>
        <w:spacing w:line="440" w:lineRule="exact"/>
        <w:rPr>
          <w:iCs/>
          <w:color w:val="auto"/>
          <w:sz w:val="24"/>
          <w:szCs w:val="24"/>
          <w:highlight w:val="none"/>
        </w:rPr>
      </w:pPr>
      <w:r>
        <w:rPr>
          <w:rFonts w:hint="eastAsia"/>
          <w:iCs/>
          <w:color w:val="auto"/>
          <w:sz w:val="24"/>
          <w:szCs w:val="24"/>
          <w:highlight w:val="none"/>
        </w:rPr>
        <w:t xml:space="preserve">（2）本项目支付方式支持数字人民币方式。</w:t>
      </w:r>
      <w:r/>
    </w:p>
    <w:p>
      <w:pPr>
        <w:ind w:left="50" w:right="50" w:firstLine="993"/>
        <w:spacing w:line="440" w:lineRule="exact"/>
        <w:rPr>
          <w:iCs/>
          <w:color w:val="auto"/>
          <w:sz w:val="24"/>
          <w:szCs w:val="24"/>
          <w:highlight w:val="none"/>
        </w:rPr>
      </w:pPr>
      <w:r>
        <w:rPr>
          <w:rFonts w:hint="eastAsia"/>
          <w:iCs/>
          <w:color w:val="auto"/>
          <w:sz w:val="24"/>
          <w:szCs w:val="24"/>
          <w:highlight w:val="none"/>
        </w:rPr>
        <w:t xml:space="preserve">（3）在签订合同时乙方明确表示无需预付款或者主要要求降低预付款比例的，上述付款方式中预付款要求可不执行，但应当由乙方书面提出并作为采购档案保存。</w:t>
      </w:r>
      <w:r/>
    </w:p>
    <w:p>
      <w:pPr>
        <w:ind w:right="-27" w:firstLine="482"/>
        <w:spacing w:line="440" w:lineRule="exact"/>
        <w:tabs>
          <w:tab w:val="left" w:pos="0" w:leader="none"/>
          <w:tab w:val="left" w:pos="6983"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第六条 </w:t>
      </w:r>
      <w:r>
        <w:rPr>
          <w:rFonts w:hint="eastAsia" w:ascii="宋体" w:hAnsi="宋体"/>
          <w:b/>
          <w:color w:val="auto"/>
          <w:sz w:val="24"/>
          <w:szCs w:val="24"/>
          <w:highlight w:val="none"/>
          <w:lang w:bidi="ar"/>
        </w:rPr>
        <w:t xml:space="preserve">权利保证</w:t>
      </w:r>
      <w:r>
        <w:rPr>
          <w:rFonts w:ascii="宋体" w:hAnsi="宋体" w:cs="宋体"/>
          <w:b/>
          <w:bCs/>
          <w:color w:val="auto"/>
          <w:sz w:val="24"/>
          <w:szCs w:val="24"/>
          <w:highlight w:val="none"/>
        </w:rPr>
        <w:tab/>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right="-27" w:firstLine="482"/>
        <w:spacing w:line="440" w:lineRule="exact"/>
        <w:tabs>
          <w:tab w:val="left" w:pos="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第七条</w:t>
      </w:r>
      <w:r>
        <w:rPr>
          <w:rFonts w:ascii="宋体" w:hAnsi="宋体" w:cs="宋体"/>
          <w:b/>
          <w:bCs/>
          <w:color w:val="auto"/>
          <w:sz w:val="24"/>
          <w:szCs w:val="24"/>
          <w:highlight w:val="none"/>
        </w:rPr>
        <w:t xml:space="preserve">  </w:t>
      </w:r>
      <w:r>
        <w:rPr>
          <w:rFonts w:hint="eastAsia" w:ascii="宋体" w:hAnsi="宋体"/>
          <w:b/>
          <w:color w:val="auto"/>
          <w:sz w:val="24"/>
          <w:szCs w:val="24"/>
          <w:highlight w:val="none"/>
          <w:lang w:bidi="ar"/>
        </w:rPr>
        <w:t xml:space="preserve">质量保证</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1、乙方保证货物完全符合国家相关法律法规和质量标准的规定，不会有任何三无、假冒、伪劣或违禁、走私的物品。</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3、乙方所提供货物的质量技术规格应与采购文件规定及投标或响应文件承诺的内容相一致；若技术规格中无相应说明，则按国家有关部门最新颁布的标准及规范为准。</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4、货物经甲方验收后，乙方仍应对由于质量、卫生、设计、工艺或材料、运输安全等方面产生的各类缺陷承担全部责任。</w:t>
      </w:r>
      <w:r/>
    </w:p>
    <w:p>
      <w:pPr>
        <w:ind w:right="-27" w:firstLine="482"/>
        <w:spacing w:line="440" w:lineRule="exact"/>
        <w:tabs>
          <w:tab w:val="left" w:pos="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第八条 包装要求</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乙方提供货物的包装应当符合绿色包装原则，相应包装应当符合《快递包装政府采购需求标准（试行）》、《商品包装政府采购需求标准（试行）》，甲方需要时，乙方应当就货物包装符合上述规定出具检测报告。  </w:t>
      </w:r>
      <w:r/>
    </w:p>
    <w:p>
      <w:pPr>
        <w:ind w:right="-27" w:firstLine="482"/>
        <w:spacing w:line="440" w:lineRule="exact"/>
        <w:tabs>
          <w:tab w:val="left" w:pos="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第九条 交货</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1、乙方应按照本合同规定的时间和方式向甲方交付货物。</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2、交付时间：合同签订后，按甲方通知确定的期限或者在采购文件约定的期限内，乙方应当完成供货、安装及调试工作并通过甲方或甲方委托的第三方的验收。</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3、本项目交货方式为现场交货。交付地点为：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。乙方负责办理货物的运输、装卸和保险，一切费用均由乙方承担。</w:t>
      </w:r>
      <w:r/>
    </w:p>
    <w:p>
      <w:pPr>
        <w:ind w:right="-27" w:firstLine="482"/>
        <w:spacing w:line="440" w:lineRule="exact"/>
        <w:tabs>
          <w:tab w:val="left" w:pos="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第十条 到货验收</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1、货物全部到达甲方指定地点后，甲乙双方应派员共同对货物当场开箱进行外观验收，如乙方不能按甲方通知按时到达现场又未告知正当理由的，甲方有权单方开箱检验，相应检验结果对乙方有效。</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2、乙方交付的货物应当完全符合本合同所约定的货物、数量和规格要求。乙方提供的货物不符合本合同约定的，甲方有权拒收货物，并由乙方承担相应的违约责任。</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乙方应将所提供货物的装箱清单、用户手册、原厂保修卡、随机资料及配件、随机工具、质量合格凭证、有效进口证明文件等交付给甲方；乙方不能完整交付上述规定的资料和工具的，视为未按合同约定交货，乙方负责补齐，因此导致逾期交付的，由乙方承担相应的违约责任。</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4、开箱验收的内容为核对到货情况：包装符合性；型号、数量及外观；货物所附技术资料、商务资料；货物组件及配置的型号、外观、数量；零配件、随机配套工具及辅助件的型号、外观、数量。</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5、有关货物外观、规格、数量或重量的检验不应视为最终检验。</w:t>
      </w:r>
      <w:r/>
    </w:p>
    <w:p>
      <w:pPr>
        <w:ind w:firstLine="500"/>
        <w:spacing w:line="400" w:lineRule="exact"/>
        <w:rPr>
          <w:b/>
          <w:i/>
          <w:color w:val="auto"/>
          <w:sz w:val="24"/>
          <w:szCs w:val="24"/>
          <w:highlight w:val="none"/>
        </w:rPr>
      </w:pPr>
      <w:r>
        <w:rPr>
          <w:rFonts w:hint="eastAsia" w:ascii="宋体" w:hAnsi="宋体" w:cs="宋体"/>
          <w:b/>
          <w:color w:val="auto"/>
          <w:sz w:val="24"/>
          <w:szCs w:val="24"/>
          <w:highlight w:val="none"/>
          <w:lang w:bidi="ar"/>
        </w:rPr>
        <w:t xml:space="preserve">第十一条 伴随服务</w:t>
      </w:r>
      <w:r/>
    </w:p>
    <w:p>
      <w:pPr>
        <w:ind w:firstLine="500"/>
        <w:spacing w:line="400" w:lineRule="exact"/>
        <w:rPr>
          <w:color w:val="auto"/>
          <w:sz w:val="24"/>
          <w:szCs w:val="24"/>
          <w:highlight w:val="none"/>
        </w:rPr>
      </w:pPr>
      <w:r>
        <w:rPr>
          <w:rFonts w:hint="eastAsia" w:ascii="宋体" w:hAnsi="宋体" w:cs="宋体"/>
          <w:color w:val="auto"/>
          <w:sz w:val="24"/>
          <w:szCs w:val="24"/>
          <w:highlight w:val="none"/>
          <w:lang w:bidi="ar"/>
        </w:rPr>
        <w:t xml:space="preserve">1乙方应提供下列伴随服务：</w:t>
      </w:r>
      <w:r/>
    </w:p>
    <w:p>
      <w:pPr>
        <w:ind w:firstLine="811"/>
        <w:spacing w:line="400" w:lineRule="exact"/>
        <w:rPr>
          <w:color w:val="auto"/>
          <w:sz w:val="24"/>
          <w:szCs w:val="24"/>
          <w:highlight w:val="none"/>
        </w:rPr>
      </w:pPr>
      <w:r>
        <w:rPr>
          <w:rFonts w:hint="eastAsia" w:ascii="宋体" w:hAnsi="宋体" w:cs="宋体"/>
          <w:color w:val="auto"/>
          <w:sz w:val="24"/>
          <w:szCs w:val="24"/>
          <w:highlight w:val="none"/>
          <w:lang w:bidi="ar"/>
        </w:rPr>
        <w:t xml:space="preserve">1.1货物的现场安装、施工、调试和／或启动监督；</w:t>
      </w:r>
      <w:r/>
    </w:p>
    <w:p>
      <w:pPr>
        <w:ind w:firstLine="811"/>
        <w:spacing w:line="400" w:lineRule="exact"/>
        <w:rPr>
          <w:color w:val="auto"/>
          <w:sz w:val="24"/>
          <w:szCs w:val="24"/>
          <w:highlight w:val="none"/>
        </w:rPr>
      </w:pPr>
      <w:r>
        <w:rPr>
          <w:rFonts w:hint="eastAsia" w:ascii="宋体" w:hAnsi="宋体" w:cs="宋体"/>
          <w:color w:val="auto"/>
          <w:sz w:val="24"/>
          <w:szCs w:val="24"/>
          <w:highlight w:val="none"/>
          <w:lang w:bidi="ar"/>
        </w:rPr>
        <w:t xml:space="preserve">1.2就货物的安装、调试、启动、运行及维护等对甲方人员进行免费培训。</w:t>
      </w:r>
      <w:r/>
    </w:p>
    <w:p>
      <w:pPr>
        <w:ind w:firstLine="500"/>
        <w:spacing w:line="400" w:lineRule="exact"/>
        <w:rPr>
          <w:color w:val="auto"/>
          <w:sz w:val="24"/>
          <w:szCs w:val="24"/>
          <w:highlight w:val="none"/>
        </w:rPr>
      </w:pPr>
      <w:r>
        <w:rPr>
          <w:rFonts w:hint="eastAsia" w:ascii="宋体" w:hAnsi="宋体" w:cs="宋体"/>
          <w:color w:val="auto"/>
          <w:sz w:val="24"/>
          <w:szCs w:val="24"/>
          <w:highlight w:val="none"/>
          <w:lang w:bidi="ar"/>
        </w:rPr>
        <w:t xml:space="preserve">2安装施工调试期间甲方责任：</w:t>
      </w:r>
      <w:r/>
    </w:p>
    <w:p>
      <w:pPr>
        <w:ind w:firstLine="811"/>
        <w:spacing w:line="400" w:lineRule="exact"/>
        <w:rPr>
          <w:color w:val="auto"/>
          <w:sz w:val="24"/>
          <w:szCs w:val="24"/>
          <w:highlight w:val="none"/>
        </w:rPr>
      </w:pPr>
      <w:r>
        <w:rPr>
          <w:rFonts w:hint="eastAsia" w:ascii="宋体" w:hAnsi="宋体" w:cs="宋体"/>
          <w:color w:val="auto"/>
          <w:sz w:val="24"/>
          <w:szCs w:val="24"/>
          <w:highlight w:val="none"/>
          <w:lang w:bidi="ar"/>
        </w:rPr>
        <w:t xml:space="preserve">2.1负责提供场地和有关货物的安装位置；</w:t>
      </w:r>
      <w:r/>
    </w:p>
    <w:p>
      <w:pPr>
        <w:ind w:firstLine="811"/>
        <w:spacing w:line="400" w:lineRule="exact"/>
        <w:rPr>
          <w:color w:val="auto"/>
          <w:sz w:val="24"/>
          <w:szCs w:val="24"/>
          <w:highlight w:val="none"/>
        </w:rPr>
      </w:pPr>
      <w:r>
        <w:rPr>
          <w:rFonts w:hint="eastAsia" w:ascii="宋体" w:hAnsi="宋体" w:cs="宋体"/>
          <w:color w:val="auto"/>
          <w:sz w:val="24"/>
          <w:szCs w:val="24"/>
          <w:highlight w:val="none"/>
          <w:lang w:bidi="ar"/>
        </w:rPr>
        <w:t xml:space="preserve">2.2提供符合安装施工调试要求的电源和水源等；</w:t>
      </w:r>
      <w:r/>
    </w:p>
    <w:p>
      <w:pPr>
        <w:ind w:firstLine="811"/>
        <w:spacing w:line="400" w:lineRule="exact"/>
        <w:rPr>
          <w:color w:val="auto"/>
          <w:sz w:val="24"/>
          <w:szCs w:val="24"/>
          <w:highlight w:val="none"/>
        </w:rPr>
      </w:pPr>
      <w:r>
        <w:rPr>
          <w:rFonts w:hint="eastAsia" w:ascii="宋体" w:hAnsi="宋体" w:cs="宋体"/>
          <w:color w:val="auto"/>
          <w:sz w:val="24"/>
          <w:szCs w:val="24"/>
          <w:highlight w:val="none"/>
          <w:lang w:bidi="ar"/>
        </w:rPr>
        <w:t xml:space="preserve">2.3负责乙方安装施工调试期间与其他施工安装单位交叉作业时的协调工作；</w:t>
      </w:r>
      <w:r/>
    </w:p>
    <w:p>
      <w:pPr>
        <w:ind w:firstLine="811"/>
        <w:spacing w:line="400" w:lineRule="exact"/>
        <w:rPr>
          <w:color w:val="auto"/>
          <w:sz w:val="24"/>
          <w:szCs w:val="24"/>
          <w:highlight w:val="none"/>
        </w:rPr>
      </w:pPr>
      <w:r>
        <w:rPr>
          <w:rFonts w:hint="eastAsia" w:ascii="宋体" w:hAnsi="宋体" w:cs="宋体"/>
          <w:color w:val="auto"/>
          <w:sz w:val="24"/>
          <w:szCs w:val="24"/>
          <w:highlight w:val="none"/>
          <w:lang w:bidi="ar"/>
        </w:rPr>
        <w:t xml:space="preserve">2.4配合乙方做好与安装施工调试有关的辅助性事务；</w:t>
      </w:r>
      <w:r/>
    </w:p>
    <w:p>
      <w:pPr>
        <w:ind w:firstLine="811"/>
        <w:spacing w:line="400" w:lineRule="exact"/>
        <w:rPr>
          <w:color w:val="auto"/>
          <w:sz w:val="24"/>
          <w:szCs w:val="24"/>
          <w:highlight w:val="none"/>
        </w:rPr>
      </w:pPr>
      <w:r>
        <w:rPr>
          <w:rFonts w:hint="eastAsia" w:ascii="宋体" w:hAnsi="宋体" w:cs="宋体"/>
          <w:color w:val="auto"/>
          <w:sz w:val="24"/>
          <w:szCs w:val="24"/>
          <w:highlight w:val="none"/>
          <w:lang w:bidi="ar"/>
        </w:rPr>
        <w:t xml:space="preserve">2.5对乙方的安装施工调试工作进行监督管理。</w:t>
      </w:r>
      <w:r/>
    </w:p>
    <w:p>
      <w:pPr>
        <w:ind w:firstLine="480"/>
        <w:spacing w:line="400" w:lineRule="exact"/>
        <w:rPr>
          <w:color w:val="auto"/>
          <w:sz w:val="24"/>
          <w:szCs w:val="24"/>
          <w:highlight w:val="none"/>
        </w:rPr>
      </w:pPr>
      <w:r>
        <w:rPr>
          <w:rFonts w:hint="eastAsia" w:ascii="宋体" w:hAnsi="宋体" w:cs="宋体"/>
          <w:color w:val="auto"/>
          <w:sz w:val="24"/>
          <w:szCs w:val="24"/>
          <w:highlight w:val="none"/>
          <w:lang w:bidi="ar"/>
        </w:rPr>
        <w:t xml:space="preserve">3安装施工调试期间乙方责任：</w:t>
      </w:r>
      <w:r/>
    </w:p>
    <w:p>
      <w:pPr>
        <w:ind w:firstLine="811"/>
        <w:spacing w:line="400" w:lineRule="exact"/>
        <w:rPr>
          <w:color w:val="auto"/>
          <w:sz w:val="24"/>
          <w:szCs w:val="24"/>
          <w:highlight w:val="none"/>
        </w:rPr>
      </w:pPr>
      <w:r>
        <w:rPr>
          <w:rFonts w:hint="eastAsia" w:ascii="宋体" w:hAnsi="宋体" w:cs="宋体"/>
          <w:color w:val="auto"/>
          <w:sz w:val="24"/>
          <w:szCs w:val="24"/>
          <w:highlight w:val="none"/>
          <w:lang w:bidi="ar"/>
        </w:rPr>
        <w:t xml:space="preserve">3.1负责货物运抵指定地点后的搬运及看护保管；</w:t>
      </w:r>
      <w:r/>
    </w:p>
    <w:p>
      <w:pPr>
        <w:ind w:firstLine="811"/>
        <w:spacing w:line="400" w:lineRule="exact"/>
        <w:rPr>
          <w:color w:val="auto"/>
          <w:sz w:val="24"/>
          <w:szCs w:val="24"/>
          <w:highlight w:val="none"/>
        </w:rPr>
      </w:pPr>
      <w:r>
        <w:rPr>
          <w:rFonts w:hint="eastAsia" w:ascii="宋体" w:hAnsi="宋体" w:cs="宋体"/>
          <w:color w:val="auto"/>
          <w:sz w:val="24"/>
          <w:szCs w:val="24"/>
          <w:highlight w:val="none"/>
          <w:lang w:bidi="ar"/>
        </w:rPr>
        <w:t xml:space="preserve">3.2在安装施工前负责派员前往安装现场进行勘测，确认施工现场条件，与甲方约定具体开工日期；</w:t>
      </w:r>
      <w:r/>
    </w:p>
    <w:p>
      <w:pPr>
        <w:ind w:firstLine="811"/>
        <w:spacing w:line="400" w:lineRule="exact"/>
        <w:rPr>
          <w:color w:val="auto"/>
          <w:sz w:val="24"/>
          <w:szCs w:val="24"/>
          <w:highlight w:val="none"/>
        </w:rPr>
      </w:pPr>
      <w:r>
        <w:rPr>
          <w:rFonts w:hint="eastAsia" w:ascii="宋体" w:hAnsi="宋体" w:cs="宋体"/>
          <w:color w:val="auto"/>
          <w:sz w:val="24"/>
          <w:szCs w:val="24"/>
          <w:highlight w:val="none"/>
          <w:lang w:bidi="ar"/>
        </w:rPr>
        <w:t xml:space="preserve">3.3按照国家规定的相关安装规范和质量标准完成安装施工调试工作；</w:t>
      </w:r>
      <w:r/>
    </w:p>
    <w:p>
      <w:pPr>
        <w:ind w:firstLine="811"/>
        <w:spacing w:line="400" w:lineRule="exact"/>
        <w:rPr>
          <w:color w:val="auto"/>
          <w:sz w:val="24"/>
          <w:szCs w:val="24"/>
          <w:highlight w:val="none"/>
        </w:rPr>
      </w:pPr>
      <w:r>
        <w:rPr>
          <w:rFonts w:hint="eastAsia" w:ascii="宋体" w:hAnsi="宋体" w:cs="宋体"/>
          <w:color w:val="auto"/>
          <w:sz w:val="24"/>
          <w:szCs w:val="24"/>
          <w:highlight w:val="none"/>
          <w:lang w:bidi="ar"/>
        </w:rPr>
        <w:t xml:space="preserve">3.4遵守施工现场的有关规章制度，文明施工、安全施工，接受甲方的监督管理；</w:t>
      </w:r>
      <w:r/>
    </w:p>
    <w:p>
      <w:pPr>
        <w:ind w:firstLine="811"/>
        <w:spacing w:line="400" w:lineRule="exact"/>
        <w:rPr>
          <w:color w:val="auto"/>
          <w:sz w:val="24"/>
          <w:szCs w:val="24"/>
          <w:highlight w:val="none"/>
        </w:rPr>
      </w:pPr>
      <w:r>
        <w:rPr>
          <w:rFonts w:hint="eastAsia" w:ascii="宋体" w:hAnsi="宋体" w:cs="宋体"/>
          <w:color w:val="auto"/>
          <w:sz w:val="24"/>
          <w:szCs w:val="24"/>
          <w:highlight w:val="none"/>
          <w:lang w:bidi="ar"/>
        </w:rPr>
        <w:t xml:space="preserve">3.5配合甲方工作，参加现场施工协调会议；</w:t>
      </w:r>
      <w:r/>
    </w:p>
    <w:p>
      <w:pPr>
        <w:ind w:firstLine="811"/>
        <w:spacing w:line="400" w:lineRule="exact"/>
        <w:rPr>
          <w:color w:val="auto"/>
          <w:sz w:val="24"/>
          <w:szCs w:val="24"/>
          <w:highlight w:val="none"/>
        </w:rPr>
      </w:pPr>
      <w:r>
        <w:rPr>
          <w:rFonts w:hint="eastAsia" w:ascii="宋体" w:hAnsi="宋体" w:cs="宋体"/>
          <w:color w:val="auto"/>
          <w:sz w:val="24"/>
          <w:szCs w:val="24"/>
          <w:highlight w:val="none"/>
          <w:lang w:bidi="ar"/>
        </w:rPr>
        <w:t xml:space="preserve">3.6负责现场施工人员的保险和一切安全责任；</w:t>
      </w:r>
      <w:r/>
    </w:p>
    <w:p>
      <w:pPr>
        <w:ind w:firstLine="811"/>
        <w:spacing w:line="400" w:lineRule="exact"/>
        <w:rPr>
          <w:color w:val="auto"/>
          <w:sz w:val="24"/>
          <w:szCs w:val="24"/>
          <w:highlight w:val="none"/>
        </w:rPr>
      </w:pPr>
      <w:r>
        <w:rPr>
          <w:rFonts w:hint="eastAsia" w:ascii="宋体" w:hAnsi="宋体" w:cs="宋体"/>
          <w:color w:val="auto"/>
          <w:sz w:val="24"/>
          <w:szCs w:val="24"/>
          <w:highlight w:val="none"/>
          <w:lang w:bidi="ar"/>
        </w:rPr>
        <w:t xml:space="preserve">3.7负责安装质量的自检验收，配合甲方完成验收工作及项目的移交；</w:t>
      </w:r>
      <w:r/>
    </w:p>
    <w:p>
      <w:pPr>
        <w:ind w:firstLine="811"/>
        <w:spacing w:line="40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3.8按照有关部门要求完成质量评定和安装施工记录；</w:t>
      </w:r>
      <w:r/>
    </w:p>
    <w:p>
      <w:pPr>
        <w:ind w:firstLine="811"/>
        <w:spacing w:line="40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3.9负责安装施工调试期间由于乙方过错所造成的一切损失。</w:t>
      </w:r>
      <w:r/>
    </w:p>
    <w:p>
      <w:pPr>
        <w:ind w:firstLine="500"/>
        <w:spacing w:line="480" w:lineRule="exact"/>
        <w:rPr>
          <w:b/>
          <w:color w:val="auto"/>
          <w:sz w:val="24"/>
          <w:szCs w:val="24"/>
          <w:highlight w:val="none"/>
        </w:rPr>
      </w:pPr>
      <w:r>
        <w:rPr>
          <w:rFonts w:hint="eastAsia" w:ascii="宋体" w:hAnsi="宋体" w:cs="宋体"/>
          <w:b/>
          <w:color w:val="auto"/>
          <w:sz w:val="24"/>
          <w:szCs w:val="24"/>
          <w:highlight w:val="none"/>
          <w:lang w:bidi="ar"/>
        </w:rPr>
        <w:t xml:space="preserve">第十二条 最终验收</w:t>
      </w:r>
      <w:r/>
    </w:p>
    <w:p>
      <w:pPr>
        <w:ind w:firstLine="480"/>
        <w:spacing w:line="40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1、货物安装调试结束后，乙方应以书面方式及时通知甲方对项目进行最终验收，验收合格的，由甲乙双方签署验收单并加盖单位公章。</w:t>
      </w:r>
      <w:r/>
    </w:p>
    <w:p>
      <w:pPr>
        <w:ind w:firstLine="480"/>
        <w:spacing w:line="40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货物最终验收包括：货物经过装卸、安装、调试后的外观、数量、型号；货物的材质；货物的性能；货物与投标文件或响应文件的符合度；检测报告齐全性；抽样送检报告；成品检测等以及乙方承诺、甲方要求的其它指标。</w:t>
      </w:r>
      <w:r/>
    </w:p>
    <w:p>
      <w:pPr>
        <w:ind w:firstLine="480"/>
        <w:spacing w:line="40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3、甲方有权抽样送交第三方进行检测，相应的检测费用由采购文件约定的一方承担，未约定的协商确定。</w:t>
      </w:r>
      <w:r/>
    </w:p>
    <w:p>
      <w:pPr>
        <w:ind w:firstLine="480"/>
        <w:spacing w:line="40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p>
    <w:p>
      <w:pPr>
        <w:ind w:firstLine="480"/>
        <w:spacing w:line="40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5、验收标准应遵循国家相关标准、行业通行标准、厂方出厂标准、采购文件要求和乙方承诺、甲方要求等。</w:t>
      </w:r>
      <w:r/>
    </w:p>
    <w:p>
      <w:pPr>
        <w:ind w:firstLine="480"/>
        <w:spacing w:line="40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6、甲方有权要求乙方提供采购原材料或货物的采购合同、票据或付款凭证，以核实乙方供货来源的真实性。</w:t>
      </w:r>
      <w:r/>
    </w:p>
    <w:p>
      <w:pPr>
        <w:ind w:firstLine="500"/>
        <w:spacing w:line="440" w:lineRule="exact"/>
        <w:rPr>
          <w:b/>
          <w:color w:val="auto"/>
          <w:sz w:val="24"/>
          <w:szCs w:val="24"/>
          <w:highlight w:val="none"/>
        </w:rPr>
      </w:pPr>
      <w:r>
        <w:rPr>
          <w:rFonts w:hint="eastAsia" w:ascii="宋体" w:hAnsi="宋体" w:cs="宋体"/>
          <w:b/>
          <w:color w:val="auto"/>
          <w:sz w:val="24"/>
          <w:szCs w:val="24"/>
          <w:highlight w:val="none"/>
          <w:lang w:bidi="ar"/>
        </w:rPr>
        <w:t xml:space="preserve">第十三条 售后服务</w:t>
      </w:r>
      <w:r/>
    </w:p>
    <w:p>
      <w:pPr>
        <w:ind w:firstLine="50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1、乙方应按照国家有关法律法规、行业规定以及采购文件规定、投标文件或响应文件承诺的内容提供售后服务。具体为：</w:t>
      </w:r>
      <w:r/>
    </w:p>
    <w:p>
      <w:pPr>
        <w:ind w:firstLine="811"/>
        <w:spacing w:line="40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1.1从乙方将货物送至甲方指定地址后应负责免费安装调试（如需）。</w:t>
      </w:r>
      <w:r/>
    </w:p>
    <w:p>
      <w:pPr>
        <w:ind w:firstLine="811"/>
        <w:spacing w:line="40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1.2货物免费保修</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年，自甲方最终验收合格之日（如无需安装调试的，则自到货验收合格之日起）起计算。</w:t>
      </w:r>
      <w:r/>
    </w:p>
    <w:p>
      <w:pPr>
        <w:ind w:firstLine="811"/>
        <w:spacing w:line="40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1.3乙方应在接到甲方通知后</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小时内维修完毕使货物恢复正常使用或根据要求免费更换新货物，迟延维修超过＿小时的，甲方有权扣减</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金额的合同总价，乙方拒绝维修或迟延维修超过</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小时的，甲方有权自行或委托第三方维修，因此产生的所有支出（包括但不限于因乙方未能及时维修给甲方造成的损失，甲方自行或委托第三方维修产生的费用等）由乙方承担。</w:t>
      </w:r>
      <w:r/>
    </w:p>
    <w:p>
      <w:pPr>
        <w:ind w:firstLine="811"/>
        <w:spacing w:line="40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报修电话：</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          </w:t>
      </w:r>
      <w:r/>
    </w:p>
    <w:p>
      <w:pPr>
        <w:ind w:firstLine="811"/>
        <w:spacing w:line="40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联系人：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          </w:t>
      </w:r>
      <w:r/>
    </w:p>
    <w:p>
      <w:pPr>
        <w:ind w:firstLine="811"/>
        <w:spacing w:line="40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1.4免费保修期内，乙方免收甲方所有费用，包括但不限于零部件费用、人工费、交通费、住宿费等。</w:t>
      </w:r>
      <w:r/>
    </w:p>
    <w:p>
      <w:pPr>
        <w:ind w:firstLine="811"/>
        <w:spacing w:line="40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1.5若在免费保修期内，乙方拒绝维修或迟延维修的，甲方有权自行或委托第三方维修，因此产生的所有费用由乙方承担。</w:t>
      </w:r>
      <w:r/>
    </w:p>
    <w:p>
      <w:pPr>
        <w:ind w:firstLine="811"/>
        <w:spacing w:line="40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1.6免费保修期满后，若甲方要求乙方提供维修的，甲方承担维修所需更换零部件／配件费用，乙方同意按不高于市场价收费。</w:t>
      </w:r>
      <w:r/>
    </w:p>
    <w:p>
      <w:pPr>
        <w:ind w:firstLine="500"/>
        <w:spacing w:line="440" w:lineRule="exact"/>
        <w:rPr>
          <w:b/>
          <w:color w:val="auto"/>
          <w:sz w:val="24"/>
          <w:szCs w:val="24"/>
          <w:highlight w:val="none"/>
        </w:rPr>
      </w:pPr>
      <w:r>
        <w:rPr>
          <w:rFonts w:hint="eastAsia" w:ascii="宋体" w:hAnsi="宋体" w:cs="宋体"/>
          <w:b/>
          <w:color w:val="auto"/>
          <w:sz w:val="24"/>
          <w:szCs w:val="24"/>
          <w:highlight w:val="none"/>
          <w:lang w:bidi="ar"/>
        </w:rPr>
        <w:t xml:space="preserve">第十四条 违约责任</w:t>
      </w:r>
      <w:r/>
    </w:p>
    <w:p>
      <w:pPr>
        <w:ind w:firstLine="500"/>
        <w:spacing w:line="440" w:lineRule="exact"/>
        <w:rPr>
          <w:color w:val="auto"/>
          <w:sz w:val="24"/>
          <w:szCs w:val="24"/>
          <w:highlight w:val="none"/>
        </w:rPr>
      </w:pPr>
      <w:r>
        <w:rPr>
          <w:rFonts w:hint="eastAsia" w:ascii="宋体" w:hAnsi="宋体" w:cs="宋体"/>
          <w:color w:val="auto"/>
          <w:sz w:val="24"/>
          <w:szCs w:val="24"/>
          <w:highlight w:val="none"/>
          <w:lang w:bidi="ar"/>
        </w:rPr>
        <w:t xml:space="preserve">1、</w:t>
      </w:r>
      <w:r>
        <w:rPr>
          <w:rFonts w:hint="eastAsia" w:ascii="宋体" w:hAnsi="宋体" w:cs="Courier New"/>
          <w:color w:val="auto"/>
          <w:sz w:val="24"/>
          <w:szCs w:val="24"/>
          <w:highlight w:val="none"/>
          <w:lang w:bidi="ar"/>
        </w:rPr>
        <w:t xml:space="preserve">甲方无正当理由拒收货物的，甲方向乙方偿付拒收货物价款</w:t>
      </w:r>
      <w:r>
        <w:rPr>
          <w:rFonts w:hint="eastAsia" w:ascii="宋体" w:hAnsi="宋体" w:cs="Courier New"/>
          <w:color w:val="auto"/>
          <w:sz w:val="24"/>
          <w:szCs w:val="24"/>
          <w:highlight w:val="none"/>
          <w:u w:val="single"/>
          <w:lang w:bidi="ar"/>
        </w:rPr>
        <w:t xml:space="preserve"> 5% </w:t>
      </w:r>
      <w:r>
        <w:rPr>
          <w:rFonts w:hint="eastAsia" w:ascii="宋体" w:hAnsi="宋体" w:cs="Courier New"/>
          <w:color w:val="auto"/>
          <w:sz w:val="24"/>
          <w:szCs w:val="24"/>
          <w:highlight w:val="none"/>
          <w:lang w:bidi="ar"/>
        </w:rPr>
        <w:t xml:space="preserve">的违约金；</w:t>
      </w:r>
      <w:r>
        <w:rPr>
          <w:rFonts w:hint="eastAsia" w:ascii="宋体" w:hAnsi="宋体" w:cs="宋体"/>
          <w:color w:val="auto"/>
          <w:sz w:val="24"/>
          <w:szCs w:val="24"/>
          <w:highlight w:val="none"/>
          <w:lang w:bidi="ar"/>
        </w:rPr>
        <w:t xml:space="preserve">甲方逾期付款的，每逾期一日，乙方有权要求甲方按照逾期付款金额的</w:t>
      </w:r>
      <w:r>
        <w:rPr>
          <w:rFonts w:hint="eastAsia" w:ascii="宋体" w:hAnsi="宋体" w:cs="宋体"/>
          <w:color w:val="auto"/>
          <w:sz w:val="24"/>
          <w:szCs w:val="24"/>
          <w:highlight w:val="none"/>
          <w:u w:val="single"/>
          <w:lang w:bidi="ar"/>
        </w:rPr>
        <w:t xml:space="preserve"> 0.5 </w:t>
      </w:r>
      <w:r>
        <w:rPr>
          <w:rFonts w:hint="eastAsia" w:ascii="宋体" w:hAnsi="宋体" w:cs="宋体"/>
          <w:color w:val="auto"/>
          <w:sz w:val="24"/>
          <w:szCs w:val="24"/>
          <w:highlight w:val="none"/>
          <w:lang w:bidi="ar"/>
        </w:rPr>
        <w:t xml:space="preserve">％向乙方支付违约金，但违约金累计不得超过逾期付款金额的</w:t>
      </w:r>
      <w:r>
        <w:rPr>
          <w:rFonts w:hint="eastAsia" w:ascii="宋体" w:hAnsi="宋体" w:cs="宋体"/>
          <w:color w:val="auto"/>
          <w:sz w:val="24"/>
          <w:szCs w:val="24"/>
          <w:highlight w:val="none"/>
          <w:u w:val="single"/>
          <w:lang w:bidi="ar"/>
        </w:rPr>
        <w:t xml:space="preserve">  5 </w:t>
      </w:r>
      <w:r>
        <w:rPr>
          <w:rFonts w:hint="eastAsia" w:ascii="宋体" w:hAnsi="宋体" w:cs="宋体"/>
          <w:color w:val="auto"/>
          <w:sz w:val="24"/>
          <w:szCs w:val="24"/>
          <w:highlight w:val="none"/>
          <w:lang w:bidi="ar"/>
        </w:rPr>
        <w:t xml:space="preserve">％。</w:t>
      </w:r>
      <w:r/>
    </w:p>
    <w:p>
      <w:pPr>
        <w:ind w:firstLine="500"/>
        <w:spacing w:line="440" w:lineRule="exact"/>
        <w:rPr>
          <w:color w:val="auto"/>
          <w:sz w:val="24"/>
          <w:szCs w:val="24"/>
          <w:highlight w:val="none"/>
        </w:rPr>
      </w:pPr>
      <w:r>
        <w:rPr>
          <w:rFonts w:hint="eastAsia" w:ascii="宋体" w:hAnsi="宋体" w:cs="宋体"/>
          <w:color w:val="auto"/>
          <w:sz w:val="24"/>
          <w:szCs w:val="24"/>
          <w:highlight w:val="none"/>
          <w:lang w:bidi="ar"/>
        </w:rPr>
        <w:t xml:space="preserve">2、乙方逾期交付货物的，每逾期一日，甲方有权要求乙方向甲方支付逾期交付货物价款</w:t>
      </w:r>
      <w:r>
        <w:rPr>
          <w:rFonts w:hint="eastAsia" w:ascii="宋体" w:hAnsi="宋体" w:cs="宋体"/>
          <w:color w:val="auto"/>
          <w:sz w:val="24"/>
          <w:szCs w:val="24"/>
          <w:highlight w:val="none"/>
          <w:u w:val="single"/>
          <w:lang w:bidi="ar"/>
        </w:rPr>
        <w:t xml:space="preserve">   0.5 </w:t>
      </w:r>
      <w:r>
        <w:rPr>
          <w:rFonts w:hint="eastAsia" w:ascii="宋体" w:hAnsi="宋体" w:cs="宋体"/>
          <w:color w:val="auto"/>
          <w:sz w:val="24"/>
          <w:szCs w:val="24"/>
          <w:highlight w:val="none"/>
          <w:lang w:bidi="ar"/>
        </w:rPr>
        <w:t xml:space="preserve">％的违约金，但违约金累计不得超过逾期交付货物价款的</w:t>
      </w:r>
      <w:r>
        <w:rPr>
          <w:rFonts w:hint="eastAsia" w:ascii="宋体" w:hAnsi="宋体" w:cs="宋体"/>
          <w:color w:val="auto"/>
          <w:sz w:val="24"/>
          <w:szCs w:val="24"/>
          <w:highlight w:val="none"/>
          <w:u w:val="single"/>
          <w:lang w:bidi="ar"/>
        </w:rPr>
        <w:t xml:space="preserve"> 5 </w:t>
      </w:r>
      <w:r>
        <w:rPr>
          <w:rFonts w:hint="eastAsia" w:ascii="宋体" w:hAnsi="宋体" w:cs="宋体"/>
          <w:color w:val="auto"/>
          <w:sz w:val="24"/>
          <w:szCs w:val="24"/>
          <w:highlight w:val="none"/>
          <w:lang w:bidi="ar"/>
        </w:rPr>
        <w:t xml:space="preserve">％；一旦违约金总额累计达到逾期交付货物价款的</w:t>
      </w:r>
      <w:r>
        <w:rPr>
          <w:rFonts w:hint="eastAsia" w:ascii="宋体" w:hAnsi="宋体" w:cs="宋体"/>
          <w:color w:val="auto"/>
          <w:sz w:val="24"/>
          <w:szCs w:val="24"/>
          <w:highlight w:val="none"/>
          <w:u w:val="single"/>
          <w:lang w:bidi="ar"/>
        </w:rPr>
        <w:t xml:space="preserve"> 5 </w:t>
      </w:r>
      <w:r>
        <w:rPr>
          <w:rFonts w:hint="eastAsia" w:ascii="宋体" w:hAnsi="宋体" w:cs="宋体"/>
          <w:color w:val="auto"/>
          <w:sz w:val="24"/>
          <w:szCs w:val="24"/>
          <w:highlight w:val="none"/>
          <w:lang w:bidi="ar"/>
        </w:rPr>
        <w:t xml:space="preserve">％，甲方有权解除合同。但违约金不足补偿甲方实际损失或损害的，甲方有权要求乙方赔偿甲方的实际损失或损害。</w:t>
      </w:r>
      <w:r/>
    </w:p>
    <w:p>
      <w:pPr>
        <w:ind w:firstLine="500"/>
        <w:spacing w:line="420" w:lineRule="exact"/>
        <w:rPr>
          <w:color w:val="auto"/>
          <w:sz w:val="24"/>
          <w:szCs w:val="24"/>
          <w:highlight w:val="none"/>
        </w:rPr>
      </w:pPr>
      <w:r>
        <w:rPr>
          <w:rFonts w:hint="eastAsia" w:ascii="宋体" w:hAnsi="宋体" w:cs="宋体"/>
          <w:color w:val="auto"/>
          <w:sz w:val="24"/>
          <w:szCs w:val="24"/>
          <w:highlight w:val="none"/>
          <w:lang w:bidi="ar"/>
        </w:rPr>
        <w:t xml:space="preserve">3、若乙方未经甲方书面同意不能按照本合同约定交货逾期超过</w:t>
      </w:r>
      <w:r>
        <w:rPr>
          <w:rFonts w:hint="eastAsia" w:ascii="宋体" w:hAnsi="宋体" w:cs="宋体"/>
          <w:color w:val="auto"/>
          <w:sz w:val="24"/>
          <w:szCs w:val="24"/>
          <w:highlight w:val="none"/>
          <w:u w:val="single"/>
          <w:lang w:bidi="ar"/>
        </w:rPr>
        <w:t xml:space="preserve">  15 </w:t>
      </w:r>
      <w:r>
        <w:rPr>
          <w:rFonts w:hint="eastAsia" w:ascii="宋体" w:hAnsi="宋体" w:cs="宋体"/>
          <w:color w:val="auto"/>
          <w:sz w:val="24"/>
          <w:szCs w:val="24"/>
          <w:highlight w:val="none"/>
          <w:lang w:bidi="ar"/>
        </w:rPr>
        <w:t xml:space="preserve">日，将视为严重违约，甲方有权单方面解除本合同而不承担任何责任，本合同自甲方书面通知乙方解除合同之日起自动终止，同时甲方有权要求乙方在甲方书面通知之日起</w:t>
      </w:r>
      <w:r>
        <w:rPr>
          <w:rFonts w:hint="eastAsia" w:ascii="宋体" w:hAnsi="宋体" w:cs="宋体"/>
          <w:color w:val="auto"/>
          <w:sz w:val="24"/>
          <w:szCs w:val="24"/>
          <w:highlight w:val="none"/>
          <w:u w:val="single"/>
          <w:lang w:bidi="ar"/>
        </w:rPr>
        <w:t xml:space="preserve"> 7 </w:t>
      </w:r>
      <w:r>
        <w:rPr>
          <w:rFonts w:hint="eastAsia" w:ascii="宋体" w:hAnsi="宋体" w:cs="宋体"/>
          <w:color w:val="auto"/>
          <w:sz w:val="24"/>
          <w:szCs w:val="24"/>
          <w:highlight w:val="none"/>
          <w:lang w:bidi="ar"/>
        </w:rPr>
        <w:t xml:space="preserve">日内向甲方支付本合同价款总额的</w:t>
      </w:r>
      <w:r>
        <w:rPr>
          <w:rFonts w:hint="eastAsia" w:ascii="宋体" w:hAnsi="宋体" w:cs="宋体"/>
          <w:color w:val="auto"/>
          <w:sz w:val="24"/>
          <w:szCs w:val="24"/>
          <w:highlight w:val="none"/>
          <w:u w:val="single"/>
          <w:lang w:bidi="ar"/>
        </w:rPr>
        <w:t xml:space="preserve"> 5 </w:t>
      </w:r>
      <w:r>
        <w:rPr>
          <w:rFonts w:hint="eastAsia" w:ascii="宋体" w:hAnsi="宋体" w:cs="宋体"/>
          <w:color w:val="auto"/>
          <w:sz w:val="24"/>
          <w:szCs w:val="24"/>
          <w:highlight w:val="none"/>
          <w:lang w:bidi="ar"/>
        </w:rPr>
        <w:t xml:space="preserve">％，作为违约金。</w:t>
      </w:r>
      <w:r/>
    </w:p>
    <w:p>
      <w:pPr>
        <w:ind w:firstLine="500"/>
        <w:spacing w:line="440" w:lineRule="exact"/>
        <w:rPr>
          <w:color w:val="auto"/>
          <w:sz w:val="24"/>
          <w:szCs w:val="24"/>
          <w:highlight w:val="none"/>
        </w:rPr>
      </w:pPr>
      <w:r>
        <w:rPr>
          <w:rFonts w:hint="eastAsia" w:ascii="宋体" w:hAnsi="宋体" w:cs="宋体"/>
          <w:color w:val="auto"/>
          <w:sz w:val="24"/>
          <w:szCs w:val="24"/>
          <w:highlight w:val="none"/>
          <w:lang w:bidi="ar"/>
        </w:rPr>
        <w:t xml:space="preserve">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rFonts w:hint="eastAsia" w:ascii="宋体" w:hAnsi="宋体" w:cs="宋体"/>
          <w:color w:val="auto"/>
          <w:sz w:val="24"/>
          <w:szCs w:val="24"/>
          <w:highlight w:val="none"/>
          <w:u w:val="single"/>
          <w:lang w:bidi="ar"/>
        </w:rPr>
        <w:t xml:space="preserve"> 7 </w:t>
      </w:r>
      <w:r>
        <w:rPr>
          <w:rFonts w:hint="eastAsia" w:ascii="宋体" w:hAnsi="宋体" w:cs="宋体"/>
          <w:color w:val="auto"/>
          <w:sz w:val="24"/>
          <w:szCs w:val="24"/>
          <w:highlight w:val="none"/>
          <w:lang w:bidi="ar"/>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p>
    <w:p>
      <w:pPr>
        <w:ind w:firstLine="811"/>
        <w:spacing w:line="440" w:lineRule="exact"/>
        <w:rPr>
          <w:color w:val="auto"/>
          <w:sz w:val="24"/>
          <w:szCs w:val="24"/>
          <w:highlight w:val="none"/>
        </w:rPr>
      </w:pPr>
      <w:r>
        <w:rPr>
          <w:rFonts w:hint="eastAsia" w:ascii="宋体" w:hAnsi="宋体" w:cs="宋体"/>
          <w:color w:val="auto"/>
          <w:sz w:val="24"/>
          <w:szCs w:val="24"/>
          <w:highlight w:val="none"/>
          <w:lang w:bidi="ar"/>
        </w:rPr>
        <w:t xml:space="preserve">4.1乙方未能在甲方书面异议中限定的时间内根据甲方的要求进行调换或采取其他甲方同意的补救措施；</w:t>
      </w:r>
      <w:r/>
    </w:p>
    <w:p>
      <w:pPr>
        <w:ind w:firstLine="765"/>
        <w:spacing w:line="400" w:lineRule="exact"/>
        <w:rPr>
          <w:color w:val="auto"/>
          <w:sz w:val="24"/>
          <w:szCs w:val="24"/>
          <w:highlight w:val="none"/>
        </w:rPr>
      </w:pPr>
      <w:r>
        <w:rPr>
          <w:rFonts w:hint="eastAsia" w:ascii="宋体" w:hAnsi="宋体" w:cs="宋体"/>
          <w:color w:val="auto"/>
          <w:sz w:val="24"/>
          <w:szCs w:val="24"/>
          <w:highlight w:val="none"/>
          <w:lang w:bidi="ar"/>
        </w:rPr>
        <w:t xml:space="preserve">4.2交付的货物因交付或验收（如适用）以前的原因而产生毁损／灭失／变质／泄漏／数量或重量短缺／质量不良／不安全等物质上的缺陷；</w:t>
      </w:r>
      <w:r/>
    </w:p>
    <w:p>
      <w:pPr>
        <w:ind w:firstLine="765"/>
        <w:spacing w:line="400" w:lineRule="exact"/>
        <w:rPr>
          <w:color w:val="auto"/>
          <w:sz w:val="24"/>
          <w:szCs w:val="24"/>
          <w:highlight w:val="none"/>
        </w:rPr>
      </w:pPr>
      <w:r>
        <w:rPr>
          <w:rFonts w:hint="eastAsia" w:ascii="宋体" w:hAnsi="宋体" w:cs="宋体"/>
          <w:color w:val="auto"/>
          <w:sz w:val="24"/>
          <w:szCs w:val="24"/>
          <w:highlight w:val="none"/>
          <w:lang w:bidi="ar"/>
        </w:rPr>
        <w:t xml:space="preserve">4.3交付的货物存在为他人设定担保／交易限制／权属争议／不符合法律的强制性规定等法律上的缺陷；</w:t>
      </w:r>
      <w:r/>
    </w:p>
    <w:p>
      <w:pPr>
        <w:ind w:firstLine="765"/>
        <w:spacing w:line="400" w:lineRule="exact"/>
        <w:rPr>
          <w:color w:val="auto"/>
          <w:sz w:val="24"/>
          <w:szCs w:val="24"/>
          <w:highlight w:val="none"/>
        </w:rPr>
      </w:pPr>
      <w:r>
        <w:rPr>
          <w:rFonts w:hint="eastAsia" w:ascii="宋体" w:hAnsi="宋体" w:cs="宋体"/>
          <w:color w:val="auto"/>
          <w:sz w:val="24"/>
          <w:szCs w:val="24"/>
          <w:highlight w:val="none"/>
          <w:lang w:bidi="ar"/>
        </w:rPr>
        <w:t xml:space="preserve">4.4交付的货物本身存在缺陷，已经或者可能给任何国家的消费者／使用者／其他第三人造成生命／身体／财产等方面的损害或者被任何国家的法律、法规所限制或禁止的，已经或者可能被中国政府部门等进行查处或者制裁；</w:t>
      </w:r>
      <w:r/>
    </w:p>
    <w:p>
      <w:pPr>
        <w:ind w:firstLine="765"/>
        <w:spacing w:line="400" w:lineRule="exact"/>
        <w:rPr>
          <w:color w:val="auto"/>
          <w:sz w:val="24"/>
          <w:szCs w:val="24"/>
          <w:highlight w:val="none"/>
        </w:rPr>
      </w:pPr>
      <w:r>
        <w:rPr>
          <w:rFonts w:hint="eastAsia" w:ascii="宋体" w:hAnsi="宋体" w:cs="宋体"/>
          <w:color w:val="auto"/>
          <w:sz w:val="24"/>
          <w:szCs w:val="24"/>
          <w:highlight w:val="none"/>
          <w:lang w:bidi="ar"/>
        </w:rPr>
        <w:t xml:space="preserve">4.5交付的货物已经或者可能侵犯甲方以及其他第三人的专利权／商标权／专有技术／互联网络域名权／商业秘密等知识产权以及其他权利；</w:t>
      </w:r>
      <w:r/>
    </w:p>
    <w:p>
      <w:pPr>
        <w:ind w:firstLine="765"/>
        <w:spacing w:line="400" w:lineRule="exact"/>
        <w:rPr>
          <w:color w:val="auto"/>
          <w:sz w:val="24"/>
          <w:szCs w:val="24"/>
          <w:highlight w:val="none"/>
        </w:rPr>
      </w:pPr>
      <w:r>
        <w:rPr>
          <w:rFonts w:hint="eastAsia" w:ascii="宋体" w:hAnsi="宋体" w:cs="宋体"/>
          <w:color w:val="auto"/>
          <w:sz w:val="24"/>
          <w:szCs w:val="24"/>
          <w:highlight w:val="none"/>
          <w:lang w:bidi="ar"/>
        </w:rPr>
        <w:t xml:space="preserve">4.6乙方未按照甲方的要求及时提供诸如增值税发票之类的财务文件以及其他必要的文件；</w:t>
      </w:r>
      <w:r/>
    </w:p>
    <w:p>
      <w:pPr>
        <w:ind w:firstLine="765"/>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4.7出现乙方或者乙方的财产被诉讼保全／被拍卖／被强制执行／被有权机关等查处或者整改／主动或者被动地进行清算或者整顿的情形，以及甲方有充分理由认为乙方履行本合同存在重大困难的情形。</w:t>
      </w:r>
      <w:r/>
    </w:p>
    <w:p>
      <w:pPr>
        <w:ind w:firstLine="50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5、乙方出现下列情形之一的，视为乙方出现了丧失履行本合同的能力，甲方有权单方解除合同并由乙方赔偿甲方由此产生的全部损失：</w:t>
      </w:r>
      <w:r/>
    </w:p>
    <w:p>
      <w:pPr>
        <w:ind w:firstLine="765"/>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5.1乙方因为涉诉被冻结账户，导致无法履行合同的，或者乙方因为未能履行生效法律文书，被列入失信被执行人名录的；</w:t>
      </w:r>
      <w:r/>
    </w:p>
    <w:p>
      <w:pPr>
        <w:ind w:firstLine="765"/>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5.2在合同有效期内，乙方的技术、营销人员离职人数达到</w:t>
      </w:r>
      <w:r>
        <w:rPr>
          <w:rFonts w:hint="eastAsia" w:ascii="宋体" w:hAnsi="宋体" w:cs="宋体"/>
          <w:color w:val="auto"/>
          <w:sz w:val="24"/>
          <w:szCs w:val="24"/>
          <w:highlight w:val="none"/>
          <w:u w:val="single"/>
          <w:lang w:bidi="ar"/>
        </w:rPr>
        <w:t xml:space="preserve"> 30% </w:t>
      </w:r>
      <w:r>
        <w:rPr>
          <w:rFonts w:hint="eastAsia" w:ascii="宋体" w:hAnsi="宋体" w:cs="宋体"/>
          <w:color w:val="auto"/>
          <w:sz w:val="24"/>
          <w:szCs w:val="24"/>
          <w:highlight w:val="none"/>
          <w:lang w:bidi="ar"/>
        </w:rPr>
        <w:t xml:space="preserve">的，或者投标时确认的专业团队人员离职达到</w:t>
      </w:r>
      <w:r>
        <w:rPr>
          <w:rFonts w:hint="eastAsia" w:ascii="宋体" w:hAnsi="宋体" w:cs="宋体"/>
          <w:color w:val="auto"/>
          <w:sz w:val="24"/>
          <w:szCs w:val="24"/>
          <w:highlight w:val="none"/>
          <w:u w:val="single"/>
          <w:lang w:bidi="ar"/>
        </w:rPr>
        <w:t xml:space="preserve"> 50% </w:t>
      </w:r>
      <w:r>
        <w:rPr>
          <w:rFonts w:hint="eastAsia" w:ascii="宋体" w:hAnsi="宋体" w:cs="宋体"/>
          <w:color w:val="auto"/>
          <w:sz w:val="24"/>
          <w:szCs w:val="24"/>
          <w:highlight w:val="none"/>
          <w:lang w:bidi="ar"/>
        </w:rPr>
        <w:t xml:space="preserve">的；</w:t>
      </w:r>
      <w:r/>
    </w:p>
    <w:p>
      <w:pPr>
        <w:ind w:firstLine="765"/>
        <w:spacing w:line="40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5.3乙方出现转包情形的；</w:t>
      </w:r>
      <w:r/>
    </w:p>
    <w:p>
      <w:pPr>
        <w:ind w:firstLine="765"/>
        <w:spacing w:line="40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5.4乙方不能履行合同义务的其他情况。</w:t>
      </w:r>
      <w:r/>
    </w:p>
    <w:p>
      <w:pPr>
        <w:ind w:right="-27" w:firstLine="482"/>
        <w:spacing w:line="440" w:lineRule="exact"/>
        <w:tabs>
          <w:tab w:val="left" w:pos="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第十五条 不可抗力</w:t>
      </w:r>
      <w:r/>
    </w:p>
    <w:p>
      <w:pPr>
        <w:ind w:right="-27" w:firstLine="480"/>
        <w:spacing w:line="440" w:lineRule="exact"/>
        <w:tabs>
          <w:tab w:val="left" w:pos="0"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2</w:t>
      </w:r>
      <w:r>
        <w:rPr>
          <w:rFonts w:hint="eastAsia" w:ascii="宋体" w:hAnsi="宋体" w:cs="宋体"/>
          <w:bCs/>
          <w:color w:val="auto"/>
          <w:sz w:val="24"/>
          <w:szCs w:val="24"/>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27" w:firstLine="480"/>
        <w:spacing w:line="440" w:lineRule="exact"/>
        <w:tabs>
          <w:tab w:val="left" w:pos="0"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3</w:t>
      </w:r>
      <w:r>
        <w:rPr>
          <w:rFonts w:hint="eastAsia" w:ascii="宋体" w:hAnsi="宋体" w:cs="宋体"/>
          <w:bCs/>
          <w:color w:val="auto"/>
          <w:sz w:val="24"/>
          <w:szCs w:val="24"/>
          <w:highlight w:val="none"/>
        </w:rPr>
        <w:t xml:space="preserve">、发生不可抗力事件，任何一方均不对因不可抗力无法履行或迟延履行本合同义务而使另一方蒙受的任何损失承担责任，法律另有规定的除外。</w:t>
      </w:r>
      <w:r/>
    </w:p>
    <w:p>
      <w:pPr>
        <w:ind w:right="-27" w:firstLine="480"/>
        <w:spacing w:line="440" w:lineRule="exact"/>
        <w:tabs>
          <w:tab w:val="left" w:pos="0"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4</w:t>
      </w:r>
      <w:r>
        <w:rPr>
          <w:rFonts w:hint="eastAsia" w:ascii="宋体" w:hAnsi="宋体" w:cs="宋体"/>
          <w:bCs/>
          <w:color w:val="auto"/>
          <w:sz w:val="24"/>
          <w:szCs w:val="24"/>
          <w:highlight w:val="none"/>
        </w:rPr>
        <w:t xml:space="preserve">、合同各方应根据不可抗力对本合同履行的影响程度，协商确定是否终止或是继续履行本合同。</w:t>
      </w:r>
      <w:r/>
    </w:p>
    <w:p>
      <w:pPr>
        <w:ind w:right="-27" w:firstLine="482"/>
        <w:spacing w:line="440" w:lineRule="exact"/>
        <w:tabs>
          <w:tab w:val="left" w:pos="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第十六条 合同的变更、中止</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olor w:val="auto"/>
          <w:sz w:val="24"/>
          <w:szCs w:val="24"/>
          <w:highlight w:val="none"/>
          <w:lang w:bidi="ar"/>
        </w:rPr>
        <w:t xml:space="preserve">本合同一经签订，合同双方不得擅自变更或中止合同，除非合同的继续履行将损害国家利益和社会公共利益</w:t>
      </w:r>
      <w:r>
        <w:rPr>
          <w:rFonts w:hint="eastAsia" w:ascii="宋体" w:hAnsi="宋体" w:cs="宋体"/>
          <w:bCs/>
          <w:color w:val="auto"/>
          <w:sz w:val="24"/>
          <w:szCs w:val="24"/>
          <w:highlight w:val="none"/>
        </w:rPr>
        <w:t xml:space="preserve">。</w:t>
      </w:r>
      <w:r/>
    </w:p>
    <w:p>
      <w:pPr>
        <w:ind w:right="-27" w:firstLine="482"/>
        <w:spacing w:line="440" w:lineRule="exact"/>
        <w:tabs>
          <w:tab w:val="left" w:pos="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第十七条 合同的终止</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1、本合同因下列原因而终止：</w:t>
      </w:r>
      <w:r/>
    </w:p>
    <w:p>
      <w:pPr>
        <w:ind w:right="-27" w:firstLine="789"/>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 本合同正常履行完毕；</w:t>
      </w:r>
      <w:r/>
    </w:p>
    <w:p>
      <w:pPr>
        <w:ind w:right="-27" w:firstLine="789"/>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1.2 因不可抗力导致本合同无法履行或履行不必要；</w:t>
      </w:r>
      <w:r/>
    </w:p>
    <w:p>
      <w:pPr>
        <w:ind w:right="-27" w:firstLine="789"/>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1.3 任何一方行使解除权解除本合同；</w:t>
      </w:r>
      <w:r/>
    </w:p>
    <w:p>
      <w:pPr>
        <w:ind w:right="-27" w:firstLine="789"/>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1.4 合同的继续履行将损害国家利益和社会公共利益且不宜变更、中止的。</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2、除上述情形外，甲乙双方不得擅自终止合同。</w:t>
      </w:r>
      <w:r/>
    </w:p>
    <w:p>
      <w:pPr>
        <w:ind w:right="-27" w:firstLine="482"/>
        <w:spacing w:line="440" w:lineRule="exact"/>
        <w:tabs>
          <w:tab w:val="left" w:pos="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第十八条 合同的转让</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乙方不得将其合同项下的权利义务部分或全部转让给第三方。</w:t>
      </w:r>
      <w:r/>
    </w:p>
    <w:p>
      <w:pPr>
        <w:ind w:right="-27" w:firstLine="482"/>
        <w:spacing w:line="440" w:lineRule="exact"/>
        <w:tabs>
          <w:tab w:val="left" w:pos="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第十九条 履约保证金</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本项目不收取履约保证金。</w:t>
      </w:r>
      <w:r/>
    </w:p>
    <w:p>
      <w:pPr>
        <w:ind w:right="-27" w:firstLine="482"/>
        <w:spacing w:line="440" w:lineRule="exact"/>
        <w:tabs>
          <w:tab w:val="left" w:pos="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第二十条 争议解决方式</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1、在执行本合同过程中所发生的或与本合同有关的一切争端，甲乙双方友好协商解决。如协商不能解决，则全部争端由甲方所在地人民法院管辖。</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2、如因乙方违约，导致甲方起诉的，甲方由此产生的诉讼费用、律师费用、差旅费用等，均由乙方承担。</w:t>
      </w:r>
      <w:r/>
    </w:p>
    <w:p>
      <w:pPr>
        <w:ind w:right="-27" w:firstLine="482"/>
        <w:spacing w:line="440" w:lineRule="exact"/>
        <w:tabs>
          <w:tab w:val="left" w:pos="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第二十一条 通知与送达</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1、甲乙双方因履行本合同需要向对方发送通知、文件、资料的，均以下列联系信息确定内容进行：</w:t>
      </w:r>
      <w:r/>
    </w:p>
    <w:p>
      <w:pPr>
        <w:ind w:right="-27" w:firstLine="480"/>
        <w:spacing w:line="440" w:lineRule="exact"/>
        <w:tabs>
          <w:tab w:val="left" w:pos="0"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1.1</w:t>
      </w:r>
      <w:r>
        <w:rPr>
          <w:rFonts w:hint="eastAsia" w:ascii="宋体" w:hAnsi="宋体" w:cs="宋体"/>
          <w:bCs/>
          <w:color w:val="auto"/>
          <w:sz w:val="24"/>
          <w:szCs w:val="24"/>
          <w:highlight w:val="none"/>
        </w:rPr>
        <w:t xml:space="preserve">甲方联系信息：</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指定收件人：</w:t>
      </w:r>
      <w:r>
        <w:rPr>
          <w:rFonts w:hint="eastAsia" w:ascii="宋体" w:hAnsi="宋体" w:cs="宋体"/>
          <w:bCs/>
          <w:color w:val="auto"/>
          <w:sz w:val="24"/>
          <w:szCs w:val="24"/>
          <w:highlight w:val="none"/>
          <w:u w:val="single"/>
        </w:rPr>
        <w:t xml:space="preserve">                           </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送达地址：</w:t>
      </w:r>
      <w:r>
        <w:rPr>
          <w:rFonts w:hint="eastAsia" w:ascii="宋体" w:hAnsi="宋体" w:cs="宋体"/>
          <w:bCs/>
          <w:color w:val="auto"/>
          <w:sz w:val="24"/>
          <w:szCs w:val="24"/>
          <w:highlight w:val="none"/>
          <w:u w:val="single"/>
        </w:rPr>
        <w:t xml:space="preserve">                           </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指定电子收件方式：</w:t>
      </w:r>
      <w:r>
        <w:rPr>
          <w:rFonts w:hint="eastAsia" w:ascii="宋体" w:hAnsi="宋体" w:cs="宋体"/>
          <w:bCs/>
          <w:color w:val="auto"/>
          <w:sz w:val="24"/>
          <w:szCs w:val="24"/>
          <w:highlight w:val="none"/>
          <w:u w:val="single"/>
        </w:rPr>
        <w:t xml:space="preserve">                           </w:t>
      </w:r>
      <w:r/>
    </w:p>
    <w:p>
      <w:pPr>
        <w:ind w:right="-27" w:firstLine="480"/>
        <w:spacing w:line="440" w:lineRule="exact"/>
        <w:tabs>
          <w:tab w:val="left" w:pos="0"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1.2</w:t>
      </w:r>
      <w:r>
        <w:rPr>
          <w:rFonts w:hint="eastAsia" w:ascii="宋体" w:hAnsi="宋体" w:cs="宋体"/>
          <w:bCs/>
          <w:color w:val="auto"/>
          <w:sz w:val="24"/>
          <w:szCs w:val="24"/>
          <w:highlight w:val="none"/>
        </w:rPr>
        <w:t xml:space="preserve">乙方联系信息：</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指定收件人：</w:t>
      </w:r>
      <w:r>
        <w:rPr>
          <w:rFonts w:hint="eastAsia" w:ascii="宋体" w:hAnsi="宋体" w:cs="宋体"/>
          <w:bCs/>
          <w:color w:val="auto"/>
          <w:sz w:val="24"/>
          <w:szCs w:val="24"/>
          <w:highlight w:val="none"/>
          <w:u w:val="single"/>
        </w:rPr>
        <w:t xml:space="preserve">                           </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送达地址：</w:t>
      </w:r>
      <w:r>
        <w:rPr>
          <w:rFonts w:hint="eastAsia" w:ascii="宋体" w:hAnsi="宋体" w:cs="宋体"/>
          <w:bCs/>
          <w:color w:val="auto"/>
          <w:sz w:val="24"/>
          <w:szCs w:val="24"/>
          <w:highlight w:val="none"/>
          <w:u w:val="single"/>
        </w:rPr>
        <w:t xml:space="preserve">                           </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指定电子收件方式：</w:t>
      </w:r>
      <w:r>
        <w:rPr>
          <w:rFonts w:hint="eastAsia" w:ascii="宋体" w:hAnsi="宋体" w:cs="宋体"/>
          <w:bCs/>
          <w:color w:val="auto"/>
          <w:sz w:val="24"/>
          <w:szCs w:val="24"/>
          <w:highlight w:val="none"/>
          <w:u w:val="single"/>
        </w:rPr>
        <w:t xml:space="preserve">                           </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2、双方确认前述联系信息作为解决争议时接受人民法院诉讼文书的送达地址和联系方式。</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第二十二条 合同生效及其他</w:t>
      </w:r>
      <w:r/>
    </w:p>
    <w:p>
      <w:pPr>
        <w:ind w:right="-27" w:firstLine="480"/>
        <w:spacing w:line="440" w:lineRule="exact"/>
        <w:tabs>
          <w:tab w:val="left" w:pos="0" w:leader="none"/>
        </w:tabs>
        <w:rPr>
          <w:rFonts w:ascii="Times New Roman" w:hAnsi="Times New Roman"/>
          <w:b/>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olor w:val="auto"/>
          <w:sz w:val="24"/>
          <w:szCs w:val="24"/>
          <w:highlight w:val="none"/>
        </w:rPr>
        <w:t xml:space="preserve">合同在双方加盖公章或</w:t>
      </w:r>
      <w:r>
        <w:rPr>
          <w:rFonts w:hint="eastAsia" w:ascii="宋体" w:hAnsi="宋体"/>
          <w:b/>
          <w:color w:val="auto"/>
          <w:sz w:val="24"/>
          <w:szCs w:val="24"/>
          <w:highlight w:val="none"/>
        </w:rPr>
        <w:t xml:space="preserve">双方法定代表人、授权代表签字后生效</w:t>
      </w:r>
      <w:r/>
    </w:p>
    <w:p>
      <w:pPr>
        <w:ind w:right="-27" w:firstLine="480"/>
        <w:spacing w:line="440" w:lineRule="exact"/>
        <w:tabs>
          <w:tab w:val="left" w:pos="0" w:leader="none"/>
        </w:tabs>
        <w:rPr>
          <w:rFonts w:ascii="Times New Roman" w:hAnsi="Times New Roman"/>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olor w:val="auto"/>
          <w:sz w:val="24"/>
          <w:szCs w:val="24"/>
          <w:highlight w:val="none"/>
        </w:rPr>
        <w:t xml:space="preserve">本合同一式</w:t>
      </w:r>
      <w:r>
        <w:rPr>
          <w:rFonts w:hint="eastAsia" w:ascii="宋体" w:hAnsi="宋体"/>
          <w:color w:val="auto"/>
          <w:sz w:val="24"/>
          <w:szCs w:val="24"/>
          <w:highlight w:val="none"/>
          <w:u w:val="single"/>
        </w:rPr>
        <w:t xml:space="preserve">四</w:t>
      </w:r>
      <w:r>
        <w:rPr>
          <w:rFonts w:hint="eastAsia" w:ascii="宋体" w:hAnsi="宋体"/>
          <w:color w:val="auto"/>
          <w:sz w:val="24"/>
          <w:szCs w:val="24"/>
          <w:highlight w:val="none"/>
        </w:rPr>
        <w:t xml:space="preserve">份，以简体中文书写，甲方、乙方各执二份。</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3、本合同应按照中华人民共和国的现行法律进行解释。</w:t>
      </w:r>
      <w:r/>
    </w:p>
    <w:p>
      <w:pPr>
        <w:ind w:right="-27" w:firstLine="480"/>
        <w:spacing w:line="440" w:lineRule="exact"/>
        <w:tabs>
          <w:tab w:val="left" w:pos="0" w:leader="none"/>
        </w:tabs>
        <w:rPr>
          <w:rFonts w:ascii="宋体" w:hAnsi="宋体" w:cs="宋体"/>
          <w:bCs/>
          <w:color w:val="auto"/>
          <w:sz w:val="24"/>
          <w:szCs w:val="24"/>
          <w:highlight w:val="none"/>
        </w:rPr>
      </w:pPr>
      <w:r>
        <w:rPr>
          <w:rFonts w:ascii="宋体" w:hAnsi="宋体" w:cs="宋体"/>
          <w:bCs/>
          <w:color w:val="auto"/>
          <w:sz w:val="24"/>
          <w:szCs w:val="24"/>
          <w:highlight w:val="none"/>
        </w:rPr>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甲方（公章）：                       乙方（公章）：</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olor w:val="auto"/>
          <w:sz w:val="24"/>
          <w:szCs w:val="24"/>
          <w:highlight w:val="none"/>
        </w:rPr>
        <w:t xml:space="preserve">法定（授权）代表人（签字）：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法定（授权）代表人（签字）：</w:t>
      </w:r>
      <w:r/>
    </w:p>
    <w:p>
      <w:pPr>
        <w:ind w:right="-27" w:firstLine="480"/>
        <w:spacing w:line="440" w:lineRule="exact"/>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年   月   日                        年   月   日</w:t>
      </w:r>
      <w:r/>
    </w:p>
    <w:p>
      <w:pPr>
        <w:ind w:firstLine="880"/>
        <w:jc w:val="center"/>
        <w:rPr>
          <w:rFonts w:ascii="宋体" w:hAnsi="宋体" w:cs="Courier New"/>
          <w:color w:val="auto"/>
          <w:sz w:val="24"/>
          <w:szCs w:val="24"/>
          <w:highlight w:val="none"/>
        </w:rPr>
        <w:outlineLvl w:val="0"/>
      </w:pPr>
      <w:r>
        <w:rPr>
          <w:rFonts w:ascii="黑体" w:hAnsi="Courier New" w:eastAsia="黑体" w:cs="Courier New"/>
          <w:bCs/>
          <w:color w:val="auto"/>
          <w:sz w:val="44"/>
          <w:szCs w:val="21"/>
          <w:highlight w:val="none"/>
        </w:rPr>
        <w:br w:type="page" w:clear="all"/>
      </w:r>
      <w:bookmarkStart w:id="244" w:name="_Toc2469"/>
      <w:r/>
      <w:bookmarkStart w:id="245" w:name="_Toc14994"/>
      <w:r/>
      <w:bookmarkStart w:id="246" w:name="_Toc239671903"/>
      <w:r/>
      <w:bookmarkStart w:id="247" w:name="_Toc29668"/>
      <w:r>
        <w:rPr>
          <w:rFonts w:hint="eastAsia" w:ascii="黑体" w:hAnsi="Courier New" w:eastAsia="黑体" w:cs="Courier New"/>
          <w:bCs/>
          <w:color w:val="auto"/>
          <w:sz w:val="44"/>
          <w:szCs w:val="21"/>
          <w:highlight w:val="none"/>
        </w:rPr>
        <w:t xml:space="preserve">第</w:t>
      </w:r>
      <w:bookmarkEnd w:id="237"/>
      <w:r>
        <w:rPr>
          <w:rFonts w:hint="eastAsia" w:ascii="黑体" w:hAnsi="Courier New" w:eastAsia="黑体" w:cs="Courier New"/>
          <w:bCs/>
          <w:color w:val="auto"/>
          <w:sz w:val="44"/>
          <w:szCs w:val="21"/>
          <w:highlight w:val="none"/>
        </w:rPr>
        <w:t xml:space="preserve">四章 </w:t>
      </w:r>
      <w:r>
        <w:rPr>
          <w:rFonts w:ascii="黑体" w:hAnsi="Courier New" w:eastAsia="黑体" w:cs="Courier New"/>
          <w:bCs/>
          <w:color w:val="auto"/>
          <w:sz w:val="44"/>
          <w:szCs w:val="21"/>
          <w:highlight w:val="none"/>
        </w:rPr>
        <w:t xml:space="preserve"> </w:t>
      </w:r>
      <w:r>
        <w:rPr>
          <w:rFonts w:hint="eastAsia" w:ascii="黑体" w:hAnsi="Courier New" w:eastAsia="黑体" w:cs="Courier New"/>
          <w:bCs/>
          <w:color w:val="auto"/>
          <w:sz w:val="44"/>
          <w:szCs w:val="21"/>
          <w:highlight w:val="none"/>
        </w:rPr>
        <w:t xml:space="preserve">采购需求</w:t>
      </w:r>
      <w:bookmarkEnd w:id="238"/>
      <w:r/>
      <w:bookmarkEnd w:id="239"/>
      <w:r/>
      <w:bookmarkEnd w:id="240"/>
      <w:r/>
      <w:bookmarkEnd w:id="244"/>
      <w:r/>
      <w:bookmarkEnd w:id="245"/>
      <w:r/>
      <w:bookmarkEnd w:id="246"/>
      <w:r/>
      <w:bookmarkEnd w:id="247"/>
      <w:r/>
      <w:r/>
    </w:p>
    <w:p>
      <w:pPr>
        <w:spacing w:line="440" w:lineRule="exact"/>
        <w:rPr>
          <w:b/>
          <w:bCs/>
          <w:color w:val="auto"/>
          <w:sz w:val="28"/>
          <w:szCs w:val="28"/>
          <w:highlight w:val="none"/>
        </w:rPr>
      </w:pPr>
      <w:r/>
      <w:bookmarkStart w:id="248" w:name="_Toc49090575"/>
      <w:r/>
      <w:bookmarkStart w:id="249" w:name="_Toc26554093"/>
      <w:r/>
      <w:bookmarkStart w:id="250" w:name="_Toc120614281"/>
      <w:r>
        <w:rPr>
          <w:rFonts w:hint="eastAsia"/>
          <w:b/>
          <w:bCs/>
          <w:color w:val="auto"/>
          <w:sz w:val="28"/>
          <w:szCs w:val="28"/>
          <w:highlight w:val="none"/>
        </w:rPr>
        <w:t xml:space="preserve">一、项目说明</w:t>
      </w:r>
      <w:r/>
    </w:p>
    <w:p>
      <w:pPr>
        <w:ind w:left="50" w:right="50" w:firstLine="480"/>
        <w:spacing w:line="440" w:lineRule="exact"/>
        <w:rPr>
          <w:rFonts w:ascii="Microsoft YaHei UI" w:hAnsi="Microsoft YaHei UI" w:eastAsia="Microsoft YaHei UI" w:cs="Microsoft YaHei UI"/>
          <w:color w:val="auto"/>
          <w:sz w:val="16"/>
          <w:szCs w:val="16"/>
          <w:highlight w:val="none"/>
          <w:shd w:val="clear" w:color="auto" w:fill="95ec69"/>
        </w:rPr>
      </w:pPr>
      <w:r>
        <w:rPr>
          <w:rFonts w:hint="eastAsia"/>
          <w:color w:val="auto"/>
          <w:sz w:val="24"/>
          <w:szCs w:val="24"/>
          <w:highlight w:val="none"/>
        </w:rPr>
        <w:t xml:space="preserve">1、采购内容：本项目采购水位雨量站、流量站、闸门开度监测站、视频监测站、鸟类生物多样性监测站、无人机及机场、水质监测站，实现对昆承湖流域全部范围巡查和动态监测，提升对流域的整体监管能力，特别是通过无人机监测，弥补地面监测和固定站点监测的不足，为“天空地”一体化智能感知网的构建提供重要支撑。</w:t>
      </w:r>
      <w:r/>
    </w:p>
    <w:p>
      <w:pPr>
        <w:ind w:left="50" w:right="50" w:firstLine="480"/>
        <w:spacing w:line="440" w:lineRule="exact"/>
        <w:rPr>
          <w:color w:val="auto"/>
          <w:sz w:val="24"/>
          <w:szCs w:val="24"/>
          <w:highlight w:val="none"/>
          <w:lang w:val="zh-CN"/>
        </w:rPr>
      </w:pPr>
      <w:r>
        <w:rPr>
          <w:rFonts w:hint="eastAsia"/>
          <w:color w:val="auto"/>
          <w:sz w:val="24"/>
          <w:szCs w:val="24"/>
          <w:highlight w:val="none"/>
        </w:rPr>
        <w:t xml:space="preserve">2</w:t>
      </w:r>
      <w:r>
        <w:rPr>
          <w:rFonts w:hint="eastAsia"/>
          <w:color w:val="auto"/>
          <w:sz w:val="24"/>
          <w:szCs w:val="24"/>
          <w:highlight w:val="none"/>
          <w:lang w:val="zh-CN"/>
        </w:rPr>
        <w:t xml:space="preserve">、本项目不接受进口产品投标（进口产品是指“通过中国海关报关验放进入中国境内且产自关境外的产品”）。</w:t>
      </w:r>
      <w:r/>
    </w:p>
    <w:p>
      <w:pPr>
        <w:ind w:left="50" w:right="50" w:firstLine="480"/>
        <w:spacing w:line="44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zh-CN"/>
        </w:rPr>
        <w:t xml:space="preserve">投标人</w:t>
      </w:r>
      <w:r>
        <w:rPr>
          <w:rFonts w:hint="eastAsia"/>
          <w:color w:val="auto"/>
          <w:sz w:val="24"/>
          <w:szCs w:val="24"/>
          <w:highlight w:val="none"/>
        </w:rPr>
        <w:t xml:space="preserve">如需现场进行踏勘的，相关费用由</w:t>
      </w:r>
      <w:r>
        <w:rPr>
          <w:rFonts w:hint="eastAsia"/>
          <w:color w:val="auto"/>
          <w:sz w:val="24"/>
          <w:szCs w:val="24"/>
          <w:highlight w:val="none"/>
          <w:lang w:val="zh-CN"/>
        </w:rPr>
        <w:t xml:space="preserve">投标人</w:t>
      </w:r>
      <w:r>
        <w:rPr>
          <w:rFonts w:hint="eastAsia"/>
          <w:color w:val="auto"/>
          <w:sz w:val="24"/>
          <w:szCs w:val="24"/>
          <w:highlight w:val="none"/>
        </w:rPr>
        <w:t xml:space="preserve">自行承担。</w:t>
      </w:r>
      <w:r>
        <w:rPr>
          <w:rFonts w:hint="eastAsia"/>
          <w:color w:val="auto"/>
          <w:sz w:val="24"/>
          <w:szCs w:val="24"/>
          <w:highlight w:val="none"/>
          <w:lang w:val="zh-CN"/>
        </w:rPr>
        <w:t xml:space="preserve">投标人在投标时应充分考虑现场实际情况，采购人不负担因投标人对项目现场情况考虑不周而产生的其他任何费用。</w:t>
      </w:r>
      <w:r/>
    </w:p>
    <w:p>
      <w:pPr>
        <w:ind w:right="-27" w:firstLine="480"/>
        <w:spacing w:line="440" w:lineRule="exact"/>
        <w:tabs>
          <w:tab w:val="left" w:pos="0" w:leader="none"/>
        </w:tabs>
        <w:rPr>
          <w:rFonts w:ascii="宋体" w:hAnsi="宋体"/>
          <w:i/>
          <w:iCs/>
          <w:color w:val="auto"/>
          <w:sz w:val="24"/>
          <w:szCs w:val="24"/>
          <w:highlight w:val="none"/>
          <w:u w:val="single"/>
        </w:rPr>
      </w:pPr>
      <w:r>
        <w:rPr>
          <w:rFonts w:hint="eastAsia" w:ascii="宋体" w:hAnsi="宋体"/>
          <w:i/>
          <w:iCs/>
          <w:color w:val="auto"/>
          <w:sz w:val="24"/>
          <w:szCs w:val="24"/>
          <w:highlight w:val="none"/>
          <w:u w:val="single"/>
        </w:rPr>
        <w:t xml:space="preserve">4、工期：签订合同后，在接到书面进场通知</w:t>
      </w:r>
      <w:r>
        <w:rPr>
          <w:rFonts w:hint="eastAsia" w:ascii="宋体" w:hAnsi="宋体" w:cs="宋体"/>
          <w:i/>
          <w:iCs/>
          <w:color w:val="auto"/>
          <w:sz w:val="24"/>
          <w:szCs w:val="24"/>
          <w:highlight w:val="none"/>
          <w:u w:val="single"/>
        </w:rPr>
        <w:t xml:space="preserve">40日历天内</w:t>
      </w:r>
      <w:r>
        <w:rPr>
          <w:rFonts w:hint="eastAsia" w:ascii="宋体" w:hAnsi="宋体"/>
          <w:i/>
          <w:iCs/>
          <w:color w:val="auto"/>
          <w:sz w:val="24"/>
          <w:szCs w:val="24"/>
          <w:highlight w:val="none"/>
          <w:u w:val="single"/>
        </w:rPr>
        <w:t xml:space="preserve">（包括节假日在内）向采购人交付合同约定的货物，并完成安装、调试、验收合格，交付采购人使用。</w:t>
      </w:r>
      <w:r/>
    </w:p>
    <w:p>
      <w:pPr>
        <w:ind w:left="50" w:right="50" w:firstLine="480"/>
        <w:spacing w:line="440" w:lineRule="exact"/>
        <w:rPr>
          <w:color w:val="auto"/>
          <w:sz w:val="24"/>
          <w:szCs w:val="24"/>
          <w:highlight w:val="none"/>
        </w:rPr>
      </w:pPr>
      <w:r>
        <w:rPr>
          <w:rFonts w:hint="eastAsia"/>
          <w:color w:val="auto"/>
          <w:sz w:val="24"/>
          <w:szCs w:val="24"/>
          <w:highlight w:val="none"/>
        </w:rPr>
        <w:t xml:space="preserve">5、投标人负责的事项：</w:t>
      </w:r>
      <w:r/>
    </w:p>
    <w:p>
      <w:pPr>
        <w:ind w:left="51" w:right="51" w:firstLine="782"/>
        <w:spacing w:line="440" w:lineRule="exact"/>
        <w:rPr>
          <w:color w:val="auto"/>
          <w:sz w:val="24"/>
          <w:szCs w:val="24"/>
          <w:highlight w:val="none"/>
        </w:rPr>
      </w:pPr>
      <w:r>
        <w:rPr>
          <w:rFonts w:hint="eastAsia"/>
          <w:color w:val="auto"/>
          <w:sz w:val="24"/>
          <w:szCs w:val="24"/>
          <w:highlight w:val="none"/>
        </w:rPr>
        <w:t xml:space="preserve">5</w:t>
      </w:r>
      <w:r>
        <w:rPr>
          <w:color w:val="auto"/>
          <w:sz w:val="24"/>
          <w:szCs w:val="24"/>
          <w:highlight w:val="none"/>
        </w:rPr>
        <w:t xml:space="preserve">.1 </w:t>
      </w:r>
      <w:r>
        <w:rPr>
          <w:rFonts w:hint="eastAsia"/>
          <w:color w:val="auto"/>
          <w:sz w:val="24"/>
          <w:szCs w:val="24"/>
          <w:highlight w:val="none"/>
        </w:rPr>
        <w:t xml:space="preserve">投标人应负责设备的供货、运输、施工、安装、调试、系统集成以及质保。</w:t>
      </w:r>
      <w:r/>
    </w:p>
    <w:p>
      <w:pPr>
        <w:ind w:left="51" w:right="51" w:firstLine="782"/>
        <w:spacing w:line="440" w:lineRule="exact"/>
        <w:rPr>
          <w:color w:val="auto"/>
          <w:sz w:val="24"/>
          <w:szCs w:val="24"/>
          <w:highlight w:val="none"/>
        </w:rPr>
      </w:pPr>
      <w:r>
        <w:rPr>
          <w:rFonts w:hint="eastAsia"/>
          <w:color w:val="auto"/>
          <w:sz w:val="24"/>
          <w:szCs w:val="24"/>
          <w:highlight w:val="none"/>
        </w:rPr>
        <w:t xml:space="preserve">5</w:t>
      </w:r>
      <w:r>
        <w:rPr>
          <w:color w:val="auto"/>
          <w:sz w:val="24"/>
          <w:szCs w:val="24"/>
          <w:highlight w:val="none"/>
        </w:rPr>
        <w:t xml:space="preserve">.2</w:t>
      </w:r>
      <w:r>
        <w:rPr>
          <w:rFonts w:hint="eastAsia"/>
          <w:color w:val="auto"/>
          <w:sz w:val="24"/>
          <w:szCs w:val="24"/>
          <w:highlight w:val="none"/>
        </w:rPr>
        <w:t xml:space="preserve">投标人应负责系统的开通以及试运行。</w:t>
      </w:r>
      <w:r/>
    </w:p>
    <w:p>
      <w:pPr>
        <w:ind w:left="51" w:right="51" w:firstLine="782"/>
        <w:spacing w:line="440" w:lineRule="exact"/>
        <w:rPr>
          <w:color w:val="auto"/>
          <w:sz w:val="24"/>
          <w:szCs w:val="24"/>
          <w:highlight w:val="none"/>
        </w:rPr>
      </w:pPr>
      <w:r>
        <w:rPr>
          <w:rFonts w:hint="eastAsia"/>
          <w:color w:val="auto"/>
          <w:sz w:val="24"/>
          <w:szCs w:val="24"/>
          <w:highlight w:val="none"/>
        </w:rPr>
        <w:t xml:space="preserve">5</w:t>
      </w:r>
      <w:r>
        <w:rPr>
          <w:color w:val="auto"/>
          <w:sz w:val="24"/>
          <w:szCs w:val="24"/>
          <w:highlight w:val="none"/>
        </w:rPr>
        <w:t xml:space="preserve">.3</w:t>
      </w:r>
      <w:r>
        <w:rPr>
          <w:rFonts w:hint="eastAsia"/>
          <w:color w:val="auto"/>
          <w:sz w:val="24"/>
          <w:szCs w:val="24"/>
          <w:highlight w:val="none"/>
        </w:rPr>
        <w:t xml:space="preserve">项目完成时，投标人应免费提供完整的技术资料（包括系统软件源代码）、维护维修手册和配件清单，并负责系统相关操作人员的培训。</w:t>
      </w:r>
      <w:r/>
    </w:p>
    <w:p>
      <w:pPr>
        <w:ind w:left="50" w:right="50" w:firstLine="480"/>
        <w:spacing w:line="440" w:lineRule="exact"/>
        <w:rPr>
          <w:color w:val="auto"/>
          <w:sz w:val="24"/>
          <w:szCs w:val="24"/>
          <w:highlight w:val="none"/>
        </w:rPr>
      </w:pPr>
      <w:r>
        <w:rPr>
          <w:rFonts w:hint="eastAsia"/>
          <w:color w:val="auto"/>
          <w:sz w:val="24"/>
          <w:szCs w:val="24"/>
          <w:highlight w:val="none"/>
        </w:rPr>
        <w:t xml:space="preserve">6、采购人负责的事项说明：</w:t>
      </w:r>
      <w:r/>
    </w:p>
    <w:p>
      <w:pPr>
        <w:ind w:left="51" w:right="51" w:firstLine="782"/>
        <w:spacing w:line="440" w:lineRule="exact"/>
        <w:rPr>
          <w:color w:val="auto"/>
          <w:sz w:val="24"/>
          <w:szCs w:val="24"/>
          <w:highlight w:val="none"/>
        </w:rPr>
      </w:pPr>
      <w:r>
        <w:rPr>
          <w:rFonts w:hint="eastAsia"/>
          <w:color w:val="auto"/>
          <w:sz w:val="24"/>
          <w:szCs w:val="24"/>
          <w:highlight w:val="none"/>
        </w:rPr>
        <w:t xml:space="preserve">6</w:t>
      </w:r>
      <w:r>
        <w:rPr>
          <w:color w:val="auto"/>
          <w:sz w:val="24"/>
          <w:szCs w:val="24"/>
          <w:highlight w:val="none"/>
        </w:rPr>
        <w:t xml:space="preserve">.1</w:t>
      </w:r>
      <w:r>
        <w:rPr>
          <w:rFonts w:hint="eastAsia"/>
          <w:color w:val="auto"/>
          <w:sz w:val="24"/>
          <w:szCs w:val="24"/>
          <w:highlight w:val="none"/>
        </w:rPr>
        <w:t xml:space="preserve">采购人提供建设运行所需的接电资源（设备供电的接入由供应商负责）。</w:t>
      </w:r>
      <w:r/>
    </w:p>
    <w:p>
      <w:pPr>
        <w:ind w:left="51" w:right="51" w:firstLine="782"/>
        <w:spacing w:line="440" w:lineRule="exact"/>
        <w:rPr>
          <w:color w:val="auto"/>
          <w:sz w:val="24"/>
          <w:szCs w:val="24"/>
          <w:highlight w:val="none"/>
        </w:rPr>
      </w:pPr>
      <w:r>
        <w:rPr>
          <w:rFonts w:hint="eastAsia"/>
          <w:color w:val="auto"/>
          <w:sz w:val="24"/>
          <w:szCs w:val="24"/>
          <w:highlight w:val="none"/>
        </w:rPr>
        <w:t xml:space="preserve">6</w:t>
      </w:r>
      <w:r>
        <w:rPr>
          <w:color w:val="auto"/>
          <w:sz w:val="24"/>
          <w:szCs w:val="24"/>
          <w:highlight w:val="none"/>
        </w:rPr>
        <w:t xml:space="preserve">.2</w:t>
      </w:r>
      <w:r>
        <w:rPr>
          <w:rFonts w:hint="eastAsia"/>
          <w:color w:val="auto"/>
          <w:sz w:val="24"/>
          <w:szCs w:val="24"/>
          <w:highlight w:val="none"/>
        </w:rPr>
        <w:t xml:space="preserve">采购人负责与建设过程中的外部协调工作。</w:t>
      </w:r>
      <w:r/>
    </w:p>
    <w:p>
      <w:pPr>
        <w:ind w:left="51" w:right="51" w:firstLine="782"/>
        <w:spacing w:line="440" w:lineRule="exact"/>
        <w:rPr>
          <w:color w:val="auto"/>
          <w:sz w:val="24"/>
          <w:szCs w:val="24"/>
          <w:highlight w:val="none"/>
        </w:rPr>
      </w:pPr>
      <w:r>
        <w:rPr>
          <w:rFonts w:hint="eastAsia"/>
          <w:color w:val="auto"/>
          <w:sz w:val="24"/>
          <w:szCs w:val="24"/>
          <w:highlight w:val="none"/>
        </w:rPr>
        <w:t xml:space="preserve">6</w:t>
      </w:r>
      <w:r>
        <w:rPr>
          <w:color w:val="auto"/>
          <w:sz w:val="24"/>
          <w:szCs w:val="24"/>
          <w:highlight w:val="none"/>
        </w:rPr>
        <w:t xml:space="preserve">.3</w:t>
      </w:r>
      <w:r>
        <w:rPr>
          <w:rFonts w:hint="eastAsia"/>
          <w:color w:val="auto"/>
          <w:sz w:val="24"/>
          <w:szCs w:val="24"/>
          <w:highlight w:val="none"/>
        </w:rPr>
        <w:t xml:space="preserve">采购人负责对施工过程中的施工质量进行监督检查。</w:t>
      </w:r>
      <w:r/>
    </w:p>
    <w:p>
      <w:pPr>
        <w:ind w:left="50" w:right="50" w:firstLine="480"/>
        <w:spacing w:line="440" w:lineRule="exact"/>
        <w:rPr>
          <w:iCs/>
          <w:color w:val="auto"/>
          <w:sz w:val="24"/>
          <w:szCs w:val="24"/>
          <w:highlight w:val="none"/>
        </w:rPr>
      </w:pPr>
      <w:r>
        <w:rPr>
          <w:rFonts w:hint="eastAsia"/>
          <w:iCs/>
          <w:color w:val="auto"/>
          <w:sz w:val="24"/>
          <w:szCs w:val="24"/>
          <w:highlight w:val="none"/>
        </w:rPr>
        <w:t xml:space="preserve">7、付款方式：</w:t>
      </w:r>
      <w:r/>
    </w:p>
    <w:p>
      <w:pPr>
        <w:ind w:left="51" w:right="51" w:firstLine="782"/>
        <w:spacing w:line="440" w:lineRule="exact"/>
        <w:rPr>
          <w:rFonts w:asciiTheme="minorEastAsia" w:hAnsiTheme="minorEastAsia" w:eastAsiaTheme="minorEastAsia"/>
          <w:i/>
          <w:iCs/>
          <w:color w:val="auto"/>
          <w:sz w:val="24"/>
          <w:szCs w:val="24"/>
          <w:highlight w:val="none"/>
          <w:u w:val="single"/>
        </w:rPr>
      </w:pPr>
      <w:r>
        <w:rPr>
          <w:rFonts w:hint="eastAsia" w:asciiTheme="minorEastAsia" w:hAnsiTheme="minorEastAsia" w:eastAsiaTheme="minorEastAsia"/>
          <w:i/>
          <w:iCs/>
          <w:color w:val="auto"/>
          <w:sz w:val="24"/>
          <w:szCs w:val="24"/>
          <w:highlight w:val="none"/>
          <w:u w:val="single"/>
        </w:rPr>
        <w:t xml:space="preserve">7.1、合同签订后的一个月内，采购人向中标人支付合同总价的70%作为预付款；</w:t>
      </w:r>
      <w:r/>
    </w:p>
    <w:p>
      <w:pPr>
        <w:ind w:left="51" w:right="51" w:firstLine="782"/>
        <w:spacing w:line="440" w:lineRule="exact"/>
        <w:rPr>
          <w:rFonts w:asciiTheme="minorEastAsia" w:hAnsiTheme="minorEastAsia" w:eastAsiaTheme="minorEastAsia"/>
          <w:i/>
          <w:iCs/>
          <w:color w:val="auto"/>
          <w:sz w:val="24"/>
          <w:szCs w:val="24"/>
          <w:highlight w:val="none"/>
          <w:u w:val="single"/>
        </w:rPr>
      </w:pPr>
      <w:r>
        <w:rPr>
          <w:rFonts w:hint="eastAsia" w:asciiTheme="minorEastAsia" w:hAnsiTheme="minorEastAsia" w:eastAsiaTheme="minorEastAsia"/>
          <w:i/>
          <w:iCs/>
          <w:color w:val="auto"/>
          <w:sz w:val="24"/>
          <w:szCs w:val="24"/>
          <w:highlight w:val="none"/>
          <w:u w:val="single"/>
        </w:rPr>
        <w:t xml:space="preserve">7.2、中标人提供的货物经采购人验收合格后的两个月内，采购人向中标人支付至合同总价的90%；</w:t>
      </w:r>
      <w:r/>
    </w:p>
    <w:p>
      <w:pPr>
        <w:ind w:left="51" w:right="51" w:firstLine="782"/>
        <w:spacing w:line="440" w:lineRule="exact"/>
        <w:rPr>
          <w:rFonts w:asciiTheme="minorEastAsia" w:hAnsiTheme="minorEastAsia" w:eastAsiaTheme="minorEastAsia"/>
          <w:i/>
          <w:iCs/>
          <w:color w:val="auto"/>
          <w:sz w:val="24"/>
          <w:szCs w:val="24"/>
          <w:highlight w:val="none"/>
          <w:u w:val="single"/>
        </w:rPr>
      </w:pPr>
      <w:r>
        <w:rPr>
          <w:rFonts w:hint="eastAsia" w:asciiTheme="minorEastAsia" w:hAnsiTheme="minorEastAsia" w:eastAsiaTheme="minorEastAsia"/>
          <w:i/>
          <w:iCs/>
          <w:color w:val="auto"/>
          <w:sz w:val="24"/>
          <w:szCs w:val="24"/>
          <w:highlight w:val="none"/>
          <w:u w:val="single"/>
        </w:rPr>
        <w:t xml:space="preserve">7.3、安装调试验收合格之日起一周年后的农历年前，采购人向中标人支付至合同总价的100%。</w:t>
      </w:r>
      <w:r/>
    </w:p>
    <w:p>
      <w:pPr>
        <w:ind w:left="50" w:right="50"/>
        <w:spacing w:line="440" w:lineRule="exact"/>
        <w:rPr>
          <w:iCs/>
          <w:color w:val="auto"/>
          <w:sz w:val="24"/>
          <w:szCs w:val="24"/>
          <w:highlight w:val="none"/>
        </w:rPr>
      </w:pPr>
      <w:r>
        <w:rPr>
          <w:rFonts w:hint="eastAsia"/>
          <w:iCs/>
          <w:color w:val="auto"/>
          <w:sz w:val="24"/>
          <w:szCs w:val="24"/>
          <w:highlight w:val="none"/>
        </w:rPr>
        <w:t xml:space="preserve">注：（</w:t>
      </w:r>
      <w:r>
        <w:rPr>
          <w:iCs/>
          <w:color w:val="auto"/>
          <w:sz w:val="24"/>
          <w:szCs w:val="24"/>
          <w:highlight w:val="none"/>
        </w:rPr>
        <w:t xml:space="preserve">1</w:t>
      </w:r>
      <w:r>
        <w:rPr>
          <w:rFonts w:hint="eastAsia"/>
          <w:iCs/>
          <w:color w:val="auto"/>
          <w:sz w:val="24"/>
          <w:szCs w:val="24"/>
          <w:highlight w:val="none"/>
        </w:rPr>
        <w:t xml:space="preserve">）以上每次付款前，中标人均应提供符合采购人要求的同等金额的合法有效发票。否则，采购人有权顺延付款时间，且不承担任何违约及赔偿责任。 </w:t>
      </w:r>
      <w:r/>
    </w:p>
    <w:p>
      <w:pPr>
        <w:ind w:left="50" w:right="50" w:firstLine="480"/>
        <w:spacing w:line="440" w:lineRule="exact"/>
        <w:rPr>
          <w:iCs/>
          <w:color w:val="auto"/>
          <w:sz w:val="24"/>
          <w:szCs w:val="24"/>
          <w:highlight w:val="none"/>
        </w:rPr>
      </w:pPr>
      <w:r>
        <w:rPr>
          <w:rFonts w:hint="eastAsia"/>
          <w:iCs/>
          <w:color w:val="auto"/>
          <w:sz w:val="24"/>
          <w:szCs w:val="24"/>
          <w:highlight w:val="none"/>
        </w:rPr>
        <w:t xml:space="preserve">（2）本项目支付方式支持数字人民币方式。</w:t>
      </w:r>
      <w:r/>
    </w:p>
    <w:p>
      <w:pPr>
        <w:ind w:left="50" w:right="50" w:firstLine="480"/>
        <w:spacing w:line="440" w:lineRule="exact"/>
        <w:rPr>
          <w:iCs/>
          <w:color w:val="auto"/>
          <w:sz w:val="24"/>
          <w:szCs w:val="24"/>
          <w:highlight w:val="none"/>
        </w:rPr>
      </w:pPr>
      <w:r>
        <w:rPr>
          <w:rFonts w:hint="eastAsia"/>
          <w:iCs/>
          <w:color w:val="auto"/>
          <w:sz w:val="24"/>
          <w:szCs w:val="24"/>
          <w:highlight w:val="none"/>
        </w:rPr>
        <w:t xml:space="preserve">（3）在签订合同时中标人明确表示无需预付款或者主要要求降低预付款比例的，上述付款方式中预付款要求可不执行，但应当由中标人书面提出并作为采购档案保存。</w:t>
      </w:r>
      <w:r/>
    </w:p>
    <w:p>
      <w:pPr>
        <w:ind w:left="50" w:right="50" w:firstLine="480"/>
        <w:spacing w:line="440" w:lineRule="exact"/>
        <w:rPr>
          <w:rFonts w:ascii="宋体" w:hAnsi="宋体"/>
          <w:color w:val="auto"/>
          <w:sz w:val="24"/>
          <w:szCs w:val="24"/>
          <w:highlight w:val="none"/>
          <w:lang w:val="zh-CN" w:bidi="ar"/>
        </w:rPr>
      </w:pPr>
      <w:r>
        <w:rPr>
          <w:rFonts w:hint="eastAsia"/>
          <w:iCs/>
          <w:color w:val="auto"/>
          <w:sz w:val="24"/>
          <w:szCs w:val="24"/>
          <w:highlight w:val="none"/>
        </w:rPr>
        <w:t xml:space="preserve">8、</w:t>
      </w:r>
      <w:r>
        <w:rPr>
          <w:rFonts w:hint="eastAsia" w:ascii="宋体" w:hAnsi="宋体"/>
          <w:color w:val="auto"/>
          <w:sz w:val="24"/>
          <w:szCs w:val="24"/>
          <w:highlight w:val="none"/>
          <w:lang w:val="zh-CN" w:bidi="ar"/>
        </w:rPr>
        <w:t xml:space="preserve">交付地点：</w:t>
      </w:r>
      <w:r>
        <w:rPr>
          <w:rFonts w:hint="eastAsia" w:ascii="宋体" w:hAnsi="宋体"/>
          <w:color w:val="auto"/>
          <w:sz w:val="24"/>
          <w:szCs w:val="24"/>
          <w:highlight w:val="none"/>
          <w:lang w:bidi="ar"/>
        </w:rPr>
        <w:t xml:space="preserve">常熟市昆承湖</w:t>
      </w:r>
      <w:r>
        <w:rPr>
          <w:rFonts w:hint="eastAsia" w:ascii="宋体" w:hAnsi="宋体"/>
          <w:color w:val="auto"/>
          <w:sz w:val="24"/>
          <w:szCs w:val="24"/>
          <w:highlight w:val="none"/>
          <w:lang w:val="zh-CN" w:bidi="ar"/>
        </w:rPr>
        <w:t xml:space="preserve">。</w:t>
      </w:r>
      <w:r/>
    </w:p>
    <w:p>
      <w:pPr>
        <w:ind w:left="50" w:right="50" w:firstLine="480"/>
        <w:spacing w:line="440" w:lineRule="exact"/>
        <w:rPr>
          <w:rFonts w:ascii="宋体" w:hAnsi="宋体"/>
          <w:color w:val="auto"/>
          <w:sz w:val="24"/>
          <w:szCs w:val="24"/>
          <w:highlight w:val="none"/>
          <w:lang w:bidi="ar"/>
        </w:rPr>
      </w:pPr>
      <w:r>
        <w:rPr>
          <w:rFonts w:hint="eastAsia"/>
          <w:b/>
          <w:bCs/>
          <w:iCs/>
          <w:color w:val="auto"/>
          <w:sz w:val="24"/>
          <w:szCs w:val="24"/>
          <w:highlight w:val="none"/>
        </w:rPr>
        <w:t xml:space="preserve">9、</w:t>
      </w:r>
      <w:r>
        <w:rPr>
          <w:rFonts w:hint="eastAsia" w:ascii="宋体" w:hAnsi="宋体"/>
          <w:b/>
          <w:color w:val="auto"/>
          <w:sz w:val="24"/>
          <w:szCs w:val="24"/>
          <w:highlight w:val="none"/>
          <w:lang w:bidi="ar"/>
        </w:rPr>
        <w:t xml:space="preserve">本项目采购预算为￥3260000.00元（人民币叁佰贰拾陆万元整），投标人的投标总价不得超过采购预算，否则其投标按无效投标处理。</w:t>
      </w:r>
      <w:r/>
    </w:p>
    <w:p>
      <w:pPr>
        <w:ind w:left="50" w:right="50" w:firstLine="480"/>
        <w:spacing w:line="440" w:lineRule="exact"/>
        <w:rPr>
          <w:rFonts w:ascii="宋体" w:hAnsi="宋体"/>
          <w:color w:val="auto"/>
          <w:sz w:val="24"/>
          <w:szCs w:val="24"/>
          <w:highlight w:val="none"/>
          <w:lang w:bidi="ar"/>
        </w:rPr>
      </w:pPr>
      <w:r>
        <w:rPr>
          <w:rFonts w:hint="eastAsia"/>
          <w:iCs/>
          <w:color w:val="auto"/>
          <w:sz w:val="24"/>
          <w:szCs w:val="24"/>
          <w:highlight w:val="none"/>
        </w:rPr>
        <w:t xml:space="preserve">10、</w:t>
      </w:r>
      <w:r>
        <w:rPr>
          <w:rFonts w:hint="eastAsia" w:ascii="宋体" w:hAnsi="宋体"/>
          <w:color w:val="auto"/>
          <w:sz w:val="24"/>
          <w:szCs w:val="24"/>
          <w:highlight w:val="none"/>
          <w:lang w:bidi="ar"/>
        </w:rPr>
        <w:t xml:space="preserve">本项目不接受联合体参加投标，不得以任何形式进行转包及分包。</w:t>
      </w:r>
      <w:r/>
    </w:p>
    <w:p>
      <w:pPr>
        <w:spacing w:line="440" w:lineRule="exact"/>
        <w:rPr>
          <w:b/>
          <w:bCs/>
          <w:color w:val="auto"/>
          <w:sz w:val="28"/>
          <w:szCs w:val="28"/>
          <w:highlight w:val="none"/>
        </w:rPr>
      </w:pPr>
      <w:r/>
      <w:bookmarkStart w:id="251" w:name="_Toc29553"/>
      <w:r>
        <w:rPr>
          <w:rFonts w:hint="eastAsia"/>
          <w:b/>
          <w:bCs/>
          <w:color w:val="auto"/>
          <w:sz w:val="28"/>
          <w:szCs w:val="28"/>
          <w:highlight w:val="none"/>
        </w:rPr>
        <w:t xml:space="preserve">二、</w:t>
      </w:r>
      <w:bookmarkEnd w:id="251"/>
      <w:r>
        <w:rPr>
          <w:rFonts w:hint="eastAsia"/>
          <w:b/>
          <w:bCs/>
          <w:color w:val="auto"/>
          <w:sz w:val="28"/>
          <w:szCs w:val="28"/>
          <w:highlight w:val="none"/>
        </w:rPr>
        <w:t xml:space="preserve">货物清单：</w:t>
      </w:r>
      <w:r/>
    </w:p>
    <w:tbl>
      <w:tblPr>
        <w:tblStyle w:val="819"/>
        <w:tblW w:w="10477" w:type="dxa"/>
        <w:tblInd w:w="-5" w:type="dxa"/>
        <w:tblLayout w:type="fixed"/>
        <w:tblCellMar>
          <w:left w:w="108" w:type="dxa"/>
          <w:top w:w="0" w:type="dxa"/>
          <w:right w:w="108" w:type="dxa"/>
          <w:bottom w:w="0" w:type="dxa"/>
        </w:tblCellMar>
        <w:tblLook w:val="04A0" w:firstRow="1" w:lastRow="0" w:firstColumn="1" w:lastColumn="0" w:noHBand="0" w:noVBand="1"/>
      </w:tblPr>
      <w:tblGrid>
        <w:gridCol w:w="1298"/>
        <w:gridCol w:w="4312"/>
        <w:gridCol w:w="1124"/>
        <w:gridCol w:w="1102"/>
        <w:gridCol w:w="2641"/>
      </w:tblGrid>
      <w:tr>
        <w:trPr>
          <w:trHeight w:val="301"/>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b/>
                <w:bCs/>
                <w:color w:val="auto"/>
                <w:sz w:val="24"/>
                <w:szCs w:val="24"/>
                <w:highlight w:val="none"/>
              </w:rPr>
            </w:pPr>
            <w:r/>
            <w:bookmarkStart w:id="252" w:name="_Toc29987"/>
            <w:r>
              <w:rPr>
                <w:rFonts w:hint="eastAsia" w:ascii="宋体" w:hAnsi="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设备（项目)名称</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备注</w:t>
            </w:r>
            <w:r/>
          </w:p>
        </w:tc>
      </w:tr>
      <w:tr>
        <w:trPr>
          <w:trHeight w:val="301"/>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w:t>
            </w:r>
            <w:r/>
          </w:p>
        </w:tc>
        <w:tc>
          <w:tcPr>
            <w:gridSpan w:val="4"/>
            <w:tcBorders>
              <w:top w:val="single" w:color="000000" w:sz="4" w:space="0"/>
              <w:left w:val="single" w:color="000000" w:sz="4" w:space="0"/>
              <w:bottom w:val="single" w:color="000000" w:sz="4" w:space="0"/>
              <w:right w:val="single" w:color="000000" w:sz="4" w:space="0"/>
            </w:tcBorders>
            <w:tcW w:w="9179"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水位雨量站</w:t>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雷达水位计</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△智能</w:t>
            </w:r>
            <w:r>
              <w:rPr>
                <w:rFonts w:hint="eastAsia" w:ascii="宋体" w:hAnsi="宋体" w:cs="宋体"/>
                <w:color w:val="auto"/>
                <w:sz w:val="24"/>
                <w:szCs w:val="24"/>
                <w:highlight w:val="none"/>
              </w:rPr>
              <w:t xml:space="preserve">雨量测量仪</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RTU</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蓄电池</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充电控制器</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太阳能板</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块</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含安装支架</w:t>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设备箱</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01"/>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立杆及支架</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水尺</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01"/>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w:t>
            </w:r>
            <w:r/>
          </w:p>
        </w:tc>
        <w:tc>
          <w:tcPr>
            <w:gridSpan w:val="4"/>
            <w:tcBorders>
              <w:top w:val="single" w:color="000000" w:sz="4" w:space="0"/>
              <w:left w:val="single" w:color="000000" w:sz="4" w:space="0"/>
              <w:bottom w:val="single" w:color="000000" w:sz="4" w:space="0"/>
              <w:right w:val="single" w:color="000000" w:sz="4" w:space="0"/>
            </w:tcBorders>
            <w:tcW w:w="9179"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流量站</w:t>
            </w:r>
            <w:r/>
          </w:p>
        </w:tc>
      </w:tr>
      <w:tr>
        <w:trPr>
          <w:trHeight w:val="396"/>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H-ADCP</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雷达水位计</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遥测终端机</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蓄电池</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太阳能板</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块</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充电控制器</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设备箱</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01"/>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立杆及支架</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01"/>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H-ADCP安装支架</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01"/>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w:t>
            </w:r>
            <w:r/>
          </w:p>
        </w:tc>
        <w:tc>
          <w:tcPr>
            <w:gridSpan w:val="4"/>
            <w:tcBorders>
              <w:top w:val="single" w:color="000000" w:sz="4" w:space="0"/>
              <w:left w:val="single" w:color="000000" w:sz="4" w:space="0"/>
              <w:bottom w:val="single" w:color="000000" w:sz="4" w:space="0"/>
              <w:right w:val="single" w:color="000000" w:sz="4" w:space="0"/>
            </w:tcBorders>
            <w:tcW w:w="9179"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闸门开度监测站</w:t>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闸位计</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遥测终端机</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电源适配器</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设备箱</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01"/>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闸位计支架</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01"/>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w:t>
            </w:r>
            <w:r/>
          </w:p>
        </w:tc>
        <w:tc>
          <w:tcPr>
            <w:gridSpan w:val="4"/>
            <w:tcBorders>
              <w:top w:val="single" w:color="000000" w:sz="4" w:space="0"/>
              <w:left w:val="single" w:color="000000" w:sz="4" w:space="0"/>
              <w:bottom w:val="single" w:color="000000" w:sz="4" w:space="0"/>
              <w:right w:val="single" w:color="000000" w:sz="4" w:space="0"/>
            </w:tcBorders>
            <w:tcW w:w="9179"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视频监测站</w:t>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高清视频球机</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防雷设备</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电源箱</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01"/>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立杆及支架</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w:t>
            </w:r>
            <w:r/>
          </w:p>
        </w:tc>
        <w:tc>
          <w:tcPr>
            <w:gridSpan w:val="4"/>
            <w:tcBorders>
              <w:top w:val="single" w:color="000000" w:sz="4" w:space="0"/>
              <w:left w:val="single" w:color="000000" w:sz="4" w:space="0"/>
              <w:bottom w:val="single" w:color="000000" w:sz="4" w:space="0"/>
              <w:right w:val="single" w:color="000000" w:sz="4" w:space="0"/>
            </w:tcBorders>
            <w:tcW w:w="9179"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鸟类生物多样性监测站</w:t>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lang w:bidi="ar"/>
              </w:rPr>
              <w:t xml:space="preserve">鸟类智能识别探头</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lang w:bidi="ar"/>
              </w:rPr>
              <w:t xml:space="preserve">鸟类鸣声监测设备</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lang w:bidi="ar"/>
              </w:rPr>
              <w:t xml:space="preserve">可移动望远镜</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lang w:bidi="ar"/>
              </w:rPr>
              <w:t xml:space="preserve">控制终端</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strike/>
                <w:color w:val="auto"/>
                <w:sz w:val="24"/>
                <w:szCs w:val="24"/>
                <w:highlight w:val="none"/>
              </w:rPr>
            </w:pPr>
            <w:r>
              <w:rPr>
                <w:rFonts w:ascii="宋体" w:hAnsi="宋体" w:cs="宋体"/>
                <w:strike/>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lang w:bidi="ar"/>
              </w:rPr>
              <w:t xml:space="preserve">无人机</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含无人机险及三者险</w:t>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仿宋"/>
                <w:color w:val="auto"/>
                <w:sz w:val="24"/>
                <w:szCs w:val="24"/>
                <w:highlight w:val="none"/>
                <w:lang w:bidi="ar"/>
              </w:rPr>
            </w:pPr>
            <w:r>
              <w:rPr>
                <w:rFonts w:hint="eastAsia" w:ascii="宋体" w:hAnsi="宋体" w:cs="仿宋"/>
                <w:color w:val="auto"/>
                <w:sz w:val="24"/>
                <w:szCs w:val="24"/>
                <w:highlight w:val="none"/>
                <w:lang w:bidi="ar"/>
              </w:rPr>
              <w:t xml:space="preserve">鸟类监测站房（甲供）配套设施</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01"/>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w:t>
            </w:r>
            <w:r/>
          </w:p>
        </w:tc>
        <w:tc>
          <w:tcPr>
            <w:gridSpan w:val="4"/>
            <w:tcBorders>
              <w:top w:val="single" w:color="000000" w:sz="4" w:space="0"/>
              <w:left w:val="single" w:color="000000" w:sz="4" w:space="0"/>
              <w:bottom w:val="single" w:color="000000" w:sz="4" w:space="0"/>
              <w:right w:val="single" w:color="000000" w:sz="4" w:space="0"/>
            </w:tcBorders>
            <w:tcW w:w="9179"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无人机及机场</w:t>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无人机场</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无人机</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含无人机险及三者险</w:t>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遥控器</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图传模块</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喊话器</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探照灯</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01"/>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七</w:t>
            </w:r>
            <w:r/>
          </w:p>
        </w:tc>
        <w:tc>
          <w:tcPr>
            <w:gridSpan w:val="4"/>
            <w:tcBorders>
              <w:top w:val="single" w:color="000000" w:sz="4" w:space="0"/>
              <w:left w:val="single" w:color="000000" w:sz="4" w:space="0"/>
              <w:bottom w:val="single" w:color="000000" w:sz="4" w:space="0"/>
              <w:right w:val="single" w:color="000000" w:sz="4" w:space="0"/>
            </w:tcBorders>
            <w:tcW w:w="9179"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b/>
                <w:bCs/>
                <w:color w:val="auto"/>
                <w:sz w:val="24"/>
                <w:szCs w:val="24"/>
                <w:highlight w:val="none"/>
              </w:rPr>
              <w:t xml:space="preserve">水质监测站</w:t>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监测站房</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水样预处理装置设备</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配水装置设备</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控制单元设备</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仿宋"/>
                <w:color w:val="auto"/>
                <w:sz w:val="24"/>
                <w:szCs w:val="24"/>
                <w:highlight w:val="none"/>
                <w:lang w:bidi="ar"/>
              </w:rPr>
            </w:pPr>
            <w:r>
              <w:rPr>
                <w:rFonts w:hint="eastAsia" w:ascii="宋体" w:hAnsi="宋体" w:cs="仿宋"/>
                <w:color w:val="auto"/>
                <w:sz w:val="24"/>
                <w:szCs w:val="24"/>
                <w:highlight w:val="none"/>
                <w:lang w:bidi="ar"/>
              </w:rPr>
              <w:t xml:space="preserve">△质控单元</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数据采集传输设备</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环境集成配套设备</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电力设施及监控设备</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仿宋"/>
                <w:color w:val="auto"/>
                <w:sz w:val="24"/>
                <w:szCs w:val="24"/>
                <w:highlight w:val="none"/>
                <w:lang w:bidi="ar"/>
              </w:rPr>
            </w:pPr>
            <w:r>
              <w:rPr>
                <w:rFonts w:hint="eastAsia" w:ascii="宋体" w:hAnsi="宋体" w:cs="仿宋"/>
                <w:color w:val="auto"/>
                <w:sz w:val="24"/>
                <w:szCs w:val="24"/>
                <w:highlight w:val="none"/>
                <w:lang w:bidi="ar"/>
              </w:rPr>
              <w:t xml:space="preserve">△留样单元</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592"/>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多普勒流速仪</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仅西塘河站点加装1套多普勒流速仪</w:t>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高锰酸盐指数在线监测仪</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氨氮在线监测仪</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总磷在线监测仪</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总氮在线监测仪</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常规五参数分析仪</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  </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西塘河站点仅更换五参数分析仪</w:t>
            </w:r>
            <w:r/>
          </w:p>
        </w:tc>
      </w:tr>
      <w:tr>
        <w:trPr>
          <w:trHeight w:val="460"/>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jc w:val="center"/>
              <w:rPr>
                <w:rFonts w:ascii="宋体" w:hAnsi="宋体" w:cs="宋体"/>
                <w:color w:val="auto"/>
                <w:sz w:val="24"/>
                <w:szCs w:val="24"/>
                <w:highlight w:val="none"/>
              </w:rPr>
            </w:pP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rPr>
              <w:t xml:space="preserve">蓝绿藻监测仪</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分别在3个站点合设</w:t>
            </w:r>
            <w:r/>
          </w:p>
        </w:tc>
      </w:tr>
    </w:tbl>
    <w:p>
      <w:pPr>
        <w:jc w:val="left"/>
        <w:spacing w:line="440" w:lineRule="exact"/>
        <w:rPr>
          <w:rFonts w:ascii="宋体" w:hAnsi="宋体" w:cs="宋体"/>
          <w:b/>
          <w:color w:val="auto"/>
          <w:sz w:val="24"/>
          <w:szCs w:val="24"/>
          <w:highlight w:val="none"/>
          <w:lang w:bidi="ar"/>
        </w:rPr>
      </w:pPr>
      <w:r>
        <w:rPr>
          <w:rFonts w:hint="eastAsia" w:ascii="宋体" w:hAnsi="宋体" w:cs="宋体"/>
          <w:b/>
          <w:color w:val="auto"/>
          <w:sz w:val="24"/>
          <w:szCs w:val="24"/>
          <w:highlight w:val="none"/>
          <w:lang w:val="zh-CN" w:bidi="ar"/>
        </w:rPr>
        <w:t xml:space="preserve">注：</w:t>
      </w:r>
      <w:r>
        <w:rPr>
          <w:rFonts w:hint="eastAsia" w:ascii="宋体" w:hAnsi="宋体" w:cs="宋体"/>
          <w:b/>
          <w:color w:val="auto"/>
          <w:sz w:val="24"/>
          <w:szCs w:val="24"/>
          <w:highlight w:val="none"/>
          <w:lang w:bidi="ar"/>
        </w:rPr>
        <w:t xml:space="preserve">1、本项目的核心产品为：流量站中的H-ADCP。</w:t>
      </w:r>
      <w:r/>
    </w:p>
    <w:p>
      <w:pPr>
        <w:numPr>
          <w:ilvl w:val="0"/>
          <w:numId w:val="5"/>
        </w:numPr>
        <w:ind w:firstLine="482"/>
        <w:jc w:val="left"/>
        <w:spacing w:line="440" w:lineRule="exact"/>
        <w:rPr>
          <w:rFonts w:ascii="宋体" w:hAnsi="宋体" w:cs="宋体"/>
          <w:b/>
          <w:color w:val="auto"/>
          <w:sz w:val="24"/>
          <w:szCs w:val="24"/>
          <w:highlight w:val="none"/>
          <w:lang w:bidi="ar"/>
        </w:rPr>
      </w:pPr>
      <w:r>
        <w:rPr>
          <w:rFonts w:hint="eastAsia" w:ascii="宋体" w:hAnsi="宋体" w:cs="宋体"/>
          <w:b/>
          <w:color w:val="auto"/>
          <w:sz w:val="24"/>
          <w:szCs w:val="24"/>
          <w:highlight w:val="none"/>
          <w:lang w:bidi="ar"/>
        </w:rPr>
        <w:t xml:space="preserve">西塘河站点设备均需接入现场数采系统。</w:t>
      </w:r>
      <w:r/>
    </w:p>
    <w:p>
      <w:pPr>
        <w:numPr>
          <w:ilvl w:val="0"/>
          <w:numId w:val="5"/>
        </w:numPr>
        <w:ind w:firstLine="482"/>
        <w:spacing w:line="440" w:lineRule="exact"/>
        <w:rPr>
          <w:rFonts w:ascii="宋体" w:hAnsi="宋体" w:cs="宋体"/>
          <w:b/>
          <w:color w:val="auto"/>
          <w:sz w:val="24"/>
          <w:szCs w:val="24"/>
          <w:highlight w:val="none"/>
          <w:lang w:val="zh-CN" w:bidi="ar"/>
        </w:rPr>
      </w:pPr>
      <w:r>
        <w:rPr>
          <w:rFonts w:hint="eastAsia" w:ascii="宋体" w:hAnsi="宋体" w:cs="宋体"/>
          <w:b/>
          <w:color w:val="auto"/>
          <w:sz w:val="24"/>
          <w:szCs w:val="24"/>
          <w:highlight w:val="none"/>
          <w:lang w:val="zh-CN" w:bidi="ar"/>
        </w:rPr>
        <w:t xml:space="preserve">本项目建设的闸门开度监测站、视频监测站所采集的全部监测数据、实时视频流、设备状态信息等，须完整、稳定接入东南智慧水利平台。中标人须无条件配合招标人完成平台对接、联调、数据上传等全部相关工作，平台对接所需接口开发、程序调试、数据适配、软硬件改造、通信传输、技术服务等一切相关费用，均由中标人自行测算并全额包含在投标总报价内，招标人不再另行支付任何对接、开发配套费用。</w:t>
      </w:r>
      <w:r/>
    </w:p>
    <w:p>
      <w:pPr>
        <w:spacing w:line="440" w:lineRule="exact"/>
        <w:rPr>
          <w:b/>
          <w:bCs/>
          <w:color w:val="auto"/>
          <w:sz w:val="28"/>
          <w:szCs w:val="28"/>
          <w:highlight w:val="none"/>
        </w:rPr>
      </w:pPr>
      <w:r>
        <w:rPr>
          <w:rFonts w:hint="eastAsia"/>
          <w:b/>
          <w:bCs/>
          <w:color w:val="auto"/>
          <w:sz w:val="28"/>
          <w:szCs w:val="28"/>
          <w:highlight w:val="none"/>
        </w:rPr>
        <w:t xml:space="preserve">三、</w:t>
      </w:r>
      <w:bookmarkEnd w:id="252"/>
      <w:r>
        <w:rPr>
          <w:rFonts w:hint="eastAsia" w:ascii="Times New Roman" w:hAnsi="Times New Roman"/>
          <w:b/>
          <w:color w:val="auto"/>
          <w:sz w:val="28"/>
          <w:szCs w:val="28"/>
          <w:highlight w:val="none"/>
          <w:lang w:bidi="ar"/>
        </w:rPr>
        <w:t xml:space="preserve">技术性能参数要求：</w:t>
      </w:r>
      <w:r/>
    </w:p>
    <w:p>
      <w:pPr>
        <w:jc w:val="center"/>
        <w:spacing w:before="120" w:after="120" w:line="440" w:lineRule="exact"/>
        <w:rPr>
          <w:b/>
          <w:color w:val="auto"/>
          <w:sz w:val="48"/>
          <w:szCs w:val="48"/>
          <w:highlight w:val="none"/>
        </w:rPr>
        <w:outlineLvl w:val="0"/>
      </w:pPr>
      <w:r/>
      <w:bookmarkStart w:id="253" w:name="_Toc14564"/>
      <w:r/>
      <w:bookmarkStart w:id="254" w:name="_Toc239671904"/>
      <w:r/>
      <w:bookmarkStart w:id="255" w:name="_Toc24842"/>
      <w:r>
        <w:rPr>
          <w:rFonts w:hint="eastAsia" w:ascii="宋体" w:hAnsi="宋体"/>
          <w:b/>
          <w:color w:val="auto"/>
          <w:sz w:val="48"/>
          <w:szCs w:val="48"/>
          <w:highlight w:val="none"/>
        </w:rPr>
        <w:t xml:space="preserve">水位雨量站</w:t>
      </w:r>
      <w:bookmarkEnd w:id="253"/>
      <w:r/>
      <w:bookmarkEnd w:id="254"/>
      <w:r/>
      <w:bookmarkEnd w:id="255"/>
      <w:r/>
      <w:r/>
    </w:p>
    <w:p>
      <w:pPr>
        <w:spacing w:line="440" w:lineRule="exact"/>
        <w:rPr>
          <w:rFonts w:ascii="宋体" w:hAnsi="宋体" w:cs="宋体"/>
          <w:b/>
          <w:bCs/>
          <w:color w:val="auto"/>
          <w:sz w:val="32"/>
          <w:szCs w:val="32"/>
          <w:highlight w:val="none"/>
        </w:rPr>
        <w:outlineLvl w:val="1"/>
      </w:pPr>
      <w:r/>
      <w:bookmarkStart w:id="256" w:name="_Toc12221"/>
      <w:r/>
      <w:bookmarkStart w:id="257" w:name="_Toc239671905"/>
      <w:r/>
      <w:bookmarkStart w:id="258" w:name="_Toc19445"/>
      <w:r>
        <w:rPr>
          <w:rFonts w:hint="eastAsia" w:ascii="宋体" w:hAnsi="宋体" w:cs="宋体"/>
          <w:b/>
          <w:bCs/>
          <w:color w:val="auto"/>
          <w:sz w:val="32"/>
          <w:szCs w:val="32"/>
          <w:highlight w:val="none"/>
        </w:rPr>
        <w:t xml:space="preserve">一、雷达水位计</w:t>
      </w:r>
      <w:bookmarkEnd w:id="256"/>
      <w:r/>
      <w:bookmarkEnd w:id="257"/>
      <w:r/>
      <w:bookmarkEnd w:id="258"/>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1、雷达测距量程：60或80GHZ，0~30m；精度：±2mm；</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2、工作电压：DC6~30V，平均功耗：≤6.6mAH；工作温度：0~60℃，储存温度：-40~80℃。</w:t>
      </w:r>
      <w:r/>
    </w:p>
    <w:p>
      <w:pPr>
        <w:spacing w:line="440" w:lineRule="exact"/>
        <w:rPr>
          <w:rFonts w:ascii="宋体" w:hAnsi="宋体" w:cs="宋体"/>
          <w:b/>
          <w:bCs/>
          <w:color w:val="auto"/>
          <w:sz w:val="32"/>
          <w:szCs w:val="32"/>
          <w:highlight w:val="none"/>
        </w:rPr>
        <w:outlineLvl w:val="1"/>
      </w:pPr>
      <w:r/>
      <w:bookmarkStart w:id="259" w:name="_Toc4394"/>
      <w:r/>
      <w:bookmarkStart w:id="260" w:name="_Toc16279"/>
      <w:r/>
      <w:bookmarkStart w:id="261" w:name="_Toc239671906"/>
      <w:r>
        <w:rPr>
          <w:rFonts w:hint="eastAsia" w:ascii="宋体" w:hAnsi="宋体" w:cs="宋体"/>
          <w:b/>
          <w:bCs/>
          <w:color w:val="auto"/>
          <w:sz w:val="32"/>
          <w:szCs w:val="32"/>
          <w:highlight w:val="none"/>
        </w:rPr>
        <w:t xml:space="preserve">二、智能雨量测量仪</w:t>
      </w:r>
      <w:bookmarkEnd w:id="259"/>
      <w:r/>
      <w:bookmarkEnd w:id="260"/>
      <w:r/>
      <w:bookmarkEnd w:id="261"/>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1、分辨力：0.5mm；工作温度：-10℃-50℃；最大降雨强度：4mm/min；翻斗计量误差：±2%；</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2、雨量筒采用304不锈钢及以上材料，筒壁厚度1mm；承雨口内径尺寸为φ200±0.6mm；承雨口刃口角度应在40°-45°范围内。</w:t>
      </w:r>
      <w:r/>
    </w:p>
    <w:p>
      <w:pPr>
        <w:spacing w:line="440" w:lineRule="exact"/>
        <w:rPr>
          <w:rFonts w:ascii="宋体" w:hAnsi="宋体" w:cs="宋体"/>
          <w:b/>
          <w:bCs/>
          <w:color w:val="auto"/>
          <w:sz w:val="32"/>
          <w:szCs w:val="32"/>
          <w:highlight w:val="none"/>
        </w:rPr>
        <w:outlineLvl w:val="1"/>
      </w:pPr>
      <w:r/>
      <w:bookmarkStart w:id="262" w:name="_Toc3292"/>
      <w:r/>
      <w:bookmarkStart w:id="263" w:name="_Toc239671907"/>
      <w:r/>
      <w:bookmarkStart w:id="264" w:name="_Toc8457"/>
      <w:r>
        <w:rPr>
          <w:rFonts w:hint="eastAsia" w:ascii="宋体" w:hAnsi="宋体" w:cs="宋体"/>
          <w:b/>
          <w:bCs/>
          <w:color w:val="auto"/>
          <w:sz w:val="32"/>
          <w:szCs w:val="32"/>
          <w:highlight w:val="none"/>
        </w:rPr>
        <w:t xml:space="preserve">三、RTU</w:t>
      </w:r>
      <w:bookmarkEnd w:id="262"/>
      <w:r/>
      <w:bookmarkEnd w:id="263"/>
      <w:r/>
      <w:bookmarkEnd w:id="264"/>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1、多参数数据采集功能，满足《水文监测数据通信规约》（SL 651-2014）；</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2、支持 GPRS、CDMA 1X、中国电信 3G/4G、中国联通 3G/4G、中国移动3G/4G 等网络制式；3年主流运营商通讯，不少于100M/月。</w:t>
      </w:r>
      <w:r/>
    </w:p>
    <w:p>
      <w:pPr>
        <w:spacing w:line="440" w:lineRule="exact"/>
        <w:rPr>
          <w:rFonts w:ascii="宋体" w:hAnsi="宋体" w:cs="宋体"/>
          <w:b/>
          <w:bCs/>
          <w:color w:val="auto"/>
          <w:sz w:val="32"/>
          <w:szCs w:val="32"/>
          <w:highlight w:val="none"/>
        </w:rPr>
        <w:outlineLvl w:val="1"/>
      </w:pPr>
      <w:r/>
      <w:bookmarkStart w:id="265" w:name="_Toc239671908"/>
      <w:r/>
      <w:bookmarkStart w:id="266" w:name="_Toc24648"/>
      <w:r/>
      <w:bookmarkStart w:id="267" w:name="_Toc16167"/>
      <w:r>
        <w:rPr>
          <w:rFonts w:hint="eastAsia" w:ascii="宋体" w:hAnsi="宋体" w:cs="宋体"/>
          <w:b/>
          <w:bCs/>
          <w:color w:val="auto"/>
          <w:sz w:val="32"/>
          <w:szCs w:val="32"/>
          <w:highlight w:val="none"/>
        </w:rPr>
        <w:t xml:space="preserve">四、蓄电池</w:t>
      </w:r>
      <w:bookmarkEnd w:id="265"/>
      <w:r/>
      <w:bookmarkEnd w:id="266"/>
      <w:r/>
      <w:bookmarkEnd w:id="267"/>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1、额定电压：DC12V；额定容量60Ah；铁锂电池；化学状态：电离子；工作温度范围：-25℃～+65℃。</w:t>
      </w:r>
      <w:r/>
    </w:p>
    <w:p>
      <w:pPr>
        <w:spacing w:line="440" w:lineRule="exact"/>
        <w:rPr>
          <w:rFonts w:ascii="宋体" w:hAnsi="宋体" w:cs="宋体"/>
          <w:b/>
          <w:bCs/>
          <w:color w:val="auto"/>
          <w:sz w:val="32"/>
          <w:szCs w:val="32"/>
          <w:highlight w:val="none"/>
        </w:rPr>
        <w:outlineLvl w:val="1"/>
      </w:pPr>
      <w:r/>
      <w:bookmarkStart w:id="268" w:name="_Toc32031"/>
      <w:r/>
      <w:bookmarkStart w:id="269" w:name="_Toc22830"/>
      <w:r/>
      <w:bookmarkStart w:id="270" w:name="_Toc22081"/>
      <w:r/>
      <w:bookmarkStart w:id="271" w:name="_Toc239671909"/>
      <w:r>
        <w:rPr>
          <w:rFonts w:hint="eastAsia" w:ascii="宋体" w:hAnsi="宋体" w:cs="宋体"/>
          <w:b/>
          <w:bCs/>
          <w:color w:val="auto"/>
          <w:sz w:val="32"/>
          <w:szCs w:val="32"/>
          <w:highlight w:val="none"/>
        </w:rPr>
        <w:t xml:space="preserve">五、充电控制器</w:t>
      </w:r>
      <w:bookmarkEnd w:id="268"/>
      <w:r/>
      <w:bookmarkEnd w:id="269"/>
      <w:r/>
      <w:bookmarkEnd w:id="270"/>
      <w:r/>
      <w:bookmarkEnd w:id="271"/>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1、最大充电电流：10A，最大输出电流：10A；电池超压：12.6V；系统电压：12/24V自动识别；自损：≤14mA；工作温度范围：-20~55℃。</w:t>
      </w:r>
      <w:r/>
    </w:p>
    <w:p>
      <w:pPr>
        <w:spacing w:line="440" w:lineRule="exact"/>
        <w:rPr>
          <w:rFonts w:ascii="宋体" w:hAnsi="宋体" w:cs="宋体"/>
          <w:b/>
          <w:bCs/>
          <w:color w:val="auto"/>
          <w:sz w:val="32"/>
          <w:szCs w:val="32"/>
          <w:highlight w:val="none"/>
        </w:rPr>
        <w:outlineLvl w:val="1"/>
      </w:pPr>
      <w:r/>
      <w:bookmarkStart w:id="272" w:name="_Toc6958"/>
      <w:r/>
      <w:bookmarkStart w:id="273" w:name="_Toc17614"/>
      <w:r/>
      <w:bookmarkStart w:id="274" w:name="_Toc236"/>
      <w:r/>
      <w:bookmarkStart w:id="275" w:name="_Toc239671910"/>
      <w:r>
        <w:rPr>
          <w:rFonts w:hint="eastAsia" w:ascii="宋体" w:hAnsi="宋体" w:cs="宋体"/>
          <w:b/>
          <w:bCs/>
          <w:color w:val="auto"/>
          <w:sz w:val="32"/>
          <w:szCs w:val="32"/>
          <w:highlight w:val="none"/>
        </w:rPr>
        <w:t xml:space="preserve">六、太阳能板</w:t>
      </w:r>
      <w:bookmarkEnd w:id="272"/>
      <w:r/>
      <w:bookmarkEnd w:id="273"/>
      <w:r/>
      <w:bookmarkEnd w:id="274"/>
      <w:r/>
      <w:bookmarkEnd w:id="275"/>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1、材料：单晶硅；封装形式：高透光钢化玻璃层压；太阳能板表面可以承受的最大压力：60m/s(200kg/sq.m)；太阳能板充电效率：≥19.5%；电池板故障或寿命期后有更换条件并且不影响设备结构。</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2、功率：120W，最大工作电压:≤18V；最大工作电流:≤6.65A；开路电压:≤21.2V；工作温度范围：-40℃～+85℃；</w:t>
      </w:r>
      <w:r/>
    </w:p>
    <w:p>
      <w:pPr>
        <w:spacing w:line="440" w:lineRule="exact"/>
        <w:rPr>
          <w:rFonts w:ascii="宋体" w:hAnsi="宋体" w:cs="宋体"/>
          <w:b/>
          <w:bCs/>
          <w:color w:val="auto"/>
          <w:sz w:val="32"/>
          <w:szCs w:val="32"/>
          <w:highlight w:val="none"/>
        </w:rPr>
        <w:outlineLvl w:val="1"/>
      </w:pPr>
      <w:r/>
      <w:bookmarkStart w:id="276" w:name="_Toc8730"/>
      <w:r/>
      <w:bookmarkStart w:id="277" w:name="_Toc5712"/>
      <w:r/>
      <w:bookmarkStart w:id="278" w:name="_Toc20110"/>
      <w:r/>
      <w:bookmarkStart w:id="279" w:name="_Toc239671911"/>
      <w:r>
        <w:rPr>
          <w:rFonts w:hint="eastAsia" w:ascii="宋体" w:hAnsi="宋体" w:cs="宋体"/>
          <w:b/>
          <w:bCs/>
          <w:color w:val="auto"/>
          <w:sz w:val="32"/>
          <w:szCs w:val="32"/>
          <w:highlight w:val="none"/>
        </w:rPr>
        <w:t xml:space="preserve">七、设备箱</w:t>
      </w:r>
      <w:bookmarkEnd w:id="276"/>
      <w:r/>
      <w:bookmarkEnd w:id="277"/>
      <w:r/>
      <w:bookmarkEnd w:id="278"/>
      <w:r/>
      <w:bookmarkEnd w:id="279"/>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1、设备箱参考尺寸：380mm（长）×250.50 mm（深）×525 mm（高）；防雨、防虫、散热；开关电源、空开、漏电保护器，喷涂（防锈）处理；设备箱在露天能经受雨水，电气和设备不会因为漏雨水造成短路；箱体进出线口需带防水锁扣，箱体应该有防盗措施；设备箱内布走线槽、防雷接地柱1个、5孔接地铜牌1个、空气开关1个；</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2、设备箱相关文字标示应采用激光刻字，“防汛设施  严禁破坏”（红色）；水利图标（蓝色）；“XXX水务局  值班电话：xxxxxx”（黑色）</w:t>
      </w:r>
      <w:bookmarkStart w:id="280" w:name="_Toc6346"/>
      <w:r/>
      <w:bookmarkStart w:id="281" w:name="_Toc19819"/>
      <w:r/>
      <w:bookmarkStart w:id="282" w:name="_Toc25219"/>
      <w:r>
        <w:rPr>
          <w:rFonts w:hint="eastAsia" w:ascii="宋体" w:hAnsi="宋体" w:cs="宋体"/>
          <w:color w:val="auto"/>
          <w:sz w:val="24"/>
          <w:szCs w:val="24"/>
          <w:highlight w:val="none"/>
        </w:rPr>
        <w:t xml:space="preserve">。</w:t>
      </w:r>
      <w:r/>
    </w:p>
    <w:p>
      <w:pPr>
        <w:spacing w:line="440" w:lineRule="exact"/>
        <w:rPr>
          <w:rFonts w:ascii="宋体" w:hAnsi="宋体" w:cs="宋体"/>
          <w:b/>
          <w:bCs/>
          <w:color w:val="auto"/>
          <w:sz w:val="32"/>
          <w:szCs w:val="32"/>
          <w:highlight w:val="none"/>
        </w:rPr>
        <w:outlineLvl w:val="1"/>
      </w:pPr>
      <w:r/>
      <w:bookmarkStart w:id="283" w:name="_Toc239671912"/>
      <w:r>
        <w:rPr>
          <w:rFonts w:hint="eastAsia" w:ascii="宋体" w:hAnsi="宋体" w:cs="宋体"/>
          <w:b/>
          <w:bCs/>
          <w:color w:val="auto"/>
          <w:sz w:val="32"/>
          <w:szCs w:val="32"/>
          <w:highlight w:val="none"/>
        </w:rPr>
        <w:t xml:space="preserve">八、立杆及支架</w:t>
      </w:r>
      <w:bookmarkEnd w:id="280"/>
      <w:r/>
      <w:bookmarkEnd w:id="281"/>
      <w:r/>
      <w:bookmarkEnd w:id="282"/>
      <w:r/>
      <w:bookmarkEnd w:id="283"/>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规格：标配无缝对接3M立杆，避雷针，下部外径110mm，上部外径79mm，2mm厚度；材质：热镀锌管；立杆热镀锌层厚度加厚；辅材：连接设备和箱体的辅材，如螺丝、螺帽为不锈钢材料，配套电缆、线槽、膨胀螺栓。</w:t>
      </w:r>
      <w:r/>
    </w:p>
    <w:p>
      <w:pPr>
        <w:spacing w:line="440" w:lineRule="exact"/>
        <w:rPr>
          <w:rFonts w:ascii="宋体" w:hAnsi="宋体" w:cs="宋体"/>
          <w:b/>
          <w:bCs/>
          <w:color w:val="auto"/>
          <w:sz w:val="32"/>
          <w:szCs w:val="32"/>
          <w:highlight w:val="none"/>
        </w:rPr>
        <w:outlineLvl w:val="1"/>
      </w:pPr>
      <w:r/>
      <w:bookmarkStart w:id="284" w:name="_Toc239671913"/>
      <w:r>
        <w:rPr>
          <w:rFonts w:hint="eastAsia" w:ascii="宋体" w:hAnsi="宋体" w:cs="宋体"/>
          <w:b/>
          <w:bCs/>
          <w:color w:val="auto"/>
          <w:sz w:val="32"/>
          <w:szCs w:val="32"/>
          <w:highlight w:val="none"/>
        </w:rPr>
        <w:t xml:space="preserve">九、水尺</w:t>
      </w:r>
      <w:bookmarkEnd w:id="284"/>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1、材质：不锈钢；规格：8CM宽*1M长；平板式，耐腐蚀，不易生锈。</w:t>
      </w:r>
      <w:r/>
    </w:p>
    <w:p>
      <w:pPr>
        <w:jc w:val="center"/>
        <w:spacing w:line="500" w:lineRule="exact"/>
        <w:rPr>
          <w:rFonts w:ascii="宋体" w:hAnsi="宋体" w:cs="宋体"/>
          <w:b/>
          <w:color w:val="auto"/>
          <w:sz w:val="48"/>
          <w:szCs w:val="48"/>
          <w:highlight w:val="none"/>
        </w:rPr>
        <w:outlineLvl w:val="0"/>
      </w:pPr>
      <w:r/>
      <w:bookmarkStart w:id="285" w:name="_Toc30022"/>
      <w:r/>
      <w:bookmarkStart w:id="286" w:name="_Toc239671914"/>
      <w:r/>
      <w:bookmarkStart w:id="287" w:name="_Toc3522"/>
      <w:r>
        <w:rPr>
          <w:rFonts w:hint="eastAsia" w:ascii="宋体" w:hAnsi="宋体" w:cs="宋体"/>
          <w:b/>
          <w:color w:val="auto"/>
          <w:sz w:val="48"/>
          <w:szCs w:val="48"/>
          <w:highlight w:val="none"/>
        </w:rPr>
        <w:t xml:space="preserve">流量站</w:t>
      </w:r>
      <w:bookmarkEnd w:id="285"/>
      <w:r/>
      <w:bookmarkEnd w:id="286"/>
      <w:r/>
      <w:bookmarkEnd w:id="287"/>
      <w:r/>
      <w:r/>
    </w:p>
    <w:p>
      <w:pPr>
        <w:spacing w:line="440" w:lineRule="exact"/>
        <w:rPr>
          <w:rFonts w:ascii="宋体" w:hAnsi="宋体" w:cs="宋体"/>
          <w:b/>
          <w:bCs/>
          <w:color w:val="auto"/>
          <w:sz w:val="32"/>
          <w:szCs w:val="32"/>
          <w:highlight w:val="none"/>
        </w:rPr>
        <w:outlineLvl w:val="1"/>
      </w:pPr>
      <w:r/>
      <w:bookmarkStart w:id="288" w:name="_Toc32159"/>
      <w:r/>
      <w:bookmarkStart w:id="289" w:name="_Toc550"/>
      <w:r/>
      <w:bookmarkStart w:id="290" w:name="_Toc239671915"/>
      <w:r>
        <w:rPr>
          <w:rFonts w:ascii="宋体" w:hAnsi="宋体" w:cs="宋体"/>
          <w:b/>
          <w:bCs/>
          <w:color w:val="auto"/>
          <w:sz w:val="32"/>
          <w:szCs w:val="32"/>
          <w:highlight w:val="none"/>
        </w:rPr>
        <w:t xml:space="preserve">一、</w:t>
      </w:r>
      <w:r>
        <w:rPr>
          <w:rFonts w:hint="eastAsia" w:ascii="宋体" w:hAnsi="宋体" w:cs="宋体"/>
          <w:b/>
          <w:bCs/>
          <w:color w:val="auto"/>
          <w:sz w:val="32"/>
          <w:szCs w:val="32"/>
          <w:highlight w:val="none"/>
        </w:rPr>
        <w:t xml:space="preserve">H-ADCP</w:t>
      </w:r>
      <w:bookmarkEnd w:id="288"/>
      <w:r/>
      <w:bookmarkEnd w:id="289"/>
      <w:r/>
      <w:bookmarkEnd w:id="290"/>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1、频率：600KHz；</w:t>
      </w:r>
      <w:r/>
    </w:p>
    <w:p>
      <w:pPr>
        <w:ind w:firstLine="480"/>
        <w:spacing w:line="440" w:lineRule="exact"/>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最小单元尺寸：0.5m；</w:t>
      </w:r>
      <w:r/>
    </w:p>
    <w:p>
      <w:pPr>
        <w:ind w:firstLine="480"/>
        <w:spacing w:line="440" w:lineRule="exact"/>
        <w:rPr>
          <w:rFonts w:ascii="宋体" w:hAnsi="宋体" w:cs="宋体"/>
          <w:color w:val="auto"/>
          <w:sz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测量范围上限：≥100m，</w:t>
      </w:r>
      <w:r>
        <w:rPr>
          <w:rFonts w:hint="eastAsia" w:ascii="宋体" w:hAnsi="宋体" w:cs="宋体"/>
          <w:color w:val="auto"/>
          <w:sz w:val="24"/>
          <w:highlight w:val="none"/>
        </w:rPr>
        <w:t xml:space="preserve">且≤250m；</w:t>
      </w:r>
      <w:r/>
    </w:p>
    <w:p>
      <w:pPr>
        <w:ind w:firstLine="480"/>
        <w:spacing w:line="440" w:lineRule="exact"/>
        <w:rPr>
          <w:rFonts w:ascii="宋体" w:hAnsi="宋体" w:cs="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盲区：0.25m；</w:t>
      </w:r>
      <w:r/>
    </w:p>
    <w:p>
      <w:pPr>
        <w:ind w:firstLine="240"/>
        <w:spacing w:line="440" w:lineRule="exact"/>
        <w:rPr>
          <w:rFonts w:ascii="宋体" w:hAnsi="宋体"/>
          <w:b/>
          <w:bCs/>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精度：≤0.5%或±2.0mm/s；</w:t>
      </w:r>
      <w:r>
        <w:rPr>
          <w:rFonts w:hint="eastAsia" w:ascii="宋体" w:hAnsi="宋体" w:cs="宋体"/>
          <w:b/>
          <w:bCs/>
          <w:color w:val="auto"/>
          <w:sz w:val="24"/>
          <w:szCs w:val="24"/>
          <w:highlight w:val="none"/>
        </w:rPr>
        <w:t xml:space="preserve">提供</w:t>
      </w:r>
      <w:r>
        <w:rPr>
          <w:rFonts w:hint="eastAsia" w:ascii="宋体" w:hAnsi="宋体" w:cs="宋体"/>
          <w:b/>
          <w:bCs/>
          <w:color w:val="auto"/>
          <w:sz w:val="24"/>
          <w:szCs w:val="24"/>
          <w:highlight w:val="none"/>
          <w:lang w:val="en-US" w:eastAsia="zh-CN"/>
        </w:rPr>
        <w:t xml:space="preserve">体现产品制造商信息的</w:t>
      </w:r>
      <w:r>
        <w:rPr>
          <w:rFonts w:hint="eastAsia" w:ascii="宋体" w:hAnsi="宋体" w:cs="宋体"/>
          <w:b/>
          <w:bCs/>
          <w:color w:val="auto"/>
          <w:sz w:val="24"/>
          <w:szCs w:val="24"/>
          <w:highlight w:val="none"/>
        </w:rPr>
        <w:t xml:space="preserve">官网截图证明（或产品说明书或彩页）或第三方检测机构出具的带有CMA或CNAS认证标识的检测报告扫描件</w:t>
      </w:r>
      <w:r/>
    </w:p>
    <w:p>
      <w:pPr>
        <w:ind w:firstLine="480"/>
        <w:spacing w:line="440" w:lineRule="exact"/>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最大流速：+20m/s；</w:t>
      </w:r>
      <w:r/>
    </w:p>
    <w:p>
      <w:pPr>
        <w:ind w:firstLine="480"/>
        <w:spacing w:line="440" w:lineRule="exact"/>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波束：双波束；</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8、安装后需提供率定报告。</w:t>
      </w:r>
      <w:r/>
    </w:p>
    <w:p>
      <w:pPr>
        <w:spacing w:line="440" w:lineRule="exact"/>
        <w:rPr>
          <w:rFonts w:ascii="宋体" w:hAnsi="宋体" w:cs="宋体"/>
          <w:b/>
          <w:bCs/>
          <w:color w:val="auto"/>
          <w:sz w:val="32"/>
          <w:szCs w:val="32"/>
          <w:highlight w:val="none"/>
        </w:rPr>
        <w:outlineLvl w:val="1"/>
      </w:pPr>
      <w:r/>
      <w:bookmarkStart w:id="291" w:name="_Toc19041"/>
      <w:r/>
      <w:bookmarkStart w:id="292" w:name="_Toc239671916"/>
      <w:r/>
      <w:bookmarkStart w:id="293" w:name="_Toc9324"/>
      <w:r>
        <w:rPr>
          <w:rFonts w:ascii="宋体" w:hAnsi="宋体" w:cs="宋体"/>
          <w:b/>
          <w:bCs/>
          <w:color w:val="auto"/>
          <w:sz w:val="32"/>
          <w:szCs w:val="32"/>
          <w:highlight w:val="none"/>
        </w:rPr>
        <w:t xml:space="preserve">二、</w:t>
      </w:r>
      <w:r>
        <w:rPr>
          <w:rFonts w:hint="eastAsia" w:ascii="宋体" w:hAnsi="宋体" w:cs="宋体"/>
          <w:b/>
          <w:bCs/>
          <w:color w:val="auto"/>
          <w:sz w:val="32"/>
          <w:szCs w:val="32"/>
          <w:highlight w:val="none"/>
        </w:rPr>
        <w:t xml:space="preserve">雷达水位计</w:t>
      </w:r>
      <w:bookmarkEnd w:id="291"/>
      <w:r/>
      <w:bookmarkEnd w:id="292"/>
      <w:r/>
      <w:bookmarkEnd w:id="293"/>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1、测距精度：±2mm；分辨率：1mm；工作电压：DC6-30V；通讯方式：支持RS485接口，Modbus协议。</w:t>
      </w:r>
      <w:r/>
    </w:p>
    <w:p>
      <w:pPr>
        <w:spacing w:line="440" w:lineRule="exact"/>
        <w:rPr>
          <w:rFonts w:ascii="宋体" w:hAnsi="宋体" w:cs="宋体"/>
          <w:b/>
          <w:bCs/>
          <w:color w:val="auto"/>
          <w:sz w:val="32"/>
          <w:szCs w:val="32"/>
          <w:highlight w:val="none"/>
        </w:rPr>
        <w:outlineLvl w:val="1"/>
      </w:pPr>
      <w:r/>
      <w:bookmarkStart w:id="294" w:name="_Toc11078"/>
      <w:r/>
      <w:bookmarkStart w:id="295" w:name="_Toc239671917"/>
      <w:r/>
      <w:bookmarkStart w:id="296" w:name="_Toc28812"/>
      <w:r>
        <w:rPr>
          <w:rFonts w:hint="eastAsia" w:ascii="宋体" w:hAnsi="宋体" w:cs="宋体"/>
          <w:b/>
          <w:bCs/>
          <w:color w:val="auto"/>
          <w:sz w:val="32"/>
          <w:szCs w:val="32"/>
          <w:highlight w:val="none"/>
        </w:rPr>
        <w:t xml:space="preserve">三、遥测终端机</w:t>
      </w:r>
      <w:bookmarkEnd w:id="294"/>
      <w:r/>
      <w:bookmarkEnd w:id="295"/>
      <w:r/>
      <w:bookmarkEnd w:id="296"/>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支持传感器数据：支持雨量计、水位计、量水堰等数据采集、存储、阀值图像抓拍和短信报警及传输等功能；支持潮位、水位、流速、水质、水温、雨量、风速、风向等水文/水资源等异构数据的融合采集、存储、显示、控制、报警及传输；能够解析前端采集数据，具备阈值触发报警功能；</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采集通道可独立工作，某一通道损坏后，其他正常通道仍可正常工作；支持上下限报警：支持超上限和低下限报警，可单设某参数变化加报等；设备支持具有双LoRa采集数据模块；设备丢包率小于万分之一；</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2、支持多种接口：设备需提供RS232接口、RS485接口、雨量计接口、模拟量输入接口、开关量输入接口、开关量输出接口，继电器输出接口、以太网接口；</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3、设备支持4G，以太网通信方式向中心站进行数据传输，成功率不低于95%，准确率不低于95%；3年主流运营商通讯，不少于100M/月；</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4、支持本地存储卡、本地网络、远程客户端数据导出功能；提供不低于8MB的内部存储芯片；支持外部不少于8G存储卡数据存储。</w:t>
      </w:r>
      <w:r/>
    </w:p>
    <w:p>
      <w:pPr>
        <w:spacing w:line="440" w:lineRule="exact"/>
        <w:rPr>
          <w:rFonts w:ascii="宋体" w:hAnsi="宋体" w:cs="宋体"/>
          <w:b/>
          <w:bCs/>
          <w:color w:val="auto"/>
          <w:sz w:val="32"/>
          <w:szCs w:val="32"/>
          <w:highlight w:val="none"/>
        </w:rPr>
        <w:outlineLvl w:val="1"/>
      </w:pPr>
      <w:r/>
      <w:bookmarkStart w:id="297" w:name="_Toc239671918"/>
      <w:r/>
      <w:bookmarkStart w:id="298" w:name="_Toc24359"/>
      <w:r/>
      <w:bookmarkStart w:id="299" w:name="_Toc18852"/>
      <w:r>
        <w:rPr>
          <w:rFonts w:hint="eastAsia" w:ascii="宋体" w:hAnsi="宋体" w:cs="宋体"/>
          <w:b/>
          <w:bCs/>
          <w:color w:val="auto"/>
          <w:sz w:val="32"/>
          <w:szCs w:val="32"/>
          <w:highlight w:val="none"/>
        </w:rPr>
        <w:t xml:space="preserve">四、蓄电池</w:t>
      </w:r>
      <w:bookmarkEnd w:id="297"/>
      <w:r/>
      <w:bookmarkEnd w:id="298"/>
      <w:r/>
      <w:bookmarkEnd w:id="299"/>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1、太阳能储能用阀控式免维护胶体蓄电池；单只蓄电池容量：12V200AH；防护等级：具有防水、防潮、防腐、保温隔热、通气等功能；防水外壳防护等级IP67；</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2、低温工作性能：-10条件下蓄电池充放电效率不低于65％；高温工作性能：40℃条件下蓄电池充放电效率不低于100％；设计浮充使用寿命（20℃）7~10年。</w:t>
      </w:r>
      <w:r/>
    </w:p>
    <w:p>
      <w:pPr>
        <w:spacing w:line="440" w:lineRule="exact"/>
        <w:rPr>
          <w:rFonts w:ascii="宋体" w:hAnsi="宋体" w:cs="宋体"/>
          <w:b/>
          <w:bCs/>
          <w:color w:val="auto"/>
          <w:sz w:val="32"/>
          <w:szCs w:val="32"/>
          <w:highlight w:val="none"/>
        </w:rPr>
        <w:outlineLvl w:val="1"/>
      </w:pPr>
      <w:r/>
      <w:bookmarkStart w:id="300" w:name="_Toc239671919"/>
      <w:r/>
      <w:bookmarkStart w:id="301" w:name="_Toc5871"/>
      <w:r/>
      <w:bookmarkStart w:id="302" w:name="_Toc10167"/>
      <w:r>
        <w:rPr>
          <w:rFonts w:hint="eastAsia" w:ascii="宋体" w:hAnsi="宋体" w:cs="宋体"/>
          <w:b/>
          <w:bCs/>
          <w:color w:val="auto"/>
          <w:sz w:val="32"/>
          <w:szCs w:val="32"/>
          <w:highlight w:val="none"/>
        </w:rPr>
        <w:t xml:space="preserve">五、太阳能板</w:t>
      </w:r>
      <w:bookmarkEnd w:id="300"/>
      <w:r/>
      <w:bookmarkEnd w:id="301"/>
      <w:r/>
      <w:bookmarkEnd w:id="302"/>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1、功率：≥150W；太阳能板采用单晶硅太阳能组件。</w:t>
      </w:r>
      <w:r/>
    </w:p>
    <w:p>
      <w:pPr>
        <w:spacing w:line="440" w:lineRule="exact"/>
        <w:rPr>
          <w:rFonts w:ascii="宋体" w:hAnsi="宋体" w:cs="宋体"/>
          <w:b/>
          <w:bCs/>
          <w:color w:val="auto"/>
          <w:sz w:val="32"/>
          <w:szCs w:val="32"/>
          <w:highlight w:val="none"/>
        </w:rPr>
        <w:outlineLvl w:val="1"/>
      </w:pPr>
      <w:r/>
      <w:bookmarkStart w:id="303" w:name="_Toc239671920"/>
      <w:r/>
      <w:bookmarkStart w:id="304" w:name="_Toc11304"/>
      <w:r/>
      <w:bookmarkStart w:id="305" w:name="_Toc12285"/>
      <w:r>
        <w:rPr>
          <w:rFonts w:hint="eastAsia" w:ascii="宋体" w:hAnsi="宋体" w:cs="宋体"/>
          <w:b/>
          <w:bCs/>
          <w:color w:val="auto"/>
          <w:sz w:val="32"/>
          <w:szCs w:val="32"/>
          <w:highlight w:val="none"/>
        </w:rPr>
        <w:t xml:space="preserve">六、充电控制器</w:t>
      </w:r>
      <w:bookmarkEnd w:id="303"/>
      <w:r/>
      <w:bookmarkEnd w:id="304"/>
      <w:r/>
      <w:bookmarkEnd w:id="305"/>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1、铅酸电池12V/24V系统电压自动识别，充电电流10A；具备多阶段PWM充电管理，可设置为开断式充电；内置反接保护，开路保护，高温保护，过流/短路保护，均为自恢复型，双MOS防倒灌电路；</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2、空载损耗：控制器最大自身耗电不得超过其额定充电电流的1%；</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3、数字显示功能：控制器应具有光伏组件、蓄电池电压、电流等数字显示仪表显示系统工作状态功能，具有控制开启/关闭交流负载按键和设置按键，当出现故障时，应能显示相应图标。</w:t>
      </w:r>
      <w:r/>
    </w:p>
    <w:p>
      <w:pPr>
        <w:spacing w:line="440" w:lineRule="exact"/>
        <w:rPr>
          <w:rFonts w:ascii="宋体" w:hAnsi="宋体" w:cs="宋体"/>
          <w:b/>
          <w:bCs/>
          <w:color w:val="auto"/>
          <w:sz w:val="32"/>
          <w:szCs w:val="32"/>
          <w:highlight w:val="none"/>
        </w:rPr>
        <w:outlineLvl w:val="1"/>
      </w:pPr>
      <w:r/>
      <w:bookmarkStart w:id="306" w:name="_Toc239671921"/>
      <w:r/>
      <w:bookmarkStart w:id="307" w:name="_Toc9289"/>
      <w:r/>
      <w:bookmarkStart w:id="308" w:name="_Toc533"/>
      <w:r>
        <w:rPr>
          <w:rFonts w:hint="eastAsia" w:ascii="宋体" w:hAnsi="宋体" w:cs="宋体"/>
          <w:b/>
          <w:bCs/>
          <w:color w:val="auto"/>
          <w:sz w:val="32"/>
          <w:szCs w:val="32"/>
          <w:highlight w:val="none"/>
        </w:rPr>
        <w:t xml:space="preserve">七、设备箱</w:t>
      </w:r>
      <w:bookmarkEnd w:id="306"/>
      <w:r/>
      <w:bookmarkEnd w:id="307"/>
      <w:r/>
      <w:bookmarkEnd w:id="308"/>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1、设备箱尺寸大于等于600mm（长）×300 mm（深）×550 mm（高）；防雨、防虫、散热；开关电源、空开、漏电保护器，喷涂（防锈）处理；设备箱在露天能经受雨水，电气和设备不会因为漏雨水造成短路；箱体进出线口需带防水锁扣，箱体应该有防盗措施；</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2、设备箱相关文字标示应采用激光刻字。“防汛设施  严禁破坏”（红色）；水利图标（蓝色）；“XXX水务局  值班电话：xxxxxx”（黑色）。</w:t>
      </w:r>
      <w:r/>
    </w:p>
    <w:p>
      <w:pPr>
        <w:spacing w:line="440" w:lineRule="exact"/>
        <w:rPr>
          <w:rFonts w:ascii="宋体" w:hAnsi="宋体" w:cs="宋体"/>
          <w:b/>
          <w:bCs/>
          <w:color w:val="auto"/>
          <w:sz w:val="32"/>
          <w:szCs w:val="32"/>
          <w:highlight w:val="none"/>
        </w:rPr>
        <w:outlineLvl w:val="1"/>
      </w:pPr>
      <w:r/>
      <w:bookmarkStart w:id="309" w:name="_Toc18235"/>
      <w:r/>
      <w:bookmarkStart w:id="310" w:name="_Toc22711"/>
      <w:r/>
      <w:bookmarkStart w:id="311" w:name="_Toc239671922"/>
      <w:r>
        <w:rPr>
          <w:rFonts w:hint="eastAsia" w:ascii="宋体" w:hAnsi="宋体" w:cs="宋体"/>
          <w:b/>
          <w:bCs/>
          <w:color w:val="auto"/>
          <w:sz w:val="32"/>
          <w:szCs w:val="32"/>
          <w:highlight w:val="none"/>
        </w:rPr>
        <w:t xml:space="preserve">八、立杆及支架</w:t>
      </w:r>
      <w:bookmarkEnd w:id="309"/>
      <w:r/>
      <w:bookmarkEnd w:id="310"/>
      <w:r/>
      <w:bookmarkEnd w:id="311"/>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1、规格：标配无缝对接3M立杆，避雷针，外径200mm，2mm厚度；材质：热镀锌管；立杆热镀锌层厚度加厚；辅材：连接设备和箱体的辅材如螺丝，螺帽为不锈钢材料，配套电缆、线槽、膨胀螺栓。</w:t>
      </w:r>
      <w:r/>
    </w:p>
    <w:p>
      <w:pPr>
        <w:spacing w:line="440" w:lineRule="exact"/>
        <w:rPr>
          <w:rFonts w:ascii="宋体" w:hAnsi="宋体" w:cs="宋体"/>
          <w:b/>
          <w:bCs/>
          <w:color w:val="auto"/>
          <w:sz w:val="32"/>
          <w:szCs w:val="32"/>
          <w:highlight w:val="none"/>
        </w:rPr>
        <w:outlineLvl w:val="1"/>
      </w:pPr>
      <w:r/>
      <w:bookmarkStart w:id="312" w:name="_Toc239671923"/>
      <w:r/>
      <w:bookmarkStart w:id="313" w:name="_Toc10578"/>
      <w:r/>
      <w:bookmarkStart w:id="314" w:name="_Toc16381"/>
      <w:r>
        <w:rPr>
          <w:rFonts w:hint="eastAsia" w:ascii="宋体" w:hAnsi="宋体" w:cs="宋体"/>
          <w:b/>
          <w:bCs/>
          <w:color w:val="auto"/>
          <w:sz w:val="32"/>
          <w:szCs w:val="32"/>
          <w:highlight w:val="none"/>
        </w:rPr>
        <w:t xml:space="preserve">九、H-ADCP安装支架</w:t>
      </w:r>
      <w:bookmarkEnd w:id="312"/>
      <w:r/>
      <w:bookmarkEnd w:id="313"/>
      <w:r/>
      <w:bookmarkEnd w:id="314"/>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1、可调节H-ADCP的测量位置；横向式ADCP在上下调节时，必须保证左右方向不变；水平倾角误差≤0.5°。</w:t>
      </w:r>
      <w:r/>
    </w:p>
    <w:p>
      <w:pPr>
        <w:jc w:val="center"/>
        <w:spacing w:line="440" w:lineRule="exact"/>
        <w:rPr>
          <w:rFonts w:ascii="宋体" w:hAnsi="宋体" w:cs="宋体"/>
          <w:b/>
          <w:color w:val="auto"/>
          <w:sz w:val="48"/>
          <w:szCs w:val="48"/>
          <w:highlight w:val="none"/>
        </w:rPr>
        <w:outlineLvl w:val="0"/>
      </w:pPr>
      <w:r/>
      <w:bookmarkStart w:id="315" w:name="_Toc4822"/>
      <w:r/>
      <w:bookmarkStart w:id="316" w:name="_Toc239671924"/>
      <w:r/>
      <w:bookmarkStart w:id="317" w:name="_Toc7031"/>
      <w:r>
        <w:rPr>
          <w:rFonts w:hint="eastAsia" w:ascii="宋体" w:hAnsi="宋体" w:cs="宋体"/>
          <w:b/>
          <w:color w:val="auto"/>
          <w:sz w:val="48"/>
          <w:szCs w:val="48"/>
          <w:highlight w:val="none"/>
        </w:rPr>
        <w:t xml:space="preserve">闸门开度监测站</w:t>
      </w:r>
      <w:bookmarkEnd w:id="315"/>
      <w:r/>
      <w:bookmarkEnd w:id="316"/>
      <w:r/>
      <w:bookmarkEnd w:id="317"/>
      <w:r/>
      <w:r/>
    </w:p>
    <w:p>
      <w:pPr>
        <w:spacing w:line="440" w:lineRule="exact"/>
        <w:rPr>
          <w:rFonts w:ascii="宋体" w:hAnsi="宋体" w:cs="宋体"/>
          <w:b/>
          <w:bCs/>
          <w:color w:val="auto"/>
          <w:sz w:val="32"/>
          <w:szCs w:val="32"/>
          <w:highlight w:val="none"/>
        </w:rPr>
        <w:outlineLvl w:val="1"/>
      </w:pPr>
      <w:r/>
      <w:bookmarkStart w:id="318" w:name="_Toc25022"/>
      <w:r/>
      <w:bookmarkStart w:id="319" w:name="_Toc239671925"/>
      <w:r/>
      <w:bookmarkStart w:id="320" w:name="_Toc20536"/>
      <w:r>
        <w:rPr>
          <w:rFonts w:hint="eastAsia" w:ascii="宋体" w:hAnsi="宋体" w:cs="宋体"/>
          <w:b/>
          <w:bCs/>
          <w:color w:val="auto"/>
          <w:sz w:val="32"/>
          <w:szCs w:val="32"/>
          <w:highlight w:val="none"/>
        </w:rPr>
        <w:t xml:space="preserve">一、闸位计</w:t>
      </w:r>
      <w:bookmarkEnd w:id="318"/>
      <w:r/>
      <w:bookmarkEnd w:id="319"/>
      <w:r/>
      <w:bookmarkEnd w:id="320"/>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1、测量范围：0-10m；分辨力：≤0.5cm；测量精度：±2cm或0.2%F•S；</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2、输出码：格雷码10bit或RS485；RS485接口：MODBUS协议或其它；4～20mA模拟量信号输出；</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3、环境温度：-25℃～85℃；相对湿度：＜90%(40℃)；电源电压：12～24VDC。</w:t>
      </w:r>
      <w:r/>
    </w:p>
    <w:p>
      <w:pPr>
        <w:spacing w:line="440" w:lineRule="exact"/>
        <w:rPr>
          <w:rFonts w:ascii="宋体" w:hAnsi="宋体" w:cs="宋体"/>
          <w:b/>
          <w:bCs/>
          <w:color w:val="auto"/>
          <w:sz w:val="32"/>
          <w:szCs w:val="32"/>
          <w:highlight w:val="none"/>
        </w:rPr>
        <w:outlineLvl w:val="1"/>
      </w:pPr>
      <w:r/>
      <w:bookmarkStart w:id="321" w:name="_Toc14940"/>
      <w:r/>
      <w:bookmarkStart w:id="322" w:name="_Toc239671926"/>
      <w:r/>
      <w:bookmarkStart w:id="323" w:name="_Toc21267"/>
      <w:r>
        <w:rPr>
          <w:rFonts w:hint="eastAsia" w:ascii="宋体" w:hAnsi="宋体" w:cs="宋体"/>
          <w:b/>
          <w:bCs/>
          <w:color w:val="auto"/>
          <w:sz w:val="32"/>
          <w:szCs w:val="32"/>
          <w:highlight w:val="none"/>
        </w:rPr>
        <w:t xml:space="preserve">二、遥测终端机</w:t>
      </w:r>
      <w:bookmarkEnd w:id="321"/>
      <w:r/>
      <w:bookmarkEnd w:id="322"/>
      <w:r/>
      <w:bookmarkEnd w:id="323"/>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支持传感器数据：支持雨量计、水位计、量水堰等数据采集、存储、阀值图像抓拍和短信报警及传输等功能；支持潮位、水位、流速、水质、水温、雨量、风速、风向等水文/水资源等异构数据的融合采集、存储、显示、控制、报警及传输；能够解析前端采集数据，具备阈值触发报警功能；</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采集通道可独立工作，某一通道损坏后，其他正常通道仍可正常工作；支持上下限报警：支持超上限和低下限报警，可单设某参数变化加报等；设备支持具有双LoRa采集数据模块；设备丢包率小于万分之一；</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2、支持多种接口：设备需提供RS232接口、RS485接口、雨量计接口、模拟量输入接口、开关量输入接口、开关量输出接口，继电器输出接口、以太网接口；</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3、设备支持4G，以太网通信方式向中心站进行数据传输，成功率不低于95%，准确率不低于95%；3年主流运营商通讯，不少于100M/月；</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4、支持本地存储卡、本地网络、远程客户端数据导出功能；提供不低于8MB的内部存储芯片；支持外部不少于8G存储卡数据存储。</w:t>
      </w:r>
      <w:r/>
    </w:p>
    <w:p>
      <w:pPr>
        <w:spacing w:line="440" w:lineRule="exact"/>
        <w:rPr>
          <w:rFonts w:ascii="宋体" w:hAnsi="宋体" w:cs="宋体"/>
          <w:b/>
          <w:bCs/>
          <w:color w:val="auto"/>
          <w:sz w:val="32"/>
          <w:szCs w:val="32"/>
          <w:highlight w:val="none"/>
        </w:rPr>
        <w:outlineLvl w:val="1"/>
      </w:pPr>
      <w:r/>
      <w:bookmarkStart w:id="324" w:name="_Toc24347"/>
      <w:r/>
      <w:bookmarkStart w:id="325" w:name="_Toc19822"/>
      <w:r/>
      <w:bookmarkStart w:id="326" w:name="_Toc239671927"/>
      <w:r>
        <w:rPr>
          <w:rFonts w:hint="eastAsia" w:ascii="宋体" w:hAnsi="宋体" w:cs="宋体"/>
          <w:b/>
          <w:bCs/>
          <w:color w:val="auto"/>
          <w:sz w:val="32"/>
          <w:szCs w:val="32"/>
          <w:highlight w:val="none"/>
        </w:rPr>
        <w:t xml:space="preserve">三、电源适配器</w:t>
      </w:r>
      <w:bookmarkEnd w:id="324"/>
      <w:r/>
      <w:bookmarkEnd w:id="325"/>
      <w:r/>
      <w:bookmarkEnd w:id="326"/>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1、输出电压(V)：12V；输出稳定度：≤1%；负载调整率：≤1%典型值；输出电压微调范围：±10%；纹波及噪声：≤1%峰值；</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2、过电压保护：110%-140%；过载保护：110%-150%；温度保护：100±5℃；输出回路数：单路输出；工作环境：-30℃~70℃。</w:t>
      </w:r>
      <w:r/>
    </w:p>
    <w:p>
      <w:pPr>
        <w:spacing w:line="440" w:lineRule="exact"/>
        <w:rPr>
          <w:rFonts w:ascii="宋体" w:hAnsi="宋体" w:cs="宋体"/>
          <w:b/>
          <w:bCs/>
          <w:color w:val="auto"/>
          <w:sz w:val="32"/>
          <w:szCs w:val="32"/>
          <w:highlight w:val="none"/>
        </w:rPr>
        <w:outlineLvl w:val="1"/>
      </w:pPr>
      <w:r/>
      <w:bookmarkStart w:id="327" w:name="_Toc21866"/>
      <w:r/>
      <w:bookmarkStart w:id="328" w:name="_Toc13988"/>
      <w:r/>
      <w:bookmarkStart w:id="329" w:name="_Toc239671928"/>
      <w:r>
        <w:rPr>
          <w:rFonts w:hint="eastAsia" w:ascii="宋体" w:hAnsi="宋体" w:cs="宋体"/>
          <w:b/>
          <w:bCs/>
          <w:color w:val="auto"/>
          <w:sz w:val="32"/>
          <w:szCs w:val="32"/>
          <w:highlight w:val="none"/>
        </w:rPr>
        <w:t xml:space="preserve">四、设备箱</w:t>
      </w:r>
      <w:bookmarkEnd w:id="327"/>
      <w:r/>
      <w:bookmarkEnd w:id="328"/>
      <w:r/>
      <w:bookmarkEnd w:id="329"/>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1、设备箱尺寸大于等于380mm（长）×250.50 mm（深）×525 mm（高）；防雨、防虫、散热；开关电源、空开、漏电保护器，喷涂（防锈）处理；设备箱在露天能经受雨水，电气和设备不会因为漏雨水造成短路；箱体进出线口需带防水锁扣，箱体应该有防盗措施；</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2、设备箱相关文字标示应采用激光刻字。“防汛设施  严禁破坏”（红色）；水利图标（蓝色）；“XXX水务局  值班电话：xxxxxx”（黑色）。</w:t>
      </w:r>
      <w:r/>
    </w:p>
    <w:p>
      <w:pPr>
        <w:spacing w:line="440" w:lineRule="exact"/>
        <w:rPr>
          <w:rFonts w:ascii="宋体" w:hAnsi="宋体" w:cs="宋体"/>
          <w:b/>
          <w:bCs/>
          <w:color w:val="auto"/>
          <w:sz w:val="32"/>
          <w:szCs w:val="32"/>
          <w:highlight w:val="none"/>
        </w:rPr>
        <w:outlineLvl w:val="1"/>
      </w:pPr>
      <w:r/>
      <w:bookmarkStart w:id="330" w:name="_Toc26675"/>
      <w:r/>
      <w:bookmarkStart w:id="331" w:name="_Toc239671929"/>
      <w:r/>
      <w:bookmarkStart w:id="332" w:name="_Toc23222"/>
      <w:r>
        <w:rPr>
          <w:rFonts w:hint="eastAsia" w:ascii="宋体" w:hAnsi="宋体" w:cs="宋体"/>
          <w:b/>
          <w:bCs/>
          <w:color w:val="auto"/>
          <w:sz w:val="32"/>
          <w:szCs w:val="32"/>
          <w:highlight w:val="none"/>
        </w:rPr>
        <w:t xml:space="preserve">五、闸位计支架</w:t>
      </w:r>
      <w:bookmarkEnd w:id="330"/>
      <w:r/>
      <w:bookmarkEnd w:id="331"/>
      <w:r/>
      <w:bookmarkEnd w:id="332"/>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1、根据现场启闭机类型进行定制；要求现场同齿轮、闸门开度高度一致。</w:t>
      </w:r>
      <w:r/>
    </w:p>
    <w:p>
      <w:pPr>
        <w:jc w:val="center"/>
        <w:spacing w:line="440" w:lineRule="exact"/>
        <w:rPr>
          <w:rFonts w:ascii="宋体" w:hAnsi="宋体" w:cs="宋体"/>
          <w:b/>
          <w:color w:val="auto"/>
          <w:sz w:val="48"/>
          <w:szCs w:val="48"/>
          <w:highlight w:val="none"/>
        </w:rPr>
        <w:outlineLvl w:val="0"/>
      </w:pPr>
      <w:r/>
      <w:bookmarkStart w:id="333" w:name="_Toc20130"/>
      <w:r/>
      <w:bookmarkStart w:id="334" w:name="_Toc239671930"/>
      <w:r/>
      <w:bookmarkStart w:id="335" w:name="_Toc11219"/>
      <w:r>
        <w:rPr>
          <w:rFonts w:hint="eastAsia" w:ascii="宋体" w:hAnsi="宋体" w:cs="宋体"/>
          <w:b/>
          <w:color w:val="auto"/>
          <w:sz w:val="48"/>
          <w:szCs w:val="48"/>
          <w:highlight w:val="none"/>
        </w:rPr>
        <w:t xml:space="preserve">视频监测站</w:t>
      </w:r>
      <w:bookmarkEnd w:id="333"/>
      <w:r/>
      <w:bookmarkEnd w:id="334"/>
      <w:r/>
      <w:bookmarkEnd w:id="335"/>
      <w:r/>
      <w:r/>
    </w:p>
    <w:p>
      <w:pPr>
        <w:spacing w:line="440" w:lineRule="exact"/>
        <w:rPr>
          <w:rFonts w:ascii="宋体" w:hAnsi="宋体" w:cs="宋体"/>
          <w:b/>
          <w:bCs/>
          <w:color w:val="auto"/>
          <w:sz w:val="32"/>
          <w:szCs w:val="32"/>
          <w:highlight w:val="none"/>
        </w:rPr>
        <w:outlineLvl w:val="1"/>
      </w:pPr>
      <w:r/>
      <w:bookmarkStart w:id="336" w:name="_Toc8685"/>
      <w:r/>
      <w:bookmarkStart w:id="337" w:name="_Toc239671931"/>
      <w:r/>
      <w:bookmarkStart w:id="338" w:name="_Toc2158"/>
      <w:r>
        <w:rPr>
          <w:rFonts w:hint="eastAsia" w:ascii="宋体" w:hAnsi="宋体" w:cs="宋体"/>
          <w:b/>
          <w:bCs/>
          <w:color w:val="auto"/>
          <w:sz w:val="32"/>
          <w:szCs w:val="32"/>
          <w:highlight w:val="none"/>
        </w:rPr>
        <w:t xml:space="preserve">一、高清视频球机</w:t>
      </w:r>
      <w:bookmarkEnd w:id="336"/>
      <w:r/>
      <w:bookmarkEnd w:id="337"/>
      <w:r/>
      <w:bookmarkEnd w:id="338"/>
      <w:r/>
      <w:r/>
    </w:p>
    <w:p>
      <w:pPr>
        <w:ind w:firstLine="482"/>
        <w:jc w:val="left"/>
        <w:spacing w:line="440" w:lineRule="exact"/>
        <w:rPr>
          <w:rFonts w:ascii="宋体" w:hAnsi="宋体" w:cs="宋体"/>
          <w:color w:val="auto"/>
          <w:sz w:val="24"/>
          <w:szCs w:val="24"/>
          <w:highlight w:val="none"/>
        </w:rPr>
      </w:pPr>
      <w:r/>
      <w:bookmarkStart w:id="339" w:name="_Toc27765"/>
      <w:r/>
      <w:bookmarkStart w:id="340" w:name="_Toc27132"/>
      <w:r>
        <w:rPr>
          <w:rFonts w:hint="eastAsia" w:ascii="宋体" w:hAnsi="宋体" w:cs="宋体"/>
          <w:color w:val="auto"/>
          <w:sz w:val="24"/>
          <w:szCs w:val="24"/>
          <w:highlight w:val="none"/>
        </w:rPr>
        <w:t xml:space="preserve">1、全景和细节均采用不低于4</w:t>
      </w:r>
      <w:r>
        <w:rPr>
          <w:rFonts w:ascii="宋体" w:hAnsi="宋体" w:cs="宋体"/>
          <w:color w:val="auto"/>
          <w:sz w:val="24"/>
          <w:szCs w:val="24"/>
          <w:highlight w:val="none"/>
        </w:rPr>
        <w:t xml:space="preserve">00</w:t>
      </w:r>
      <w:r>
        <w:rPr>
          <w:rFonts w:hint="eastAsia" w:ascii="宋体" w:hAnsi="宋体" w:cs="宋体"/>
          <w:color w:val="auto"/>
          <w:sz w:val="24"/>
          <w:szCs w:val="24"/>
          <w:highlight w:val="none"/>
        </w:rPr>
        <w:t xml:space="preserve">万像素CMOS传感器，全景：≥1/1.8英寸CMOS；细节：≥1/2.8英寸CMOS传感器；</w:t>
      </w:r>
      <w:r/>
    </w:p>
    <w:p>
      <w:pPr>
        <w:ind w:firstLine="482"/>
        <w:jc w:val="left"/>
        <w:spacing w:line="440" w:lineRule="exact"/>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全景路</w:t>
      </w:r>
      <w:r>
        <w:rPr>
          <w:rFonts w:hint="eastAsia" w:ascii="宋体" w:hAnsi="宋体" w:cs="宋体"/>
          <w:color w:val="auto"/>
          <w:sz w:val="24"/>
          <w:szCs w:val="24"/>
          <w:highlight w:val="none"/>
        </w:rPr>
        <w:t xml:space="preserve">最低照度：</w:t>
      </w:r>
      <w:r>
        <w:rPr>
          <w:rFonts w:ascii="宋体" w:hAnsi="宋体" w:cs="宋体"/>
          <w:color w:val="auto"/>
          <w:sz w:val="24"/>
          <w:szCs w:val="24"/>
          <w:highlight w:val="none"/>
        </w:rPr>
        <w:t xml:space="preserve">彩色：0.001lux@F1.0</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黑白：0.0001lux @F1.0</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细节路</w:t>
      </w:r>
      <w:r>
        <w:rPr>
          <w:rFonts w:hint="eastAsia" w:ascii="宋体" w:hAnsi="宋体" w:cs="宋体"/>
          <w:color w:val="auto"/>
          <w:sz w:val="24"/>
          <w:szCs w:val="24"/>
          <w:highlight w:val="none"/>
        </w:rPr>
        <w:t xml:space="preserve">最低照度：</w:t>
      </w:r>
      <w:r>
        <w:rPr>
          <w:rFonts w:ascii="宋体" w:hAnsi="宋体" w:cs="宋体"/>
          <w:color w:val="auto"/>
          <w:sz w:val="24"/>
          <w:szCs w:val="24"/>
          <w:highlight w:val="none"/>
        </w:rPr>
        <w:t xml:space="preserve">彩色：0.005lux@F1.3</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黑白：0.0005lux @F1.3  0lux（红外灯开启）</w:t>
      </w:r>
      <w:r>
        <w:rPr>
          <w:rFonts w:hint="eastAsia" w:ascii="宋体" w:hAnsi="宋体" w:cs="宋体"/>
          <w:color w:val="auto"/>
          <w:sz w:val="24"/>
          <w:szCs w:val="24"/>
          <w:highlight w:val="none"/>
        </w:rPr>
        <w:t xml:space="preserve">；</w:t>
      </w:r>
      <w:r/>
    </w:p>
    <w:p>
      <w:pPr>
        <w:ind w:firstLine="482"/>
        <w:jc w:val="left"/>
        <w:spacing w:line="440" w:lineRule="exact"/>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、支持H.265、H.264、MJPEG视频编码格式；</w:t>
      </w:r>
      <w:r/>
    </w:p>
    <w:p>
      <w:pPr>
        <w:ind w:firstLine="482"/>
        <w:jc w:val="left"/>
        <w:spacing w:line="440" w:lineRule="exact"/>
        <w:rPr>
          <w:rFonts w:ascii="宋体" w:hAnsi="宋体" w:cs="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、内置不少于</w:t>
      </w:r>
      <w:r>
        <w:rPr>
          <w:rFonts w:ascii="宋体" w:hAnsi="宋体" w:cs="宋体"/>
          <w:color w:val="auto"/>
          <w:sz w:val="24"/>
          <w:szCs w:val="24"/>
          <w:highlight w:val="none"/>
        </w:rPr>
        <w:t xml:space="preserve">6颗红外和</w:t>
      </w:r>
      <w:r>
        <w:rPr>
          <w:rFonts w:hint="eastAsia" w:ascii="宋体" w:hAnsi="宋体" w:cs="宋体"/>
          <w:color w:val="auto"/>
          <w:sz w:val="24"/>
          <w:szCs w:val="24"/>
          <w:highlight w:val="none"/>
        </w:rPr>
        <w:t xml:space="preserve">不少于</w:t>
      </w:r>
      <w:r>
        <w:rPr>
          <w:rFonts w:ascii="宋体" w:hAnsi="宋体" w:cs="宋体"/>
          <w:color w:val="auto"/>
          <w:sz w:val="24"/>
          <w:szCs w:val="24"/>
          <w:highlight w:val="none"/>
        </w:rPr>
        <w:t xml:space="preserve">7颗白光，可控制补光灯类型并分别控制红外和白光灯亮度，开启白光等</w:t>
      </w:r>
      <w:r>
        <w:rPr>
          <w:rFonts w:hint="eastAsia" w:ascii="宋体" w:hAnsi="宋体" w:cs="宋体"/>
          <w:b/>
          <w:bCs/>
          <w:color w:val="auto"/>
          <w:sz w:val="24"/>
          <w:szCs w:val="24"/>
          <w:highlight w:val="none"/>
        </w:rPr>
        <w:t xml:space="preserve">；</w:t>
      </w:r>
      <w:r/>
    </w:p>
    <w:p>
      <w:pPr>
        <w:ind w:firstLine="482"/>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5、水平方向360°连续旋转，垂直方向-20°～90°自动翻转180°后连续监视，无监视盲区。</w:t>
      </w:r>
      <w:r/>
    </w:p>
    <w:p>
      <w:pPr>
        <w:ind w:firstLine="482"/>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6、支持电子透雾，雾天也能输出清晰、透彻的图像；支持陀螺仪防抖；支持北斗定位功能，精确显示球机经纬度信息；</w:t>
      </w:r>
      <w:r/>
    </w:p>
    <w:p>
      <w:pPr>
        <w:ind w:firstLine="482"/>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支持接入太阳能电池系统、雨量传感器、水位传感器、流速传感器</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支持深休眠模式</w:t>
      </w:r>
      <w:r>
        <w:rPr>
          <w:rFonts w:hint="eastAsia" w:ascii="宋体" w:hAnsi="宋体" w:cs="宋体"/>
          <w:color w:val="auto"/>
          <w:sz w:val="24"/>
          <w:szCs w:val="24"/>
          <w:highlight w:val="none"/>
        </w:rPr>
        <w:t xml:space="preserve">、实时低功耗模式；</w:t>
      </w:r>
      <w:r/>
    </w:p>
    <w:p>
      <w:pPr>
        <w:ind w:firstLine="482"/>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8、支持智能感应雨刷，支持对镜头前盖玻璃进行加热；支持加热除霜除雾；不低于IP67防护等级，TVS6000V防雷、防浪涌和防突波保护；</w:t>
      </w:r>
      <w:r/>
    </w:p>
    <w:p>
      <w:pPr>
        <w:ind w:firstLine="482"/>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9、连续变倍功能，内置定焦和电动变焦镜头，支持32倍变焦；</w:t>
      </w:r>
      <w:r/>
    </w:p>
    <w:p>
      <w:pPr>
        <w:pStyle w:val="833"/>
        <w:ind w:left="0" w:firstLine="482"/>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10、3年主流运营商通讯，有线网络，≥10M带宽；</w:t>
      </w:r>
      <w:r/>
    </w:p>
    <w:p>
      <w:pPr>
        <w:spacing w:line="440" w:lineRule="exact"/>
        <w:rPr>
          <w:rFonts w:ascii="宋体" w:hAnsi="宋体" w:cs="宋体"/>
          <w:b/>
          <w:bCs/>
          <w:color w:val="auto"/>
          <w:sz w:val="32"/>
          <w:szCs w:val="32"/>
          <w:highlight w:val="none"/>
        </w:rPr>
        <w:outlineLvl w:val="1"/>
      </w:pPr>
      <w:r/>
      <w:bookmarkStart w:id="341" w:name="_Toc239671932"/>
      <w:r>
        <w:rPr>
          <w:rFonts w:hint="eastAsia" w:ascii="宋体" w:hAnsi="宋体" w:cs="宋体"/>
          <w:b/>
          <w:bCs/>
          <w:color w:val="auto"/>
          <w:sz w:val="32"/>
          <w:szCs w:val="32"/>
          <w:highlight w:val="none"/>
        </w:rPr>
        <w:t xml:space="preserve">二、硬盘录像机</w:t>
      </w:r>
      <w:bookmarkEnd w:id="341"/>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1、保障视频监控运行，配备硬盘录像机并配备不少于5块8T硬盘，具备分屏功能，可设置若干个区域进行分屏显示。</w:t>
      </w:r>
      <w:r/>
    </w:p>
    <w:p>
      <w:pPr>
        <w:spacing w:line="440" w:lineRule="exact"/>
        <w:rPr>
          <w:rFonts w:ascii="宋体" w:hAnsi="宋体" w:cs="宋体"/>
          <w:b/>
          <w:bCs/>
          <w:color w:val="auto"/>
          <w:sz w:val="32"/>
          <w:szCs w:val="32"/>
          <w:highlight w:val="none"/>
        </w:rPr>
        <w:outlineLvl w:val="1"/>
      </w:pPr>
      <w:r/>
      <w:bookmarkStart w:id="342" w:name="_Toc239671933"/>
      <w:r>
        <w:rPr>
          <w:rFonts w:hint="eastAsia" w:ascii="宋体" w:hAnsi="宋体" w:cs="宋体"/>
          <w:b/>
          <w:bCs/>
          <w:color w:val="auto"/>
          <w:sz w:val="32"/>
          <w:szCs w:val="32"/>
          <w:highlight w:val="none"/>
        </w:rPr>
        <w:t xml:space="preserve">三、防雷设备</w:t>
      </w:r>
      <w:bookmarkEnd w:id="339"/>
      <w:r/>
      <w:bookmarkEnd w:id="340"/>
      <w:r/>
      <w:bookmarkEnd w:id="342"/>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1、采用国标千兆网络二合一导轨式防雷器，电源：SMT-RJ45/E1000-220；采用2.5平方以上多股铜线引下线与接地线相连接，打入地面深度大约在1米；</w:t>
      </w:r>
      <w:r/>
    </w:p>
    <w:p>
      <w:pPr>
        <w:spacing w:line="440" w:lineRule="exact"/>
        <w:rPr>
          <w:rFonts w:ascii="宋体" w:hAnsi="宋体" w:cs="宋体"/>
          <w:b/>
          <w:bCs/>
          <w:color w:val="auto"/>
          <w:sz w:val="32"/>
          <w:szCs w:val="32"/>
          <w:highlight w:val="none"/>
        </w:rPr>
        <w:outlineLvl w:val="1"/>
      </w:pPr>
      <w:r/>
      <w:bookmarkStart w:id="343" w:name="_Toc239671934"/>
      <w:r/>
      <w:bookmarkStart w:id="344" w:name="_Toc27042"/>
      <w:r/>
      <w:bookmarkStart w:id="345" w:name="_Toc30487"/>
      <w:r>
        <w:rPr>
          <w:rFonts w:hint="eastAsia" w:ascii="宋体" w:hAnsi="宋体" w:cs="宋体"/>
          <w:b/>
          <w:bCs/>
          <w:color w:val="auto"/>
          <w:sz w:val="32"/>
          <w:szCs w:val="32"/>
          <w:highlight w:val="none"/>
        </w:rPr>
        <w:t xml:space="preserve">四、电源箱</w:t>
      </w:r>
      <w:bookmarkEnd w:id="343"/>
      <w:r/>
      <w:bookmarkEnd w:id="344"/>
      <w:r/>
      <w:bookmarkEnd w:id="345"/>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1、采用户外不锈钢防水抱箍箱；防水抱箍箱尺寸大于等于 380 毫米（长）x250.50毫米(深)x525毫米(高)；防水抱箍箱箱面上可增加激光刻字。例如："本设备有电严禁破坏"(红色)等字样；</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2、防水抱箍箱安装在立杆支架离地面2,5-3米高度；防水抱箍箱内部走线槽。防雷接地柱1个、5孔接地铜牌1个、空气开关1个，防雷设备1个，插座设备1个。</w:t>
      </w:r>
      <w:r/>
    </w:p>
    <w:p>
      <w:pPr>
        <w:spacing w:line="440" w:lineRule="exact"/>
        <w:rPr>
          <w:rFonts w:ascii="宋体" w:hAnsi="宋体" w:cs="宋体"/>
          <w:b/>
          <w:bCs/>
          <w:color w:val="auto"/>
          <w:sz w:val="32"/>
          <w:szCs w:val="32"/>
          <w:highlight w:val="none"/>
        </w:rPr>
        <w:outlineLvl w:val="1"/>
      </w:pPr>
      <w:r/>
      <w:bookmarkStart w:id="346" w:name="_Toc7791"/>
      <w:r/>
      <w:bookmarkStart w:id="347" w:name="_Toc239671935"/>
      <w:r/>
      <w:bookmarkStart w:id="348" w:name="_Toc12848"/>
      <w:r>
        <w:rPr>
          <w:rFonts w:hint="eastAsia" w:ascii="宋体" w:hAnsi="宋体" w:cs="宋体"/>
          <w:b/>
          <w:bCs/>
          <w:color w:val="auto"/>
          <w:sz w:val="32"/>
          <w:szCs w:val="32"/>
          <w:highlight w:val="none"/>
        </w:rPr>
        <w:t xml:space="preserve">五、立杆支架</w:t>
      </w:r>
      <w:bookmarkEnd w:id="346"/>
      <w:r/>
      <w:bookmarkEnd w:id="347"/>
      <w:r/>
      <w:bookmarkEnd w:id="348"/>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1、采用球机橫臂款立杆支架；规格：管内径 80-100mm,壁厚不小于2mm，露出地面高度不低于3.5米；材质：不锈钢热镀锌钢管，厚度加厚；辅材：采用螺丝，螺帽进行加固固定。</w:t>
      </w:r>
      <w:r/>
    </w:p>
    <w:p>
      <w:pPr>
        <w:pStyle w:val="833"/>
        <w:ind w:left="0" w:firstLine="420"/>
        <w:spacing w:after="0" w:line="440" w:lineRule="exact"/>
        <w:rPr>
          <w:rFonts w:ascii="宋体" w:hAnsi="宋体" w:cs="宋体"/>
          <w:strike/>
          <w:color w:val="auto"/>
          <w:highlight w:val="none"/>
        </w:rPr>
      </w:pPr>
      <w:r>
        <w:rPr>
          <w:rFonts w:hint="eastAsia" w:ascii="宋体" w:hAnsi="宋体" w:cs="宋体"/>
          <w:strike/>
          <w:color w:val="auto"/>
          <w:highlight w:val="none"/>
        </w:rPr>
        <w:t xml:space="preserve">‌</w:t>
      </w:r>
      <w:r/>
    </w:p>
    <w:p>
      <w:pPr>
        <w:jc w:val="center"/>
        <w:spacing w:before="120" w:after="120" w:line="440" w:lineRule="exact"/>
        <w:rPr>
          <w:rFonts w:ascii="宋体" w:hAnsi="宋体" w:cs="宋体"/>
          <w:b/>
          <w:color w:val="auto"/>
          <w:sz w:val="48"/>
          <w:szCs w:val="48"/>
          <w:highlight w:val="none"/>
        </w:rPr>
        <w:outlineLvl w:val="0"/>
      </w:pPr>
      <w:r/>
      <w:bookmarkStart w:id="349" w:name="_Toc239671936"/>
      <w:r/>
      <w:bookmarkStart w:id="350" w:name="_Toc17085"/>
      <w:r/>
      <w:bookmarkStart w:id="351" w:name="_Toc25302"/>
      <w:r>
        <w:rPr>
          <w:rFonts w:hint="eastAsia" w:ascii="宋体" w:hAnsi="宋体" w:cs="宋体"/>
          <w:b/>
          <w:color w:val="auto"/>
          <w:sz w:val="48"/>
          <w:szCs w:val="48"/>
          <w:highlight w:val="none"/>
        </w:rPr>
        <w:t xml:space="preserve">鸟类生物多样性监测站</w:t>
      </w:r>
      <w:bookmarkEnd w:id="349"/>
      <w:r/>
      <w:bookmarkEnd w:id="350"/>
      <w:r/>
      <w:bookmarkEnd w:id="351"/>
      <w:r/>
      <w:r/>
    </w:p>
    <w:p>
      <w:pPr>
        <w:pStyle w:val="914"/>
        <w:ind w:left="660" w:hanging="660"/>
        <w:spacing w:line="440" w:lineRule="exact"/>
        <w:rPr>
          <w:rFonts w:ascii="宋体" w:hAnsi="宋体" w:cs="宋体"/>
          <w:b/>
          <w:bCs/>
          <w:color w:val="auto"/>
          <w:sz w:val="32"/>
          <w:szCs w:val="32"/>
          <w:highlight w:val="none"/>
        </w:rPr>
        <w:outlineLvl w:val="1"/>
      </w:pPr>
      <w:r/>
      <w:bookmarkStart w:id="352" w:name="_Toc13288"/>
      <w:r/>
      <w:bookmarkStart w:id="353" w:name="_Toc239671937"/>
      <w:r/>
      <w:bookmarkStart w:id="354" w:name="_Toc13533"/>
      <w:r/>
      <w:bookmarkStart w:id="355" w:name="_Toc4676"/>
      <w:r>
        <w:rPr>
          <w:rFonts w:ascii="宋体" w:hAnsi="宋体" w:cs="宋体"/>
          <w:b/>
          <w:bCs/>
          <w:color w:val="auto"/>
          <w:sz w:val="32"/>
          <w:szCs w:val="32"/>
          <w:highlight w:val="none"/>
        </w:rPr>
        <w:t xml:space="preserve">一、</w:t>
      </w:r>
      <w:r>
        <w:rPr>
          <w:rFonts w:hint="eastAsia" w:ascii="宋体" w:hAnsi="宋体" w:cs="宋体"/>
          <w:b/>
          <w:bCs/>
          <w:color w:val="auto"/>
          <w:sz w:val="32"/>
          <w:szCs w:val="32"/>
          <w:highlight w:val="none"/>
        </w:rPr>
        <w:t xml:space="preserve">鸟类智能识别探头</w:t>
      </w:r>
      <w:bookmarkEnd w:id="352"/>
      <w:r/>
      <w:bookmarkEnd w:id="353"/>
      <w:r/>
      <w:bookmarkEnd w:id="354"/>
      <w:r/>
      <w:bookmarkEnd w:id="355"/>
      <w:r/>
      <w:r/>
    </w:p>
    <w:p>
      <w:pPr>
        <w:ind w:firstLine="480"/>
        <w:jc w:val="left"/>
        <w:spacing w:line="440" w:lineRule="exact"/>
        <w:rPr>
          <w:rFonts w:ascii="宋体" w:hAnsi="宋体" w:cs="宋体"/>
          <w:color w:val="auto"/>
          <w:sz w:val="24"/>
          <w:szCs w:val="24"/>
          <w:highlight w:val="none"/>
        </w:rPr>
      </w:pPr>
      <w:r/>
      <w:bookmarkStart w:id="356" w:name="_Toc5017"/>
      <w:r>
        <w:rPr>
          <w:rFonts w:hint="eastAsia" w:ascii="宋体" w:hAnsi="宋体" w:cs="宋体"/>
          <w:color w:val="auto"/>
          <w:sz w:val="24"/>
          <w:szCs w:val="24"/>
          <w:highlight w:val="none"/>
        </w:rPr>
        <w:t xml:space="preserve">1、采用不低于800万像素、不低于1/1.8英寸CMOS 传感器, 最大分辨率不低于3840×2160内置GPU芯片，不低于40倍光学变倍；</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2、最低照度满足：彩色≤0.0002Lux，黑白≤0.0001Lux；</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3、内置250米红外灯补光，采用倍率与红外灯功率匹配算法；</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4、支持H.265、H.264、MJPEG视频编码格式；</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5、水平方向360°连续旋转，垂直方向-30°～90°自动翻转180°后连续监视,无监视盲区；具有偏移自动校正功能；</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6、支持1路音频输入和1路音频输出，内置2路报警输入和1路报警输出，支持报警联动功能；</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7、不低于IP67防护等级，6000V防雷、防浪涌和防突波保护；</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8、3年主流运营商通讯，有线网络，≥100M带宽。</w:t>
      </w:r>
      <w:r/>
    </w:p>
    <w:p>
      <w:pPr>
        <w:pStyle w:val="914"/>
        <w:ind w:left="660" w:hanging="660"/>
        <w:spacing w:line="440" w:lineRule="exact"/>
        <w:rPr>
          <w:rFonts w:ascii="宋体" w:hAnsi="宋体" w:cs="宋体"/>
          <w:b/>
          <w:bCs/>
          <w:color w:val="auto"/>
          <w:sz w:val="32"/>
          <w:szCs w:val="32"/>
          <w:highlight w:val="none"/>
        </w:rPr>
        <w:outlineLvl w:val="1"/>
      </w:pPr>
      <w:r/>
      <w:bookmarkStart w:id="357" w:name="_Toc239671938"/>
      <w:r>
        <w:rPr>
          <w:rFonts w:hint="eastAsia" w:ascii="宋体" w:hAnsi="宋体" w:cs="宋体"/>
          <w:b/>
          <w:bCs/>
          <w:color w:val="auto"/>
          <w:sz w:val="32"/>
          <w:szCs w:val="32"/>
          <w:highlight w:val="none"/>
        </w:rPr>
        <w:t xml:space="preserve">二、鸟类鸣声监测设备</w:t>
      </w:r>
      <w:bookmarkEnd w:id="356"/>
      <w:r/>
      <w:bookmarkEnd w:id="357"/>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拾音距离：支持采集直径100米范围内的鸟类声音信号；采集方式：支持自动采集周边环境声音；支持自动切片采集；支持有效鸟声支持自动降噪功能；支持的采样率(Hz)：32K、48K、96K、192K等；传声器灵敏度：≥-20dB (0dB=1V/pa@1kHz)；信噪比：≤70dB（A型加权网络）；动态量程：0dB增益时30dB - 100dB SPL；指向能力：全向；智能识别：支持智能识别500种鸟类鸣声；</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2、供电方式：支持太阳能供电持续续航、支持市电供电；</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3、数据管理：支持云端存储在线查询数据，支持远程设备管理。</w:t>
      </w:r>
      <w:r/>
    </w:p>
    <w:p>
      <w:pPr>
        <w:spacing w:line="440" w:lineRule="exact"/>
        <w:rPr>
          <w:rFonts w:ascii="宋体" w:hAnsi="宋体" w:cs="宋体"/>
          <w:b/>
          <w:bCs/>
          <w:color w:val="auto"/>
          <w:sz w:val="32"/>
          <w:szCs w:val="32"/>
          <w:highlight w:val="none"/>
        </w:rPr>
        <w:outlineLvl w:val="1"/>
      </w:pPr>
      <w:r/>
      <w:bookmarkStart w:id="358" w:name="_Toc239671939"/>
      <w:r/>
      <w:bookmarkStart w:id="359" w:name="_Toc19017"/>
      <w:r/>
      <w:bookmarkStart w:id="360" w:name="_Toc9493"/>
      <w:r/>
      <w:bookmarkStart w:id="361" w:name="_Toc12958"/>
      <w:r>
        <w:rPr>
          <w:rFonts w:hint="eastAsia" w:ascii="宋体" w:hAnsi="宋体" w:cs="宋体"/>
          <w:b/>
          <w:bCs/>
          <w:color w:val="auto"/>
          <w:sz w:val="32"/>
          <w:szCs w:val="32"/>
          <w:highlight w:val="none"/>
        </w:rPr>
        <w:t xml:space="preserve">三、可移动望远镜</w:t>
      </w:r>
      <w:bookmarkEnd w:id="358"/>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1、放大倍率：不低于20倍；出瞳距离：18mm；防水防雾：户外防水；最近对焦距离：6m；光学脚架：最小高度不小于250mm。</w:t>
      </w:r>
      <w:r/>
    </w:p>
    <w:p>
      <w:pPr>
        <w:spacing w:line="440" w:lineRule="exact"/>
        <w:rPr>
          <w:rFonts w:ascii="宋体" w:hAnsi="宋体" w:cs="宋体"/>
          <w:b/>
          <w:bCs/>
          <w:color w:val="auto"/>
          <w:sz w:val="32"/>
          <w:szCs w:val="32"/>
          <w:highlight w:val="none"/>
        </w:rPr>
        <w:outlineLvl w:val="1"/>
      </w:pPr>
      <w:r/>
      <w:bookmarkStart w:id="362" w:name="_Toc239671940"/>
      <w:r>
        <w:rPr>
          <w:rFonts w:hint="eastAsia" w:ascii="宋体" w:hAnsi="宋体" w:cs="宋体"/>
          <w:b/>
          <w:bCs/>
          <w:color w:val="auto"/>
          <w:sz w:val="32"/>
          <w:szCs w:val="32"/>
          <w:highlight w:val="none"/>
        </w:rPr>
        <w:t xml:space="preserve">四、控制终端</w:t>
      </w:r>
      <w:bookmarkEnd w:id="362"/>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1、处理器：4Core x86_64架构；图形运行单元：32 EU执行单元；运算单元：单卡结构 4TOPS 算力；视频编码：最大支持H.265/H.264 4K@30fps；视频解码：最大支持H.265/H.264 4K@60fps；IoT套件：支持远程运维、私有网络、定时任务、远程调度、消息下发。</w:t>
      </w:r>
      <w:bookmarkEnd w:id="359"/>
      <w:bookmarkEnd w:id="360"/>
      <w:bookmarkEnd w:id="361"/>
      <w:r/>
    </w:p>
    <w:p>
      <w:pPr>
        <w:spacing w:line="440" w:lineRule="exact"/>
        <w:rPr>
          <w:rFonts w:ascii="宋体" w:hAnsi="宋体" w:cs="宋体"/>
          <w:b/>
          <w:bCs/>
          <w:color w:val="auto"/>
          <w:sz w:val="32"/>
          <w:szCs w:val="32"/>
          <w:highlight w:val="none"/>
        </w:rPr>
        <w:outlineLvl w:val="1"/>
      </w:pPr>
      <w:r/>
      <w:bookmarkStart w:id="363" w:name="_Toc2237"/>
      <w:r/>
      <w:bookmarkStart w:id="364" w:name="_Toc239671941"/>
      <w:r/>
      <w:bookmarkStart w:id="365" w:name="_Toc29594"/>
      <w:r>
        <w:rPr>
          <w:rFonts w:hint="eastAsia" w:ascii="宋体" w:hAnsi="宋体" w:cs="宋体"/>
          <w:b/>
          <w:bCs/>
          <w:color w:val="auto"/>
          <w:sz w:val="32"/>
          <w:szCs w:val="32"/>
          <w:highlight w:val="none"/>
        </w:rPr>
        <w:t xml:space="preserve">五、无人机</w:t>
      </w:r>
      <w:bookmarkEnd w:id="363"/>
      <w:r/>
      <w:bookmarkEnd w:id="364"/>
      <w:r/>
      <w:bookmarkEnd w:id="365"/>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1、最大上升速度：10 米/秒（运动挡）、6 米/秒（普通挡）、6 米/秒（平稳挡）；最大下降速度：10 米/秒（运动挡）6 米/秒（普通挡）6 米/秒（平稳挡）；最长飞行时间：≥51 分钟；最长悬停时间：≥45 分钟；最大续航里程：≥41 公里；最大抗风速度：≥12 米/秒；</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2、卫星导航系统：GPS+Galileo+BeiDou；感知系统类型：支持全向双目视觉系统，辅以机身前视激光雷达和底部红外传感器；</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3、三维红外传感系统：前视激光雷达；测距范围：夜间 0.5 米至 25 米（反射率大于 10% ）；</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视角（FOV）：上下 60°，左右 60°；下视红外测距传感器；测距范围：0.3 米至 8 米（反射率大于 10% ）；视角（FOV）：前后 60°，左右 60°;</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4、图</w:t>
      </w:r>
      <w:r>
        <w:rPr>
          <w:rFonts w:ascii="宋体" w:hAnsi="宋体" w:cs="宋体"/>
          <w:color w:val="auto"/>
          <w:sz w:val="24"/>
          <w:szCs w:val="24"/>
          <w:highlight w:val="none"/>
        </w:rPr>
        <w:t xml:space="preserve">传最大信号有效距离（无干扰、无遮挡</w:t>
      </w:r>
      <w:r>
        <w:rPr>
          <w:rFonts w:hint="eastAsia" w:ascii="宋体" w:hAnsi="宋体" w:cs="宋体"/>
          <w:color w:val="auto"/>
          <w:sz w:val="24"/>
          <w:szCs w:val="24"/>
          <w:highlight w:val="none"/>
        </w:rPr>
        <w:t xml:space="preserve">）；F</w:t>
      </w:r>
      <w:r>
        <w:rPr>
          <w:rFonts w:ascii="宋体" w:hAnsi="宋体" w:cs="宋体"/>
          <w:color w:val="auto"/>
          <w:sz w:val="24"/>
          <w:szCs w:val="24"/>
          <w:highlight w:val="none"/>
        </w:rPr>
        <w:t xml:space="preserve">CC</w:t>
      </w:r>
      <w:r>
        <w:rPr>
          <w:rFonts w:hint="eastAsia" w:ascii="宋体" w:hAnsi="宋体" w:cs="宋体"/>
          <w:color w:val="auto"/>
          <w:sz w:val="24"/>
          <w:szCs w:val="24"/>
          <w:highlight w:val="none"/>
        </w:rPr>
        <w:t xml:space="preserve">≥30</w:t>
      </w:r>
      <w:r>
        <w:rPr>
          <w:rFonts w:ascii="宋体" w:hAnsi="宋体" w:cs="宋体"/>
          <w:color w:val="auto"/>
          <w:sz w:val="24"/>
          <w:szCs w:val="24"/>
          <w:highlight w:val="none"/>
        </w:rPr>
        <w:t xml:space="preserve">公里；CE</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15 公里</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SRRC</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 15 公里；MIC</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15 公里</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配备增强图传</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可借助4G网络实现稳定图传</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5、最大下载速率：图传：不低于10MB/S；Wi-Fi6：不低于80MB/S;</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6、主相机：具</w:t>
      </w:r>
      <w:r>
        <w:rPr>
          <w:rFonts w:ascii="宋体" w:hAnsi="宋体" w:cs="宋体"/>
          <w:color w:val="auto"/>
          <w:sz w:val="24"/>
          <w:szCs w:val="24"/>
          <w:highlight w:val="none"/>
        </w:rPr>
        <w:t xml:space="preserve">备</w:t>
      </w:r>
      <w:r>
        <w:rPr>
          <w:rFonts w:hint="eastAsia" w:ascii="宋体" w:hAnsi="宋体" w:cs="宋体"/>
          <w:color w:val="auto"/>
          <w:sz w:val="24"/>
          <w:szCs w:val="24"/>
          <w:highlight w:val="none"/>
        </w:rPr>
        <w:t xml:space="preserve">不低于</w:t>
      </w:r>
      <w:r>
        <w:rPr>
          <w:rFonts w:ascii="宋体" w:hAnsi="宋体" w:cs="宋体"/>
          <w:color w:val="auto"/>
          <w:sz w:val="24"/>
          <w:szCs w:val="24"/>
          <w:highlight w:val="none"/>
        </w:rPr>
        <w:t xml:space="preserve">4/3英寸CMOS,有效像素不低于1亿；中长焦相机：</w:t>
      </w:r>
      <w:r>
        <w:rPr>
          <w:rFonts w:hint="eastAsia" w:ascii="宋体" w:hAnsi="宋体" w:cs="宋体"/>
          <w:color w:val="auto"/>
          <w:sz w:val="24"/>
          <w:szCs w:val="24"/>
          <w:highlight w:val="none"/>
        </w:rPr>
        <w:t xml:space="preserve">不低于</w:t>
      </w:r>
      <w:r>
        <w:rPr>
          <w:rFonts w:ascii="宋体" w:hAnsi="宋体" w:cs="宋体"/>
          <w:color w:val="auto"/>
          <w:sz w:val="24"/>
          <w:szCs w:val="24"/>
          <w:highlight w:val="none"/>
        </w:rPr>
        <w:t xml:space="preserve">1/1.3英寸CMOS, 有效像素</w:t>
      </w:r>
      <w:r>
        <w:rPr>
          <w:rFonts w:hint="eastAsia" w:ascii="宋体" w:hAnsi="宋体" w:cs="宋体"/>
          <w:color w:val="auto"/>
          <w:sz w:val="24"/>
          <w:szCs w:val="24"/>
          <w:highlight w:val="none"/>
        </w:rPr>
        <w:t xml:space="preserve">不低于</w:t>
      </w:r>
      <w:r>
        <w:rPr>
          <w:rFonts w:ascii="宋体" w:hAnsi="宋体" w:cs="宋体"/>
          <w:color w:val="auto"/>
          <w:sz w:val="24"/>
          <w:szCs w:val="24"/>
          <w:highlight w:val="none"/>
        </w:rPr>
        <w:t xml:space="preserve">4800万，长焦相机：</w:t>
      </w:r>
      <w:r>
        <w:rPr>
          <w:rFonts w:hint="eastAsia" w:ascii="宋体" w:hAnsi="宋体" w:cs="宋体"/>
          <w:color w:val="auto"/>
          <w:sz w:val="24"/>
          <w:szCs w:val="24"/>
          <w:highlight w:val="none"/>
        </w:rPr>
        <w:t xml:space="preserve">不低于</w:t>
      </w:r>
      <w:r>
        <w:rPr>
          <w:rFonts w:ascii="宋体" w:hAnsi="宋体" w:cs="宋体"/>
          <w:color w:val="auto"/>
          <w:sz w:val="24"/>
          <w:szCs w:val="24"/>
          <w:highlight w:val="none"/>
        </w:rPr>
        <w:t xml:space="preserve">1/1.5英寸CMOS,有效像素</w:t>
      </w:r>
      <w:r>
        <w:rPr>
          <w:rFonts w:hint="eastAsia" w:ascii="宋体" w:hAnsi="宋体" w:cs="宋体"/>
          <w:color w:val="auto"/>
          <w:sz w:val="24"/>
          <w:szCs w:val="24"/>
          <w:highlight w:val="none"/>
        </w:rPr>
        <w:t xml:space="preserve">不低于</w:t>
      </w:r>
      <w:r>
        <w:rPr>
          <w:rFonts w:ascii="宋体" w:hAnsi="宋体" w:cs="宋体"/>
          <w:color w:val="auto"/>
          <w:sz w:val="24"/>
          <w:szCs w:val="24"/>
          <w:highlight w:val="none"/>
        </w:rPr>
        <w:t xml:space="preserve">5000万</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配备三轴机械云台（俯仰</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横滚</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偏航）</w:t>
      </w:r>
      <w:r>
        <w:rPr>
          <w:rFonts w:hint="eastAsia" w:ascii="宋体" w:hAnsi="宋体" w:cs="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7、无人机符合《民用无人驾驶航空器系统运行识别规范》(GB 46750-2025)及《民用无人驾驶航空器实名登记和激活要求》(GB 46761-2025)相关国家标准；</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无人机遥控器可实现≥20公里高清低延时图像传输，配备≥5.5英寸显示屏以及≥32GB机载内存；无人机适配原装电池，容量≥6000毫安，数量*3；充电器功率≥100W；电池充电设备，支持三块电池并充；高速存储卡512GB；专用收纳包。</w:t>
      </w:r>
      <w:r/>
    </w:p>
    <w:p>
      <w:pPr>
        <w:spacing w:line="440" w:lineRule="exact"/>
        <w:rPr>
          <w:rFonts w:ascii="宋体" w:hAnsi="宋体" w:cs="宋体"/>
          <w:b/>
          <w:bCs/>
          <w:color w:val="auto"/>
          <w:sz w:val="32"/>
          <w:szCs w:val="32"/>
          <w:highlight w:val="none"/>
        </w:rPr>
        <w:outlineLvl w:val="1"/>
      </w:pPr>
      <w:r/>
      <w:bookmarkStart w:id="366" w:name="_Toc239671942"/>
      <w:r>
        <w:rPr>
          <w:rFonts w:hint="eastAsia" w:ascii="宋体" w:hAnsi="宋体" w:cs="宋体"/>
          <w:b/>
          <w:bCs/>
          <w:color w:val="auto"/>
          <w:sz w:val="32"/>
          <w:szCs w:val="32"/>
          <w:highlight w:val="none"/>
        </w:rPr>
        <w:t xml:space="preserve">六、鸟类监测站房（甲供）配套设施</w:t>
      </w:r>
      <w:bookmarkEnd w:id="366"/>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1、视频监控传输满足GB/T28181的相关要求，便于接入常熟生态环境局监测站的相关平台，并且具备录像存储功能。</w:t>
      </w:r>
      <w:r/>
    </w:p>
    <w:p>
      <w:pPr>
        <w:jc w:val="center"/>
        <w:spacing w:before="120" w:after="120" w:line="440" w:lineRule="exact"/>
        <w:rPr>
          <w:rFonts w:ascii="宋体" w:hAnsi="宋体" w:cs="宋体"/>
          <w:b/>
          <w:color w:val="auto"/>
          <w:sz w:val="48"/>
          <w:szCs w:val="48"/>
          <w:highlight w:val="none"/>
        </w:rPr>
        <w:outlineLvl w:val="0"/>
      </w:pPr>
      <w:r/>
      <w:bookmarkStart w:id="367" w:name="_Toc31631"/>
      <w:r/>
      <w:bookmarkStart w:id="368" w:name="_Toc28262"/>
      <w:r/>
      <w:bookmarkStart w:id="369" w:name="_Toc239671943"/>
      <w:r>
        <w:rPr>
          <w:rFonts w:hint="eastAsia" w:ascii="宋体" w:hAnsi="宋体" w:cs="宋体"/>
          <w:b/>
          <w:color w:val="auto"/>
          <w:sz w:val="48"/>
          <w:szCs w:val="48"/>
          <w:highlight w:val="none"/>
        </w:rPr>
        <w:t xml:space="preserve">无人机及机场</w:t>
      </w:r>
      <w:bookmarkEnd w:id="367"/>
      <w:r/>
      <w:bookmarkEnd w:id="368"/>
      <w:r/>
      <w:bookmarkEnd w:id="369"/>
      <w:r/>
      <w:r/>
    </w:p>
    <w:p>
      <w:pPr>
        <w:numPr>
          <w:ilvl w:val="0"/>
          <w:numId w:val="6"/>
        </w:numPr>
        <w:spacing w:line="440" w:lineRule="exact"/>
        <w:rPr>
          <w:rFonts w:ascii="宋体" w:hAnsi="宋体" w:cs="宋体"/>
          <w:b/>
          <w:bCs/>
          <w:color w:val="auto"/>
          <w:sz w:val="32"/>
          <w:szCs w:val="32"/>
          <w:highlight w:val="none"/>
        </w:rPr>
        <w:outlineLvl w:val="1"/>
      </w:pPr>
      <w:r/>
      <w:bookmarkStart w:id="370" w:name="_Toc11704"/>
      <w:r/>
      <w:bookmarkStart w:id="371" w:name="_Toc239671944"/>
      <w:r/>
      <w:bookmarkStart w:id="372" w:name="_Toc2453"/>
      <w:r>
        <w:rPr>
          <w:rFonts w:hint="eastAsia" w:ascii="宋体" w:hAnsi="宋体" w:cs="宋体"/>
          <w:b/>
          <w:bCs/>
          <w:color w:val="auto"/>
          <w:sz w:val="32"/>
          <w:szCs w:val="32"/>
          <w:highlight w:val="none"/>
        </w:rPr>
        <w:t xml:space="preserve">无人机场</w:t>
      </w:r>
      <w:bookmarkEnd w:id="370"/>
      <w:r/>
      <w:bookmarkEnd w:id="371"/>
      <w:r/>
      <w:bookmarkEnd w:id="372"/>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1、整机重量≤55kg；外形参考尺寸：长650毫米，宽750毫米，高800毫米；内置风速传感器、雨量传感器、温度传感器、水浸传感器、舱内温度传感器、舱内湿度传感器；</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2、备用电池续航不少于4小时；</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3、设备最大允许降落风速不小于6级；</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4、支持使用手机APP对机场进行部署、调试；</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5、3年主流运营商通讯，有线网络，≥20M带宽。</w:t>
      </w:r>
      <w:r/>
    </w:p>
    <w:p>
      <w:pPr>
        <w:numPr>
          <w:ilvl w:val="0"/>
          <w:numId w:val="6"/>
        </w:numPr>
        <w:spacing w:line="440" w:lineRule="exact"/>
        <w:rPr>
          <w:rFonts w:ascii="宋体" w:hAnsi="宋体" w:cs="宋体"/>
          <w:b/>
          <w:bCs/>
          <w:color w:val="auto"/>
          <w:sz w:val="32"/>
          <w:szCs w:val="32"/>
          <w:highlight w:val="none"/>
        </w:rPr>
        <w:outlineLvl w:val="1"/>
      </w:pPr>
      <w:r/>
      <w:bookmarkStart w:id="373" w:name="_Toc239671945"/>
      <w:r/>
      <w:bookmarkStart w:id="374" w:name="_Toc12083"/>
      <w:r/>
      <w:bookmarkStart w:id="375" w:name="_Toc16486"/>
      <w:r>
        <w:rPr>
          <w:rFonts w:hint="eastAsia" w:ascii="宋体" w:hAnsi="宋体" w:cs="宋体"/>
          <w:b/>
          <w:bCs/>
          <w:color w:val="auto"/>
          <w:sz w:val="32"/>
          <w:szCs w:val="32"/>
          <w:highlight w:val="none"/>
        </w:rPr>
        <w:t xml:space="preserve">无人机</w:t>
      </w:r>
      <w:bookmarkEnd w:id="373"/>
      <w:r/>
      <w:bookmarkEnd w:id="374"/>
      <w:r/>
      <w:bookmarkEnd w:id="375"/>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1、对角线轴距≤500mm；防护等级≥IP55；RTK：集成在无人机上；</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2、最大信号有效距离（无干扰、无遮挡）≥25km；最长飞行时间≥54分钟；最大可抗风速≥12m/s；</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3、支持全向双目视觉避障系统，下方具备三维红外传感器，能够在探测到障碍物时在App上进行提醒，并自动减速刹车或绕行；</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4、GNSS定位悬停精度：垂直≤0.5m，水平≤0.5m；RTK定位悬停精度：垂直≤0.1m，水平≤0.1m；视觉定位悬停精度：绝对值垂直≤0.1m，水平≤0.3m；</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具备广角相机，有效像素不低于4800万；具备中长焦相机，相机CMOS不低于1/1.3英寸，像素数不低于4800万；具备长焦相机，相机CMOS不低于1/1.5英寸、像素数不低于4800万；可见光相机变焦倍数不低于112倍；红外传感器分辨率≥640*512，超分模式≥1280*1024；</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具备三轴机械增稳云台（俯仰、横滚、平移）；支持航点、正射、倾斜、航带、仿地等多种航线作业类型；能够接收民航客机的ADS-B广播信息，并能过地面端软件向用户发出附近民航客机预警信息；地面站显示器应采用触摸屏，屏幕显示分辨率≥1920*1080p；</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7、支持全彩夜视、黑白夜视；支持同时挂载喊话器和探照灯；</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8、无人机符合《民用无人驾驶航空器系统运行识别规范》(GB 46750-2025)及《民用无人驾驶航空器实名登记和激活要求》(GB 46761-2025)相关国家标准。</w:t>
      </w:r>
      <w:r/>
    </w:p>
    <w:p>
      <w:pPr>
        <w:numPr>
          <w:ilvl w:val="0"/>
          <w:numId w:val="6"/>
        </w:numPr>
        <w:spacing w:line="440" w:lineRule="exact"/>
        <w:rPr>
          <w:rFonts w:ascii="宋体" w:hAnsi="宋体" w:cs="宋体"/>
          <w:b/>
          <w:bCs/>
          <w:color w:val="auto"/>
          <w:sz w:val="32"/>
          <w:szCs w:val="32"/>
          <w:highlight w:val="none"/>
        </w:rPr>
        <w:outlineLvl w:val="1"/>
      </w:pPr>
      <w:r/>
      <w:bookmarkStart w:id="376" w:name="_Toc239671946"/>
      <w:r/>
      <w:bookmarkStart w:id="377" w:name="_Toc29363"/>
      <w:r/>
      <w:bookmarkStart w:id="378" w:name="_Toc11169"/>
      <w:r>
        <w:rPr>
          <w:rFonts w:hint="eastAsia" w:ascii="宋体" w:hAnsi="宋体" w:cs="宋体"/>
          <w:b/>
          <w:bCs/>
          <w:color w:val="auto"/>
          <w:sz w:val="32"/>
          <w:szCs w:val="32"/>
          <w:highlight w:val="none"/>
        </w:rPr>
        <w:t xml:space="preserve">遥控器</w:t>
      </w:r>
      <w:bookmarkEnd w:id="376"/>
      <w:r/>
      <w:bookmarkEnd w:id="377"/>
      <w:r/>
      <w:bookmarkEnd w:id="378"/>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1、OcuSync：工作频率：2.4000-2.4835GHz；5.150-5.250GHz；5.725-5.850 GHz；</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2、Wi-Fi：协议：802.11 a/b/g/n/ac/ax；工作频率：2.4000-2.4835 GHz；5.150-5.250 GHz；5.725-5.850 GHz；</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3、蓝牙：蓝牙5.2，工作频率：2.4000-2.4835 GHz；</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4、通用：内置电池：锂离子电池（6500 毫安时 @7.2伏）；额定功耗：12.5瓦；GNSS：GPS+Galileo+BeiDou；视频输出接口：HDMI A 型；工作环境温度：-20℃至50℃；存放环境温度：-30℃至45℃（一个月内）；充电环境温度：5℃至40℃。</w:t>
      </w:r>
      <w:r/>
    </w:p>
    <w:p>
      <w:pPr>
        <w:numPr>
          <w:ilvl w:val="0"/>
          <w:numId w:val="6"/>
        </w:numPr>
        <w:spacing w:line="440" w:lineRule="exact"/>
        <w:rPr>
          <w:rFonts w:ascii="宋体" w:hAnsi="宋体" w:cs="宋体"/>
          <w:b/>
          <w:bCs/>
          <w:color w:val="auto"/>
          <w:sz w:val="32"/>
          <w:szCs w:val="32"/>
          <w:highlight w:val="none"/>
        </w:rPr>
        <w:outlineLvl w:val="1"/>
      </w:pPr>
      <w:r/>
      <w:bookmarkStart w:id="379" w:name="_Toc143"/>
      <w:r/>
      <w:bookmarkStart w:id="380" w:name="_Toc239671947"/>
      <w:r/>
      <w:bookmarkStart w:id="381" w:name="_Toc24791"/>
      <w:r>
        <w:rPr>
          <w:rFonts w:hint="eastAsia" w:ascii="宋体" w:hAnsi="宋体" w:cs="宋体"/>
          <w:b/>
          <w:bCs/>
          <w:color w:val="auto"/>
          <w:sz w:val="32"/>
          <w:szCs w:val="32"/>
          <w:highlight w:val="none"/>
        </w:rPr>
        <w:t xml:space="preserve">图传模块</w:t>
      </w:r>
      <w:bookmarkEnd w:id="379"/>
      <w:r/>
      <w:bookmarkEnd w:id="380"/>
      <w:r/>
      <w:bookmarkEnd w:id="381"/>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1、在原有图传的基础上，与4G网络共同协作，如原有图传信号受遮挡或干扰，用户仍可借助4G网络操控无人机，降低断开连接的几率。支持接入4G网络。</w:t>
      </w:r>
      <w:r/>
    </w:p>
    <w:p>
      <w:pPr>
        <w:numPr>
          <w:ilvl w:val="0"/>
          <w:numId w:val="6"/>
        </w:numPr>
        <w:spacing w:line="440" w:lineRule="exact"/>
        <w:rPr>
          <w:rFonts w:ascii="宋体" w:hAnsi="宋体" w:cs="宋体"/>
          <w:b/>
          <w:bCs/>
          <w:color w:val="auto"/>
          <w:sz w:val="32"/>
          <w:szCs w:val="32"/>
          <w:highlight w:val="none"/>
        </w:rPr>
        <w:outlineLvl w:val="1"/>
      </w:pPr>
      <w:r/>
      <w:bookmarkStart w:id="382" w:name="_Toc11121"/>
      <w:r/>
      <w:bookmarkStart w:id="383" w:name="_Toc239671948"/>
      <w:r/>
      <w:bookmarkStart w:id="384" w:name="_Toc31894"/>
      <w:r>
        <w:rPr>
          <w:rFonts w:hint="eastAsia" w:ascii="宋体" w:hAnsi="宋体" w:cs="宋体"/>
          <w:b/>
          <w:bCs/>
          <w:color w:val="auto"/>
          <w:sz w:val="32"/>
          <w:szCs w:val="32"/>
          <w:highlight w:val="none"/>
        </w:rPr>
        <w:t xml:space="preserve">喊话器</w:t>
      </w:r>
      <w:bookmarkEnd w:id="382"/>
      <w:r/>
      <w:bookmarkEnd w:id="383"/>
      <w:r/>
      <w:bookmarkEnd w:id="384"/>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1、喊话器音量在1米处≥110分贝，广播距离≥200米。支持录音喊话、媒体导入与文字转语音，支持实时喊话功能，并支持回声抑制功能。</w:t>
      </w:r>
      <w:r/>
    </w:p>
    <w:p>
      <w:pPr>
        <w:numPr>
          <w:ilvl w:val="0"/>
          <w:numId w:val="6"/>
        </w:numPr>
        <w:spacing w:line="440" w:lineRule="exact"/>
        <w:rPr>
          <w:rFonts w:ascii="宋体" w:hAnsi="宋体" w:cs="宋体"/>
          <w:b/>
          <w:bCs/>
          <w:color w:val="auto"/>
          <w:sz w:val="32"/>
          <w:szCs w:val="32"/>
          <w:highlight w:val="none"/>
        </w:rPr>
        <w:outlineLvl w:val="1"/>
      </w:pPr>
      <w:r/>
      <w:bookmarkStart w:id="385" w:name="_Toc4032"/>
      <w:r/>
      <w:bookmarkStart w:id="386" w:name="_Toc239671949"/>
      <w:r/>
      <w:bookmarkStart w:id="387" w:name="_Toc7167"/>
      <w:r>
        <w:rPr>
          <w:rFonts w:hint="eastAsia" w:ascii="宋体" w:hAnsi="宋体" w:cs="宋体"/>
          <w:b/>
          <w:bCs/>
          <w:color w:val="auto"/>
          <w:sz w:val="32"/>
          <w:szCs w:val="32"/>
          <w:highlight w:val="none"/>
        </w:rPr>
        <w:t xml:space="preserve">探照灯</w:t>
      </w:r>
      <w:bookmarkEnd w:id="385"/>
      <w:r/>
      <w:bookmarkEnd w:id="386"/>
      <w:r/>
      <w:bookmarkEnd w:id="387"/>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1、探照灯支持常亮和爆闪两种模式；同时提供广视野照明模式。</w:t>
      </w:r>
      <w:r/>
    </w:p>
    <w:p>
      <w:pPr>
        <w:jc w:val="center"/>
        <w:spacing w:before="120" w:after="120" w:line="440" w:lineRule="exact"/>
        <w:rPr>
          <w:rFonts w:ascii="宋体" w:hAnsi="宋体" w:cs="宋体"/>
          <w:b/>
          <w:color w:val="auto"/>
          <w:sz w:val="48"/>
          <w:szCs w:val="48"/>
          <w:highlight w:val="none"/>
        </w:rPr>
        <w:outlineLvl w:val="0"/>
      </w:pPr>
      <w:r/>
      <w:bookmarkStart w:id="388" w:name="_Toc239671950"/>
      <w:r>
        <w:rPr>
          <w:rFonts w:hint="eastAsia" w:ascii="宋体" w:hAnsi="宋体" w:cs="宋体"/>
          <w:b/>
          <w:color w:val="auto"/>
          <w:sz w:val="48"/>
          <w:szCs w:val="48"/>
          <w:highlight w:val="none"/>
        </w:rPr>
        <w:t xml:space="preserve">水质监测站</w:t>
      </w:r>
      <w:bookmarkEnd w:id="388"/>
      <w:r/>
      <w:r/>
    </w:p>
    <w:p>
      <w:pPr>
        <w:spacing w:line="440" w:lineRule="exact"/>
        <w:rPr>
          <w:rFonts w:ascii="宋体" w:hAnsi="宋体" w:cs="宋体"/>
          <w:b/>
          <w:bCs/>
          <w:color w:val="auto"/>
          <w:sz w:val="32"/>
          <w:szCs w:val="32"/>
          <w:highlight w:val="none"/>
        </w:rPr>
        <w:outlineLvl w:val="1"/>
      </w:pPr>
      <w:r/>
      <w:bookmarkStart w:id="389" w:name="_Toc32116"/>
      <w:r/>
      <w:bookmarkStart w:id="390" w:name="_Toc7020"/>
      <w:r/>
      <w:bookmarkStart w:id="391" w:name="_Toc29615"/>
      <w:r/>
      <w:bookmarkStart w:id="392" w:name="_Toc239671951"/>
      <w:r/>
      <w:bookmarkStart w:id="393" w:name="OLE_LINK1"/>
      <w:r/>
      <w:bookmarkStart w:id="394" w:name="_Toc25950"/>
      <w:r/>
      <w:bookmarkStart w:id="395" w:name="_Toc15194"/>
      <w:r/>
      <w:bookmarkStart w:id="396" w:name="OLE_LINK2"/>
      <w:r>
        <w:rPr>
          <w:rFonts w:hint="eastAsia" w:ascii="宋体" w:hAnsi="宋体" w:cs="宋体"/>
          <w:b/>
          <w:bCs/>
          <w:color w:val="auto"/>
          <w:sz w:val="32"/>
          <w:szCs w:val="32"/>
          <w:highlight w:val="none"/>
        </w:rPr>
        <w:t xml:space="preserve">一、监测站房</w:t>
      </w:r>
      <w:bookmarkEnd w:id="389"/>
      <w:r/>
      <w:bookmarkEnd w:id="390"/>
      <w:r/>
      <w:bookmarkEnd w:id="391"/>
      <w:r/>
      <w:bookmarkEnd w:id="392"/>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站房采用整体吊装式一体结构，站房要求实用、美观、牢固；站房面积≥12平方米，高度不大于3m(外部)，长宽依据现场条件而定；站房材料：材料采用彩钢板，钢板厚度0.5mm，中间保温层厚度不小于50mm，材质为A级岩棉板；在墙壁上装置抽气风机排气口；站房门为标准防盗门，颜色同墙体颜色一致；站房具备吊装结构，可以顶部吊装，保障整体吊装稳定性；站房设计有良好的接地；配置自动气体灭火装置。</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2、配套地基基础、引水（距离约250M，实际长度以现场勘测为准，需满足采购方要求）、栈桥建设（含材料），以满足取水要求。</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3、站房建设、采水单元建设需满足《地表水水质自动监测站选址与基础设施建设技术要求》(HJ915.1-2024)规定要求，包含安全防护、给排水要求等；站房建设完成后需提供防雷检测报告。</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4、按照《江苏省地表水水质自动监测站建设技术要求——站房、采水及文化建设部分（试行）》（苏环办〔2019〕114号）的规定完成水站文化建设。</w:t>
      </w:r>
      <w:r/>
    </w:p>
    <w:p>
      <w:pPr>
        <w:spacing w:line="440" w:lineRule="exact"/>
        <w:rPr>
          <w:rFonts w:ascii="宋体" w:hAnsi="宋体" w:cs="宋体"/>
          <w:b/>
          <w:bCs/>
          <w:color w:val="auto"/>
          <w:sz w:val="32"/>
          <w:szCs w:val="32"/>
          <w:highlight w:val="none"/>
        </w:rPr>
        <w:outlineLvl w:val="1"/>
      </w:pPr>
      <w:r/>
      <w:bookmarkStart w:id="397" w:name="_Toc29047"/>
      <w:r/>
      <w:bookmarkStart w:id="398" w:name="_Toc239671952"/>
      <w:r/>
      <w:bookmarkStart w:id="399" w:name="_Toc8749"/>
      <w:r/>
      <w:bookmarkStart w:id="400" w:name="_Toc20082"/>
      <w:r>
        <w:rPr>
          <w:rFonts w:hint="eastAsia" w:ascii="宋体" w:hAnsi="宋体" w:cs="宋体"/>
          <w:b/>
          <w:bCs/>
          <w:color w:val="auto"/>
          <w:sz w:val="32"/>
          <w:szCs w:val="32"/>
          <w:highlight w:val="none"/>
        </w:rPr>
        <w:t xml:space="preserve">二、水样预处理装置设备</w:t>
      </w:r>
      <w:bookmarkEnd w:id="397"/>
      <w:r/>
      <w:bookmarkEnd w:id="398"/>
      <w:r/>
      <w:bookmarkEnd w:id="399"/>
      <w:r/>
      <w:bookmarkEnd w:id="400"/>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采水方式：采水系统应在满足取水要求的前提下尽量简洁，根据现场情况选择适当的采水方案；安全可靠，满足丰、平、枯各个不同水期的采水需求；采水单元的功能确保将采样点的水样引至监测站内，并满足配水单元和分析仪器的需要；采水单元包括采水构筑物、采水泵、采水管道和清洗配套装置；</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2、取水采用潜水泵或自吸泵，双泵双管路设计，具备自动切换水泵供电、旁路系统和报警提示功能，在控制系统中设置自动诊断泵、管路故障及自动切换泵、管路功能，满足实时不间断监测要求；</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3、采水单元需要设计并制作必要的保温、防冻、防压、防淤、防撞、防盗措施，并对采水设备和设施进行必要的固定；采水单元设置采水单元清洗功能；</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能自动判断取水系统故障，并发出报警信号；采水单元能够在停电时自我保护，再次通电时自动恢复；采水系统可采用连续或间歇方式工作，并能够根据监测要求现场或远程设置监测频次；采水系统的总水量可以满足所有仪器的用水要求，兼顾将来增加分析仪器的需要。</w:t>
      </w:r>
      <w:r/>
    </w:p>
    <w:p>
      <w:pPr>
        <w:spacing w:line="440" w:lineRule="exact"/>
        <w:rPr>
          <w:rFonts w:ascii="宋体" w:hAnsi="宋体" w:cs="宋体"/>
          <w:b/>
          <w:bCs/>
          <w:color w:val="auto"/>
          <w:sz w:val="32"/>
          <w:szCs w:val="32"/>
          <w:highlight w:val="none"/>
        </w:rPr>
        <w:outlineLvl w:val="1"/>
      </w:pPr>
      <w:r/>
      <w:bookmarkStart w:id="401" w:name="_Toc239671953"/>
      <w:r/>
      <w:bookmarkStart w:id="402" w:name="_Toc29727"/>
      <w:r/>
      <w:bookmarkStart w:id="403" w:name="_Toc21351"/>
      <w:r/>
      <w:bookmarkStart w:id="404" w:name="_Toc13553"/>
      <w:r>
        <w:rPr>
          <w:rFonts w:hint="eastAsia" w:ascii="宋体" w:hAnsi="宋体" w:cs="宋体"/>
          <w:b/>
          <w:bCs/>
          <w:color w:val="auto"/>
          <w:sz w:val="32"/>
          <w:szCs w:val="32"/>
          <w:highlight w:val="none"/>
        </w:rPr>
        <w:t xml:space="preserve">三、配水装置设备</w:t>
      </w:r>
      <w:bookmarkEnd w:id="401"/>
      <w:r/>
      <w:bookmarkEnd w:id="402"/>
      <w:r/>
      <w:bookmarkEnd w:id="403"/>
      <w:r/>
      <w:bookmarkEnd w:id="404"/>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配水及预处理单元由流通池、沉淀池、水样分配装置、预处理装置及管道等组成。实现对分析仪器配水的功能，并具有自动反清（吹）洗功能。预处理单元为不同分析仪器配备预处理装置，常规五参数使用原水直接分析，应根据国家标准分析方法要求对高锰酸盐指数、氨氮、总磷、总氮分析仪器提供相应的预处理方法；</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配水管路设计合理，流向清洗，便于维护；保证仪器分析测试的水样能代表断面水质情况并满足仪器测试需求；配水主管路采用串联方式，各仪器之间管路采用并联方式，保障任何仪器的配水管路出现故障不能影响其他仪器的测试；配水单元的所有操作均可通过控制单元实现，并接受平台端的远程控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3、水站设有排水口以及水样比对实验用的手动取水口；</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4、能配合系统实现水样自动分配、自动预处理、故障自动报警、关键部件工作状态的显示和反控等功能；</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5、所选管材机械强度及化学稳定性好、使用寿命长、便于安装维护，不会对水样水质造成影响；管路内径、压力、流量、流速满足仪器分析需要，并留有余量。</w:t>
      </w:r>
      <w:r/>
    </w:p>
    <w:p>
      <w:pPr>
        <w:spacing w:line="440" w:lineRule="exact"/>
        <w:rPr>
          <w:rFonts w:ascii="宋体" w:hAnsi="宋体" w:cs="宋体"/>
          <w:b/>
          <w:bCs/>
          <w:color w:val="auto"/>
          <w:sz w:val="32"/>
          <w:szCs w:val="32"/>
          <w:highlight w:val="none"/>
        </w:rPr>
        <w:outlineLvl w:val="1"/>
      </w:pPr>
      <w:r/>
      <w:bookmarkStart w:id="405" w:name="_Toc239671954"/>
      <w:r/>
      <w:bookmarkStart w:id="406" w:name="_Toc2752"/>
      <w:r/>
      <w:bookmarkStart w:id="407" w:name="_Toc24195"/>
      <w:r/>
      <w:bookmarkStart w:id="408" w:name="_Toc15930"/>
      <w:r>
        <w:rPr>
          <w:rFonts w:hint="eastAsia" w:ascii="宋体" w:hAnsi="宋体" w:cs="宋体"/>
          <w:b/>
          <w:bCs/>
          <w:color w:val="auto"/>
          <w:sz w:val="32"/>
          <w:szCs w:val="32"/>
          <w:highlight w:val="none"/>
        </w:rPr>
        <w:t xml:space="preserve">四、控制单元设备</w:t>
      </w:r>
      <w:bookmarkEnd w:id="405"/>
      <w:r/>
      <w:bookmarkEnd w:id="406"/>
      <w:r/>
      <w:bookmarkEnd w:id="407"/>
      <w:r/>
      <w:bookmarkEnd w:id="408"/>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1、所有化学水质在线监测仪和传感器通过 RS485/RS232端口传输与工控机进行交互；</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2、控制单元对采水单元、配水及预处理单元、分析单元等进行控制，并实现数据采集与传输功能，保证系统连续、可靠和安全运行；</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断电保护功能，能够在断电时保存系统参数和历史数据，在来电时自动恢复系统；自动采集数据功能，包括自动采集水质自动分析仪器数据、集成控制数据、质控数据等，采集的数据应自动添加数据标识，异常监测数据能自动识别；趋势分析功能：具备各模块分析趋势图，方便分析；单点控制功能，能够对单一控制点（阀、泵等）进行调试；控制器输入输出接口余量有且不少于四路，以便以后扩展。</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对分析仪器的启停、校时、校准、质控测试等控制功能；参数设置功能，能够对小数位、单位、仪器测定上下限、报警（超标）上下限等参数进行设置；各仪器监测结果、状态参数、运行流程、报警信息等显示的功能；监测数据查询、导出、自动备份功能，可分类查询水质周期数据、质控数据及其对应的仪器、系统日志流程信息；</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5、采集分析仪器和集成系统各单元的工作状态量，并以运行日志的形式记录保存；</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6、试剂/标液监控：具有试剂/标液有效期管理、余量监控及提示功能；</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7、健康诊断系统：具备系统各模块通讯状态实时显示和通讯中断提示功能；具备常规耗材寿命管理和提示功能；具备断电保护功能和异常复位功能；</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8、具备对通信链路的自动诊断功能，具备超时补发功能；具备数据一点多传功能。</w:t>
      </w:r>
      <w:r/>
    </w:p>
    <w:p>
      <w:pPr>
        <w:spacing w:line="440" w:lineRule="exact"/>
        <w:rPr>
          <w:rFonts w:ascii="宋体" w:hAnsi="宋体" w:cs="宋体"/>
          <w:b/>
          <w:bCs/>
          <w:color w:val="auto"/>
          <w:sz w:val="32"/>
          <w:szCs w:val="32"/>
          <w:highlight w:val="none"/>
        </w:rPr>
        <w:outlineLvl w:val="1"/>
      </w:pPr>
      <w:r/>
      <w:bookmarkStart w:id="409" w:name="_Toc239671955"/>
      <w:r>
        <w:rPr>
          <w:rFonts w:hint="eastAsia" w:ascii="宋体" w:hAnsi="宋体" w:cs="宋体"/>
          <w:b/>
          <w:bCs/>
          <w:color w:val="auto"/>
          <w:sz w:val="32"/>
          <w:szCs w:val="32"/>
          <w:highlight w:val="none"/>
        </w:rPr>
        <w:t xml:space="preserve">五、质控单元</w:t>
      </w:r>
      <w:bookmarkEnd w:id="409"/>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1、与化学分析仪共用设计，通过现场工控机控制水质监测仪实现对 CODmn、氨氮、总磷、总氮等分析仪进行平行测试、标样核查、水样加标、多点线性和漂移测试等质控测试，并支持远程反控启动以上静态质控任务。</w:t>
      </w:r>
      <w:r/>
    </w:p>
    <w:p>
      <w:pPr>
        <w:spacing w:line="440" w:lineRule="exact"/>
        <w:rPr>
          <w:rFonts w:ascii="宋体" w:hAnsi="宋体" w:cs="宋体"/>
          <w:b/>
          <w:bCs/>
          <w:color w:val="auto"/>
          <w:sz w:val="32"/>
          <w:szCs w:val="32"/>
          <w:highlight w:val="none"/>
        </w:rPr>
        <w:outlineLvl w:val="1"/>
      </w:pPr>
      <w:r/>
      <w:bookmarkStart w:id="410" w:name="_Toc23789"/>
      <w:r/>
      <w:bookmarkStart w:id="411" w:name="_Toc239671956"/>
      <w:r/>
      <w:bookmarkStart w:id="412" w:name="_Toc5488"/>
      <w:r/>
      <w:bookmarkStart w:id="413" w:name="_Toc9308"/>
      <w:r>
        <w:rPr>
          <w:rFonts w:hint="eastAsia" w:ascii="宋体" w:hAnsi="宋体" w:cs="宋体"/>
          <w:b/>
          <w:bCs/>
          <w:color w:val="auto"/>
          <w:sz w:val="32"/>
          <w:szCs w:val="32"/>
          <w:highlight w:val="none"/>
        </w:rPr>
        <w:t xml:space="preserve">六、数据采集传输设备</w:t>
      </w:r>
      <w:bookmarkEnd w:id="410"/>
      <w:r/>
      <w:bookmarkEnd w:id="411"/>
      <w:r/>
      <w:bookmarkEnd w:id="412"/>
      <w:r/>
      <w:bookmarkEnd w:id="413"/>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采集自动分析仪器的监测数据（含站点原有设备），并分类保存；采集自动分析仪器和集成系统各单元的工作状态量，并以运行日志的形式记录保存；能够实时采集数据信息并传输至中心平台（环保平台）；断电后能自动保存历史数据和参数设置；</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2、采用无线、有线的通讯方式满足数据传输要求；具备对通信链路的自动诊断功能，具备超时补发功能。</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3、通信协议应满足《地表水自动监测系统通信协议技术要求》（HJ1404）的要求。</w:t>
      </w:r>
      <w:r/>
    </w:p>
    <w:p>
      <w:pPr>
        <w:spacing w:line="440" w:lineRule="exact"/>
        <w:rPr>
          <w:rFonts w:ascii="宋体" w:hAnsi="宋体" w:cs="宋体"/>
          <w:b/>
          <w:bCs/>
          <w:color w:val="auto"/>
          <w:sz w:val="32"/>
          <w:szCs w:val="32"/>
          <w:highlight w:val="none"/>
        </w:rPr>
        <w:outlineLvl w:val="1"/>
      </w:pPr>
      <w:r/>
      <w:bookmarkStart w:id="414" w:name="_Toc28082"/>
      <w:r/>
      <w:bookmarkStart w:id="415" w:name="_Toc10969"/>
      <w:r/>
      <w:bookmarkStart w:id="416" w:name="_Toc239671957"/>
      <w:r/>
      <w:bookmarkStart w:id="417" w:name="_Toc786"/>
      <w:r>
        <w:rPr>
          <w:rFonts w:hint="eastAsia" w:ascii="宋体" w:hAnsi="宋体" w:cs="宋体"/>
          <w:b/>
          <w:bCs/>
          <w:color w:val="auto"/>
          <w:sz w:val="32"/>
          <w:szCs w:val="32"/>
          <w:highlight w:val="none"/>
        </w:rPr>
        <w:t xml:space="preserve">七、环境集成配套</w:t>
      </w:r>
      <w:bookmarkEnd w:id="414"/>
      <w:r>
        <w:rPr>
          <w:rFonts w:hint="eastAsia" w:ascii="宋体" w:hAnsi="宋体" w:cs="宋体"/>
          <w:b/>
          <w:bCs/>
          <w:color w:val="auto"/>
          <w:sz w:val="32"/>
          <w:szCs w:val="32"/>
          <w:highlight w:val="none"/>
        </w:rPr>
        <w:t xml:space="preserve">设备</w:t>
      </w:r>
      <w:bookmarkEnd w:id="415"/>
      <w:r/>
      <w:bookmarkEnd w:id="416"/>
      <w:r/>
      <w:bookmarkEnd w:id="417"/>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1、温湿度传感器、液位传感器等集成在水质监测站中，保证设备正常运行检测的基础环境；</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2、恒温装置主要为集成组成；集成空调提供系统稳定运行的适宜温度，温度保持在 18~28℃，湿度在60%以内，恒温设备功率满足温度要求，具备来电自启功能，并根据温度要求自动运行，保障室内设备的正常工作。</w:t>
      </w:r>
      <w:r/>
    </w:p>
    <w:p>
      <w:pPr>
        <w:spacing w:line="440" w:lineRule="exact"/>
        <w:rPr>
          <w:rFonts w:ascii="宋体" w:hAnsi="宋体" w:cs="宋体"/>
          <w:b/>
          <w:bCs/>
          <w:color w:val="auto"/>
          <w:sz w:val="32"/>
          <w:szCs w:val="32"/>
          <w:highlight w:val="none"/>
        </w:rPr>
        <w:outlineLvl w:val="1"/>
      </w:pPr>
      <w:r/>
      <w:bookmarkStart w:id="418" w:name="_Toc8140"/>
      <w:r/>
      <w:bookmarkStart w:id="419" w:name="_Toc239671958"/>
      <w:r/>
      <w:bookmarkStart w:id="420" w:name="_Toc25809"/>
      <w:r>
        <w:rPr>
          <w:rFonts w:hint="eastAsia" w:ascii="宋体" w:hAnsi="宋体" w:cs="宋体"/>
          <w:b/>
          <w:bCs/>
          <w:color w:val="auto"/>
          <w:sz w:val="32"/>
          <w:szCs w:val="32"/>
          <w:highlight w:val="none"/>
        </w:rPr>
        <w:t xml:space="preserve">八、电力设施及监控设备</w:t>
      </w:r>
      <w:bookmarkEnd w:id="418"/>
      <w:r/>
      <w:bookmarkEnd w:id="419"/>
      <w:r/>
      <w:bookmarkEnd w:id="420"/>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1、主要由供电系统组成，应配备三相稳压电源，保证断电后持续供电2小时以上，可保证系统进行一次正常监测并上传数据；</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视频监控设备：包含1台硬盘录像机和3台视频监控摄像机，摄像机分别置于采水口、站房入户口及仪器室；视频监控传输满足GB/T28181的相关要求，须接入常熟生态环境局监测站的相关平台，并且具备录像存储功能，支持本地存储和中心存储两种模式。</w:t>
      </w:r>
      <w:r/>
    </w:p>
    <w:p>
      <w:pPr>
        <w:spacing w:line="440" w:lineRule="exact"/>
        <w:rPr>
          <w:rFonts w:ascii="宋体" w:hAnsi="宋体" w:cs="宋体"/>
          <w:b/>
          <w:bCs/>
          <w:color w:val="auto"/>
          <w:sz w:val="32"/>
          <w:szCs w:val="32"/>
          <w:highlight w:val="none"/>
        </w:rPr>
        <w:outlineLvl w:val="1"/>
      </w:pPr>
      <w:r/>
      <w:bookmarkStart w:id="421" w:name="_Toc239671959"/>
      <w:r>
        <w:rPr>
          <w:rFonts w:hint="eastAsia" w:ascii="宋体" w:hAnsi="宋体" w:cs="宋体"/>
          <w:b/>
          <w:bCs/>
          <w:color w:val="auto"/>
          <w:sz w:val="32"/>
          <w:szCs w:val="32"/>
          <w:highlight w:val="none"/>
        </w:rPr>
        <w:t xml:space="preserve">九、留样单元</w:t>
      </w:r>
      <w:bookmarkEnd w:id="421"/>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留样装置由留样瓶、排阀和留样泵等部分组成。 </w:t>
      </w:r>
      <w:r/>
    </w:p>
    <w:p>
      <w:pPr>
        <w:pStyle w:val="914"/>
        <w:numPr>
          <w:ilvl w:val="0"/>
          <w:numId w:val="7"/>
        </w:num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留样瓶数量：≥5 个； </w:t>
      </w:r>
      <w:r/>
    </w:p>
    <w:p>
      <w:pPr>
        <w:pStyle w:val="914"/>
        <w:numPr>
          <w:ilvl w:val="0"/>
          <w:numId w:val="7"/>
        </w:num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留样瓶体积：≥250ml（可定制）；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3、留样泵可从水箱里取样到留样瓶或将留样瓶中的水样排空，排阀将水样分配到留样瓶中。</w:t>
      </w:r>
      <w:r/>
    </w:p>
    <w:p>
      <w:pPr>
        <w:spacing w:line="440" w:lineRule="exact"/>
        <w:rPr>
          <w:rFonts w:ascii="宋体" w:hAnsi="宋体" w:cs="宋体"/>
          <w:b/>
          <w:bCs/>
          <w:color w:val="auto"/>
          <w:sz w:val="32"/>
          <w:szCs w:val="32"/>
          <w:highlight w:val="none"/>
        </w:rPr>
        <w:outlineLvl w:val="1"/>
      </w:pPr>
      <w:r/>
      <w:bookmarkStart w:id="422" w:name="_Toc26088"/>
      <w:r/>
      <w:bookmarkStart w:id="423" w:name="_Toc13890"/>
      <w:r/>
      <w:bookmarkStart w:id="424" w:name="_Toc29283"/>
      <w:r/>
      <w:bookmarkStart w:id="425" w:name="_Toc239671960"/>
      <w:r>
        <w:rPr>
          <w:rFonts w:hint="eastAsia" w:ascii="宋体" w:hAnsi="宋体" w:cs="宋体"/>
          <w:b/>
          <w:bCs/>
          <w:color w:val="auto"/>
          <w:sz w:val="32"/>
          <w:szCs w:val="32"/>
          <w:highlight w:val="none"/>
        </w:rPr>
        <w:t xml:space="preserve">十、</w:t>
      </w:r>
      <w:bookmarkEnd w:id="422"/>
      <w:r/>
      <w:bookmarkEnd w:id="423"/>
      <w:r/>
      <w:bookmarkEnd w:id="424"/>
      <w:r>
        <w:rPr>
          <w:rFonts w:hint="eastAsia" w:ascii="宋体" w:hAnsi="宋体" w:cs="宋体"/>
          <w:b/>
          <w:bCs/>
          <w:color w:val="auto"/>
          <w:sz w:val="32"/>
          <w:szCs w:val="32"/>
          <w:highlight w:val="none"/>
        </w:rPr>
        <w:t xml:space="preserve">多普勒流速仪</w:t>
      </w:r>
      <w:bookmarkEnd w:id="425"/>
      <w:r/>
      <w:r/>
    </w:p>
    <w:p>
      <w:pPr>
        <w:ind w:firstLine="480"/>
        <w:spacing w:line="440" w:lineRule="exact"/>
        <w:rPr>
          <w:rFonts w:ascii="宋体" w:hAnsi="宋体" w:cs="宋体"/>
          <w:color w:val="auto"/>
          <w:sz w:val="24"/>
          <w:highlight w:val="none"/>
        </w:rPr>
      </w:pPr>
      <w:r/>
      <w:bookmarkStart w:id="426" w:name="_Toc27630"/>
      <w:r/>
      <w:bookmarkStart w:id="427" w:name="_Toc31877"/>
      <w:r>
        <w:rPr>
          <w:rFonts w:ascii="宋体" w:hAnsi="宋体" w:cs="宋体"/>
          <w:color w:val="auto"/>
          <w:sz w:val="24"/>
          <w:highlight w:val="none"/>
        </w:rPr>
        <w:t xml:space="preserve">1</w:t>
      </w:r>
      <w:r>
        <w:rPr>
          <w:rFonts w:hint="eastAsia" w:ascii="宋体" w:hAnsi="宋体" w:cs="宋体"/>
          <w:color w:val="auto"/>
          <w:sz w:val="24"/>
          <w:highlight w:val="none"/>
        </w:rPr>
        <w:t xml:space="preserve">、最小单元尺寸：≤0.5m；</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、测量范围上限：≥100m，且≤250m</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、盲区：≤0.25m；</w:t>
      </w:r>
      <w:r/>
    </w:p>
    <w:p>
      <w:pPr>
        <w:ind w:firstLine="240"/>
        <w:spacing w:line="440" w:lineRule="exact"/>
        <w:rPr>
          <w:rFonts w:ascii="宋体" w:hAnsi="宋体"/>
          <w:b/>
          <w:bCs/>
          <w:color w:val="auto"/>
          <w:sz w:val="24"/>
          <w:highlight w:val="none"/>
          <w:u w:val="none"/>
        </w:rPr>
      </w:pPr>
      <w:r>
        <w:rPr>
          <w:rFonts w:hint="eastAsia" w:ascii="宋体" w:hAnsi="宋体" w:cs="宋体"/>
          <w:color w:val="auto"/>
          <w:sz w:val="24"/>
          <w:highlight w:val="none"/>
          <w:u w:val="none"/>
        </w:rPr>
        <w:t xml:space="preserve">▲</w:t>
      </w:r>
      <w:r>
        <w:rPr>
          <w:rFonts w:ascii="宋体" w:hAnsi="宋体" w:cs="宋体"/>
          <w:color w:val="auto"/>
          <w:sz w:val="24"/>
          <w:highlight w:val="none"/>
          <w:u w:val="none"/>
        </w:rPr>
        <w:t xml:space="preserve">4</w:t>
      </w:r>
      <w:r>
        <w:rPr>
          <w:rFonts w:hint="eastAsia" w:ascii="宋体" w:hAnsi="宋体" w:cs="宋体"/>
          <w:color w:val="auto"/>
          <w:sz w:val="24"/>
          <w:highlight w:val="none"/>
          <w:u w:val="none"/>
        </w:rPr>
        <w:t xml:space="preserve">、精度：≤0.5%或±2.0mm/s；</w:t>
      </w:r>
      <w:r>
        <w:rPr>
          <w:rFonts w:hint="eastAsia" w:ascii="宋体" w:hAnsi="宋体" w:cs="宋体"/>
          <w:b/>
          <w:bCs/>
          <w:color w:val="auto"/>
          <w:sz w:val="24"/>
          <w:highlight w:val="none"/>
          <w:u w:val="none"/>
        </w:rPr>
        <w:t xml:space="preserve">提供</w:t>
      </w:r>
      <w:r>
        <w:rPr>
          <w:rFonts w:hint="eastAsia" w:ascii="宋体" w:hAnsi="宋体" w:cs="宋体"/>
          <w:b/>
          <w:bCs/>
          <w:color w:val="auto"/>
          <w:sz w:val="24"/>
          <w:szCs w:val="24"/>
          <w:highlight w:val="none"/>
          <w:lang w:val="en-US" w:eastAsia="zh-CN"/>
        </w:rPr>
        <w:t xml:space="preserve">体现产品制造商信息的</w:t>
      </w:r>
      <w:r>
        <w:rPr>
          <w:rFonts w:hint="eastAsia" w:ascii="宋体" w:hAnsi="宋体" w:cs="宋体"/>
          <w:b/>
          <w:bCs/>
          <w:color w:val="auto"/>
          <w:sz w:val="24"/>
          <w:szCs w:val="24"/>
          <w:highlight w:val="none"/>
        </w:rPr>
        <w:t xml:space="preserve">官网截图证明（或产品说明书或彩页）</w:t>
      </w:r>
      <w:r>
        <w:rPr>
          <w:rFonts w:hint="eastAsia" w:ascii="宋体" w:hAnsi="宋体" w:cs="宋体"/>
          <w:b/>
          <w:bCs/>
          <w:color w:val="auto"/>
          <w:sz w:val="24"/>
          <w:highlight w:val="none"/>
          <w:u w:val="none"/>
        </w:rPr>
        <w:t xml:space="preserve">或第三方检测机构出具的带有CMA或CNAS认证标识的检测报告扫描件</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5</w:t>
      </w:r>
      <w:r>
        <w:rPr>
          <w:rFonts w:hint="eastAsia" w:ascii="宋体" w:hAnsi="宋体" w:cs="宋体"/>
          <w:color w:val="auto"/>
          <w:sz w:val="24"/>
          <w:highlight w:val="none"/>
        </w:rPr>
        <w:t xml:space="preserve">、最大流速：≥+10m</w:t>
      </w:r>
      <w:bookmarkStart w:id="428" w:name="OLE_LINK11"/>
      <w:r/>
      <w:bookmarkStart w:id="429" w:name="OLE_LINK10"/>
      <w:r>
        <w:rPr>
          <w:rFonts w:hint="eastAsia" w:ascii="宋体" w:hAnsi="宋体" w:cs="宋体"/>
          <w:color w:val="auto"/>
          <w:sz w:val="24"/>
          <w:highlight w:val="none"/>
        </w:rPr>
        <w:t xml:space="preserve">/s</w:t>
      </w:r>
      <w:bookmarkEnd w:id="428"/>
      <w:r/>
      <w:bookmarkEnd w:id="429"/>
      <w:r>
        <w:rPr>
          <w:rFonts w:hint="eastAsia" w:ascii="宋体" w:hAnsi="宋体" w:cs="宋体"/>
          <w:color w:val="auto"/>
          <w:sz w:val="24"/>
          <w:highlight w:val="none"/>
        </w:rPr>
        <w:t xml:space="preserve">，且≤+20m/s；</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6</w:t>
      </w:r>
      <w:r>
        <w:rPr>
          <w:rFonts w:hint="eastAsia" w:ascii="宋体" w:hAnsi="宋体" w:cs="宋体"/>
          <w:color w:val="auto"/>
          <w:sz w:val="24"/>
          <w:highlight w:val="none"/>
        </w:rPr>
        <w:t xml:space="preserve">、波束：双波束；</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7</w:t>
      </w:r>
      <w:r>
        <w:rPr>
          <w:rFonts w:hint="eastAsia" w:ascii="宋体" w:hAnsi="宋体" w:cs="宋体"/>
          <w:color w:val="auto"/>
          <w:sz w:val="24"/>
          <w:highlight w:val="none"/>
        </w:rPr>
        <w:t xml:space="preserve">、能显示流向；</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8</w:t>
      </w:r>
      <w:r>
        <w:rPr>
          <w:rFonts w:hint="eastAsia" w:ascii="宋体" w:hAnsi="宋体" w:cs="宋体"/>
          <w:color w:val="auto"/>
          <w:sz w:val="24"/>
          <w:highlight w:val="none"/>
        </w:rPr>
        <w:t xml:space="preserve">、安装后需提供率定报告；</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9</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配套</w:t>
      </w:r>
      <w:r>
        <w:rPr>
          <w:rFonts w:ascii="宋体" w:hAnsi="宋体" w:cs="宋体"/>
          <w:color w:val="auto"/>
          <w:sz w:val="24"/>
          <w:szCs w:val="24"/>
          <w:highlight w:val="none"/>
        </w:rPr>
        <w:t xml:space="preserve">安装支架：可调节</w:t>
      </w:r>
      <w:r>
        <w:rPr>
          <w:rFonts w:hint="eastAsia" w:ascii="宋体" w:hAnsi="宋体" w:cs="宋体"/>
          <w:color w:val="auto"/>
          <w:sz w:val="24"/>
          <w:szCs w:val="24"/>
          <w:highlight w:val="none"/>
        </w:rPr>
        <w:t xml:space="preserve">流速仪</w:t>
      </w:r>
      <w:r>
        <w:rPr>
          <w:rFonts w:ascii="宋体" w:hAnsi="宋体" w:cs="宋体"/>
          <w:color w:val="auto"/>
          <w:sz w:val="24"/>
          <w:szCs w:val="24"/>
          <w:highlight w:val="none"/>
        </w:rPr>
        <w:t xml:space="preserve">的测量位置；横向式</w:t>
      </w:r>
      <w:r>
        <w:rPr>
          <w:rFonts w:hint="eastAsia" w:ascii="宋体" w:hAnsi="宋体" w:cs="宋体"/>
          <w:color w:val="auto"/>
          <w:sz w:val="24"/>
          <w:szCs w:val="24"/>
          <w:highlight w:val="none"/>
        </w:rPr>
        <w:t xml:space="preserve">流速仪</w:t>
      </w:r>
      <w:r>
        <w:rPr>
          <w:rFonts w:ascii="宋体" w:hAnsi="宋体" w:cs="宋体"/>
          <w:color w:val="auto"/>
          <w:sz w:val="24"/>
          <w:szCs w:val="24"/>
          <w:highlight w:val="none"/>
        </w:rPr>
        <w:t xml:space="preserve">在上下调节时，必须保证左右方向不变；水平倾角误差≤0.5°。</w:t>
      </w:r>
      <w:r/>
    </w:p>
    <w:p>
      <w:pPr>
        <w:spacing w:line="440" w:lineRule="exact"/>
        <w:rPr>
          <w:rFonts w:ascii="宋体" w:hAnsi="宋体" w:cs="宋体"/>
          <w:b/>
          <w:bCs/>
          <w:color w:val="auto"/>
          <w:sz w:val="32"/>
          <w:szCs w:val="32"/>
          <w:highlight w:val="none"/>
        </w:rPr>
        <w:outlineLvl w:val="1"/>
      </w:pPr>
      <w:r/>
      <w:bookmarkStart w:id="430" w:name="_Toc239671961"/>
      <w:r/>
      <w:bookmarkStart w:id="431" w:name="_Toc7841"/>
      <w:r>
        <w:rPr>
          <w:rFonts w:hint="eastAsia" w:ascii="宋体" w:hAnsi="宋体" w:cs="宋体"/>
          <w:b/>
          <w:bCs/>
          <w:color w:val="auto"/>
          <w:sz w:val="32"/>
          <w:szCs w:val="32"/>
          <w:highlight w:val="none"/>
        </w:rPr>
        <w:t xml:space="preserve">十一、高锰酸盐指数在线监测仪</w:t>
      </w:r>
      <w:bookmarkEnd w:id="426"/>
      <w:r/>
      <w:bookmarkEnd w:id="427"/>
      <w:r/>
      <w:bookmarkEnd w:id="430"/>
      <w:r/>
      <w:bookmarkEnd w:id="431"/>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1、测定原理：高锰酸钾氧化法；</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2、量程：包含0～5/10/20 mg/L，可调，适用于站点水质情况；</w:t>
      </w:r>
      <w:r/>
    </w:p>
    <w:p>
      <w:pPr>
        <w:ind w:firstLine="240"/>
        <w:spacing w:line="440" w:lineRule="exact"/>
        <w:rPr>
          <w:rFonts w:ascii="宋体" w:hAnsi="宋体" w:cs="宋体"/>
          <w:color w:val="auto"/>
          <w:sz w:val="24"/>
          <w:highlight w:val="none"/>
          <w:u w:val="none"/>
        </w:rPr>
      </w:pPr>
      <w:r>
        <w:rPr>
          <w:rFonts w:hint="eastAsia" w:ascii="宋体" w:hAnsi="宋体"/>
          <w:color w:val="auto"/>
          <w:sz w:val="24"/>
          <w:highlight w:val="none"/>
          <w:u w:val="none"/>
        </w:rPr>
        <w:t xml:space="preserve">▲</w:t>
      </w:r>
      <w:r>
        <w:rPr>
          <w:rFonts w:hint="eastAsia" w:ascii="宋体" w:hAnsi="宋体" w:cs="宋体"/>
          <w:color w:val="auto"/>
          <w:sz w:val="24"/>
          <w:highlight w:val="none"/>
          <w:u w:val="none"/>
        </w:rPr>
        <w:t xml:space="preserve">3、零点漂移：±5%；</w:t>
      </w:r>
      <w:r>
        <w:rPr>
          <w:rFonts w:hint="eastAsia" w:ascii="宋体" w:hAnsi="宋体" w:cs="宋体"/>
          <w:b/>
          <w:bCs/>
          <w:color w:val="auto"/>
          <w:sz w:val="24"/>
          <w:highlight w:val="none"/>
          <w:u w:val="none"/>
        </w:rPr>
        <w:t xml:space="preserve">提供</w:t>
      </w:r>
      <w:r>
        <w:rPr>
          <w:rFonts w:hint="eastAsia" w:ascii="宋体" w:hAnsi="宋体" w:cs="宋体"/>
          <w:b/>
          <w:bCs/>
          <w:color w:val="auto"/>
          <w:sz w:val="24"/>
          <w:szCs w:val="24"/>
          <w:highlight w:val="none"/>
          <w:lang w:val="en-US" w:eastAsia="zh-CN"/>
        </w:rPr>
        <w:t xml:space="preserve">体现产品制造商信息的</w:t>
      </w:r>
      <w:r>
        <w:rPr>
          <w:rFonts w:hint="eastAsia" w:ascii="宋体" w:hAnsi="宋体" w:cs="宋体"/>
          <w:b/>
          <w:bCs/>
          <w:color w:val="auto"/>
          <w:sz w:val="24"/>
          <w:szCs w:val="24"/>
          <w:highlight w:val="none"/>
        </w:rPr>
        <w:t xml:space="preserve">官网截图证明（或产品说明书或彩页）</w:t>
      </w:r>
      <w:r>
        <w:rPr>
          <w:rFonts w:hint="eastAsia" w:ascii="宋体" w:hAnsi="宋体" w:cs="宋体"/>
          <w:b/>
          <w:bCs/>
          <w:color w:val="auto"/>
          <w:sz w:val="24"/>
          <w:highlight w:val="none"/>
          <w:u w:val="none"/>
        </w:rPr>
        <w:t xml:space="preserve">或第三方检测机构出具的带有CMA或CNAS认证标识的检测报告扫描件</w:t>
      </w:r>
      <w:r/>
    </w:p>
    <w:p>
      <w:pPr>
        <w:numPr>
          <w:ilvl w:val="0"/>
          <w:numId w:val="8"/>
        </w:num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量程漂移：±5%；</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5、葡萄糖试验：±5%；</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6</w:t>
      </w:r>
      <w:r>
        <w:rPr>
          <w:rFonts w:hint="eastAsia" w:ascii="宋体" w:hAnsi="宋体" w:cs="宋体"/>
          <w:color w:val="auto"/>
          <w:sz w:val="24"/>
          <w:highlight w:val="none"/>
        </w:rPr>
        <w:t xml:space="preserve">、重复性误差：±1.5%；</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7</w:t>
      </w:r>
      <w:r>
        <w:rPr>
          <w:rFonts w:hint="eastAsia" w:ascii="宋体" w:hAnsi="宋体" w:cs="宋体"/>
          <w:color w:val="auto"/>
          <w:sz w:val="24"/>
          <w:highlight w:val="none"/>
        </w:rPr>
        <w:t xml:space="preserve">、检出限：≤0.5mg/L；</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8</w:t>
      </w:r>
      <w:r>
        <w:rPr>
          <w:rFonts w:hint="eastAsia" w:ascii="宋体" w:hAnsi="宋体" w:cs="宋体"/>
          <w:color w:val="auto"/>
          <w:sz w:val="24"/>
          <w:highlight w:val="none"/>
        </w:rPr>
        <w:t xml:space="preserve">、MTBF：≥1440 h/次无故障；</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9</w:t>
      </w:r>
      <w:r>
        <w:rPr>
          <w:rFonts w:hint="eastAsia" w:ascii="宋体" w:hAnsi="宋体" w:cs="宋体"/>
          <w:color w:val="auto"/>
          <w:sz w:val="24"/>
          <w:highlight w:val="none"/>
        </w:rPr>
        <w:t xml:space="preserve">、具备测试数据标记功能，能够识别测试数据属性</w:t>
      </w:r>
      <w:bookmarkStart w:id="432" w:name="_Toc29791"/>
      <w:r/>
      <w:bookmarkStart w:id="433" w:name="_Toc10356"/>
      <w:r>
        <w:rPr>
          <w:rFonts w:hint="eastAsia" w:ascii="宋体" w:hAnsi="宋体" w:cs="宋体"/>
          <w:color w:val="auto"/>
          <w:sz w:val="24"/>
          <w:highlight w:val="none"/>
        </w:rPr>
        <w:t xml:space="preserve">；具备高低监测量程自动切换功能；具备试剂余量监控。</w:t>
      </w:r>
      <w:r/>
    </w:p>
    <w:p>
      <w:pPr>
        <w:ind w:firstLine="240"/>
        <w:spacing w:line="440" w:lineRule="exact"/>
        <w:rPr>
          <w:rFonts w:ascii="宋体" w:hAnsi="宋体" w:cs="宋体"/>
          <w:color w:val="auto"/>
          <w:sz w:val="24"/>
          <w:highlight w:val="none"/>
        </w:rPr>
      </w:pPr>
      <w:r>
        <w:rPr>
          <w:rFonts w:hint="eastAsia" w:ascii="宋体" w:hAnsi="宋体"/>
          <w:color w:val="auto"/>
          <w:sz w:val="24"/>
          <w:highlight w:val="none"/>
        </w:rPr>
        <w:t xml:space="preserve">▲</w:t>
      </w:r>
      <w:r>
        <w:rPr>
          <w:rFonts w:hint="eastAsia" w:ascii="宋体" w:hAnsi="宋体" w:cs="宋体"/>
          <w:color w:val="auto"/>
          <w:sz w:val="24"/>
          <w:highlight w:val="none"/>
        </w:rPr>
        <w:t xml:space="preserve">10、具备自动和远程进行水样测试、校准、标液核查、平行样测试、多点线性测试、加标回收测试等质控功能；</w:t>
      </w:r>
      <w:r>
        <w:rPr>
          <w:rFonts w:hint="eastAsia" w:ascii="宋体" w:hAnsi="宋体" w:cs="宋体"/>
          <w:b/>
          <w:bCs/>
          <w:color w:val="auto"/>
          <w:sz w:val="24"/>
          <w:highlight w:val="none"/>
          <w:u w:val="none"/>
        </w:rPr>
        <w:t xml:space="preserve">提供</w:t>
      </w:r>
      <w:r>
        <w:rPr>
          <w:rFonts w:hint="eastAsia" w:ascii="宋体" w:hAnsi="宋体" w:cs="宋体"/>
          <w:b/>
          <w:bCs/>
          <w:color w:val="auto"/>
          <w:sz w:val="24"/>
          <w:szCs w:val="24"/>
          <w:highlight w:val="none"/>
          <w:lang w:val="en-US" w:eastAsia="zh-CN"/>
        </w:rPr>
        <w:t xml:space="preserve">体现产品制造商信息的</w:t>
      </w:r>
      <w:r>
        <w:rPr>
          <w:rFonts w:hint="eastAsia" w:ascii="宋体" w:hAnsi="宋体" w:cs="宋体"/>
          <w:b/>
          <w:bCs/>
          <w:color w:val="auto"/>
          <w:sz w:val="24"/>
          <w:szCs w:val="24"/>
          <w:highlight w:val="none"/>
        </w:rPr>
        <w:t xml:space="preserve">官网截图证明（或产品说明书或彩页）</w:t>
      </w:r>
      <w:r>
        <w:rPr>
          <w:rFonts w:hint="eastAsia" w:ascii="宋体" w:hAnsi="宋体" w:cs="宋体"/>
          <w:b/>
          <w:bCs/>
          <w:color w:val="auto"/>
          <w:sz w:val="24"/>
          <w:highlight w:val="none"/>
          <w:u w:val="none"/>
        </w:rPr>
        <w:t xml:space="preserve">或第三方检测机构出具的检测报告扫描件</w:t>
      </w:r>
      <w:r/>
    </w:p>
    <w:p>
      <w:pPr>
        <w:spacing w:line="440" w:lineRule="exact"/>
        <w:rPr>
          <w:rFonts w:ascii="宋体" w:hAnsi="宋体" w:cs="宋体"/>
          <w:b/>
          <w:bCs/>
          <w:color w:val="auto"/>
          <w:sz w:val="32"/>
          <w:szCs w:val="32"/>
          <w:highlight w:val="none"/>
        </w:rPr>
        <w:outlineLvl w:val="1"/>
      </w:pPr>
      <w:r/>
      <w:bookmarkStart w:id="434" w:name="_Toc32558"/>
      <w:r/>
      <w:bookmarkStart w:id="435" w:name="_Toc239671962"/>
      <w:r>
        <w:rPr>
          <w:rFonts w:hint="eastAsia" w:ascii="宋体" w:hAnsi="宋体" w:cs="宋体"/>
          <w:b/>
          <w:bCs/>
          <w:color w:val="auto"/>
          <w:sz w:val="32"/>
          <w:szCs w:val="32"/>
          <w:highlight w:val="none"/>
        </w:rPr>
        <w:t xml:space="preserve">十二、氨氮在线监测仪</w:t>
      </w:r>
      <w:bookmarkEnd w:id="432"/>
      <w:r/>
      <w:bookmarkEnd w:id="433"/>
      <w:r/>
      <w:bookmarkEnd w:id="434"/>
      <w:r/>
      <w:bookmarkEnd w:id="435"/>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1、测定原理：水杨酸分光光度法；</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2、量程：包含0～0.5/1/2/5/10 mg/L，可调，适用于站点水质情况；</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3、零点漂移：±0.5%；</w:t>
      </w:r>
      <w:r/>
    </w:p>
    <w:p>
      <w:pPr>
        <w:ind w:firstLine="240"/>
        <w:spacing w:line="440" w:lineRule="exact"/>
        <w:rPr>
          <w:rFonts w:ascii="宋体" w:hAnsi="宋体" w:cs="宋体"/>
          <w:color w:val="auto"/>
          <w:sz w:val="24"/>
          <w:highlight w:val="none"/>
        </w:rPr>
      </w:pPr>
      <w:r>
        <w:rPr>
          <w:rFonts w:hint="eastAsia" w:ascii="宋体" w:hAnsi="宋体"/>
          <w:color w:val="auto"/>
          <w:sz w:val="24"/>
          <w:highlight w:val="none"/>
        </w:rPr>
        <w:t xml:space="preserve">▲</w:t>
      </w:r>
      <w:r>
        <w:rPr>
          <w:rFonts w:hint="eastAsia" w:ascii="宋体" w:hAnsi="宋体" w:cs="宋体"/>
          <w:color w:val="auto"/>
          <w:sz w:val="24"/>
          <w:highlight w:val="none"/>
        </w:rPr>
        <w:t xml:space="preserve">4、24h低浓度漂移 ≤0.02mg/L；24h高浓度漂移≤0.5%</w:t>
      </w:r>
      <w:r>
        <w:rPr>
          <w:rFonts w:hint="eastAsia" w:ascii="宋体" w:hAnsi="宋体" w:cs="宋体"/>
          <w:color w:val="auto"/>
          <w:sz w:val="24"/>
          <w:highlight w:val="none"/>
          <w:lang w:eastAsia="zh-CN"/>
        </w:rPr>
        <w:t xml:space="preserve">；</w:t>
      </w:r>
      <w:r>
        <w:rPr>
          <w:rFonts w:hint="eastAsia" w:ascii="宋体" w:hAnsi="宋体" w:cs="宋体"/>
          <w:b/>
          <w:bCs/>
          <w:color w:val="auto"/>
          <w:sz w:val="24"/>
          <w:highlight w:val="none"/>
          <w:u w:val="none"/>
        </w:rPr>
        <w:t xml:space="preserve">提供</w:t>
      </w:r>
      <w:r>
        <w:rPr>
          <w:rFonts w:hint="eastAsia" w:ascii="宋体" w:hAnsi="宋体" w:cs="宋体"/>
          <w:b/>
          <w:bCs/>
          <w:color w:val="auto"/>
          <w:sz w:val="24"/>
          <w:szCs w:val="24"/>
          <w:highlight w:val="none"/>
          <w:lang w:val="en-US" w:eastAsia="zh-CN"/>
        </w:rPr>
        <w:t xml:space="preserve">体现产品制造商信息的</w:t>
      </w:r>
      <w:r>
        <w:rPr>
          <w:rFonts w:hint="eastAsia" w:ascii="宋体" w:hAnsi="宋体" w:cs="宋体"/>
          <w:b/>
          <w:bCs/>
          <w:color w:val="auto"/>
          <w:sz w:val="24"/>
          <w:szCs w:val="24"/>
          <w:highlight w:val="none"/>
        </w:rPr>
        <w:t xml:space="preserve">官网截图证明（或产品说明书或彩页）</w:t>
      </w:r>
      <w:r>
        <w:rPr>
          <w:rFonts w:hint="eastAsia" w:ascii="宋体" w:hAnsi="宋体" w:cs="宋体"/>
          <w:b/>
          <w:bCs/>
          <w:color w:val="auto"/>
          <w:sz w:val="24"/>
          <w:highlight w:val="none"/>
          <w:u w:val="none"/>
        </w:rPr>
        <w:t xml:space="preserve">或第三方检测机构出具的带有CMA或CNAS认证标识的检测报告扫描件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5、定量下限：≤0.05mg/L；</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6、记忆效应：±0.3mg/L；</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7</w:t>
      </w:r>
      <w:r>
        <w:rPr>
          <w:rFonts w:hint="eastAsia" w:ascii="宋体" w:hAnsi="宋体" w:cs="宋体"/>
          <w:color w:val="auto"/>
          <w:sz w:val="24"/>
          <w:highlight w:val="none"/>
        </w:rPr>
        <w:t xml:space="preserve">、量程漂移：±0.5%；</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8</w:t>
      </w:r>
      <w:r>
        <w:rPr>
          <w:rFonts w:hint="eastAsia" w:ascii="宋体" w:hAnsi="宋体" w:cs="宋体"/>
          <w:color w:val="auto"/>
          <w:sz w:val="24"/>
          <w:highlight w:val="none"/>
        </w:rPr>
        <w:t xml:space="preserve">、示值误差：±2.0%；</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9</w:t>
      </w:r>
      <w:r>
        <w:rPr>
          <w:rFonts w:hint="eastAsia" w:ascii="宋体" w:hAnsi="宋体" w:cs="宋体"/>
          <w:color w:val="auto"/>
          <w:sz w:val="24"/>
          <w:highlight w:val="none"/>
        </w:rPr>
        <w:t xml:space="preserve">、重复性误差：±1.0%；</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0</w:t>
      </w:r>
      <w:r>
        <w:rPr>
          <w:rFonts w:hint="eastAsia" w:ascii="宋体" w:hAnsi="宋体" w:cs="宋体"/>
          <w:color w:val="auto"/>
          <w:sz w:val="24"/>
          <w:highlight w:val="none"/>
        </w:rPr>
        <w:t xml:space="preserve">、检出限</w:t>
      </w:r>
      <w:bookmarkStart w:id="436" w:name="OLE_LINK3"/>
      <w:r/>
      <w:bookmarkStart w:id="437" w:name="OLE_LINK4"/>
      <w:r>
        <w:rPr>
          <w:rFonts w:hint="eastAsia" w:ascii="宋体" w:hAnsi="宋体" w:cs="宋体"/>
          <w:color w:val="auto"/>
          <w:sz w:val="24"/>
          <w:highlight w:val="none"/>
        </w:rPr>
        <w:t xml:space="preserve">：≤</w:t>
      </w:r>
      <w:bookmarkEnd w:id="436"/>
      <w:r/>
      <w:bookmarkEnd w:id="437"/>
      <w:r>
        <w:rPr>
          <w:rFonts w:hint="eastAsia" w:ascii="宋体" w:hAnsi="宋体" w:cs="宋体"/>
          <w:color w:val="auto"/>
          <w:sz w:val="24"/>
          <w:highlight w:val="none"/>
        </w:rPr>
        <w:t xml:space="preserve">0.005 mg/L；</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1</w:t>
      </w:r>
      <w:r>
        <w:rPr>
          <w:rFonts w:hint="eastAsia" w:ascii="宋体" w:hAnsi="宋体" w:cs="宋体"/>
          <w:color w:val="auto"/>
          <w:sz w:val="24"/>
          <w:highlight w:val="none"/>
        </w:rPr>
        <w:t xml:space="preserve">、</w:t>
      </w:r>
      <w:r>
        <w:rPr>
          <w:rFonts w:hint="eastAsia"/>
          <w:color w:val="auto"/>
          <w:sz w:val="24"/>
          <w:highlight w:val="none"/>
        </w:rPr>
        <w:t xml:space="preserve">定量方式：注射泵或柱塞泵。</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2</w:t>
      </w:r>
      <w:r>
        <w:rPr>
          <w:rFonts w:hint="eastAsia" w:ascii="宋体" w:hAnsi="宋体" w:cs="宋体"/>
          <w:color w:val="auto"/>
          <w:sz w:val="24"/>
          <w:highlight w:val="none"/>
        </w:rPr>
        <w:t xml:space="preserve">、具备基于背景扣除原理的抗浊度干扰功能；具备测试数据标记功能，能够识别测试数据属性；具备高低监测量程自动切换功能；具备试剂余量监控。</w:t>
      </w:r>
      <w:r/>
    </w:p>
    <w:p>
      <w:pPr>
        <w:ind w:firstLine="240"/>
        <w:spacing w:line="440" w:lineRule="exact"/>
        <w:rPr>
          <w:rFonts w:ascii="宋体" w:hAnsi="宋体" w:cs="宋体"/>
          <w:color w:val="auto"/>
          <w:sz w:val="24"/>
          <w:highlight w:val="none"/>
        </w:rPr>
      </w:pPr>
      <w:r>
        <w:rPr>
          <w:rFonts w:hint="eastAsia" w:ascii="宋体" w:hAnsi="宋体"/>
          <w:color w:val="auto"/>
          <w:sz w:val="24"/>
          <w:highlight w:val="none"/>
        </w:rPr>
        <w:t xml:space="preserve">▲</w:t>
      </w:r>
      <w:r>
        <w:rPr>
          <w:rFonts w:hint="eastAsia" w:ascii="宋体" w:hAnsi="宋体" w:cs="宋体"/>
          <w:color w:val="auto"/>
          <w:sz w:val="24"/>
          <w:highlight w:val="none"/>
        </w:rPr>
        <w:t xml:space="preserve">13、具备自动和远程进行水样测试、校准、标液核查、平行样测试、多点线性测试、加标回收测试等质控功能；</w:t>
      </w:r>
      <w:r>
        <w:rPr>
          <w:rFonts w:hint="eastAsia" w:ascii="宋体" w:hAnsi="宋体" w:cs="宋体"/>
          <w:b/>
          <w:bCs/>
          <w:color w:val="auto"/>
          <w:sz w:val="24"/>
          <w:highlight w:val="none"/>
          <w:u w:val="none"/>
        </w:rPr>
        <w:t xml:space="preserve">提供</w:t>
      </w:r>
      <w:r>
        <w:rPr>
          <w:rFonts w:hint="eastAsia" w:ascii="宋体" w:hAnsi="宋体" w:cs="宋体"/>
          <w:b/>
          <w:bCs/>
          <w:color w:val="auto"/>
          <w:sz w:val="24"/>
          <w:szCs w:val="24"/>
          <w:highlight w:val="none"/>
          <w:lang w:val="en-US" w:eastAsia="zh-CN"/>
        </w:rPr>
        <w:t xml:space="preserve">体现产品制造商信息的</w:t>
      </w:r>
      <w:r>
        <w:rPr>
          <w:rFonts w:hint="eastAsia" w:ascii="宋体" w:hAnsi="宋体" w:cs="宋体"/>
          <w:b/>
          <w:bCs/>
          <w:color w:val="auto"/>
          <w:sz w:val="24"/>
          <w:szCs w:val="24"/>
          <w:highlight w:val="none"/>
        </w:rPr>
        <w:t xml:space="preserve">官网截图证明（或产品说明书或彩页）</w:t>
      </w:r>
      <w:r>
        <w:rPr>
          <w:rFonts w:hint="eastAsia" w:ascii="宋体" w:hAnsi="宋体" w:cs="宋体"/>
          <w:b/>
          <w:bCs/>
          <w:color w:val="auto"/>
          <w:sz w:val="24"/>
          <w:highlight w:val="none"/>
          <w:u w:val="none"/>
        </w:rPr>
        <w:t xml:space="preserve">或第三方检测机构出具的检测报告扫描件</w:t>
      </w:r>
      <w:r/>
    </w:p>
    <w:p>
      <w:pPr>
        <w:spacing w:line="440" w:lineRule="exact"/>
        <w:rPr>
          <w:rFonts w:ascii="宋体" w:hAnsi="宋体" w:cs="宋体"/>
          <w:b/>
          <w:bCs/>
          <w:color w:val="auto"/>
          <w:sz w:val="32"/>
          <w:szCs w:val="32"/>
          <w:highlight w:val="none"/>
        </w:rPr>
        <w:outlineLvl w:val="1"/>
      </w:pPr>
      <w:r/>
      <w:bookmarkStart w:id="438" w:name="_Toc31164"/>
      <w:r/>
      <w:bookmarkStart w:id="439" w:name="_Toc239671963"/>
      <w:r>
        <w:rPr>
          <w:rFonts w:hint="eastAsia" w:ascii="宋体" w:hAnsi="宋体" w:cs="宋体"/>
          <w:b/>
          <w:bCs/>
          <w:color w:val="auto"/>
          <w:sz w:val="32"/>
          <w:szCs w:val="32"/>
          <w:highlight w:val="none"/>
        </w:rPr>
        <w:t xml:space="preserve">十三、总磷在线监测仪</w:t>
      </w:r>
      <w:bookmarkEnd w:id="438"/>
      <w:r/>
      <w:bookmarkEnd w:id="439"/>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1、仪器原理：过硫酸盐氧化钼酸铵分光光度法；</w:t>
      </w:r>
      <w:r/>
    </w:p>
    <w:p>
      <w:pPr>
        <w:ind w:firstLine="240"/>
        <w:spacing w:line="440" w:lineRule="exact"/>
        <w:rPr>
          <w:rFonts w:ascii="宋体" w:hAnsi="宋体" w:cs="宋体"/>
          <w:color w:val="auto"/>
          <w:sz w:val="24"/>
          <w:highlight w:val="none"/>
        </w:rPr>
      </w:pPr>
      <w:r>
        <w:rPr>
          <w:rFonts w:hint="eastAsia" w:ascii="宋体" w:hAnsi="宋体"/>
          <w:color w:val="auto"/>
          <w:sz w:val="24"/>
          <w:highlight w:val="none"/>
        </w:rPr>
        <w:t xml:space="preserve">▲</w:t>
      </w:r>
      <w:r>
        <w:rPr>
          <w:rFonts w:hint="eastAsia" w:ascii="宋体" w:hAnsi="宋体" w:cs="宋体"/>
          <w:color w:val="auto"/>
          <w:sz w:val="24"/>
          <w:highlight w:val="none"/>
        </w:rPr>
        <w:t xml:space="preserve">2、重复性误差：±1%；</w:t>
      </w:r>
      <w:r>
        <w:rPr>
          <w:rFonts w:hint="eastAsia" w:ascii="宋体" w:hAnsi="宋体" w:cs="宋体"/>
          <w:b/>
          <w:bCs/>
          <w:color w:val="auto"/>
          <w:sz w:val="24"/>
          <w:highlight w:val="none"/>
          <w:u w:val="none"/>
        </w:rPr>
        <w:t xml:space="preserve">提供</w:t>
      </w:r>
      <w:r>
        <w:rPr>
          <w:rFonts w:hint="eastAsia" w:ascii="宋体" w:hAnsi="宋体" w:cs="宋体"/>
          <w:b/>
          <w:bCs/>
          <w:color w:val="auto"/>
          <w:sz w:val="24"/>
          <w:szCs w:val="24"/>
          <w:highlight w:val="none"/>
          <w:lang w:val="en-US" w:eastAsia="zh-CN"/>
        </w:rPr>
        <w:t xml:space="preserve">体现产品制造商信息的</w:t>
      </w:r>
      <w:r>
        <w:rPr>
          <w:rFonts w:hint="eastAsia" w:ascii="宋体" w:hAnsi="宋体" w:cs="宋体"/>
          <w:b/>
          <w:bCs/>
          <w:color w:val="auto"/>
          <w:sz w:val="24"/>
          <w:szCs w:val="24"/>
          <w:highlight w:val="none"/>
        </w:rPr>
        <w:t xml:space="preserve">官网截图证明（或产品说明书或彩页）</w:t>
      </w:r>
      <w:r>
        <w:rPr>
          <w:rFonts w:hint="eastAsia" w:ascii="宋体" w:hAnsi="宋体" w:cs="宋体"/>
          <w:b/>
          <w:bCs/>
          <w:color w:val="auto"/>
          <w:sz w:val="24"/>
          <w:highlight w:val="none"/>
          <w:u w:val="none"/>
        </w:rPr>
        <w:t xml:space="preserve">或第三方检测机构出具的带有CMA或CNAS认证标识的检测报告扫描件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3、零点漂移：±1%；</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4、量程漂移：±1%；</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5、直线性：±2.5%；</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6</w:t>
      </w:r>
      <w:r>
        <w:rPr>
          <w:rFonts w:hint="eastAsia" w:ascii="宋体" w:hAnsi="宋体" w:cs="宋体"/>
          <w:color w:val="auto"/>
          <w:sz w:val="24"/>
          <w:highlight w:val="none"/>
        </w:rPr>
        <w:t xml:space="preserve">、MTBF≥1440h/次无故障；</w:t>
      </w:r>
      <w:r/>
    </w:p>
    <w:p>
      <w:pPr>
        <w:ind w:firstLine="480"/>
        <w:spacing w:line="440" w:lineRule="exact"/>
        <w:rPr>
          <w:color w:val="auto"/>
          <w:sz w:val="24"/>
          <w:highlight w:val="none"/>
        </w:rPr>
      </w:pPr>
      <w:r>
        <w:rPr>
          <w:rFonts w:ascii="宋体" w:hAnsi="宋体" w:cs="宋体"/>
          <w:color w:val="auto"/>
          <w:sz w:val="24"/>
          <w:highlight w:val="none"/>
        </w:rPr>
        <w:t xml:space="preserve">7</w:t>
      </w:r>
      <w:r>
        <w:rPr>
          <w:rFonts w:hint="eastAsia" w:ascii="宋体" w:hAnsi="宋体" w:cs="宋体"/>
          <w:color w:val="auto"/>
          <w:sz w:val="24"/>
          <w:highlight w:val="none"/>
        </w:rPr>
        <w:t xml:space="preserve">、</w:t>
      </w:r>
      <w:r>
        <w:rPr>
          <w:rFonts w:hint="eastAsia"/>
          <w:color w:val="auto"/>
          <w:sz w:val="24"/>
          <w:highlight w:val="none"/>
        </w:rPr>
        <w:t xml:space="preserve">量程：包含</w:t>
      </w:r>
      <w:r>
        <w:rPr>
          <w:rFonts w:hint="eastAsia" w:ascii="宋体" w:hAnsi="宋体" w:cs="宋体"/>
          <w:color w:val="auto"/>
          <w:sz w:val="24"/>
          <w:highlight w:val="none"/>
        </w:rPr>
        <w:t xml:space="preserve">0～0.5/1/2mg/L</w:t>
      </w:r>
      <w:r>
        <w:rPr>
          <w:rFonts w:hint="eastAsia"/>
          <w:color w:val="auto"/>
          <w:sz w:val="24"/>
          <w:highlight w:val="none"/>
        </w:rPr>
        <w:t xml:space="preserve">，可调</w:t>
      </w:r>
      <w:r>
        <w:rPr>
          <w:rFonts w:hint="eastAsia" w:ascii="宋体" w:hAnsi="宋体" w:cs="宋体"/>
          <w:color w:val="auto"/>
          <w:sz w:val="24"/>
          <w:highlight w:val="none"/>
        </w:rPr>
        <w:t xml:space="preserve">，适用于站点水质情况</w:t>
      </w:r>
      <w:r>
        <w:rPr>
          <w:rFonts w:hint="eastAsia"/>
          <w:color w:val="auto"/>
          <w:sz w:val="24"/>
          <w:highlight w:val="none"/>
        </w:rPr>
        <w:t xml:space="preserve">；</w:t>
      </w:r>
      <w:r/>
    </w:p>
    <w:p>
      <w:pPr>
        <w:ind w:firstLine="480"/>
        <w:spacing w:line="440" w:lineRule="exact"/>
        <w:rPr>
          <w:rFonts w:ascii="宋体" w:hAnsi="宋体" w:cs="宋体"/>
          <w:color w:val="auto"/>
          <w:sz w:val="24"/>
          <w:highlight w:val="none"/>
        </w:rPr>
      </w:pPr>
      <w:r>
        <w:rPr>
          <w:color w:val="auto"/>
          <w:sz w:val="24"/>
          <w:highlight w:val="none"/>
        </w:rPr>
        <w:t xml:space="preserve">8</w:t>
      </w:r>
      <w:r>
        <w:rPr>
          <w:rFonts w:hint="eastAsia"/>
          <w:color w:val="auto"/>
          <w:sz w:val="24"/>
          <w:highlight w:val="none"/>
        </w:rPr>
        <w:t xml:space="preserve">、</w:t>
      </w:r>
      <w:r>
        <w:rPr>
          <w:rFonts w:hint="eastAsia" w:ascii="宋体" w:hAnsi="宋体" w:cs="宋体"/>
          <w:color w:val="auto"/>
          <w:sz w:val="24"/>
          <w:highlight w:val="none"/>
        </w:rPr>
        <w:t xml:space="preserve">检出限：≤0.01mg/L；</w:t>
      </w:r>
      <w:r/>
    </w:p>
    <w:p>
      <w:pPr>
        <w:ind w:firstLine="480"/>
        <w:spacing w:line="440" w:lineRule="exact"/>
        <w:rPr>
          <w:color w:val="auto"/>
          <w:sz w:val="24"/>
          <w:highlight w:val="none"/>
        </w:rPr>
      </w:pPr>
      <w:r>
        <w:rPr>
          <w:rFonts w:hint="eastAsia" w:ascii="宋体" w:hAnsi="宋体" w:cs="宋体"/>
          <w:color w:val="auto"/>
          <w:sz w:val="24"/>
          <w:highlight w:val="none"/>
        </w:rPr>
        <w:t xml:space="preserve">9、</w:t>
      </w:r>
      <w:r>
        <w:rPr>
          <w:rFonts w:hint="eastAsia"/>
          <w:color w:val="auto"/>
          <w:sz w:val="24"/>
          <w:highlight w:val="none"/>
        </w:rPr>
        <w:t xml:space="preserve">定量方式：注射泵或柱塞泵。</w:t>
      </w:r>
      <w:r/>
    </w:p>
    <w:p>
      <w:pPr>
        <w:ind w:firstLine="480"/>
        <w:spacing w:line="440" w:lineRule="exact"/>
        <w:rPr>
          <w:rFonts w:ascii="宋体" w:hAnsi="宋体" w:cs="宋体"/>
          <w:color w:val="auto"/>
          <w:sz w:val="24"/>
          <w:highlight w:val="none"/>
        </w:rPr>
      </w:pPr>
      <w:r/>
      <w:bookmarkStart w:id="440" w:name="OLE_LINK7"/>
      <w:r/>
      <w:bookmarkStart w:id="441" w:name="OLE_LINK8"/>
      <w:r>
        <w:rPr>
          <w:rFonts w:hint="eastAsia" w:ascii="宋体" w:hAnsi="宋体" w:cs="宋体"/>
          <w:color w:val="auto"/>
          <w:sz w:val="24"/>
          <w:highlight w:val="none"/>
        </w:rPr>
        <w:t xml:space="preserve">10、具备基于背景扣除原理的抗浊度干扰功能；</w:t>
      </w:r>
      <w:bookmarkEnd w:id="440"/>
      <w:r/>
      <w:bookmarkEnd w:id="441"/>
      <w:r>
        <w:rPr>
          <w:rFonts w:hint="eastAsia" w:ascii="宋体" w:hAnsi="宋体" w:cs="宋体"/>
          <w:color w:val="auto"/>
          <w:sz w:val="24"/>
          <w:highlight w:val="none"/>
        </w:rPr>
        <w:t xml:space="preserve">具备测试数据标记功能，能够识别测试数据属性；具备高低监测量程自动切换功能；具备试剂余量监控。</w:t>
      </w:r>
      <w:r/>
    </w:p>
    <w:p>
      <w:pPr>
        <w:ind w:firstLine="240"/>
        <w:spacing w:line="440" w:lineRule="exact"/>
        <w:rPr>
          <w:rFonts w:ascii="宋体" w:hAnsi="宋体" w:cs="宋体"/>
          <w:color w:val="auto"/>
          <w:sz w:val="24"/>
          <w:highlight w:val="none"/>
        </w:rPr>
      </w:pPr>
      <w:r>
        <w:rPr>
          <w:rFonts w:hint="eastAsia" w:ascii="宋体" w:hAnsi="宋体"/>
          <w:color w:val="auto"/>
          <w:sz w:val="24"/>
          <w:highlight w:val="none"/>
        </w:rPr>
        <w:t xml:space="preserve">▲</w:t>
      </w:r>
      <w:r>
        <w:rPr>
          <w:rFonts w:hint="eastAsia" w:ascii="宋体" w:hAnsi="宋体" w:cs="宋体"/>
          <w:color w:val="auto"/>
          <w:sz w:val="24"/>
          <w:highlight w:val="none"/>
        </w:rPr>
        <w:t xml:space="preserve">11、具备自动和远程进行水样测试、校准、标液核查、平行样测试、多点线性测试、加标回收测试等质控功能；</w:t>
      </w:r>
      <w:r>
        <w:rPr>
          <w:rFonts w:hint="eastAsia" w:ascii="宋体" w:hAnsi="宋体" w:cs="宋体"/>
          <w:b/>
          <w:bCs/>
          <w:color w:val="auto"/>
          <w:sz w:val="24"/>
          <w:highlight w:val="none"/>
          <w:u w:val="none"/>
        </w:rPr>
        <w:t xml:space="preserve">提供</w:t>
      </w:r>
      <w:r>
        <w:rPr>
          <w:rFonts w:hint="eastAsia" w:ascii="宋体" w:hAnsi="宋体" w:cs="宋体"/>
          <w:b/>
          <w:bCs/>
          <w:color w:val="auto"/>
          <w:sz w:val="24"/>
          <w:szCs w:val="24"/>
          <w:highlight w:val="none"/>
          <w:lang w:val="en-US" w:eastAsia="zh-CN"/>
        </w:rPr>
        <w:t xml:space="preserve">体现产品制造商信息的</w:t>
      </w:r>
      <w:r>
        <w:rPr>
          <w:rFonts w:hint="eastAsia" w:ascii="宋体" w:hAnsi="宋体" w:cs="宋体"/>
          <w:b/>
          <w:bCs/>
          <w:color w:val="auto"/>
          <w:sz w:val="24"/>
          <w:szCs w:val="24"/>
          <w:highlight w:val="none"/>
        </w:rPr>
        <w:t xml:space="preserve">官网截图证明（或产品说明书或彩页）</w:t>
      </w:r>
      <w:r>
        <w:rPr>
          <w:rFonts w:hint="eastAsia" w:ascii="宋体" w:hAnsi="宋体" w:cs="宋体"/>
          <w:b/>
          <w:bCs/>
          <w:color w:val="auto"/>
          <w:sz w:val="24"/>
          <w:highlight w:val="none"/>
          <w:u w:val="none"/>
        </w:rPr>
        <w:t xml:space="preserve">或第三方检测机构出具的检测报告扫描件</w:t>
      </w:r>
      <w:r/>
    </w:p>
    <w:p>
      <w:pPr>
        <w:spacing w:line="440" w:lineRule="exact"/>
        <w:rPr>
          <w:rFonts w:ascii="宋体" w:hAnsi="宋体" w:cs="宋体"/>
          <w:b/>
          <w:bCs/>
          <w:color w:val="auto"/>
          <w:sz w:val="32"/>
          <w:szCs w:val="32"/>
          <w:highlight w:val="none"/>
        </w:rPr>
        <w:outlineLvl w:val="1"/>
      </w:pPr>
      <w:r/>
      <w:bookmarkStart w:id="442" w:name="_Toc239671964"/>
      <w:r/>
      <w:bookmarkStart w:id="443" w:name="_Toc14815"/>
      <w:r>
        <w:rPr>
          <w:rFonts w:hint="eastAsia" w:ascii="宋体" w:hAnsi="宋体" w:cs="宋体"/>
          <w:b/>
          <w:bCs/>
          <w:color w:val="auto"/>
          <w:sz w:val="32"/>
          <w:szCs w:val="32"/>
          <w:highlight w:val="none"/>
        </w:rPr>
        <w:t xml:space="preserve">十四、总氮在线监测仪</w:t>
      </w:r>
      <w:bookmarkEnd w:id="442"/>
      <w:r/>
      <w:bookmarkEnd w:id="443"/>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1、仪器原理：过硫酸钾氧化紫外分光光度法；</w:t>
      </w:r>
      <w:r/>
    </w:p>
    <w:p>
      <w:pPr>
        <w:ind w:firstLine="240"/>
        <w:spacing w:line="440" w:lineRule="exact"/>
        <w:rPr>
          <w:rFonts w:ascii="宋体" w:hAnsi="宋体" w:cs="宋体"/>
          <w:color w:val="auto"/>
          <w:sz w:val="24"/>
          <w:highlight w:val="none"/>
        </w:rPr>
      </w:pPr>
      <w:r>
        <w:rPr>
          <w:rFonts w:hint="eastAsia" w:ascii="宋体" w:hAnsi="宋体"/>
          <w:color w:val="auto"/>
          <w:sz w:val="24"/>
          <w:highlight w:val="none"/>
        </w:rPr>
        <w:t xml:space="preserve">▲</w:t>
      </w:r>
      <w:r>
        <w:rPr>
          <w:rFonts w:hint="eastAsia" w:ascii="宋体" w:hAnsi="宋体" w:cs="宋体"/>
          <w:color w:val="auto"/>
          <w:sz w:val="24"/>
          <w:highlight w:val="none"/>
        </w:rPr>
        <w:t xml:space="preserve">2、重复性误差：±1%；</w:t>
      </w:r>
      <w:r>
        <w:rPr>
          <w:rFonts w:hint="eastAsia" w:ascii="宋体" w:hAnsi="宋体" w:cs="宋体"/>
          <w:b/>
          <w:bCs/>
          <w:color w:val="auto"/>
          <w:sz w:val="24"/>
          <w:highlight w:val="none"/>
          <w:u w:val="none"/>
        </w:rPr>
        <w:t xml:space="preserve">提供</w:t>
      </w:r>
      <w:r>
        <w:rPr>
          <w:rFonts w:hint="eastAsia" w:ascii="宋体" w:hAnsi="宋体" w:cs="宋体"/>
          <w:b/>
          <w:bCs/>
          <w:color w:val="auto"/>
          <w:sz w:val="24"/>
          <w:szCs w:val="24"/>
          <w:highlight w:val="none"/>
          <w:lang w:val="en-US" w:eastAsia="zh-CN"/>
        </w:rPr>
        <w:t xml:space="preserve">体现产品制造商信息的</w:t>
      </w:r>
      <w:r>
        <w:rPr>
          <w:rFonts w:hint="eastAsia" w:ascii="宋体" w:hAnsi="宋体" w:cs="宋体"/>
          <w:b/>
          <w:bCs/>
          <w:color w:val="auto"/>
          <w:sz w:val="24"/>
          <w:szCs w:val="24"/>
          <w:highlight w:val="none"/>
        </w:rPr>
        <w:t xml:space="preserve">官网截图证明（或产品说明书或彩页）</w:t>
      </w:r>
      <w:r>
        <w:rPr>
          <w:rFonts w:hint="eastAsia" w:ascii="宋体" w:hAnsi="宋体" w:cs="宋体"/>
          <w:b/>
          <w:bCs/>
          <w:color w:val="auto"/>
          <w:sz w:val="24"/>
          <w:highlight w:val="none"/>
          <w:u w:val="none"/>
        </w:rPr>
        <w:t xml:space="preserve">或第三方检测机构出具的带有CMA或CNAS认证标识的检测报告扫描件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3、零点漂移：±2%；</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4、量程漂移：±2%；</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5、直线性：±1.5%；</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6、MTBF：≥720h/次；</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7</w:t>
      </w:r>
      <w:r>
        <w:rPr>
          <w:rFonts w:hint="eastAsia" w:ascii="宋体" w:hAnsi="宋体" w:cs="宋体"/>
          <w:color w:val="auto"/>
          <w:sz w:val="24"/>
          <w:highlight w:val="none"/>
        </w:rPr>
        <w:t xml:space="preserve">、量程：包含0～5/10/20mg/L，</w:t>
      </w:r>
      <w:r>
        <w:rPr>
          <w:rFonts w:hint="eastAsia"/>
          <w:color w:val="auto"/>
          <w:sz w:val="24"/>
          <w:highlight w:val="none"/>
        </w:rPr>
        <w:t xml:space="preserve">可调</w:t>
      </w:r>
      <w:r>
        <w:rPr>
          <w:rFonts w:hint="eastAsia" w:ascii="宋体" w:hAnsi="宋体" w:cs="宋体"/>
          <w:color w:val="auto"/>
          <w:sz w:val="24"/>
          <w:highlight w:val="none"/>
        </w:rPr>
        <w:t xml:space="preserve">，适用于站点水质情况；</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8、</w:t>
      </w:r>
      <w:r>
        <w:rPr>
          <w:rFonts w:hint="eastAsia" w:ascii="宋体" w:hAnsi="宋体" w:cs="宋体"/>
          <w:color w:val="auto"/>
          <w:sz w:val="24"/>
          <w:highlight w:val="none"/>
        </w:rPr>
        <w:t xml:space="preserve">检出限：≤0.1mg/L；</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9、</w:t>
      </w:r>
      <w:r>
        <w:rPr>
          <w:rFonts w:hint="eastAsia"/>
          <w:color w:val="auto"/>
          <w:sz w:val="24"/>
          <w:highlight w:val="none"/>
        </w:rPr>
        <w:t xml:space="preserve">定量方式：注射泵或柱塞泵。</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10、具备基于背景扣除原理的抗浊度干扰功能；具备测试数据标记功能，能够识别测试数据属性；具备高低监测量程自动切换功能；具备试剂余量监控。</w:t>
      </w:r>
      <w:r/>
    </w:p>
    <w:p>
      <w:pPr>
        <w:ind w:firstLine="240"/>
        <w:spacing w:line="440" w:lineRule="exact"/>
        <w:rPr>
          <w:rFonts w:ascii="宋体" w:hAnsi="宋体" w:cs="宋体"/>
          <w:color w:val="auto"/>
          <w:sz w:val="24"/>
          <w:highlight w:val="none"/>
        </w:rPr>
      </w:pPr>
      <w:r>
        <w:rPr>
          <w:rFonts w:hint="eastAsia" w:ascii="宋体" w:hAnsi="宋体"/>
          <w:color w:val="auto"/>
          <w:sz w:val="24"/>
          <w:highlight w:val="none"/>
        </w:rPr>
        <w:t xml:space="preserve">▲</w:t>
      </w:r>
      <w:r>
        <w:rPr>
          <w:rFonts w:hint="eastAsia" w:ascii="宋体" w:hAnsi="宋体" w:cs="宋体"/>
          <w:color w:val="auto"/>
          <w:sz w:val="24"/>
          <w:highlight w:val="none"/>
        </w:rPr>
        <w:t xml:space="preserve">11、具备自动和远程进行水样测试、校准、标液核查、平行样测试、多点线性测试、加标回收测试等质控功能；</w:t>
      </w:r>
      <w:r>
        <w:rPr>
          <w:rFonts w:hint="eastAsia" w:ascii="宋体" w:hAnsi="宋体" w:cs="宋体"/>
          <w:b/>
          <w:bCs/>
          <w:color w:val="auto"/>
          <w:sz w:val="24"/>
          <w:highlight w:val="none"/>
          <w:u w:val="none"/>
        </w:rPr>
        <w:t xml:space="preserve">提供</w:t>
      </w:r>
      <w:r>
        <w:rPr>
          <w:rFonts w:hint="eastAsia" w:ascii="宋体" w:hAnsi="宋体" w:cs="宋体"/>
          <w:b/>
          <w:bCs/>
          <w:color w:val="auto"/>
          <w:sz w:val="24"/>
          <w:szCs w:val="24"/>
          <w:highlight w:val="none"/>
          <w:lang w:val="en-US" w:eastAsia="zh-CN"/>
        </w:rPr>
        <w:t xml:space="preserve">体现产品制造商信息的</w:t>
      </w:r>
      <w:r>
        <w:rPr>
          <w:rFonts w:hint="eastAsia" w:ascii="宋体" w:hAnsi="宋体" w:cs="宋体"/>
          <w:b/>
          <w:bCs/>
          <w:color w:val="auto"/>
          <w:sz w:val="24"/>
          <w:szCs w:val="24"/>
          <w:highlight w:val="none"/>
        </w:rPr>
        <w:t xml:space="preserve">官网截图证明（或产品说明书或彩页）</w:t>
      </w:r>
      <w:r>
        <w:rPr>
          <w:rFonts w:hint="eastAsia" w:ascii="宋体" w:hAnsi="宋体" w:cs="宋体"/>
          <w:b/>
          <w:bCs/>
          <w:color w:val="auto"/>
          <w:sz w:val="24"/>
          <w:highlight w:val="none"/>
          <w:u w:val="none"/>
        </w:rPr>
        <w:t xml:space="preserve">或第三方检测机构出具的检测报告扫描件</w:t>
      </w:r>
      <w:r/>
    </w:p>
    <w:p>
      <w:pPr>
        <w:spacing w:line="440" w:lineRule="exact"/>
        <w:rPr>
          <w:rFonts w:ascii="宋体" w:hAnsi="宋体" w:cs="宋体"/>
          <w:b/>
          <w:bCs/>
          <w:color w:val="auto"/>
          <w:sz w:val="32"/>
          <w:szCs w:val="32"/>
          <w:highlight w:val="none"/>
        </w:rPr>
        <w:outlineLvl w:val="1"/>
      </w:pPr>
      <w:r/>
      <w:bookmarkStart w:id="444" w:name="_Toc7358"/>
      <w:r/>
      <w:bookmarkStart w:id="445" w:name="_Toc239671965"/>
      <w:r>
        <w:rPr>
          <w:rFonts w:hint="eastAsia" w:ascii="宋体" w:hAnsi="宋体" w:cs="宋体"/>
          <w:b/>
          <w:bCs/>
          <w:color w:val="auto"/>
          <w:sz w:val="32"/>
          <w:szCs w:val="32"/>
          <w:highlight w:val="none"/>
        </w:rPr>
        <w:t xml:space="preserve">十五、常规五参数分析仪</w:t>
      </w:r>
      <w:bookmarkEnd w:id="444"/>
      <w:r/>
      <w:bookmarkEnd w:id="445"/>
      <w:r/>
      <w:r/>
    </w:p>
    <w:p>
      <w:pPr>
        <w:pStyle w:val="833"/>
        <w:ind w:left="0"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1、水温：测量方法：热敏电阻法；测定范围：0.0～60.0℃；测量偏差：±0.5 ℃；</w:t>
      </w:r>
      <w:r/>
    </w:p>
    <w:p>
      <w:pPr>
        <w:pStyle w:val="833"/>
        <w:ind w:left="0"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2、pH：测量方法：玻璃电极法；测定范围：0.00～14.00 pH；温度补偿精度：±0.1pH；重复性：±0.08pH；漂移：±0.1pH；</w:t>
      </w:r>
      <w:r/>
    </w:p>
    <w:p>
      <w:pPr>
        <w:pStyle w:val="833"/>
        <w:ind w:left="0"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3、溶解氧：测量方法：荧光法；测定范围：0.00～20.00mg/L；温度补偿精度：±0.1mg/L；重复性：±0.2mg/L；零点漂移：±0.3mg/L；量程漂移：±0.2mg/L；</w:t>
      </w:r>
      <w:r/>
    </w:p>
    <w:p>
      <w:pPr>
        <w:pStyle w:val="833"/>
        <w:ind w:left="0"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4、电导率：测量方法：电极法；测定范围：0～5000 uS/cm，量程可拓展；温度补偿精度：±0.5% ；重复性：±1% ；零点漂移：±1%；量程漂移：±1%；响应时间：≤30s；</w:t>
      </w:r>
      <w:r/>
    </w:p>
    <w:p>
      <w:pPr>
        <w:ind w:firstLine="480"/>
        <w:spacing w:line="440" w:lineRule="exact"/>
        <w:rPr>
          <w:color w:val="auto"/>
          <w:highlight w:val="none"/>
        </w:rPr>
      </w:pPr>
      <w:r>
        <w:rPr>
          <w:rFonts w:hint="eastAsia" w:ascii="宋体" w:hAnsi="宋体" w:cs="宋体"/>
          <w:color w:val="auto"/>
          <w:sz w:val="24"/>
          <w:highlight w:val="none"/>
        </w:rPr>
        <w:t xml:space="preserve">5、浊度：测量方法：光散射法；测定范围：</w:t>
      </w:r>
      <w:bookmarkStart w:id="446" w:name="OLE_LINK9"/>
      <w:r>
        <w:rPr>
          <w:rFonts w:hint="eastAsia" w:ascii="宋体" w:hAnsi="宋体" w:cs="宋体"/>
          <w:color w:val="auto"/>
          <w:sz w:val="24"/>
          <w:highlight w:val="none"/>
        </w:rPr>
        <w:t xml:space="preserve">0～1000 NTU</w:t>
      </w:r>
      <w:bookmarkEnd w:id="446"/>
      <w:r>
        <w:rPr>
          <w:rFonts w:hint="eastAsia" w:ascii="宋体" w:hAnsi="宋体" w:cs="宋体"/>
          <w:color w:val="auto"/>
          <w:sz w:val="24"/>
          <w:highlight w:val="none"/>
        </w:rPr>
        <w:t xml:space="preserve">，量程可拓展；重复性：±5%；零点漂移：±3%；量程漂移：±5%；线性误差：±5%；电压稳定性：±3%。</w:t>
      </w:r>
      <w:r/>
    </w:p>
    <w:p>
      <w:pPr>
        <w:spacing w:line="440" w:lineRule="exact"/>
        <w:rPr>
          <w:rFonts w:ascii="宋体" w:hAnsi="宋体" w:cs="宋体"/>
          <w:b/>
          <w:bCs/>
          <w:color w:val="auto"/>
          <w:sz w:val="32"/>
          <w:szCs w:val="32"/>
          <w:highlight w:val="none"/>
        </w:rPr>
        <w:outlineLvl w:val="1"/>
      </w:pPr>
      <w:r/>
      <w:bookmarkStart w:id="447" w:name="_Toc28013"/>
      <w:r/>
      <w:bookmarkStart w:id="448" w:name="_Toc1950"/>
      <w:r/>
      <w:bookmarkStart w:id="449" w:name="_Toc12854"/>
      <w:r/>
      <w:bookmarkStart w:id="450" w:name="_Toc239671966"/>
      <w:r>
        <w:rPr>
          <w:rFonts w:hint="eastAsia" w:ascii="宋体" w:hAnsi="宋体" w:cs="宋体"/>
          <w:b/>
          <w:bCs/>
          <w:color w:val="auto"/>
          <w:sz w:val="32"/>
          <w:szCs w:val="32"/>
          <w:highlight w:val="none"/>
        </w:rPr>
        <w:t xml:space="preserve">十六、蓝绿藻</w:t>
      </w:r>
      <w:bookmarkEnd w:id="447"/>
      <w:r/>
      <w:bookmarkEnd w:id="448"/>
      <w:r/>
      <w:bookmarkEnd w:id="449"/>
      <w:r>
        <w:rPr>
          <w:rFonts w:hint="eastAsia" w:ascii="宋体" w:hAnsi="宋体" w:cs="宋体"/>
          <w:b/>
          <w:bCs/>
          <w:color w:val="auto"/>
          <w:sz w:val="32"/>
          <w:szCs w:val="32"/>
          <w:highlight w:val="none"/>
        </w:rPr>
        <w:t xml:space="preserve">监测仪</w:t>
      </w:r>
      <w:bookmarkEnd w:id="450"/>
      <w:r/>
      <w:r/>
    </w:p>
    <w:p>
      <w:pPr>
        <w:ind w:firstLine="480"/>
        <w:spacing w:line="440" w:lineRule="exact"/>
        <w:rPr>
          <w:rFonts w:ascii="宋体" w:hAnsi="宋体" w:cs="宋体" w:eastAsiaTheme="minorEastAsia"/>
          <w:color w:val="auto"/>
          <w:sz w:val="24"/>
          <w:highlight w:val="none"/>
        </w:rPr>
      </w:pPr>
      <w:r>
        <w:rPr>
          <w:rFonts w:hint="eastAsia" w:ascii="宋体" w:hAnsi="宋体" w:cs="宋体"/>
          <w:color w:val="auto"/>
          <w:sz w:val="24"/>
          <w:highlight w:val="none"/>
        </w:rPr>
        <w:t xml:space="preserve">1、监测指标：蓝绿藻密度；</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2、测量方法：荧光法；</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3、测定范围：(0～200000/2000000)Cells/mL；</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4、检出限：≤200 Cells/mL；</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5、重复性：≤5%；</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6、准确度：±10%；</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7、分辨率：≤1Cells/mL。</w:t>
      </w:r>
      <w:r/>
    </w:p>
    <w:p>
      <w:pPr>
        <w:spacing w:line="440" w:lineRule="exact"/>
        <w:rPr>
          <w:rFonts w:ascii="宋体" w:hAnsi="宋体" w:cs="宋体"/>
          <w:b/>
          <w:bCs/>
          <w:color w:val="auto"/>
          <w:sz w:val="32"/>
          <w:szCs w:val="32"/>
          <w:highlight w:val="none"/>
        </w:rPr>
        <w:outlineLvl w:val="1"/>
      </w:pPr>
      <w:r/>
      <w:bookmarkStart w:id="451" w:name="_Toc239671967"/>
      <w:r>
        <w:rPr>
          <w:rFonts w:hint="eastAsia" w:ascii="宋体" w:hAnsi="宋体" w:cs="宋体"/>
          <w:b/>
          <w:bCs/>
          <w:color w:val="auto"/>
          <w:sz w:val="32"/>
          <w:szCs w:val="32"/>
          <w:highlight w:val="none"/>
        </w:rPr>
        <w:t xml:space="preserve">昆承湖幸福河湖建设</w:t>
      </w:r>
      <w:bookmarkEnd w:id="393"/>
      <w:r/>
      <w:bookmarkEnd w:id="394"/>
      <w:r/>
      <w:bookmarkEnd w:id="395"/>
      <w:r/>
      <w:bookmarkEnd w:id="396"/>
      <w:r>
        <w:rPr>
          <w:rFonts w:hint="eastAsia" w:ascii="宋体" w:hAnsi="宋体" w:cs="宋体"/>
          <w:b/>
          <w:bCs/>
          <w:color w:val="auto"/>
          <w:sz w:val="32"/>
          <w:szCs w:val="32"/>
          <w:highlight w:val="none"/>
        </w:rPr>
        <w:t xml:space="preserve">信息化设备集成要求</w:t>
      </w:r>
      <w:bookmarkEnd w:id="451"/>
      <w:r/>
      <w:r/>
    </w:p>
    <w:p>
      <w:pPr>
        <w:pStyle w:val="848"/>
        <w:ind w:firstLine="480"/>
        <w:spacing w:before="0" w:beforeAutospacing="0" w:after="0" w:afterAutospacing="0" w:line="440" w:lineRule="exact"/>
        <w:widowControl w:val="off"/>
        <w:rPr>
          <w:color w:val="auto"/>
          <w:highlight w:val="none"/>
          <w:lang w:bidi="ar"/>
        </w:rPr>
      </w:pPr>
      <w:r>
        <w:rPr>
          <w:rFonts w:hint="eastAsia"/>
          <w:color w:val="auto"/>
          <w:highlight w:val="none"/>
          <w:lang w:bidi="ar"/>
        </w:rPr>
        <w:t xml:space="preserve">基于“智水琴川”管理平台，将昆承湖流域河湖水系、岸线、水利工程、排口信息叠加在一张电子地图上。基础数据采集主要是完成整个系统平台所需的基础信息的采集、录入和管理，如河湖信息、河湖位置标注、河道坐标数据、湖泊坐标数据、人员信息管理、部门信息等，满足“智水琴川”管理平台接入要求。</w:t>
      </w:r>
      <w:r/>
    </w:p>
    <w:p>
      <w:pPr>
        <w:pStyle w:val="848"/>
        <w:ind w:firstLine="482"/>
        <w:spacing w:before="0" w:beforeAutospacing="0" w:after="0" w:afterAutospacing="0" w:line="440" w:lineRule="exact"/>
        <w:widowControl w:val="off"/>
        <w:rPr>
          <w:color w:val="auto"/>
          <w:highlight w:val="none"/>
        </w:rPr>
      </w:pPr>
      <w:r>
        <w:rPr>
          <w:rFonts w:hint="eastAsia"/>
          <w:b/>
          <w:bCs/>
          <w:color w:val="auto"/>
          <w:highlight w:val="none"/>
          <w:lang w:bidi="ar"/>
        </w:rPr>
        <w:t xml:space="preserve">1、昆承湖断面水质分析模块：</w:t>
      </w:r>
      <w:r>
        <w:rPr>
          <w:rFonts w:hint="eastAsia"/>
          <w:color w:val="auto"/>
          <w:highlight w:val="none"/>
          <w:lang w:bidi="ar"/>
        </w:rPr>
        <w:t xml:space="preserve">开发昆承湖水质数据分析模块，断面水质数据包括昆承湖流域范围内国考、省考、市考、河湖长等断面水质情况，模块可实现每月河湖水质断面数据的自动录入、分析研判并定期生成昆承湖水质报表。模块可实现流域水质的智能感知，实现流域水环境长期可视化、智能化监测预警管理。</w:t>
      </w:r>
      <w:r/>
    </w:p>
    <w:p>
      <w:pPr>
        <w:ind w:firstLine="482"/>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2、昆承湖防汛决策模块</w:t>
      </w:r>
      <w:r/>
    </w:p>
    <w:p>
      <w:pPr>
        <w:ind w:firstLine="7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2.1 水情监测：围绕防汛决策，将昆承湖水情相关的监测信息汇聚起来，实现昆承湖水情信息的全面展现，包括入湖河流、湖泊的水位信息、流量信息，各闸站开度信息及实时视频。</w:t>
      </w:r>
      <w:r/>
    </w:p>
    <w:p>
      <w:pPr>
        <w:ind w:firstLine="7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2.2 雨情监测：围绕防汛主题，将雨情相关的监测信息汇聚起来，实现昆承湖雨情信息的全面展现，包括实时降雨量、重点监测点位情况等。</w:t>
      </w:r>
      <w:r/>
    </w:p>
    <w:p>
      <w:pPr>
        <w:ind w:firstLine="7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2.3 台风路径：接入台风路径，可以实时查看台风过境情况。</w:t>
      </w:r>
      <w:r/>
    </w:p>
    <w:p>
      <w:pPr>
        <w:ind w:firstLine="7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2.4 气象预测：展现昆承湖周边雷达图、卫星云图信息，用于防汛决策时进行参考。</w:t>
      </w:r>
      <w:r/>
    </w:p>
    <w:p>
      <w:pPr>
        <w:ind w:firstLine="482"/>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3、无人机巡查处置模块</w:t>
      </w:r>
      <w:r/>
    </w:p>
    <w:p>
      <w:pPr>
        <w:ind w:firstLine="7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3.1、无人机地面数据采集：无人机地面数据采集，包括巡检数据上报、飞行控制、无人机管理、航线规划四个模块，主要是用于完成无人机航拍图像数据的采集上传，图像智能识别后发现疑似问题的采集上报，无人机实时图传画面、飞控参数设置，无人机及附属设备的管理，巡检航线的规划管理等。</w:t>
      </w:r>
      <w:r/>
    </w:p>
    <w:p>
      <w:pPr>
        <w:ind w:firstLine="7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3.2、数据处理分析：无人机数据处理分析包括巡检报告、图像拼接、图像查询三个模块，主要是对无人机巡检拍摄上传的图像进行处理分析，</w:t>
      </w:r>
      <w:r>
        <w:rPr>
          <w:rFonts w:hint="eastAsia" w:ascii="宋体" w:hAnsi="宋体" w:cs="宋体"/>
          <w:color w:val="auto"/>
          <w:sz w:val="24"/>
          <w:szCs w:val="24"/>
          <w:highlight w:val="none"/>
        </w:rPr>
        <w:t xml:space="preserve">进行垃圾、漂浮物Ai算法识别</w:t>
      </w:r>
      <w:r>
        <w:rPr>
          <w:rFonts w:hint="eastAsia" w:ascii="宋体" w:hAnsi="宋体" w:cs="宋体"/>
          <w:color w:val="auto"/>
          <w:sz w:val="24"/>
          <w:szCs w:val="24"/>
          <w:highlight w:val="none"/>
          <w:lang w:bidi="ar"/>
        </w:rPr>
        <w:t xml:space="preserve">，按时限形成巡检报告，通过报告能够准确判断具体位置及在此期间发现的问题总数、问题类别等。</w:t>
      </w:r>
      <w:r/>
    </w:p>
    <w:p>
      <w:pPr>
        <w:ind w:firstLine="7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3.3、河湖巡查事件处理：河湖巡查事件处理主要是综合前期巡检图像、无人机巡查、上报、巡检结果报告发现和指出的各类问题进行汇总，经相关负责人在模块上进行审核后，将整改要求自动下派到相关责任人。事件整改结束后，相关责任人将整改结果上报到模块。</w:t>
      </w:r>
      <w:r/>
    </w:p>
    <w:p>
      <w:pPr>
        <w:ind w:firstLine="720"/>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3.4、巡查大数据智能分析：一段时间后，将形成大量的零散数据，模块将通过巡查大数据智能分析对无人机工作情况、巡查数据结果、工作处理情况、问题分布情况等碎片化数据进行统计分析，形成出大数据分析报告。</w:t>
      </w:r>
      <w:r/>
    </w:p>
    <w:p>
      <w:pPr>
        <w:pStyle w:val="833"/>
        <w:ind w:left="0"/>
        <w:spacing w:after="0" w:line="440" w:lineRule="exact"/>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“智水琴川”管理平台接入要求如下（此项为平台接入要求，不作技术要求响应）：</w:t>
      </w:r>
      <w:r/>
    </w:p>
    <w:p>
      <w:pPr>
        <w:ind w:firstLine="720"/>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1、总体要求：投标人须负责其承建的系统与“智水琴川”管理平台用户中心的对接开发与实施工作。必须采用平台方提供的标准OAuth 2.0授权码模式进行单点登录集成，确保流程的安全性与标准性。对接完成后，用户应能通过“智水琴川”统一门户一次登录，即可无缝访问投标人承建的系统，无需再次输入账号密码。</w:t>
      </w:r>
      <w:r/>
    </w:p>
    <w:p>
      <w:pPr>
        <w:ind w:firstLine="720"/>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2、核心对接技术要求</w:t>
      </w:r>
      <w:r/>
    </w:p>
    <w:p>
      <w:pPr>
        <w:ind w:firstLine="960"/>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2.1、协议与端点规范</w:t>
      </w:r>
      <w:r/>
    </w:p>
    <w:p>
      <w:pPr>
        <w:ind w:firstLine="720"/>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必须支持并遵循“智水琴川”平台提供的OAuth 2.0授权码流程；必须使用平台方提供的标准端点进行开发，包括但不限于：（1）授权端点：用于跳转至统一登录页；（2）令牌端点：用于通过授权码换取访问令牌；（3）用户信息端点：用于获取已登录用户的基本信息。</w:t>
      </w:r>
      <w:r/>
    </w:p>
    <w:p>
      <w:pPr>
        <w:ind w:firstLine="960"/>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2.2、客户端注册与管理</w:t>
      </w:r>
      <w:r/>
    </w:p>
    <w:p>
      <w:pPr>
        <w:ind w:firstLine="720"/>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投标人需在系统开发测试前，向“智水琴川”平台方申请注册OAuth 2.0客户端，以获取唯一的客户端ID和客户端密钥。</w:t>
      </w:r>
      <w:r/>
    </w:p>
    <w:p>
      <w:pPr>
        <w:ind w:firstLine="720"/>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必须准确提供并验证系统的重定向URI，该URI必须在注册列表范围内，以确保安全性。</w:t>
      </w:r>
      <w:r/>
    </w:p>
    <w:p>
      <w:pPr>
        <w:ind w:firstLine="720"/>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3、功能实现要求</w:t>
      </w:r>
      <w:r/>
    </w:p>
    <w:p>
      <w:pPr>
        <w:ind w:firstLine="720"/>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投标人承建的系统必须实现以下核心功能模块，以确保单点登录流程的完整与稳定：</w:t>
      </w:r>
      <w:r/>
    </w:p>
    <w:p>
      <w:pPr>
        <w:ind w:firstLine="960"/>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3.1、授权请求与跳转：能正确构造并引导用户跳转至“智水琴川”统一认证授权页面；</w:t>
      </w:r>
      <w:r/>
    </w:p>
    <w:p>
      <w:pPr>
        <w:ind w:firstLine="960"/>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3.2、授权回调处理：能安全、准确地接收和处理认证中心回调的授权码，并验证State参数。</w:t>
      </w:r>
      <w:r/>
    </w:p>
    <w:p>
      <w:pPr>
        <w:ind w:firstLine="960"/>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3.3、令牌管理：能使用授权码向令牌端点换取访问令牌和刷新令牌，并具备令牌的存储、自动刷新及安全销毁能力。</w:t>
      </w:r>
      <w:r/>
    </w:p>
    <w:p>
      <w:pPr>
        <w:ind w:firstLine="960"/>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3.4、用户信息集成：能使用有效的访问令牌从用户信息端点获取用户基本信息（如登录名、姓名等），并据此在本地建立用户会话。</w:t>
      </w:r>
      <w:r/>
    </w:p>
    <w:p>
      <w:pPr>
        <w:ind w:firstLine="960"/>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3.5、本地会话管理：能根据获取的用户信息，管理用户在本地系统的登录状态，支持会话超时、安全退出等功能。</w:t>
      </w:r>
      <w:r/>
    </w:p>
    <w:p>
      <w:pPr>
        <w:ind w:firstLine="720"/>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4、交付测试要求：投标人须在系统部署上线前，完成与“智水琴川”平台用户中心的单点登录联调测试。测试必须覆盖完整的OAuth 2.0授权码流程，包括：正常登录、用户拒绝授权、网络异常、令牌过期刷新、State参数校验失败等多种场景。</w:t>
      </w:r>
      <w:r/>
    </w:p>
    <w:p>
      <w:pPr>
        <w:spacing w:line="440" w:lineRule="exact"/>
        <w:rPr>
          <w:b/>
          <w:color w:val="auto"/>
          <w:sz w:val="28"/>
          <w:szCs w:val="28"/>
          <w:highlight w:val="none"/>
        </w:rPr>
      </w:pPr>
      <w:r>
        <w:rPr>
          <w:rFonts w:hint="eastAsia" w:ascii="Times New Roman" w:hAnsi="Times New Roman" w:cs="宋体"/>
          <w:b/>
          <w:color w:val="auto"/>
          <w:sz w:val="28"/>
          <w:szCs w:val="28"/>
          <w:highlight w:val="none"/>
          <w:lang w:bidi="ar"/>
        </w:rPr>
        <w:t xml:space="preserve">四、投标报价要求：</w:t>
      </w:r>
      <w:r/>
    </w:p>
    <w:p>
      <w:pPr>
        <w:ind w:firstLine="480"/>
        <w:spacing w:line="440" w:lineRule="exact"/>
        <w:rPr>
          <w:color w:val="auto"/>
          <w:sz w:val="24"/>
          <w:szCs w:val="20"/>
          <w:highlight w:val="none"/>
        </w:rPr>
      </w:pPr>
      <w:r/>
      <w:bookmarkStart w:id="452" w:name="_Toc517790579"/>
      <w:r/>
      <w:bookmarkStart w:id="453" w:name="_Toc514507999"/>
      <w:r>
        <w:rPr>
          <w:color w:val="auto"/>
          <w:sz w:val="24"/>
          <w:szCs w:val="20"/>
          <w:highlight w:val="none"/>
        </w:rPr>
        <w:t xml:space="preserve">1</w:t>
      </w:r>
      <w:r>
        <w:rPr>
          <w:rFonts w:hint="eastAsia"/>
          <w:color w:val="auto"/>
          <w:sz w:val="24"/>
          <w:szCs w:val="20"/>
          <w:highlight w:val="none"/>
        </w:rPr>
        <w:t xml:space="preserve">、本项目采购内容为昆承湖幸福河湖建设信息化设备供货、安装、组网、汇聚及质保，投标人须就所有需求内容进行投标，不得拆开投标或只投其中的部分内容，否则作无效投标处理。</w:t>
      </w:r>
      <w:r/>
    </w:p>
    <w:p>
      <w:pPr>
        <w:ind w:firstLine="480"/>
        <w:spacing w:line="440" w:lineRule="exact"/>
        <w:rPr>
          <w:color w:val="auto"/>
          <w:sz w:val="24"/>
          <w:szCs w:val="20"/>
          <w:highlight w:val="none"/>
        </w:rPr>
      </w:pPr>
      <w:r>
        <w:rPr>
          <w:color w:val="auto"/>
          <w:sz w:val="24"/>
          <w:szCs w:val="20"/>
          <w:highlight w:val="none"/>
        </w:rPr>
        <w:t xml:space="preserve">2</w:t>
      </w:r>
      <w:r>
        <w:rPr>
          <w:rFonts w:hint="eastAsia"/>
          <w:color w:val="auto"/>
          <w:sz w:val="24"/>
          <w:szCs w:val="20"/>
          <w:highlight w:val="none"/>
        </w:rPr>
        <w:t xml:space="preserve">、投标人应负责投保安装工程一切险、第三者责任险及投标人施工人员保险，费用包含在投标总价中。</w:t>
      </w:r>
      <w:r/>
    </w:p>
    <w:p>
      <w:pPr>
        <w:ind w:firstLine="480"/>
        <w:spacing w:line="440" w:lineRule="exact"/>
        <w:rPr>
          <w:color w:val="auto"/>
          <w:sz w:val="24"/>
          <w:szCs w:val="20"/>
          <w:highlight w:val="none"/>
        </w:rPr>
      </w:pPr>
      <w:r>
        <w:rPr>
          <w:color w:val="auto"/>
          <w:sz w:val="24"/>
          <w:szCs w:val="20"/>
          <w:highlight w:val="none"/>
        </w:rPr>
        <w:t xml:space="preserve">3</w:t>
      </w:r>
      <w:r>
        <w:rPr>
          <w:rFonts w:hint="eastAsia"/>
          <w:color w:val="auto"/>
          <w:sz w:val="24"/>
          <w:szCs w:val="20"/>
          <w:highlight w:val="none"/>
        </w:rPr>
        <w:t xml:space="preserve">、投标总价以人民币报价；投标总价包括：货物费（含包装费、运输装卸费及保险费）、安装调试费、质量保证费、售后服务费（含培训费）等和货物本身已支付或将支付的各种税费以及其它交付采购人使用前所产生的所有费用。</w:t>
      </w:r>
      <w:r/>
    </w:p>
    <w:p>
      <w:pPr>
        <w:ind w:firstLine="480"/>
        <w:spacing w:line="440" w:lineRule="exact"/>
        <w:rPr>
          <w:color w:val="auto"/>
          <w:sz w:val="24"/>
          <w:szCs w:val="20"/>
          <w:highlight w:val="none"/>
        </w:rPr>
      </w:pPr>
      <w:r>
        <w:rPr>
          <w:color w:val="auto"/>
          <w:sz w:val="24"/>
          <w:szCs w:val="20"/>
          <w:highlight w:val="none"/>
        </w:rPr>
        <w:t xml:space="preserve">4</w:t>
      </w:r>
      <w:r>
        <w:rPr>
          <w:rFonts w:hint="eastAsia"/>
          <w:color w:val="auto"/>
          <w:sz w:val="24"/>
          <w:szCs w:val="20"/>
          <w:highlight w:val="none"/>
        </w:rPr>
        <w:t xml:space="preserve">、以上如有涉及品牌或相关规格型号仅供参考，投标人在投标报价时可以选用替代品牌型号，但这些替代要实质上相当于或优于上述技术要求。</w:t>
      </w:r>
      <w:bookmarkEnd w:id="452"/>
      <w:r/>
      <w:bookmarkEnd w:id="453"/>
      <w:r/>
      <w:r/>
    </w:p>
    <w:p>
      <w:pPr>
        <w:spacing w:line="440" w:lineRule="exact"/>
        <w:rPr>
          <w:b/>
          <w:color w:val="auto"/>
          <w:sz w:val="28"/>
          <w:szCs w:val="28"/>
          <w:highlight w:val="none"/>
        </w:rPr>
      </w:pPr>
      <w:r>
        <w:rPr>
          <w:rFonts w:hint="eastAsia" w:ascii="Times New Roman" w:hAnsi="Times New Roman" w:cs="宋体"/>
          <w:b/>
          <w:color w:val="auto"/>
          <w:sz w:val="28"/>
          <w:szCs w:val="28"/>
          <w:highlight w:val="none"/>
          <w:lang w:bidi="ar"/>
        </w:rPr>
        <w:t xml:space="preserve">五、质量保证及售后服务要求：</w:t>
      </w:r>
      <w:r/>
    </w:p>
    <w:p>
      <w:pPr>
        <w:ind w:firstLine="480"/>
        <w:spacing w:line="440" w:lineRule="exact"/>
        <w:rPr>
          <w:rFonts w:ascii="Times New Roman" w:hAnsi="Times New Roman"/>
          <w:i/>
          <w:iCs/>
          <w:color w:val="auto"/>
          <w:sz w:val="24"/>
          <w:szCs w:val="20"/>
          <w:highlight w:val="none"/>
          <w:u w:val="single"/>
          <w:lang w:bidi="ar"/>
        </w:rPr>
      </w:pPr>
      <w:r>
        <w:rPr>
          <w:rFonts w:hint="eastAsia" w:ascii="Times New Roman" w:hAnsi="Times New Roman"/>
          <w:i/>
          <w:iCs/>
          <w:color w:val="auto"/>
          <w:sz w:val="24"/>
          <w:szCs w:val="20"/>
          <w:highlight w:val="none"/>
          <w:u w:val="single"/>
          <w:lang w:bidi="ar"/>
        </w:rPr>
        <w:t xml:space="preserve">1、本项目硬件部分免费质保期不少于3年，配套软件部分免费运维期不少于3年，免费质保期及运维期结束后，投标人应继续为本项目设施维修及软件维护提供远程指导。</w:t>
      </w:r>
      <w:r/>
    </w:p>
    <w:p>
      <w:pPr>
        <w:ind w:firstLine="480"/>
        <w:spacing w:line="440" w:lineRule="exact"/>
        <w:rPr>
          <w:color w:val="auto"/>
          <w:sz w:val="24"/>
          <w:szCs w:val="20"/>
          <w:highlight w:val="none"/>
        </w:rPr>
      </w:pPr>
      <w:r>
        <w:rPr>
          <w:rFonts w:ascii="Times New Roman" w:hAnsi="Times New Roman"/>
          <w:color w:val="auto"/>
          <w:sz w:val="24"/>
          <w:szCs w:val="20"/>
          <w:highlight w:val="none"/>
          <w:lang w:bidi="ar"/>
        </w:rPr>
        <w:t xml:space="preserve">2</w:t>
      </w:r>
      <w:r>
        <w:rPr>
          <w:rFonts w:hint="eastAsia" w:ascii="Times New Roman" w:hAnsi="Times New Roman" w:cs="宋体"/>
          <w:color w:val="auto"/>
          <w:sz w:val="24"/>
          <w:szCs w:val="20"/>
          <w:highlight w:val="none"/>
          <w:lang w:bidi="ar"/>
        </w:rPr>
        <w:t xml:space="preserve">、在免费质量保证期内，中标人负责维修本次采购的所有设备，对任何因产品设计、材料、产品质量和部件造成的设备或部件损坏进行无偿更换和维修。</w:t>
      </w:r>
      <w:r/>
    </w:p>
    <w:p>
      <w:pPr>
        <w:ind w:left="-6" w:firstLine="480"/>
        <w:spacing w:line="480" w:lineRule="exact"/>
        <w:rPr>
          <w:color w:val="auto"/>
          <w:sz w:val="24"/>
          <w:szCs w:val="20"/>
          <w:highlight w:val="none"/>
        </w:rPr>
      </w:pPr>
      <w:r>
        <w:rPr>
          <w:rFonts w:ascii="Times New Roman" w:hAnsi="Times New Roman"/>
          <w:color w:val="auto"/>
          <w:sz w:val="24"/>
          <w:szCs w:val="20"/>
          <w:highlight w:val="none"/>
          <w:lang w:bidi="ar"/>
        </w:rPr>
        <w:t xml:space="preserve">3</w:t>
      </w:r>
      <w:r>
        <w:rPr>
          <w:rFonts w:hint="eastAsia" w:ascii="Times New Roman" w:hAnsi="Times New Roman" w:cs="宋体"/>
          <w:color w:val="auto"/>
          <w:sz w:val="24"/>
          <w:szCs w:val="20"/>
          <w:highlight w:val="none"/>
          <w:lang w:bidi="ar"/>
        </w:rPr>
        <w:t xml:space="preserve">、接到故障报修后维修人员</w:t>
      </w:r>
      <w:r>
        <w:rPr>
          <w:rFonts w:ascii="Times New Roman" w:hAnsi="Times New Roman"/>
          <w:color w:val="auto"/>
          <w:sz w:val="24"/>
          <w:szCs w:val="20"/>
          <w:highlight w:val="none"/>
          <w:lang w:bidi="ar"/>
        </w:rPr>
        <w:t xml:space="preserve">3</w:t>
      </w:r>
      <w:r>
        <w:rPr>
          <w:rFonts w:hint="eastAsia" w:ascii="Times New Roman" w:hAnsi="Times New Roman" w:cs="宋体"/>
          <w:color w:val="auto"/>
          <w:sz w:val="24"/>
          <w:szCs w:val="20"/>
          <w:highlight w:val="none"/>
          <w:lang w:bidi="ar"/>
        </w:rPr>
        <w:t xml:space="preserve">小时内到达现场维修。</w:t>
      </w:r>
      <w:r/>
    </w:p>
    <w:p>
      <w:pPr>
        <w:ind w:firstLine="480"/>
        <w:spacing w:line="440" w:lineRule="exact"/>
        <w:rPr>
          <w:color w:val="auto"/>
          <w:sz w:val="24"/>
          <w:szCs w:val="20"/>
          <w:highlight w:val="none"/>
        </w:rPr>
      </w:pPr>
      <w:r>
        <w:rPr>
          <w:rFonts w:ascii="Times New Roman" w:hAnsi="Times New Roman"/>
          <w:color w:val="auto"/>
          <w:sz w:val="24"/>
          <w:szCs w:val="20"/>
          <w:highlight w:val="none"/>
          <w:lang w:bidi="ar"/>
        </w:rPr>
        <w:t xml:space="preserve">4</w:t>
      </w:r>
      <w:r>
        <w:rPr>
          <w:rFonts w:hint="eastAsia" w:ascii="Times New Roman" w:hAnsi="Times New Roman" w:cs="宋体"/>
          <w:color w:val="auto"/>
          <w:sz w:val="24"/>
          <w:szCs w:val="20"/>
          <w:highlight w:val="none"/>
          <w:lang w:bidi="ar"/>
        </w:rPr>
        <w:t xml:space="preserve">、中标人需制定相关培训计划，在所有设备安装完成后负责对采购人进行不少于</w:t>
      </w:r>
      <w:r>
        <w:rPr>
          <w:rFonts w:ascii="Times New Roman" w:hAnsi="Times New Roman"/>
          <w:color w:val="auto"/>
          <w:sz w:val="24"/>
          <w:szCs w:val="20"/>
          <w:highlight w:val="none"/>
          <w:lang w:bidi="ar"/>
        </w:rPr>
        <w:t xml:space="preserve">2</w:t>
      </w:r>
      <w:r>
        <w:rPr>
          <w:rFonts w:hint="eastAsia" w:ascii="Times New Roman" w:hAnsi="Times New Roman" w:cs="宋体"/>
          <w:color w:val="auto"/>
          <w:sz w:val="24"/>
          <w:szCs w:val="20"/>
          <w:highlight w:val="none"/>
          <w:lang w:bidi="ar"/>
        </w:rPr>
        <w:t xml:space="preserve">个工作日的日常使用方面的培训，确保系统能够正常、有效地使用。</w:t>
      </w:r>
      <w:r/>
    </w:p>
    <w:p>
      <w:pPr>
        <w:ind w:left="-6" w:firstLine="480"/>
        <w:spacing w:line="480" w:lineRule="exact"/>
        <w:rPr>
          <w:color w:val="auto"/>
          <w:sz w:val="24"/>
          <w:szCs w:val="20"/>
          <w:highlight w:val="none"/>
        </w:rPr>
      </w:pPr>
      <w:r>
        <w:rPr>
          <w:rFonts w:ascii="Times New Roman" w:hAnsi="Times New Roman"/>
          <w:color w:val="auto"/>
          <w:sz w:val="24"/>
          <w:szCs w:val="20"/>
          <w:highlight w:val="none"/>
          <w:lang w:bidi="ar"/>
        </w:rPr>
        <w:t xml:space="preserve">5</w:t>
      </w:r>
      <w:r>
        <w:rPr>
          <w:rFonts w:hint="eastAsia" w:ascii="Times New Roman" w:hAnsi="Times New Roman" w:cs="宋体"/>
          <w:color w:val="auto"/>
          <w:sz w:val="24"/>
          <w:szCs w:val="20"/>
          <w:highlight w:val="none"/>
          <w:lang w:bidi="ar"/>
        </w:rPr>
        <w:t xml:space="preserve">、中标人须保证所投产品的任何一部分不受第三方提出侵犯其专利权、商标权、知识产权和工业设计权的指控。采购人使用该货物的任何一部分，当受第三方提出的侵犯其专利权、商标权或工业设计权的投诉时，一切后果由供应商负责。</w:t>
      </w:r>
      <w:r/>
    </w:p>
    <w:p>
      <w:pPr>
        <w:spacing w:line="440" w:lineRule="exact"/>
        <w:rPr>
          <w:b/>
          <w:color w:val="auto"/>
          <w:sz w:val="28"/>
          <w:szCs w:val="28"/>
          <w:highlight w:val="none"/>
        </w:rPr>
      </w:pPr>
      <w:r>
        <w:rPr>
          <w:rFonts w:hint="eastAsia" w:ascii="Times New Roman" w:hAnsi="Times New Roman" w:cs="宋体"/>
          <w:b/>
          <w:color w:val="auto"/>
          <w:sz w:val="28"/>
          <w:szCs w:val="28"/>
          <w:highlight w:val="none"/>
          <w:lang w:bidi="ar"/>
        </w:rPr>
        <w:t xml:space="preserve">六、验收及测试</w:t>
      </w:r>
      <w:r/>
    </w:p>
    <w:p>
      <w:pPr>
        <w:ind w:firstLine="480"/>
        <w:spacing w:line="480" w:lineRule="exact"/>
        <w:rPr>
          <w:color w:val="auto"/>
          <w:sz w:val="24"/>
          <w:szCs w:val="20"/>
          <w:highlight w:val="none"/>
        </w:rPr>
      </w:pPr>
      <w:r>
        <w:rPr>
          <w:rFonts w:ascii="Times New Roman" w:hAnsi="Times New Roman"/>
          <w:color w:val="auto"/>
          <w:sz w:val="24"/>
          <w:szCs w:val="20"/>
          <w:highlight w:val="none"/>
          <w:lang w:bidi="ar"/>
        </w:rPr>
        <w:t xml:space="preserve">1</w:t>
      </w:r>
      <w:r>
        <w:rPr>
          <w:rFonts w:hint="eastAsia" w:ascii="Times New Roman" w:hAnsi="Times New Roman" w:cs="宋体"/>
          <w:color w:val="auto"/>
          <w:sz w:val="24"/>
          <w:szCs w:val="20"/>
          <w:highlight w:val="none"/>
          <w:lang w:bidi="ar"/>
        </w:rPr>
        <w:t xml:space="preserve">、全部货物到达项目现场后，采购人有权邀请各其他有关投标人、专家评委、第三方检测机构进行验收及对相关功能进行测试，如验收不合格或相关功能达不到招标文件要求或投标文件中所承诺的标准，采购人有权拒绝收货，并上报行政监督部门按相关规定处理，供应商须承担由此造成的相关损失及违约责任。</w:t>
      </w:r>
      <w:r/>
    </w:p>
    <w:p>
      <w:pPr>
        <w:ind w:firstLine="480"/>
        <w:spacing w:line="480" w:lineRule="exact"/>
        <w:rPr>
          <w:color w:val="auto"/>
          <w:sz w:val="24"/>
          <w:szCs w:val="20"/>
          <w:highlight w:val="none"/>
        </w:rPr>
      </w:pPr>
      <w:r>
        <w:rPr>
          <w:rFonts w:ascii="Times New Roman" w:hAnsi="Times New Roman"/>
          <w:color w:val="auto"/>
          <w:sz w:val="24"/>
          <w:szCs w:val="20"/>
          <w:highlight w:val="none"/>
          <w:lang w:bidi="ar"/>
        </w:rPr>
        <w:t xml:space="preserve">2</w:t>
      </w:r>
      <w:r>
        <w:rPr>
          <w:rFonts w:hint="eastAsia" w:ascii="Times New Roman" w:hAnsi="Times New Roman" w:cs="宋体"/>
          <w:color w:val="auto"/>
          <w:sz w:val="24"/>
          <w:szCs w:val="20"/>
          <w:highlight w:val="none"/>
          <w:lang w:bidi="ar"/>
        </w:rPr>
        <w:t xml:space="preserve">、验收及测试内容包括货物的型号、规格、数量、外观质量、性能功能等是否符合规定，包装是否完好，安装调试是否合格，用户手册、原厂保修卡、随机资料及配件、随机工具等是否齐全。</w:t>
      </w:r>
      <w:r/>
    </w:p>
    <w:p>
      <w:pPr>
        <w:ind w:firstLine="480"/>
        <w:spacing w:line="480" w:lineRule="exact"/>
        <w:rPr>
          <w:rFonts w:ascii="Times New Roman" w:hAnsi="Times New Roman" w:cs="宋体"/>
          <w:color w:val="auto"/>
          <w:sz w:val="24"/>
          <w:szCs w:val="20"/>
          <w:highlight w:val="none"/>
          <w:lang w:bidi="ar"/>
        </w:rPr>
      </w:pPr>
      <w:r>
        <w:rPr>
          <w:rFonts w:ascii="Times New Roman" w:hAnsi="Times New Roman"/>
          <w:color w:val="auto"/>
          <w:sz w:val="24"/>
          <w:szCs w:val="20"/>
          <w:highlight w:val="none"/>
          <w:lang w:bidi="ar"/>
        </w:rPr>
        <w:t xml:space="preserve">3</w:t>
      </w:r>
      <w:r>
        <w:rPr>
          <w:rFonts w:hint="eastAsia" w:ascii="Times New Roman" w:hAnsi="Times New Roman" w:cs="宋体"/>
          <w:color w:val="auto"/>
          <w:sz w:val="24"/>
          <w:szCs w:val="20"/>
          <w:highlight w:val="none"/>
          <w:lang w:bidi="ar"/>
        </w:rPr>
        <w:t xml:space="preserve">、验收标准：</w:t>
      </w:r>
      <w:r/>
    </w:p>
    <w:p>
      <w:pPr>
        <w:ind w:firstLine="720"/>
        <w:spacing w:line="480" w:lineRule="exact"/>
        <w:rPr>
          <w:rFonts w:ascii="Times New Roman" w:hAnsi="Times New Roman" w:cs="宋体"/>
          <w:color w:val="auto"/>
          <w:sz w:val="24"/>
          <w:szCs w:val="20"/>
          <w:highlight w:val="none"/>
          <w:lang w:bidi="ar"/>
        </w:rPr>
      </w:pPr>
      <w:r>
        <w:rPr>
          <w:rFonts w:hint="eastAsia" w:ascii="Times New Roman" w:hAnsi="Times New Roman" w:cs="宋体"/>
          <w:color w:val="auto"/>
          <w:sz w:val="24"/>
          <w:szCs w:val="20"/>
          <w:highlight w:val="none"/>
          <w:lang w:bidi="ar"/>
        </w:rPr>
        <w:t xml:space="preserve">3.1、符合设备本身的规格、技术条件、相关国家标准、招标文件的各项要求以及供应商承诺的其它指标。</w:t>
      </w:r>
      <w:r/>
    </w:p>
    <w:p>
      <w:pPr>
        <w:ind w:firstLine="720"/>
        <w:spacing w:line="480" w:lineRule="exact"/>
        <w:rPr>
          <w:rFonts w:ascii="Times New Roman" w:hAnsi="Times New Roman" w:cs="宋体"/>
          <w:color w:val="auto"/>
          <w:sz w:val="24"/>
          <w:szCs w:val="20"/>
          <w:highlight w:val="none"/>
          <w:lang w:bidi="ar"/>
        </w:rPr>
      </w:pPr>
      <w:r>
        <w:rPr>
          <w:rFonts w:hint="eastAsia" w:ascii="Times New Roman" w:hAnsi="Times New Roman" w:cs="宋体"/>
          <w:color w:val="auto"/>
          <w:sz w:val="24"/>
          <w:szCs w:val="20"/>
          <w:highlight w:val="none"/>
          <w:lang w:bidi="ar"/>
        </w:rPr>
        <w:t xml:space="preserve">3.2站房建设、采水单元建设、视频监控单元技术要求需满足《地表水水质自动监测站选址与基础设施建设技术要求》(HJ915.1-2024)规定要求；控制单元、预处理与配水单元、常规五参数、CODMn、NH3-N、TP、TN仪器设备安装及验收需满足《地表水水质自动监测站(常规五参数、CODMn、NH3-N、TP、TN)安装验收技术规范》(HJ915.2-2024)要求；水质自动监测系统的数据和信息传输需满足《地表水自动监测系统通信协议技术要求》（HJ1404—2024）。</w:t>
      </w:r>
      <w:r/>
    </w:p>
    <w:p>
      <w:pPr>
        <w:spacing w:line="440" w:lineRule="exact"/>
        <w:rPr>
          <w:b/>
          <w:color w:val="auto"/>
          <w:sz w:val="28"/>
          <w:szCs w:val="28"/>
          <w:highlight w:val="none"/>
        </w:rPr>
      </w:pPr>
      <w:r>
        <w:rPr>
          <w:rFonts w:hint="eastAsia" w:ascii="Times New Roman" w:hAnsi="Times New Roman" w:cs="宋体"/>
          <w:b/>
          <w:color w:val="auto"/>
          <w:sz w:val="28"/>
          <w:szCs w:val="28"/>
          <w:highlight w:val="none"/>
          <w:lang w:bidi="ar"/>
        </w:rPr>
        <w:t xml:space="preserve">七、其他要求：</w:t>
      </w:r>
      <w:r/>
    </w:p>
    <w:p>
      <w:pPr>
        <w:ind w:firstLine="480"/>
        <w:spacing w:line="440" w:lineRule="exact"/>
        <w:rPr>
          <w:rFonts w:ascii="Times New Roman" w:hAnsi="Times New Roman" w:cs="宋体"/>
          <w:color w:val="auto"/>
          <w:sz w:val="24"/>
          <w:szCs w:val="24"/>
          <w:highlight w:val="none"/>
          <w:lang w:bidi="ar"/>
        </w:rPr>
      </w:pPr>
      <w:r>
        <w:rPr>
          <w:rFonts w:hint="eastAsia" w:ascii="Times New Roman" w:hAnsi="Times New Roman" w:cs="宋体"/>
          <w:color w:val="auto"/>
          <w:sz w:val="24"/>
          <w:szCs w:val="24"/>
          <w:highlight w:val="none"/>
          <w:lang w:bidi="ar"/>
        </w:rPr>
        <w:t xml:space="preserve">1、投标人需为本项目配备项目负责人一名、技术负责人一名、以及其他项目组成员不少于4名。</w:t>
      </w:r>
      <w:r/>
    </w:p>
    <w:p>
      <w:pPr>
        <w:ind w:firstLine="480"/>
        <w:spacing w:line="440" w:lineRule="exact"/>
        <w:rPr>
          <w:color w:val="auto"/>
          <w:highlight w:val="none"/>
        </w:rPr>
      </w:pPr>
      <w:r>
        <w:rPr>
          <w:rFonts w:hint="eastAsia" w:ascii="Times New Roman" w:hAnsi="Times New Roman" w:cs="宋体"/>
          <w:color w:val="auto"/>
          <w:sz w:val="24"/>
          <w:szCs w:val="24"/>
          <w:highlight w:val="none"/>
          <w:lang w:bidi="ar"/>
        </w:rPr>
        <w:t xml:space="preserve">2、相关材料要求：</w:t>
      </w:r>
      <w:r>
        <w:rPr>
          <w:rFonts w:hint="eastAsia" w:ascii="Times New Roman" w:hAnsi="Times New Roman" w:cs="宋体"/>
          <w:color w:val="auto"/>
          <w:sz w:val="24"/>
          <w:szCs w:val="20"/>
          <w:highlight w:val="none"/>
          <w:lang w:bidi="ar"/>
        </w:rPr>
        <w:t xml:space="preserve">投标人应在投标文件中提供“</w:t>
      </w:r>
      <w:r>
        <w:rPr>
          <w:rFonts w:ascii="Arial" w:hAnsi="Arial" w:cs="Arial"/>
          <w:color w:val="auto"/>
          <w:sz w:val="24"/>
          <w:szCs w:val="24"/>
          <w:highlight w:val="none"/>
        </w:rPr>
        <w:t xml:space="preserve">▲</w:t>
      </w:r>
      <w:r>
        <w:rPr>
          <w:rFonts w:hint="eastAsia" w:ascii="Times New Roman" w:hAnsi="Times New Roman" w:cs="宋体"/>
          <w:color w:val="auto"/>
          <w:sz w:val="24"/>
          <w:szCs w:val="20"/>
          <w:highlight w:val="none"/>
          <w:lang w:bidi="ar"/>
        </w:rPr>
        <w:t xml:space="preserve">”</w:t>
      </w:r>
      <w:r>
        <w:rPr>
          <w:rFonts w:hint="eastAsia" w:ascii="宋体" w:hAnsi="宋体" w:cs="宋体"/>
          <w:color w:val="auto"/>
          <w:sz w:val="24"/>
          <w:szCs w:val="24"/>
          <w:highlight w:val="none"/>
          <w:lang w:bidi="ar"/>
        </w:rPr>
        <w:t xml:space="preserve">条款的</w:t>
      </w:r>
      <w:r>
        <w:rPr>
          <w:rFonts w:hint="eastAsia" w:ascii="Times New Roman" w:hAnsi="Times New Roman" w:cs="宋体"/>
          <w:color w:val="auto"/>
          <w:sz w:val="24"/>
          <w:szCs w:val="20"/>
          <w:highlight w:val="none"/>
          <w:lang w:bidi="ar"/>
        </w:rPr>
        <w:t xml:space="preserve">相关资料，用于核对技术性能参数的符合性，如未提供，相关技术性能参数视为负偏离：</w:t>
      </w:r>
      <w:r/>
    </w:p>
    <w:p>
      <w:pPr>
        <w:spacing w:line="440" w:lineRule="exact"/>
        <w:rPr>
          <w:b/>
          <w:strike/>
          <w:color w:val="auto"/>
          <w:sz w:val="24"/>
          <w:szCs w:val="24"/>
          <w:highlight w:val="none"/>
        </w:rPr>
      </w:pPr>
      <w:r>
        <w:rPr>
          <w:rFonts w:hint="eastAsia" w:ascii="Times New Roman" w:hAnsi="Times New Roman" w:cs="宋体"/>
          <w:b/>
          <w:color w:val="auto"/>
          <w:sz w:val="24"/>
          <w:szCs w:val="24"/>
          <w:highlight w:val="none"/>
          <w:lang w:bidi="ar"/>
        </w:rPr>
        <w:t xml:space="preserve">注：（</w:t>
      </w:r>
      <w:r>
        <w:rPr>
          <w:rFonts w:ascii="Times New Roman" w:hAnsi="Times New Roman"/>
          <w:b/>
          <w:color w:val="auto"/>
          <w:sz w:val="24"/>
          <w:szCs w:val="24"/>
          <w:highlight w:val="none"/>
          <w:lang w:bidi="ar"/>
        </w:rPr>
        <w:t xml:space="preserve">1</w:t>
      </w:r>
      <w:r>
        <w:rPr>
          <w:rFonts w:hint="eastAsia" w:ascii="Times New Roman" w:hAnsi="Times New Roman" w:cs="宋体"/>
          <w:b/>
          <w:color w:val="auto"/>
          <w:sz w:val="24"/>
          <w:szCs w:val="24"/>
          <w:highlight w:val="none"/>
          <w:lang w:bidi="ar"/>
        </w:rPr>
        <w:t xml:space="preserve">）</w:t>
      </w:r>
      <w:r>
        <w:rPr>
          <w:rFonts w:hint="eastAsia" w:ascii="Times New Roman" w:hAnsi="Times New Roman" w:cs="宋体"/>
          <w:b/>
          <w:color w:val="auto"/>
          <w:sz w:val="24"/>
          <w:szCs w:val="20"/>
          <w:highlight w:val="none"/>
          <w:lang w:bidi="ar"/>
        </w:rPr>
        <w:t xml:space="preserve">在签订合同时，中标人必须提供以上与投标文件中相一致的证明材料复印件，作为合同附件，采购人可要求提供相关原件（或公证件）进行核查，</w:t>
      </w:r>
      <w:r>
        <w:rPr>
          <w:rFonts w:hint="eastAsia" w:ascii="Times New Roman" w:hAnsi="Times New Roman" w:cs="宋体"/>
          <w:b/>
          <w:color w:val="auto"/>
          <w:sz w:val="24"/>
          <w:szCs w:val="24"/>
          <w:highlight w:val="none"/>
          <w:lang w:bidi="ar"/>
        </w:rPr>
        <w:t xml:space="preserve">如中标人不能提供或不符合招标要求，中标人承担相应责任。</w:t>
      </w:r>
      <w:r/>
    </w:p>
    <w:p>
      <w:pPr>
        <w:ind w:firstLine="602"/>
        <w:spacing w:line="440" w:lineRule="exact"/>
        <w:rPr>
          <w:b/>
          <w:color w:val="auto"/>
          <w:sz w:val="24"/>
          <w:szCs w:val="24"/>
          <w:highlight w:val="none"/>
        </w:rPr>
      </w:pPr>
      <w:r>
        <w:rPr>
          <w:rFonts w:hint="eastAsia" w:ascii="Times New Roman" w:hAnsi="Times New Roman" w:cs="宋体"/>
          <w:b/>
          <w:color w:val="auto"/>
          <w:sz w:val="24"/>
          <w:szCs w:val="24"/>
          <w:highlight w:val="none"/>
          <w:lang w:bidi="ar"/>
        </w:rPr>
        <w:t xml:space="preserve">（</w:t>
      </w:r>
      <w:r>
        <w:rPr>
          <w:rFonts w:ascii="Times New Roman" w:hAnsi="Times New Roman"/>
          <w:b/>
          <w:color w:val="auto"/>
          <w:sz w:val="24"/>
          <w:szCs w:val="24"/>
          <w:highlight w:val="none"/>
          <w:lang w:bidi="ar"/>
        </w:rPr>
        <w:t xml:space="preserve">2</w:t>
      </w:r>
      <w:r>
        <w:rPr>
          <w:rFonts w:hint="eastAsia" w:ascii="Times New Roman" w:hAnsi="Times New Roman" w:cs="宋体"/>
          <w:b/>
          <w:color w:val="auto"/>
          <w:sz w:val="24"/>
          <w:szCs w:val="24"/>
          <w:highlight w:val="none"/>
          <w:lang w:bidi="ar"/>
        </w:rPr>
        <w:t xml:space="preserve">）投标人应确保投标文件中提供的相关性能参数的证明材料扫描件清晰可见，以便评委评判，如投标人提供的相关性能参数的证明材料扫描件模糊不清无法辨识，相关风险由投标人承担。</w:t>
      </w:r>
      <w:r/>
    </w:p>
    <w:p>
      <w:pPr>
        <w:ind w:firstLine="480"/>
        <w:spacing w:line="440" w:lineRule="exact"/>
        <w:rPr>
          <w:rFonts w:ascii="Times New Roman" w:hAnsi="Times New Roman"/>
          <w:color w:val="auto"/>
          <w:sz w:val="24"/>
          <w:szCs w:val="24"/>
          <w:highlight w:val="none"/>
          <w:lang w:bidi="ar"/>
        </w:rPr>
      </w:pPr>
      <w:r>
        <w:rPr>
          <w:rFonts w:hint="eastAsia" w:ascii="Times New Roman" w:hAnsi="Times New Roman"/>
          <w:color w:val="auto"/>
          <w:sz w:val="24"/>
          <w:szCs w:val="24"/>
          <w:highlight w:val="none"/>
          <w:lang w:bidi="ar"/>
        </w:rPr>
        <w:t xml:space="preserve">3、本项目的售后服务由投标人提供，售后服务单位应具有售后服务能力。</w:t>
      </w:r>
      <w:r/>
    </w:p>
    <w:p>
      <w:pPr>
        <w:ind w:firstLine="480"/>
        <w:spacing w:line="440" w:lineRule="exact"/>
        <w:rPr>
          <w:rFonts w:ascii="Times New Roman" w:hAnsi="Times New Roman"/>
          <w:color w:val="auto"/>
          <w:sz w:val="24"/>
          <w:szCs w:val="24"/>
          <w:highlight w:val="none"/>
          <w:lang w:bidi="ar"/>
        </w:rPr>
      </w:pPr>
      <w:r>
        <w:rPr>
          <w:rFonts w:hint="eastAsia" w:ascii="Times New Roman" w:hAnsi="Times New Roman"/>
          <w:color w:val="auto"/>
          <w:sz w:val="24"/>
          <w:szCs w:val="24"/>
          <w:highlight w:val="none"/>
          <w:lang w:bidi="ar"/>
        </w:rPr>
        <w:t xml:space="preserve">4、本项目需求中的技术参数或功能要求并非是详尽无遗的，无论是否提及，投标人均应提供所有采购文件没有要求但投标人认为完成本项目必须的附件或服务，并应在投标明细表中一一列明。投标文件中响应的技术参数（功能）指标必须确保真实。</w:t>
      </w:r>
      <w:r/>
    </w:p>
    <w:p>
      <w:pPr>
        <w:ind w:firstLine="482"/>
        <w:spacing w:line="440" w:lineRule="exact"/>
        <w:rPr>
          <w:color w:val="auto"/>
          <w:highlight w:val="none"/>
        </w:rPr>
      </w:pPr>
      <w:r>
        <w:rPr>
          <w:rFonts w:hint="eastAsia" w:ascii="宋体" w:hAnsi="宋体"/>
          <w:b/>
          <w:bCs/>
          <w:color w:val="auto"/>
          <w:sz w:val="24"/>
          <w:szCs w:val="24"/>
          <w:highlight w:val="none"/>
        </w:rPr>
        <w:t xml:space="preserve">5</w:t>
      </w:r>
      <w:r>
        <w:rPr>
          <w:rFonts w:ascii="宋体" w:hAnsi="宋体"/>
          <w:b/>
          <w:bCs/>
          <w:color w:val="auto"/>
          <w:sz w:val="24"/>
          <w:szCs w:val="24"/>
          <w:highlight w:val="none"/>
        </w:rPr>
        <w:t xml:space="preserve">、实质性</w:t>
      </w:r>
      <w:r>
        <w:rPr>
          <w:rFonts w:hint="eastAsia" w:ascii="宋体" w:hAnsi="宋体"/>
          <w:b/>
          <w:bCs/>
          <w:color w:val="auto"/>
          <w:sz w:val="24"/>
          <w:szCs w:val="24"/>
          <w:highlight w:val="none"/>
        </w:rPr>
        <w:t xml:space="preserve">要求：</w:t>
      </w:r>
      <w:r>
        <w:rPr>
          <w:rFonts w:hint="eastAsia" w:ascii="宋体" w:hAnsi="宋体" w:cs="宋体"/>
          <w:b/>
          <w:bCs/>
          <w:color w:val="auto"/>
          <w:sz w:val="24"/>
          <w:szCs w:val="24"/>
          <w:highlight w:val="none"/>
        </w:rPr>
        <w:t xml:space="preserve">“第四章  采购需求”中，斜体且有下划线部分为实质性要求，其余的均为常规要求，</w:t>
      </w:r>
      <w:r>
        <w:rPr>
          <w:rFonts w:hint="eastAsia" w:ascii="Times New Roman" w:hAnsi="Times New Roman"/>
          <w:b/>
          <w:bCs/>
          <w:color w:val="auto"/>
          <w:sz w:val="24"/>
          <w:szCs w:val="24"/>
          <w:highlight w:val="none"/>
        </w:rPr>
        <w:t xml:space="preserve">任何一项</w:t>
      </w:r>
      <w:r>
        <w:rPr>
          <w:rFonts w:hint="eastAsia"/>
          <w:b/>
          <w:bCs/>
          <w:color w:val="auto"/>
          <w:sz w:val="24"/>
          <w:highlight w:val="none"/>
        </w:rPr>
        <w:t xml:space="preserve">实质性要求</w:t>
      </w:r>
      <w:r>
        <w:rPr>
          <w:rFonts w:hint="eastAsia" w:ascii="Times New Roman" w:hAnsi="Times New Roman"/>
          <w:b/>
          <w:bCs/>
          <w:color w:val="auto"/>
          <w:sz w:val="24"/>
          <w:szCs w:val="24"/>
          <w:highlight w:val="none"/>
        </w:rPr>
        <w:t xml:space="preserve">未满足的，</w:t>
      </w:r>
      <w:r>
        <w:rPr>
          <w:rFonts w:hint="eastAsia" w:ascii="Times New Roman" w:hAnsi="Times New Roman"/>
          <w:b/>
          <w:bCs/>
          <w:color w:val="auto"/>
          <w:sz w:val="24"/>
          <w:highlight w:val="none"/>
        </w:rPr>
        <w:t xml:space="preserve">将作无效投标处理</w:t>
      </w:r>
      <w:r>
        <w:rPr>
          <w:rFonts w:hint="eastAsia" w:ascii="宋体" w:hAnsi="宋体"/>
          <w:b/>
          <w:bCs/>
          <w:color w:val="auto"/>
          <w:sz w:val="24"/>
          <w:szCs w:val="24"/>
          <w:highlight w:val="none"/>
        </w:rPr>
        <w:t xml:space="preserve">。</w:t>
      </w:r>
      <w:r/>
    </w:p>
    <w:p>
      <w:pPr>
        <w:rPr>
          <w:color w:val="auto"/>
          <w:highlight w:val="none"/>
        </w:rPr>
      </w:pPr>
      <w:r>
        <w:rPr>
          <w:color w:val="auto"/>
          <w:highlight w:val="none"/>
        </w:rPr>
        <w:br w:type="page" w:clear="all"/>
      </w:r>
      <w:r/>
    </w:p>
    <w:p>
      <w:pPr>
        <w:ind w:firstLine="880"/>
        <w:jc w:val="center"/>
        <w:rPr>
          <w:rFonts w:ascii="黑体" w:hAnsi="Courier New" w:eastAsia="黑体" w:cs="Courier New"/>
          <w:bCs/>
          <w:color w:val="auto"/>
          <w:sz w:val="44"/>
          <w:szCs w:val="21"/>
          <w:highlight w:val="none"/>
        </w:rPr>
        <w:outlineLvl w:val="0"/>
      </w:pPr>
      <w:r/>
      <w:bookmarkStart w:id="454" w:name="_Toc25208"/>
      <w:r/>
      <w:bookmarkStart w:id="455" w:name="_Toc15917"/>
      <w:r/>
      <w:bookmarkStart w:id="456" w:name="_Toc239671968"/>
      <w:r/>
      <w:bookmarkStart w:id="457" w:name="_Toc1389"/>
      <w:r/>
      <w:bookmarkStart w:id="458" w:name="_Toc20352"/>
      <w:r>
        <w:rPr>
          <w:rFonts w:hint="eastAsia" w:ascii="黑体" w:hAnsi="Courier New" w:eastAsia="黑体" w:cs="Courier New"/>
          <w:bCs/>
          <w:color w:val="auto"/>
          <w:sz w:val="44"/>
          <w:szCs w:val="21"/>
          <w:highlight w:val="none"/>
        </w:rPr>
        <w:t xml:space="preserve">第五章  评审因素和评分标准</w:t>
      </w:r>
      <w:bookmarkEnd w:id="454"/>
      <w:r/>
      <w:bookmarkEnd w:id="455"/>
      <w:r/>
      <w:bookmarkEnd w:id="456"/>
      <w:r/>
      <w:bookmarkEnd w:id="457"/>
      <w:r/>
      <w:bookmarkEnd w:id="458"/>
      <w:r/>
      <w:r/>
    </w:p>
    <w:p>
      <w:pPr>
        <w:spacing w:line="440" w:lineRule="exact"/>
        <w:rPr>
          <w:b/>
          <w:bCs/>
          <w:color w:val="auto"/>
          <w:sz w:val="28"/>
          <w:highlight w:val="none"/>
        </w:rPr>
      </w:pPr>
      <w:r>
        <w:rPr>
          <w:b/>
          <w:bCs/>
          <w:color w:val="auto"/>
          <w:sz w:val="28"/>
          <w:highlight w:val="none"/>
        </w:rPr>
        <w:t xml:space="preserve">一、评审方法：</w:t>
      </w:r>
      <w:r/>
    </w:p>
    <w:p>
      <w:pPr>
        <w:ind w:firstLine="480"/>
        <w:spacing w:line="440" w:lineRule="exact"/>
        <w:rPr>
          <w:color w:val="auto"/>
          <w:sz w:val="24"/>
          <w:szCs w:val="24"/>
          <w:highlight w:val="none"/>
        </w:rPr>
      </w:pPr>
      <w:r>
        <w:rPr>
          <w:color w:val="auto"/>
          <w:sz w:val="24"/>
          <w:szCs w:val="24"/>
          <w:highlight w:val="none"/>
        </w:rPr>
        <w:t xml:space="preserve">1、</w:t>
      </w:r>
      <w:r>
        <w:rPr>
          <w:rFonts w:hint="eastAsia"/>
          <w:color w:val="auto"/>
          <w:sz w:val="24"/>
          <w:highlight w:val="none"/>
        </w:rPr>
        <w:t xml:space="preserve">本项目采用综合评分法。评标结果按</w:t>
      </w:r>
      <w:r>
        <w:rPr>
          <w:color w:val="auto"/>
          <w:sz w:val="24"/>
          <w:szCs w:val="24"/>
          <w:highlight w:val="none"/>
        </w:rPr>
        <w:t xml:space="preserve">评审后得分由高到低顺序排列。得分相同的，按投标报价由低到高顺序排列。得分且投标报价相同的</w:t>
      </w:r>
      <w:r>
        <w:rPr>
          <w:rFonts w:hint="eastAsia"/>
          <w:color w:val="auto"/>
          <w:sz w:val="24"/>
          <w:szCs w:val="24"/>
          <w:highlight w:val="none"/>
        </w:rPr>
        <w:t xml:space="preserve">，则由评标委员会组织抽签确定。</w:t>
      </w:r>
      <w:r/>
    </w:p>
    <w:p>
      <w:pPr>
        <w:ind w:firstLine="480"/>
        <w:spacing w:line="440" w:lineRule="exact"/>
        <w:rPr>
          <w:color w:val="auto"/>
          <w:sz w:val="24"/>
          <w:szCs w:val="24"/>
          <w:highlight w:val="none"/>
        </w:rPr>
      </w:pPr>
      <w:r>
        <w:rPr>
          <w:color w:val="auto"/>
          <w:sz w:val="24"/>
          <w:szCs w:val="24"/>
          <w:highlight w:val="none"/>
        </w:rPr>
        <w:t xml:space="preserve">2、评委会根据排列情况将推荐前三名为中标候选人，并根据采购人委托</w:t>
      </w:r>
      <w:r>
        <w:rPr>
          <w:rFonts w:hint="eastAsia"/>
          <w:color w:val="auto"/>
          <w:sz w:val="24"/>
          <w:szCs w:val="24"/>
          <w:highlight w:val="none"/>
        </w:rPr>
        <w:t xml:space="preserve">直接</w:t>
      </w:r>
      <w:r>
        <w:rPr>
          <w:color w:val="auto"/>
          <w:sz w:val="24"/>
          <w:szCs w:val="24"/>
          <w:highlight w:val="none"/>
        </w:rPr>
        <w:t xml:space="preserve">确定排名第一的中标候选人为中标人。</w:t>
      </w:r>
      <w:r/>
    </w:p>
    <w:p>
      <w:pPr>
        <w:ind w:firstLine="480"/>
        <w:spacing w:line="440" w:lineRule="exact"/>
        <w:rPr>
          <w:rFonts w:hint="eastAsia"/>
          <w:b/>
          <w:bCs/>
          <w:color w:val="auto"/>
          <w:sz w:val="24"/>
          <w:szCs w:val="24"/>
          <w:highlight w:val="none"/>
        </w:rPr>
      </w:pPr>
      <w:r>
        <w:rPr>
          <w:rFonts w:hint="eastAsia"/>
          <w:b/>
          <w:bCs/>
          <w:color w:val="auto"/>
          <w:sz w:val="24"/>
          <w:szCs w:val="24"/>
          <w:highlight w:val="none"/>
        </w:rPr>
        <w:t xml:space="preserve">3、本项目核心产品为流量站中的“H-ADCP”，提供相同品牌产品且通过资格审查、符合性审查的不同投标人参加同一合同项下投标的，按一家投标人计算，评审后得分最高的同品牌投标人获得中标人推荐资格；得分相同的，按投标报价由低到高顺序排列</w:t>
      </w:r>
      <w:r>
        <w:rPr>
          <w:rFonts w:hint="eastAsia"/>
          <w:b/>
          <w:bCs/>
          <w:color w:val="auto"/>
          <w:sz w:val="24"/>
          <w:szCs w:val="24"/>
          <w:highlight w:val="none"/>
          <w:lang w:eastAsia="zh-CN"/>
        </w:rPr>
        <w:t xml:space="preserve">，</w:t>
      </w:r>
      <w:r>
        <w:rPr>
          <w:rFonts w:hint="eastAsia"/>
          <w:b/>
          <w:bCs/>
          <w:color w:val="auto"/>
          <w:sz w:val="24"/>
          <w:szCs w:val="24"/>
          <w:highlight w:val="none"/>
        </w:rPr>
        <w:t xml:space="preserve">投标报价相同的，则由评标委员会组织抽签确定</w:t>
      </w:r>
      <w:r>
        <w:rPr>
          <w:rFonts w:hint="eastAsia"/>
          <w:b/>
          <w:bCs/>
          <w:color w:val="auto"/>
          <w:sz w:val="24"/>
          <w:szCs w:val="24"/>
          <w:highlight w:val="none"/>
          <w:lang w:eastAsia="zh-CN"/>
        </w:rPr>
        <w:t xml:space="preserve">；</w:t>
      </w:r>
      <w:r>
        <w:rPr>
          <w:rFonts w:hint="eastAsia"/>
          <w:b/>
          <w:bCs/>
          <w:color w:val="auto"/>
          <w:sz w:val="24"/>
          <w:szCs w:val="24"/>
          <w:highlight w:val="none"/>
        </w:rPr>
        <w:t xml:space="preserve">其他同品牌投标人不作为中标候选人。</w:t>
      </w:r>
      <w:r/>
    </w:p>
    <w:p>
      <w:pPr>
        <w:spacing w:line="440" w:lineRule="exact"/>
        <w:rPr>
          <w:b/>
          <w:bCs/>
          <w:color w:val="auto"/>
          <w:sz w:val="28"/>
          <w:highlight w:val="none"/>
        </w:rPr>
      </w:pPr>
      <w:r>
        <w:rPr>
          <w:b/>
          <w:bCs/>
          <w:color w:val="auto"/>
          <w:sz w:val="28"/>
          <w:highlight w:val="none"/>
        </w:rPr>
        <w:t xml:space="preserve">二、评审因素、权值及评分标准：</w:t>
      </w:r>
      <w:r/>
    </w:p>
    <w:p>
      <w:pPr>
        <w:ind w:firstLine="470"/>
        <w:spacing w:line="440" w:lineRule="exact"/>
        <w:rPr>
          <w:b/>
          <w:bCs/>
          <w:color w:val="auto"/>
          <w:sz w:val="24"/>
          <w:highlight w:val="none"/>
        </w:rPr>
      </w:pPr>
      <w:r>
        <w:rPr>
          <w:color w:val="auto"/>
          <w:sz w:val="24"/>
          <w:highlight w:val="none"/>
        </w:rPr>
        <w:t xml:space="preserve">注：每部分的得分保留小数点后两位，合计得分保留小数点后两位。</w:t>
      </w:r>
      <w:r/>
    </w:p>
    <w:p>
      <w:pPr>
        <w:ind w:firstLine="472"/>
        <w:spacing w:line="440" w:lineRule="exact"/>
        <w:rPr>
          <w:b/>
          <w:bCs/>
          <w:color w:val="auto"/>
          <w:sz w:val="24"/>
          <w:highlight w:val="none"/>
        </w:rPr>
      </w:pPr>
      <w:r>
        <w:rPr>
          <w:b/>
          <w:bCs/>
          <w:color w:val="auto"/>
          <w:sz w:val="24"/>
          <w:highlight w:val="none"/>
        </w:rPr>
        <w:t xml:space="preserve">1、投标报价</w:t>
      </w:r>
      <w:r>
        <w:rPr>
          <w:rFonts w:hint="eastAsia"/>
          <w:b/>
          <w:bCs/>
          <w:color w:val="auto"/>
          <w:sz w:val="24"/>
          <w:highlight w:val="none"/>
        </w:rPr>
        <w:t xml:space="preserve">40</w:t>
      </w:r>
      <w:r>
        <w:rPr>
          <w:b/>
          <w:bCs/>
          <w:color w:val="auto"/>
          <w:sz w:val="24"/>
          <w:highlight w:val="none"/>
        </w:rPr>
        <w:t xml:space="preserve">分</w:t>
      </w:r>
      <w:r/>
    </w:p>
    <w:p>
      <w:pPr>
        <w:ind w:firstLine="482"/>
        <w:spacing w:line="440" w:lineRule="exact"/>
        <w:rPr>
          <w:color w:val="auto"/>
          <w:sz w:val="24"/>
          <w:highlight w:val="none"/>
        </w:rPr>
      </w:pPr>
      <w:r>
        <w:rPr>
          <w:rFonts w:hint="eastAsia"/>
          <w:color w:val="auto"/>
          <w:sz w:val="24"/>
          <w:highlight w:val="none"/>
        </w:rPr>
        <w:t xml:space="preserve">满足招标文件要求且投标价格最低的投标报价为评标基准价，其价格分为40分；其他投标人的价格分按下列公式计算：投标报价得分＝（评标基准价／投标报价）×40分。</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评审过程中出现下列情形之一的，评审委员会应当启动异常低价投标（响应）审查程序：</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（1）投标（响应）报价低于全部通过符合性审查供应商投标（响应）报价平均值65</w:t>
      </w:r>
      <w:r>
        <w:rPr>
          <w:rFonts w:ascii="宋体" w:hAnsi="宋体"/>
          <w:color w:val="auto"/>
          <w:sz w:val="24"/>
          <w:highlight w:val="none"/>
        </w:rPr>
        <w:t xml:space="preserve">%</w:t>
      </w:r>
      <w:r>
        <w:rPr>
          <w:rFonts w:hint="eastAsia" w:ascii="宋体" w:hAnsi="宋体"/>
          <w:color w:val="auto"/>
          <w:sz w:val="24"/>
          <w:highlight w:val="none"/>
        </w:rPr>
        <w:t xml:space="preserve">的，即投标（响应）报价</w:t>
      </w:r>
      <w:r>
        <w:rPr>
          <w:rFonts w:ascii="宋体" w:hAnsi="宋体"/>
          <w:color w:val="auto"/>
          <w:sz w:val="24"/>
          <w:highlight w:val="none"/>
        </w:rPr>
        <w:t xml:space="preserve">&lt;</w:t>
      </w:r>
      <w:r>
        <w:rPr>
          <w:rFonts w:hint="eastAsia" w:ascii="宋体" w:hAnsi="宋体"/>
          <w:color w:val="auto"/>
          <w:sz w:val="24"/>
          <w:highlight w:val="none"/>
        </w:rPr>
        <w:t xml:space="preserve">全部通过符合性审查供应商投标（响应）报价平均值</w:t>
      </w:r>
      <w:r>
        <w:rPr>
          <w:rFonts w:ascii="宋体" w:hAnsi="宋体"/>
          <w:color w:val="auto"/>
          <w:sz w:val="24"/>
          <w:highlight w:val="none"/>
        </w:rPr>
        <w:t xml:space="preserve">×</w:t>
      </w:r>
      <w:r>
        <w:rPr>
          <w:rFonts w:hint="eastAsia" w:ascii="宋体" w:hAnsi="宋体"/>
          <w:color w:val="auto"/>
          <w:sz w:val="24"/>
          <w:highlight w:val="none"/>
        </w:rPr>
        <w:t xml:space="preserve">65</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（2）投标（响应）报价低于通过符合性审查的次低报价供应商投标（响应）报价65</w:t>
      </w:r>
      <w:r>
        <w:rPr>
          <w:rFonts w:ascii="宋体" w:hAnsi="宋体"/>
          <w:color w:val="auto"/>
          <w:sz w:val="24"/>
          <w:highlight w:val="none"/>
        </w:rPr>
        <w:t xml:space="preserve">%</w:t>
      </w:r>
      <w:r>
        <w:rPr>
          <w:rFonts w:hint="eastAsia" w:ascii="宋体" w:hAnsi="宋体"/>
          <w:color w:val="auto"/>
          <w:sz w:val="24"/>
          <w:highlight w:val="none"/>
        </w:rPr>
        <w:t xml:space="preserve">的，即投标（响应）报价</w:t>
      </w:r>
      <w:r>
        <w:rPr>
          <w:rFonts w:ascii="宋体" w:hAnsi="宋体"/>
          <w:color w:val="auto"/>
          <w:sz w:val="24"/>
          <w:highlight w:val="none"/>
        </w:rPr>
        <w:t xml:space="preserve">&lt;</w:t>
      </w:r>
      <w:r>
        <w:rPr>
          <w:rFonts w:hint="eastAsia" w:ascii="宋体" w:hAnsi="宋体"/>
          <w:color w:val="auto"/>
          <w:sz w:val="24"/>
          <w:highlight w:val="none"/>
        </w:rPr>
        <w:t xml:space="preserve">通过符合性审查的次低报价供应商投标（响应）报价</w:t>
      </w:r>
      <w:r>
        <w:rPr>
          <w:rFonts w:ascii="宋体" w:hAnsi="宋体"/>
          <w:color w:val="auto"/>
          <w:sz w:val="24"/>
          <w:highlight w:val="none"/>
        </w:rPr>
        <w:t xml:space="preserve">×</w:t>
      </w:r>
      <w:r>
        <w:rPr>
          <w:rFonts w:hint="eastAsia" w:ascii="宋体" w:hAnsi="宋体"/>
          <w:color w:val="auto"/>
          <w:sz w:val="24"/>
          <w:highlight w:val="none"/>
        </w:rPr>
        <w:t xml:space="preserve">65</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（3）投标（响应）报价低于采购项目最高限价65</w:t>
      </w:r>
      <w:r>
        <w:rPr>
          <w:rFonts w:ascii="宋体" w:hAnsi="宋体"/>
          <w:color w:val="auto"/>
          <w:sz w:val="24"/>
          <w:highlight w:val="none"/>
        </w:rPr>
        <w:t xml:space="preserve">%</w:t>
      </w:r>
      <w:r>
        <w:rPr>
          <w:rFonts w:hint="eastAsia" w:ascii="宋体" w:hAnsi="宋体"/>
          <w:color w:val="auto"/>
          <w:sz w:val="24"/>
          <w:highlight w:val="none"/>
        </w:rPr>
        <w:t xml:space="preserve">的，即投标（响应）报价</w:t>
      </w:r>
      <w:r>
        <w:rPr>
          <w:rFonts w:ascii="宋体" w:hAnsi="宋体"/>
          <w:color w:val="auto"/>
          <w:sz w:val="24"/>
          <w:highlight w:val="none"/>
        </w:rPr>
        <w:t xml:space="preserve">&lt;</w:t>
      </w:r>
      <w:r>
        <w:rPr>
          <w:rFonts w:hint="eastAsia" w:ascii="宋体" w:hAnsi="宋体"/>
          <w:color w:val="auto"/>
          <w:sz w:val="24"/>
          <w:highlight w:val="none"/>
        </w:rPr>
        <w:t xml:space="preserve">采购项目最高限价</w:t>
      </w:r>
      <w:r>
        <w:rPr>
          <w:rFonts w:ascii="宋体" w:hAnsi="宋体"/>
          <w:color w:val="auto"/>
          <w:sz w:val="24"/>
          <w:highlight w:val="none"/>
        </w:rPr>
        <w:t xml:space="preserve">×</w:t>
      </w:r>
      <w:r>
        <w:rPr>
          <w:rFonts w:hint="eastAsia" w:ascii="宋体" w:hAnsi="宋体"/>
          <w:color w:val="auto"/>
          <w:sz w:val="24"/>
          <w:highlight w:val="none"/>
        </w:rPr>
        <w:t xml:space="preserve">65</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（4）评审委员会基于专业判断，认为供应商报价过低，有可能影响产品质量或者不能诚信履约的其他情形。</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人工成本、设备使用费用、材料成本等，给予相关供应商</w:t>
      </w:r>
      <w:r>
        <w:rPr>
          <w:rFonts w:hint="eastAsia" w:ascii="宋体" w:hAnsi="宋体"/>
          <w:color w:val="auto"/>
          <w:sz w:val="24"/>
          <w:highlight w:val="none"/>
          <w:lang w:val="en-US" w:eastAsia="zh-CN"/>
        </w:rPr>
        <w:t xml:space="preserve">30分钟提供相关证明材料</w:t>
      </w:r>
      <w:r>
        <w:rPr>
          <w:rFonts w:hint="eastAsia" w:ascii="宋体" w:hAnsi="宋体"/>
          <w:color w:val="auto"/>
          <w:sz w:val="24"/>
          <w:highlight w:val="none"/>
        </w:rPr>
        <w:t xml:space="preserve">。其中，属于第3项情形，供应商已随投标（响应）文件一并提交相关书面说明及必要的证明材料的，在评审现场可不再重复提交。</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40" w:lineRule="exact"/>
        <w:rPr>
          <w:b/>
          <w:color w:val="auto"/>
          <w:sz w:val="24"/>
          <w:szCs w:val="20"/>
          <w:highlight w:val="none"/>
        </w:rPr>
      </w:pPr>
      <w:r>
        <w:rPr>
          <w:b/>
          <w:color w:val="auto"/>
          <w:sz w:val="24"/>
          <w:szCs w:val="20"/>
          <w:highlight w:val="none"/>
        </w:rPr>
        <w:t xml:space="preserve">2</w:t>
      </w:r>
      <w:r>
        <w:rPr>
          <w:rFonts w:hint="eastAsia"/>
          <w:b/>
          <w:color w:val="auto"/>
          <w:sz w:val="24"/>
          <w:szCs w:val="20"/>
          <w:highlight w:val="none"/>
        </w:rPr>
        <w:t xml:space="preserve">、</w:t>
      </w:r>
      <w:r>
        <w:rPr>
          <w:rFonts w:hint="eastAsia" w:ascii="Times New Roman" w:hAnsi="Times New Roman"/>
          <w:b/>
          <w:color w:val="auto"/>
          <w:sz w:val="24"/>
          <w:szCs w:val="24"/>
          <w:highlight w:val="none"/>
          <w:lang w:bidi="ar"/>
        </w:rPr>
        <w:t xml:space="preserve">投标货物质量性能</w:t>
      </w:r>
      <w:r>
        <w:rPr>
          <w:rFonts w:hint="eastAsia"/>
          <w:b/>
          <w:color w:val="auto"/>
          <w:sz w:val="24"/>
          <w:szCs w:val="20"/>
          <w:highlight w:val="none"/>
        </w:rPr>
        <w:t xml:space="preserve">39分</w:t>
      </w:r>
      <w:r/>
    </w:p>
    <w:tbl>
      <w:tblPr>
        <w:tblStyle w:val="819"/>
        <w:tblW w:w="92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436"/>
        <w:gridCol w:w="874"/>
        <w:gridCol w:w="6156"/>
      </w:tblGrid>
      <w:tr>
        <w:trPr>
          <w:jc w:val="center"/>
          <w:trHeight w:val="595"/>
        </w:trPr>
        <w:tc>
          <w:tcPr>
            <w:tcBorders>
              <w:top w:val="single" w:color="000000" w:sz="4" w:space="0"/>
              <w:left w:val="single" w:color="000000" w:sz="4" w:space="0"/>
              <w:bottom w:val="single" w:color="000000" w:sz="4" w:space="0"/>
              <w:right w:val="single" w:color="000000" w:sz="4" w:space="0"/>
            </w:tcBorders>
            <w:tcW w:w="810" w:type="dxa"/>
            <w:textDirection w:val="lrTb"/>
            <w:noWrap w:val="false"/>
          </w:tcPr>
          <w:p>
            <w:pPr>
              <w:jc w:val="center"/>
              <w:spacing w:line="440" w:lineRule="exact"/>
              <w:rPr>
                <w:color w:val="auto"/>
                <w:sz w:val="24"/>
                <w:szCs w:val="20"/>
                <w:highlight w:val="none"/>
              </w:rPr>
            </w:pPr>
            <w:r>
              <w:rPr>
                <w:rFonts w:hint="eastAsia"/>
                <w:color w:val="auto"/>
                <w:sz w:val="24"/>
                <w:szCs w:val="2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spacing w:line="440" w:lineRule="exact"/>
              <w:rPr>
                <w:color w:val="auto"/>
                <w:sz w:val="24"/>
                <w:szCs w:val="20"/>
                <w:highlight w:val="none"/>
              </w:rPr>
            </w:pPr>
            <w:r>
              <w:rPr>
                <w:rFonts w:hint="eastAsia"/>
                <w:color w:val="auto"/>
                <w:sz w:val="24"/>
                <w:szCs w:val="20"/>
                <w:highlight w:val="none"/>
              </w:rPr>
              <w:t xml:space="preserve">评分因素</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spacing w:line="440" w:lineRule="exact"/>
              <w:rPr>
                <w:color w:val="auto"/>
                <w:sz w:val="24"/>
                <w:szCs w:val="20"/>
                <w:highlight w:val="none"/>
              </w:rPr>
            </w:pPr>
            <w:r>
              <w:rPr>
                <w:rFonts w:hint="eastAsia"/>
                <w:color w:val="auto"/>
                <w:sz w:val="24"/>
                <w:szCs w:val="20"/>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6156" w:type="dxa"/>
            <w:vAlign w:val="center"/>
            <w:textDirection w:val="lrTb"/>
            <w:noWrap w:val="false"/>
          </w:tcPr>
          <w:p>
            <w:pPr>
              <w:jc w:val="center"/>
              <w:spacing w:line="440" w:lineRule="exact"/>
              <w:rPr>
                <w:color w:val="auto"/>
                <w:sz w:val="24"/>
                <w:szCs w:val="20"/>
                <w:highlight w:val="none"/>
              </w:rPr>
            </w:pPr>
            <w:r>
              <w:rPr>
                <w:rFonts w:hint="eastAsia"/>
                <w:color w:val="auto"/>
                <w:sz w:val="24"/>
                <w:szCs w:val="20"/>
                <w:highlight w:val="none"/>
              </w:rPr>
              <w:t xml:space="preserve">评分标准</w:t>
            </w:r>
            <w:r/>
          </w:p>
        </w:tc>
      </w:tr>
      <w:tr>
        <w:trPr>
          <w:jc w:val="center"/>
          <w:trHeight w:val="955"/>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spacing w:line="440" w:lineRule="exact"/>
              <w:rPr>
                <w:rFonts w:asciiTheme="minorEastAsia" w:hAnsiTheme="minorEastAsia" w:eastAsiaTheme="minorEastAsia"/>
                <w:color w:val="auto"/>
                <w:sz w:val="24"/>
                <w:szCs w:val="20"/>
                <w:highlight w:val="none"/>
              </w:rPr>
            </w:pPr>
            <w:r>
              <w:rPr>
                <w:rFonts w:hint="eastAsia" w:asciiTheme="minorEastAsia" w:hAnsiTheme="minorEastAsia" w:eastAsiaTheme="minorEastAsia"/>
                <w:color w:val="auto"/>
                <w:sz w:val="24"/>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rPr>
                <w:rFonts w:asciiTheme="minorEastAsia" w:hAnsiTheme="minorEastAsia" w:eastAsiaTheme="minorEastAsia"/>
                <w:color w:val="auto"/>
                <w:sz w:val="24"/>
                <w:szCs w:val="20"/>
                <w:highlight w:val="none"/>
              </w:rPr>
            </w:pPr>
            <w:r>
              <w:rPr>
                <w:rFonts w:hint="eastAsia" w:ascii="Times New Roman" w:hAnsi="Times New Roman" w:cs="宋体"/>
                <w:color w:val="auto"/>
                <w:sz w:val="24"/>
                <w:szCs w:val="24"/>
                <w:highlight w:val="none"/>
                <w:lang w:bidi="ar"/>
              </w:rPr>
              <w:t xml:space="preserve">技术性能参数响应性</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rPr>
                <w:rFonts w:asciiTheme="minorEastAsia" w:hAnsiTheme="minorEastAsia" w:eastAsiaTheme="minorEastAsia"/>
                <w:color w:val="auto"/>
                <w:sz w:val="24"/>
                <w:szCs w:val="20"/>
                <w:highlight w:val="none"/>
              </w:rPr>
            </w:pPr>
            <w:r>
              <w:rPr>
                <w:rFonts w:hint="eastAsia" w:ascii="Times New Roman" w:hAnsi="Times New Roman"/>
                <w:color w:val="auto"/>
                <w:sz w:val="24"/>
                <w:szCs w:val="24"/>
                <w:highlight w:val="none"/>
                <w:lang w:bidi="ar"/>
              </w:rPr>
              <w:t xml:space="preserve">39</w:t>
            </w:r>
            <w:r>
              <w:rPr>
                <w:rFonts w:hint="eastAsia" w:ascii="Times New Roman" w:hAnsi="Times New Roman" w:cs="宋体"/>
                <w:color w:val="auto"/>
                <w:sz w:val="24"/>
                <w:szCs w:val="24"/>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6156" w:type="dxa"/>
            <w:vAlign w:val="center"/>
            <w:textDirection w:val="lrTb"/>
            <w:noWrap w:val="false"/>
          </w:tcPr>
          <w:p>
            <w:pPr>
              <w:rPr>
                <w:rFonts w:ascii="Times New Roman" w:hAnsi="Times New Roman" w:cs="宋体"/>
                <w:color w:val="auto"/>
                <w:sz w:val="24"/>
                <w:szCs w:val="20"/>
                <w:highlight w:val="none"/>
                <w:lang w:bidi="ar"/>
              </w:rPr>
            </w:pPr>
            <w:r>
              <w:rPr>
                <w:rFonts w:hint="eastAsia" w:ascii="Times New Roman" w:hAnsi="Times New Roman" w:cs="宋体"/>
                <w:color w:val="auto"/>
                <w:sz w:val="24"/>
                <w:szCs w:val="20"/>
                <w:highlight w:val="none"/>
                <w:lang w:bidi="ar"/>
              </w:rPr>
              <w:t xml:space="preserve">投标货物的技术性能参数（210条）全部满足招标要求的得基本分3</w:t>
            </w:r>
            <w:r>
              <w:rPr>
                <w:rFonts w:ascii="Times New Roman" w:hAnsi="Times New Roman" w:cs="宋体"/>
                <w:color w:val="auto"/>
                <w:sz w:val="24"/>
                <w:szCs w:val="20"/>
                <w:highlight w:val="none"/>
                <w:lang w:bidi="ar"/>
              </w:rPr>
              <w:t xml:space="preserve">9</w:t>
            </w:r>
            <w:r>
              <w:rPr>
                <w:rFonts w:hint="eastAsia" w:ascii="Times New Roman" w:hAnsi="Times New Roman" w:cs="宋体"/>
                <w:color w:val="auto"/>
                <w:sz w:val="24"/>
                <w:szCs w:val="20"/>
                <w:highlight w:val="none"/>
                <w:lang w:bidi="ar"/>
              </w:rPr>
              <w:t xml:space="preserve">分；标“</w:t>
            </w:r>
            <w:r>
              <w:rPr>
                <w:rFonts w:ascii="Arial" w:hAnsi="Arial" w:cs="Arial"/>
                <w:color w:val="auto"/>
                <w:sz w:val="24"/>
                <w:szCs w:val="24"/>
                <w:highlight w:val="none"/>
              </w:rPr>
              <w:t xml:space="preserve">▲</w:t>
            </w:r>
            <w:r>
              <w:rPr>
                <w:rFonts w:hint="eastAsia" w:ascii="Times New Roman" w:hAnsi="Times New Roman" w:cs="宋体"/>
                <w:color w:val="auto"/>
                <w:sz w:val="24"/>
                <w:szCs w:val="20"/>
                <w:highlight w:val="none"/>
                <w:lang w:bidi="ar"/>
              </w:rPr>
              <w:t xml:space="preserve">”参数（10条）存在负偏离的，每有1条扣1.5分；其余参数（200条）存在负偏离的，每有1条扣0.12分。</w:t>
            </w:r>
            <w:r/>
          </w:p>
          <w:p>
            <w:pPr>
              <w:rPr>
                <w:rFonts w:asciiTheme="minorEastAsia" w:hAnsiTheme="minorEastAsia" w:eastAsiaTheme="minorEastAsia"/>
                <w:color w:val="auto"/>
                <w:sz w:val="24"/>
                <w:szCs w:val="20"/>
                <w:highlight w:val="none"/>
              </w:rPr>
            </w:pPr>
            <w:r>
              <w:rPr>
                <w:rFonts w:hint="eastAsia" w:ascii="Times New Roman" w:hAnsi="Times New Roman" w:cs="宋体"/>
                <w:b/>
                <w:color w:val="auto"/>
                <w:sz w:val="24"/>
                <w:szCs w:val="24"/>
                <w:highlight w:val="none"/>
                <w:lang w:bidi="ar"/>
              </w:rPr>
              <w:t xml:space="preserve">注：</w:t>
            </w:r>
            <w:r>
              <w:rPr>
                <w:rFonts w:hint="eastAsia" w:ascii="Times New Roman" w:hAnsi="Times New Roman" w:cs="宋体"/>
                <w:b/>
                <w:bCs/>
                <w:color w:val="auto"/>
                <w:sz w:val="24"/>
                <w:szCs w:val="24"/>
                <w:highlight w:val="none"/>
              </w:rPr>
              <w:t xml:space="preserve">标“</w:t>
            </w:r>
            <w:r>
              <w:rPr>
                <w:rFonts w:ascii="Arial" w:hAnsi="Arial" w:cs="Arial"/>
                <w:color w:val="auto"/>
                <w:sz w:val="24"/>
                <w:szCs w:val="24"/>
                <w:highlight w:val="none"/>
              </w:rPr>
              <w:t xml:space="preserve">▲</w:t>
            </w:r>
            <w:r>
              <w:rPr>
                <w:rFonts w:hint="eastAsia" w:ascii="Times New Roman" w:hAnsi="Times New Roman" w:cs="宋体"/>
                <w:b/>
                <w:bCs/>
                <w:color w:val="auto"/>
                <w:sz w:val="24"/>
                <w:szCs w:val="24"/>
                <w:highlight w:val="none"/>
              </w:rPr>
              <w:t xml:space="preserve">”的参数需按招标文件要求在投标文件中提供相关证明材料作为佐证，未提供相关证明材料或提供的证明材料无法佐证的，相关技术性能参数视为负偏离。</w:t>
            </w:r>
            <w:r/>
          </w:p>
        </w:tc>
      </w:tr>
    </w:tbl>
    <w:p>
      <w:pPr>
        <w:ind w:firstLine="482"/>
        <w:spacing w:line="440" w:lineRule="exact"/>
        <w:rPr>
          <w:b/>
          <w:color w:val="auto"/>
          <w:sz w:val="24"/>
          <w:szCs w:val="20"/>
          <w:highlight w:val="none"/>
        </w:rPr>
      </w:pPr>
      <w:r>
        <w:rPr>
          <w:b/>
          <w:color w:val="auto"/>
          <w:sz w:val="24"/>
          <w:szCs w:val="20"/>
          <w:highlight w:val="none"/>
        </w:rPr>
        <w:t xml:space="preserve">3</w:t>
      </w:r>
      <w:r>
        <w:rPr>
          <w:rFonts w:hint="eastAsia"/>
          <w:b/>
          <w:color w:val="auto"/>
          <w:sz w:val="24"/>
          <w:szCs w:val="20"/>
          <w:highlight w:val="none"/>
        </w:rPr>
        <w:t xml:space="preserve">、项目实施方案13分</w:t>
      </w:r>
      <w:r/>
    </w:p>
    <w:tbl>
      <w:tblPr>
        <w:tblStyle w:val="819"/>
        <w:tblW w:w="93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477"/>
        <w:gridCol w:w="851"/>
        <w:gridCol w:w="6170"/>
      </w:tblGrid>
      <w:tr>
        <w:trPr>
          <w:jc w:val="center"/>
          <w:trHeight w:val="5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spacing w:line="240" w:lineRule="atLeast"/>
              <w:rPr>
                <w:color w:val="auto"/>
                <w:sz w:val="24"/>
                <w:szCs w:val="24"/>
                <w:highlight w:val="none"/>
              </w:rPr>
            </w:pPr>
            <w:r>
              <w:rPr>
                <w:rFonts w:hint="eastAsia"/>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spacing w:line="240" w:lineRule="atLeast"/>
              <w:rPr>
                <w:color w:val="auto"/>
                <w:sz w:val="24"/>
                <w:szCs w:val="24"/>
                <w:highlight w:val="none"/>
              </w:rPr>
            </w:pPr>
            <w:r>
              <w:rPr>
                <w:rFonts w:hint="eastAsia"/>
                <w:color w:val="auto"/>
                <w:sz w:val="24"/>
                <w:szCs w:val="24"/>
                <w:highlight w:val="none"/>
              </w:rPr>
              <w:t xml:space="preserve">评分因素</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tLeast"/>
              <w:rPr>
                <w:color w:val="auto"/>
                <w:sz w:val="24"/>
                <w:szCs w:val="24"/>
                <w:highlight w:val="none"/>
              </w:rPr>
            </w:pPr>
            <w:r>
              <w:rPr>
                <w:rFonts w:hint="eastAsia"/>
                <w:color w:val="auto"/>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jc w:val="center"/>
              <w:spacing w:line="240" w:lineRule="atLeast"/>
              <w:rPr>
                <w:color w:val="auto"/>
                <w:sz w:val="24"/>
                <w:szCs w:val="24"/>
                <w:highlight w:val="none"/>
              </w:rPr>
            </w:pPr>
            <w:r>
              <w:rPr>
                <w:rFonts w:hint="eastAsia"/>
                <w:color w:val="auto"/>
                <w:sz w:val="24"/>
                <w:szCs w:val="24"/>
                <w:highlight w:val="none"/>
              </w:rPr>
              <w:t xml:space="preserve">评分标准</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spacing w:line="24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ascii="宋体" w:hAnsi="宋体" w:cs="宋体"/>
                <w:color w:val="auto"/>
                <w:sz w:val="24"/>
                <w:szCs w:val="20"/>
                <w:highlight w:val="none"/>
              </w:rPr>
            </w:pPr>
            <w:r>
              <w:rPr>
                <w:rFonts w:hint="eastAsia" w:ascii="宋体" w:hAnsi="宋体" w:cs="宋体"/>
                <w:color w:val="auto"/>
                <w:sz w:val="24"/>
                <w:szCs w:val="20"/>
                <w:highlight w:val="none"/>
                <w:lang w:bidi="ar"/>
              </w:rPr>
              <w:t xml:space="preserve">供货计划及保障措施方案</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auto"/>
                <w:sz w:val="24"/>
                <w:szCs w:val="20"/>
                <w:highlight w:val="none"/>
              </w:rPr>
            </w:pPr>
            <w:r>
              <w:rPr>
                <w:rFonts w:hint="eastAsia" w:ascii="宋体" w:hAnsi="宋体" w:cs="宋体"/>
                <w:color w:val="auto"/>
                <w:sz w:val="24"/>
                <w:szCs w:val="20"/>
                <w:highlight w:val="none"/>
                <w:lang w:bidi="ar"/>
              </w:rPr>
              <w:t xml:space="preserve">1分</w:t>
            </w:r>
            <w:r/>
          </w:p>
        </w:tc>
        <w:tc>
          <w:tcPr>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0"/>
                <w:highlight w:val="none"/>
                <w:lang w:bidi="ar"/>
              </w:rPr>
              <w:t xml:space="preserve">根据投标人供货进度计划、保障措施方案综合评定，方案内容详细、科学合理，切实可行的得1分；方案内容合理、满足项目实施的得0.5分；未作说明的不得分。</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spacing w:line="24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ascii="宋体" w:hAnsi="宋体" w:cs="宋体"/>
                <w:color w:val="auto"/>
                <w:sz w:val="24"/>
                <w:szCs w:val="20"/>
                <w:highlight w:val="none"/>
              </w:rPr>
            </w:pPr>
            <w:r>
              <w:rPr>
                <w:rFonts w:hint="eastAsia" w:ascii="宋体" w:hAnsi="宋体" w:cs="宋体"/>
                <w:color w:val="auto"/>
                <w:sz w:val="24"/>
                <w:szCs w:val="20"/>
                <w:highlight w:val="none"/>
                <w:lang w:bidi="ar"/>
              </w:rPr>
              <w:t xml:space="preserve">安装调试方案</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80" w:lineRule="exact"/>
              <w:rPr>
                <w:rFonts w:ascii="宋体" w:hAnsi="宋体" w:cs="宋体"/>
                <w:color w:val="auto"/>
                <w:sz w:val="24"/>
                <w:szCs w:val="24"/>
                <w:highlight w:val="none"/>
              </w:rPr>
            </w:pPr>
            <w:r>
              <w:rPr>
                <w:rFonts w:hint="eastAsia" w:ascii="宋体" w:hAnsi="宋体" w:cs="宋体"/>
                <w:color w:val="auto"/>
                <w:sz w:val="24"/>
                <w:szCs w:val="20"/>
                <w:highlight w:val="none"/>
                <w:lang w:bidi="ar"/>
              </w:rPr>
              <w:t xml:space="preserve">2分</w:t>
            </w:r>
            <w:r/>
          </w:p>
        </w:tc>
        <w:tc>
          <w:tcPr>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0"/>
                <w:highlight w:val="none"/>
                <w:lang w:bidi="ar"/>
              </w:rPr>
              <w:t xml:space="preserve">根据投标人的安装调试方案进行综合评定，方案内容详细、科学合理，切实可行的得2分；方案内容合理、满足项目实施的得1分；未作说明的不得分。</w:t>
            </w:r>
            <w:r/>
          </w:p>
        </w:tc>
      </w:tr>
      <w:tr>
        <w:trPr>
          <w:jc w:val="center"/>
          <w:trHeight w:val="1165"/>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ascii="宋体" w:hAnsi="宋体" w:cs="宋体"/>
                <w:color w:val="auto"/>
                <w:sz w:val="24"/>
                <w:szCs w:val="20"/>
                <w:highlight w:val="none"/>
              </w:rPr>
            </w:pPr>
            <w:r>
              <w:rPr>
                <w:rFonts w:hint="eastAsia" w:ascii="宋体" w:hAnsi="宋体" w:cs="宋体"/>
                <w:color w:val="auto"/>
                <w:sz w:val="24"/>
                <w:highlight w:val="none"/>
                <w:lang w:eastAsia="zh-Hans"/>
              </w:rPr>
              <w:t xml:space="preserve">断面水质</w:t>
            </w:r>
            <w:r>
              <w:rPr>
                <w:rFonts w:hint="eastAsia" w:ascii="宋体" w:hAnsi="宋体" w:cs="宋体"/>
                <w:color w:val="auto"/>
                <w:sz w:val="24"/>
                <w:highlight w:val="none"/>
              </w:rPr>
              <w:t xml:space="preserve">分析方案</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auto"/>
                <w:sz w:val="24"/>
                <w:szCs w:val="20"/>
                <w:highlight w:val="none"/>
              </w:rPr>
            </w:pPr>
            <w:r>
              <w:rPr>
                <w:rFonts w:hint="eastAsia" w:ascii="宋体" w:hAnsi="宋体" w:cs="宋体"/>
                <w:color w:val="auto"/>
                <w:sz w:val="24"/>
                <w:szCs w:val="20"/>
                <w:highlight w:val="none"/>
              </w:rPr>
              <w:t xml:space="preserve">2分</w:t>
            </w:r>
            <w:r/>
          </w:p>
        </w:tc>
        <w:tc>
          <w:tcPr>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根据投标人提供的</w:t>
            </w:r>
            <w:bookmarkStart w:id="459" w:name="_Toc1228818781"/>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Hans"/>
              </w:rPr>
              <w:t xml:space="preserve">断面水质</w:t>
            </w:r>
            <w:r>
              <w:rPr>
                <w:rFonts w:hint="eastAsia" w:ascii="宋体" w:hAnsi="宋体" w:cs="宋体"/>
                <w:color w:val="auto"/>
                <w:sz w:val="24"/>
                <w:szCs w:val="24"/>
                <w:highlight w:val="none"/>
              </w:rPr>
              <w:t xml:space="preserve">分析模块”</w:t>
            </w:r>
            <w:bookmarkEnd w:id="459"/>
            <w:r>
              <w:rPr>
                <w:rFonts w:hint="eastAsia" w:ascii="宋体" w:hAnsi="宋体" w:cs="宋体"/>
                <w:color w:val="auto"/>
                <w:sz w:val="24"/>
                <w:szCs w:val="24"/>
                <w:highlight w:val="none"/>
              </w:rPr>
              <w:t xml:space="preserve">实施方案</w:t>
            </w:r>
            <w:r>
              <w:rPr>
                <w:rFonts w:hint="eastAsia" w:ascii="宋体" w:hAnsi="宋体" w:cs="宋体"/>
                <w:color w:val="auto"/>
                <w:sz w:val="24"/>
                <w:szCs w:val="24"/>
                <w:highlight w:val="none"/>
                <w:lang w:eastAsia="zh-Hans"/>
              </w:rPr>
              <w:t xml:space="preserve">进行</w:t>
            </w:r>
            <w:r>
              <w:rPr>
                <w:rFonts w:hint="eastAsia" w:ascii="宋体" w:hAnsi="宋体" w:cs="宋体"/>
                <w:color w:val="auto"/>
                <w:sz w:val="24"/>
                <w:szCs w:val="24"/>
                <w:highlight w:val="none"/>
              </w:rPr>
              <w:t xml:space="preserve">评定，方案内容详细、完整，优于项目需求的得2分；方案符合本项目需求得1分。未作说明的不得分。</w:t>
            </w:r>
            <w:r/>
          </w:p>
        </w:tc>
      </w:tr>
      <w:tr>
        <w:trPr>
          <w:jc w:val="center"/>
          <w:trHeight w:val="123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防汛决策</w:t>
            </w:r>
            <w:r>
              <w:rPr>
                <w:rFonts w:hint="eastAsia" w:ascii="宋体" w:hAnsi="宋体" w:cs="宋体"/>
                <w:color w:val="auto"/>
                <w:sz w:val="24"/>
                <w:highlight w:val="none"/>
              </w:rPr>
              <w:t xml:space="preserve">方案</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2分</w:t>
            </w:r>
            <w:r/>
          </w:p>
        </w:tc>
        <w:tc>
          <w:tcPr>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根据投标人提供的“防汛决策模块”实施方案进行评定，方案内容详细、完整，优于项目需求的得2分；方案符合本项目需求得1分。未作说明的不得分。</w:t>
            </w:r>
            <w:r/>
          </w:p>
        </w:tc>
      </w:tr>
      <w:tr>
        <w:trPr>
          <w:jc w:val="center"/>
          <w:trHeight w:val="1193"/>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无人机巡查处置</w:t>
            </w:r>
            <w:r>
              <w:rPr>
                <w:rFonts w:hint="eastAsia" w:ascii="宋体" w:hAnsi="宋体" w:cs="宋体"/>
                <w:color w:val="auto"/>
                <w:sz w:val="24"/>
                <w:highlight w:val="none"/>
              </w:rPr>
              <w:t xml:space="preserve">方案</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2分</w:t>
            </w:r>
            <w:r/>
          </w:p>
        </w:tc>
        <w:tc>
          <w:tcPr>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根据投标人提供的“无人机巡查处置模块”实施方案进行评定，方案内容详细、完整，优于项目需求的得2分；方案符合本项目需求得1分。未作说明的不得分。</w:t>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ascii="宋体" w:hAnsi="宋体" w:cs="宋体"/>
                <w:color w:val="auto"/>
                <w:sz w:val="24"/>
                <w:szCs w:val="20"/>
                <w:highlight w:val="none"/>
                <w:lang w:bidi="ar"/>
              </w:rPr>
            </w:pPr>
            <w:r>
              <w:rPr>
                <w:rFonts w:hint="eastAsia" w:ascii="宋体" w:hAnsi="宋体" w:cs="宋体"/>
                <w:color w:val="auto"/>
                <w:sz w:val="24"/>
                <w:szCs w:val="24"/>
                <w:highlight w:val="none"/>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jc w:val="left"/>
              <w:rPr>
                <w:color w:val="auto"/>
                <w:sz w:val="24"/>
                <w:szCs w:val="24"/>
                <w:highlight w:val="none"/>
              </w:rPr>
            </w:pPr>
            <w:r>
              <w:rPr>
                <w:rFonts w:hint="eastAsia"/>
                <w:color w:val="auto"/>
                <w:sz w:val="24"/>
                <w:szCs w:val="24"/>
                <w:highlight w:val="none"/>
              </w:rPr>
              <w:t xml:space="preserve">根据投标人针对本项目配备的项目组成员进行评定：</w:t>
            </w:r>
            <w:r/>
          </w:p>
          <w:p>
            <w:pPr>
              <w:jc w:val="lef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1</w:t>
            </w:r>
            <w:r>
              <w:rPr>
                <w:rFonts w:hint="eastAsia"/>
                <w:color w:val="auto"/>
                <w:sz w:val="24"/>
                <w:szCs w:val="24"/>
                <w:highlight w:val="none"/>
              </w:rPr>
              <w:t xml:space="preserve">）项目负责人：具有水利/计算机/电子通讯领域方向高级工程师</w:t>
            </w:r>
            <w:bookmarkStart w:id="542" w:name="_GoBack"/>
            <w:r/>
            <w:bookmarkEnd w:id="542"/>
            <w:r>
              <w:rPr>
                <w:rFonts w:hint="eastAsia"/>
                <w:color w:val="auto"/>
                <w:sz w:val="24"/>
                <w:szCs w:val="24"/>
                <w:highlight w:val="none"/>
              </w:rPr>
              <w:t xml:space="preserve">职称证书（或对应层级技术资格证书）的得</w:t>
            </w:r>
            <w:r>
              <w:rPr>
                <w:color w:val="auto"/>
                <w:sz w:val="24"/>
                <w:szCs w:val="24"/>
                <w:highlight w:val="none"/>
              </w:rPr>
              <w:t xml:space="preserve">1</w:t>
            </w:r>
            <w:r>
              <w:rPr>
                <w:rFonts w:hint="eastAsia"/>
                <w:color w:val="auto"/>
                <w:sz w:val="24"/>
                <w:szCs w:val="24"/>
                <w:highlight w:val="none"/>
              </w:rPr>
              <w:t xml:space="preserve">分，未提供的不得分；</w:t>
            </w:r>
            <w:r/>
          </w:p>
          <w:p>
            <w:pPr>
              <w:jc w:val="left"/>
              <w:rPr>
                <w:color w:val="auto"/>
                <w:sz w:val="24"/>
                <w:szCs w:val="24"/>
                <w:highlight w:val="none"/>
              </w:rPr>
            </w:pPr>
            <w:r>
              <w:rPr>
                <w:rFonts w:hint="eastAsia"/>
                <w:color w:val="auto"/>
                <w:sz w:val="24"/>
                <w:szCs w:val="24"/>
                <w:highlight w:val="none"/>
              </w:rPr>
              <w:t xml:space="preserve">（2）技术负责人：具有水利/计算机/电子通讯领域方向高级工程师职称证书（或对应层级技术资格证书）的得</w:t>
            </w:r>
            <w:r>
              <w:rPr>
                <w:color w:val="auto"/>
                <w:sz w:val="24"/>
                <w:szCs w:val="24"/>
                <w:highlight w:val="none"/>
              </w:rPr>
              <w:t xml:space="preserve">1</w:t>
            </w:r>
            <w:r>
              <w:rPr>
                <w:rFonts w:hint="eastAsia"/>
                <w:color w:val="auto"/>
                <w:sz w:val="24"/>
                <w:szCs w:val="24"/>
                <w:highlight w:val="none"/>
              </w:rPr>
              <w:t xml:space="preserve">分，未提供的不得分；</w:t>
            </w:r>
            <w:r/>
          </w:p>
          <w:p>
            <w:pPr>
              <w:jc w:val="left"/>
              <w:rPr>
                <w:color w:val="auto"/>
                <w:sz w:val="24"/>
                <w:szCs w:val="24"/>
                <w:highlight w:val="none"/>
              </w:rPr>
            </w:pPr>
            <w:r>
              <w:rPr>
                <w:rFonts w:hint="eastAsia"/>
                <w:color w:val="auto"/>
                <w:sz w:val="24"/>
                <w:szCs w:val="24"/>
                <w:highlight w:val="none"/>
              </w:rPr>
              <w:t xml:space="preserve">（3）其他成员（项目负责人、技术负责人除外）：具有水利/计算机/电子通讯领域方向中级及以上职称证书（或对应层级技术资格证书）或研究生学历（水利/计算机/电子通讯领域方向）的每有1人得</w:t>
            </w:r>
            <w:r>
              <w:rPr>
                <w:color w:val="auto"/>
                <w:sz w:val="24"/>
                <w:szCs w:val="24"/>
                <w:highlight w:val="none"/>
              </w:rPr>
              <w:t xml:space="preserve">0.5</w:t>
            </w:r>
            <w:r>
              <w:rPr>
                <w:rFonts w:hint="eastAsia"/>
                <w:color w:val="auto"/>
                <w:sz w:val="24"/>
                <w:szCs w:val="24"/>
                <w:highlight w:val="none"/>
              </w:rPr>
              <w:t xml:space="preserve">分，最高得2分。</w:t>
            </w:r>
            <w:r/>
          </w:p>
          <w:p>
            <w:pPr>
              <w:jc w:val="left"/>
              <w:rPr>
                <w:color w:val="auto"/>
                <w:sz w:val="24"/>
                <w:szCs w:val="24"/>
                <w:highlight w:val="none"/>
              </w:rPr>
            </w:pPr>
            <w:r>
              <w:rPr>
                <w:rFonts w:hint="eastAsia"/>
                <w:color w:val="auto"/>
                <w:sz w:val="24"/>
                <w:szCs w:val="24"/>
                <w:highlight w:val="none"/>
              </w:rPr>
              <w:t xml:space="preserve">注：①投标文件中须提供上述人员相关证书及投标人为其缴纳的近三个月中任意一个月的社保证明扫描件，否则不得分。</w:t>
            </w:r>
            <w:r/>
          </w:p>
          <w:p>
            <w:pPr>
              <w:ind w:firstLine="480"/>
              <w:jc w:val="left"/>
              <w:rPr>
                <w:color w:val="auto"/>
                <w:sz w:val="24"/>
                <w:szCs w:val="24"/>
                <w:highlight w:val="none"/>
              </w:rPr>
            </w:pPr>
            <w:r>
              <w:rPr>
                <w:rFonts w:hint="eastAsia"/>
                <w:color w:val="auto"/>
                <w:sz w:val="24"/>
                <w:szCs w:val="24"/>
                <w:highlight w:val="none"/>
              </w:rPr>
              <w:t xml:space="preserve">②上述人员证书不重复计算。</w:t>
            </w:r>
            <w:r/>
          </w:p>
        </w:tc>
      </w:tr>
    </w:tbl>
    <w:p>
      <w:pPr>
        <w:ind w:firstLine="482"/>
        <w:spacing w:line="440" w:lineRule="exact"/>
        <w:rPr>
          <w:b/>
          <w:color w:val="auto"/>
          <w:sz w:val="24"/>
          <w:szCs w:val="20"/>
          <w:highlight w:val="none"/>
        </w:rPr>
      </w:pPr>
      <w:r>
        <w:rPr>
          <w:b/>
          <w:color w:val="auto"/>
          <w:sz w:val="24"/>
          <w:szCs w:val="20"/>
          <w:highlight w:val="none"/>
        </w:rPr>
        <w:t xml:space="preserve">3</w:t>
      </w:r>
      <w:r>
        <w:rPr>
          <w:rFonts w:hint="eastAsia"/>
          <w:b/>
          <w:color w:val="auto"/>
          <w:sz w:val="24"/>
          <w:szCs w:val="20"/>
          <w:highlight w:val="none"/>
        </w:rPr>
        <w:t xml:space="preserve">、质量保证及售后服务3分</w:t>
      </w:r>
      <w:r/>
    </w:p>
    <w:tbl>
      <w:tblPr>
        <w:tblStyle w:val="819"/>
        <w:tblW w:w="93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477"/>
        <w:gridCol w:w="851"/>
        <w:gridCol w:w="6170"/>
      </w:tblGrid>
      <w:tr>
        <w:trPr>
          <w:jc w:val="center"/>
          <w:trHeight w:val="5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spacing w:line="240" w:lineRule="atLeast"/>
              <w:rPr>
                <w:color w:val="auto"/>
                <w:sz w:val="24"/>
                <w:szCs w:val="24"/>
                <w:highlight w:val="none"/>
              </w:rPr>
            </w:pPr>
            <w:r>
              <w:rPr>
                <w:rFonts w:hint="eastAsia"/>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spacing w:line="240" w:lineRule="atLeast"/>
              <w:rPr>
                <w:color w:val="auto"/>
                <w:sz w:val="24"/>
                <w:szCs w:val="24"/>
                <w:highlight w:val="none"/>
              </w:rPr>
            </w:pPr>
            <w:r>
              <w:rPr>
                <w:rFonts w:hint="eastAsia"/>
                <w:color w:val="auto"/>
                <w:sz w:val="24"/>
                <w:szCs w:val="24"/>
                <w:highlight w:val="none"/>
              </w:rPr>
              <w:t xml:space="preserve">评分因素</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tLeast"/>
              <w:rPr>
                <w:color w:val="auto"/>
                <w:sz w:val="24"/>
                <w:szCs w:val="24"/>
                <w:highlight w:val="none"/>
              </w:rPr>
            </w:pPr>
            <w:r>
              <w:rPr>
                <w:rFonts w:hint="eastAsia"/>
                <w:color w:val="auto"/>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jc w:val="center"/>
              <w:spacing w:line="240" w:lineRule="atLeast"/>
              <w:rPr>
                <w:color w:val="auto"/>
                <w:sz w:val="24"/>
                <w:szCs w:val="24"/>
                <w:highlight w:val="none"/>
              </w:rPr>
            </w:pPr>
            <w:r>
              <w:rPr>
                <w:rFonts w:hint="eastAsia"/>
                <w:color w:val="auto"/>
                <w:sz w:val="24"/>
                <w:szCs w:val="24"/>
                <w:highlight w:val="none"/>
              </w:rPr>
              <w:t xml:space="preserve">评分标准</w:t>
            </w:r>
            <w:r/>
          </w:p>
        </w:tc>
      </w:tr>
      <w:tr>
        <w:trPr>
          <w:jc w:val="center"/>
          <w:trHeight w:val="121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rPr>
                <w:color w:val="auto"/>
                <w:sz w:val="24"/>
                <w:highlight w:val="none"/>
              </w:rPr>
            </w:pPr>
            <w:r>
              <w:rPr>
                <w:rFonts w:hint="eastAsia" w:ascii="Times New Roman" w:hAnsi="Times New Roman"/>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color w:val="auto"/>
                <w:sz w:val="24"/>
                <w:szCs w:val="20"/>
                <w:highlight w:val="none"/>
              </w:rPr>
            </w:pPr>
            <w:r>
              <w:rPr>
                <w:rFonts w:hint="eastAsia" w:ascii="Times New Roman" w:hAnsi="Times New Roman" w:cs="宋体"/>
                <w:color w:val="auto"/>
                <w:sz w:val="24"/>
                <w:szCs w:val="24"/>
                <w:highlight w:val="none"/>
                <w:lang w:bidi="ar"/>
              </w:rPr>
              <w:t xml:space="preserve">免费质量保证</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eastAsiaTheme="minorEastAsia"/>
                <w:color w:val="auto"/>
                <w:sz w:val="24"/>
                <w:szCs w:val="20"/>
                <w:highlight w:val="none"/>
              </w:rPr>
            </w:pPr>
            <w:r>
              <w:rPr>
                <w:rFonts w:hint="eastAsia" w:ascii="Times New Roman" w:hAnsi="Times New Roman"/>
                <w:color w:val="auto"/>
                <w:sz w:val="24"/>
                <w:szCs w:val="24"/>
                <w:highlight w:val="none"/>
                <w:lang w:bidi="ar"/>
              </w:rPr>
              <w:t xml:space="preserve">2</w:t>
            </w:r>
            <w:r>
              <w:rPr>
                <w:rFonts w:hint="eastAsia" w:ascii="Times New Roman" w:hAnsi="Times New Roman" w:cs="宋体"/>
                <w:color w:val="auto"/>
                <w:sz w:val="24"/>
                <w:szCs w:val="24"/>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6170" w:type="dxa"/>
            <w:textDirection w:val="lrTb"/>
            <w:noWrap w:val="false"/>
          </w:tcPr>
          <w:p>
            <w:pPr>
              <w:spacing w:line="347" w:lineRule="exact"/>
              <w:tabs>
                <w:tab w:val="left" w:pos="1250" w:leader="none"/>
                <w:tab w:val="left" w:pos="3115" w:leader="none"/>
                <w:tab w:val="left" w:pos="3640" w:leader="none"/>
              </w:tabs>
              <w:rPr>
                <w:b/>
                <w:color w:val="auto"/>
                <w:sz w:val="24"/>
                <w:szCs w:val="24"/>
                <w:highlight w:val="none"/>
              </w:rPr>
            </w:pPr>
            <w:r>
              <w:rPr>
                <w:rFonts w:hint="eastAsia" w:ascii="Times New Roman" w:hAnsi="Times New Roman" w:cs="宋体"/>
                <w:color w:val="auto"/>
                <w:sz w:val="24"/>
                <w:szCs w:val="24"/>
                <w:highlight w:val="none"/>
                <w:lang w:bidi="ar"/>
              </w:rPr>
              <w:t xml:space="preserve">本项目软硬件免费质保时间满足招标基本要求（</w:t>
            </w:r>
            <w:r>
              <w:rPr>
                <w:rFonts w:hint="eastAsia" w:ascii="Times New Roman" w:hAnsi="Times New Roman" w:cs="宋体"/>
                <w:color w:val="auto"/>
                <w:sz w:val="24"/>
                <w:szCs w:val="24"/>
                <w:highlight w:val="none"/>
                <w:lang w:val="en-US" w:eastAsia="zh-CN" w:bidi="ar"/>
              </w:rPr>
              <w:t xml:space="preserve">3</w:t>
            </w:r>
            <w:r>
              <w:rPr>
                <w:rFonts w:hint="eastAsia" w:ascii="Times New Roman" w:hAnsi="Times New Roman" w:cs="宋体"/>
                <w:color w:val="auto"/>
                <w:sz w:val="24"/>
                <w:szCs w:val="24"/>
                <w:highlight w:val="none"/>
                <w:lang w:bidi="ar"/>
              </w:rPr>
              <w:t xml:space="preserve">年）的</w:t>
            </w:r>
            <w:r>
              <w:rPr>
                <w:rFonts w:hint="eastAsia" w:ascii="Times New Roman" w:hAnsi="Times New Roman" w:cs="宋体"/>
                <w:color w:val="auto"/>
                <w:sz w:val="24"/>
                <w:szCs w:val="24"/>
                <w:highlight w:val="none"/>
                <w:lang w:val="en-US" w:eastAsia="zh-CN" w:bidi="ar"/>
              </w:rPr>
              <w:t xml:space="preserve">基础上，</w:t>
            </w:r>
            <w:r>
              <w:rPr>
                <w:rFonts w:hint="eastAsia" w:ascii="Times New Roman" w:hAnsi="Times New Roman" w:cs="宋体"/>
                <w:color w:val="auto"/>
                <w:sz w:val="24"/>
                <w:szCs w:val="24"/>
                <w:highlight w:val="none"/>
                <w:lang w:bidi="ar"/>
              </w:rPr>
              <w:t xml:space="preserve">每增加半年加</w:t>
            </w:r>
            <w:r>
              <w:rPr>
                <w:rFonts w:hint="eastAsia" w:ascii="Times New Roman" w:hAnsi="Times New Roman" w:cs="宋体"/>
                <w:color w:val="auto"/>
                <w:sz w:val="24"/>
                <w:szCs w:val="24"/>
                <w:highlight w:val="none"/>
                <w:lang w:val="en-US" w:eastAsia="zh-CN" w:bidi="ar"/>
              </w:rPr>
              <w:t xml:space="preserve">1</w:t>
            </w:r>
            <w:r>
              <w:rPr>
                <w:rFonts w:hint="eastAsia" w:ascii="Times New Roman" w:hAnsi="Times New Roman" w:cs="宋体"/>
                <w:color w:val="auto"/>
                <w:sz w:val="24"/>
                <w:szCs w:val="24"/>
                <w:highlight w:val="none"/>
                <w:lang w:bidi="ar"/>
              </w:rPr>
              <w:t xml:space="preserve">分，最多加</w:t>
            </w:r>
            <w:r>
              <w:rPr>
                <w:rFonts w:hint="eastAsia" w:ascii="Times New Roman" w:hAnsi="Times New Roman" w:cs="宋体"/>
                <w:color w:val="auto"/>
                <w:sz w:val="24"/>
                <w:szCs w:val="24"/>
                <w:highlight w:val="none"/>
                <w:lang w:val="en-US" w:eastAsia="zh-CN" w:bidi="ar"/>
              </w:rPr>
              <w:t xml:space="preserve">2</w:t>
            </w:r>
            <w:r>
              <w:rPr>
                <w:rFonts w:hint="eastAsia" w:ascii="Times New Roman" w:hAnsi="Times New Roman" w:cs="宋体"/>
                <w:color w:val="auto"/>
                <w:sz w:val="24"/>
                <w:szCs w:val="24"/>
                <w:highlight w:val="none"/>
                <w:lang w:bidi="ar"/>
              </w:rPr>
              <w:t xml:space="preserve">分。</w:t>
            </w:r>
            <w:r/>
          </w:p>
          <w:p>
            <w:pPr>
              <w:spacing w:line="347" w:lineRule="exact"/>
              <w:tabs>
                <w:tab w:val="left" w:pos="1250" w:leader="none"/>
                <w:tab w:val="left" w:pos="3115" w:leader="none"/>
                <w:tab w:val="left" w:pos="3640" w:leader="none"/>
              </w:tabs>
              <w:rPr>
                <w:color w:val="auto"/>
                <w:sz w:val="24"/>
                <w:szCs w:val="24"/>
                <w:highlight w:val="none"/>
              </w:rPr>
            </w:pPr>
            <w:r>
              <w:rPr>
                <w:rFonts w:hint="eastAsia" w:ascii="Times New Roman" w:hAnsi="Times New Roman" w:cs="宋体"/>
                <w:b/>
                <w:color w:val="auto"/>
                <w:sz w:val="24"/>
                <w:szCs w:val="24"/>
                <w:highlight w:val="none"/>
                <w:lang w:bidi="ar"/>
              </w:rPr>
              <w:t xml:space="preserve">注：（</w:t>
            </w:r>
            <w:r>
              <w:rPr>
                <w:rFonts w:hint="eastAsia" w:ascii="Times New Roman" w:hAnsi="Times New Roman"/>
                <w:b/>
                <w:color w:val="auto"/>
                <w:sz w:val="24"/>
                <w:szCs w:val="24"/>
                <w:highlight w:val="none"/>
                <w:lang w:bidi="ar"/>
              </w:rPr>
              <w:t xml:space="preserve">1</w:t>
            </w:r>
            <w:r>
              <w:rPr>
                <w:rFonts w:hint="eastAsia" w:ascii="Times New Roman" w:hAnsi="Times New Roman" w:cs="宋体"/>
                <w:b/>
                <w:color w:val="auto"/>
                <w:sz w:val="24"/>
                <w:szCs w:val="24"/>
                <w:highlight w:val="none"/>
                <w:lang w:bidi="ar"/>
              </w:rPr>
              <w:t xml:space="preserve">）只有部分内容免费质量保证期满足招标文件要求的不得分。（</w:t>
            </w:r>
            <w:r>
              <w:rPr>
                <w:rFonts w:hint="eastAsia" w:ascii="Times New Roman" w:hAnsi="Times New Roman"/>
                <w:b/>
                <w:color w:val="auto"/>
                <w:sz w:val="24"/>
                <w:szCs w:val="24"/>
                <w:highlight w:val="none"/>
                <w:lang w:bidi="ar"/>
              </w:rPr>
              <w:t xml:space="preserve">2</w:t>
            </w:r>
            <w:r>
              <w:rPr>
                <w:rFonts w:hint="eastAsia" w:ascii="Times New Roman" w:hAnsi="Times New Roman" w:cs="宋体"/>
                <w:b/>
                <w:color w:val="auto"/>
                <w:sz w:val="24"/>
                <w:szCs w:val="24"/>
                <w:highlight w:val="none"/>
                <w:lang w:bidi="ar"/>
              </w:rPr>
              <w:t xml:space="preserve">）</w:t>
            </w:r>
            <w:r>
              <w:rPr>
                <w:rFonts w:hint="eastAsia" w:ascii="Times New Roman" w:hAnsi="Times New Roman" w:cs="宋体"/>
                <w:b/>
                <w:color w:val="auto"/>
                <w:sz w:val="24"/>
                <w:szCs w:val="24"/>
                <w:highlight w:val="none"/>
                <w:shd w:val="clear" w:color="auto" w:fill="ffffff"/>
                <w:lang w:bidi="ar"/>
              </w:rPr>
              <w:t xml:space="preserve">低于招标要求或未作说明的</w:t>
            </w:r>
            <w:r>
              <w:rPr>
                <w:rFonts w:hint="eastAsia" w:ascii="Times New Roman" w:hAnsi="Times New Roman" w:cs="宋体"/>
                <w:b/>
                <w:color w:val="auto"/>
                <w:sz w:val="24"/>
                <w:szCs w:val="24"/>
                <w:highlight w:val="none"/>
                <w:shd w:val="clear" w:color="auto" w:fill="ffffff"/>
                <w:lang w:val="en-US" w:eastAsia="zh-CN" w:bidi="ar"/>
              </w:rPr>
              <w:t xml:space="preserve">作无效投标处理</w:t>
            </w:r>
            <w:r>
              <w:rPr>
                <w:rFonts w:hint="eastAsia" w:ascii="Times New Roman" w:hAnsi="Times New Roman" w:cs="宋体"/>
                <w:b/>
                <w:color w:val="auto"/>
                <w:sz w:val="24"/>
                <w:szCs w:val="24"/>
                <w:highlight w:val="none"/>
                <w:shd w:val="clear" w:color="auto" w:fill="ffffff"/>
                <w:lang w:bidi="ar"/>
              </w:rPr>
              <w:t xml:space="preserve">。</w:t>
            </w:r>
            <w:r/>
          </w:p>
        </w:tc>
      </w:tr>
      <w:tr>
        <w:trPr>
          <w:jc w:val="center"/>
          <w:trHeight w:val="1414"/>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rPr>
                <w:rFonts w:asciiTheme="minorHAnsi" w:hAnsiTheme="minorHAnsi" w:eastAsiaTheme="minorEastAsia" w:cstheme="minorBidi"/>
                <w:color w:val="auto"/>
                <w:sz w:val="24"/>
                <w:szCs w:val="24"/>
                <w:highlight w:val="none"/>
              </w:rPr>
            </w:pPr>
            <w:r>
              <w:rPr>
                <w:rFonts w:hint="eastAsia" w:ascii="Times New Roman" w:hAnsi="Times New Roman"/>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color w:val="auto"/>
                <w:sz w:val="24"/>
                <w:szCs w:val="20"/>
                <w:highlight w:val="none"/>
              </w:rPr>
            </w:pPr>
            <w:r>
              <w:rPr>
                <w:rFonts w:hint="eastAsia" w:ascii="Times New Roman" w:hAnsi="Times New Roman" w:cs="宋体"/>
                <w:color w:val="auto"/>
                <w:sz w:val="24"/>
                <w:szCs w:val="20"/>
                <w:highlight w:val="none"/>
                <w:lang w:bidi="ar"/>
              </w:rPr>
              <w:t xml:space="preserve">售后服务</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heme="minorHAnsi" w:hAnsiTheme="minorHAnsi" w:eastAsiaTheme="minorEastAsia" w:cstheme="minorBidi"/>
                <w:color w:val="auto"/>
                <w:sz w:val="24"/>
                <w:szCs w:val="24"/>
                <w:highlight w:val="none"/>
              </w:rPr>
            </w:pPr>
            <w:r>
              <w:rPr>
                <w:rFonts w:hint="eastAsia" w:ascii="Times New Roman" w:hAnsi="Times New Roman"/>
                <w:color w:val="auto"/>
                <w:sz w:val="24"/>
                <w:szCs w:val="24"/>
                <w:highlight w:val="none"/>
                <w:lang w:bidi="ar"/>
              </w:rPr>
              <w:t xml:space="preserve">1</w:t>
            </w:r>
            <w:r>
              <w:rPr>
                <w:rFonts w:hint="eastAsia" w:ascii="Times New Roman" w:hAnsi="Times New Roman" w:cs="宋体"/>
                <w:color w:val="auto"/>
                <w:sz w:val="24"/>
                <w:szCs w:val="24"/>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6170" w:type="dxa"/>
            <w:textDirection w:val="lrTb"/>
            <w:noWrap w:val="false"/>
          </w:tcPr>
          <w:p>
            <w:pPr>
              <w:spacing w:line="347" w:lineRule="exact"/>
              <w:tabs>
                <w:tab w:val="left" w:pos="1250" w:leader="none"/>
                <w:tab w:val="left" w:pos="3115" w:leader="none"/>
                <w:tab w:val="left" w:pos="3640" w:leader="none"/>
              </w:tabs>
              <w:rPr>
                <w:rFonts w:asciiTheme="minorHAnsi" w:hAnsiTheme="minorHAnsi" w:eastAsiaTheme="minorEastAsia" w:cstheme="minorBidi"/>
                <w:color w:val="auto"/>
                <w:sz w:val="24"/>
                <w:szCs w:val="24"/>
                <w:highlight w:val="none"/>
              </w:rPr>
            </w:pPr>
            <w:r/>
            <w:bookmarkStart w:id="460" w:name="OLE_LINK5"/>
            <w:r>
              <w:rPr>
                <w:rFonts w:hint="eastAsia" w:ascii="Times New Roman" w:hAnsi="Times New Roman" w:cs="宋体"/>
                <w:color w:val="auto"/>
                <w:sz w:val="24"/>
                <w:szCs w:val="20"/>
                <w:highlight w:val="none"/>
                <w:lang w:bidi="ar"/>
              </w:rPr>
              <w:t xml:space="preserve">根据售后服务情况及服务承诺进行综合评定，售后服务体系完善、售后服务能力强、承诺到位的得</w:t>
            </w:r>
            <w:r>
              <w:rPr>
                <w:rFonts w:hint="eastAsia" w:ascii="Times New Roman" w:hAnsi="Times New Roman"/>
                <w:color w:val="auto"/>
                <w:sz w:val="24"/>
                <w:szCs w:val="20"/>
                <w:highlight w:val="none"/>
                <w:lang w:bidi="ar"/>
              </w:rPr>
              <w:t xml:space="preserve">1</w:t>
            </w:r>
            <w:r>
              <w:rPr>
                <w:rFonts w:hint="eastAsia" w:ascii="Times New Roman" w:hAnsi="Times New Roman" w:cs="宋体"/>
                <w:color w:val="auto"/>
                <w:sz w:val="24"/>
                <w:szCs w:val="20"/>
                <w:highlight w:val="none"/>
                <w:lang w:bidi="ar"/>
              </w:rPr>
              <w:t xml:space="preserve">分；售后服务基本满足项目需求的得</w:t>
            </w:r>
            <w:r>
              <w:rPr>
                <w:rFonts w:hint="eastAsia" w:ascii="Times New Roman" w:hAnsi="Times New Roman"/>
                <w:color w:val="auto"/>
                <w:sz w:val="24"/>
                <w:szCs w:val="20"/>
                <w:highlight w:val="none"/>
                <w:lang w:bidi="ar"/>
              </w:rPr>
              <w:t xml:space="preserve">0.5</w:t>
            </w:r>
            <w:r>
              <w:rPr>
                <w:rFonts w:hint="eastAsia" w:ascii="Times New Roman" w:hAnsi="Times New Roman" w:cs="宋体"/>
                <w:color w:val="auto"/>
                <w:sz w:val="24"/>
                <w:szCs w:val="20"/>
                <w:highlight w:val="none"/>
                <w:lang w:bidi="ar"/>
              </w:rPr>
              <w:t xml:space="preserve">分；无售后服务承诺或未作说明的不得分。</w:t>
            </w:r>
            <w:bookmarkEnd w:id="460"/>
            <w:r/>
            <w:r/>
          </w:p>
        </w:tc>
      </w:tr>
    </w:tbl>
    <w:p>
      <w:pPr>
        <w:ind w:firstLine="482"/>
        <w:spacing w:line="440" w:lineRule="exact"/>
        <w:rPr>
          <w:b/>
          <w:color w:val="auto"/>
          <w:sz w:val="24"/>
          <w:szCs w:val="20"/>
          <w:highlight w:val="none"/>
        </w:rPr>
      </w:pPr>
      <w:r>
        <w:rPr>
          <w:b/>
          <w:color w:val="auto"/>
          <w:sz w:val="24"/>
          <w:szCs w:val="20"/>
          <w:highlight w:val="none"/>
        </w:rPr>
        <w:t xml:space="preserve">4</w:t>
      </w:r>
      <w:r>
        <w:rPr>
          <w:rFonts w:hint="eastAsia"/>
          <w:b/>
          <w:color w:val="auto"/>
          <w:sz w:val="24"/>
          <w:szCs w:val="20"/>
          <w:highlight w:val="none"/>
        </w:rPr>
        <w:t xml:space="preserve">、综合实力5分</w:t>
      </w:r>
      <w:r/>
    </w:p>
    <w:tbl>
      <w:tblPr>
        <w:tblStyle w:val="819"/>
        <w:tblW w:w="93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472"/>
        <w:gridCol w:w="851"/>
        <w:gridCol w:w="6181"/>
      </w:tblGrid>
      <w:tr>
        <w:trPr>
          <w:jc w:val="center"/>
          <w:trHeight w:val="487"/>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line="240" w:lineRule="atLeast"/>
              <w:rPr>
                <w:color w:val="auto"/>
                <w:sz w:val="24"/>
                <w:szCs w:val="24"/>
                <w:highlight w:val="none"/>
              </w:rPr>
            </w:pPr>
            <w:r>
              <w:rPr>
                <w:rFonts w:hint="eastAsia"/>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spacing w:line="240" w:lineRule="atLeast"/>
              <w:rPr>
                <w:color w:val="auto"/>
                <w:sz w:val="24"/>
                <w:szCs w:val="24"/>
                <w:highlight w:val="none"/>
              </w:rPr>
            </w:pPr>
            <w:r>
              <w:rPr>
                <w:rFonts w:hint="eastAsia"/>
                <w:color w:val="auto"/>
                <w:sz w:val="24"/>
                <w:szCs w:val="24"/>
                <w:highlight w:val="none"/>
              </w:rPr>
              <w:t xml:space="preserve">评分因素</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tLeast"/>
              <w:rPr>
                <w:color w:val="auto"/>
                <w:sz w:val="24"/>
                <w:szCs w:val="24"/>
                <w:highlight w:val="none"/>
              </w:rPr>
            </w:pPr>
            <w:r>
              <w:rPr>
                <w:rFonts w:hint="eastAsia"/>
                <w:color w:val="auto"/>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6181" w:type="dxa"/>
            <w:vAlign w:val="center"/>
            <w:textDirection w:val="lrTb"/>
            <w:noWrap w:val="false"/>
          </w:tcPr>
          <w:p>
            <w:pPr>
              <w:jc w:val="center"/>
              <w:spacing w:line="240" w:lineRule="atLeast"/>
              <w:rPr>
                <w:color w:val="auto"/>
                <w:sz w:val="24"/>
                <w:szCs w:val="24"/>
                <w:highlight w:val="none"/>
              </w:rPr>
            </w:pPr>
            <w:r>
              <w:rPr>
                <w:rFonts w:hint="eastAsia"/>
                <w:color w:val="auto"/>
                <w:sz w:val="24"/>
                <w:szCs w:val="24"/>
                <w:highlight w:val="none"/>
              </w:rPr>
              <w:t xml:space="preserve">评分标准</w:t>
            </w:r>
            <w:r/>
          </w:p>
        </w:tc>
      </w:tr>
      <w:tr>
        <w:trPr>
          <w:jc w:val="center"/>
          <w:trHeight w:val="86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line="240" w:lineRule="atLeast"/>
              <w:rPr>
                <w:color w:val="auto"/>
                <w:sz w:val="24"/>
                <w:szCs w:val="20"/>
                <w:highlight w:val="none"/>
              </w:rPr>
            </w:pPr>
            <w:r>
              <w:rPr>
                <w:rFonts w:hint="eastAsia"/>
                <w:color w:val="auto"/>
                <w:sz w:val="24"/>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spacing w:line="240" w:lineRule="atLeast"/>
              <w:rPr>
                <w:color w:val="auto"/>
                <w:sz w:val="24"/>
                <w:szCs w:val="20"/>
                <w:highlight w:val="none"/>
              </w:rPr>
            </w:pPr>
            <w:r>
              <w:rPr>
                <w:rFonts w:hint="eastAsia"/>
                <w:color w:val="auto"/>
                <w:sz w:val="24"/>
                <w:szCs w:val="20"/>
                <w:highlight w:val="none"/>
              </w:rPr>
              <w:t xml:space="preserve">商务条件响应性</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tLeast"/>
              <w:rPr>
                <w:rFonts w:eastAsiaTheme="minorEastAsia"/>
                <w:color w:val="auto"/>
                <w:sz w:val="24"/>
                <w:szCs w:val="20"/>
                <w:highlight w:val="none"/>
              </w:rPr>
            </w:pPr>
            <w:r>
              <w:rPr>
                <w:rFonts w:hint="eastAsia" w:ascii="Times New Roman" w:hAnsi="Times New Roman"/>
                <w:color w:val="auto"/>
                <w:sz w:val="24"/>
                <w:szCs w:val="20"/>
                <w:highlight w:val="none"/>
                <w:lang w:bidi="ar"/>
              </w:rPr>
              <w:t xml:space="preserve">1</w:t>
            </w:r>
            <w:r>
              <w:rPr>
                <w:rFonts w:hint="eastAsia" w:ascii="Times New Roman" w:hAnsi="Times New Roman" w:cs="宋体"/>
                <w:color w:val="auto"/>
                <w:sz w:val="24"/>
                <w:szCs w:val="20"/>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6181" w:type="dxa"/>
            <w:vAlign w:val="center"/>
            <w:textDirection w:val="lrTb"/>
            <w:noWrap w:val="false"/>
          </w:tcPr>
          <w:p>
            <w:pPr>
              <w:jc w:val="left"/>
              <w:spacing w:line="240" w:lineRule="atLeast"/>
              <w:rPr>
                <w:color w:val="auto"/>
                <w:sz w:val="24"/>
                <w:szCs w:val="20"/>
                <w:highlight w:val="none"/>
              </w:rPr>
            </w:pPr>
            <w:r>
              <w:rPr>
                <w:rFonts w:hint="eastAsia"/>
                <w:color w:val="auto"/>
                <w:sz w:val="24"/>
                <w:szCs w:val="20"/>
                <w:highlight w:val="none"/>
              </w:rPr>
              <w:t xml:space="preserve">投标人对招标文件中合同条款等商务条件完全响应（20条）的得1分；有负偏离条款的，每条扣0.05分。</w:t>
            </w:r>
            <w:r/>
          </w:p>
        </w:tc>
      </w:tr>
      <w:tr>
        <w:trPr>
          <w:jc w:val="center"/>
          <w:trHeight w:val="232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line="360" w:lineRule="auto"/>
              <w:rPr>
                <w:color w:val="auto"/>
                <w:sz w:val="24"/>
                <w:szCs w:val="20"/>
                <w:highlight w:val="none"/>
              </w:rPr>
            </w:pPr>
            <w:r>
              <w:rPr>
                <w:rFonts w:hint="eastAsia"/>
                <w:color w:val="auto"/>
                <w:sz w:val="24"/>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spacing w:line="360" w:lineRule="auto"/>
              <w:rPr>
                <w:color w:val="auto"/>
                <w:sz w:val="24"/>
                <w:szCs w:val="20"/>
                <w:highlight w:val="none"/>
              </w:rPr>
            </w:pPr>
            <w:r/>
            <w:bookmarkStart w:id="461" w:name="OLE_LINK6"/>
            <w:r>
              <w:rPr>
                <w:rFonts w:hint="eastAsia"/>
                <w:color w:val="auto"/>
                <w:sz w:val="24"/>
                <w:szCs w:val="20"/>
                <w:highlight w:val="none"/>
              </w:rPr>
              <w:t xml:space="preserve">业绩情况</w:t>
            </w:r>
            <w:bookmarkEnd w:id="461"/>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color w:val="auto"/>
                <w:sz w:val="24"/>
                <w:szCs w:val="20"/>
                <w:highlight w:val="none"/>
              </w:rPr>
            </w:pPr>
            <w:r>
              <w:rPr>
                <w:rFonts w:hint="eastAsia"/>
                <w:color w:val="auto"/>
                <w:sz w:val="24"/>
                <w:szCs w:val="20"/>
                <w:highlight w:val="none"/>
              </w:rPr>
              <w:t xml:space="preserve">4分</w:t>
            </w:r>
            <w:r/>
          </w:p>
        </w:tc>
        <w:tc>
          <w:tcPr>
            <w:tcBorders>
              <w:top w:val="single" w:color="000000" w:sz="4" w:space="0"/>
              <w:left w:val="single" w:color="000000" w:sz="4" w:space="0"/>
              <w:bottom w:val="single" w:color="000000" w:sz="4" w:space="0"/>
              <w:right w:val="single" w:color="000000" w:sz="4" w:space="0"/>
            </w:tcBorders>
            <w:tcW w:w="6181" w:type="dxa"/>
            <w:vAlign w:val="center"/>
            <w:textDirection w:val="lrTb"/>
            <w:noWrap w:val="false"/>
          </w:tcPr>
          <w:p>
            <w:pPr>
              <w:rPr>
                <w:color w:val="auto"/>
                <w:sz w:val="24"/>
                <w:szCs w:val="24"/>
                <w:highlight w:val="none"/>
                <w:lang w:bidi="ar"/>
              </w:rPr>
            </w:pPr>
            <w:r>
              <w:rPr>
                <w:rFonts w:hint="eastAsia" w:ascii="Times New Roman" w:hAnsi="Times New Roman" w:cs="宋体"/>
                <w:color w:val="auto"/>
                <w:sz w:val="24"/>
                <w:szCs w:val="24"/>
                <w:highlight w:val="none"/>
                <w:lang w:bidi="ar"/>
              </w:rPr>
              <w:t xml:space="preserve">投标人自</w:t>
            </w:r>
            <w:r>
              <w:rPr>
                <w:rFonts w:hint="eastAsia" w:ascii="Times New Roman" w:hAnsi="Times New Roman"/>
                <w:color w:val="auto"/>
                <w:sz w:val="24"/>
                <w:szCs w:val="24"/>
                <w:highlight w:val="none"/>
                <w:lang w:bidi="ar"/>
              </w:rPr>
              <w:t xml:space="preserve">2023</w:t>
            </w:r>
            <w:r>
              <w:rPr>
                <w:rFonts w:hint="eastAsia" w:ascii="Times New Roman" w:hAnsi="Times New Roman" w:cs="宋体"/>
                <w:color w:val="auto"/>
                <w:sz w:val="24"/>
                <w:szCs w:val="24"/>
                <w:highlight w:val="none"/>
                <w:lang w:bidi="ar"/>
              </w:rPr>
              <w:t xml:space="preserve">年</w:t>
            </w:r>
            <w:r>
              <w:rPr>
                <w:rFonts w:hint="eastAsia" w:ascii="Times New Roman" w:hAnsi="Times New Roman"/>
                <w:color w:val="auto"/>
                <w:sz w:val="24"/>
                <w:szCs w:val="24"/>
                <w:highlight w:val="none"/>
                <w:lang w:bidi="ar"/>
              </w:rPr>
              <w:t xml:space="preserve">1</w:t>
            </w:r>
            <w:r>
              <w:rPr>
                <w:rFonts w:hint="eastAsia" w:ascii="Times New Roman" w:hAnsi="Times New Roman" w:cs="宋体"/>
                <w:color w:val="auto"/>
                <w:sz w:val="24"/>
                <w:szCs w:val="24"/>
                <w:highlight w:val="none"/>
                <w:lang w:bidi="ar"/>
              </w:rPr>
              <w:t xml:space="preserve">月</w:t>
            </w:r>
            <w:r>
              <w:rPr>
                <w:rFonts w:hint="eastAsia" w:ascii="Times New Roman" w:hAnsi="Times New Roman"/>
                <w:color w:val="auto"/>
                <w:sz w:val="24"/>
                <w:szCs w:val="24"/>
                <w:highlight w:val="none"/>
                <w:lang w:bidi="ar"/>
              </w:rPr>
              <w:t xml:space="preserve">1</w:t>
            </w:r>
            <w:r>
              <w:rPr>
                <w:rFonts w:hint="eastAsia" w:ascii="Times New Roman" w:hAnsi="Times New Roman" w:cs="宋体"/>
                <w:color w:val="auto"/>
                <w:sz w:val="24"/>
                <w:szCs w:val="24"/>
                <w:highlight w:val="none"/>
                <w:lang w:bidi="ar"/>
              </w:rPr>
              <w:t xml:space="preserve">日（以合同签订时间为准）至今实</w:t>
            </w:r>
            <w:r>
              <w:rPr>
                <w:rFonts w:hint="eastAsia" w:ascii="Times New Roman" w:hAnsi="Times New Roman"/>
                <w:color w:val="auto"/>
                <w:sz w:val="24"/>
                <w:szCs w:val="24"/>
                <w:highlight w:val="none"/>
                <w:lang w:bidi="ar"/>
              </w:rPr>
              <w:t xml:space="preserve">施过河湖信息化（至少包含水位计或流量计水文监测设备）项目业绩的，</w:t>
            </w:r>
            <w:r>
              <w:rPr>
                <w:rFonts w:hint="eastAsia" w:ascii="Times New Roman" w:hAnsi="Times New Roman" w:cs="宋体"/>
                <w:color w:val="auto"/>
                <w:sz w:val="24"/>
                <w:szCs w:val="24"/>
                <w:highlight w:val="none"/>
                <w:lang w:bidi="ar"/>
              </w:rPr>
              <w:t xml:space="preserve">每有1个得2分，最高得4分。</w:t>
            </w:r>
            <w:r/>
          </w:p>
          <w:p>
            <w:pPr>
              <w:jc w:val="left"/>
              <w:rPr>
                <w:b/>
                <w:color w:val="auto"/>
                <w:sz w:val="24"/>
                <w:szCs w:val="20"/>
                <w:highlight w:val="none"/>
              </w:rPr>
            </w:pPr>
            <w:r>
              <w:rPr>
                <w:rFonts w:hint="eastAsia" w:ascii="Times New Roman" w:hAnsi="Times New Roman"/>
                <w:b/>
                <w:color w:val="auto"/>
                <w:sz w:val="24"/>
                <w:szCs w:val="24"/>
                <w:highlight w:val="none"/>
                <w:lang w:bidi="ar"/>
              </w:rPr>
              <w:t xml:space="preserve">注：投标人需在投标文件中提供业绩合同证明材料（须至少包括合同首页、签字盖章页、合同货物清单），未提供或提供不全或提供的证明材料无法佐证的，该业绩不计入本项评分。</w:t>
            </w:r>
            <w:r/>
          </w:p>
        </w:tc>
      </w:tr>
    </w:tbl>
    <w:p>
      <w:pPr>
        <w:spacing w:line="440" w:lineRule="exact"/>
        <w:rPr>
          <w:b/>
          <w:bCs/>
          <w:color w:val="auto"/>
          <w:sz w:val="28"/>
          <w:highlight w:val="none"/>
        </w:rPr>
      </w:pPr>
      <w:r>
        <w:rPr>
          <w:rFonts w:hint="eastAsia"/>
          <w:b/>
          <w:bCs/>
          <w:color w:val="auto"/>
          <w:sz w:val="28"/>
          <w:highlight w:val="none"/>
        </w:rPr>
        <w:t xml:space="preserve">三、政府采购政策：</w:t>
      </w:r>
      <w:r/>
    </w:p>
    <w:p>
      <w:pPr>
        <w:ind w:firstLine="24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1</w:t>
      </w:r>
      <w:r>
        <w:rPr>
          <w:rFonts w:hint="eastAsia" w:ascii="Times New Roman" w:hAnsi="Times New Roman" w:cs="宋体"/>
          <w:color w:val="auto"/>
          <w:sz w:val="24"/>
          <w:szCs w:val="24"/>
          <w:highlight w:val="none"/>
          <w:lang w:bidi="ar"/>
        </w:rPr>
        <w:t xml:space="preserve">、针对中小型企业、残疾人福利单位和监狱企业的评审：</w:t>
      </w:r>
      <w:r/>
    </w:p>
    <w:p>
      <w:pPr>
        <w:ind w:firstLine="361"/>
        <w:spacing w:line="440" w:lineRule="exact"/>
        <w:rPr>
          <w:rFonts w:ascii="Times New Roman" w:hAnsi="Times New Roman"/>
          <w:b/>
          <w:color w:val="auto"/>
          <w:sz w:val="24"/>
          <w:szCs w:val="24"/>
          <w:highlight w:val="none"/>
        </w:rPr>
      </w:pPr>
      <w:r>
        <w:rPr>
          <w:rFonts w:hint="eastAsia" w:ascii="Times New Roman" w:hAnsi="Times New Roman" w:cs="宋体"/>
          <w:b/>
          <w:color w:val="auto"/>
          <w:sz w:val="24"/>
          <w:szCs w:val="24"/>
          <w:highlight w:val="none"/>
          <w:lang w:bidi="ar"/>
        </w:rPr>
        <w:t xml:space="preserve">（</w:t>
      </w:r>
      <w:r>
        <w:rPr>
          <w:rFonts w:ascii="Times New Roman" w:hAnsi="Times New Roman"/>
          <w:b/>
          <w:color w:val="auto"/>
          <w:sz w:val="24"/>
          <w:szCs w:val="24"/>
          <w:highlight w:val="none"/>
          <w:lang w:bidi="ar"/>
        </w:rPr>
        <w:t xml:space="preserve">1</w:t>
      </w:r>
      <w:r>
        <w:rPr>
          <w:rFonts w:hint="eastAsia" w:ascii="Times New Roman" w:hAnsi="Times New Roman" w:cs="宋体"/>
          <w:b/>
          <w:color w:val="auto"/>
          <w:sz w:val="24"/>
          <w:szCs w:val="24"/>
          <w:highlight w:val="none"/>
          <w:lang w:bidi="ar"/>
        </w:rPr>
        <w:t xml:space="preserve">）本项目非专门面向中小企业采购，所属行业为工业。</w:t>
      </w:r>
      <w:r/>
    </w:p>
    <w:p>
      <w:pPr>
        <w:ind w:firstLine="360"/>
        <w:spacing w:line="440" w:lineRule="exact"/>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w:t>
      </w:r>
      <w:r>
        <w:rPr>
          <w:rFonts w:ascii="Times New Roman" w:hAnsi="Times New Roman"/>
          <w:color w:val="auto"/>
          <w:sz w:val="24"/>
          <w:szCs w:val="24"/>
          <w:highlight w:val="none"/>
          <w:lang w:bidi="ar"/>
        </w:rPr>
        <w:t xml:space="preserve">2</w:t>
      </w:r>
      <w:r>
        <w:rPr>
          <w:rFonts w:hint="eastAsia" w:ascii="Times New Roman" w:hAnsi="Times New Roman" w:cs="宋体"/>
          <w:color w:val="auto"/>
          <w:sz w:val="24"/>
          <w:szCs w:val="24"/>
          <w:highlight w:val="none"/>
          <w:lang w:bidi="ar"/>
        </w:rPr>
        <w:t xml:space="preserve">）根据《政府采购促进中小企业发展管理办法》（财库〔</w:t>
      </w:r>
      <w:r>
        <w:rPr>
          <w:rFonts w:ascii="Times New Roman" w:hAnsi="Times New Roman"/>
          <w:color w:val="auto"/>
          <w:sz w:val="24"/>
          <w:szCs w:val="24"/>
          <w:highlight w:val="none"/>
          <w:lang w:bidi="ar"/>
        </w:rPr>
        <w:t xml:space="preserve">2020</w:t>
      </w:r>
      <w:r>
        <w:rPr>
          <w:rFonts w:hint="eastAsia" w:ascii="Times New Roman" w:hAnsi="Times New Roman" w:cs="宋体"/>
          <w:color w:val="auto"/>
          <w:sz w:val="24"/>
          <w:szCs w:val="24"/>
          <w:highlight w:val="none"/>
          <w:lang w:bidi="ar"/>
        </w:rPr>
        <w:t xml:space="preserve">〕</w:t>
      </w:r>
      <w:r>
        <w:rPr>
          <w:rFonts w:ascii="Times New Roman" w:hAnsi="Times New Roman"/>
          <w:color w:val="auto"/>
          <w:sz w:val="24"/>
          <w:szCs w:val="24"/>
          <w:highlight w:val="none"/>
          <w:lang w:bidi="ar"/>
        </w:rPr>
        <w:t xml:space="preserve">46</w:t>
      </w:r>
      <w:r>
        <w:rPr>
          <w:rFonts w:hint="eastAsia" w:ascii="Times New Roman" w:hAnsi="Times New Roman" w:cs="宋体"/>
          <w:color w:val="auto"/>
          <w:sz w:val="24"/>
          <w:szCs w:val="24"/>
          <w:highlight w:val="none"/>
          <w:lang w:bidi="ar"/>
        </w:rPr>
        <w:t xml:space="preserve">号）、《关于促进残疾人就业政府采购政策的通知》（财库〔</w:t>
      </w:r>
      <w:r>
        <w:rPr>
          <w:rFonts w:ascii="Times New Roman" w:hAnsi="Times New Roman"/>
          <w:color w:val="auto"/>
          <w:sz w:val="24"/>
          <w:szCs w:val="24"/>
          <w:highlight w:val="none"/>
          <w:lang w:bidi="ar"/>
        </w:rPr>
        <w:t xml:space="preserve">2017</w:t>
      </w:r>
      <w:r>
        <w:rPr>
          <w:rFonts w:hint="eastAsia" w:ascii="Times New Roman" w:hAnsi="Times New Roman" w:cs="宋体"/>
          <w:color w:val="auto"/>
          <w:sz w:val="24"/>
          <w:szCs w:val="24"/>
          <w:highlight w:val="none"/>
          <w:lang w:bidi="ar"/>
        </w:rPr>
        <w:t xml:space="preserve">〕</w:t>
      </w:r>
      <w:r>
        <w:rPr>
          <w:rFonts w:ascii="Times New Roman" w:hAnsi="Times New Roman"/>
          <w:color w:val="auto"/>
          <w:sz w:val="24"/>
          <w:szCs w:val="24"/>
          <w:highlight w:val="none"/>
          <w:lang w:bidi="ar"/>
        </w:rPr>
        <w:t xml:space="preserve">141</w:t>
      </w:r>
      <w:r>
        <w:rPr>
          <w:rFonts w:hint="eastAsia" w:ascii="Times New Roman" w:hAnsi="Times New Roman" w:cs="宋体"/>
          <w:color w:val="auto"/>
          <w:sz w:val="24"/>
          <w:szCs w:val="24"/>
          <w:highlight w:val="none"/>
          <w:lang w:bidi="ar"/>
        </w:rPr>
        <w:t xml:space="preserve">号）、《关于政府采购支持监狱企业发展有关问题的通知》（财库〔</w:t>
      </w:r>
      <w:r>
        <w:rPr>
          <w:rFonts w:ascii="Times New Roman" w:hAnsi="Times New Roman"/>
          <w:color w:val="auto"/>
          <w:sz w:val="24"/>
          <w:szCs w:val="24"/>
          <w:highlight w:val="none"/>
          <w:lang w:bidi="ar"/>
        </w:rPr>
        <w:t xml:space="preserve">2014</w:t>
      </w:r>
      <w:r>
        <w:rPr>
          <w:rFonts w:hint="eastAsia" w:ascii="Times New Roman" w:hAnsi="Times New Roman" w:cs="宋体"/>
          <w:color w:val="auto"/>
          <w:sz w:val="24"/>
          <w:szCs w:val="24"/>
          <w:highlight w:val="none"/>
          <w:lang w:bidi="ar"/>
        </w:rPr>
        <w:t xml:space="preserve">〕</w:t>
      </w:r>
      <w:r>
        <w:rPr>
          <w:rFonts w:ascii="Times New Roman" w:hAnsi="Times New Roman"/>
          <w:color w:val="auto"/>
          <w:sz w:val="24"/>
          <w:szCs w:val="24"/>
          <w:highlight w:val="none"/>
          <w:lang w:bidi="ar"/>
        </w:rPr>
        <w:t xml:space="preserve">68</w:t>
      </w:r>
      <w:r>
        <w:rPr>
          <w:rFonts w:hint="eastAsia" w:ascii="Times New Roman" w:hAnsi="Times New Roman" w:cs="宋体"/>
          <w:color w:val="auto"/>
          <w:sz w:val="24"/>
          <w:szCs w:val="24"/>
          <w:highlight w:val="none"/>
          <w:lang w:bidi="ar"/>
        </w:rPr>
        <w:t xml:space="preserve">号），对属于小微企业、残疾人福利性单位、监狱企业给予评审优惠：如投标人为小型和微型企业、残疾人福利性单位或监狱企业的，其价格给予</w:t>
      </w:r>
      <w:r>
        <w:rPr>
          <w:rFonts w:ascii="Times New Roman" w:hAnsi="Times New Roman"/>
          <w:color w:val="auto"/>
          <w:sz w:val="24"/>
          <w:szCs w:val="24"/>
          <w:highlight w:val="none"/>
          <w:lang w:bidi="ar"/>
        </w:rPr>
        <w:t xml:space="preserve">20%</w:t>
      </w:r>
      <w:r>
        <w:rPr>
          <w:rFonts w:hint="eastAsia" w:ascii="Times New Roman" w:hAnsi="Times New Roman" w:cs="宋体"/>
          <w:color w:val="auto"/>
          <w:sz w:val="24"/>
          <w:szCs w:val="24"/>
          <w:highlight w:val="none"/>
          <w:lang w:bidi="ar"/>
        </w:rPr>
        <w:t xml:space="preserve">的扣除，用扣除后的价格参与评审，如扣除后的价格为最低价的，则作为评标基准价，中标金额则以实际投标报价为准。残疾人福利性单位、监狱企业属于小型、微型企业的，不重复享受政策。</w:t>
      </w:r>
      <w:r/>
    </w:p>
    <w:p>
      <w:pPr>
        <w:ind w:firstLine="360"/>
        <w:spacing w:line="440" w:lineRule="exact"/>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w:t>
      </w:r>
      <w:r>
        <w:rPr>
          <w:rFonts w:ascii="Times New Roman" w:hAnsi="Times New Roman"/>
          <w:color w:val="auto"/>
          <w:sz w:val="24"/>
          <w:szCs w:val="24"/>
          <w:highlight w:val="none"/>
          <w:lang w:bidi="ar"/>
        </w:rPr>
        <w:t xml:space="preserve">3</w:t>
      </w:r>
      <w:r>
        <w:rPr>
          <w:rFonts w:hint="eastAsia" w:ascii="Times New Roman" w:hAnsi="Times New Roman" w:cs="宋体"/>
          <w:color w:val="auto"/>
          <w:sz w:val="24"/>
          <w:szCs w:val="24"/>
          <w:highlight w:val="none"/>
          <w:lang w:bidi="ar"/>
        </w:rPr>
        <w:t xml:space="preserve">）在政府采购活动中，投标人提供的货物或者服务符合下列情形的，享受中小企业扶持政策：</w:t>
      </w:r>
      <w:r/>
    </w:p>
    <w:p>
      <w:pPr>
        <w:ind w:firstLine="360"/>
        <w:spacing w:line="440" w:lineRule="exact"/>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①在货物采购项目中，货物由中小企业制造，即货物由中小企业生产且使用该中小企业商号或者注册商标。</w:t>
      </w:r>
      <w:r/>
    </w:p>
    <w:p>
      <w:pPr>
        <w:ind w:firstLine="360"/>
        <w:spacing w:line="440" w:lineRule="exact"/>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②在服务采购项目中，服务由中小企业承接，即提供服务的人员为中小企业依照《中华人民共和国劳动合同法》订立劳动合同的从业人员。</w:t>
      </w:r>
      <w:r/>
    </w:p>
    <w:p>
      <w:pPr>
        <w:ind w:firstLine="360"/>
        <w:spacing w:line="440" w:lineRule="exact"/>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③在货物采购项目中，投标人提供的货物既有中小企业制造货物，也有大型企业制造货物的，不享受中小企业扶持政策。</w:t>
      </w:r>
      <w:r/>
    </w:p>
    <w:p>
      <w:pPr>
        <w:ind w:firstLine="360"/>
        <w:spacing w:line="440" w:lineRule="exact"/>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④以联合体形式参加政府采购活动，联合体各方均为小微企业的，联合体视同小微企业。</w:t>
      </w:r>
      <w:r/>
    </w:p>
    <w:p>
      <w:pPr>
        <w:ind w:firstLine="360"/>
        <w:spacing w:line="440" w:lineRule="exact"/>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w:t>
      </w:r>
      <w:r>
        <w:rPr>
          <w:rFonts w:ascii="Times New Roman" w:hAnsi="Times New Roman"/>
          <w:color w:val="auto"/>
          <w:sz w:val="24"/>
          <w:szCs w:val="24"/>
          <w:highlight w:val="none"/>
          <w:lang w:bidi="ar"/>
        </w:rPr>
        <w:t xml:space="preserve">4</w:t>
      </w:r>
      <w:r>
        <w:rPr>
          <w:rFonts w:hint="eastAsia" w:ascii="Times New Roman" w:hAnsi="Times New Roman" w:cs="宋体"/>
          <w:color w:val="auto"/>
          <w:sz w:val="24"/>
          <w:szCs w:val="24"/>
          <w:highlight w:val="none"/>
          <w:lang w:bidi="ar"/>
        </w:rPr>
        <w:t xml:space="preserve">）在投标文件中，小微企业需提供《中小企业声明函》（填报严格按工信部联企业〔</w:t>
      </w:r>
      <w:r>
        <w:rPr>
          <w:rFonts w:ascii="Times New Roman" w:hAnsi="Times New Roman"/>
          <w:color w:val="auto"/>
          <w:sz w:val="24"/>
          <w:szCs w:val="24"/>
          <w:highlight w:val="none"/>
          <w:lang w:bidi="ar"/>
        </w:rPr>
        <w:t xml:space="preserve">2011</w:t>
      </w:r>
      <w:r>
        <w:rPr>
          <w:rFonts w:hint="eastAsia" w:ascii="Times New Roman" w:hAnsi="Times New Roman" w:cs="宋体"/>
          <w:color w:val="auto"/>
          <w:sz w:val="24"/>
          <w:szCs w:val="24"/>
          <w:highlight w:val="none"/>
          <w:lang w:bidi="ar"/>
        </w:rPr>
        <w:t xml:space="preserve">〕</w:t>
      </w:r>
      <w:r>
        <w:rPr>
          <w:rFonts w:ascii="Times New Roman" w:hAnsi="Times New Roman"/>
          <w:color w:val="auto"/>
          <w:sz w:val="24"/>
          <w:szCs w:val="24"/>
          <w:highlight w:val="none"/>
          <w:lang w:bidi="ar"/>
        </w:rPr>
        <w:t xml:space="preserve">300</w:t>
      </w:r>
      <w:r>
        <w:rPr>
          <w:rFonts w:hint="eastAsia" w:ascii="Times New Roman" w:hAnsi="Times New Roman" w:cs="宋体"/>
          <w:color w:val="auto"/>
          <w:sz w:val="24"/>
          <w:szCs w:val="24"/>
          <w:highlight w:val="none"/>
          <w:lang w:bidi="ar"/>
        </w:rPr>
        <w:t xml:space="preserve">号通知中的《中小企业划型标准规定》进行，中小企业规模类型可进入小程序进行自测。）</w:t>
      </w:r>
      <w:r/>
    </w:p>
    <w:p>
      <w:pPr>
        <w:ind w:firstLine="360"/>
        <w:spacing w:line="440" w:lineRule="exact"/>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w:t>
      </w:r>
      <w:r>
        <w:rPr>
          <w:rFonts w:ascii="Times New Roman" w:hAnsi="Times New Roman"/>
          <w:color w:val="auto"/>
          <w:sz w:val="24"/>
          <w:szCs w:val="24"/>
          <w:highlight w:val="none"/>
          <w:lang w:bidi="ar"/>
        </w:rPr>
        <w:t xml:space="preserve">5</w:t>
      </w:r>
      <w:r>
        <w:rPr>
          <w:rFonts w:hint="eastAsia" w:ascii="Times New Roman" w:hAnsi="Times New Roman" w:cs="宋体"/>
          <w:color w:val="auto"/>
          <w:sz w:val="24"/>
          <w:szCs w:val="24"/>
          <w:highlight w:val="none"/>
          <w:lang w:bidi="ar"/>
        </w:rPr>
        <w:t xml:space="preserve">）残疾人福利性单位需提供《残疾人福利性单位声明函》；监狱</w:t>
      </w:r>
      <w:r>
        <w:rPr>
          <w:rFonts w:hint="eastAsia" w:cs="宋体"/>
          <w:color w:val="auto"/>
          <w:sz w:val="24"/>
          <w:szCs w:val="24"/>
          <w:highlight w:val="none"/>
          <w:lang w:bidi="ar"/>
        </w:rPr>
        <w:t xml:space="preserve">企业需提供由省级以</w:t>
      </w:r>
      <w:r>
        <w:rPr>
          <w:rFonts w:hint="eastAsia" w:ascii="Times New Roman" w:hAnsi="Times New Roman" w:cs="宋体"/>
          <w:color w:val="auto"/>
          <w:sz w:val="24"/>
          <w:szCs w:val="24"/>
          <w:highlight w:val="none"/>
          <w:lang w:bidi="ar"/>
        </w:rPr>
        <w:t xml:space="preserve">上监狱管理局、戒毒管理局（含新疆生产建设兵团）出具的属于监狱企业的证明文件。</w:t>
      </w:r>
      <w:r/>
    </w:p>
    <w:p>
      <w:pPr>
        <w:ind w:firstLine="360"/>
        <w:spacing w:line="440" w:lineRule="exact"/>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w:t>
      </w:r>
      <w:r>
        <w:rPr>
          <w:rFonts w:ascii="Times New Roman" w:hAnsi="Times New Roman"/>
          <w:color w:val="auto"/>
          <w:sz w:val="24"/>
          <w:szCs w:val="24"/>
          <w:highlight w:val="none"/>
          <w:lang w:bidi="ar"/>
        </w:rPr>
        <w:t xml:space="preserve">6</w:t>
      </w:r>
      <w:r>
        <w:rPr>
          <w:rFonts w:hint="eastAsia" w:ascii="Times New Roman" w:hAnsi="Times New Roman" w:cs="宋体"/>
          <w:color w:val="auto"/>
          <w:sz w:val="24"/>
          <w:szCs w:val="24"/>
          <w:highlight w:val="none"/>
          <w:lang w:bidi="ar"/>
        </w:rPr>
        <w:t xml:space="preserve">）享受政府采购支持政策的残疾人福利性单位应当同时满足以下条件：</w:t>
      </w:r>
      <w:r/>
    </w:p>
    <w:p>
      <w:pPr>
        <w:ind w:firstLine="360"/>
        <w:spacing w:line="440" w:lineRule="exact"/>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安置的残疾人占本单位在职职工人数的比例不低于</w:t>
      </w:r>
      <w:r>
        <w:rPr>
          <w:rFonts w:ascii="Times New Roman" w:hAnsi="Times New Roman"/>
          <w:color w:val="auto"/>
          <w:sz w:val="24"/>
          <w:szCs w:val="24"/>
          <w:highlight w:val="none"/>
          <w:lang w:bidi="ar"/>
        </w:rPr>
        <w:t xml:space="preserve">25%</w:t>
      </w:r>
      <w:r>
        <w:rPr>
          <w:rFonts w:hint="eastAsia" w:ascii="Times New Roman" w:hAnsi="Times New Roman" w:cs="宋体"/>
          <w:color w:val="auto"/>
          <w:sz w:val="24"/>
          <w:szCs w:val="24"/>
          <w:highlight w:val="none"/>
          <w:lang w:bidi="ar"/>
        </w:rPr>
        <w:t xml:space="preserve">（含</w:t>
      </w:r>
      <w:r>
        <w:rPr>
          <w:rFonts w:ascii="Times New Roman" w:hAnsi="Times New Roman"/>
          <w:color w:val="auto"/>
          <w:sz w:val="24"/>
          <w:szCs w:val="24"/>
          <w:highlight w:val="none"/>
          <w:lang w:bidi="ar"/>
        </w:rPr>
        <w:t xml:space="preserve">25%</w:t>
      </w:r>
      <w:r>
        <w:rPr>
          <w:rFonts w:hint="eastAsia" w:ascii="Times New Roman" w:hAnsi="Times New Roman" w:cs="宋体"/>
          <w:color w:val="auto"/>
          <w:sz w:val="24"/>
          <w:szCs w:val="24"/>
          <w:highlight w:val="none"/>
          <w:lang w:bidi="ar"/>
        </w:rPr>
        <w:t xml:space="preserve">），并且安置的残疾人人数不少于</w:t>
      </w:r>
      <w:r>
        <w:rPr>
          <w:rFonts w:ascii="Times New Roman" w:hAnsi="Times New Roman"/>
          <w:color w:val="auto"/>
          <w:sz w:val="24"/>
          <w:szCs w:val="24"/>
          <w:highlight w:val="none"/>
          <w:lang w:bidi="ar"/>
        </w:rPr>
        <w:t xml:space="preserve">10</w:t>
      </w:r>
      <w:r>
        <w:rPr>
          <w:rFonts w:hint="eastAsia" w:ascii="Times New Roman" w:hAnsi="Times New Roman" w:cs="宋体"/>
          <w:color w:val="auto"/>
          <w:sz w:val="24"/>
          <w:szCs w:val="24"/>
          <w:highlight w:val="none"/>
          <w:lang w:bidi="ar"/>
        </w:rPr>
        <w:t xml:space="preserve">人（含</w:t>
      </w:r>
      <w:r>
        <w:rPr>
          <w:rFonts w:ascii="Times New Roman" w:hAnsi="Times New Roman"/>
          <w:color w:val="auto"/>
          <w:sz w:val="24"/>
          <w:szCs w:val="24"/>
          <w:highlight w:val="none"/>
          <w:lang w:bidi="ar"/>
        </w:rPr>
        <w:t xml:space="preserve">10</w:t>
      </w:r>
      <w:r>
        <w:rPr>
          <w:rFonts w:hint="eastAsia" w:ascii="Times New Roman" w:hAnsi="Times New Roman" w:cs="宋体"/>
          <w:color w:val="auto"/>
          <w:sz w:val="24"/>
          <w:szCs w:val="24"/>
          <w:highlight w:val="none"/>
          <w:lang w:bidi="ar"/>
        </w:rPr>
        <w:t xml:space="preserve">人）；依法与安置的每位残疾人签订了一年以上（含一年）的劳动合同或服务协议；</w:t>
      </w:r>
      <w:r/>
    </w:p>
    <w:p>
      <w:pPr>
        <w:ind w:firstLine="360"/>
        <w:spacing w:line="440" w:lineRule="exact"/>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line="440" w:lineRule="exact"/>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提供本单位制造的货物、承担的工程或者服务，或者提供其他残疾人福利性单位制造的货物（不包括使用非残疾人福利性单位注册商标的货物）。</w:t>
      </w:r>
      <w:r/>
    </w:p>
    <w:p>
      <w:pPr>
        <w:ind w:firstLine="360"/>
        <w:spacing w:line="440" w:lineRule="exact"/>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前款所称残疾人是指法定劳动年龄内，持有《中华人民共和国残疾人证》或者《中华人民共和国残疾军人证（</w:t>
      </w:r>
      <w:r>
        <w:rPr>
          <w:rFonts w:ascii="Times New Roman" w:hAnsi="Times New Roman"/>
          <w:color w:val="auto"/>
          <w:sz w:val="24"/>
          <w:szCs w:val="24"/>
          <w:highlight w:val="none"/>
          <w:lang w:bidi="ar"/>
        </w:rPr>
        <w:t xml:space="preserve">1</w:t>
      </w:r>
      <w:r>
        <w:rPr>
          <w:rFonts w:hint="eastAsia" w:ascii="Times New Roman" w:hAnsi="Times New Roman" w:cs="宋体"/>
          <w:color w:val="auto"/>
          <w:sz w:val="24"/>
          <w:szCs w:val="24"/>
          <w:highlight w:val="none"/>
          <w:lang w:bidi="ar"/>
        </w:rPr>
        <w:t xml:space="preserve">至</w:t>
      </w:r>
      <w:r>
        <w:rPr>
          <w:rFonts w:ascii="Times New Roman" w:hAnsi="Times New Roman"/>
          <w:color w:val="auto"/>
          <w:sz w:val="24"/>
          <w:szCs w:val="24"/>
          <w:highlight w:val="none"/>
          <w:lang w:bidi="ar"/>
        </w:rPr>
        <w:t xml:space="preserve">8</w:t>
      </w:r>
      <w:r>
        <w:rPr>
          <w:rFonts w:hint="eastAsia" w:ascii="Times New Roman" w:hAnsi="Times New Roman" w:cs="宋体"/>
          <w:color w:val="auto"/>
          <w:sz w:val="24"/>
          <w:szCs w:val="24"/>
          <w:highlight w:val="none"/>
          <w:lang w:bidi="ar"/>
        </w:rPr>
        <w:t xml:space="preserve">级）》的自然人，包括具有劳动条件和劳动意愿的精神残疾人。在职职工人数是指与残疾人福利性单位建立劳动关系并依法签订劳动合同或者服务协议的雇员人数。</w:t>
      </w:r>
      <w:r/>
    </w:p>
    <w:p>
      <w:pPr>
        <w:ind w:firstLine="360"/>
        <w:spacing w:line="440" w:lineRule="exact"/>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投标人如不提供以上声明函或证明材料的，则不享受评审优惠政策。</w:t>
      </w:r>
      <w:r/>
    </w:p>
    <w:p>
      <w:pPr>
        <w:ind w:firstLine="360"/>
        <w:spacing w:line="440" w:lineRule="exact"/>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w:t>
      </w:r>
      <w:r>
        <w:rPr>
          <w:rFonts w:ascii="Times New Roman" w:hAnsi="Times New Roman"/>
          <w:color w:val="auto"/>
          <w:sz w:val="24"/>
          <w:szCs w:val="24"/>
          <w:highlight w:val="none"/>
          <w:lang w:bidi="ar"/>
        </w:rPr>
        <w:t xml:space="preserve">7</w:t>
      </w:r>
      <w:r>
        <w:rPr>
          <w:rFonts w:hint="eastAsia" w:ascii="Times New Roman" w:hAnsi="Times New Roman" w:cs="宋体"/>
          <w:color w:val="auto"/>
          <w:sz w:val="24"/>
          <w:szCs w:val="24"/>
          <w:highlight w:val="none"/>
          <w:lang w:bidi="ar"/>
        </w:rPr>
        <w:t xml:space="preserve">）中标人为小微企业或残疾人福利性单位的，应当随中标结果同时公告其《中小企业声明函》或《残疾人福利性单位声明函》，接受社会监督。若投标人提供的上述声明函为虚假声明则视同提供虚假材料，按“政府采购法”相关规定处理并报请政府监管部门给予行政处罚。</w:t>
      </w:r>
      <w:r/>
    </w:p>
    <w:p>
      <w:pPr>
        <w:ind w:firstLine="360"/>
        <w:spacing w:line="440" w:lineRule="exact"/>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w:t>
      </w:r>
      <w:r>
        <w:rPr>
          <w:rFonts w:ascii="Times New Roman" w:hAnsi="Times New Roman"/>
          <w:color w:val="auto"/>
          <w:sz w:val="24"/>
          <w:szCs w:val="24"/>
          <w:highlight w:val="none"/>
          <w:lang w:bidi="ar"/>
        </w:rPr>
        <w:t xml:space="preserve">8</w:t>
      </w:r>
      <w:r>
        <w:rPr>
          <w:rFonts w:hint="eastAsia" w:ascii="Times New Roman" w:hAnsi="Times New Roman" w:cs="宋体"/>
          <w:color w:val="auto"/>
          <w:sz w:val="24"/>
          <w:szCs w:val="24"/>
          <w:highlight w:val="none"/>
          <w:lang w:bidi="ar"/>
        </w:rPr>
        <w:t xml:space="preserve">）事业单位、社会组织等非企业主体不享受中小企业扶持政策，但事业单位、社会组织等非企业主体提供全部由中小企业制造的货物，参加货物采购项目的除外。（《苏州市政府采购促进中小企业发展实施意见》</w:t>
      </w:r>
      <w:r>
        <w:rPr>
          <w:rFonts w:ascii="Times New Roman" w:hAnsi="Times New Roman"/>
          <w:color w:val="auto"/>
          <w:sz w:val="24"/>
          <w:szCs w:val="24"/>
          <w:highlight w:val="none"/>
          <w:lang w:bidi="ar"/>
        </w:rPr>
        <w:t xml:space="preserve">-</w:t>
      </w:r>
      <w:r>
        <w:rPr>
          <w:rFonts w:hint="eastAsia" w:ascii="Times New Roman" w:hAnsi="Times New Roman" w:cs="宋体"/>
          <w:color w:val="auto"/>
          <w:sz w:val="24"/>
          <w:szCs w:val="24"/>
          <w:highlight w:val="none"/>
          <w:lang w:bidi="ar"/>
        </w:rPr>
        <w:t xml:space="preserve">苏财购</w:t>
      </w:r>
      <w:r>
        <w:rPr>
          <w:rFonts w:ascii="Times New Roman" w:hAnsi="Times New Roman"/>
          <w:color w:val="auto"/>
          <w:sz w:val="24"/>
          <w:szCs w:val="24"/>
          <w:highlight w:val="none"/>
          <w:lang w:bidi="ar"/>
        </w:rPr>
        <w:t xml:space="preserve">[2022]16</w:t>
      </w:r>
      <w:r>
        <w:rPr>
          <w:rFonts w:hint="eastAsia" w:ascii="Times New Roman" w:hAnsi="Times New Roman" w:cs="宋体"/>
          <w:color w:val="auto"/>
          <w:sz w:val="24"/>
          <w:szCs w:val="24"/>
          <w:highlight w:val="none"/>
          <w:lang w:bidi="ar"/>
        </w:rPr>
        <w:t xml:space="preserve">号）。</w:t>
      </w:r>
      <w:r/>
    </w:p>
    <w:p>
      <w:pPr>
        <w:ind w:firstLine="240"/>
        <w:spacing w:line="440" w:lineRule="exact"/>
        <w:rPr>
          <w:rFonts w:ascii="Times New Roman" w:hAnsi="Times New Roman"/>
          <w:color w:val="auto"/>
          <w:sz w:val="24"/>
          <w:szCs w:val="24"/>
          <w:highlight w:val="none"/>
          <w:lang w:bidi="ar"/>
        </w:rPr>
      </w:pPr>
      <w:r>
        <w:rPr>
          <w:rFonts w:ascii="Times New Roman" w:hAnsi="Times New Roman"/>
          <w:color w:val="auto"/>
          <w:sz w:val="24"/>
          <w:szCs w:val="24"/>
          <w:highlight w:val="none"/>
          <w:lang w:bidi="ar"/>
        </w:rPr>
        <w:t xml:space="preserve">2</w:t>
      </w:r>
      <w:r>
        <w:rPr>
          <w:rFonts w:hint="eastAsia" w:ascii="Times New Roman" w:hAnsi="Times New Roman"/>
          <w:color w:val="auto"/>
          <w:sz w:val="24"/>
          <w:szCs w:val="24"/>
          <w:highlight w:val="none"/>
          <w:lang w:bidi="ar"/>
        </w:rPr>
        <w:t xml:space="preserve">、根据《关于调整优化节能产品、环境标志产品政府采购执行机制的通知》（财库〔</w:t>
      </w:r>
      <w:r>
        <w:rPr>
          <w:rFonts w:ascii="Times New Roman" w:hAnsi="Times New Roman"/>
          <w:color w:val="auto"/>
          <w:sz w:val="24"/>
          <w:szCs w:val="24"/>
          <w:highlight w:val="none"/>
          <w:lang w:bidi="ar"/>
        </w:rPr>
        <w:t xml:space="preserve">2019</w:t>
      </w:r>
      <w:r>
        <w:rPr>
          <w:rFonts w:hint="eastAsia" w:ascii="Times New Roman" w:hAnsi="Times New Roman"/>
          <w:color w:val="auto"/>
          <w:sz w:val="24"/>
          <w:szCs w:val="24"/>
          <w:highlight w:val="none"/>
          <w:lang w:bidi="ar"/>
        </w:rPr>
        <w:t xml:space="preserve">〕</w:t>
      </w:r>
      <w:r>
        <w:rPr>
          <w:rFonts w:ascii="Times New Roman" w:hAnsi="Times New Roman"/>
          <w:color w:val="auto"/>
          <w:sz w:val="24"/>
          <w:szCs w:val="24"/>
          <w:highlight w:val="none"/>
          <w:lang w:bidi="ar"/>
        </w:rPr>
        <w:t xml:space="preserve">9</w:t>
      </w:r>
      <w:r>
        <w:rPr>
          <w:rFonts w:hint="eastAsia" w:ascii="Times New Roman" w:hAnsi="Times New Roman"/>
          <w:color w:val="auto"/>
          <w:sz w:val="24"/>
          <w:szCs w:val="24"/>
          <w:highlight w:val="none"/>
          <w:lang w:bidi="ar"/>
        </w:rPr>
        <w:t xml:space="preserve">号）有关政策规定如下：</w:t>
      </w:r>
      <w:r/>
    </w:p>
    <w:p>
      <w:pPr>
        <w:ind w:firstLine="360"/>
        <w:spacing w:line="440" w:lineRule="exact"/>
        <w:rPr>
          <w:rFonts w:ascii="Times New Roman" w:hAnsi="Times New Roman" w:cs="宋体"/>
          <w:color w:val="auto"/>
          <w:sz w:val="24"/>
          <w:szCs w:val="24"/>
          <w:highlight w:val="none"/>
          <w:lang w:bidi="ar"/>
        </w:rPr>
      </w:pPr>
      <w:r>
        <w:rPr>
          <w:rFonts w:hint="eastAsia" w:ascii="Times New Roman" w:hAnsi="Times New Roman" w:cs="宋体"/>
          <w:color w:val="auto"/>
          <w:sz w:val="24"/>
          <w:szCs w:val="24"/>
          <w:highlight w:val="none"/>
          <w:lang w:bidi="ar"/>
        </w:rPr>
        <w:t xml:space="preserve">（</w:t>
      </w:r>
      <w:r>
        <w:rPr>
          <w:rFonts w:ascii="Times New Roman" w:hAnsi="Times New Roman" w:cs="宋体"/>
          <w:color w:val="auto"/>
          <w:sz w:val="24"/>
          <w:szCs w:val="24"/>
          <w:highlight w:val="none"/>
          <w:lang w:bidi="ar"/>
        </w:rPr>
        <w:t xml:space="preserve">1</w:t>
      </w:r>
      <w:r>
        <w:rPr>
          <w:rFonts w:hint="eastAsia" w:ascii="Times New Roman" w:hAnsi="Times New Roman" w:cs="宋体"/>
          <w:color w:val="auto"/>
          <w:sz w:val="24"/>
          <w:szCs w:val="24"/>
          <w:highlight w:val="none"/>
          <w:lang w:bidi="ar"/>
        </w:rPr>
        <w:t xml:space="preserve">）政府采购节能产品、环境标志产品</w:t>
      </w:r>
      <w:r/>
    </w:p>
    <w:p>
      <w:pPr>
        <w:ind w:firstLine="360"/>
        <w:spacing w:line="440" w:lineRule="exact"/>
        <w:rPr>
          <w:rFonts w:ascii="Times New Roman" w:hAnsi="Times New Roman" w:cs="宋体"/>
          <w:b/>
          <w:bCs/>
          <w:color w:val="auto"/>
          <w:sz w:val="24"/>
          <w:szCs w:val="24"/>
          <w:highlight w:val="none"/>
          <w:lang w:bidi="ar"/>
        </w:rPr>
      </w:pPr>
      <w:r>
        <w:rPr>
          <w:rFonts w:hint="eastAsia" w:ascii="Times New Roman" w:hAnsi="Times New Roman" w:cs="宋体"/>
          <w:color w:val="auto"/>
          <w:sz w:val="24"/>
          <w:szCs w:val="24"/>
          <w:highlight w:val="none"/>
          <w:lang w:bidi="ar"/>
        </w:rPr>
        <w:t xml:space="preserve">节能产品和环境标志产品实施品目清单管理，以“中国政府采购网”（</w:t>
      </w:r>
      <w:r>
        <w:rPr>
          <w:rFonts w:ascii="Times New Roman" w:hAnsi="Times New Roman" w:cs="宋体"/>
          <w:color w:val="auto"/>
          <w:sz w:val="24"/>
          <w:szCs w:val="24"/>
          <w:highlight w:val="none"/>
          <w:lang w:bidi="ar"/>
        </w:rPr>
        <w:t xml:space="preserve">http://www.ccgp.gov.cn</w:t>
      </w:r>
      <w:r>
        <w:rPr>
          <w:rFonts w:hint="eastAsia" w:ascii="Times New Roman" w:hAnsi="Times New Roman" w:cs="宋体"/>
          <w:color w:val="auto"/>
          <w:sz w:val="24"/>
          <w:szCs w:val="24"/>
          <w:highlight w:val="none"/>
          <w:lang w:bidi="ar"/>
        </w:rPr>
        <w:t xml:space="preserve">）公告的时间、内容为准。若本次采购的产品属于品目清单范围的，将依据国家确定的认证机构出具的、处于有效期之内的节能产品、环境标志产品认证证书，对获得证书的产品实施政府优先采购或强制采购。投标人在投标文件中提供强制采购产品具有国家确定的认证机构出具的、处于有效期之内的认证证书扫描件或相关截图等证明材料。</w:t>
      </w:r>
      <w:r>
        <w:rPr>
          <w:rFonts w:hint="eastAsia" w:ascii="Times New Roman" w:hAnsi="Times New Roman" w:cs="宋体"/>
          <w:b/>
          <w:bCs/>
          <w:color w:val="auto"/>
          <w:sz w:val="24"/>
          <w:szCs w:val="24"/>
          <w:highlight w:val="none"/>
          <w:lang w:bidi="ar"/>
        </w:rPr>
        <w:t xml:space="preserve">强制采购产品认证证书扫描件未提供或提供不全的将视为未实质性响应采购要求。</w:t>
      </w:r>
      <w:r/>
    </w:p>
    <w:p>
      <w:pPr>
        <w:spacing w:line="400" w:lineRule="exact"/>
        <w:rPr>
          <w:rFonts w:ascii="方正魏碑_GBK" w:hAnsi="方正魏碑_GBK" w:eastAsia="方正魏碑_GBK" w:cs="方正魏碑_GBK"/>
          <w:bCs/>
          <w:color w:val="auto"/>
          <w:sz w:val="28"/>
          <w:szCs w:val="28"/>
          <w:highlight w:val="none"/>
        </w:rPr>
      </w:pPr>
      <w:r>
        <w:rPr>
          <w:rFonts w:hint="eastAsia" w:ascii="方正魏碑_GBK" w:hAnsi="方正魏碑_GBK" w:eastAsia="方正魏碑_GBK" w:cs="方正魏碑_GBK"/>
          <w:bCs/>
          <w:color w:val="auto"/>
          <w:sz w:val="28"/>
          <w:szCs w:val="28"/>
          <w:highlight w:val="none"/>
        </w:rPr>
        <w:t xml:space="preserve">3、政府采购中实施本国产品标准及相关政策</w:t>
      </w:r>
      <w:r/>
    </w:p>
    <w:p>
      <w:pPr>
        <w:ind w:firstLine="555"/>
        <w:spacing w:line="400" w:lineRule="exact"/>
        <w:rPr>
          <w:rFonts w:ascii="方正魏碑_GBK" w:hAnsi="方正魏碑_GBK" w:eastAsia="方正魏碑_GBK" w:cs="方正魏碑_GBK"/>
          <w:bCs/>
          <w:color w:val="auto"/>
          <w:sz w:val="28"/>
          <w:szCs w:val="28"/>
          <w:highlight w:val="none"/>
        </w:rPr>
      </w:pPr>
      <w:r>
        <w:rPr>
          <w:rFonts w:hint="eastAsia" w:ascii="方正魏碑_GBK" w:hAnsi="方正魏碑_GBK" w:eastAsia="方正魏碑_GBK" w:cs="方正魏碑_GBK"/>
          <w:bCs/>
          <w:color w:val="auto"/>
          <w:sz w:val="28"/>
          <w:szCs w:val="28"/>
          <w:highlight w:val="none"/>
        </w:rPr>
        <w:t xml:space="preserve">（1）本项目对采购本国产品给予政策支持，具体内容见招标文件“第五章 评标方法与评标标准”。</w:t>
      </w:r>
      <w:r/>
    </w:p>
    <w:p>
      <w:pPr>
        <w:ind w:firstLine="555"/>
        <w:spacing w:line="400" w:lineRule="exact"/>
        <w:rPr>
          <w:rFonts w:ascii="方正魏碑_GBK" w:hAnsi="方正魏碑_GBK" w:eastAsia="方正魏碑_GBK" w:cs="方正魏碑_GBK"/>
          <w:bCs/>
          <w:color w:val="auto"/>
          <w:sz w:val="28"/>
          <w:szCs w:val="28"/>
          <w:highlight w:val="none"/>
        </w:rPr>
      </w:pPr>
      <w:r>
        <w:rPr>
          <w:rFonts w:hint="eastAsia" w:ascii="方正魏碑_GBK" w:hAnsi="方正魏碑_GBK" w:eastAsia="方正魏碑_GBK" w:cs="方正魏碑_GBK"/>
          <w:bCs/>
          <w:color w:val="auto"/>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ascii="方正魏碑_GBK" w:hAnsi="方正魏碑_GBK" w:eastAsia="方正魏碑_GBK" w:cs="方正魏碑_GBK"/>
          <w:bCs/>
          <w:color w:val="auto"/>
          <w:sz w:val="28"/>
          <w:szCs w:val="28"/>
          <w:highlight w:val="none"/>
        </w:rPr>
      </w:pPr>
      <w:r>
        <w:rPr>
          <w:rFonts w:hint="eastAsia" w:ascii="方正魏碑_GBK" w:hAnsi="方正魏碑_GBK" w:eastAsia="方正魏碑_GBK" w:cs="方正魏碑_GBK"/>
          <w:bCs/>
          <w:color w:val="auto"/>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jc w:val="left"/>
        <w:spacing w:line="400" w:lineRule="exact"/>
        <w:rPr>
          <w:rFonts w:ascii="方正魏碑_GBK" w:hAnsi="方正魏碑_GBK" w:eastAsia="方正魏碑_GBK" w:cs="方正魏碑_GBK"/>
          <w:color w:val="auto"/>
          <w:sz w:val="28"/>
          <w:szCs w:val="28"/>
          <w:highlight w:val="none"/>
        </w:rPr>
      </w:pPr>
      <w:r>
        <w:rPr>
          <w:rFonts w:hint="eastAsia" w:ascii="方正魏碑_GBK" w:hAnsi="方正魏碑_GBK" w:eastAsia="方正魏碑_GBK" w:cs="方正魏碑_GBK"/>
          <w:color w:val="auto"/>
          <w:sz w:val="28"/>
          <w:szCs w:val="28"/>
          <w:highlight w:val="none"/>
        </w:rPr>
        <w:t xml:space="preserve">4、采购本国产品的支持政策</w:t>
      </w:r>
      <w:r/>
    </w:p>
    <w:p>
      <w:pPr>
        <w:ind w:firstLine="560"/>
        <w:jc w:val="left"/>
        <w:spacing w:line="400" w:lineRule="exact"/>
        <w:rPr>
          <w:rFonts w:ascii="方正魏碑_GBK" w:hAnsi="方正魏碑_GBK" w:eastAsia="方正魏碑_GBK" w:cs="方正魏碑_GBK"/>
          <w:color w:val="auto"/>
          <w:sz w:val="28"/>
          <w:szCs w:val="28"/>
          <w:highlight w:val="none"/>
        </w:rPr>
      </w:pPr>
      <w:r>
        <w:rPr>
          <w:rFonts w:hint="eastAsia" w:ascii="方正魏碑_GBK" w:hAnsi="方正魏碑_GBK" w:eastAsia="方正魏碑_GBK" w:cs="方正魏碑_GBK"/>
          <w:color w:val="auto"/>
          <w:sz w:val="28"/>
          <w:szCs w:val="28"/>
          <w:highlight w:val="none"/>
        </w:rPr>
        <w:t xml:space="preserve">（1）本项目政府采购活动中既有本国产品又有非本国产品参与竞争的，依法对本国产品给予价格评审优惠，对本国产品的报价给予</w:t>
      </w:r>
      <w:r>
        <w:rPr>
          <w:rFonts w:hint="eastAsia" w:ascii="方正魏碑_GBK" w:hAnsi="方正魏碑_GBK" w:eastAsia="方正魏碑_GBK" w:cs="方正魏碑_GBK"/>
          <w:color w:val="auto"/>
          <w:sz w:val="28"/>
          <w:szCs w:val="28"/>
          <w:highlight w:val="none"/>
          <w:u w:val="single"/>
        </w:rPr>
        <w:t xml:space="preserve">20%</w:t>
      </w:r>
      <w:r>
        <w:rPr>
          <w:rFonts w:hint="eastAsia" w:ascii="方正魏碑_GBK" w:hAnsi="方正魏碑_GBK" w:eastAsia="方正魏碑_GBK" w:cs="方正魏碑_GBK"/>
          <w:color w:val="auto"/>
          <w:sz w:val="28"/>
          <w:szCs w:val="28"/>
          <w:highlight w:val="none"/>
        </w:rPr>
        <w:t xml:space="preserve">的价格扣除，用扣除后的价格参与评审。</w:t>
      </w:r>
      <w:r/>
    </w:p>
    <w:p>
      <w:pPr>
        <w:ind w:firstLine="560"/>
        <w:jc w:val="left"/>
        <w:spacing w:line="400" w:lineRule="exact"/>
        <w:rPr>
          <w:rFonts w:ascii="方正魏碑_GBK" w:hAnsi="方正魏碑_GBK" w:eastAsia="方正魏碑_GBK" w:cs="方正魏碑_GBK"/>
          <w:color w:val="auto"/>
          <w:sz w:val="28"/>
          <w:szCs w:val="28"/>
          <w:highlight w:val="none"/>
        </w:rPr>
      </w:pPr>
      <w:r>
        <w:rPr>
          <w:rFonts w:hint="eastAsia" w:ascii="方正魏碑_GBK" w:hAnsi="方正魏碑_GBK" w:eastAsia="方正魏碑_GBK" w:cs="方正魏碑_GBK"/>
          <w:color w:val="auto"/>
          <w:sz w:val="28"/>
          <w:szCs w:val="28"/>
          <w:highlight w:val="none"/>
        </w:rPr>
        <w:t xml:space="preserve">（2）当采购项目或者采购包中含有多种产品，供应商为该采购项目或者采购包提供的符合本国产品标准的产品成本之和占该供应商提供的全部产品成本之和的比例达到</w:t>
      </w:r>
      <w:r>
        <w:rPr>
          <w:rFonts w:hint="eastAsia" w:ascii="方正魏碑_GBK" w:hAnsi="方正魏碑_GBK" w:eastAsia="方正魏碑_GBK" w:cs="方正魏碑_GBK"/>
          <w:color w:val="auto"/>
          <w:sz w:val="28"/>
          <w:szCs w:val="28"/>
          <w:highlight w:val="none"/>
          <w:u w:val="single"/>
        </w:rPr>
        <w:t xml:space="preserve">80%</w:t>
      </w:r>
      <w:r>
        <w:rPr>
          <w:rFonts w:hint="eastAsia" w:ascii="方正魏碑_GBK" w:hAnsi="方正魏碑_GBK" w:eastAsia="方正魏碑_GBK" w:cs="方正魏碑_GBK"/>
          <w:color w:val="auto"/>
          <w:sz w:val="28"/>
          <w:szCs w:val="28"/>
          <w:highlight w:val="none"/>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方正魏碑_GBK" w:hAnsi="方正魏碑_GBK" w:eastAsia="方正魏碑_GBK" w:cs="方正魏碑_GBK"/>
          <w:color w:val="auto"/>
          <w:sz w:val="28"/>
          <w:szCs w:val="28"/>
          <w:highlight w:val="none"/>
          <w:u w:val="single"/>
        </w:rPr>
        <w:t xml:space="preserve">20%</w:t>
      </w:r>
      <w:r>
        <w:rPr>
          <w:rFonts w:hint="eastAsia" w:ascii="方正魏碑_GBK" w:hAnsi="方正魏碑_GBK" w:eastAsia="方正魏碑_GBK" w:cs="方正魏碑_GBK"/>
          <w:color w:val="auto"/>
          <w:sz w:val="28"/>
          <w:szCs w:val="28"/>
          <w:highlight w:val="none"/>
        </w:rPr>
        <w:t xml:space="preserve">的价格扣除，用扣除后的价格参与评审。供应商未填写比例数值，或比例数值未达到80%的，将不享受本国产品价格评审优惠。</w:t>
      </w:r>
      <w:r/>
    </w:p>
    <w:p>
      <w:pPr>
        <w:ind w:firstLine="560"/>
        <w:jc w:val="left"/>
        <w:spacing w:line="400" w:lineRule="exact"/>
        <w:rPr>
          <w:rFonts w:ascii="方正魏碑_GBK" w:hAnsi="方正魏碑_GBK" w:eastAsia="方正魏碑_GBK" w:cs="方正魏碑_GBK"/>
          <w:color w:val="auto"/>
          <w:sz w:val="28"/>
          <w:szCs w:val="28"/>
          <w:highlight w:val="none"/>
        </w:rPr>
      </w:pPr>
      <w:r>
        <w:rPr>
          <w:rFonts w:hint="eastAsia" w:ascii="方正魏碑_GBK" w:hAnsi="方正魏碑_GBK" w:eastAsia="方正魏碑_GBK" w:cs="方正魏碑_GBK"/>
          <w:color w:val="auto"/>
          <w:sz w:val="28"/>
          <w:szCs w:val="28"/>
          <w:highlight w:val="none"/>
        </w:rPr>
        <w:t xml:space="preserve">（3）供应商需按照招标文件的要求提供《关于符合本国产品标准的声明函》（以下简称《声明函》），如不提供将不享受本国产品价格评审优惠。</w:t>
      </w:r>
      <w:r/>
    </w:p>
    <w:p>
      <w:pPr>
        <w:ind w:firstLine="560"/>
        <w:jc w:val="left"/>
        <w:spacing w:line="400" w:lineRule="exact"/>
        <w:rPr>
          <w:rFonts w:ascii="方正魏碑_GBK" w:hAnsi="方正魏碑_GBK" w:eastAsia="方正魏碑_GBK" w:cs="方正魏碑_GBK"/>
          <w:color w:val="auto"/>
          <w:sz w:val="28"/>
          <w:szCs w:val="28"/>
          <w:highlight w:val="none"/>
        </w:rPr>
      </w:pPr>
      <w:r>
        <w:rPr>
          <w:rFonts w:hint="eastAsia" w:ascii="方正魏碑_GBK" w:hAnsi="方正魏碑_GBK" w:eastAsia="方正魏碑_GBK" w:cs="方正魏碑_GBK"/>
          <w:color w:val="auto"/>
          <w:sz w:val="28"/>
          <w:szCs w:val="28"/>
          <w:highlight w:val="none"/>
        </w:rPr>
        <w:t xml:space="preserve">（4）供应商需在《声明函》中逐一、</w:t>
      </w:r>
      <w:r>
        <w:rPr>
          <w:rFonts w:ascii="方正魏碑_GBK" w:hAnsi="方正魏碑_GBK" w:eastAsia="方正魏碑_GBK" w:cs="方正魏碑_GBK"/>
          <w:color w:val="auto"/>
          <w:sz w:val="28"/>
          <w:szCs w:val="28"/>
          <w:highlight w:val="none"/>
        </w:rPr>
        <w:t xml:space="preserve">准确</w:t>
      </w:r>
      <w:r>
        <w:rPr>
          <w:rFonts w:hint="eastAsia" w:ascii="方正魏碑_GBK" w:hAnsi="方正魏碑_GBK" w:eastAsia="方正魏碑_GBK" w:cs="方正魏碑_GBK"/>
          <w:color w:val="auto"/>
          <w:sz w:val="28"/>
          <w:szCs w:val="28"/>
          <w:highlight w:val="none"/>
        </w:rPr>
        <w:t xml:space="preserve">填写产品名称、厂名、生产厂址三项信息（《声明函》中用斜线划除的地方无需填写），三</w:t>
      </w:r>
      <w:r>
        <w:rPr>
          <w:rFonts w:ascii="方正魏碑_GBK" w:hAnsi="方正魏碑_GBK" w:eastAsia="方正魏碑_GBK" w:cs="方正魏碑_GBK"/>
          <w:color w:val="auto"/>
          <w:sz w:val="28"/>
          <w:szCs w:val="28"/>
          <w:highlight w:val="none"/>
        </w:rPr>
        <w:t xml:space="preserve">项信息中</w:t>
      </w:r>
      <w:r>
        <w:rPr>
          <w:rFonts w:hint="eastAsia" w:ascii="方正魏碑_GBK" w:hAnsi="方正魏碑_GBK" w:eastAsia="方正魏碑_GBK" w:cs="方正魏碑_GBK"/>
          <w:color w:val="auto"/>
          <w:sz w:val="28"/>
          <w:szCs w:val="28"/>
          <w:highlight w:val="none"/>
        </w:rPr>
        <w:t xml:space="preserve">任意一项未填写的视为该项产品不符合本国产品标准，不享受本国产品价格评审优惠。</w:t>
      </w:r>
      <w:r/>
    </w:p>
    <w:p>
      <w:pPr>
        <w:ind w:firstLine="560"/>
        <w:jc w:val="left"/>
        <w:spacing w:line="400" w:lineRule="exact"/>
        <w:rPr>
          <w:rFonts w:ascii="方正魏碑_GBK" w:hAnsi="方正魏碑_GBK" w:eastAsia="方正魏碑_GBK" w:cs="方正魏碑_GBK"/>
          <w:color w:val="auto"/>
          <w:sz w:val="28"/>
          <w:szCs w:val="28"/>
          <w:highlight w:val="none"/>
        </w:rPr>
      </w:pPr>
      <w:r>
        <w:rPr>
          <w:rFonts w:hint="eastAsia" w:ascii="方正魏碑_GBK" w:hAnsi="方正魏碑_GBK" w:eastAsia="方正魏碑_GBK" w:cs="方正魏碑_GBK"/>
          <w:color w:val="auto"/>
          <w:sz w:val="28"/>
          <w:szCs w:val="28"/>
          <w:highlight w:val="none"/>
        </w:rPr>
        <w:t xml:space="preserve">（5）评标过程中，如发现供应商在《声明函》内容</w:t>
      </w:r>
      <w:r>
        <w:rPr>
          <w:rFonts w:ascii="方正魏碑_GBK" w:hAnsi="方正魏碑_GBK" w:eastAsia="方正魏碑_GBK" w:cs="方正魏碑_GBK"/>
          <w:color w:val="auto"/>
          <w:sz w:val="28"/>
          <w:szCs w:val="28"/>
          <w:highlight w:val="none"/>
        </w:rPr>
        <w:t xml:space="preserve">含义不明确、同类事项与投</w:t>
      </w:r>
      <w:r>
        <w:rPr>
          <w:rFonts w:hint="eastAsia" w:ascii="方正魏碑_GBK" w:hAnsi="方正魏碑_GBK" w:eastAsia="方正魏碑_GBK" w:cs="方正魏碑_GBK"/>
          <w:color w:val="auto"/>
          <w:sz w:val="28"/>
          <w:szCs w:val="28"/>
          <w:highlight w:val="none"/>
        </w:rPr>
        <w:t xml:space="preserve">标</w:t>
      </w:r>
      <w:r>
        <w:rPr>
          <w:rFonts w:ascii="方正魏碑_GBK" w:hAnsi="方正魏碑_GBK" w:eastAsia="方正魏碑_GBK" w:cs="方正魏碑_GBK"/>
          <w:color w:val="auto"/>
          <w:sz w:val="28"/>
          <w:szCs w:val="28"/>
          <w:highlight w:val="none"/>
        </w:rPr>
        <w:t xml:space="preserve">（</w:t>
      </w:r>
      <w:r>
        <w:rPr>
          <w:rFonts w:hint="eastAsia" w:ascii="方正魏碑_GBK" w:hAnsi="方正魏碑_GBK" w:eastAsia="方正魏碑_GBK" w:cs="方正魏碑_GBK"/>
          <w:color w:val="auto"/>
          <w:sz w:val="28"/>
          <w:szCs w:val="28"/>
          <w:highlight w:val="none"/>
        </w:rPr>
        <w:t xml:space="preserve">响应</w:t>
      </w:r>
      <w:r>
        <w:rPr>
          <w:rFonts w:ascii="方正魏碑_GBK" w:hAnsi="方正魏碑_GBK" w:eastAsia="方正魏碑_GBK" w:cs="方正魏碑_GBK"/>
          <w:color w:val="auto"/>
          <w:sz w:val="28"/>
          <w:szCs w:val="28"/>
          <w:highlight w:val="none"/>
        </w:rPr>
        <w:t xml:space="preserve">）</w:t>
      </w:r>
      <w:r>
        <w:rPr>
          <w:rFonts w:hint="eastAsia" w:ascii="方正魏碑_GBK" w:hAnsi="方正魏碑_GBK" w:eastAsia="方正魏碑_GBK" w:cs="方正魏碑_GBK"/>
          <w:color w:val="auto"/>
          <w:sz w:val="28"/>
          <w:szCs w:val="28"/>
          <w:highlight w:val="none"/>
        </w:rPr>
        <w:t xml:space="preserve">文件</w:t>
      </w:r>
      <w:r>
        <w:rPr>
          <w:rFonts w:ascii="方正魏碑_GBK" w:hAnsi="方正魏碑_GBK" w:eastAsia="方正魏碑_GBK" w:cs="方正魏碑_GBK"/>
          <w:color w:val="auto"/>
          <w:sz w:val="28"/>
          <w:szCs w:val="28"/>
          <w:highlight w:val="none"/>
        </w:rPr>
        <w:t xml:space="preserve">表述不一致或者有</w:t>
      </w:r>
      <w:r>
        <w:rPr>
          <w:rFonts w:hint="eastAsia" w:ascii="方正魏碑_GBK" w:hAnsi="方正魏碑_GBK" w:eastAsia="方正魏碑_GBK" w:cs="方正魏碑_GBK"/>
          <w:color w:val="auto"/>
          <w:sz w:val="28"/>
          <w:szCs w:val="28"/>
          <w:highlight w:val="none"/>
        </w:rPr>
        <w:t xml:space="preserve">明显</w:t>
      </w:r>
      <w:r>
        <w:rPr>
          <w:rFonts w:ascii="方正魏碑_GBK" w:hAnsi="方正魏碑_GBK" w:eastAsia="方正魏碑_GBK" w:cs="方正魏碑_GBK"/>
          <w:color w:val="auto"/>
          <w:sz w:val="28"/>
          <w:szCs w:val="28"/>
          <w:highlight w:val="none"/>
        </w:rPr>
        <w:t xml:space="preserve">文字错误等情况的</w:t>
      </w:r>
      <w:r>
        <w:rPr>
          <w:rFonts w:hint="eastAsia" w:ascii="方正魏碑_GBK" w:hAnsi="方正魏碑_GBK" w:eastAsia="方正魏碑_GBK" w:cs="方正魏碑_GBK"/>
          <w:color w:val="auto"/>
          <w:sz w:val="28"/>
          <w:szCs w:val="28"/>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center"/>
        <w:spacing w:before="240" w:after="240" w:line="440" w:lineRule="exact"/>
        <w:rPr>
          <w:rFonts w:ascii="黑体" w:hAnsi="Courier New" w:eastAsia="黑体" w:cs="Courier New"/>
          <w:bCs/>
          <w:color w:val="auto"/>
          <w:sz w:val="44"/>
          <w:szCs w:val="21"/>
          <w:highlight w:val="none"/>
        </w:rPr>
        <w:outlineLvl w:val="0"/>
      </w:pPr>
      <w:r>
        <w:rPr>
          <w:color w:val="auto"/>
          <w:sz w:val="24"/>
          <w:szCs w:val="24"/>
          <w:highlight w:val="none"/>
        </w:rPr>
        <w:br w:type="page" w:clear="all"/>
      </w:r>
      <w:bookmarkStart w:id="462" w:name="_Toc19072"/>
      <w:r/>
      <w:bookmarkStart w:id="463" w:name="_Toc14862"/>
      <w:r/>
      <w:bookmarkStart w:id="464" w:name="_Toc26256"/>
      <w:r/>
      <w:bookmarkStart w:id="465" w:name="_Toc239671969"/>
      <w:r>
        <w:rPr>
          <w:rFonts w:hint="eastAsia" w:ascii="黑体" w:hAnsi="Courier New" w:eastAsia="黑体" w:cs="Courier New"/>
          <w:bCs/>
          <w:color w:val="auto"/>
          <w:sz w:val="44"/>
          <w:szCs w:val="21"/>
          <w:highlight w:val="none"/>
        </w:rPr>
        <w:t xml:space="preserve">第六章  投标</w:t>
      </w:r>
      <w:bookmarkEnd w:id="248"/>
      <w:r/>
      <w:bookmarkEnd w:id="249"/>
      <w:r/>
      <w:bookmarkEnd w:id="250"/>
      <w:r>
        <w:rPr>
          <w:rFonts w:hint="eastAsia" w:ascii="黑体" w:hAnsi="Courier New" w:eastAsia="黑体" w:cs="Courier New"/>
          <w:bCs/>
          <w:color w:val="auto"/>
          <w:sz w:val="44"/>
          <w:szCs w:val="21"/>
          <w:highlight w:val="none"/>
        </w:rPr>
        <w:t xml:space="preserve">文件格式</w:t>
      </w:r>
      <w:bookmarkEnd w:id="462"/>
      <w:r/>
      <w:bookmarkEnd w:id="463"/>
      <w:r/>
      <w:bookmarkEnd w:id="464"/>
      <w:r/>
      <w:bookmarkEnd w:id="465"/>
      <w:r>
        <w:rPr>
          <w:rFonts w:hint="eastAsia" w:ascii="黑体" w:hAnsi="Courier New" w:eastAsia="黑体" w:cs="Courier New"/>
          <w:bCs/>
          <w:color w:val="auto"/>
          <w:sz w:val="44"/>
          <w:szCs w:val="21"/>
          <w:highlight w:val="none"/>
        </w:rPr>
        <w:t xml:space="preserve"> </w:t>
      </w:r>
      <w:r/>
    </w:p>
    <w:p>
      <w:pPr>
        <w:ind w:firstLine="1446"/>
        <w:jc w:val="center"/>
        <w:rPr>
          <w:rFonts w:ascii="宋体" w:hAnsi="宋体"/>
          <w:b/>
          <w:color w:val="auto"/>
          <w:sz w:val="72"/>
          <w:szCs w:val="21"/>
          <w:highlight w:val="none"/>
        </w:rPr>
      </w:pPr>
      <w:r/>
      <w:bookmarkStart w:id="466" w:name="_Hlt26955039"/>
      <w:r/>
      <w:bookmarkEnd w:id="466"/>
      <w:r/>
      <w:bookmarkStart w:id="467" w:name="_Hlt26671244"/>
      <w:r/>
      <w:bookmarkEnd w:id="467"/>
      <w:r/>
      <w:bookmarkStart w:id="468" w:name="_Toc120614282"/>
      <w:r/>
      <w:bookmarkStart w:id="469" w:name="_Toc26554094"/>
      <w:r/>
      <w:bookmarkStart w:id="470" w:name="_Toc49090576"/>
      <w:r/>
      <w:r/>
    </w:p>
    <w:p>
      <w:pPr>
        <w:jc w:val="center"/>
        <w:rPr>
          <w:rFonts w:ascii="宋体" w:hAnsi="宋体"/>
          <w:b/>
          <w:color w:val="auto"/>
          <w:sz w:val="72"/>
          <w:szCs w:val="21"/>
          <w:highlight w:val="none"/>
        </w:rPr>
      </w:pPr>
      <w:r>
        <w:rPr>
          <w:rFonts w:hint="eastAsia" w:ascii="宋体" w:hAnsi="宋体"/>
          <w:b/>
          <w:color w:val="auto"/>
          <w:sz w:val="72"/>
          <w:szCs w:val="21"/>
          <w:highlight w:val="none"/>
        </w:rPr>
        <w:t xml:space="preserve">投  标  文  件</w:t>
      </w:r>
      <w:r/>
    </w:p>
    <w:p>
      <w:pPr>
        <w:ind w:firstLine="1446"/>
        <w:jc w:val="center"/>
        <w:rPr>
          <w:rFonts w:ascii="宋体" w:hAnsi="宋体"/>
          <w:b/>
          <w:color w:val="auto"/>
          <w:sz w:val="72"/>
          <w:szCs w:val="21"/>
          <w:highlight w:val="none"/>
        </w:rPr>
      </w:pPr>
      <w:r>
        <w:rPr>
          <w:rFonts w:ascii="宋体" w:hAnsi="宋体"/>
          <w:b/>
          <w:color w:val="auto"/>
          <w:sz w:val="72"/>
          <w:szCs w:val="21"/>
          <w:highlight w:val="none"/>
        </w:rPr>
      </w:r>
      <w:r/>
    </w:p>
    <w:p>
      <w:pPr>
        <w:ind w:firstLine="1446"/>
        <w:jc w:val="center"/>
        <w:rPr>
          <w:rFonts w:ascii="宋体" w:hAnsi="宋体"/>
          <w:b/>
          <w:color w:val="auto"/>
          <w:sz w:val="72"/>
          <w:szCs w:val="21"/>
          <w:highlight w:val="none"/>
        </w:rPr>
      </w:pPr>
      <w:r>
        <w:rPr>
          <w:rFonts w:ascii="宋体" w:hAnsi="宋体"/>
          <w:b/>
          <w:color w:val="auto"/>
          <w:sz w:val="72"/>
          <w:szCs w:val="21"/>
          <w:highlight w:val="none"/>
        </w:rPr>
      </w:r>
      <w:r/>
    </w:p>
    <w:p>
      <w:pPr>
        <w:ind w:firstLine="723"/>
        <w:jc w:val="center"/>
        <w:rPr>
          <w:rFonts w:ascii="宋体" w:hAnsi="宋体"/>
          <w:b/>
          <w:color w:val="auto"/>
          <w:sz w:val="36"/>
          <w:szCs w:val="21"/>
          <w:highlight w:val="none"/>
        </w:rPr>
      </w:pPr>
      <w:r>
        <w:rPr>
          <w:rFonts w:ascii="宋体" w:hAnsi="宋体"/>
          <w:b/>
          <w:color w:val="auto"/>
          <w:sz w:val="36"/>
          <w:szCs w:val="21"/>
          <w:highlight w:val="none"/>
        </w:rPr>
      </w:r>
      <w:r/>
    </w:p>
    <w:p>
      <w:pPr>
        <w:ind w:firstLine="723"/>
        <w:jc w:val="center"/>
        <w:rPr>
          <w:rFonts w:ascii="宋体" w:hAnsi="宋体"/>
          <w:b/>
          <w:color w:val="auto"/>
          <w:sz w:val="36"/>
          <w:szCs w:val="21"/>
          <w:highlight w:val="none"/>
        </w:rPr>
      </w:pPr>
      <w:r>
        <w:rPr>
          <w:rFonts w:ascii="宋体" w:hAnsi="宋体"/>
          <w:b/>
          <w:color w:val="auto"/>
          <w:sz w:val="36"/>
          <w:szCs w:val="21"/>
          <w:highlight w:val="none"/>
        </w:rPr>
      </w:r>
      <w:r/>
    </w:p>
    <w:p>
      <w:pPr>
        <w:ind w:firstLine="723"/>
        <w:jc w:val="center"/>
        <w:rPr>
          <w:rFonts w:ascii="宋体" w:hAnsi="宋体"/>
          <w:b/>
          <w:color w:val="auto"/>
          <w:sz w:val="36"/>
          <w:szCs w:val="21"/>
          <w:highlight w:val="none"/>
        </w:rPr>
      </w:pPr>
      <w:r>
        <w:rPr>
          <w:rFonts w:ascii="宋体" w:hAnsi="宋体"/>
          <w:b/>
          <w:color w:val="auto"/>
          <w:sz w:val="36"/>
          <w:szCs w:val="21"/>
          <w:highlight w:val="none"/>
        </w:rPr>
      </w:r>
      <w:r/>
    </w:p>
    <w:p>
      <w:pPr>
        <w:ind w:firstLine="803"/>
        <w:spacing w:line="480" w:lineRule="exact"/>
        <w:rPr>
          <w:rFonts w:ascii="宋体" w:hAnsi="宋体"/>
          <w:b/>
          <w:color w:val="auto"/>
          <w:sz w:val="40"/>
          <w:highlight w:val="none"/>
        </w:rPr>
      </w:pPr>
      <w:r>
        <w:rPr>
          <w:rFonts w:hint="eastAsia" w:ascii="宋体" w:hAnsi="宋体"/>
          <w:b/>
          <w:color w:val="auto"/>
          <w:sz w:val="40"/>
          <w:highlight w:val="none"/>
        </w:rPr>
        <w:t xml:space="preserve">项 目 名 称：</w:t>
      </w:r>
      <w:r>
        <w:rPr>
          <w:rFonts w:hint="eastAsia" w:ascii="宋体" w:hAnsi="宋体"/>
          <w:b/>
          <w:color w:val="auto"/>
          <w:sz w:val="36"/>
          <w:szCs w:val="24"/>
          <w:highlight w:val="none"/>
        </w:rPr>
        <w:t xml:space="preserve">昆承湖幸福河湖建设信息化设备</w:t>
      </w:r>
      <w:r/>
    </w:p>
    <w:p>
      <w:pPr>
        <w:ind w:firstLine="803"/>
        <w:spacing w:line="480" w:lineRule="exact"/>
        <w:rPr>
          <w:rFonts w:ascii="宋体" w:hAnsi="宋体"/>
          <w:b/>
          <w:color w:val="auto"/>
          <w:sz w:val="40"/>
          <w:highlight w:val="none"/>
        </w:rPr>
      </w:pPr>
      <w:r>
        <w:rPr>
          <w:rFonts w:ascii="宋体" w:hAnsi="宋体"/>
          <w:b/>
          <w:color w:val="auto"/>
          <w:sz w:val="40"/>
          <w:highlight w:val="none"/>
        </w:rPr>
      </w:r>
      <w:r/>
    </w:p>
    <w:p>
      <w:pPr>
        <w:ind w:firstLine="803"/>
        <w:spacing w:line="480" w:lineRule="exact"/>
        <w:rPr>
          <w:rFonts w:ascii="宋体" w:hAnsi="宋体"/>
          <w:b/>
          <w:color w:val="auto"/>
          <w:sz w:val="40"/>
          <w:highlight w:val="none"/>
          <w:u w:val="single"/>
        </w:rPr>
      </w:pPr>
      <w:r>
        <w:rPr>
          <w:rFonts w:hint="eastAsia" w:ascii="宋体" w:hAnsi="宋体"/>
          <w:b/>
          <w:color w:val="auto"/>
          <w:sz w:val="40"/>
          <w:highlight w:val="none"/>
        </w:rPr>
        <w:t xml:space="preserve">项 目 编 号：</w:t>
      </w:r>
      <w:r>
        <w:rPr>
          <w:rFonts w:hint="eastAsia" w:ascii="宋体" w:hAnsi="宋体"/>
          <w:b/>
          <w:color w:val="auto"/>
          <w:sz w:val="36"/>
          <w:szCs w:val="24"/>
          <w:highlight w:val="none"/>
        </w:rPr>
        <w:t xml:space="preserve">JSZC-320581-SZXY-G2026-0038</w:t>
      </w:r>
      <w:r/>
    </w:p>
    <w:p>
      <w:pPr>
        <w:ind w:firstLine="803"/>
        <w:spacing w:line="480" w:lineRule="exact"/>
        <w:rPr>
          <w:rFonts w:ascii="宋体" w:hAnsi="宋体"/>
          <w:b/>
          <w:color w:val="auto"/>
          <w:sz w:val="40"/>
          <w:highlight w:val="none"/>
        </w:rPr>
      </w:pPr>
      <w:r>
        <w:rPr>
          <w:rFonts w:ascii="宋体" w:hAnsi="宋体"/>
          <w:b/>
          <w:color w:val="auto"/>
          <w:sz w:val="40"/>
          <w:highlight w:val="none"/>
        </w:rPr>
      </w:r>
      <w:r/>
    </w:p>
    <w:p>
      <w:pPr>
        <w:ind w:firstLine="803"/>
        <w:spacing w:line="480" w:lineRule="exact"/>
        <w:rPr>
          <w:rFonts w:ascii="宋体" w:hAnsi="宋体"/>
          <w:b/>
          <w:color w:val="auto"/>
          <w:sz w:val="40"/>
          <w:highlight w:val="none"/>
        </w:rPr>
      </w:pPr>
      <w:r>
        <w:rPr>
          <w:rFonts w:ascii="宋体" w:hAnsi="宋体"/>
          <w:b/>
          <w:color w:val="auto"/>
          <w:sz w:val="40"/>
          <w:highlight w:val="none"/>
        </w:rPr>
      </w:r>
      <w:r/>
    </w:p>
    <w:p>
      <w:pPr>
        <w:ind w:firstLine="803"/>
        <w:spacing w:line="480" w:lineRule="exact"/>
        <w:rPr>
          <w:rFonts w:ascii="宋体" w:hAnsi="宋体"/>
          <w:b/>
          <w:color w:val="auto"/>
          <w:sz w:val="40"/>
          <w:highlight w:val="none"/>
        </w:rPr>
      </w:pPr>
      <w:r>
        <w:rPr>
          <w:rFonts w:ascii="宋体" w:hAnsi="宋体"/>
          <w:b/>
          <w:color w:val="auto"/>
          <w:sz w:val="40"/>
          <w:highlight w:val="none"/>
        </w:rPr>
      </w:r>
      <w:r/>
    </w:p>
    <w:p>
      <w:pPr>
        <w:ind w:firstLine="803"/>
        <w:spacing w:line="480" w:lineRule="exact"/>
        <w:rPr>
          <w:rFonts w:ascii="宋体" w:hAnsi="宋体"/>
          <w:b/>
          <w:color w:val="auto"/>
          <w:sz w:val="40"/>
          <w:highlight w:val="none"/>
        </w:rPr>
      </w:pPr>
      <w:r>
        <w:rPr>
          <w:rFonts w:ascii="宋体" w:hAnsi="宋体"/>
          <w:b/>
          <w:color w:val="auto"/>
          <w:sz w:val="40"/>
          <w:highlight w:val="none"/>
        </w:rPr>
      </w:r>
      <w:r/>
    </w:p>
    <w:p>
      <w:pPr>
        <w:ind w:firstLine="803"/>
        <w:spacing w:line="480" w:lineRule="exact"/>
        <w:rPr>
          <w:rFonts w:ascii="宋体" w:hAnsi="宋体"/>
          <w:b/>
          <w:color w:val="auto"/>
          <w:sz w:val="40"/>
          <w:highlight w:val="none"/>
        </w:rPr>
      </w:pPr>
      <w:r>
        <w:rPr>
          <w:rFonts w:ascii="宋体" w:hAnsi="宋体"/>
          <w:b/>
          <w:color w:val="auto"/>
          <w:sz w:val="40"/>
          <w:highlight w:val="none"/>
        </w:rPr>
      </w:r>
      <w:r/>
    </w:p>
    <w:p>
      <w:pPr>
        <w:ind w:firstLine="803"/>
        <w:spacing w:line="480" w:lineRule="exact"/>
        <w:rPr>
          <w:rFonts w:ascii="宋体" w:hAnsi="宋体"/>
          <w:b/>
          <w:color w:val="auto"/>
          <w:sz w:val="40"/>
          <w:highlight w:val="none"/>
        </w:rPr>
      </w:pPr>
      <w:r>
        <w:rPr>
          <w:rFonts w:ascii="宋体" w:hAnsi="宋体"/>
          <w:b/>
          <w:color w:val="auto"/>
          <w:sz w:val="40"/>
          <w:highlight w:val="none"/>
        </w:rPr>
      </w:r>
      <w:r/>
    </w:p>
    <w:p>
      <w:pPr>
        <w:ind w:firstLine="803"/>
        <w:spacing w:line="480" w:lineRule="exact"/>
        <w:rPr>
          <w:rFonts w:ascii="宋体" w:hAnsi="宋体"/>
          <w:b/>
          <w:color w:val="auto"/>
          <w:sz w:val="40"/>
          <w:highlight w:val="none"/>
        </w:rPr>
      </w:pPr>
      <w:r>
        <w:rPr>
          <w:rFonts w:ascii="宋体" w:hAnsi="宋体"/>
          <w:b/>
          <w:color w:val="auto"/>
          <w:sz w:val="40"/>
          <w:highlight w:val="none"/>
        </w:rPr>
      </w:r>
      <w:r/>
    </w:p>
    <w:p>
      <w:pPr>
        <w:ind w:firstLine="803"/>
        <w:spacing w:line="480" w:lineRule="exact"/>
        <w:rPr>
          <w:rFonts w:ascii="宋体" w:hAnsi="宋体"/>
          <w:b/>
          <w:color w:val="auto"/>
          <w:sz w:val="40"/>
          <w:highlight w:val="none"/>
        </w:rPr>
      </w:pPr>
      <w:r>
        <w:rPr>
          <w:rFonts w:ascii="宋体" w:hAnsi="宋体"/>
          <w:b/>
          <w:color w:val="auto"/>
          <w:sz w:val="40"/>
          <w:highlight w:val="none"/>
        </w:rPr>
      </w:r>
      <w:r/>
    </w:p>
    <w:p>
      <w:pPr>
        <w:jc w:val="center"/>
        <w:spacing w:line="480" w:lineRule="exact"/>
        <w:rPr>
          <w:rFonts w:ascii="宋体" w:hAnsi="宋体"/>
          <w:b/>
          <w:color w:val="auto"/>
          <w:sz w:val="40"/>
          <w:highlight w:val="none"/>
          <w:u w:val="single"/>
        </w:rPr>
      </w:pPr>
      <w:r>
        <w:rPr>
          <w:rFonts w:hint="eastAsia" w:ascii="宋体" w:hAnsi="宋体"/>
          <w:b/>
          <w:color w:val="auto"/>
          <w:sz w:val="40"/>
          <w:highlight w:val="none"/>
        </w:rPr>
        <w:t xml:space="preserve">投标人名称 ：</w:t>
      </w:r>
      <w:r>
        <w:rPr>
          <w:rFonts w:hint="eastAsia" w:ascii="宋体" w:hAnsi="宋体"/>
          <w:b/>
          <w:color w:val="auto"/>
          <w:sz w:val="40"/>
          <w:highlight w:val="none"/>
          <w:u w:val="single"/>
        </w:rPr>
        <w:t xml:space="preserve">（加盖CA电子公章）</w:t>
      </w:r>
      <w:r/>
    </w:p>
    <w:p>
      <w:pPr>
        <w:ind w:firstLine="803"/>
        <w:jc w:val="center"/>
        <w:spacing w:line="480" w:lineRule="exact"/>
        <w:rPr>
          <w:rFonts w:ascii="宋体" w:hAnsi="宋体"/>
          <w:b/>
          <w:color w:val="auto"/>
          <w:sz w:val="40"/>
          <w:highlight w:val="none"/>
        </w:rPr>
      </w:pPr>
      <w:r>
        <w:rPr>
          <w:rFonts w:ascii="宋体" w:hAnsi="宋体"/>
          <w:b/>
          <w:color w:val="auto"/>
          <w:sz w:val="40"/>
          <w:highlight w:val="none"/>
        </w:rPr>
      </w:r>
      <w:r/>
    </w:p>
    <w:p>
      <w:pPr>
        <w:ind w:firstLine="2008"/>
        <w:spacing w:line="480" w:lineRule="exact"/>
        <w:rPr>
          <w:rFonts w:ascii="宋体" w:hAnsi="宋体"/>
          <w:b/>
          <w:color w:val="auto"/>
          <w:sz w:val="40"/>
          <w:highlight w:val="none"/>
          <w:u w:val="single"/>
        </w:rPr>
      </w:pPr>
      <w:r>
        <w:rPr>
          <w:rFonts w:hint="eastAsia" w:ascii="宋体" w:hAnsi="宋体"/>
          <w:b/>
          <w:color w:val="auto"/>
          <w:sz w:val="40"/>
          <w:highlight w:val="none"/>
        </w:rPr>
        <w:t xml:space="preserve">日      期 ：</w:t>
      </w:r>
      <w:r>
        <w:rPr>
          <w:rFonts w:hint="eastAsia" w:ascii="宋体" w:hAnsi="宋体"/>
          <w:b/>
          <w:color w:val="auto"/>
          <w:sz w:val="36"/>
          <w:szCs w:val="24"/>
          <w:highlight w:val="none"/>
        </w:rPr>
        <w:t xml:space="preserve">2025</w:t>
      </w:r>
      <w:r>
        <w:rPr>
          <w:b/>
          <w:color w:val="auto"/>
          <w:sz w:val="40"/>
          <w:szCs w:val="40"/>
          <w:highlight w:val="none"/>
        </w:rPr>
        <w:t xml:space="preserve">年</w:t>
      </w:r>
      <w:r>
        <w:rPr>
          <w:rFonts w:hint="eastAsia"/>
          <w:b/>
          <w:color w:val="auto"/>
          <w:sz w:val="40"/>
          <w:szCs w:val="40"/>
          <w:highlight w:val="none"/>
        </w:rPr>
        <w:t xml:space="preserve">   </w:t>
      </w:r>
      <w:r>
        <w:rPr>
          <w:b/>
          <w:color w:val="auto"/>
          <w:sz w:val="40"/>
          <w:szCs w:val="40"/>
          <w:highlight w:val="none"/>
        </w:rPr>
        <w:t xml:space="preserve">月     日</w:t>
      </w:r>
      <w:r/>
    </w:p>
    <w:p>
      <w:pPr>
        <w:spacing w:line="440" w:lineRule="exact"/>
        <w:rPr>
          <w:rFonts w:ascii="宋体" w:hAnsi="宋体"/>
          <w:color w:val="auto"/>
          <w:szCs w:val="21"/>
          <w:highlight w:val="none"/>
        </w:rPr>
      </w:pPr>
      <w:r>
        <w:rPr>
          <w:rFonts w:ascii="宋体" w:hAnsi="宋体"/>
          <w:color w:val="auto"/>
          <w:szCs w:val="21"/>
          <w:highlight w:val="none"/>
        </w:rPr>
      </w:r>
      <w:r/>
    </w:p>
    <w:p>
      <w:pPr>
        <w:ind w:firstLine="643"/>
        <w:jc w:val="left"/>
        <w:rPr>
          <w:rFonts w:ascii="宋体" w:hAnsi="宋体"/>
          <w:b/>
          <w:bCs/>
          <w:color w:val="auto"/>
          <w:sz w:val="32"/>
          <w:szCs w:val="32"/>
          <w:highlight w:val="none"/>
        </w:rPr>
      </w:pPr>
      <w:r>
        <w:rPr>
          <w:rFonts w:ascii="宋体" w:hAnsi="宋体"/>
          <w:b/>
          <w:bCs/>
          <w:color w:val="auto"/>
          <w:sz w:val="32"/>
          <w:szCs w:val="32"/>
          <w:highlight w:val="none"/>
        </w:rPr>
        <w:br w:type="page" w:clear="all"/>
      </w:r>
      <w:r/>
    </w:p>
    <w:p>
      <w:pPr>
        <w:ind w:firstLine="643"/>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一、基本目录</w:t>
      </w:r>
      <w:r/>
    </w:p>
    <w:p>
      <w:pPr>
        <w:ind w:firstLine="720"/>
        <w:spacing w:line="440" w:lineRule="exact"/>
        <w:rPr>
          <w:rFonts w:ascii="宋体" w:hAnsi="宋体" w:cs="宋体"/>
          <w:color w:val="auto"/>
          <w:sz w:val="24"/>
          <w:highlight w:val="none"/>
        </w:rPr>
      </w:pPr>
      <w:r>
        <w:rPr>
          <w:rFonts w:hint="eastAsia" w:ascii="宋体" w:hAnsi="宋体" w:cs="宋体"/>
          <w:color w:val="auto"/>
          <w:sz w:val="24"/>
          <w:highlight w:val="none"/>
        </w:rPr>
        <w:t xml:space="preserve">1、开标一览表（格式见附件）</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二、资格审查内容</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szCs w:val="24"/>
          <w:highlight w:val="none"/>
        </w:rPr>
        <w:t xml:space="preserve">满足《中华人民共和国政府采购法》第二十二条规定，并提供下列材料：</w:t>
      </w:r>
      <w:r/>
    </w:p>
    <w:p>
      <w:pPr>
        <w:ind w:firstLine="720"/>
        <w:spacing w:line="440" w:lineRule="exact"/>
        <w:rPr>
          <w:rFonts w:ascii="宋体" w:hAnsi="宋体" w:cs="宋体"/>
          <w:color w:val="auto"/>
          <w:sz w:val="24"/>
          <w:highlight w:val="none"/>
        </w:rPr>
      </w:pPr>
      <w:r>
        <w:rPr>
          <w:rFonts w:hint="eastAsia" w:ascii="宋体" w:hAnsi="宋体" w:cs="宋体"/>
          <w:color w:val="auto"/>
          <w:sz w:val="24"/>
          <w:highlight w:val="none"/>
        </w:rPr>
        <w:t xml:space="preserve">1.1 法人或者其他组织的营业执照等证明文件；</w:t>
      </w:r>
      <w:r/>
    </w:p>
    <w:p>
      <w:pPr>
        <w:ind w:firstLine="720"/>
        <w:spacing w:line="440" w:lineRule="exact"/>
        <w:rPr>
          <w:rFonts w:ascii="宋体" w:hAnsi="宋体" w:cs="宋体"/>
          <w:color w:val="auto"/>
          <w:sz w:val="24"/>
          <w:szCs w:val="24"/>
          <w:highlight w:val="none"/>
        </w:rPr>
      </w:pPr>
      <w:r>
        <w:rPr>
          <w:rFonts w:hint="eastAsia" w:ascii="宋体" w:hAnsi="宋体" w:cs="宋体"/>
          <w:color w:val="auto"/>
          <w:sz w:val="24"/>
          <w:highlight w:val="none"/>
        </w:rPr>
        <w:t xml:space="preserve">1.2 最近一期的财务报告（财务报表）或金融机构（中介机构）出具的资信证明</w:t>
      </w:r>
      <w:r>
        <w:rPr>
          <w:rFonts w:hint="eastAsia" w:ascii="宋体" w:hAnsi="宋体" w:cs="宋体"/>
          <w:color w:val="auto"/>
          <w:sz w:val="24"/>
          <w:szCs w:val="24"/>
          <w:highlight w:val="none"/>
        </w:rPr>
        <w:t xml:space="preserve">；</w:t>
      </w:r>
      <w:r/>
    </w:p>
    <w:p>
      <w:pPr>
        <w:ind w:firstLine="720"/>
        <w:spacing w:line="440" w:lineRule="exact"/>
        <w:rPr>
          <w:rFonts w:ascii="宋体" w:hAnsi="宋体" w:cs="宋体"/>
          <w:color w:val="auto"/>
          <w:sz w:val="24"/>
          <w:highlight w:val="none"/>
        </w:rPr>
      </w:pPr>
      <w:r>
        <w:rPr>
          <w:rFonts w:hint="eastAsia" w:ascii="宋体" w:hAnsi="宋体" w:cs="宋体"/>
          <w:color w:val="auto"/>
          <w:sz w:val="24"/>
          <w:highlight w:val="none"/>
        </w:rPr>
        <w:t xml:space="preserve">1.3 具备履行合同所必需的设备和专业技术能力的书面声明（格式见附件）；</w:t>
      </w:r>
      <w:r/>
    </w:p>
    <w:p>
      <w:pPr>
        <w:ind w:firstLine="720"/>
        <w:spacing w:line="440" w:lineRule="exact"/>
        <w:rPr>
          <w:rFonts w:ascii="宋体" w:hAnsi="宋体" w:cs="宋体"/>
          <w:color w:val="auto"/>
          <w:sz w:val="24"/>
          <w:highlight w:val="none"/>
        </w:rPr>
      </w:pPr>
      <w:r>
        <w:rPr>
          <w:rFonts w:hint="eastAsia" w:ascii="宋体" w:hAnsi="宋体" w:cs="宋体"/>
          <w:color w:val="auto"/>
          <w:sz w:val="24"/>
          <w:highlight w:val="none"/>
        </w:rPr>
        <w:t xml:space="preserve">1.4 依法缴纳税收和社会保障资金的相关材料（提供投标截止时间前一年内至少一个月依法缴纳税收及缴纳社会保障资金的证明材料</w:t>
      </w:r>
      <w:r>
        <w:rPr>
          <w:rFonts w:hint="eastAsia" w:ascii="宋体" w:hAnsi="宋体" w:cs="宋体"/>
          <w:color w:val="auto"/>
          <w:sz w:val="24"/>
          <w:szCs w:val="24"/>
          <w:highlight w:val="none"/>
        </w:rPr>
        <w:t xml:space="preserve">，如投标人缴纳税收的凭据、缴纳社会保险的专用收据或社会保险缴纳清单</w:t>
      </w:r>
      <w:r>
        <w:rPr>
          <w:rFonts w:hint="eastAsia" w:ascii="宋体" w:hAnsi="宋体" w:cs="宋体"/>
          <w:color w:val="auto"/>
          <w:sz w:val="24"/>
          <w:highlight w:val="none"/>
        </w:rPr>
        <w:t xml:space="preserve">。投标人依法享受免缴税收、社会保障资金的提供证明材料。）</w:t>
      </w:r>
      <w:r/>
    </w:p>
    <w:p>
      <w:pPr>
        <w:ind w:firstLine="720"/>
        <w:spacing w:line="440" w:lineRule="exact"/>
        <w:rPr>
          <w:rFonts w:ascii="宋体" w:hAnsi="宋体" w:cs="宋体"/>
          <w:color w:val="auto"/>
          <w:sz w:val="24"/>
          <w:highlight w:val="none"/>
        </w:rPr>
      </w:pPr>
      <w:r>
        <w:rPr>
          <w:rFonts w:hint="eastAsia" w:ascii="宋体" w:hAnsi="宋体" w:cs="宋体"/>
          <w:color w:val="auto"/>
          <w:sz w:val="24"/>
          <w:highlight w:val="none"/>
        </w:rPr>
        <w:t xml:space="preserve">1.5 参加政府采购活动前 3 年内在经营活动中没有重大违法记录的书面声明（格式见附件）</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三、符合性审查内容</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1、投标函（格式见附件）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2、报价明细表（格式见附件）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3、法人授权书（格式见附件，</w:t>
      </w:r>
      <w:r>
        <w:rPr>
          <w:rFonts w:ascii="宋体" w:hAnsi="宋体"/>
          <w:b/>
          <w:color w:val="auto"/>
          <w:sz w:val="24"/>
          <w:highlight w:val="none"/>
        </w:rPr>
        <w:t xml:space="preserve">①</w:t>
      </w:r>
      <w:r>
        <w:rPr>
          <w:rFonts w:hint="eastAsia" w:ascii="宋体" w:hAnsi="宋体"/>
          <w:b/>
          <w:color w:val="auto"/>
          <w:sz w:val="24"/>
          <w:highlight w:val="none"/>
        </w:rPr>
        <w:t xml:space="preserve">如授权代表参加本项目投报，“法人授权书”必须提供，且须提供</w:t>
      </w:r>
      <w:r>
        <w:rPr>
          <w:rFonts w:ascii="Times New Roman" w:hAnsi="Times New Roman"/>
          <w:b/>
          <w:color w:val="auto"/>
          <w:sz w:val="24"/>
          <w:szCs w:val="24"/>
          <w:highlight w:val="none"/>
        </w:rPr>
        <w:t xml:space="preserve">被授权人</w:t>
      </w:r>
      <w:r>
        <w:rPr>
          <w:rFonts w:hint="eastAsia" w:ascii="宋体" w:hAnsi="宋体"/>
          <w:b/>
          <w:color w:val="auto"/>
          <w:sz w:val="24"/>
          <w:highlight w:val="none"/>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cs="宋体"/>
          <w:color w:val="auto"/>
          <w:sz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4、实质性要求响应及偏离表（格式见附件）</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四、综合评审文件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Times New Roman" w:hAnsi="Times New Roman"/>
          <w:color w:val="auto"/>
          <w:sz w:val="24"/>
          <w:szCs w:val="24"/>
          <w:highlight w:val="none"/>
          <w:lang w:bidi="ar"/>
        </w:rPr>
        <w:t xml:space="preserve">技术要求响应及偏离表</w:t>
      </w:r>
      <w:r>
        <w:rPr>
          <w:rFonts w:hint="eastAsia" w:ascii="宋体" w:hAnsi="宋体" w:cs="宋体"/>
          <w:color w:val="auto"/>
          <w:sz w:val="24"/>
          <w:highlight w:val="none"/>
        </w:rPr>
        <w:t xml:space="preserve">（格式见附件）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2、项目方案（格式见附件）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Times New Roman" w:hAnsi="Times New Roman"/>
          <w:color w:val="auto"/>
          <w:sz w:val="24"/>
          <w:szCs w:val="24"/>
          <w:highlight w:val="none"/>
          <w:lang w:bidi="ar"/>
        </w:rPr>
        <w:t xml:space="preserve">质量保证及售后服务</w:t>
      </w:r>
      <w:r>
        <w:rPr>
          <w:rFonts w:hint="eastAsia" w:ascii="宋体" w:hAnsi="宋体" w:cs="宋体"/>
          <w:color w:val="auto"/>
          <w:sz w:val="24"/>
          <w:highlight w:val="none"/>
        </w:rPr>
        <w:t xml:space="preserve">（格式见附件）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4、业绩一览表（格式详见附件）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5、商务要求响应及偏离表（格式详见附件）</w:t>
      </w:r>
      <w:r/>
    </w:p>
    <w:p>
      <w:pPr>
        <w:ind w:firstLine="480"/>
        <w:spacing w:line="440" w:lineRule="exact"/>
        <w:rPr>
          <w:rFonts w:ascii="宋体" w:hAnsi="宋体" w:cs="宋体"/>
          <w:bCs/>
          <w:color w:val="auto"/>
          <w:sz w:val="24"/>
          <w:szCs w:val="24"/>
          <w:highlight w:val="none"/>
        </w:rPr>
      </w:pPr>
      <w:r>
        <w:rPr>
          <w:rFonts w:hint="eastAsia" w:ascii="宋体" w:hAnsi="宋体" w:cs="宋体"/>
          <w:color w:val="auto"/>
          <w:sz w:val="24"/>
          <w:highlight w:val="none"/>
        </w:rPr>
        <w:t xml:space="preserve">6、</w:t>
      </w:r>
      <w:r>
        <w:rPr>
          <w:rFonts w:hint="eastAsia" w:ascii="宋体" w:hAnsi="宋体" w:cs="宋体"/>
          <w:bCs/>
          <w:color w:val="auto"/>
          <w:sz w:val="24"/>
          <w:szCs w:val="24"/>
          <w:highlight w:val="none"/>
        </w:rPr>
        <w:t xml:space="preserve">中小企业声明函（格式见附件）或残疾人福利性单位声明函（格式见附件）或省级以上监狱管理局、戒毒管理局（含新疆生产建设兵团）出具的属于监狱企业的证明文件。</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7、关于符合本国产品标准的声明函（格式见附件）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8、其他</w:t>
      </w:r>
      <w:r/>
    </w:p>
    <w:p>
      <w:pPr>
        <w:ind w:firstLine="482"/>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备注：针对“二、资格审查内容”和“三、符合性审查内容”，投标人必须在投标文件中提供相关材料，若有缺失或无效的，将导致其投标无效。</w:t>
      </w:r>
      <w:r/>
    </w:p>
    <w:p>
      <w:pPr>
        <w:ind w:firstLine="482"/>
        <w:jc w:val="center"/>
        <w:spacing w:line="440" w:lineRule="exact"/>
        <w:rPr>
          <w:rFonts w:ascii="Times New Roman" w:hAnsi="Times New Roman"/>
          <w:b/>
          <w:bCs/>
          <w:color w:val="auto"/>
          <w:sz w:val="28"/>
          <w:szCs w:val="28"/>
          <w:highlight w:val="none"/>
        </w:rPr>
        <w:outlineLvl w:val="1"/>
      </w:pPr>
      <w:r>
        <w:rPr>
          <w:rFonts w:hint="eastAsia" w:ascii="宋体" w:hAnsi="宋体"/>
          <w:b/>
          <w:color w:val="auto"/>
          <w:sz w:val="24"/>
          <w:szCs w:val="24"/>
          <w:highlight w:val="none"/>
        </w:rPr>
        <w:br w:type="page" w:clear="all"/>
      </w:r>
      <w:bookmarkStart w:id="471" w:name="_Toc6253"/>
      <w:r/>
      <w:bookmarkStart w:id="472" w:name="_Toc8405"/>
      <w:r/>
      <w:bookmarkStart w:id="473" w:name="_Toc239671970"/>
      <w:r/>
      <w:bookmarkStart w:id="474" w:name="_Toc31229"/>
      <w:r>
        <w:rPr>
          <w:rFonts w:hint="eastAsia" w:ascii="Times New Roman" w:hAnsi="Times New Roman"/>
          <w:b/>
          <w:bCs/>
          <w:color w:val="auto"/>
          <w:sz w:val="28"/>
          <w:szCs w:val="28"/>
          <w:highlight w:val="none"/>
        </w:rPr>
        <w:t xml:space="preserve">附件1 开标一览表</w:t>
      </w:r>
      <w:bookmarkEnd w:id="471"/>
      <w:r/>
      <w:bookmarkEnd w:id="472"/>
      <w:r/>
      <w:bookmarkEnd w:id="473"/>
      <w:r/>
      <w:bookmarkEnd w:id="474"/>
      <w:r/>
      <w:r/>
    </w:p>
    <w:p>
      <w:pPr>
        <w:ind w:firstLine="482"/>
        <w:rPr>
          <w:rFonts w:ascii="宋体" w:hAnsi="宋体"/>
          <w:b/>
          <w:color w:val="auto"/>
          <w:sz w:val="24"/>
          <w:szCs w:val="24"/>
          <w:highlight w:val="none"/>
        </w:rPr>
      </w:pPr>
      <w:r>
        <w:rPr>
          <w:rFonts w:ascii="宋体" w:hAnsi="宋体"/>
          <w:b/>
          <w:color w:val="auto"/>
          <w:sz w:val="24"/>
          <w:szCs w:val="24"/>
          <w:highlight w:val="none"/>
        </w:rPr>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投标人全称（加盖CA电子签章）：</w:t>
      </w:r>
      <w:r/>
    </w:p>
    <w:p>
      <w:pPr>
        <w:ind w:firstLine="482"/>
        <w:spacing w:line="440" w:lineRule="exact"/>
        <w:rPr>
          <w:color w:val="auto"/>
          <w:sz w:val="24"/>
          <w:szCs w:val="24"/>
          <w:highlight w:val="none"/>
        </w:rPr>
      </w:pPr>
      <w:r>
        <w:rPr>
          <w:rFonts w:hint="eastAsia" w:ascii="宋体" w:hAnsi="宋体"/>
          <w:color w:val="auto"/>
          <w:sz w:val="24"/>
          <w:szCs w:val="24"/>
          <w:highlight w:val="none"/>
        </w:rPr>
        <w:t xml:space="preserve">项目名称：昆承湖幸福河湖建设信息化设备</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项目编号：</w:t>
      </w:r>
      <w:bookmarkEnd w:id="241"/>
      <w:r/>
      <w:bookmarkEnd w:id="242"/>
      <w:r/>
      <w:bookmarkEnd w:id="468"/>
      <w:r/>
      <w:bookmarkEnd w:id="469"/>
      <w:r/>
      <w:bookmarkEnd w:id="470"/>
      <w:r>
        <w:rPr>
          <w:rFonts w:hint="eastAsia" w:ascii="宋体" w:hAnsi="宋体"/>
          <w:color w:val="auto"/>
          <w:sz w:val="24"/>
          <w:szCs w:val="24"/>
          <w:highlight w:val="none"/>
        </w:rPr>
        <w:t xml:space="preserve">JSZC-320581-SZXY-G2026-0038</w:t>
      </w:r>
      <w:r/>
    </w:p>
    <w:tbl>
      <w:tblPr>
        <w:tblStyle w:val="819"/>
        <w:tblW w:w="9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0"/>
      </w:tblGrid>
      <w:tr>
        <w:trPr>
          <w:cantSplit/>
          <w:jc w:val="center"/>
          <w:trHeight w:val="901"/>
        </w:trPr>
        <w:tc>
          <w:tcPr>
            <w:tcW w:w="9340" w:type="dxa"/>
            <w:vAlign w:val="center"/>
            <w:textDirection w:val="lrTb"/>
            <w:noWrap w:val="false"/>
          </w:tcPr>
          <w:p>
            <w:pPr>
              <w:pStyle w:val="848"/>
              <w:jc w:val="center"/>
              <w:spacing w:before="0" w:beforeAutospacing="0" w:after="0" w:afterAutospacing="0"/>
              <w:widowControl w:val="off"/>
              <w:rPr>
                <w:color w:val="auto"/>
                <w:highlight w:val="none"/>
              </w:rPr>
            </w:pPr>
            <w:r>
              <w:rPr>
                <w:rFonts w:hint="eastAsia"/>
                <w:color w:val="auto"/>
                <w:highlight w:val="none"/>
                <w:lang w:bidi="ar"/>
              </w:rPr>
              <w:t xml:space="preserve">投标总价</w:t>
            </w:r>
            <w:r/>
          </w:p>
        </w:tc>
      </w:tr>
      <w:tr>
        <w:trPr>
          <w:cantSplit/>
          <w:jc w:val="center"/>
          <w:trHeight w:val="800"/>
        </w:trPr>
        <w:tc>
          <w:tcPr>
            <w:tcW w:w="9340" w:type="dxa"/>
            <w:vAlign w:val="center"/>
            <w:textDirection w:val="lrTb"/>
            <w:noWrap w:val="false"/>
          </w:tcPr>
          <w:p>
            <w:pPr>
              <w:pStyle w:val="848"/>
              <w:jc w:val="center"/>
              <w:spacing w:before="0" w:beforeAutospacing="0" w:after="0" w:afterAutospacing="0"/>
              <w:widowControl w:val="off"/>
              <w:rPr>
                <w:color w:val="auto"/>
                <w:highlight w:val="none"/>
              </w:rPr>
            </w:pPr>
            <w:r>
              <w:rPr>
                <w:rFonts w:hint="eastAsia"/>
                <w:color w:val="auto"/>
                <w:highlight w:val="none"/>
                <w:lang w:bidi="ar"/>
              </w:rPr>
              <w:t xml:space="preserve">小写：                    （人民币：        元）</w:t>
            </w:r>
            <w:r/>
          </w:p>
        </w:tc>
      </w:tr>
    </w:tbl>
    <w:p>
      <w:pPr>
        <w:ind w:firstLine="482"/>
        <w:rPr>
          <w:rFonts w:ascii="宋体" w:hAnsi="宋体"/>
          <w:b/>
          <w:color w:val="auto"/>
          <w:sz w:val="24"/>
          <w:szCs w:val="24"/>
          <w:highlight w:val="none"/>
        </w:rPr>
      </w:pPr>
      <w:r>
        <w:rPr>
          <w:rFonts w:ascii="宋体" w:hAnsi="宋体"/>
          <w:b/>
          <w:color w:val="auto"/>
          <w:sz w:val="24"/>
          <w:szCs w:val="24"/>
          <w:highlight w:val="none"/>
        </w:rPr>
      </w:r>
      <w:r/>
    </w:p>
    <w:p>
      <w:pPr>
        <w:ind w:firstLine="482"/>
        <w:rPr>
          <w:rFonts w:ascii="宋体" w:hAnsi="宋体"/>
          <w:b/>
          <w:color w:val="auto"/>
          <w:sz w:val="24"/>
          <w:szCs w:val="24"/>
          <w:highlight w:val="none"/>
        </w:rPr>
      </w:pPr>
      <w:r>
        <w:rPr>
          <w:rFonts w:ascii="宋体" w:hAnsi="宋体"/>
          <w:b/>
          <w:color w:val="auto"/>
          <w:sz w:val="24"/>
          <w:szCs w:val="24"/>
          <w:highlight w:val="none"/>
        </w:rPr>
        <w:br w:type="page" w:clear="all"/>
      </w:r>
      <w:r/>
    </w:p>
    <w:p>
      <w:pPr>
        <w:ind w:firstLine="482"/>
        <w:jc w:val="center"/>
        <w:spacing w:line="440" w:lineRule="exact"/>
        <w:rPr>
          <w:rFonts w:ascii="Times New Roman" w:hAnsi="Times New Roman"/>
          <w:b/>
          <w:bCs/>
          <w:color w:val="auto"/>
          <w:sz w:val="28"/>
          <w:szCs w:val="28"/>
          <w:highlight w:val="none"/>
        </w:rPr>
        <w:outlineLvl w:val="1"/>
      </w:pPr>
      <w:r/>
      <w:bookmarkStart w:id="475" w:name="_Toc6262"/>
      <w:r/>
      <w:bookmarkStart w:id="476" w:name="_Toc239671971"/>
      <w:r/>
      <w:bookmarkStart w:id="477" w:name="_Toc27326"/>
      <w:r/>
      <w:bookmarkStart w:id="478" w:name="_Toc189"/>
      <w:r/>
      <w:bookmarkStart w:id="479" w:name="_Toc31846"/>
      <w:r>
        <w:rPr>
          <w:rFonts w:hint="eastAsia" w:ascii="Times New Roman" w:hAnsi="Times New Roman"/>
          <w:b/>
          <w:bCs/>
          <w:color w:val="auto"/>
          <w:sz w:val="28"/>
          <w:szCs w:val="28"/>
          <w:highlight w:val="none"/>
        </w:rPr>
        <w:t xml:space="preserve">附件2 报价明细表</w:t>
      </w:r>
      <w:bookmarkEnd w:id="475"/>
      <w:r/>
      <w:bookmarkEnd w:id="476"/>
      <w:r/>
      <w:bookmarkEnd w:id="477"/>
      <w:r/>
      <w:bookmarkEnd w:id="478"/>
      <w:r/>
      <w:bookmarkEnd w:id="479"/>
      <w:r/>
      <w:r/>
    </w:p>
    <w:tbl>
      <w:tblPr>
        <w:tblStyle w:val="819"/>
        <w:tblW w:w="10065"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548"/>
        <w:gridCol w:w="851"/>
        <w:gridCol w:w="1559"/>
        <w:gridCol w:w="851"/>
        <w:gridCol w:w="992"/>
        <w:gridCol w:w="1276"/>
        <w:gridCol w:w="1275"/>
        <w:gridCol w:w="993"/>
      </w:tblGrid>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s="宋体"/>
                <w:color w:val="auto"/>
                <w:sz w:val="24"/>
                <w:szCs w:val="20"/>
                <w:highlight w:val="none"/>
                <w:lang w:bidi="ar"/>
              </w:rPr>
              <w:t xml:space="preserve">编号</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s="宋体"/>
                <w:color w:val="auto"/>
                <w:sz w:val="24"/>
                <w:szCs w:val="20"/>
                <w:highlight w:val="none"/>
                <w:lang w:bidi="ar"/>
              </w:rPr>
              <w:t xml:space="preserve">货物名称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s="宋体"/>
                <w:color w:val="auto"/>
                <w:sz w:val="24"/>
                <w:szCs w:val="20"/>
                <w:highlight w:val="none"/>
                <w:lang w:bidi="ar"/>
              </w:rPr>
              <w:t xml:space="preserve">品牌</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s="宋体"/>
                <w:color w:val="auto"/>
                <w:sz w:val="24"/>
                <w:szCs w:val="20"/>
                <w:highlight w:val="none"/>
                <w:lang w:bidi="ar"/>
              </w:rPr>
              <w:t xml:space="preserve">规格型号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s="宋体"/>
                <w:color w:val="auto"/>
                <w:sz w:val="24"/>
                <w:szCs w:val="20"/>
                <w:highlight w:val="none"/>
                <w:lang w:bidi="ar"/>
              </w:rPr>
              <w:t xml:space="preserve">单位</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s="宋体"/>
                <w:color w:val="auto"/>
                <w:sz w:val="24"/>
                <w:szCs w:val="20"/>
                <w:highlight w:val="none"/>
                <w:lang w:bidi="ar"/>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s="宋体"/>
                <w:color w:val="auto"/>
                <w:sz w:val="24"/>
                <w:szCs w:val="20"/>
                <w:highlight w:val="none"/>
                <w:lang w:bidi="ar"/>
              </w:rPr>
              <w:t xml:space="preserve">单价（元）</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s="宋体"/>
                <w:color w:val="auto"/>
                <w:sz w:val="24"/>
                <w:szCs w:val="20"/>
                <w:highlight w:val="none"/>
                <w:lang w:bidi="ar"/>
              </w:rPr>
              <w:t xml:space="preserve">合计（元）</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s="宋体"/>
                <w:color w:val="auto"/>
                <w:sz w:val="24"/>
                <w:szCs w:val="20"/>
                <w:highlight w:val="none"/>
                <w:lang w:bidi="ar"/>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olor w:val="auto"/>
                <w:sz w:val="24"/>
                <w:szCs w:val="20"/>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olor w:val="auto"/>
                <w:sz w:val="24"/>
                <w:szCs w:val="20"/>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s="宋体"/>
                <w:color w:val="auto"/>
                <w:sz w:val="24"/>
                <w:szCs w:val="20"/>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67"/>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s="宋体"/>
                <w:color w:val="auto"/>
                <w:sz w:val="24"/>
                <w:szCs w:val="20"/>
                <w:highlight w:val="none"/>
                <w:lang w:bidi="ar"/>
              </w:rPr>
              <w:t xml:space="preserve">合计总价（元）</w:t>
            </w:r>
            <w:r/>
          </w:p>
        </w:tc>
        <w:tc>
          <w:tcPr>
            <w:gridSpan w:val="6"/>
            <w:tcBorders>
              <w:top w:val="single" w:color="auto" w:sz="4" w:space="0"/>
              <w:left w:val="single" w:color="auto" w:sz="4" w:space="0"/>
              <w:bottom w:val="single" w:color="auto" w:sz="4" w:space="0"/>
              <w:right w:val="single" w:color="auto" w:sz="4" w:space="0"/>
            </w:tcBorders>
            <w:tcW w:w="6946" w:type="dxa"/>
            <w:textDirection w:val="lrTb"/>
            <w:noWrap w:val="false"/>
          </w:tcPr>
          <w:p>
            <w:pPr>
              <w:spacing w:line="560" w:lineRule="exact"/>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67"/>
        </w:trPr>
        <w:tc>
          <w:tcPr>
            <w:gridSpan w:val="9"/>
            <w:tcBorders>
              <w:top w:val="single" w:color="auto" w:sz="4" w:space="0"/>
              <w:left w:val="single" w:color="auto" w:sz="4" w:space="0"/>
              <w:bottom w:val="single" w:color="auto" w:sz="4" w:space="0"/>
              <w:right w:val="single" w:color="auto" w:sz="4" w:space="0"/>
            </w:tcBorders>
            <w:tcW w:w="10065" w:type="dxa"/>
            <w:vAlign w:val="center"/>
            <w:textDirection w:val="lrTb"/>
            <w:noWrap w:val="false"/>
          </w:tcPr>
          <w:p>
            <w:pPr>
              <w:spacing w:line="560" w:lineRule="exact"/>
              <w:rPr>
                <w:rFonts w:ascii="Times New Roman" w:hAnsi="Times New Roman"/>
                <w:color w:val="auto"/>
                <w:sz w:val="24"/>
                <w:szCs w:val="20"/>
                <w:highlight w:val="none"/>
              </w:rPr>
            </w:pPr>
            <w:r>
              <w:rPr>
                <w:rFonts w:hint="eastAsia" w:ascii="方正魏碑_GBK" w:hAnsi="方正魏碑_GBK" w:eastAsia="方正魏碑_GBK" w:cs="方正魏碑_GBK"/>
                <w:color w:val="auto"/>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auto"/>
                <w:sz w:val="28"/>
                <w:szCs w:val="28"/>
                <w:highlight w:val="none"/>
                <w:u w:val="single"/>
              </w:rPr>
              <w:t xml:space="preserve">***</w:t>
            </w:r>
            <w:r>
              <w:rPr>
                <w:rFonts w:hint="eastAsia" w:ascii="方正魏碑_GBK" w:hAnsi="方正魏碑_GBK" w:eastAsia="方正魏碑_GBK" w:cs="方正魏碑_GBK"/>
                <w:color w:val="auto"/>
                <w:sz w:val="28"/>
                <w:szCs w:val="28"/>
                <w:highlight w:val="none"/>
              </w:rPr>
              <w:t xml:space="preserve">%。</w:t>
            </w:r>
            <w:r/>
          </w:p>
        </w:tc>
      </w:tr>
    </w:tbl>
    <w:p>
      <w:pPr>
        <w:spacing w:line="460" w:lineRule="exact"/>
        <w:tabs>
          <w:tab w:val="left" w:pos="0" w:leader="none"/>
        </w:tabs>
        <w:rPr>
          <w:rFonts w:ascii="Times New Roman" w:hAnsi="Times New Roman"/>
          <w:bCs/>
          <w:color w:val="auto"/>
          <w:sz w:val="24"/>
          <w:szCs w:val="24"/>
          <w:highlight w:val="none"/>
        </w:rPr>
      </w:pPr>
      <w:r>
        <w:rPr>
          <w:rFonts w:hint="eastAsia" w:ascii="Times New Roman" w:hAnsi="Times New Roman" w:cs="宋体"/>
          <w:bCs/>
          <w:color w:val="auto"/>
          <w:sz w:val="24"/>
          <w:szCs w:val="24"/>
          <w:highlight w:val="none"/>
          <w:lang w:bidi="ar"/>
        </w:rPr>
        <w:t xml:space="preserve">注：</w:t>
      </w:r>
      <w:r>
        <w:rPr>
          <w:rFonts w:ascii="Times New Roman" w:hAnsi="Times New Roman"/>
          <w:bCs/>
          <w:color w:val="auto"/>
          <w:sz w:val="24"/>
          <w:szCs w:val="24"/>
          <w:highlight w:val="none"/>
          <w:lang w:bidi="ar"/>
        </w:rPr>
        <w:t xml:space="preserve">1</w:t>
      </w:r>
      <w:r>
        <w:rPr>
          <w:rFonts w:hint="eastAsia" w:ascii="Times New Roman" w:hAnsi="Times New Roman"/>
          <w:bCs/>
          <w:color w:val="auto"/>
          <w:sz w:val="24"/>
          <w:szCs w:val="24"/>
          <w:highlight w:val="none"/>
          <w:lang w:bidi="ar"/>
        </w:rPr>
        <w:t xml:space="preserve">、</w:t>
      </w:r>
      <w:r>
        <w:rPr>
          <w:rFonts w:hint="eastAsia" w:ascii="Times New Roman" w:hAnsi="Times New Roman" w:cs="宋体"/>
          <w:bCs/>
          <w:color w:val="auto"/>
          <w:sz w:val="24"/>
          <w:szCs w:val="24"/>
          <w:highlight w:val="none"/>
          <w:lang w:bidi="ar"/>
        </w:rPr>
        <w:t xml:space="preserve">投标人应根据本项目的分项价格情况填写上述表格。</w:t>
      </w:r>
      <w:r/>
    </w:p>
    <w:p>
      <w:pPr>
        <w:ind w:firstLine="480"/>
        <w:spacing w:line="460" w:lineRule="exact"/>
        <w:tabs>
          <w:tab w:val="left" w:pos="0" w:leader="none"/>
        </w:tabs>
        <w:rPr>
          <w:rFonts w:ascii="Times New Roman" w:hAnsi="Times New Roman"/>
          <w:bCs/>
          <w:color w:val="auto"/>
          <w:sz w:val="24"/>
          <w:szCs w:val="24"/>
          <w:highlight w:val="none"/>
        </w:rPr>
      </w:pPr>
      <w:r>
        <w:rPr>
          <w:rFonts w:ascii="Times New Roman" w:hAnsi="Times New Roman"/>
          <w:bCs/>
          <w:color w:val="auto"/>
          <w:sz w:val="24"/>
          <w:szCs w:val="24"/>
          <w:highlight w:val="none"/>
          <w:lang w:bidi="ar"/>
        </w:rPr>
        <w:t xml:space="preserve">2</w:t>
      </w:r>
      <w:r>
        <w:rPr>
          <w:rFonts w:hint="eastAsia" w:ascii="Times New Roman" w:hAnsi="Times New Roman"/>
          <w:bCs/>
          <w:color w:val="auto"/>
          <w:sz w:val="24"/>
          <w:szCs w:val="24"/>
          <w:highlight w:val="none"/>
          <w:lang w:bidi="ar"/>
        </w:rPr>
        <w:t xml:space="preserve">、</w:t>
      </w:r>
      <w:r>
        <w:rPr>
          <w:rFonts w:hint="eastAsia" w:ascii="Times New Roman" w:hAnsi="Times New Roman" w:cs="宋体"/>
          <w:bCs/>
          <w:color w:val="auto"/>
          <w:sz w:val="24"/>
          <w:szCs w:val="24"/>
          <w:highlight w:val="none"/>
          <w:lang w:bidi="ar"/>
        </w:rPr>
        <w:t xml:space="preserve">所有价格用人民币表示，保留小数点后两位。</w:t>
      </w:r>
      <w:r/>
    </w:p>
    <w:p>
      <w:pPr>
        <w:ind w:firstLine="480"/>
        <w:spacing w:line="460" w:lineRule="exact"/>
        <w:tabs>
          <w:tab w:val="left" w:pos="0" w:leader="none"/>
        </w:tabs>
        <w:rPr>
          <w:rFonts w:ascii="Times New Roman" w:hAnsi="Times New Roman" w:cs="宋体"/>
          <w:bCs/>
          <w:color w:val="auto"/>
          <w:sz w:val="24"/>
          <w:szCs w:val="24"/>
          <w:highlight w:val="none"/>
          <w:lang w:bidi="ar"/>
        </w:rPr>
      </w:pPr>
      <w:r>
        <w:rPr>
          <w:rFonts w:ascii="Times New Roman" w:hAnsi="Times New Roman"/>
          <w:bCs/>
          <w:color w:val="auto"/>
          <w:sz w:val="24"/>
          <w:szCs w:val="24"/>
          <w:highlight w:val="none"/>
          <w:lang w:bidi="ar"/>
        </w:rPr>
        <w:t xml:space="preserve">3</w:t>
      </w:r>
      <w:r>
        <w:rPr>
          <w:rFonts w:hint="eastAsia" w:ascii="Times New Roman" w:hAnsi="Times New Roman"/>
          <w:bCs/>
          <w:color w:val="auto"/>
          <w:sz w:val="24"/>
          <w:szCs w:val="24"/>
          <w:highlight w:val="none"/>
          <w:lang w:bidi="ar"/>
        </w:rPr>
        <w:t xml:space="preserve">、</w:t>
      </w:r>
      <w:r>
        <w:rPr>
          <w:rFonts w:hint="eastAsia" w:ascii="Times New Roman" w:hAnsi="Times New Roman" w:cs="宋体"/>
          <w:bCs/>
          <w:color w:val="auto"/>
          <w:sz w:val="24"/>
          <w:szCs w:val="24"/>
          <w:highlight w:val="none"/>
          <w:lang w:bidi="ar"/>
        </w:rPr>
        <w:t xml:space="preserve">表中“合计总价”应与“开标一览表”表中“投标总价”相一致。</w:t>
      </w:r>
      <w:r/>
    </w:p>
    <w:p>
      <w:pPr>
        <w:ind w:firstLine="480"/>
        <w:spacing w:line="460" w:lineRule="exact"/>
        <w:tabs>
          <w:tab w:val="left" w:pos="0" w:leader="none"/>
        </w:tabs>
        <w:rPr>
          <w:rFonts w:ascii="Times New Roman" w:hAnsi="Times New Roman"/>
          <w:bCs/>
          <w:color w:val="auto"/>
          <w:sz w:val="24"/>
          <w:szCs w:val="24"/>
          <w:highlight w:val="none"/>
          <w:lang w:bidi="ar"/>
        </w:rPr>
      </w:pPr>
      <w:r>
        <w:rPr>
          <w:rFonts w:hint="eastAsia" w:ascii="Times New Roman" w:hAnsi="Times New Roman"/>
          <w:bCs/>
          <w:color w:val="auto"/>
          <w:sz w:val="24"/>
          <w:szCs w:val="24"/>
          <w:highlight w:val="none"/>
          <w:lang w:bidi="ar"/>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spacing w:line="460" w:lineRule="exact"/>
        <w:tabs>
          <w:tab w:val="left" w:pos="0" w:leader="none"/>
        </w:tabs>
        <w:rPr>
          <w:rFonts w:ascii="Times New Roman" w:hAnsi="Times New Roman"/>
          <w:bCs/>
          <w:color w:val="auto"/>
          <w:sz w:val="24"/>
          <w:szCs w:val="24"/>
          <w:highlight w:val="none"/>
        </w:rPr>
      </w:pPr>
      <w:r>
        <w:rPr>
          <w:rFonts w:hint="eastAsia" w:ascii="Times New Roman" w:hAnsi="Times New Roman"/>
          <w:bCs/>
          <w:color w:val="auto"/>
          <w:sz w:val="24"/>
          <w:szCs w:val="24"/>
          <w:highlight w:val="none"/>
          <w:lang w:bidi="ar"/>
        </w:rPr>
        <w:t xml:space="preserve">5、</w:t>
      </w:r>
      <w:r>
        <w:rPr>
          <w:rFonts w:hint="eastAsia" w:ascii="Times New Roman" w:hAnsi="Times New Roman" w:cs="宋体"/>
          <w:bCs/>
          <w:color w:val="auto"/>
          <w:sz w:val="24"/>
          <w:szCs w:val="24"/>
          <w:highlight w:val="none"/>
          <w:lang w:bidi="ar"/>
        </w:rPr>
        <w:t xml:space="preserve">如有需要说明的事项，请在备注中列明。</w:t>
      </w:r>
      <w:r/>
    </w:p>
    <w:p>
      <w:pPr>
        <w:ind w:firstLine="482"/>
        <w:rPr>
          <w:rFonts w:ascii="宋体" w:hAnsi="宋体"/>
          <w:b/>
          <w:color w:val="auto"/>
          <w:sz w:val="24"/>
          <w:szCs w:val="24"/>
          <w:highlight w:val="none"/>
        </w:rPr>
      </w:pPr>
      <w:r>
        <w:rPr>
          <w:rFonts w:ascii="宋体" w:hAnsi="宋体"/>
          <w:b/>
          <w:color w:val="auto"/>
          <w:sz w:val="24"/>
          <w:szCs w:val="24"/>
          <w:highlight w:val="none"/>
        </w:rPr>
      </w:r>
      <w:r/>
    </w:p>
    <w:p>
      <w:pPr>
        <w:ind w:firstLine="482"/>
        <w:rPr>
          <w:rFonts w:ascii="宋体" w:hAnsi="宋体"/>
          <w:b/>
          <w:color w:val="auto"/>
          <w:sz w:val="24"/>
          <w:szCs w:val="24"/>
          <w:highlight w:val="none"/>
        </w:rPr>
      </w:pPr>
      <w:r>
        <w:rPr>
          <w:rFonts w:ascii="宋体" w:hAnsi="宋体"/>
          <w:b/>
          <w:color w:val="auto"/>
          <w:sz w:val="24"/>
          <w:szCs w:val="24"/>
          <w:highlight w:val="none"/>
        </w:rPr>
      </w:r>
      <w:r/>
    </w:p>
    <w:p>
      <w:pPr>
        <w:ind w:firstLine="482"/>
        <w:rPr>
          <w:rFonts w:ascii="宋体" w:hAnsi="宋体"/>
          <w:b/>
          <w:color w:val="auto"/>
          <w:sz w:val="24"/>
          <w:szCs w:val="24"/>
          <w:highlight w:val="none"/>
        </w:rPr>
      </w:pPr>
      <w:r>
        <w:rPr>
          <w:rFonts w:ascii="宋体" w:hAnsi="宋体"/>
          <w:b/>
          <w:color w:val="auto"/>
          <w:sz w:val="24"/>
          <w:szCs w:val="24"/>
          <w:highlight w:val="none"/>
        </w:rPr>
      </w:r>
      <w:r/>
    </w:p>
    <w:p>
      <w:pPr>
        <w:ind w:firstLine="482"/>
        <w:rPr>
          <w:rFonts w:ascii="宋体" w:hAnsi="宋体"/>
          <w:b/>
          <w:color w:val="auto"/>
          <w:sz w:val="24"/>
          <w:szCs w:val="24"/>
          <w:highlight w:val="none"/>
        </w:rPr>
      </w:pPr>
      <w:r>
        <w:rPr>
          <w:rFonts w:ascii="宋体" w:hAnsi="宋体"/>
          <w:b/>
          <w:color w:val="auto"/>
          <w:sz w:val="24"/>
          <w:szCs w:val="24"/>
          <w:highlight w:val="none"/>
        </w:rPr>
      </w:r>
      <w:r/>
    </w:p>
    <w:p>
      <w:pPr>
        <w:ind w:firstLine="482"/>
        <w:rPr>
          <w:rFonts w:ascii="宋体" w:hAnsi="宋体"/>
          <w:b/>
          <w:color w:val="auto"/>
          <w:sz w:val="24"/>
          <w:szCs w:val="24"/>
          <w:highlight w:val="none"/>
        </w:rPr>
      </w:pPr>
      <w:r>
        <w:rPr>
          <w:rFonts w:ascii="宋体" w:hAnsi="宋体"/>
          <w:b/>
          <w:color w:val="auto"/>
          <w:sz w:val="24"/>
          <w:szCs w:val="24"/>
          <w:highlight w:val="none"/>
        </w:rPr>
      </w:r>
      <w:r/>
    </w:p>
    <w:p>
      <w:pPr>
        <w:ind w:firstLine="482"/>
        <w:rPr>
          <w:rFonts w:ascii="宋体" w:hAnsi="宋体"/>
          <w:b/>
          <w:color w:val="auto"/>
          <w:sz w:val="24"/>
          <w:szCs w:val="24"/>
          <w:highlight w:val="none"/>
        </w:rPr>
      </w:pPr>
      <w:r>
        <w:rPr>
          <w:rFonts w:ascii="宋体" w:hAnsi="宋体"/>
          <w:b/>
          <w:color w:val="auto"/>
          <w:sz w:val="24"/>
          <w:szCs w:val="24"/>
          <w:highlight w:val="none"/>
        </w:rPr>
      </w:r>
      <w:r/>
    </w:p>
    <w:p>
      <w:pPr>
        <w:ind w:firstLine="482"/>
        <w:rPr>
          <w:rFonts w:ascii="宋体" w:hAnsi="宋体"/>
          <w:b/>
          <w:color w:val="auto"/>
          <w:sz w:val="24"/>
          <w:szCs w:val="24"/>
          <w:highlight w:val="none"/>
        </w:rPr>
      </w:pPr>
      <w:r>
        <w:rPr>
          <w:rFonts w:ascii="宋体" w:hAnsi="宋体"/>
          <w:b/>
          <w:color w:val="auto"/>
          <w:sz w:val="24"/>
          <w:szCs w:val="24"/>
          <w:highlight w:val="none"/>
        </w:rPr>
      </w:r>
      <w:r/>
    </w:p>
    <w:p>
      <w:pPr>
        <w:ind w:firstLine="482"/>
        <w:rPr>
          <w:rFonts w:ascii="宋体" w:hAnsi="宋体"/>
          <w:b/>
          <w:color w:val="auto"/>
          <w:sz w:val="24"/>
          <w:szCs w:val="24"/>
          <w:highlight w:val="none"/>
        </w:rPr>
      </w:pPr>
      <w:r>
        <w:rPr>
          <w:rFonts w:ascii="宋体" w:hAnsi="宋体"/>
          <w:b/>
          <w:color w:val="auto"/>
          <w:sz w:val="24"/>
          <w:szCs w:val="24"/>
          <w:highlight w:val="none"/>
        </w:rPr>
      </w:r>
      <w:r/>
    </w:p>
    <w:p>
      <w:pPr>
        <w:ind w:firstLine="482"/>
        <w:rPr>
          <w:rFonts w:ascii="宋体" w:hAnsi="宋体"/>
          <w:b/>
          <w:color w:val="auto"/>
          <w:sz w:val="24"/>
          <w:szCs w:val="24"/>
          <w:highlight w:val="none"/>
        </w:rPr>
      </w:pPr>
      <w:r>
        <w:rPr>
          <w:rFonts w:ascii="宋体" w:hAnsi="宋体"/>
          <w:b/>
          <w:color w:val="auto"/>
          <w:sz w:val="24"/>
          <w:szCs w:val="24"/>
          <w:highlight w:val="none"/>
        </w:rPr>
      </w:r>
      <w:r/>
    </w:p>
    <w:p>
      <w:pPr>
        <w:ind w:firstLine="482"/>
        <w:rPr>
          <w:rFonts w:ascii="宋体" w:hAnsi="宋体"/>
          <w:b/>
          <w:color w:val="auto"/>
          <w:sz w:val="24"/>
          <w:szCs w:val="24"/>
          <w:highlight w:val="none"/>
        </w:rPr>
      </w:pPr>
      <w:r>
        <w:rPr>
          <w:rFonts w:ascii="宋体" w:hAnsi="宋体"/>
          <w:b/>
          <w:color w:val="auto"/>
          <w:sz w:val="24"/>
          <w:szCs w:val="24"/>
          <w:highlight w:val="none"/>
        </w:rPr>
      </w:r>
      <w:r/>
    </w:p>
    <w:p>
      <w:pPr>
        <w:ind w:firstLine="482"/>
        <w:rPr>
          <w:rFonts w:ascii="宋体" w:hAnsi="宋体"/>
          <w:b/>
          <w:color w:val="auto"/>
          <w:sz w:val="24"/>
          <w:szCs w:val="24"/>
          <w:highlight w:val="none"/>
        </w:rPr>
      </w:pPr>
      <w:r>
        <w:rPr>
          <w:rFonts w:ascii="宋体" w:hAnsi="宋体"/>
          <w:b/>
          <w:color w:val="auto"/>
          <w:sz w:val="24"/>
          <w:szCs w:val="24"/>
          <w:highlight w:val="none"/>
        </w:rPr>
      </w:r>
      <w:r/>
    </w:p>
    <w:p>
      <w:pPr>
        <w:ind w:firstLine="482"/>
        <w:rPr>
          <w:rFonts w:ascii="宋体" w:hAnsi="宋体"/>
          <w:b/>
          <w:color w:val="auto"/>
          <w:sz w:val="24"/>
          <w:szCs w:val="24"/>
          <w:highlight w:val="none"/>
        </w:rPr>
      </w:pPr>
      <w:r>
        <w:rPr>
          <w:rFonts w:ascii="宋体" w:hAnsi="宋体"/>
          <w:b/>
          <w:color w:val="auto"/>
          <w:sz w:val="24"/>
          <w:szCs w:val="24"/>
          <w:highlight w:val="none"/>
        </w:rPr>
      </w:r>
      <w:r/>
    </w:p>
    <w:p>
      <w:pPr>
        <w:ind w:firstLine="482"/>
        <w:rPr>
          <w:rFonts w:ascii="宋体" w:hAnsi="宋体"/>
          <w:b/>
          <w:color w:val="auto"/>
          <w:sz w:val="24"/>
          <w:szCs w:val="24"/>
          <w:highlight w:val="none"/>
        </w:rPr>
      </w:pPr>
      <w:r>
        <w:rPr>
          <w:rFonts w:ascii="宋体" w:hAnsi="宋体"/>
          <w:b/>
          <w:color w:val="auto"/>
          <w:sz w:val="24"/>
          <w:szCs w:val="24"/>
          <w:highlight w:val="none"/>
        </w:rPr>
      </w:r>
      <w:r/>
    </w:p>
    <w:p>
      <w:pPr>
        <w:ind w:firstLine="482"/>
        <w:rPr>
          <w:rFonts w:ascii="宋体" w:hAnsi="宋体"/>
          <w:b/>
          <w:color w:val="auto"/>
          <w:sz w:val="24"/>
          <w:szCs w:val="24"/>
          <w:highlight w:val="none"/>
        </w:rPr>
      </w:pPr>
      <w:r>
        <w:rPr>
          <w:rFonts w:ascii="宋体" w:hAnsi="宋体"/>
          <w:b/>
          <w:color w:val="auto"/>
          <w:sz w:val="24"/>
          <w:szCs w:val="24"/>
          <w:highlight w:val="none"/>
        </w:rPr>
      </w:r>
      <w:r/>
    </w:p>
    <w:p>
      <w:pPr>
        <w:ind w:firstLine="482"/>
        <w:rPr>
          <w:rFonts w:ascii="宋体" w:hAnsi="宋体"/>
          <w:b/>
          <w:color w:val="auto"/>
          <w:sz w:val="24"/>
          <w:szCs w:val="24"/>
          <w:highlight w:val="none"/>
        </w:rPr>
      </w:pPr>
      <w:r>
        <w:rPr>
          <w:rFonts w:ascii="宋体" w:hAnsi="宋体"/>
          <w:b/>
          <w:color w:val="auto"/>
          <w:sz w:val="24"/>
          <w:szCs w:val="24"/>
          <w:highlight w:val="none"/>
        </w:rPr>
      </w:r>
      <w:r/>
    </w:p>
    <w:p>
      <w:pPr>
        <w:ind w:firstLine="482"/>
        <w:rPr>
          <w:rFonts w:ascii="宋体" w:hAnsi="宋体"/>
          <w:b/>
          <w:color w:val="auto"/>
          <w:sz w:val="24"/>
          <w:szCs w:val="24"/>
          <w:highlight w:val="none"/>
        </w:rPr>
      </w:pPr>
      <w:r>
        <w:rPr>
          <w:rFonts w:ascii="宋体" w:hAnsi="宋体"/>
          <w:b/>
          <w:color w:val="auto"/>
          <w:sz w:val="24"/>
          <w:szCs w:val="24"/>
          <w:highlight w:val="none"/>
        </w:rPr>
      </w:r>
      <w:r/>
    </w:p>
    <w:p>
      <w:pPr>
        <w:ind w:firstLine="482"/>
        <w:rPr>
          <w:rFonts w:ascii="宋体" w:hAnsi="宋体"/>
          <w:b/>
          <w:color w:val="auto"/>
          <w:sz w:val="24"/>
          <w:szCs w:val="24"/>
          <w:highlight w:val="none"/>
        </w:rPr>
      </w:pPr>
      <w:r>
        <w:rPr>
          <w:rFonts w:ascii="宋体" w:hAnsi="宋体"/>
          <w:b/>
          <w:color w:val="auto"/>
          <w:sz w:val="24"/>
          <w:szCs w:val="24"/>
          <w:highlight w:val="none"/>
        </w:rPr>
      </w:r>
      <w:r/>
    </w:p>
    <w:p>
      <w:pPr>
        <w:ind w:firstLine="482"/>
        <w:rPr>
          <w:rFonts w:ascii="宋体" w:hAnsi="宋体"/>
          <w:b/>
          <w:color w:val="auto"/>
          <w:sz w:val="24"/>
          <w:szCs w:val="24"/>
          <w:highlight w:val="none"/>
        </w:rPr>
      </w:pPr>
      <w:r>
        <w:rPr>
          <w:rFonts w:ascii="宋体" w:hAnsi="宋体"/>
          <w:b/>
          <w:color w:val="auto"/>
          <w:sz w:val="24"/>
          <w:szCs w:val="24"/>
          <w:highlight w:val="none"/>
        </w:rPr>
      </w:r>
      <w:r/>
    </w:p>
    <w:p>
      <w:pPr>
        <w:ind w:firstLine="482"/>
        <w:rPr>
          <w:rFonts w:ascii="宋体" w:hAnsi="宋体"/>
          <w:b/>
          <w:color w:val="auto"/>
          <w:sz w:val="24"/>
          <w:szCs w:val="24"/>
          <w:highlight w:val="none"/>
        </w:rPr>
      </w:pPr>
      <w:r>
        <w:rPr>
          <w:rFonts w:ascii="宋体" w:hAnsi="宋体"/>
          <w:b/>
          <w:color w:val="auto"/>
          <w:sz w:val="24"/>
          <w:szCs w:val="24"/>
          <w:highlight w:val="none"/>
        </w:rPr>
      </w:r>
      <w:r/>
    </w:p>
    <w:p>
      <w:pPr>
        <w:pStyle w:val="810"/>
        <w:jc w:val="center"/>
        <w:keepLines w:val="0"/>
        <w:keepNext w:val="0"/>
        <w:spacing w:line="440" w:lineRule="exact"/>
        <w:rPr>
          <w:rFonts w:ascii="宋体" w:hAnsi="宋体"/>
          <w:color w:val="auto"/>
          <w:highlight w:val="none"/>
        </w:rPr>
      </w:pPr>
      <w:r/>
      <w:bookmarkStart w:id="480" w:name="_Toc22297"/>
      <w:r/>
      <w:bookmarkStart w:id="481" w:name="_Toc19905"/>
      <w:r/>
      <w:bookmarkStart w:id="482" w:name="_Toc22481"/>
      <w:r/>
      <w:bookmarkStart w:id="483" w:name="_Toc239671972"/>
      <w:r>
        <w:rPr>
          <w:rFonts w:hint="eastAsia" w:ascii="Times New Roman" w:hAnsi="Times New Roman" w:eastAsia="宋体" w:cs="Times New Roman"/>
          <w:b/>
          <w:bCs/>
          <w:color w:val="auto"/>
          <w:sz w:val="28"/>
          <w:szCs w:val="28"/>
          <w:highlight w:val="none"/>
        </w:rPr>
        <w:t xml:space="preserve">附件3 </w:t>
      </w:r>
      <w:r>
        <w:rPr>
          <w:rFonts w:hint="eastAsia" w:ascii="Times New Roman" w:hAnsi="Times New Roman" w:eastAsia="宋体" w:cs="Times New Roman"/>
          <w:b/>
          <w:color w:val="auto"/>
          <w:sz w:val="28"/>
          <w:szCs w:val="28"/>
          <w:highlight w:val="none"/>
          <w:lang w:bidi="ar"/>
        </w:rPr>
        <w:t xml:space="preserve">技术要求响应及偏离表</w:t>
      </w:r>
      <w:bookmarkEnd w:id="480"/>
      <w:r/>
      <w:bookmarkEnd w:id="481"/>
      <w:r/>
      <w:bookmarkEnd w:id="482"/>
      <w:r/>
      <w:bookmarkEnd w:id="483"/>
      <w:r/>
      <w:r/>
    </w:p>
    <w:tbl>
      <w:tblPr>
        <w:tblStyle w:val="819"/>
        <w:tblW w:w="103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2103"/>
        <w:gridCol w:w="2320"/>
        <w:gridCol w:w="2500"/>
        <w:gridCol w:w="1299"/>
        <w:gridCol w:w="1305"/>
      </w:tblGrid>
      <w:tr>
        <w:trPr>
          <w:jc w:val="center"/>
          <w:trHeight w:val="833"/>
        </w:trPr>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2103" w:type="dxa"/>
            <w:vAlign w:val="center"/>
            <w:textDirection w:val="lrTb"/>
            <w:noWrap w:val="false"/>
          </w:tcPr>
          <w:p>
            <w:pPr>
              <w:jc w:val="center"/>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lang w:bidi="ar"/>
              </w:rPr>
              <w:t xml:space="preserve">货物名称</w:t>
            </w:r>
            <w:r/>
          </w:p>
        </w:tc>
        <w:tc>
          <w:tcPr>
            <w:tcBorders>
              <w:top w:val="single" w:color="auto" w:sz="4" w:space="0"/>
              <w:left w:val="single" w:color="auto" w:sz="4" w:space="0"/>
              <w:bottom w:val="single" w:color="auto" w:sz="4" w:space="0"/>
              <w:right w:val="single" w:color="auto" w:sz="4" w:space="0"/>
            </w:tcBorders>
            <w:tcW w:w="2320" w:type="dxa"/>
            <w:vAlign w:val="center"/>
            <w:textDirection w:val="lrTb"/>
            <w:noWrap w:val="false"/>
          </w:tcPr>
          <w:p>
            <w:pPr>
              <w:jc w:val="center"/>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lang w:bidi="ar"/>
              </w:rPr>
              <w:t xml:space="preserve">招标技术参数要求</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lang w:bidi="ar"/>
              </w:rPr>
              <w:t xml:space="preserve">投标响应的技术参数</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lang w:bidi="ar"/>
              </w:rPr>
              <w:t xml:space="preserve">有无偏离</w:t>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lang w:bidi="ar"/>
              </w:rPr>
              <w:t xml:space="preserve">偏离内容及原因</w:t>
            </w:r>
            <w:r/>
          </w:p>
        </w:tc>
      </w:tr>
      <w:tr>
        <w:trPr>
          <w:jc w:val="center"/>
          <w:trHeight w:val="609"/>
        </w:trPr>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3"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0"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609"/>
        </w:trPr>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3"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0"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609"/>
        </w:trPr>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3"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0"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609"/>
        </w:trPr>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3"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0"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609"/>
        </w:trPr>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3"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0"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609"/>
        </w:trPr>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3"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0"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609"/>
        </w:trPr>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3"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0"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629"/>
        </w:trPr>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3"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2320"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r>
    </w:tbl>
    <w:p>
      <w:pPr>
        <w:spacing w:line="440" w:lineRule="exact"/>
        <w:rPr>
          <w:color w:val="auto"/>
          <w:sz w:val="24"/>
          <w:szCs w:val="24"/>
          <w:highlight w:val="none"/>
        </w:rPr>
      </w:pPr>
      <w:r>
        <w:rPr>
          <w:color w:val="auto"/>
          <w:sz w:val="24"/>
          <w:szCs w:val="24"/>
          <w:highlight w:val="none"/>
        </w:rPr>
        <w:t xml:space="preserve">注：1</w:t>
      </w:r>
      <w:r>
        <w:rPr>
          <w:rFonts w:hint="eastAsia"/>
          <w:color w:val="auto"/>
          <w:sz w:val="24"/>
          <w:szCs w:val="24"/>
          <w:highlight w:val="none"/>
        </w:rPr>
        <w:t xml:space="preserve">、投标人应根据本项目“第四章</w:t>
      </w:r>
      <w:r>
        <w:rPr>
          <w:color w:val="auto"/>
          <w:sz w:val="24"/>
          <w:szCs w:val="24"/>
          <w:highlight w:val="none"/>
        </w:rPr>
        <w:t xml:space="preserve">  </w:t>
      </w:r>
      <w:r>
        <w:rPr>
          <w:rFonts w:hint="eastAsia"/>
          <w:color w:val="auto"/>
          <w:sz w:val="24"/>
          <w:szCs w:val="24"/>
          <w:highlight w:val="none"/>
        </w:rPr>
        <w:t xml:space="preserve">采购需求”中的“三、技术性能参数要求”对照所投设备的配置及技术性能进行逐项评议。</w:t>
      </w:r>
      <w:r/>
    </w:p>
    <w:p>
      <w:pPr>
        <w:ind w:firstLine="480"/>
        <w:spacing w:line="440" w:lineRule="exact"/>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、若无偏离，在“有无偏离”栏中填写“无”；若有偏离在“有无偏离”栏中填写“有”并在“偏离内容及原因”栏中作出说明。因未标明或表述含糊导致的评审风险将由投标人承担。</w:t>
      </w:r>
      <w:r/>
    </w:p>
    <w:p>
      <w:pPr>
        <w:ind w:firstLine="480"/>
        <w:spacing w:line="440" w:lineRule="exact"/>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、表格不够可另接。</w:t>
      </w:r>
      <w:r/>
    </w:p>
    <w:p>
      <w:pPr>
        <w:ind w:firstLine="482"/>
        <w:spacing w:line="440" w:lineRule="exact"/>
        <w:rPr>
          <w:b/>
          <w:bCs/>
          <w:color w:val="auto"/>
          <w:sz w:val="24"/>
          <w:szCs w:val="24"/>
          <w:highlight w:val="none"/>
        </w:rPr>
      </w:pPr>
      <w:r>
        <w:rPr>
          <w:b/>
          <w:bCs/>
          <w:color w:val="auto"/>
          <w:sz w:val="24"/>
          <w:szCs w:val="24"/>
          <w:highlight w:val="none"/>
        </w:rPr>
        <w:t xml:space="preserve">4</w:t>
      </w:r>
      <w:r>
        <w:rPr>
          <w:rFonts w:hint="eastAsia"/>
          <w:b/>
          <w:bCs/>
          <w:color w:val="auto"/>
          <w:sz w:val="24"/>
          <w:szCs w:val="24"/>
          <w:highlight w:val="none"/>
        </w:rPr>
        <w:t xml:space="preserve">、投标文件中需根据招标文件要求提供的相关证明材料同时在证明材料中对相应内容进行标注。</w:t>
      </w:r>
      <w:r/>
    </w:p>
    <w:p>
      <w:pPr>
        <w:ind w:firstLine="480"/>
        <w:spacing w:line="480" w:lineRule="exact"/>
        <w:rPr>
          <w:color w:val="auto"/>
          <w:sz w:val="24"/>
          <w:szCs w:val="24"/>
          <w:highlight w:val="none"/>
        </w:rPr>
      </w:pPr>
      <w:r>
        <w:rPr>
          <w:color w:val="auto"/>
          <w:sz w:val="24"/>
          <w:szCs w:val="24"/>
          <w:highlight w:val="none"/>
        </w:rPr>
      </w:r>
      <w:r/>
    </w:p>
    <w:p>
      <w:pPr>
        <w:ind w:firstLine="480"/>
        <w:spacing w:after="120" w:line="440" w:lineRule="exact"/>
        <w:rPr>
          <w:rFonts w:ascii="宋体" w:hAnsi="宋体"/>
          <w:bCs/>
          <w:color w:val="auto"/>
          <w:sz w:val="24"/>
          <w:szCs w:val="24"/>
          <w:highlight w:val="none"/>
        </w:rPr>
      </w:pPr>
      <w:r>
        <w:rPr>
          <w:rFonts w:ascii="宋体" w:hAnsi="宋体"/>
          <w:bCs/>
          <w:color w:val="auto"/>
          <w:sz w:val="24"/>
          <w:szCs w:val="24"/>
          <w:highlight w:val="none"/>
        </w:rPr>
      </w:r>
      <w:r/>
    </w:p>
    <w:p>
      <w:pPr>
        <w:jc w:val="center"/>
        <w:spacing w:line="440" w:lineRule="exact"/>
        <w:rPr>
          <w:rFonts w:ascii="Times New Roman" w:hAnsi="Times New Roman"/>
          <w:b/>
          <w:bCs/>
          <w:color w:val="auto"/>
          <w:sz w:val="28"/>
          <w:szCs w:val="28"/>
          <w:highlight w:val="none"/>
        </w:rPr>
        <w:outlineLvl w:val="1"/>
      </w:pPr>
      <w:r>
        <w:rPr>
          <w:color w:val="auto"/>
          <w:highlight w:val="none"/>
        </w:rPr>
        <w:br w:type="page" w:clear="all"/>
      </w:r>
      <w:bookmarkStart w:id="484" w:name="_Toc8238"/>
      <w:r/>
      <w:bookmarkStart w:id="485" w:name="_Toc28267"/>
      <w:r/>
      <w:bookmarkStart w:id="486" w:name="_Toc5009"/>
      <w:r/>
      <w:bookmarkStart w:id="487" w:name="_Toc239671973"/>
      <w:r/>
      <w:bookmarkStart w:id="488" w:name="_Toc387400419"/>
      <w:r/>
      <w:bookmarkStart w:id="489" w:name="_Toc522610225"/>
      <w:r/>
      <w:bookmarkStart w:id="490" w:name="_Toc43821328"/>
      <w:r/>
      <w:bookmarkStart w:id="491" w:name="_Toc354834784"/>
      <w:r/>
      <w:bookmarkStart w:id="492" w:name="_Toc146524609"/>
      <w:r>
        <w:rPr>
          <w:rFonts w:hint="eastAsia" w:ascii="Times New Roman" w:hAnsi="Times New Roman"/>
          <w:b/>
          <w:bCs/>
          <w:color w:val="auto"/>
          <w:sz w:val="28"/>
          <w:szCs w:val="28"/>
          <w:highlight w:val="none"/>
        </w:rPr>
        <w:t xml:space="preserve">附件4</w:t>
      </w:r>
      <w:r>
        <w:rPr>
          <w:rFonts w:ascii="Times New Roman" w:hAnsi="Times New Roman"/>
          <w:b/>
          <w:bCs/>
          <w:color w:val="auto"/>
          <w:sz w:val="28"/>
          <w:szCs w:val="28"/>
          <w:highlight w:val="none"/>
        </w:rPr>
        <w:t xml:space="preserve"> </w:t>
      </w:r>
      <w:r>
        <w:rPr>
          <w:rFonts w:hint="eastAsia" w:ascii="Times New Roman" w:hAnsi="Times New Roman"/>
          <w:b/>
          <w:bCs/>
          <w:color w:val="auto"/>
          <w:sz w:val="28"/>
          <w:szCs w:val="28"/>
          <w:highlight w:val="none"/>
        </w:rPr>
        <w:t xml:space="preserve">项目方案</w:t>
      </w:r>
      <w:bookmarkEnd w:id="484"/>
      <w:r/>
      <w:bookmarkEnd w:id="485"/>
      <w:r/>
      <w:bookmarkEnd w:id="486"/>
      <w:r/>
      <w:bookmarkEnd w:id="487"/>
      <w:r/>
      <w:r/>
    </w:p>
    <w:p>
      <w:pPr>
        <w:ind w:firstLine="480"/>
        <w:spacing w:line="460" w:lineRule="exact"/>
        <w:rPr>
          <w:color w:val="auto"/>
          <w:sz w:val="24"/>
          <w:szCs w:val="24"/>
          <w:highlight w:val="none"/>
        </w:rPr>
      </w:pPr>
      <w:r>
        <w:rPr>
          <w:color w:val="auto"/>
          <w:sz w:val="24"/>
          <w:szCs w:val="24"/>
          <w:highlight w:val="none"/>
        </w:rPr>
        <w:t xml:space="preserve">主要内容应包括但不限于以下方面：</w:t>
      </w:r>
      <w:r/>
    </w:p>
    <w:p>
      <w:pPr>
        <w:ind w:firstLine="787"/>
        <w:spacing w:line="460" w:lineRule="exact"/>
        <w:rPr>
          <w:color w:val="auto"/>
          <w:sz w:val="24"/>
          <w:szCs w:val="24"/>
          <w:highlight w:val="none"/>
        </w:rPr>
      </w:pPr>
      <w:r>
        <w:rPr>
          <w:rFonts w:hint="eastAsia"/>
          <w:color w:val="auto"/>
          <w:sz w:val="24"/>
          <w:szCs w:val="24"/>
          <w:highlight w:val="none"/>
        </w:rPr>
        <w:t xml:space="preserve">1、供货计划及保障措施方案</w:t>
      </w:r>
      <w:r/>
    </w:p>
    <w:p>
      <w:pPr>
        <w:ind w:firstLine="787"/>
        <w:spacing w:line="460" w:lineRule="exact"/>
        <w:rPr>
          <w:color w:val="auto"/>
          <w:sz w:val="24"/>
          <w:szCs w:val="24"/>
          <w:highlight w:val="none"/>
        </w:rPr>
      </w:pPr>
      <w:r>
        <w:rPr>
          <w:rFonts w:hint="eastAsia"/>
          <w:color w:val="auto"/>
          <w:sz w:val="24"/>
          <w:szCs w:val="24"/>
          <w:highlight w:val="none"/>
        </w:rPr>
        <w:t xml:space="preserve">2、安装调试方案</w:t>
      </w:r>
      <w:r/>
    </w:p>
    <w:p>
      <w:pPr>
        <w:ind w:firstLine="787"/>
        <w:spacing w:line="46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eastAsia="zh-Hans"/>
        </w:rPr>
        <w:t xml:space="preserve">断面水质</w:t>
      </w:r>
      <w:r>
        <w:rPr>
          <w:rFonts w:hint="eastAsia"/>
          <w:color w:val="auto"/>
          <w:sz w:val="24"/>
          <w:szCs w:val="24"/>
          <w:highlight w:val="none"/>
        </w:rPr>
        <w:t xml:space="preserve">分析方案</w:t>
      </w:r>
      <w:r/>
    </w:p>
    <w:p>
      <w:pPr>
        <w:ind w:firstLine="787"/>
        <w:spacing w:line="460" w:lineRule="exact"/>
        <w:rPr>
          <w:color w:val="auto"/>
          <w:sz w:val="24"/>
          <w:szCs w:val="24"/>
          <w:highlight w:val="none"/>
        </w:rPr>
      </w:pPr>
      <w:r>
        <w:rPr>
          <w:rFonts w:hint="eastAsia"/>
          <w:color w:val="auto"/>
          <w:sz w:val="24"/>
          <w:szCs w:val="24"/>
          <w:highlight w:val="none"/>
        </w:rPr>
        <w:t xml:space="preserve">4、防汛决策方案</w:t>
      </w:r>
      <w:r/>
    </w:p>
    <w:p>
      <w:pPr>
        <w:ind w:firstLine="787"/>
        <w:spacing w:line="460" w:lineRule="exact"/>
        <w:rPr>
          <w:color w:val="auto"/>
          <w:sz w:val="24"/>
          <w:szCs w:val="24"/>
          <w:highlight w:val="none"/>
        </w:rPr>
      </w:pPr>
      <w:r>
        <w:rPr>
          <w:rFonts w:hint="eastAsia"/>
          <w:color w:val="auto"/>
          <w:sz w:val="24"/>
          <w:szCs w:val="24"/>
          <w:highlight w:val="none"/>
        </w:rPr>
        <w:t xml:space="preserve">5、无人机巡查处置方案</w:t>
      </w:r>
      <w:r/>
    </w:p>
    <w:p>
      <w:pPr>
        <w:ind w:firstLine="787"/>
        <w:spacing w:line="460" w:lineRule="exact"/>
        <w:rPr>
          <w:color w:val="auto"/>
          <w:sz w:val="24"/>
          <w:szCs w:val="24"/>
          <w:highlight w:val="none"/>
        </w:rPr>
      </w:pPr>
      <w:r>
        <w:rPr>
          <w:rFonts w:hint="eastAsia"/>
          <w:color w:val="auto"/>
          <w:sz w:val="24"/>
          <w:szCs w:val="24"/>
          <w:highlight w:val="none"/>
        </w:rPr>
        <w:t xml:space="preserve">6、人员配备（格式自拟）</w:t>
      </w:r>
      <w:r/>
    </w:p>
    <w:p>
      <w:pPr>
        <w:ind w:firstLine="787"/>
        <w:spacing w:line="460" w:lineRule="exact"/>
        <w:rPr>
          <w:color w:val="auto"/>
          <w:sz w:val="24"/>
          <w:szCs w:val="24"/>
          <w:highlight w:val="none"/>
        </w:rPr>
      </w:pPr>
      <w:r>
        <w:rPr>
          <w:rFonts w:hint="eastAsia"/>
          <w:color w:val="auto"/>
          <w:sz w:val="24"/>
          <w:szCs w:val="24"/>
          <w:highlight w:val="none"/>
        </w:rPr>
        <w:t xml:space="preserve">7、其他说明</w:t>
      </w:r>
      <w:r/>
    </w:p>
    <w:p>
      <w:pPr>
        <w:ind w:firstLine="480"/>
        <w:spacing w:line="460" w:lineRule="exact"/>
        <w:rPr>
          <w:color w:val="auto"/>
          <w:sz w:val="24"/>
          <w:szCs w:val="24"/>
          <w:highlight w:val="none"/>
        </w:rPr>
      </w:pPr>
      <w:r>
        <w:rPr>
          <w:color w:val="auto"/>
          <w:sz w:val="24"/>
          <w:szCs w:val="24"/>
          <w:highlight w:val="none"/>
        </w:rPr>
      </w:r>
      <w:r/>
    </w:p>
    <w:p>
      <w:pPr>
        <w:jc w:val="left"/>
        <w:rPr>
          <w:color w:val="auto"/>
          <w:highlight w:val="none"/>
        </w:rPr>
      </w:pPr>
      <w:r>
        <w:rPr>
          <w:color w:val="auto"/>
          <w:highlight w:val="none"/>
        </w:rPr>
      </w:r>
      <w:r/>
    </w:p>
    <w:p>
      <w:pPr>
        <w:jc w:val="left"/>
        <w:rPr>
          <w:color w:val="auto"/>
          <w:highlight w:val="none"/>
        </w:rPr>
      </w:pPr>
      <w:r>
        <w:rPr>
          <w:color w:val="auto"/>
          <w:highlight w:val="none"/>
        </w:rPr>
      </w:r>
      <w:r/>
    </w:p>
    <w:p>
      <w:pPr>
        <w:rPr>
          <w:color w:val="auto"/>
          <w:highlight w:val="none"/>
        </w:rPr>
      </w:pPr>
      <w:r>
        <w:rPr>
          <w:color w:val="auto"/>
          <w:highlight w:val="none"/>
        </w:rPr>
        <w:br w:type="page" w:clear="all"/>
      </w:r>
      <w:r/>
    </w:p>
    <w:p>
      <w:pPr>
        <w:pStyle w:val="810"/>
        <w:jc w:val="center"/>
        <w:keepLines w:val="0"/>
        <w:keepNext w:val="0"/>
        <w:spacing w:line="440" w:lineRule="exact"/>
        <w:rPr>
          <w:rFonts w:ascii="Times New Roman" w:hAnsi="Times New Roman" w:eastAsia="宋体" w:cs="Times New Roman"/>
          <w:b/>
          <w:bCs/>
          <w:color w:val="auto"/>
          <w:sz w:val="28"/>
          <w:szCs w:val="28"/>
          <w:highlight w:val="none"/>
        </w:rPr>
      </w:pPr>
      <w:r/>
      <w:bookmarkStart w:id="493" w:name="_Toc21626"/>
      <w:r/>
      <w:bookmarkStart w:id="494" w:name="_Toc15717"/>
      <w:r/>
      <w:bookmarkStart w:id="495" w:name="_Toc239671974"/>
      <w:r/>
      <w:bookmarkStart w:id="496" w:name="_Toc16507"/>
      <w:r>
        <w:rPr>
          <w:rFonts w:hint="eastAsia" w:ascii="Times New Roman" w:hAnsi="Times New Roman" w:eastAsia="宋体" w:cs="Times New Roman"/>
          <w:b/>
          <w:bCs/>
          <w:color w:val="auto"/>
          <w:sz w:val="28"/>
          <w:szCs w:val="28"/>
          <w:highlight w:val="none"/>
        </w:rPr>
        <w:t xml:space="preserve">附件</w:t>
      </w:r>
      <w:bookmarkEnd w:id="488"/>
      <w:r/>
      <w:bookmarkEnd w:id="489"/>
      <w:r/>
      <w:bookmarkEnd w:id="490"/>
      <w:r/>
      <w:bookmarkEnd w:id="491"/>
      <w:r/>
      <w:bookmarkEnd w:id="492"/>
      <w:r>
        <w:rPr>
          <w:rFonts w:hint="eastAsia" w:ascii="Times New Roman" w:hAnsi="Times New Roman" w:eastAsia="宋体" w:cs="Times New Roman"/>
          <w:b/>
          <w:bCs/>
          <w:color w:val="auto"/>
          <w:sz w:val="28"/>
          <w:szCs w:val="28"/>
          <w:highlight w:val="none"/>
        </w:rPr>
        <w:t xml:space="preserve">5 </w:t>
      </w:r>
      <w:r>
        <w:rPr>
          <w:rFonts w:hint="eastAsia" w:ascii="Times New Roman" w:hAnsi="Times New Roman" w:eastAsia="宋体" w:cs="Times New Roman"/>
          <w:b/>
          <w:color w:val="auto"/>
          <w:sz w:val="28"/>
          <w:szCs w:val="28"/>
          <w:highlight w:val="none"/>
          <w:lang w:bidi="ar"/>
        </w:rPr>
        <w:t xml:space="preserve">质量保证及售后服务</w:t>
      </w:r>
      <w:bookmarkEnd w:id="493"/>
      <w:r/>
      <w:bookmarkEnd w:id="494"/>
      <w:r/>
      <w:bookmarkEnd w:id="495"/>
      <w:r/>
      <w:bookmarkEnd w:id="496"/>
      <w:r/>
      <w:r/>
    </w:p>
    <w:p>
      <w:pPr>
        <w:spacing w:line="440" w:lineRule="exact"/>
        <w:rPr>
          <w:color w:val="auto"/>
          <w:sz w:val="24"/>
          <w:highlight w:val="none"/>
        </w:rPr>
      </w:pPr>
      <w:r>
        <w:rPr>
          <w:rFonts w:hint="eastAsia" w:cs="宋体"/>
          <w:color w:val="auto"/>
          <w:sz w:val="24"/>
          <w:highlight w:val="none"/>
          <w:lang w:bidi="ar"/>
        </w:rPr>
        <w:t xml:space="preserve">主要内容应包括但不限于以下方面：</w:t>
      </w:r>
      <w:r/>
    </w:p>
    <w:p>
      <w:pPr>
        <w:ind w:firstLine="480"/>
        <w:spacing w:line="440" w:lineRule="exact"/>
        <w:rPr>
          <w:rFonts w:ascii="Times New Roman" w:hAnsi="Times New Roman"/>
          <w:color w:val="auto"/>
          <w:sz w:val="24"/>
          <w:highlight w:val="none"/>
        </w:rPr>
      </w:pPr>
      <w:r>
        <w:rPr>
          <w:rFonts w:ascii="Times New Roman" w:hAnsi="Times New Roman"/>
          <w:color w:val="auto"/>
          <w:sz w:val="24"/>
          <w:highlight w:val="none"/>
          <w:lang w:bidi="ar"/>
        </w:rPr>
        <w:t xml:space="preserve">1</w:t>
      </w:r>
      <w:r>
        <w:rPr>
          <w:rFonts w:hint="eastAsia" w:ascii="Times New Roman" w:hAnsi="Times New Roman" w:cs="宋体"/>
          <w:color w:val="auto"/>
          <w:sz w:val="24"/>
          <w:highlight w:val="none"/>
          <w:lang w:bidi="ar"/>
        </w:rPr>
        <w:t xml:space="preserve">、投标设备免费质量保证时间及质保内容说明。</w:t>
      </w:r>
      <w:r/>
    </w:p>
    <w:p>
      <w:pPr>
        <w:ind w:firstLine="480"/>
        <w:spacing w:line="440" w:lineRule="exact"/>
        <w:rPr>
          <w:rFonts w:ascii="Times New Roman" w:hAnsi="Times New Roman"/>
          <w:color w:val="auto"/>
          <w:sz w:val="24"/>
          <w:highlight w:val="none"/>
        </w:rPr>
      </w:pPr>
      <w:r>
        <w:rPr>
          <w:rFonts w:ascii="Times New Roman" w:hAnsi="Times New Roman"/>
          <w:color w:val="auto"/>
          <w:sz w:val="24"/>
          <w:highlight w:val="none"/>
          <w:lang w:bidi="ar"/>
        </w:rPr>
        <w:t xml:space="preserve">2</w:t>
      </w:r>
      <w:r>
        <w:rPr>
          <w:rFonts w:hint="eastAsia" w:ascii="Times New Roman" w:hAnsi="Times New Roman" w:cs="宋体"/>
          <w:color w:val="auto"/>
          <w:sz w:val="24"/>
          <w:highlight w:val="none"/>
          <w:lang w:bidi="ar"/>
        </w:rPr>
        <w:t xml:space="preserve">、</w:t>
      </w:r>
      <w:r>
        <w:rPr>
          <w:rFonts w:hint="eastAsia" w:ascii="Times New Roman" w:hAnsi="Times New Roman" w:cs="宋体"/>
          <w:color w:val="auto"/>
          <w:sz w:val="24"/>
          <w:szCs w:val="20"/>
          <w:highlight w:val="none"/>
          <w:lang w:bidi="ar"/>
        </w:rPr>
        <w:t xml:space="preserve">售后服务及服务承诺</w:t>
      </w:r>
      <w:r>
        <w:rPr>
          <w:rFonts w:hint="eastAsia" w:ascii="Times New Roman" w:hAnsi="Times New Roman" w:cs="宋体"/>
          <w:color w:val="auto"/>
          <w:sz w:val="24"/>
          <w:highlight w:val="none"/>
          <w:lang w:bidi="ar"/>
        </w:rPr>
        <w:t xml:space="preserve">。</w:t>
      </w:r>
      <w:r/>
    </w:p>
    <w:p>
      <w:pPr>
        <w:ind w:firstLine="480"/>
        <w:spacing w:line="440" w:lineRule="exact"/>
        <w:rPr>
          <w:color w:val="auto"/>
          <w:highlight w:val="none"/>
        </w:rPr>
      </w:pPr>
      <w:r>
        <w:rPr>
          <w:rFonts w:hint="eastAsia" w:ascii="Times New Roman" w:hAnsi="Times New Roman"/>
          <w:color w:val="auto"/>
          <w:sz w:val="24"/>
          <w:highlight w:val="none"/>
          <w:lang w:bidi="ar"/>
        </w:rPr>
        <w:t xml:space="preserve">3</w:t>
      </w:r>
      <w:r>
        <w:rPr>
          <w:rFonts w:hint="eastAsia" w:ascii="Times New Roman" w:hAnsi="Times New Roman"/>
          <w:color w:val="auto"/>
          <w:sz w:val="24"/>
          <w:highlight w:val="none"/>
          <w:lang w:val="zh-CN" w:bidi="ar"/>
        </w:rPr>
        <w:t xml:space="preserve">、其他说明。</w:t>
      </w:r>
      <w:r/>
    </w:p>
    <w:p>
      <w:pPr>
        <w:ind w:firstLine="480"/>
        <w:jc w:val="left"/>
        <w:spacing w:line="460" w:lineRule="exact"/>
        <w:rPr>
          <w:rFonts w:ascii="宋体" w:hAnsi="宋体" w:cs="宋体"/>
          <w:color w:val="auto"/>
          <w:sz w:val="24"/>
          <w:szCs w:val="24"/>
          <w:highlight w:val="none"/>
          <w:lang w:bidi="ar"/>
        </w:rPr>
      </w:pPr>
      <w:r>
        <w:rPr>
          <w:rFonts w:ascii="宋体" w:hAnsi="宋体" w:cs="宋体"/>
          <w:color w:val="auto"/>
          <w:sz w:val="24"/>
          <w:szCs w:val="24"/>
          <w:highlight w:val="none"/>
          <w:lang w:bidi="ar"/>
        </w:rPr>
      </w:r>
      <w:r/>
    </w:p>
    <w:p>
      <w:pPr>
        <w:ind w:firstLine="72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b/>
          <w:bCs/>
          <w:color w:val="auto"/>
          <w:sz w:val="28"/>
          <w:szCs w:val="28"/>
          <w:highlight w:val="none"/>
        </w:rPr>
      </w:pPr>
      <w:r>
        <w:rPr>
          <w:rFonts w:hint="eastAsia" w:ascii="Times New Roman" w:hAnsi="Times New Roman"/>
          <w:b/>
          <w:bCs/>
          <w:color w:val="auto"/>
          <w:sz w:val="28"/>
          <w:szCs w:val="28"/>
          <w:highlight w:val="none"/>
        </w:rPr>
        <w:br w:type="page" w:clear="all"/>
      </w:r>
      <w:r/>
    </w:p>
    <w:p>
      <w:pPr>
        <w:pStyle w:val="810"/>
        <w:jc w:val="center"/>
        <w:keepLines w:val="0"/>
        <w:keepNext w:val="0"/>
        <w:spacing w:line="440" w:lineRule="exact"/>
        <w:rPr>
          <w:rFonts w:ascii="Times New Roman" w:hAnsi="Times New Roman" w:eastAsia="宋体" w:cs="Times New Roman"/>
          <w:b/>
          <w:bCs/>
          <w:color w:val="auto"/>
          <w:sz w:val="28"/>
          <w:szCs w:val="28"/>
          <w:highlight w:val="none"/>
        </w:rPr>
      </w:pPr>
      <w:r/>
      <w:bookmarkStart w:id="497" w:name="_Toc23215"/>
      <w:r/>
      <w:bookmarkStart w:id="498" w:name="_Toc9593"/>
      <w:r/>
      <w:bookmarkStart w:id="499" w:name="_Toc239671975"/>
      <w:r/>
      <w:bookmarkStart w:id="500" w:name="_Toc3368"/>
      <w:r>
        <w:rPr>
          <w:rFonts w:hint="eastAsia" w:ascii="Times New Roman" w:hAnsi="Times New Roman" w:eastAsia="宋体" w:cs="Times New Roman"/>
          <w:b/>
          <w:bCs/>
          <w:color w:val="auto"/>
          <w:sz w:val="28"/>
          <w:szCs w:val="28"/>
          <w:highlight w:val="none"/>
        </w:rPr>
        <w:t xml:space="preserve">附件6 业绩一览表</w:t>
      </w:r>
      <w:bookmarkEnd w:id="497"/>
      <w:r/>
      <w:bookmarkEnd w:id="498"/>
      <w:r/>
      <w:bookmarkEnd w:id="499"/>
      <w:r/>
      <w:bookmarkEnd w:id="500"/>
      <w:r/>
      <w:r/>
    </w:p>
    <w:tbl>
      <w:tblPr>
        <w:tblStyle w:val="819"/>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2131"/>
        <w:gridCol w:w="1847"/>
        <w:gridCol w:w="2814"/>
        <w:gridCol w:w="1460"/>
      </w:tblGrid>
      <w:tr>
        <w:trPr>
          <w:jc w:val="center"/>
          <w:trHeight w:val="577"/>
        </w:trPr>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Times New Roman" w:hAnsi="Times New Roman"/>
                <w:b/>
                <w:bCs/>
                <w:color w:val="auto"/>
                <w:sz w:val="24"/>
                <w:szCs w:val="24"/>
                <w:highlight w:val="none"/>
              </w:rPr>
            </w:pPr>
            <w:r>
              <w:rPr>
                <w:rFonts w:hint="eastAsia" w:ascii="Times New Roman" w:hAnsi="Times New Roman" w:cs="宋体"/>
                <w:b/>
                <w:bCs/>
                <w:color w:val="auto"/>
                <w:sz w:val="24"/>
                <w:szCs w:val="24"/>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rPr>
                <w:rFonts w:ascii="Times New Roman" w:hAnsi="Times New Roman"/>
                <w:b/>
                <w:bCs/>
                <w:color w:val="auto"/>
                <w:sz w:val="24"/>
                <w:szCs w:val="24"/>
                <w:highlight w:val="none"/>
              </w:rPr>
            </w:pPr>
            <w:r>
              <w:rPr>
                <w:rFonts w:hint="eastAsia" w:ascii="Times New Roman" w:hAnsi="Times New Roman" w:cs="宋体"/>
                <w:b/>
                <w:bCs/>
                <w:color w:val="auto"/>
                <w:sz w:val="24"/>
                <w:szCs w:val="24"/>
                <w:highlight w:val="none"/>
                <w:lang w:bidi="ar"/>
              </w:rPr>
              <w:t xml:space="preserve">项目名称</w:t>
            </w:r>
            <w:r/>
          </w:p>
        </w:tc>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rPr>
                <w:rFonts w:ascii="Times New Roman" w:hAnsi="Times New Roman"/>
                <w:b/>
                <w:bCs/>
                <w:color w:val="auto"/>
                <w:sz w:val="24"/>
                <w:szCs w:val="24"/>
                <w:highlight w:val="none"/>
              </w:rPr>
            </w:pPr>
            <w:r>
              <w:rPr>
                <w:rFonts w:hint="eastAsia" w:ascii="Times New Roman" w:hAnsi="Times New Roman" w:cs="宋体"/>
                <w:b/>
                <w:bCs/>
                <w:color w:val="auto"/>
                <w:sz w:val="24"/>
                <w:szCs w:val="24"/>
                <w:highlight w:val="none"/>
                <w:lang w:bidi="ar"/>
              </w:rPr>
              <w:t xml:space="preserve">业主</w:t>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rPr>
                <w:rFonts w:ascii="Times New Roman" w:hAnsi="Times New Roman"/>
                <w:b/>
                <w:bCs/>
                <w:color w:val="auto"/>
                <w:sz w:val="24"/>
                <w:szCs w:val="24"/>
                <w:highlight w:val="none"/>
              </w:rPr>
            </w:pPr>
            <w:r>
              <w:rPr>
                <w:rFonts w:hint="eastAsia" w:ascii="Times New Roman" w:hAnsi="Times New Roman" w:cs="宋体"/>
                <w:b/>
                <w:bCs/>
                <w:color w:val="auto"/>
                <w:sz w:val="24"/>
                <w:szCs w:val="24"/>
                <w:highlight w:val="none"/>
                <w:lang w:bidi="ar"/>
              </w:rPr>
              <w:t xml:space="preserve">合同签订日期</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Times New Roman" w:hAnsi="Times New Roman"/>
                <w:b/>
                <w:bCs/>
                <w:color w:val="auto"/>
                <w:sz w:val="24"/>
                <w:szCs w:val="24"/>
                <w:highlight w:val="none"/>
              </w:rPr>
            </w:pPr>
            <w:r>
              <w:rPr>
                <w:rFonts w:hint="eastAsia" w:ascii="Times New Roman" w:hAnsi="Times New Roman" w:cs="宋体"/>
                <w:b/>
                <w:bCs/>
                <w:color w:val="auto"/>
                <w:sz w:val="24"/>
                <w:szCs w:val="24"/>
                <w:highlight w:val="none"/>
                <w:lang w:bidi="ar"/>
              </w:rPr>
              <w:t xml:space="preserve">备注</w:t>
            </w:r>
            <w:r/>
          </w:p>
        </w:tc>
      </w:tr>
      <w:tr>
        <w:trPr>
          <w:jc w:val="center"/>
          <w:trHeight w:val="555"/>
        </w:trPr>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Times New Roman" w:hAnsi="Times New Roman"/>
                <w:color w:val="auto"/>
                <w:sz w:val="24"/>
                <w:szCs w:val="24"/>
                <w:highlight w:val="none"/>
              </w:rPr>
            </w:pPr>
            <w:r>
              <w:rPr>
                <w:rFonts w:hint="eastAsia" w:ascii="Times New Roman" w:hAnsi="Times New Roman"/>
                <w:color w:val="auto"/>
                <w:sz w:val="24"/>
                <w:szCs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555"/>
        </w:trPr>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Times New Roman" w:hAnsi="Times New Roman"/>
                <w:color w:val="auto"/>
                <w:sz w:val="24"/>
                <w:szCs w:val="24"/>
                <w:highlight w:val="none"/>
              </w:rPr>
            </w:pPr>
            <w:r>
              <w:rPr>
                <w:rFonts w:hint="eastAsia" w:ascii="Times New Roman" w:hAnsi="Times New Roman"/>
                <w:color w:val="auto"/>
                <w:sz w:val="24"/>
                <w:szCs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555"/>
        </w:trPr>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Times New Roman" w:hAnsi="Times New Roman"/>
                <w:color w:val="auto"/>
                <w:sz w:val="24"/>
                <w:szCs w:val="24"/>
                <w:highlight w:val="none"/>
              </w:rPr>
            </w:pPr>
            <w:r>
              <w:rPr>
                <w:rFonts w:hint="eastAsia" w:ascii="Times New Roman" w:hAnsi="Times New Roman"/>
                <w:color w:val="auto"/>
                <w:sz w:val="24"/>
                <w:szCs w:val="24"/>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555"/>
        </w:trPr>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Times New Roman" w:hAnsi="Times New Roman"/>
                <w:color w:val="auto"/>
                <w:sz w:val="24"/>
                <w:szCs w:val="24"/>
                <w:highlight w:val="none"/>
              </w:rPr>
            </w:pPr>
            <w:r>
              <w:rPr>
                <w:rFonts w:hint="eastAsia" w:ascii="Times New Roman" w:hAnsi="Times New Roman"/>
                <w:color w:val="auto"/>
                <w:sz w:val="24"/>
                <w:szCs w:val="24"/>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555"/>
        </w:trPr>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555"/>
        </w:trPr>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spacing w:line="440" w:lineRule="exact"/>
        <w:rPr>
          <w:rFonts w:ascii="宋体" w:hAnsi="宋体" w:cs="宋体"/>
          <w:bCs/>
          <w:color w:val="auto"/>
          <w:sz w:val="24"/>
          <w:szCs w:val="20"/>
          <w:highlight w:val="none"/>
          <w:lang w:bidi="ar"/>
        </w:rPr>
      </w:pPr>
      <w:r>
        <w:rPr>
          <w:rFonts w:hint="eastAsia" w:ascii="宋体" w:hAnsi="宋体" w:cs="宋体"/>
          <w:bCs/>
          <w:color w:val="auto"/>
          <w:sz w:val="24"/>
          <w:szCs w:val="20"/>
          <w:highlight w:val="none"/>
          <w:lang w:bidi="ar"/>
        </w:rPr>
        <w:t xml:space="preserve">注：1、上述表格内容为投标人具有的符合“第五章  评标方法与评标标准”的业绩。</w:t>
      </w:r>
      <w:r/>
    </w:p>
    <w:p>
      <w:pPr>
        <w:ind w:firstLine="480"/>
        <w:spacing w:line="440" w:lineRule="exact"/>
        <w:rPr>
          <w:rFonts w:ascii="宋体" w:hAnsi="宋体" w:cs="宋体"/>
          <w:bCs/>
          <w:color w:val="auto"/>
          <w:sz w:val="24"/>
          <w:szCs w:val="20"/>
          <w:highlight w:val="none"/>
          <w:lang w:bidi="ar"/>
        </w:rPr>
      </w:pPr>
      <w:r>
        <w:rPr>
          <w:rFonts w:hint="eastAsia" w:ascii="宋体" w:hAnsi="宋体" w:cs="宋体"/>
          <w:bCs/>
          <w:color w:val="auto"/>
          <w:sz w:val="24"/>
          <w:szCs w:val="20"/>
          <w:highlight w:val="none"/>
          <w:lang w:bidi="ar"/>
        </w:rPr>
        <w:t xml:space="preserve">2、请投标人提供上述表格中合同协议（须至少包括合同首页、签字盖章页、合同货物清单）。</w:t>
      </w:r>
      <w:r/>
    </w:p>
    <w:p>
      <w:pPr>
        <w:ind w:firstLine="480"/>
        <w:spacing w:line="440" w:lineRule="exact"/>
        <w:rPr>
          <w:rFonts w:ascii="宋体" w:hAnsi="宋体" w:cs="宋体"/>
          <w:bCs/>
          <w:color w:val="auto"/>
          <w:sz w:val="24"/>
          <w:szCs w:val="20"/>
          <w:highlight w:val="none"/>
        </w:rPr>
      </w:pPr>
      <w:r>
        <w:rPr>
          <w:rFonts w:hint="eastAsia" w:ascii="宋体" w:hAnsi="宋体" w:cs="宋体"/>
          <w:bCs/>
          <w:color w:val="auto"/>
          <w:sz w:val="24"/>
          <w:szCs w:val="20"/>
          <w:highlight w:val="none"/>
          <w:lang w:bidi="ar"/>
        </w:rPr>
        <w:t xml:space="preserve">3、如有需要说明的事项，请在备注中列明。</w:t>
      </w:r>
      <w:r/>
    </w:p>
    <w:p>
      <w:pPr>
        <w:ind w:firstLine="482"/>
        <w:jc w:val="center"/>
        <w:spacing w:line="440" w:lineRule="exact"/>
        <w:rPr>
          <w:rFonts w:ascii="Times New Roman" w:hAnsi="Times New Roman"/>
          <w:b/>
          <w:bCs/>
          <w:color w:val="auto"/>
          <w:sz w:val="28"/>
          <w:szCs w:val="28"/>
          <w:highlight w:val="none"/>
        </w:rPr>
        <w:outlineLvl w:val="1"/>
      </w:pPr>
      <w:r>
        <w:rPr>
          <w:rFonts w:hint="eastAsia" w:ascii="宋体" w:hAnsi="宋体"/>
          <w:b/>
          <w:color w:val="auto"/>
          <w:sz w:val="24"/>
          <w:szCs w:val="24"/>
          <w:highlight w:val="none"/>
        </w:rPr>
        <w:br w:type="page" w:clear="all"/>
      </w:r>
      <w:bookmarkStart w:id="501" w:name="_Toc239671976"/>
      <w:r/>
      <w:bookmarkStart w:id="502" w:name="_Toc15601"/>
      <w:r/>
      <w:bookmarkStart w:id="503" w:name="_Toc30343"/>
      <w:r/>
      <w:bookmarkStart w:id="504" w:name="_Toc32181"/>
      <w:r>
        <w:rPr>
          <w:rFonts w:hint="eastAsia" w:ascii="Times New Roman" w:hAnsi="Times New Roman"/>
          <w:b/>
          <w:bCs/>
          <w:color w:val="auto"/>
          <w:sz w:val="28"/>
          <w:szCs w:val="28"/>
          <w:highlight w:val="none"/>
        </w:rPr>
        <w:t xml:space="preserve">附件7 商务要求响应及偏离表</w:t>
      </w:r>
      <w:bookmarkEnd w:id="501"/>
      <w:r/>
      <w:bookmarkEnd w:id="502"/>
      <w:r/>
      <w:bookmarkEnd w:id="503"/>
      <w:r/>
      <w:bookmarkEnd w:id="504"/>
      <w:r/>
      <w:r/>
    </w:p>
    <w:tbl>
      <w:tblPr>
        <w:tblStyle w:val="819"/>
        <w:tblpPr w:horzAnchor="text" w:tblpXSpec="center" w:vertAnchor="text" w:tblpY="1" w:leftFromText="180" w:topFromText="0" w:rightFromText="180" w:bottomFromText="0"/>
        <w:tblW w:w="9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77"/>
        <w:gridCol w:w="2308"/>
        <w:gridCol w:w="3229"/>
      </w:tblGrid>
      <w:tr>
        <w:trPr>
          <w:trHeight w:val="454" w:hRule="exact"/>
        </w:trPr>
        <w:tc>
          <w:tcPr>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jc w:val="center"/>
              <w:rPr>
                <w:b/>
                <w:color w:val="auto"/>
                <w:sz w:val="24"/>
                <w:szCs w:val="24"/>
                <w:highlight w:val="none"/>
              </w:rPr>
            </w:pPr>
            <w:r>
              <w:rPr>
                <w:rFonts w:hint="eastAsia" w:cs="宋体"/>
                <w:b/>
                <w:color w:val="auto"/>
                <w:sz w:val="24"/>
                <w:szCs w:val="24"/>
                <w:highlight w:val="none"/>
                <w:lang w:bidi="ar"/>
              </w:rPr>
              <w:t xml:space="preserve">合同条款</w:t>
            </w:r>
            <w:r/>
          </w:p>
        </w:tc>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rPr>
                <w:b/>
                <w:color w:val="auto"/>
                <w:sz w:val="24"/>
                <w:szCs w:val="24"/>
                <w:highlight w:val="none"/>
              </w:rPr>
            </w:pPr>
            <w:r>
              <w:rPr>
                <w:rFonts w:hint="eastAsia" w:cs="宋体"/>
                <w:b/>
                <w:color w:val="auto"/>
                <w:sz w:val="24"/>
                <w:szCs w:val="24"/>
                <w:highlight w:val="none"/>
                <w:lang w:bidi="ar"/>
              </w:rPr>
              <w:t xml:space="preserve">有无偏离</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jc w:val="center"/>
              <w:rPr>
                <w:b/>
                <w:color w:val="auto"/>
                <w:sz w:val="24"/>
                <w:szCs w:val="24"/>
                <w:highlight w:val="none"/>
              </w:rPr>
            </w:pPr>
            <w:r>
              <w:rPr>
                <w:rFonts w:hint="eastAsia" w:cs="宋体"/>
                <w:b/>
                <w:color w:val="auto"/>
                <w:sz w:val="24"/>
                <w:szCs w:val="24"/>
                <w:highlight w:val="none"/>
                <w:lang w:bidi="ar"/>
              </w:rPr>
              <w:t xml:space="preserve">偏离内容及原因</w:t>
            </w:r>
            <w:r/>
          </w:p>
        </w:tc>
      </w:tr>
      <w:tr>
        <w:trPr>
          <w:trHeight w:val="454" w:hRule="exact"/>
        </w:trPr>
        <w:tc>
          <w:tcPr>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第一条</w:t>
            </w:r>
            <w:r>
              <w:rPr>
                <w:rFonts w:hint="eastAsia" w:ascii="Times New Roman" w:hAnsi="Times New Roman"/>
                <w:color w:val="auto"/>
                <w:sz w:val="24"/>
                <w:szCs w:val="24"/>
                <w:highlight w:val="none"/>
                <w:lang w:bidi="ar"/>
              </w:rPr>
              <w:t xml:space="preserve"> </w:t>
            </w:r>
            <w:r>
              <w:rPr>
                <w:rFonts w:hint="eastAsia" w:ascii="Times New Roman" w:hAnsi="Times New Roman" w:cs="宋体"/>
                <w:color w:val="auto"/>
                <w:sz w:val="24"/>
                <w:szCs w:val="24"/>
                <w:highlight w:val="none"/>
                <w:lang w:bidi="ar"/>
              </w:rPr>
              <w:t xml:space="preserve">定义</w:t>
            </w:r>
            <w:r/>
          </w:p>
        </w:tc>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第二条</w:t>
            </w:r>
            <w:r>
              <w:rPr>
                <w:rFonts w:hint="eastAsia" w:ascii="Times New Roman" w:hAnsi="Times New Roman"/>
                <w:color w:val="auto"/>
                <w:sz w:val="24"/>
                <w:szCs w:val="24"/>
                <w:highlight w:val="none"/>
                <w:lang w:bidi="ar"/>
              </w:rPr>
              <w:t xml:space="preserve"> </w:t>
            </w:r>
            <w:r>
              <w:rPr>
                <w:rFonts w:hint="eastAsia" w:ascii="Times New Roman" w:hAnsi="Times New Roman" w:cs="宋体"/>
                <w:color w:val="auto"/>
                <w:sz w:val="24"/>
                <w:szCs w:val="24"/>
                <w:highlight w:val="none"/>
                <w:lang w:bidi="ar"/>
              </w:rPr>
              <w:t xml:space="preserve">组成本合同的文件</w:t>
            </w:r>
            <w:r/>
          </w:p>
        </w:tc>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第三条</w:t>
            </w:r>
            <w:r>
              <w:rPr>
                <w:rFonts w:hint="eastAsia" w:ascii="Times New Roman" w:hAnsi="Times New Roman"/>
                <w:color w:val="auto"/>
                <w:sz w:val="24"/>
                <w:szCs w:val="24"/>
                <w:highlight w:val="none"/>
                <w:lang w:bidi="ar"/>
              </w:rPr>
              <w:t xml:space="preserve"> </w:t>
            </w:r>
            <w:r>
              <w:rPr>
                <w:rFonts w:hint="eastAsia" w:ascii="Times New Roman" w:hAnsi="Times New Roman" w:cs="宋体"/>
                <w:color w:val="auto"/>
                <w:sz w:val="24"/>
                <w:szCs w:val="24"/>
                <w:highlight w:val="none"/>
                <w:lang w:bidi="ar"/>
              </w:rPr>
              <w:t xml:space="preserve">合同货物</w:t>
            </w:r>
            <w:r/>
          </w:p>
        </w:tc>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第四条</w:t>
            </w:r>
            <w:r>
              <w:rPr>
                <w:rFonts w:hint="eastAsia" w:ascii="Times New Roman" w:hAnsi="Times New Roman"/>
                <w:color w:val="auto"/>
                <w:sz w:val="24"/>
                <w:szCs w:val="24"/>
                <w:highlight w:val="none"/>
                <w:lang w:bidi="ar"/>
              </w:rPr>
              <w:t xml:space="preserve"> </w:t>
            </w:r>
            <w:r>
              <w:rPr>
                <w:rFonts w:hint="eastAsia" w:ascii="Times New Roman" w:hAnsi="Times New Roman" w:cs="宋体"/>
                <w:color w:val="auto"/>
                <w:sz w:val="24"/>
                <w:szCs w:val="24"/>
                <w:highlight w:val="none"/>
                <w:lang w:bidi="ar"/>
              </w:rPr>
              <w:t xml:space="preserve">合同总价</w:t>
            </w:r>
            <w:r/>
          </w:p>
        </w:tc>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s="宋体"/>
                <w:color w:val="auto"/>
                <w:sz w:val="24"/>
                <w:szCs w:val="24"/>
                <w:highlight w:val="none"/>
                <w:lang w:bidi="ar"/>
              </w:rPr>
            </w:pPr>
            <w:r>
              <w:rPr>
                <w:rFonts w:hint="eastAsia" w:ascii="Times New Roman" w:hAnsi="Times New Roman" w:cs="宋体"/>
                <w:color w:val="auto"/>
                <w:sz w:val="24"/>
                <w:szCs w:val="24"/>
                <w:highlight w:val="none"/>
                <w:lang w:bidi="ar"/>
              </w:rPr>
              <w:t xml:space="preserve">第五条 付款方式</w:t>
            </w:r>
            <w:r/>
          </w:p>
        </w:tc>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第六条</w:t>
            </w:r>
            <w:r>
              <w:rPr>
                <w:rFonts w:hint="eastAsia" w:ascii="Times New Roman" w:hAnsi="Times New Roman"/>
                <w:color w:val="auto"/>
                <w:sz w:val="24"/>
                <w:szCs w:val="24"/>
                <w:highlight w:val="none"/>
                <w:lang w:bidi="ar"/>
              </w:rPr>
              <w:t xml:space="preserve"> </w:t>
            </w:r>
            <w:r>
              <w:rPr>
                <w:rFonts w:hint="eastAsia" w:ascii="Times New Roman" w:hAnsi="Times New Roman" w:cs="宋体"/>
                <w:color w:val="auto"/>
                <w:sz w:val="24"/>
                <w:szCs w:val="24"/>
                <w:highlight w:val="none"/>
                <w:lang w:bidi="ar"/>
              </w:rPr>
              <w:t xml:space="preserve">权利保证</w:t>
            </w:r>
            <w:r/>
          </w:p>
        </w:tc>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第七条</w:t>
            </w:r>
            <w:r>
              <w:rPr>
                <w:rFonts w:hint="eastAsia" w:ascii="Times New Roman" w:hAnsi="Times New Roman"/>
                <w:color w:val="auto"/>
                <w:sz w:val="24"/>
                <w:szCs w:val="24"/>
                <w:highlight w:val="none"/>
                <w:lang w:bidi="ar"/>
              </w:rPr>
              <w:t xml:space="preserve"> </w:t>
            </w:r>
            <w:r>
              <w:rPr>
                <w:rFonts w:hint="eastAsia" w:ascii="Times New Roman" w:hAnsi="Times New Roman" w:cs="宋体"/>
                <w:color w:val="auto"/>
                <w:sz w:val="24"/>
                <w:szCs w:val="24"/>
                <w:highlight w:val="none"/>
                <w:lang w:bidi="ar"/>
              </w:rPr>
              <w:t xml:space="preserve">质量保证</w:t>
            </w:r>
            <w:r/>
          </w:p>
        </w:tc>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第八条</w:t>
            </w:r>
            <w:r>
              <w:rPr>
                <w:rFonts w:hint="eastAsia" w:ascii="Times New Roman" w:hAnsi="Times New Roman"/>
                <w:color w:val="auto"/>
                <w:sz w:val="24"/>
                <w:szCs w:val="24"/>
                <w:highlight w:val="none"/>
                <w:lang w:bidi="ar"/>
              </w:rPr>
              <w:t xml:space="preserve"> </w:t>
            </w:r>
            <w:r>
              <w:rPr>
                <w:rFonts w:hint="eastAsia" w:ascii="Times New Roman" w:hAnsi="Times New Roman" w:cs="宋体"/>
                <w:color w:val="auto"/>
                <w:sz w:val="24"/>
                <w:szCs w:val="24"/>
                <w:highlight w:val="none"/>
                <w:lang w:bidi="ar"/>
              </w:rPr>
              <w:t xml:space="preserve">包装要求</w:t>
            </w:r>
            <w:r/>
          </w:p>
        </w:tc>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第十一条</w:t>
            </w:r>
            <w:r>
              <w:rPr>
                <w:rFonts w:hint="eastAsia" w:ascii="Times New Roman" w:hAnsi="Times New Roman"/>
                <w:color w:val="auto"/>
                <w:sz w:val="24"/>
                <w:szCs w:val="24"/>
                <w:highlight w:val="none"/>
                <w:lang w:bidi="ar"/>
              </w:rPr>
              <w:t xml:space="preserve"> </w:t>
            </w:r>
            <w:r>
              <w:rPr>
                <w:rFonts w:hint="eastAsia" w:ascii="Times New Roman" w:hAnsi="Times New Roman" w:cs="宋体"/>
                <w:color w:val="auto"/>
                <w:sz w:val="24"/>
                <w:szCs w:val="24"/>
                <w:highlight w:val="none"/>
                <w:lang w:bidi="ar"/>
              </w:rPr>
              <w:t xml:space="preserve">伴随服务</w:t>
            </w:r>
            <w:r/>
          </w:p>
        </w:tc>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第十二条</w:t>
            </w:r>
            <w:r>
              <w:rPr>
                <w:rFonts w:hint="eastAsia" w:ascii="Times New Roman" w:hAnsi="Times New Roman"/>
                <w:color w:val="auto"/>
                <w:sz w:val="24"/>
                <w:szCs w:val="24"/>
                <w:highlight w:val="none"/>
                <w:lang w:bidi="ar"/>
              </w:rPr>
              <w:t xml:space="preserve"> </w:t>
            </w:r>
            <w:r>
              <w:rPr>
                <w:rFonts w:hint="eastAsia" w:ascii="Times New Roman" w:hAnsi="Times New Roman" w:cs="宋体"/>
                <w:color w:val="auto"/>
                <w:sz w:val="24"/>
                <w:szCs w:val="24"/>
                <w:highlight w:val="none"/>
                <w:lang w:bidi="ar"/>
              </w:rPr>
              <w:t xml:space="preserve">最终验收</w:t>
            </w:r>
            <w:r/>
          </w:p>
        </w:tc>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504" w:hRule="exact"/>
        </w:trPr>
        <w:tc>
          <w:tcPr>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第十三条</w:t>
            </w:r>
            <w:r>
              <w:rPr>
                <w:rFonts w:hint="eastAsia" w:ascii="Times New Roman" w:hAnsi="Times New Roman"/>
                <w:color w:val="auto"/>
                <w:sz w:val="24"/>
                <w:szCs w:val="24"/>
                <w:highlight w:val="none"/>
                <w:lang w:bidi="ar"/>
              </w:rPr>
              <w:t xml:space="preserve"> </w:t>
            </w:r>
            <w:r>
              <w:rPr>
                <w:rFonts w:hint="eastAsia" w:ascii="Times New Roman" w:hAnsi="Times New Roman" w:cs="宋体"/>
                <w:color w:val="auto"/>
                <w:sz w:val="24"/>
                <w:szCs w:val="24"/>
                <w:highlight w:val="none"/>
                <w:lang w:bidi="ar"/>
              </w:rPr>
              <w:t xml:space="preserve">售后服务</w:t>
            </w:r>
            <w:r/>
          </w:p>
        </w:tc>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第十四条</w:t>
            </w:r>
            <w:r>
              <w:rPr>
                <w:rFonts w:hint="eastAsia" w:ascii="Times New Roman" w:hAnsi="Times New Roman"/>
                <w:color w:val="auto"/>
                <w:sz w:val="24"/>
                <w:szCs w:val="24"/>
                <w:highlight w:val="none"/>
                <w:lang w:bidi="ar"/>
              </w:rPr>
              <w:t xml:space="preserve"> </w:t>
            </w:r>
            <w:r>
              <w:rPr>
                <w:rFonts w:hint="eastAsia" w:ascii="Times New Roman" w:hAnsi="Times New Roman" w:cs="宋体"/>
                <w:color w:val="auto"/>
                <w:sz w:val="24"/>
                <w:szCs w:val="24"/>
                <w:highlight w:val="none"/>
                <w:lang w:bidi="ar"/>
              </w:rPr>
              <w:t xml:space="preserve">违约责任</w:t>
            </w:r>
            <w:r/>
          </w:p>
        </w:tc>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第十五条</w:t>
            </w:r>
            <w:r>
              <w:rPr>
                <w:rFonts w:hint="eastAsia" w:ascii="Times New Roman" w:hAnsi="Times New Roman"/>
                <w:color w:val="auto"/>
                <w:sz w:val="24"/>
                <w:szCs w:val="24"/>
                <w:highlight w:val="none"/>
                <w:lang w:bidi="ar"/>
              </w:rPr>
              <w:t xml:space="preserve"> </w:t>
            </w:r>
            <w:r>
              <w:rPr>
                <w:rFonts w:hint="eastAsia" w:ascii="Times New Roman" w:hAnsi="Times New Roman" w:cs="宋体"/>
                <w:color w:val="auto"/>
                <w:sz w:val="24"/>
                <w:szCs w:val="24"/>
                <w:highlight w:val="none"/>
                <w:lang w:bidi="ar"/>
              </w:rPr>
              <w:t xml:space="preserve">不可抗力</w:t>
            </w:r>
            <w:r/>
          </w:p>
        </w:tc>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第十六条</w:t>
            </w:r>
            <w:r>
              <w:rPr>
                <w:rFonts w:hint="eastAsia" w:ascii="Times New Roman" w:hAnsi="Times New Roman"/>
                <w:color w:val="auto"/>
                <w:sz w:val="24"/>
                <w:szCs w:val="24"/>
                <w:highlight w:val="none"/>
                <w:lang w:bidi="ar"/>
              </w:rPr>
              <w:t xml:space="preserve"> </w:t>
            </w:r>
            <w:r>
              <w:rPr>
                <w:rFonts w:hint="eastAsia" w:ascii="Times New Roman" w:hAnsi="Times New Roman" w:cs="宋体"/>
                <w:color w:val="auto"/>
                <w:sz w:val="24"/>
                <w:szCs w:val="24"/>
                <w:highlight w:val="none"/>
                <w:lang w:bidi="ar"/>
              </w:rPr>
              <w:t xml:space="preserve">合同的变更、中止</w:t>
            </w:r>
            <w:r/>
          </w:p>
        </w:tc>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第十七条</w:t>
            </w:r>
            <w:r>
              <w:rPr>
                <w:rFonts w:hint="eastAsia" w:ascii="Times New Roman" w:hAnsi="Times New Roman"/>
                <w:color w:val="auto"/>
                <w:sz w:val="24"/>
                <w:szCs w:val="24"/>
                <w:highlight w:val="none"/>
                <w:lang w:bidi="ar"/>
              </w:rPr>
              <w:t xml:space="preserve"> </w:t>
            </w:r>
            <w:r>
              <w:rPr>
                <w:rFonts w:hint="eastAsia" w:ascii="Times New Roman" w:hAnsi="Times New Roman" w:cs="宋体"/>
                <w:color w:val="auto"/>
                <w:sz w:val="24"/>
                <w:szCs w:val="24"/>
                <w:highlight w:val="none"/>
                <w:lang w:bidi="ar"/>
              </w:rPr>
              <w:t xml:space="preserve">合同的终止</w:t>
            </w:r>
            <w:r/>
          </w:p>
        </w:tc>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第十八条</w:t>
            </w:r>
            <w:r>
              <w:rPr>
                <w:rFonts w:hint="eastAsia" w:ascii="Times New Roman" w:hAnsi="Times New Roman"/>
                <w:color w:val="auto"/>
                <w:sz w:val="24"/>
                <w:szCs w:val="24"/>
                <w:highlight w:val="none"/>
                <w:lang w:bidi="ar"/>
              </w:rPr>
              <w:t xml:space="preserve"> </w:t>
            </w:r>
            <w:r>
              <w:rPr>
                <w:rFonts w:hint="eastAsia" w:ascii="Times New Roman" w:hAnsi="Times New Roman" w:cs="宋体"/>
                <w:color w:val="auto"/>
                <w:sz w:val="24"/>
                <w:szCs w:val="24"/>
                <w:highlight w:val="none"/>
                <w:lang w:bidi="ar"/>
              </w:rPr>
              <w:t xml:space="preserve">合同的转让</w:t>
            </w:r>
            <w:r/>
          </w:p>
        </w:tc>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第十九条</w:t>
            </w:r>
            <w:r>
              <w:rPr>
                <w:rFonts w:hint="eastAsia" w:ascii="Times New Roman" w:hAnsi="Times New Roman"/>
                <w:color w:val="auto"/>
                <w:sz w:val="24"/>
                <w:szCs w:val="24"/>
                <w:highlight w:val="none"/>
                <w:lang w:bidi="ar"/>
              </w:rPr>
              <w:t xml:space="preserve"> </w:t>
            </w:r>
            <w:r>
              <w:rPr>
                <w:rFonts w:hint="eastAsia" w:ascii="Times New Roman" w:hAnsi="Times New Roman" w:cs="宋体"/>
                <w:color w:val="auto"/>
                <w:sz w:val="24"/>
                <w:szCs w:val="24"/>
                <w:highlight w:val="none"/>
                <w:lang w:bidi="ar"/>
              </w:rPr>
              <w:t xml:space="preserve">履约保证金</w:t>
            </w:r>
            <w:r/>
          </w:p>
        </w:tc>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第二十条</w:t>
            </w:r>
            <w:r>
              <w:rPr>
                <w:rFonts w:hint="eastAsia" w:ascii="Times New Roman" w:hAnsi="Times New Roman"/>
                <w:color w:val="auto"/>
                <w:sz w:val="24"/>
                <w:szCs w:val="24"/>
                <w:highlight w:val="none"/>
                <w:lang w:bidi="ar"/>
              </w:rPr>
              <w:t xml:space="preserve"> </w:t>
            </w:r>
            <w:r>
              <w:rPr>
                <w:rFonts w:hint="eastAsia" w:ascii="Times New Roman" w:hAnsi="Times New Roman" w:cs="宋体"/>
                <w:color w:val="auto"/>
                <w:sz w:val="24"/>
                <w:szCs w:val="24"/>
                <w:highlight w:val="none"/>
                <w:lang w:bidi="ar"/>
              </w:rPr>
              <w:t xml:space="preserve">争议解决方式</w:t>
            </w:r>
            <w:r/>
          </w:p>
        </w:tc>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第二十一条</w:t>
            </w:r>
            <w:r>
              <w:rPr>
                <w:rFonts w:hint="eastAsia" w:ascii="Times New Roman" w:hAnsi="Times New Roman"/>
                <w:color w:val="auto"/>
                <w:sz w:val="24"/>
                <w:szCs w:val="24"/>
                <w:highlight w:val="none"/>
                <w:lang w:bidi="ar"/>
              </w:rPr>
              <w:t xml:space="preserve"> </w:t>
            </w:r>
            <w:r>
              <w:rPr>
                <w:rFonts w:hint="eastAsia" w:ascii="Times New Roman" w:hAnsi="Times New Roman" w:cs="宋体"/>
                <w:color w:val="auto"/>
                <w:sz w:val="24"/>
                <w:szCs w:val="24"/>
                <w:highlight w:val="none"/>
                <w:lang w:bidi="ar"/>
              </w:rPr>
              <w:t xml:space="preserve">通知与送达</w:t>
            </w:r>
            <w:r/>
          </w:p>
        </w:tc>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3777" w:type="dxa"/>
            <w:vAlign w:val="center"/>
            <w:textDirection w:val="lrTb"/>
            <w:noWrap w:val="false"/>
          </w:tcPr>
          <w:p>
            <w:pPr>
              <w:rPr>
                <w:rFonts w:ascii="Times New Roman" w:hAnsi="Times New Roman"/>
                <w:color w:val="auto"/>
                <w:sz w:val="24"/>
                <w:szCs w:val="24"/>
                <w:highlight w:val="none"/>
              </w:rPr>
            </w:pPr>
            <w:r>
              <w:rPr>
                <w:rFonts w:hint="eastAsia" w:ascii="Times New Roman" w:hAnsi="Times New Roman" w:cs="宋体"/>
                <w:color w:val="auto"/>
                <w:sz w:val="24"/>
                <w:szCs w:val="24"/>
                <w:highlight w:val="none"/>
                <w:lang w:bidi="ar"/>
              </w:rPr>
              <w:t xml:space="preserve">第二十二条</w:t>
            </w:r>
            <w:r>
              <w:rPr>
                <w:rFonts w:hint="eastAsia" w:ascii="Times New Roman" w:hAnsi="Times New Roman"/>
                <w:color w:val="auto"/>
                <w:sz w:val="24"/>
                <w:szCs w:val="24"/>
                <w:highlight w:val="none"/>
                <w:lang w:bidi="ar"/>
              </w:rPr>
              <w:t xml:space="preserve"> </w:t>
            </w:r>
            <w:r>
              <w:rPr>
                <w:rFonts w:hint="eastAsia" w:ascii="Times New Roman" w:hAnsi="Times New Roman" w:cs="宋体"/>
                <w:color w:val="auto"/>
                <w:sz w:val="24"/>
                <w:szCs w:val="24"/>
                <w:highlight w:val="none"/>
                <w:lang w:bidi="ar"/>
              </w:rPr>
              <w:t xml:space="preserve">合同生效及其他</w:t>
            </w:r>
            <w:r/>
          </w:p>
        </w:tc>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ind w:firstLine="240"/>
        <w:spacing w:line="440" w:lineRule="exact"/>
        <w:rPr>
          <w:rFonts w:ascii="宋体" w:hAnsi="宋体"/>
          <w:color w:val="auto"/>
          <w:sz w:val="24"/>
          <w:highlight w:val="none"/>
        </w:rPr>
      </w:pPr>
      <w:r>
        <w:rPr>
          <w:rFonts w:ascii="宋体" w:hAnsi="宋体"/>
          <w:color w:val="auto"/>
          <w:sz w:val="24"/>
          <w:highlight w:val="none"/>
        </w:rPr>
      </w:r>
      <w:r/>
    </w:p>
    <w:p>
      <w:pPr>
        <w:ind w:firstLine="240"/>
        <w:spacing w:line="440" w:lineRule="exact"/>
        <w:rPr>
          <w:rFonts w:ascii="宋体" w:hAnsi="宋体"/>
          <w:color w:val="auto"/>
          <w:sz w:val="24"/>
          <w:highlight w:val="none"/>
        </w:rPr>
      </w:pPr>
      <w:r>
        <w:rPr>
          <w:rFonts w:hint="eastAsia" w:ascii="宋体" w:hAnsi="宋体"/>
          <w:color w:val="auto"/>
          <w:sz w:val="24"/>
          <w:highlight w:val="none"/>
        </w:rPr>
        <w:t xml:space="preserve">注：1、投标人应据实、详细填写上述表格，因表述含糊导致的评标风险将由投标人承担。</w:t>
      </w:r>
      <w:r/>
    </w:p>
    <w:p>
      <w:pPr>
        <w:ind w:firstLine="720"/>
        <w:spacing w:line="440" w:lineRule="exact"/>
        <w:rPr>
          <w:rFonts w:ascii="宋体" w:hAnsi="宋体"/>
          <w:color w:val="auto"/>
          <w:sz w:val="24"/>
          <w:szCs w:val="24"/>
          <w:highlight w:val="none"/>
        </w:rPr>
      </w:pPr>
      <w:r>
        <w:rPr>
          <w:rFonts w:hint="eastAsia" w:ascii="宋体" w:hAnsi="宋体"/>
          <w:color w:val="auto"/>
          <w:sz w:val="24"/>
          <w:highlight w:val="none"/>
        </w:rPr>
        <w:t xml:space="preserve">2、若无偏离，在“有无偏离”栏中填写“无”；若有偏离在“有无偏离”栏中填写“有”并在“偏离内容及原因”栏中作出说明。</w:t>
      </w:r>
      <w:r/>
    </w:p>
    <w:p>
      <w:pPr>
        <w:ind w:firstLine="482"/>
        <w:rPr>
          <w:rFonts w:ascii="宋体" w:hAnsi="宋体"/>
          <w:b/>
          <w:color w:val="auto"/>
          <w:sz w:val="24"/>
          <w:szCs w:val="24"/>
          <w:highlight w:val="none"/>
        </w:rPr>
      </w:pPr>
      <w:r>
        <w:rPr>
          <w:rFonts w:hint="eastAsia" w:ascii="宋体" w:hAnsi="宋体"/>
          <w:b/>
          <w:color w:val="auto"/>
          <w:sz w:val="24"/>
          <w:szCs w:val="24"/>
          <w:highlight w:val="none"/>
        </w:rPr>
        <w:br w:type="page" w:clear="all"/>
      </w:r>
      <w:r/>
    </w:p>
    <w:p>
      <w:pPr>
        <w:ind w:firstLine="562"/>
        <w:jc w:val="center"/>
        <w:spacing w:line="440" w:lineRule="exact"/>
        <w:rPr>
          <w:rFonts w:ascii="Times New Roman" w:hAnsi="Times New Roman"/>
          <w:b/>
          <w:bCs/>
          <w:color w:val="auto"/>
          <w:sz w:val="28"/>
          <w:szCs w:val="28"/>
          <w:highlight w:val="none"/>
        </w:rPr>
        <w:outlineLvl w:val="1"/>
      </w:pPr>
      <w:r/>
      <w:bookmarkStart w:id="505" w:name="_Toc20016"/>
      <w:r/>
      <w:bookmarkStart w:id="506" w:name="_Toc239671977"/>
      <w:r/>
      <w:bookmarkStart w:id="507" w:name="_Toc2748"/>
      <w:r/>
      <w:bookmarkStart w:id="508" w:name="_Toc2171"/>
      <w:r>
        <w:rPr>
          <w:rFonts w:hint="eastAsia" w:ascii="Times New Roman" w:hAnsi="Times New Roman"/>
          <w:b/>
          <w:bCs/>
          <w:color w:val="auto"/>
          <w:sz w:val="28"/>
          <w:szCs w:val="28"/>
          <w:highlight w:val="none"/>
        </w:rPr>
        <w:t xml:space="preserve">附件8 其他</w:t>
      </w:r>
      <w:bookmarkEnd w:id="505"/>
      <w:r/>
      <w:bookmarkEnd w:id="506"/>
      <w:r/>
      <w:bookmarkEnd w:id="507"/>
      <w:r/>
      <w:bookmarkEnd w:id="508"/>
      <w:r/>
      <w:r/>
    </w:p>
    <w:p>
      <w:pPr>
        <w:ind w:firstLine="480"/>
        <w:jc w:val="center"/>
        <w:spacing w:line="400" w:lineRule="exact"/>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投标人根据 “第五章 ”提供相关其他证明材料。</w:t>
      </w:r>
      <w:r/>
    </w:p>
    <w:p>
      <w:pPr>
        <w:ind w:firstLine="482"/>
        <w:jc w:val="center"/>
        <w:spacing w:line="440" w:lineRule="exact"/>
        <w:rPr>
          <w:rFonts w:ascii="Times New Roman" w:hAnsi="Times New Roman"/>
          <w:b/>
          <w:bCs/>
          <w:color w:val="auto"/>
          <w:sz w:val="28"/>
          <w:szCs w:val="28"/>
          <w:highlight w:val="none"/>
        </w:rPr>
        <w:outlineLvl w:val="1"/>
      </w:pPr>
      <w:r>
        <w:rPr>
          <w:rFonts w:hint="eastAsia" w:ascii="宋体" w:hAnsi="宋体"/>
          <w:b/>
          <w:color w:val="auto"/>
          <w:sz w:val="24"/>
          <w:szCs w:val="24"/>
          <w:highlight w:val="none"/>
        </w:rPr>
        <w:br w:type="page" w:clear="all"/>
      </w:r>
      <w:bookmarkStart w:id="509" w:name="_Toc7192"/>
      <w:r/>
      <w:bookmarkStart w:id="510" w:name="_Toc29358"/>
      <w:r/>
      <w:bookmarkStart w:id="511" w:name="_Toc24652"/>
      <w:r/>
      <w:bookmarkStart w:id="512" w:name="_Toc239671978"/>
      <w:r>
        <w:rPr>
          <w:rFonts w:hint="eastAsia" w:ascii="Times New Roman" w:hAnsi="Times New Roman"/>
          <w:b/>
          <w:bCs/>
          <w:color w:val="auto"/>
          <w:sz w:val="28"/>
          <w:szCs w:val="28"/>
          <w:highlight w:val="none"/>
        </w:rPr>
        <w:t xml:space="preserve">附件9 具备履行合同所必需的设备和专业技术能力的书面声明</w:t>
      </w:r>
      <w:bookmarkEnd w:id="509"/>
      <w:r/>
      <w:bookmarkEnd w:id="510"/>
      <w:r/>
      <w:bookmarkEnd w:id="511"/>
      <w:r/>
      <w:bookmarkEnd w:id="512"/>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我单位郑重声明：我单位具备履行本项采购合同所必需的设备和专业技术能力，为履行本项采购合同我公司具备如下主要人员和主要专业技术能力：</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460" w:lineRule="exact"/>
        <w:rPr>
          <w:rFonts w:ascii="宋体" w:hAnsi="宋体"/>
          <w:b/>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2"/>
        <w:jc w:val="center"/>
        <w:spacing w:line="440" w:lineRule="exact"/>
        <w:rPr>
          <w:rFonts w:ascii="Times New Roman" w:hAnsi="Times New Roman"/>
          <w:b/>
          <w:bCs/>
          <w:color w:val="auto"/>
          <w:sz w:val="28"/>
          <w:szCs w:val="28"/>
          <w:highlight w:val="none"/>
        </w:rPr>
        <w:outlineLvl w:val="1"/>
      </w:pPr>
      <w:r>
        <w:rPr>
          <w:rFonts w:hint="eastAsia" w:ascii="宋体" w:hAnsi="宋体"/>
          <w:b/>
          <w:color w:val="auto"/>
          <w:sz w:val="24"/>
          <w:szCs w:val="24"/>
          <w:highlight w:val="none"/>
        </w:rPr>
        <w:br w:type="page" w:clear="all"/>
      </w:r>
      <w:bookmarkStart w:id="513" w:name="_Toc24479"/>
      <w:r/>
      <w:bookmarkStart w:id="514" w:name="_Toc239671979"/>
      <w:r/>
      <w:bookmarkStart w:id="515" w:name="_Toc7928"/>
      <w:r/>
      <w:bookmarkStart w:id="516" w:name="_Toc22272"/>
      <w:r>
        <w:rPr>
          <w:rFonts w:hint="eastAsia" w:ascii="Times New Roman" w:hAnsi="Times New Roman"/>
          <w:b/>
          <w:bCs/>
          <w:color w:val="auto"/>
          <w:sz w:val="28"/>
          <w:szCs w:val="28"/>
          <w:highlight w:val="none"/>
        </w:rPr>
        <w:t xml:space="preserve">附件10</w:t>
      </w:r>
      <w:r>
        <w:rPr>
          <w:rFonts w:ascii="Times New Roman" w:hAnsi="Times New Roman"/>
          <w:b/>
          <w:bCs/>
          <w:color w:val="auto"/>
          <w:sz w:val="28"/>
          <w:szCs w:val="28"/>
          <w:highlight w:val="none"/>
        </w:rPr>
        <w:t xml:space="preserve"> </w:t>
      </w:r>
      <w:r>
        <w:rPr>
          <w:rFonts w:hint="eastAsia" w:ascii="Times New Roman" w:hAnsi="Times New Roman"/>
          <w:b/>
          <w:bCs/>
          <w:color w:val="auto"/>
          <w:sz w:val="28"/>
          <w:szCs w:val="28"/>
          <w:highlight w:val="none"/>
        </w:rPr>
        <w:t xml:space="preserve">参加政府采购活动前 3 年内在经营活动中没有重大违法记录的书面声明</w:t>
      </w:r>
      <w:bookmarkEnd w:id="513"/>
      <w:r/>
      <w:bookmarkEnd w:id="514"/>
      <w:r/>
      <w:bookmarkEnd w:id="515"/>
      <w:r/>
      <w:bookmarkEnd w:id="516"/>
      <w:r/>
      <w:r/>
    </w:p>
    <w:p>
      <w:pPr>
        <w:ind w:firstLine="482"/>
        <w:jc w:val="center"/>
        <w:spacing w:line="460" w:lineRule="exact"/>
        <w:rPr>
          <w:rFonts w:ascii="宋体" w:hAnsi="宋体"/>
          <w:b/>
          <w:bCs/>
          <w:color w:val="auto"/>
          <w:sz w:val="24"/>
          <w:highlight w:val="none"/>
        </w:rPr>
      </w:pPr>
      <w:r>
        <w:rPr>
          <w:rFonts w:ascii="宋体" w:hAnsi="宋体"/>
          <w:b/>
          <w:bCs/>
          <w:color w:val="auto"/>
          <w:sz w:val="24"/>
          <w:highlight w:val="none"/>
        </w:rPr>
      </w:r>
      <w:r/>
    </w:p>
    <w:p>
      <w:pPr>
        <w:ind w:firstLine="482"/>
        <w:jc w:val="center"/>
        <w:spacing w:line="460" w:lineRule="exact"/>
        <w:rPr>
          <w:rFonts w:ascii="宋体" w:hAnsi="宋体"/>
          <w:b/>
          <w:bCs/>
          <w:color w:val="auto"/>
          <w:sz w:val="24"/>
          <w:highlight w:val="none"/>
        </w:rPr>
      </w:pPr>
      <w:r>
        <w:rPr>
          <w:rFonts w:hint="eastAsia" w:ascii="宋体" w:hAnsi="宋体"/>
          <w:b/>
          <w:bCs/>
          <w:color w:val="auto"/>
          <w:sz w:val="24"/>
          <w:highlight w:val="none"/>
        </w:rPr>
        <w:t xml:space="preserve">声  明</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left="480" w:firstLine="482"/>
        <w:jc w:val="center"/>
        <w:rPr>
          <w:rFonts w:ascii="宋体" w:hAnsi="宋体"/>
          <w:b/>
          <w:color w:val="auto"/>
          <w:sz w:val="24"/>
          <w:highlight w:val="none"/>
        </w:rPr>
      </w:pPr>
      <w:r>
        <w:rPr>
          <w:rFonts w:ascii="宋体" w:hAnsi="宋体"/>
          <w:b/>
          <w:color w:val="auto"/>
          <w:sz w:val="24"/>
          <w:highlight w:val="none"/>
        </w:rPr>
      </w:r>
      <w:r/>
    </w:p>
    <w:p>
      <w:pPr>
        <w:ind w:firstLine="482"/>
        <w:spacing w:line="460" w:lineRule="exact"/>
        <w:rPr>
          <w:rFonts w:ascii="宋体" w:hAnsi="宋体"/>
          <w:bCs/>
          <w:color w:val="auto"/>
          <w:sz w:val="24"/>
          <w:szCs w:val="21"/>
          <w:highlight w:val="none"/>
        </w:rPr>
      </w:pPr>
      <w:r>
        <w:rPr>
          <w:rFonts w:hint="eastAsia" w:ascii="宋体" w:hAnsi="宋体"/>
          <w:b/>
          <w:color w:val="auto"/>
          <w:sz w:val="24"/>
          <w:szCs w:val="24"/>
          <w:highlight w:val="none"/>
        </w:rPr>
        <w:br w:type="page" w:clear="all"/>
      </w:r>
      <w:r/>
    </w:p>
    <w:p>
      <w:pPr>
        <w:ind w:firstLine="562"/>
        <w:jc w:val="center"/>
        <w:spacing w:line="440" w:lineRule="exact"/>
        <w:rPr>
          <w:rFonts w:ascii="Times New Roman" w:hAnsi="Times New Roman"/>
          <w:b/>
          <w:bCs/>
          <w:color w:val="auto"/>
          <w:sz w:val="28"/>
          <w:szCs w:val="28"/>
          <w:highlight w:val="none"/>
        </w:rPr>
        <w:outlineLvl w:val="1"/>
      </w:pPr>
      <w:r/>
      <w:bookmarkStart w:id="517" w:name="_Toc14397"/>
      <w:r/>
      <w:bookmarkStart w:id="518" w:name="_Toc16337"/>
      <w:r/>
      <w:bookmarkStart w:id="519" w:name="_Toc31678"/>
      <w:r/>
      <w:bookmarkStart w:id="520" w:name="_Toc239671980"/>
      <w:r>
        <w:rPr>
          <w:rFonts w:hint="eastAsia" w:ascii="Times New Roman" w:hAnsi="Times New Roman"/>
          <w:b/>
          <w:bCs/>
          <w:color w:val="auto"/>
          <w:sz w:val="28"/>
          <w:szCs w:val="28"/>
          <w:highlight w:val="none"/>
        </w:rPr>
        <w:t xml:space="preserve">附件11</w:t>
      </w:r>
      <w:r>
        <w:rPr>
          <w:rFonts w:ascii="Times New Roman" w:hAnsi="Times New Roman"/>
          <w:b/>
          <w:bCs/>
          <w:color w:val="auto"/>
          <w:sz w:val="28"/>
          <w:szCs w:val="28"/>
          <w:highlight w:val="none"/>
        </w:rPr>
        <w:t xml:space="preserve"> </w:t>
      </w:r>
      <w:r>
        <w:rPr>
          <w:rFonts w:hint="eastAsia" w:ascii="Times New Roman" w:hAnsi="Times New Roman"/>
          <w:b/>
          <w:bCs/>
          <w:color w:val="auto"/>
          <w:sz w:val="28"/>
          <w:szCs w:val="28"/>
          <w:highlight w:val="none"/>
        </w:rPr>
        <w:t xml:space="preserve">法人授权书</w:t>
      </w:r>
      <w:bookmarkEnd w:id="517"/>
      <w:r/>
      <w:bookmarkEnd w:id="518"/>
      <w:r/>
      <w:bookmarkEnd w:id="519"/>
      <w:r/>
      <w:bookmarkEnd w:id="520"/>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本授权书声明：____________（投标人名称）授权________________（被授权人的姓名）为我方就</w:t>
      </w:r>
      <w:r>
        <w:rPr>
          <w:rFonts w:hint="eastAsia" w:ascii="Times New Roman" w:hAnsi="Times New Roman"/>
          <w:color w:val="auto"/>
          <w:sz w:val="24"/>
          <w:szCs w:val="24"/>
          <w:highlight w:val="none"/>
        </w:rPr>
        <w:t xml:space="preserve">JSZC-320581-SZXY-G2026-0038</w:t>
      </w:r>
      <w:r>
        <w:rPr>
          <w:rFonts w:ascii="Times New Roman" w:hAnsi="Times New Roman"/>
          <w:color w:val="auto"/>
          <w:sz w:val="24"/>
          <w:szCs w:val="24"/>
          <w:highlight w:val="none"/>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本授权书于</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年____月____日起生效，特此声明。</w:t>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40" w:lineRule="exac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被授权人身份证号码：</w:t>
      </w:r>
      <w:r>
        <w:rPr>
          <w:rFonts w:ascii="Times New Roman" w:hAnsi="Times New Roman"/>
          <w:color w:val="auto"/>
          <w:sz w:val="24"/>
          <w:szCs w:val="24"/>
          <w:highlight w:val="none"/>
          <w:u w:val="single"/>
        </w:rPr>
        <w:t xml:space="preserve">                              </w:t>
      </w:r>
      <w:r/>
    </w:p>
    <w:p>
      <w:pPr>
        <w:ind w:firstLine="480"/>
        <w:spacing w:line="440" w:lineRule="exac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被授权人联系电话：（手机）</w:t>
      </w:r>
      <w:r>
        <w:rPr>
          <w:rFonts w:ascii="Times New Roman" w:hAnsi="Times New Roman"/>
          <w:color w:val="auto"/>
          <w:sz w:val="24"/>
          <w:szCs w:val="24"/>
          <w:highlight w:val="none"/>
          <w:u w:val="single"/>
        </w:rPr>
        <w:t xml:space="preserve">                          </w:t>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授权单位名称：</w:t>
      </w:r>
      <w:r>
        <w:rPr>
          <w:rFonts w:ascii="Times New Roman" w:hAnsi="Times New Roman"/>
          <w:color w:val="auto"/>
          <w:sz w:val="24"/>
          <w:szCs w:val="24"/>
          <w:highlight w:val="none"/>
          <w:u w:val="single"/>
        </w:rPr>
        <w:t xml:space="preserve">（加盖CA电子公章）</w:t>
      </w:r>
      <w:r/>
    </w:p>
    <w:p>
      <w:pPr>
        <w:ind w:firstLine="480"/>
        <w:spacing w:line="440" w:lineRule="exac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单位地址：</w:t>
      </w:r>
      <w:r>
        <w:rPr>
          <w:rFonts w:ascii="Times New Roman" w:hAnsi="Times New Roman"/>
          <w:color w:val="auto"/>
          <w:sz w:val="24"/>
          <w:szCs w:val="24"/>
          <w:highlight w:val="none"/>
          <w:u w:val="single"/>
        </w:rPr>
        <w:t xml:space="preserve">                                         </w:t>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日期：</w:t>
      </w:r>
      <w:r>
        <w:rPr>
          <w:rFonts w:ascii="Times New Roman" w:hAnsi="Times New Roman"/>
          <w:color w:val="auto"/>
          <w:sz w:val="24"/>
          <w:szCs w:val="24"/>
          <w:highlight w:val="none"/>
          <w:u w:val="single"/>
        </w:rPr>
        <w:t xml:space="preserve">                                         </w:t>
      </w:r>
      <w:r/>
    </w:p>
    <w:p>
      <w:pPr>
        <w:ind w:firstLine="480"/>
        <w:spacing w:line="400" w:lineRule="exact"/>
        <w:rPr>
          <w:rFonts w:ascii="楷体" w:hAnsi="楷体" w:eastAsia="楷体"/>
          <w:color w:val="auto"/>
          <w:sz w:val="24"/>
          <w:szCs w:val="24"/>
          <w:highlight w:val="none"/>
        </w:rPr>
      </w:pPr>
      <w:r>
        <w:rPr>
          <w:rFonts w:ascii="楷体" w:hAnsi="楷体" w:eastAsia="楷体"/>
          <w:color w:val="auto"/>
          <w:sz w:val="24"/>
          <w:szCs w:val="24"/>
          <w:highlight w:val="none"/>
        </w:rPr>
      </w:r>
      <w:r/>
    </w:p>
    <w:p>
      <w:pPr>
        <w:ind w:firstLine="480"/>
        <w:spacing w:line="400" w:lineRule="exact"/>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注：</w:t>
      </w:r>
      <w:r>
        <w:rPr>
          <w:rFonts w:ascii="宋体" w:hAnsi="宋体"/>
          <w:b/>
          <w:color w:val="auto"/>
          <w:sz w:val="24"/>
          <w:highlight w:val="none"/>
        </w:rPr>
        <w:t xml:space="preserve">①</w:t>
      </w:r>
      <w:r>
        <w:rPr>
          <w:rFonts w:hint="eastAsia" w:ascii="宋体" w:hAnsi="宋体"/>
          <w:b/>
          <w:color w:val="auto"/>
          <w:sz w:val="24"/>
          <w:highlight w:val="none"/>
        </w:rPr>
        <w:t xml:space="preserve">如授权代表参加本项目投报，“法人授权书”必须提供，且须提供</w:t>
      </w:r>
      <w:r>
        <w:rPr>
          <w:rFonts w:ascii="Times New Roman" w:hAnsi="Times New Roman"/>
          <w:b/>
          <w:color w:val="auto"/>
          <w:sz w:val="24"/>
          <w:szCs w:val="24"/>
          <w:highlight w:val="none"/>
        </w:rPr>
        <w:t xml:space="preserve">被授权人</w:t>
      </w:r>
      <w:r>
        <w:rPr>
          <w:rFonts w:hint="eastAsia" w:ascii="宋体" w:hAnsi="宋体"/>
          <w:b/>
          <w:color w:val="auto"/>
          <w:sz w:val="24"/>
          <w:highlight w:val="none"/>
        </w:rPr>
        <w:t xml:space="preserve">居民身份证正反面扫描件、法定代表人居民身份证正反面扫描件。②如法定代表人参加本项目投报，“法人授权书”可不提供，但须提供法定代表人身份证正反面扫描件。</w:t>
      </w:r>
      <w:r>
        <w:rPr>
          <w:rFonts w:hint="eastAsia" w:ascii="Times New Roman" w:hAnsi="Times New Roman"/>
          <w:b/>
          <w:bCs/>
          <w:color w:val="auto"/>
          <w:sz w:val="24"/>
          <w:szCs w:val="24"/>
          <w:highlight w:val="none"/>
        </w:rPr>
        <w:t xml:space="preserve">。</w:t>
      </w:r>
      <w:r/>
    </w:p>
    <w:p>
      <w:pPr>
        <w:ind w:firstLine="482"/>
        <w:jc w:val="center"/>
        <w:spacing w:line="440" w:lineRule="exact"/>
        <w:rPr>
          <w:rFonts w:ascii="Times New Roman" w:hAnsi="Times New Roman"/>
          <w:b/>
          <w:bCs/>
          <w:color w:val="auto"/>
          <w:sz w:val="28"/>
          <w:szCs w:val="28"/>
          <w:highlight w:val="none"/>
        </w:rPr>
        <w:outlineLvl w:val="1"/>
      </w:pPr>
      <w:r>
        <w:rPr>
          <w:rFonts w:ascii="宋体" w:hAnsi="宋体" w:eastAsia="幼圆" w:cs="Arial"/>
          <w:b/>
          <w:color w:val="auto"/>
          <w:sz w:val="24"/>
          <w:szCs w:val="44"/>
          <w:highlight w:val="none"/>
        </w:rPr>
        <w:br w:type="page" w:clear="all"/>
      </w:r>
      <w:bookmarkStart w:id="521" w:name="_Toc4017"/>
      <w:r/>
      <w:bookmarkStart w:id="522" w:name="_Toc10513"/>
      <w:r/>
      <w:bookmarkStart w:id="523" w:name="_Toc10796"/>
      <w:r/>
      <w:bookmarkStart w:id="524" w:name="_Toc239671981"/>
      <w:r>
        <w:rPr>
          <w:rFonts w:hint="eastAsia" w:ascii="Times New Roman" w:hAnsi="Times New Roman"/>
          <w:b/>
          <w:bCs/>
          <w:color w:val="auto"/>
          <w:sz w:val="28"/>
          <w:szCs w:val="28"/>
          <w:highlight w:val="none"/>
        </w:rPr>
        <w:t xml:space="preserve">附件12 中小企业声明函</w:t>
      </w:r>
      <w:bookmarkEnd w:id="521"/>
      <w:r/>
      <w:bookmarkEnd w:id="522"/>
      <w:r/>
      <w:bookmarkEnd w:id="523"/>
      <w:r/>
      <w:bookmarkEnd w:id="524"/>
      <w:r/>
      <w:r/>
    </w:p>
    <w:p>
      <w:pPr>
        <w:ind w:firstLine="480"/>
        <w:spacing w:line="440" w:lineRule="exact"/>
        <w:rPr>
          <w:rFonts w:ascii="宋体" w:hAnsi="宋体" w:cs="仿宋"/>
          <w:color w:val="auto"/>
          <w:sz w:val="24"/>
          <w:szCs w:val="24"/>
          <w:highlight w:val="none"/>
        </w:rPr>
      </w:pPr>
      <w:r/>
      <w:bookmarkStart w:id="525" w:name="_Hlk100143292"/>
      <w:r>
        <w:rPr>
          <w:rFonts w:hint="eastAsia" w:ascii="宋体" w:hAnsi="宋体" w:cs="仿宋"/>
          <w:color w:val="auto"/>
          <w:sz w:val="24"/>
          <w:szCs w:val="24"/>
          <w:highlight w:val="none"/>
          <w:lang w:bidi="ar"/>
        </w:rPr>
        <w:t xml:space="preserve">本公司（联合体）郑重声明，根据《政府采购促进中小企业发展管理办法》（财库</w:t>
      </w:r>
      <w:r>
        <w:rPr>
          <w:rFonts w:hint="eastAsia" w:ascii="宋体" w:hAnsi="宋体" w:cs="宋体"/>
          <w:color w:val="auto"/>
          <w:sz w:val="24"/>
          <w:szCs w:val="24"/>
          <w:highlight w:val="none"/>
          <w:lang w:bidi="ar"/>
        </w:rPr>
        <w:t xml:space="preserve">﹝</w:t>
      </w:r>
      <w:r>
        <w:rPr>
          <w:rFonts w:hint="eastAsia" w:ascii="宋体" w:hAnsi="宋体" w:cs="仿宋"/>
          <w:color w:val="auto"/>
          <w:sz w:val="24"/>
          <w:szCs w:val="24"/>
          <w:highlight w:val="none"/>
          <w:lang w:bidi="ar"/>
        </w:rPr>
        <w:t xml:space="preserve">2020</w:t>
      </w:r>
      <w:r>
        <w:rPr>
          <w:rFonts w:hint="eastAsia" w:ascii="宋体" w:hAnsi="宋体" w:cs="宋体"/>
          <w:color w:val="auto"/>
          <w:sz w:val="24"/>
          <w:szCs w:val="24"/>
          <w:highlight w:val="none"/>
          <w:lang w:bidi="ar"/>
        </w:rPr>
        <w:t xml:space="preserve">﹞</w:t>
      </w:r>
      <w:r>
        <w:rPr>
          <w:rFonts w:hint="eastAsia" w:ascii="宋体" w:hAnsi="宋体" w:cs="仿宋"/>
          <w:color w:val="auto"/>
          <w:sz w:val="24"/>
          <w:szCs w:val="24"/>
          <w:highlight w:val="none"/>
          <w:lang w:bidi="ar"/>
        </w:rPr>
        <w:t xml:space="preserve">46 号）的规定，本公司（联合体）参加</w:t>
      </w:r>
      <w:r>
        <w:rPr>
          <w:rFonts w:hint="eastAsia" w:ascii="宋体" w:hAnsi="宋体" w:cs="仿宋"/>
          <w:color w:val="auto"/>
          <w:sz w:val="24"/>
          <w:szCs w:val="24"/>
          <w:highlight w:val="none"/>
          <w:u w:val="single"/>
          <w:lang w:bidi="ar"/>
        </w:rPr>
        <w:t xml:space="preserve">（单位名称）</w:t>
      </w:r>
      <w:r>
        <w:rPr>
          <w:rFonts w:hint="eastAsia" w:ascii="宋体" w:hAnsi="宋体" w:cs="仿宋"/>
          <w:color w:val="auto"/>
          <w:sz w:val="24"/>
          <w:szCs w:val="24"/>
          <w:highlight w:val="none"/>
          <w:lang w:bidi="ar"/>
        </w:rPr>
        <w:t xml:space="preserve">的</w:t>
      </w:r>
      <w:r>
        <w:rPr>
          <w:rFonts w:hint="eastAsia" w:ascii="宋体" w:hAnsi="宋体" w:cs="仿宋"/>
          <w:color w:val="auto"/>
          <w:sz w:val="24"/>
          <w:szCs w:val="24"/>
          <w:highlight w:val="none"/>
          <w:u w:val="single"/>
          <w:lang w:bidi="ar"/>
        </w:rPr>
        <w:t xml:space="preserve">（项目名称）</w:t>
      </w:r>
      <w:r>
        <w:rPr>
          <w:rFonts w:hint="eastAsia" w:ascii="宋体" w:hAnsi="宋体" w:cs="仿宋"/>
          <w:color w:val="auto"/>
          <w:sz w:val="24"/>
          <w:szCs w:val="24"/>
          <w:highlight w:val="none"/>
          <w:lang w:bidi="ar"/>
        </w:rPr>
        <w:t xml:space="preserve">采购活动，提供的货物全部（货物清单中带△货物）由符合政策要求的中小企业制造。相关企业（含联合体中的中小企业、签订分包意向协议的中小企业）的具体情况如下：</w:t>
      </w:r>
      <w:r/>
    </w:p>
    <w:p>
      <w:pPr>
        <w:numPr>
          <w:ilvl w:val="0"/>
          <w:numId w:val="9"/>
        </w:numPr>
        <w:ind w:firstLine="480"/>
        <w:spacing w:line="440" w:lineRule="exact"/>
        <w:rPr>
          <w:rFonts w:ascii="宋体" w:hAnsi="宋体" w:cs="仿宋"/>
          <w:color w:val="auto"/>
          <w:sz w:val="24"/>
          <w:szCs w:val="24"/>
          <w:highlight w:val="none"/>
          <w:lang w:bidi="ar"/>
        </w:rPr>
      </w:pPr>
      <w:r>
        <w:rPr>
          <w:rFonts w:hint="eastAsia" w:ascii="宋体" w:hAnsi="宋体" w:cs="宋体"/>
          <w:color w:val="auto"/>
          <w:sz w:val="24"/>
          <w:szCs w:val="24"/>
          <w:highlight w:val="none"/>
          <w:u w:val="single"/>
        </w:rPr>
        <w:t xml:space="preserve">雷达水位计</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2.</w:t>
      </w:r>
      <w:r>
        <w:rPr>
          <w:rFonts w:hint="eastAsia" w:ascii="宋体" w:hAnsi="宋体" w:cs="仿宋"/>
          <w:color w:val="auto"/>
          <w:sz w:val="24"/>
          <w:szCs w:val="24"/>
          <w:highlight w:val="none"/>
          <w:u w:val="single"/>
          <w:lang w:bidi="ar"/>
        </w:rPr>
        <w:t xml:space="preserve">智能雨量测量仪</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3.</w:t>
      </w:r>
      <w:r>
        <w:rPr>
          <w:rFonts w:hint="eastAsia" w:ascii="宋体" w:hAnsi="宋体" w:cs="仿宋"/>
          <w:color w:val="auto"/>
          <w:sz w:val="24"/>
          <w:szCs w:val="24"/>
          <w:highlight w:val="none"/>
          <w:u w:val="single"/>
          <w:lang w:bidi="ar"/>
        </w:rPr>
        <w:t xml:space="preserve">RTU</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4.</w:t>
      </w:r>
      <w:r>
        <w:rPr>
          <w:rFonts w:hint="eastAsia" w:ascii="宋体" w:hAnsi="宋体" w:cs="仿宋"/>
          <w:color w:val="auto"/>
          <w:sz w:val="24"/>
          <w:szCs w:val="24"/>
          <w:highlight w:val="none"/>
          <w:u w:val="single"/>
          <w:lang w:bidi="ar"/>
        </w:rPr>
        <w:t xml:space="preserve">蓄电池</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5.</w:t>
      </w:r>
      <w:r>
        <w:rPr>
          <w:rFonts w:hint="eastAsia" w:ascii="宋体" w:hAnsi="宋体" w:cs="仿宋"/>
          <w:color w:val="auto"/>
          <w:sz w:val="24"/>
          <w:szCs w:val="24"/>
          <w:highlight w:val="none"/>
          <w:u w:val="single"/>
          <w:lang w:bidi="ar"/>
        </w:rPr>
        <w:t xml:space="preserve">充电控制器</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6.</w:t>
      </w:r>
      <w:r>
        <w:rPr>
          <w:rFonts w:hint="eastAsia" w:ascii="宋体" w:hAnsi="宋体" w:cs="仿宋"/>
          <w:color w:val="auto"/>
          <w:sz w:val="24"/>
          <w:szCs w:val="24"/>
          <w:highlight w:val="none"/>
          <w:u w:val="single"/>
          <w:lang w:bidi="ar"/>
        </w:rPr>
        <w:t xml:space="preserve">太阳能板</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7.</w:t>
      </w:r>
      <w:r>
        <w:rPr>
          <w:rFonts w:hint="eastAsia" w:ascii="宋体" w:hAnsi="宋体" w:cs="仿宋"/>
          <w:color w:val="auto"/>
          <w:sz w:val="24"/>
          <w:szCs w:val="24"/>
          <w:highlight w:val="none"/>
          <w:u w:val="single"/>
          <w:lang w:bidi="ar"/>
        </w:rPr>
        <w:t xml:space="preserve">设备箱</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lang w:bidi="ar"/>
        </w:rPr>
      </w:pPr>
      <w:r>
        <w:rPr>
          <w:rFonts w:hint="eastAsia" w:ascii="宋体" w:hAnsi="宋体" w:cs="仿宋"/>
          <w:color w:val="auto"/>
          <w:sz w:val="24"/>
          <w:szCs w:val="24"/>
          <w:highlight w:val="none"/>
          <w:lang w:bidi="ar"/>
        </w:rPr>
        <w:t xml:space="preserve">8.</w:t>
      </w:r>
      <w:r>
        <w:rPr>
          <w:rFonts w:hint="eastAsia" w:ascii="宋体" w:hAnsi="宋体" w:cs="仿宋"/>
          <w:color w:val="auto"/>
          <w:sz w:val="24"/>
          <w:szCs w:val="24"/>
          <w:highlight w:val="none"/>
          <w:u w:val="single"/>
          <w:lang w:bidi="ar"/>
        </w:rPr>
        <w:t xml:space="preserve">水尺</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9.</w:t>
      </w:r>
      <w:r>
        <w:rPr>
          <w:rFonts w:hint="eastAsia" w:ascii="宋体" w:hAnsi="宋体" w:cs="仿宋"/>
          <w:color w:val="auto"/>
          <w:sz w:val="24"/>
          <w:szCs w:val="24"/>
          <w:highlight w:val="none"/>
          <w:u w:val="single"/>
          <w:lang w:bidi="ar"/>
        </w:rPr>
        <w:t xml:space="preserve">H-ADCP</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10.</w:t>
      </w:r>
      <w:r>
        <w:rPr>
          <w:rFonts w:hint="eastAsia" w:ascii="宋体" w:hAnsi="宋体" w:cs="仿宋"/>
          <w:color w:val="auto"/>
          <w:sz w:val="24"/>
          <w:szCs w:val="24"/>
          <w:highlight w:val="none"/>
          <w:u w:val="single"/>
          <w:lang w:bidi="ar"/>
        </w:rPr>
        <w:t xml:space="preserve">雷达水位计</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11.</w:t>
      </w:r>
      <w:r>
        <w:rPr>
          <w:rFonts w:hint="eastAsia" w:ascii="宋体" w:hAnsi="宋体" w:cs="仿宋"/>
          <w:color w:val="auto"/>
          <w:sz w:val="24"/>
          <w:szCs w:val="24"/>
          <w:highlight w:val="none"/>
          <w:u w:val="single"/>
          <w:lang w:bidi="ar"/>
        </w:rPr>
        <w:t xml:space="preserve">遥测终端机</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12.</w:t>
      </w:r>
      <w:r>
        <w:rPr>
          <w:rFonts w:hint="eastAsia" w:ascii="宋体" w:hAnsi="宋体" w:cs="仿宋"/>
          <w:color w:val="auto"/>
          <w:sz w:val="24"/>
          <w:szCs w:val="24"/>
          <w:highlight w:val="none"/>
          <w:u w:val="single"/>
          <w:lang w:bidi="ar"/>
        </w:rPr>
        <w:t xml:space="preserve">蓄电池</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13.</w:t>
      </w:r>
      <w:r>
        <w:rPr>
          <w:rFonts w:hint="eastAsia" w:ascii="宋体" w:hAnsi="宋体" w:cs="仿宋"/>
          <w:color w:val="auto"/>
          <w:sz w:val="24"/>
          <w:szCs w:val="24"/>
          <w:highlight w:val="none"/>
          <w:u w:val="single"/>
          <w:lang w:bidi="ar"/>
        </w:rPr>
        <w:t xml:space="preserve">太阳能板</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14.</w:t>
      </w:r>
      <w:r>
        <w:rPr>
          <w:rFonts w:hint="eastAsia" w:ascii="宋体" w:hAnsi="宋体" w:cs="仿宋"/>
          <w:color w:val="auto"/>
          <w:sz w:val="24"/>
          <w:szCs w:val="24"/>
          <w:highlight w:val="none"/>
          <w:u w:val="single"/>
          <w:lang w:bidi="ar"/>
        </w:rPr>
        <w:t xml:space="preserve">充电控制器</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15.</w:t>
      </w:r>
      <w:r>
        <w:rPr>
          <w:rFonts w:hint="eastAsia" w:ascii="宋体" w:hAnsi="宋体" w:cs="仿宋"/>
          <w:color w:val="auto"/>
          <w:sz w:val="24"/>
          <w:szCs w:val="24"/>
          <w:highlight w:val="none"/>
          <w:u w:val="single"/>
          <w:lang w:bidi="ar"/>
        </w:rPr>
        <w:t xml:space="preserve">设备箱</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16.</w:t>
      </w:r>
      <w:r>
        <w:rPr>
          <w:rFonts w:hint="eastAsia" w:ascii="宋体" w:hAnsi="宋体" w:cs="仿宋"/>
          <w:color w:val="auto"/>
          <w:sz w:val="24"/>
          <w:szCs w:val="24"/>
          <w:highlight w:val="none"/>
          <w:u w:val="single"/>
          <w:lang w:bidi="ar"/>
        </w:rPr>
        <w:t xml:space="preserve">闸位计</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1</w:t>
      </w:r>
      <w:r>
        <w:rPr>
          <w:rFonts w:ascii="宋体" w:hAnsi="宋体" w:cs="仿宋"/>
          <w:color w:val="auto"/>
          <w:sz w:val="24"/>
          <w:szCs w:val="24"/>
          <w:highlight w:val="none"/>
          <w:lang w:bidi="ar"/>
        </w:rPr>
        <w:t xml:space="preserve">7</w:t>
      </w:r>
      <w:r>
        <w:rPr>
          <w:rFonts w:hint="eastAsia" w:ascii="宋体" w:hAnsi="宋体" w:cs="仿宋"/>
          <w:color w:val="auto"/>
          <w:sz w:val="24"/>
          <w:szCs w:val="24"/>
          <w:highlight w:val="none"/>
          <w:lang w:bidi="ar"/>
        </w:rPr>
        <w:t xml:space="preserve">.</w:t>
      </w:r>
      <w:r>
        <w:rPr>
          <w:rFonts w:hint="eastAsia" w:ascii="宋体" w:hAnsi="宋体" w:cs="仿宋"/>
          <w:color w:val="auto"/>
          <w:sz w:val="24"/>
          <w:szCs w:val="24"/>
          <w:highlight w:val="none"/>
          <w:u w:val="single"/>
          <w:lang w:bidi="ar"/>
        </w:rPr>
        <w:t xml:space="preserve">遥测终端机</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1</w:t>
      </w:r>
      <w:r>
        <w:rPr>
          <w:rFonts w:ascii="宋体" w:hAnsi="宋体" w:cs="仿宋"/>
          <w:color w:val="auto"/>
          <w:sz w:val="24"/>
          <w:szCs w:val="24"/>
          <w:highlight w:val="none"/>
          <w:lang w:bidi="ar"/>
        </w:rPr>
        <w:t xml:space="preserve">8</w:t>
      </w: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u w:val="single"/>
        </w:rPr>
        <w:t xml:space="preserve">电源适配器</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1</w:t>
      </w:r>
      <w:r>
        <w:rPr>
          <w:rFonts w:ascii="宋体" w:hAnsi="宋体" w:cs="仿宋"/>
          <w:color w:val="auto"/>
          <w:sz w:val="24"/>
          <w:szCs w:val="24"/>
          <w:highlight w:val="none"/>
          <w:lang w:bidi="ar"/>
        </w:rPr>
        <w:t xml:space="preserve">9</w:t>
      </w:r>
      <w:r>
        <w:rPr>
          <w:rFonts w:hint="eastAsia" w:ascii="宋体" w:hAnsi="宋体" w:cs="仿宋"/>
          <w:color w:val="auto"/>
          <w:sz w:val="24"/>
          <w:szCs w:val="24"/>
          <w:highlight w:val="none"/>
          <w:lang w:bidi="ar"/>
        </w:rPr>
        <w:t xml:space="preserve">.</w:t>
      </w:r>
      <w:r>
        <w:rPr>
          <w:rFonts w:hint="eastAsia" w:ascii="宋体" w:hAnsi="宋体" w:cs="仿宋"/>
          <w:color w:val="auto"/>
          <w:sz w:val="24"/>
          <w:szCs w:val="24"/>
          <w:highlight w:val="none"/>
          <w:u w:val="single"/>
          <w:lang w:bidi="ar"/>
        </w:rPr>
        <w:t xml:space="preserve">设备箱</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20</w:t>
      </w:r>
      <w:r>
        <w:rPr>
          <w:rFonts w:hint="eastAsia" w:ascii="宋体" w:hAnsi="宋体" w:cs="仿宋"/>
          <w:color w:val="auto"/>
          <w:sz w:val="24"/>
          <w:szCs w:val="24"/>
          <w:highlight w:val="none"/>
          <w:lang w:bidi="ar"/>
        </w:rPr>
        <w:t xml:space="preserve">.</w:t>
      </w:r>
      <w:r>
        <w:rPr>
          <w:rFonts w:hint="eastAsia" w:ascii="宋体" w:hAnsi="宋体" w:cs="仿宋"/>
          <w:color w:val="auto"/>
          <w:sz w:val="24"/>
          <w:szCs w:val="24"/>
          <w:highlight w:val="none"/>
          <w:u w:val="single"/>
          <w:lang w:bidi="ar"/>
        </w:rPr>
        <w:t xml:space="preserve">高清视频球机</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21</w:t>
      </w:r>
      <w:r>
        <w:rPr>
          <w:rFonts w:hint="eastAsia" w:ascii="宋体" w:hAnsi="宋体" w:cs="仿宋"/>
          <w:color w:val="auto"/>
          <w:sz w:val="24"/>
          <w:szCs w:val="24"/>
          <w:highlight w:val="none"/>
          <w:lang w:bidi="ar"/>
        </w:rPr>
        <w:t xml:space="preserve">.</w:t>
      </w:r>
      <w:r>
        <w:rPr>
          <w:rFonts w:hint="eastAsia" w:ascii="宋体" w:hAnsi="宋体" w:cs="仿宋"/>
          <w:color w:val="auto"/>
          <w:sz w:val="24"/>
          <w:szCs w:val="24"/>
          <w:highlight w:val="none"/>
          <w:u w:val="single"/>
          <w:lang w:bidi="ar"/>
        </w:rPr>
        <w:t xml:space="preserve">防雷设备</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22</w:t>
      </w: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u w:val="single"/>
        </w:rPr>
        <w:t xml:space="preserve">电源箱</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23</w:t>
      </w: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u w:val="single"/>
        </w:rPr>
        <w:t xml:space="preserve">鸟类智能识别探头</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24</w:t>
      </w: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u w:val="single"/>
        </w:rPr>
        <w:t xml:space="preserve">鸟类鸣声监测设备</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25</w:t>
      </w: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u w:val="single"/>
        </w:rPr>
        <w:t xml:space="preserve">可移动望远镜</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26</w:t>
      </w: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u w:val="single"/>
        </w:rPr>
        <w:t xml:space="preserve">控制终端</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27</w:t>
      </w: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u w:val="single"/>
        </w:rPr>
        <w:t xml:space="preserve">无人机</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28</w:t>
      </w: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u w:val="single"/>
        </w:rPr>
        <w:t xml:space="preserve">无人机场</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29</w:t>
      </w: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u w:val="single"/>
        </w:rPr>
        <w:t xml:space="preserve">无人机</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30</w:t>
      </w: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u w:val="single"/>
        </w:rPr>
        <w:t xml:space="preserve">遥控器</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31</w:t>
      </w: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u w:val="single"/>
        </w:rPr>
        <w:t xml:space="preserve">图传模块</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32</w:t>
      </w: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u w:val="single"/>
        </w:rPr>
        <w:t xml:space="preserve">喊话器</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33</w:t>
      </w: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u w:val="single"/>
        </w:rPr>
        <w:t xml:space="preserve">探照灯</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3</w:t>
      </w:r>
      <w:r>
        <w:rPr>
          <w:rFonts w:hint="eastAsia" w:ascii="宋体" w:hAnsi="宋体" w:cs="仿宋"/>
          <w:color w:val="auto"/>
          <w:sz w:val="24"/>
          <w:szCs w:val="24"/>
          <w:highlight w:val="none"/>
          <w:lang w:bidi="ar"/>
        </w:rPr>
        <w:t xml:space="preserve">4.</w:t>
      </w:r>
      <w:r>
        <w:rPr>
          <w:rFonts w:hint="eastAsia" w:ascii="宋体" w:hAnsi="宋体" w:cs="宋体"/>
          <w:color w:val="auto"/>
          <w:sz w:val="24"/>
          <w:szCs w:val="24"/>
          <w:highlight w:val="none"/>
          <w:u w:val="single"/>
        </w:rPr>
        <w:t xml:space="preserve">监测站房</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3</w:t>
      </w:r>
      <w:r>
        <w:rPr>
          <w:rFonts w:hint="eastAsia" w:ascii="宋体" w:hAnsi="宋体" w:cs="仿宋"/>
          <w:color w:val="auto"/>
          <w:sz w:val="24"/>
          <w:szCs w:val="24"/>
          <w:highlight w:val="none"/>
          <w:lang w:bidi="ar"/>
        </w:rPr>
        <w:t xml:space="preserve">5.</w:t>
      </w:r>
      <w:r>
        <w:rPr>
          <w:rFonts w:hint="eastAsia" w:ascii="宋体" w:hAnsi="宋体" w:cs="宋体"/>
          <w:color w:val="auto"/>
          <w:sz w:val="24"/>
          <w:szCs w:val="24"/>
          <w:highlight w:val="none"/>
          <w:u w:val="single"/>
        </w:rPr>
        <w:t xml:space="preserve">水样预处理装置设备</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3</w:t>
      </w:r>
      <w:r>
        <w:rPr>
          <w:rFonts w:hint="eastAsia" w:ascii="宋体" w:hAnsi="宋体" w:cs="仿宋"/>
          <w:color w:val="auto"/>
          <w:sz w:val="24"/>
          <w:szCs w:val="24"/>
          <w:highlight w:val="none"/>
          <w:lang w:bidi="ar"/>
        </w:rPr>
        <w:t xml:space="preserve">6.</w:t>
      </w:r>
      <w:r>
        <w:rPr>
          <w:rFonts w:hint="eastAsia" w:ascii="宋体" w:hAnsi="宋体" w:cs="宋体"/>
          <w:color w:val="auto"/>
          <w:sz w:val="24"/>
          <w:szCs w:val="24"/>
          <w:highlight w:val="none"/>
          <w:u w:val="single"/>
        </w:rPr>
        <w:t xml:space="preserve">配水装置设备</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3</w:t>
      </w:r>
      <w:r>
        <w:rPr>
          <w:rFonts w:hint="eastAsia" w:ascii="宋体" w:hAnsi="宋体" w:cs="仿宋"/>
          <w:color w:val="auto"/>
          <w:sz w:val="24"/>
          <w:szCs w:val="24"/>
          <w:highlight w:val="none"/>
          <w:lang w:bidi="ar"/>
        </w:rPr>
        <w:t xml:space="preserve">7.</w:t>
      </w:r>
      <w:r>
        <w:rPr>
          <w:rFonts w:hint="eastAsia" w:ascii="宋体" w:hAnsi="宋体" w:cs="宋体"/>
          <w:color w:val="auto"/>
          <w:sz w:val="24"/>
          <w:szCs w:val="24"/>
          <w:highlight w:val="none"/>
          <w:u w:val="single"/>
        </w:rPr>
        <w:t xml:space="preserve">控制单元设备</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lang w:bidi="ar"/>
        </w:rPr>
      </w:pPr>
      <w:r>
        <w:rPr>
          <w:rFonts w:hint="eastAsia" w:ascii="宋体" w:hAnsi="宋体" w:cs="宋体"/>
          <w:color w:val="auto"/>
          <w:sz w:val="24"/>
          <w:szCs w:val="24"/>
          <w:highlight w:val="none"/>
        </w:rPr>
        <w:t xml:space="preserve">38.</w:t>
      </w:r>
      <w:r>
        <w:rPr>
          <w:rFonts w:hint="eastAsia" w:ascii="宋体" w:hAnsi="宋体" w:cs="宋体"/>
          <w:color w:val="auto"/>
          <w:sz w:val="24"/>
          <w:szCs w:val="24"/>
          <w:highlight w:val="none"/>
          <w:u w:val="single"/>
        </w:rPr>
        <w:t xml:space="preserve">质控单元</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39.</w:t>
      </w:r>
      <w:r>
        <w:rPr>
          <w:rFonts w:hint="eastAsia" w:ascii="宋体" w:hAnsi="宋体" w:cs="宋体"/>
          <w:color w:val="auto"/>
          <w:sz w:val="24"/>
          <w:szCs w:val="24"/>
          <w:highlight w:val="none"/>
          <w:u w:val="single"/>
        </w:rPr>
        <w:t xml:space="preserve">数据采集传输设备</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4</w:t>
      </w:r>
      <w:r>
        <w:rPr>
          <w:rFonts w:hint="eastAsia" w:ascii="宋体" w:hAnsi="宋体" w:cs="仿宋"/>
          <w:color w:val="auto"/>
          <w:sz w:val="24"/>
          <w:szCs w:val="24"/>
          <w:highlight w:val="none"/>
          <w:lang w:bidi="ar"/>
        </w:rPr>
        <w:t xml:space="preserve">0.</w:t>
      </w:r>
      <w:r>
        <w:rPr>
          <w:rFonts w:hint="eastAsia" w:ascii="宋体" w:hAnsi="宋体" w:cs="宋体"/>
          <w:color w:val="auto"/>
          <w:sz w:val="24"/>
          <w:szCs w:val="24"/>
          <w:highlight w:val="none"/>
          <w:u w:val="single"/>
        </w:rPr>
        <w:t xml:space="preserve">环境集成配套设备</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4</w:t>
      </w:r>
      <w:r>
        <w:rPr>
          <w:rFonts w:hint="eastAsia" w:ascii="宋体" w:hAnsi="宋体" w:cs="仿宋"/>
          <w:color w:val="auto"/>
          <w:sz w:val="24"/>
          <w:szCs w:val="24"/>
          <w:highlight w:val="none"/>
          <w:lang w:bidi="ar"/>
        </w:rPr>
        <w:t xml:space="preserve">1.</w:t>
      </w:r>
      <w:r>
        <w:rPr>
          <w:rFonts w:hint="eastAsia" w:ascii="宋体" w:hAnsi="宋体" w:cs="宋体"/>
          <w:color w:val="auto"/>
          <w:sz w:val="24"/>
          <w:szCs w:val="24"/>
          <w:highlight w:val="none"/>
          <w:u w:val="single"/>
        </w:rPr>
        <w:t xml:space="preserve">电力设施及监控设备</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4</w:t>
      </w:r>
      <w:r>
        <w:rPr>
          <w:rFonts w:hint="eastAsia" w:ascii="宋体" w:hAnsi="宋体" w:cs="仿宋"/>
          <w:color w:val="auto"/>
          <w:sz w:val="24"/>
          <w:szCs w:val="24"/>
          <w:highlight w:val="none"/>
          <w:lang w:bidi="ar"/>
        </w:rPr>
        <w:t xml:space="preserve">2.</w:t>
      </w:r>
      <w:r>
        <w:rPr>
          <w:rFonts w:hint="eastAsia" w:ascii="宋体" w:hAnsi="宋体" w:cs="仿宋"/>
          <w:color w:val="auto"/>
          <w:sz w:val="24"/>
          <w:szCs w:val="24"/>
          <w:highlight w:val="none"/>
          <w:u w:val="single"/>
          <w:lang w:bidi="ar"/>
        </w:rPr>
        <w:t xml:space="preserve">留样单元</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4</w:t>
      </w:r>
      <w:r>
        <w:rPr>
          <w:rFonts w:hint="eastAsia" w:ascii="宋体" w:hAnsi="宋体" w:cs="仿宋"/>
          <w:color w:val="auto"/>
          <w:sz w:val="24"/>
          <w:szCs w:val="24"/>
          <w:highlight w:val="none"/>
          <w:lang w:bidi="ar"/>
        </w:rPr>
        <w:t xml:space="preserve">3.</w:t>
      </w:r>
      <w:r>
        <w:rPr>
          <w:rFonts w:hint="eastAsia" w:ascii="宋体" w:hAnsi="宋体" w:cs="仿宋"/>
          <w:color w:val="auto"/>
          <w:sz w:val="24"/>
          <w:szCs w:val="24"/>
          <w:highlight w:val="none"/>
          <w:u w:val="single"/>
          <w:lang w:bidi="ar"/>
        </w:rPr>
        <w:t xml:space="preserve">多普勒流速仪</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4</w:t>
      </w:r>
      <w:r>
        <w:rPr>
          <w:rFonts w:hint="eastAsia" w:ascii="宋体" w:hAnsi="宋体" w:cs="仿宋"/>
          <w:color w:val="auto"/>
          <w:sz w:val="24"/>
          <w:szCs w:val="24"/>
          <w:highlight w:val="none"/>
          <w:lang w:bidi="ar"/>
        </w:rPr>
        <w:t xml:space="preserve">4.</w:t>
      </w:r>
      <w:r>
        <w:rPr>
          <w:rFonts w:hint="eastAsia" w:ascii="宋体" w:hAnsi="宋体" w:cs="宋体"/>
          <w:color w:val="auto"/>
          <w:sz w:val="24"/>
          <w:szCs w:val="24"/>
          <w:highlight w:val="none"/>
          <w:u w:val="single"/>
        </w:rPr>
        <w:t xml:space="preserve">高锰酸盐指数在线监测仪</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4</w:t>
      </w:r>
      <w:r>
        <w:rPr>
          <w:rFonts w:hint="eastAsia" w:ascii="宋体" w:hAnsi="宋体" w:cs="仿宋"/>
          <w:color w:val="auto"/>
          <w:sz w:val="24"/>
          <w:szCs w:val="24"/>
          <w:highlight w:val="none"/>
          <w:lang w:bidi="ar"/>
        </w:rPr>
        <w:t xml:space="preserve">5.</w:t>
      </w:r>
      <w:r>
        <w:rPr>
          <w:rFonts w:hint="eastAsia" w:ascii="宋体" w:hAnsi="宋体" w:cs="宋体"/>
          <w:color w:val="auto"/>
          <w:sz w:val="24"/>
          <w:szCs w:val="24"/>
          <w:highlight w:val="none"/>
          <w:u w:val="single"/>
        </w:rPr>
        <w:t xml:space="preserve">氨氮在线监测仪</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4</w:t>
      </w:r>
      <w:r>
        <w:rPr>
          <w:rFonts w:hint="eastAsia" w:ascii="宋体" w:hAnsi="宋体" w:cs="仿宋"/>
          <w:color w:val="auto"/>
          <w:sz w:val="24"/>
          <w:szCs w:val="24"/>
          <w:highlight w:val="none"/>
          <w:lang w:bidi="ar"/>
        </w:rPr>
        <w:t xml:space="preserve">6.</w:t>
      </w:r>
      <w:r>
        <w:rPr>
          <w:rFonts w:hint="eastAsia" w:ascii="宋体" w:hAnsi="宋体" w:cs="宋体"/>
          <w:color w:val="auto"/>
          <w:sz w:val="24"/>
          <w:szCs w:val="24"/>
          <w:highlight w:val="none"/>
          <w:u w:val="single"/>
        </w:rPr>
        <w:t xml:space="preserve">总磷在线监测仪</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4</w:t>
      </w:r>
      <w:r>
        <w:rPr>
          <w:rFonts w:hint="eastAsia" w:ascii="宋体" w:hAnsi="宋体" w:cs="仿宋"/>
          <w:color w:val="auto"/>
          <w:sz w:val="24"/>
          <w:szCs w:val="24"/>
          <w:highlight w:val="none"/>
          <w:lang w:bidi="ar"/>
        </w:rPr>
        <w:t xml:space="preserve">7.</w:t>
      </w:r>
      <w:r>
        <w:rPr>
          <w:rFonts w:hint="eastAsia" w:ascii="宋体" w:hAnsi="宋体" w:cs="宋体"/>
          <w:color w:val="auto"/>
          <w:sz w:val="24"/>
          <w:szCs w:val="24"/>
          <w:highlight w:val="none"/>
          <w:u w:val="single"/>
        </w:rPr>
        <w:t xml:space="preserve">总氮在线监测仪</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4</w:t>
      </w:r>
      <w:r>
        <w:rPr>
          <w:rFonts w:hint="eastAsia" w:ascii="宋体" w:hAnsi="宋体" w:cs="仿宋"/>
          <w:color w:val="auto"/>
          <w:sz w:val="24"/>
          <w:szCs w:val="24"/>
          <w:highlight w:val="none"/>
          <w:lang w:bidi="ar"/>
        </w:rPr>
        <w:t xml:space="preserve">8.</w:t>
      </w:r>
      <w:r>
        <w:rPr>
          <w:rFonts w:hint="eastAsia" w:ascii="宋体" w:hAnsi="宋体" w:cs="宋体"/>
          <w:color w:val="auto"/>
          <w:sz w:val="24"/>
          <w:szCs w:val="24"/>
          <w:highlight w:val="none"/>
          <w:u w:val="single"/>
        </w:rPr>
        <w:t xml:space="preserve">常规五参数分析仪</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49.</w:t>
      </w:r>
      <w:r>
        <w:rPr>
          <w:rFonts w:hint="eastAsia" w:ascii="宋体" w:hAnsi="宋体" w:cs="宋体"/>
          <w:color w:val="auto"/>
          <w:sz w:val="24"/>
          <w:szCs w:val="24"/>
          <w:highlight w:val="none"/>
          <w:u w:val="single"/>
        </w:rPr>
        <w:t xml:space="preserve">蓝绿藻监测仪</w:t>
      </w:r>
      <w:r>
        <w:rPr>
          <w:rFonts w:hint="eastAsia" w:ascii="宋体" w:hAnsi="宋体" w:cs="仿宋"/>
          <w:color w:val="auto"/>
          <w:sz w:val="24"/>
          <w:szCs w:val="24"/>
          <w:highlight w:val="none"/>
          <w:lang w:bidi="ar"/>
        </w:rPr>
        <w:t xml:space="preserve">，属于</w:t>
      </w:r>
      <w:r>
        <w:rPr>
          <w:rFonts w:hint="eastAsia" w:ascii="宋体" w:hAnsi="宋体" w:cs="仿宋"/>
          <w:color w:val="auto"/>
          <w:sz w:val="24"/>
          <w:szCs w:val="24"/>
          <w:highlight w:val="none"/>
          <w:u w:val="single"/>
          <w:lang w:bidi="ar"/>
        </w:rPr>
        <w:t xml:space="preserve">  工业 </w:t>
      </w:r>
      <w:r>
        <w:rPr>
          <w:rFonts w:hint="eastAsia" w:ascii="宋体" w:hAnsi="宋体" w:cs="仿宋"/>
          <w:color w:val="auto"/>
          <w:sz w:val="24"/>
          <w:szCs w:val="24"/>
          <w:highlight w:val="none"/>
          <w:lang w:bidi="ar"/>
        </w:rPr>
        <w:t xml:space="preserve">行业；制造商为</w:t>
      </w:r>
      <w:r>
        <w:rPr>
          <w:rFonts w:hint="eastAsia" w:ascii="宋体" w:hAnsi="宋体" w:cs="仿宋"/>
          <w:color w:val="auto"/>
          <w:sz w:val="24"/>
          <w:szCs w:val="24"/>
          <w:highlight w:val="none"/>
          <w:u w:val="single"/>
          <w:lang w:bidi="ar"/>
        </w:rPr>
        <w:t xml:space="preserve">（企业名称）</w:t>
      </w:r>
      <w:r>
        <w:rPr>
          <w:rFonts w:hint="eastAsia" w:ascii="宋体" w:hAnsi="宋体" w:cs="仿宋"/>
          <w:color w:val="auto"/>
          <w:sz w:val="24"/>
          <w:szCs w:val="24"/>
          <w:highlight w:val="none"/>
          <w:lang w:bidi="ar"/>
        </w:rPr>
        <w:t xml:space="preserve">，从业人员</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人，营业收入为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万元，资产总额为</w:t>
      </w:r>
      <w:r>
        <w:rPr>
          <w:rFonts w:hint="eastAsia" w:ascii="宋体" w:hAnsi="宋体" w:cs="仿宋"/>
          <w:color w:val="auto"/>
          <w:sz w:val="24"/>
          <w:szCs w:val="24"/>
          <w:highlight w:val="none"/>
          <w:u w:val="single"/>
          <w:lang w:bidi="ar"/>
        </w:rPr>
        <w:t xml:space="preserve">        </w:t>
      </w:r>
      <w:r>
        <w:rPr>
          <w:rFonts w:hint="eastAsia" w:ascii="宋体" w:hAnsi="宋体" w:cs="仿宋"/>
          <w:color w:val="auto"/>
          <w:sz w:val="24"/>
          <w:szCs w:val="24"/>
          <w:highlight w:val="none"/>
          <w:lang w:bidi="ar"/>
        </w:rPr>
        <w:t xml:space="preserve">万元，属于</w:t>
      </w:r>
      <w:r>
        <w:rPr>
          <w:rFonts w:hint="eastAsia" w:ascii="宋体" w:hAnsi="宋体" w:cs="仿宋"/>
          <w:color w:val="auto"/>
          <w:sz w:val="24"/>
          <w:szCs w:val="24"/>
          <w:highlight w:val="none"/>
          <w:u w:val="single"/>
          <w:lang w:bidi="ar"/>
        </w:rPr>
        <w:t xml:space="preserve">（中型企业、小型企业、微型企业）</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以上企业，不属于大企业的分支机构，不存在控股股东。</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为大企业的情形，也不存在与大企业的负责人为同一人的情形。</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本企业对上述声明内容的真实性负责。如有虚假，将依法承担相应责任。</w:t>
      </w:r>
      <w:r/>
    </w:p>
    <w:p>
      <w:pPr>
        <w:ind w:left="3780"/>
        <w:spacing w:line="440" w:lineRule="exact"/>
        <w:rPr>
          <w:rFonts w:ascii="宋体" w:hAnsi="宋体" w:cs="仿宋"/>
          <w:color w:val="auto"/>
          <w:sz w:val="24"/>
          <w:szCs w:val="24"/>
          <w:highlight w:val="none"/>
        </w:rPr>
      </w:pPr>
      <w:r>
        <w:rPr>
          <w:rFonts w:ascii="宋体" w:hAnsi="宋体" w:cs="仿宋"/>
          <w:color w:val="auto"/>
          <w:sz w:val="24"/>
          <w:szCs w:val="24"/>
          <w:highlight w:val="none"/>
        </w:rPr>
      </w:r>
      <w:r/>
    </w:p>
    <w:p>
      <w:pPr>
        <w:ind w:left="37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企业名称</w:t>
      </w:r>
      <w:r>
        <w:rPr>
          <w:rFonts w:hint="eastAsia" w:ascii="宋体" w:hAnsi="宋体"/>
          <w:color w:val="auto"/>
          <w:sz w:val="24"/>
          <w:szCs w:val="24"/>
          <w:highlight w:val="none"/>
          <w:lang w:bidi="ar"/>
        </w:rPr>
        <w:t xml:space="preserve">（加盖CA电子公章）</w:t>
      </w:r>
      <w:r>
        <w:rPr>
          <w:rFonts w:hint="eastAsia" w:ascii="宋体" w:hAnsi="宋体" w:cs="仿宋"/>
          <w:color w:val="auto"/>
          <w:sz w:val="24"/>
          <w:szCs w:val="24"/>
          <w:highlight w:val="none"/>
          <w:lang w:bidi="ar"/>
        </w:rPr>
        <w:t xml:space="preserve">：</w:t>
      </w:r>
      <w:r/>
    </w:p>
    <w:p>
      <w:pPr>
        <w:ind w:left="37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日期：</w:t>
      </w:r>
      <w:r/>
    </w:p>
    <w:p>
      <w:pPr>
        <w:spacing w:line="420" w:lineRule="exact"/>
        <w:rPr>
          <w:rFonts w:ascii="宋体" w:hAnsi="宋体"/>
          <w:color w:val="auto"/>
          <w:sz w:val="24"/>
          <w:szCs w:val="24"/>
          <w:highlight w:val="none"/>
        </w:rPr>
      </w:pPr>
      <w:r>
        <w:rPr>
          <w:rFonts w:hint="eastAsia" w:ascii="宋体" w:hAnsi="宋体"/>
          <w:color w:val="auto"/>
          <w:sz w:val="24"/>
          <w:szCs w:val="24"/>
          <w:highlight w:val="none"/>
          <w:lang w:bidi="ar"/>
        </w:rPr>
        <w:t xml:space="preserve">注：</w:t>
      </w:r>
      <w:r/>
    </w:p>
    <w:p>
      <w:pPr>
        <w:spacing w:line="420" w:lineRule="exact"/>
        <w:rPr>
          <w:color w:val="auto"/>
          <w:sz w:val="24"/>
          <w:szCs w:val="24"/>
          <w:highlight w:val="none"/>
        </w:rPr>
      </w:pPr>
      <w:r>
        <w:rPr>
          <w:color w:val="auto"/>
          <w:sz w:val="24"/>
          <w:szCs w:val="24"/>
          <w:highlight w:val="none"/>
          <w:lang w:bidi="ar"/>
        </w:rPr>
        <w:t xml:space="preserve">1.</w:t>
      </w:r>
      <w:r>
        <w:rPr>
          <w:rFonts w:hint="eastAsia"/>
          <w:color w:val="auto"/>
          <w:sz w:val="24"/>
          <w:szCs w:val="24"/>
          <w:highlight w:val="none"/>
          <w:lang w:bidi="ar"/>
        </w:rPr>
        <w:t xml:space="preserve">从业人员、营业收入、资产总额填报上一年度数据，无上一年度数据的新成立企业可不填报。</w:t>
      </w:r>
      <w:r/>
    </w:p>
    <w:p>
      <w:pPr>
        <w:spacing w:line="420" w:lineRule="exact"/>
        <w:rPr>
          <w:color w:val="auto"/>
          <w:sz w:val="24"/>
          <w:szCs w:val="24"/>
          <w:highlight w:val="none"/>
        </w:rPr>
      </w:pPr>
      <w:r>
        <w:rPr>
          <w:color w:val="auto"/>
          <w:sz w:val="24"/>
          <w:szCs w:val="24"/>
          <w:highlight w:val="none"/>
          <w:lang w:bidi="ar"/>
        </w:rPr>
        <w:t xml:space="preserve">2.</w:t>
      </w:r>
      <w:r>
        <w:rPr>
          <w:rFonts w:hint="eastAsia" w:ascii="宋体" w:hAnsi="宋体"/>
          <w:color w:val="auto"/>
          <w:sz w:val="24"/>
          <w:szCs w:val="24"/>
          <w:highlight w:val="none"/>
          <w:lang w:bidi="ar"/>
        </w:rPr>
        <w:t xml:space="preserve">行业划分具体以（工信部联企业[2011]300号）规定的划分标准为准。</w:t>
      </w:r>
      <w:r/>
    </w:p>
    <w:p>
      <w:pPr>
        <w:spacing w:line="420" w:lineRule="exact"/>
        <w:rPr>
          <w:b/>
          <w:color w:val="auto"/>
          <w:sz w:val="24"/>
          <w:szCs w:val="24"/>
          <w:highlight w:val="none"/>
        </w:rPr>
      </w:pPr>
      <w:r>
        <w:rPr>
          <w:b/>
          <w:color w:val="auto"/>
          <w:sz w:val="24"/>
          <w:szCs w:val="24"/>
          <w:highlight w:val="none"/>
          <w:lang w:bidi="ar"/>
        </w:rPr>
        <w:t xml:space="preserve">3.</w:t>
      </w:r>
      <w:r>
        <w:rPr>
          <w:rFonts w:hint="eastAsia"/>
          <w:b/>
          <w:color w:val="auto"/>
          <w:sz w:val="24"/>
          <w:szCs w:val="24"/>
          <w:highlight w:val="none"/>
          <w:lang w:bidi="ar"/>
        </w:rPr>
        <w:t xml:space="preserve">上述“中小企业声明函”格式原则上不得改动，因擅自改动引起的评审风险由投标人自行承担。</w:t>
      </w:r>
      <w:r/>
    </w:p>
    <w:p>
      <w:pPr>
        <w:jc w:val="left"/>
        <w:rPr>
          <w:color w:val="auto"/>
          <w:sz w:val="24"/>
          <w:szCs w:val="24"/>
          <w:highlight w:val="none"/>
        </w:rPr>
      </w:pPr>
      <w:r>
        <w:rPr>
          <w:b/>
          <w:color w:val="auto"/>
          <w:sz w:val="24"/>
          <w:szCs w:val="24"/>
          <w:highlight w:val="none"/>
          <w:lang w:bidi="ar"/>
        </w:rPr>
        <w:t xml:space="preserve">4.</w:t>
      </w:r>
      <w:r>
        <w:rPr>
          <w:rFonts w:hint="eastAsia"/>
          <w:b/>
          <w:color w:val="auto"/>
          <w:sz w:val="24"/>
          <w:szCs w:val="24"/>
          <w:highlight w:val="none"/>
          <w:lang w:bidi="ar"/>
        </w:rPr>
        <w:t xml:space="preserve">如未对上述声明函内（中型企业、小型企业、微型企业）进行勾选或明确，引起的评审风险由投标人自行承担</w:t>
      </w:r>
      <w:r>
        <w:rPr>
          <w:b/>
          <w:bCs/>
          <w:color w:val="auto"/>
          <w:sz w:val="24"/>
          <w:szCs w:val="24"/>
          <w:highlight w:val="none"/>
        </w:rPr>
        <w:t xml:space="preserve">。</w:t>
      </w:r>
      <w:bookmarkEnd w:id="525"/>
      <w:r/>
      <w:r/>
    </w:p>
    <w:p>
      <w:pPr>
        <w:ind w:firstLine="643"/>
        <w:jc w:val="center"/>
        <w:spacing w:line="440" w:lineRule="exact"/>
        <w:rPr>
          <w:rFonts w:ascii="Times New Roman" w:hAnsi="Times New Roman"/>
          <w:b/>
          <w:bCs/>
          <w:color w:val="auto"/>
          <w:sz w:val="28"/>
          <w:szCs w:val="28"/>
          <w:highlight w:val="none"/>
        </w:rPr>
        <w:outlineLvl w:val="1"/>
      </w:pPr>
      <w:r>
        <w:rPr>
          <w:rFonts w:ascii="黑体" w:hAnsi="黑体" w:eastAsia="黑体"/>
          <w:b/>
          <w:color w:val="auto"/>
          <w:sz w:val="32"/>
          <w:szCs w:val="32"/>
          <w:highlight w:val="none"/>
        </w:rPr>
        <w:br w:type="page" w:clear="all"/>
      </w:r>
      <w:bookmarkStart w:id="526" w:name="_Toc15008"/>
      <w:r/>
      <w:bookmarkStart w:id="527" w:name="_Toc239671982"/>
      <w:r/>
      <w:bookmarkStart w:id="528" w:name="_Toc6651"/>
      <w:r/>
      <w:bookmarkStart w:id="529" w:name="_Toc26231"/>
      <w:r>
        <w:rPr>
          <w:rFonts w:hint="eastAsia" w:ascii="Times New Roman" w:hAnsi="Times New Roman"/>
          <w:b/>
          <w:bCs/>
          <w:color w:val="auto"/>
          <w:sz w:val="28"/>
          <w:szCs w:val="28"/>
          <w:highlight w:val="none"/>
        </w:rPr>
        <w:t xml:space="preserve">附件13 残疾人福利性单位声明函</w:t>
      </w:r>
      <w:bookmarkEnd w:id="526"/>
      <w:r/>
      <w:bookmarkEnd w:id="527"/>
      <w:r/>
      <w:bookmarkEnd w:id="528"/>
      <w:r/>
      <w:bookmarkEnd w:id="529"/>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588"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（备注：1、投标人如不提供此声明函，价格将不做相应扣除。2、中标人为残疾人福利单位的，此声明函将随中标结果同时公告，接受社会监督）</w:t>
      </w:r>
      <w:r/>
    </w:p>
    <w:p>
      <w:pPr>
        <w:ind w:firstLine="624"/>
        <w:spacing w:line="588" w:lineRule="exact"/>
        <w:rPr>
          <w:rFonts w:ascii="仿宋_GB2312" w:hAnsi="Times New Roman" w:eastAsia="仿宋_GB2312"/>
          <w:color w:val="auto"/>
          <w:spacing w:val="6"/>
          <w:sz w:val="30"/>
          <w:szCs w:val="30"/>
          <w:highlight w:val="none"/>
        </w:rPr>
      </w:pPr>
      <w:r>
        <w:rPr>
          <w:rFonts w:ascii="仿宋_GB2312" w:hAnsi="Times New Roman"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szCs w:val="21"/>
          <w:highlight w:val="none"/>
        </w:rPr>
      </w:pPr>
      <w:r>
        <w:rPr>
          <w:rFonts w:hint="eastAsia" w:ascii="仿宋_GB2312" w:hAnsi="Times New Roman" w:eastAsia="仿宋_GB2312"/>
          <w:color w:val="auto"/>
          <w:spacing w:val="6"/>
          <w:sz w:val="30"/>
          <w:szCs w:val="30"/>
          <w:highlight w:val="none"/>
        </w:rPr>
        <w:t xml:space="preserve">             </w:t>
      </w:r>
      <w:r>
        <w:rPr>
          <w:rFonts w:hint="eastAsia" w:ascii="宋体" w:hAnsi="宋体"/>
          <w:color w:val="auto"/>
          <w:sz w:val="24"/>
          <w:szCs w:val="21"/>
          <w:highlight w:val="none"/>
        </w:rPr>
        <w:t xml:space="preserve">          投标人全称（加盖CA电子公章）：</w:t>
      </w:r>
      <w:r/>
    </w:p>
    <w:p>
      <w:pPr>
        <w:ind w:right="1560" w:firstLine="480"/>
        <w:jc w:val="center"/>
        <w:spacing w:line="588" w:lineRule="exact"/>
        <w:tabs>
          <w:tab w:val="left" w:pos="4860" w:leader="none"/>
        </w:tabs>
        <w:rPr>
          <w:rFonts w:ascii="宋体" w:hAnsi="宋体"/>
          <w:color w:val="auto"/>
          <w:sz w:val="24"/>
          <w:szCs w:val="21"/>
          <w:highlight w:val="none"/>
        </w:rPr>
      </w:pPr>
      <w:r>
        <w:rPr>
          <w:rFonts w:hint="eastAsia" w:ascii="宋体" w:hAnsi="宋体"/>
          <w:color w:val="auto"/>
          <w:sz w:val="24"/>
          <w:szCs w:val="21"/>
          <w:highlight w:val="none"/>
        </w:rPr>
        <w:t xml:space="preserve">        日  期：</w:t>
      </w:r>
      <w:r/>
    </w:p>
    <w:p>
      <w:pPr>
        <w:rPr>
          <w:color w:val="auto"/>
          <w:sz w:val="24"/>
          <w:szCs w:val="24"/>
          <w:highlight w:val="none"/>
        </w:rPr>
      </w:pPr>
      <w:r>
        <w:rPr>
          <w:color w:val="auto"/>
          <w:sz w:val="24"/>
          <w:szCs w:val="24"/>
          <w:highlight w:val="none"/>
        </w:rPr>
        <w:br w:type="page" w:clear="all"/>
      </w:r>
      <w:r/>
    </w:p>
    <w:p>
      <w:pPr>
        <w:ind w:firstLine="562"/>
        <w:jc w:val="center"/>
        <w:spacing w:line="440" w:lineRule="exact"/>
        <w:rPr>
          <w:rFonts w:ascii="Times New Roman" w:hAnsi="Times New Roman"/>
          <w:b/>
          <w:bCs/>
          <w:color w:val="auto"/>
          <w:sz w:val="28"/>
          <w:szCs w:val="28"/>
          <w:highlight w:val="none"/>
        </w:rPr>
        <w:outlineLvl w:val="1"/>
      </w:pPr>
      <w:r/>
      <w:bookmarkStart w:id="530" w:name="_Toc17235"/>
      <w:r/>
      <w:bookmarkStart w:id="531" w:name="_Toc13516"/>
      <w:r/>
      <w:bookmarkStart w:id="532" w:name="_Toc13811"/>
      <w:r/>
      <w:bookmarkStart w:id="533" w:name="_Toc3807"/>
      <w:r/>
      <w:bookmarkStart w:id="534" w:name="_Toc155086474"/>
      <w:r/>
      <w:bookmarkStart w:id="535" w:name="_Toc155086574"/>
      <w:r/>
      <w:bookmarkStart w:id="536" w:name="_Toc239671983"/>
      <w:r>
        <w:rPr>
          <w:rFonts w:hint="eastAsia" w:ascii="Times New Roman" w:hAnsi="Times New Roman"/>
          <w:b/>
          <w:bCs/>
          <w:color w:val="auto"/>
          <w:sz w:val="28"/>
          <w:szCs w:val="28"/>
          <w:highlight w:val="none"/>
        </w:rPr>
        <w:t xml:space="preserve">附件14 投标函</w:t>
      </w:r>
      <w:bookmarkEnd w:id="530"/>
      <w:r/>
      <w:bookmarkEnd w:id="531"/>
      <w:r/>
      <w:bookmarkEnd w:id="532"/>
      <w:r/>
      <w:bookmarkEnd w:id="533"/>
      <w:r/>
      <w:bookmarkEnd w:id="534"/>
      <w:r/>
      <w:bookmarkEnd w:id="535"/>
      <w:r/>
      <w:bookmarkEnd w:id="536"/>
      <w:r/>
      <w:r/>
    </w:p>
    <w:p>
      <w:pPr>
        <w:jc w:val="left"/>
        <w:spacing w:line="420" w:lineRule="exact"/>
        <w:rPr>
          <w:rFonts w:ascii="宋体" w:hAnsi="宋体"/>
          <w:color w:val="auto"/>
          <w:sz w:val="24"/>
          <w:szCs w:val="21"/>
          <w:highlight w:val="none"/>
        </w:rPr>
      </w:pPr>
      <w:r>
        <w:rPr>
          <w:rFonts w:ascii="宋体" w:hAnsi="宋体"/>
          <w:color w:val="auto"/>
          <w:sz w:val="24"/>
          <w:szCs w:val="21"/>
          <w:highlight w:val="none"/>
        </w:rPr>
      </w:r>
      <w:r/>
    </w:p>
    <w:p>
      <w:pPr>
        <w:spacing w:line="44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致：</w:t>
      </w:r>
      <w:r>
        <w:rPr>
          <w:rFonts w:hint="eastAsia" w:ascii="宋体" w:hAnsi="宋体"/>
          <w:color w:val="auto"/>
          <w:sz w:val="24"/>
          <w:szCs w:val="24"/>
          <w:highlight w:val="none"/>
          <w:u w:val="single"/>
          <w:lang w:val="zh-CN"/>
        </w:rPr>
        <w:t xml:space="preserve">苏州新一造价师价格事务所有限公司</w:t>
      </w:r>
      <w:r/>
    </w:p>
    <w:p>
      <w:pPr>
        <w:pStyle w:val="1083"/>
        <w:spacing w:before="0" w:after="0" w:line="420" w:lineRule="exact"/>
        <w:rPr>
          <w:rFonts w:ascii="宋体" w:hAnsi="宋体"/>
          <w:color w:val="auto"/>
          <w:szCs w:val="21"/>
          <w:highlight w:val="none"/>
        </w:rPr>
      </w:pPr>
      <w:r>
        <w:rPr>
          <w:rFonts w:hint="eastAsia" w:ascii="宋体" w:hAnsi="宋体"/>
          <w:color w:val="auto"/>
          <w:szCs w:val="21"/>
          <w:highlight w:val="none"/>
        </w:rPr>
        <w:t xml:space="preserve">根据贵方的JSZC-320581-SZXY-G2026-0038号招标文件，正式授权下述______(姓名)代表我方______________（投标人的名称），全权处理本次项目投标的有关事宜。</w:t>
      </w:r>
      <w:r/>
    </w:p>
    <w:p>
      <w:pPr>
        <w:pStyle w:val="1083"/>
        <w:spacing w:before="0" w:after="0" w:line="420" w:lineRule="exact"/>
        <w:rPr>
          <w:rFonts w:ascii="宋体" w:hAnsi="宋体"/>
          <w:color w:val="auto"/>
          <w:szCs w:val="21"/>
          <w:highlight w:val="none"/>
        </w:rPr>
      </w:pPr>
      <w:r>
        <w:rPr>
          <w:rFonts w:hint="eastAsia" w:ascii="宋体" w:hAnsi="宋体"/>
          <w:color w:val="auto"/>
          <w:szCs w:val="21"/>
          <w:highlight w:val="none"/>
        </w:rPr>
        <w:t xml:space="preserve">据此函，__________（姓名）代表兹宣布同意如下：</w:t>
      </w:r>
      <w:r/>
    </w:p>
    <w:p>
      <w:pPr>
        <w:pStyle w:val="1083"/>
        <w:spacing w:before="0" w:after="0" w:line="420" w:lineRule="exact"/>
        <w:rPr>
          <w:rFonts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1083"/>
        <w:spacing w:before="0" w:after="0" w:line="420" w:lineRule="exact"/>
        <w:rPr>
          <w:rFonts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1083"/>
        <w:spacing w:before="0" w:after="0" w:line="420" w:lineRule="exact"/>
        <w:rPr>
          <w:rFonts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1083"/>
        <w:spacing w:before="0" w:after="0" w:line="420" w:lineRule="exact"/>
        <w:rPr>
          <w:rFonts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1083"/>
        <w:spacing w:before="0" w:after="0" w:line="420" w:lineRule="exact"/>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1083"/>
        <w:spacing w:before="0" w:after="0" w:line="420" w:lineRule="exact"/>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p>
    <w:p>
      <w:pPr>
        <w:pStyle w:val="1083"/>
        <w:spacing w:before="0" w:after="0" w:line="420" w:lineRule="exact"/>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.与本投标有关的正式通讯地址为：</w:t>
      </w:r>
      <w:r/>
    </w:p>
    <w:p>
      <w:pPr>
        <w:pStyle w:val="1083"/>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地          址：</w:t>
      </w:r>
      <w:r/>
    </w:p>
    <w:p>
      <w:pPr>
        <w:pStyle w:val="1083"/>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邮          编：</w:t>
      </w:r>
      <w:r/>
    </w:p>
    <w:p>
      <w:pPr>
        <w:pStyle w:val="1083"/>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电          话：</w:t>
      </w:r>
      <w:r/>
    </w:p>
    <w:p>
      <w:pPr>
        <w:pStyle w:val="1083"/>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传          真：</w:t>
      </w:r>
      <w:r/>
    </w:p>
    <w:p>
      <w:pPr>
        <w:pStyle w:val="1083"/>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投 标 人开户行：</w:t>
      </w:r>
      <w:r/>
    </w:p>
    <w:p>
      <w:pPr>
        <w:pStyle w:val="1083"/>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账          号： </w:t>
      </w:r>
      <w:r/>
    </w:p>
    <w:p>
      <w:pPr>
        <w:pStyle w:val="1083"/>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日          期：________年____月____日</w:t>
      </w:r>
      <w:r/>
    </w:p>
    <w:p>
      <w:pPr>
        <w:ind w:firstLine="480"/>
        <w:rPr>
          <w:rFonts w:ascii="Times New Roman" w:hAnsi="Times New Roman"/>
          <w:i/>
          <w:color w:val="auto"/>
          <w:sz w:val="24"/>
          <w:szCs w:val="24"/>
          <w:highlight w:val="none"/>
          <w:u w:val="single"/>
        </w:rPr>
      </w:pPr>
      <w:r>
        <w:rPr>
          <w:rFonts w:ascii="Times New Roman" w:hAnsi="Times New Roman"/>
          <w:i/>
          <w:color w:val="auto"/>
          <w:sz w:val="24"/>
          <w:szCs w:val="24"/>
          <w:highlight w:val="none"/>
          <w:u w:val="single"/>
        </w:rPr>
      </w:r>
      <w:r/>
    </w:p>
    <w:p>
      <w:pPr>
        <w:pStyle w:val="824"/>
        <w:ind w:firstLine="482"/>
        <w:rPr>
          <w:color w:val="auto"/>
          <w:highlight w:val="none"/>
        </w:rPr>
      </w:pPr>
      <w:r>
        <w:rPr>
          <w:rFonts w:ascii="宋体" w:hAnsi="宋体" w:eastAsia="幼圆" w:cs="Arial"/>
          <w:b/>
          <w:color w:val="auto"/>
          <w:sz w:val="24"/>
          <w:szCs w:val="44"/>
          <w:highlight w:val="none"/>
        </w:rPr>
        <w:br w:type="page" w:clear="all"/>
      </w:r>
      <w:r/>
    </w:p>
    <w:p>
      <w:pPr>
        <w:ind w:firstLine="562"/>
        <w:jc w:val="center"/>
        <w:spacing w:line="440" w:lineRule="exact"/>
        <w:rPr>
          <w:rFonts w:ascii="Times New Roman" w:hAnsi="Times New Roman"/>
          <w:b/>
          <w:bCs/>
          <w:color w:val="auto"/>
          <w:sz w:val="28"/>
          <w:szCs w:val="28"/>
          <w:highlight w:val="none"/>
        </w:rPr>
        <w:outlineLvl w:val="1"/>
      </w:pPr>
      <w:r/>
      <w:bookmarkStart w:id="537" w:name="_Toc12396"/>
      <w:r/>
      <w:bookmarkStart w:id="538" w:name="_Toc1905"/>
      <w:r/>
      <w:bookmarkStart w:id="539" w:name="_Toc19079"/>
      <w:r/>
      <w:bookmarkStart w:id="540" w:name="_Toc239671984"/>
      <w:r>
        <w:rPr>
          <w:rFonts w:hint="eastAsia" w:ascii="Times New Roman" w:hAnsi="Times New Roman"/>
          <w:b/>
          <w:bCs/>
          <w:color w:val="auto"/>
          <w:sz w:val="28"/>
          <w:szCs w:val="28"/>
          <w:highlight w:val="none"/>
        </w:rPr>
        <w:t xml:space="preserve">附件15</w:t>
      </w:r>
      <w:r>
        <w:rPr>
          <w:rFonts w:ascii="Times New Roman" w:hAnsi="Times New Roman"/>
          <w:b/>
          <w:bCs/>
          <w:color w:val="auto"/>
          <w:sz w:val="28"/>
          <w:szCs w:val="28"/>
          <w:highlight w:val="none"/>
        </w:rPr>
        <w:t xml:space="preserve"> </w:t>
      </w:r>
      <w:r>
        <w:rPr>
          <w:rFonts w:hint="eastAsia" w:ascii="Times New Roman" w:hAnsi="Times New Roman"/>
          <w:b/>
          <w:bCs/>
          <w:color w:val="auto"/>
          <w:sz w:val="28"/>
          <w:szCs w:val="28"/>
          <w:highlight w:val="none"/>
        </w:rPr>
        <w:t xml:space="preserve">实质性要求响应及偏离表</w:t>
      </w:r>
      <w:bookmarkEnd w:id="537"/>
      <w:r/>
      <w:bookmarkEnd w:id="538"/>
      <w:r/>
      <w:bookmarkEnd w:id="539"/>
      <w:r/>
      <w:bookmarkEnd w:id="540"/>
      <w:r/>
      <w:r/>
    </w:p>
    <w:tbl>
      <w:tblPr>
        <w:tblStyle w:val="819"/>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5474"/>
        <w:gridCol w:w="1910"/>
        <w:gridCol w:w="1626"/>
      </w:tblGrid>
      <w:tr>
        <w:trPr>
          <w:cantSplit/>
          <w:jc w:val="center"/>
          <w:trHeight w:val="967"/>
        </w:trPr>
        <w:tc>
          <w:tcPr>
            <w:tcW w:w="888"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5474"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服务要求和商务要求中的实质性要求</w:t>
            </w:r>
            <w:r/>
          </w:p>
        </w:tc>
        <w:tc>
          <w:tcPr>
            <w:tcW w:w="191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626"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jc w:val="center"/>
          <w:trHeight w:val="967"/>
        </w:trPr>
        <w:tc>
          <w:tcPr>
            <w:tcW w:w="888"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5474" w:type="dxa"/>
            <w:vAlign w:val="center"/>
            <w:textDirection w:val="lrTb"/>
            <w:noWrap w:val="false"/>
          </w:tcPr>
          <w:p>
            <w:pPr>
              <w:ind w:right="-27"/>
              <w:spacing w:line="440" w:lineRule="exact"/>
              <w:tabs>
                <w:tab w:val="left" w:pos="0" w:leader="none"/>
              </w:tabs>
              <w:rPr>
                <w:rFonts w:ascii="宋体" w:hAnsi="宋体"/>
                <w:color w:val="auto"/>
                <w:sz w:val="24"/>
                <w:szCs w:val="24"/>
                <w:highlight w:val="none"/>
              </w:rPr>
            </w:pPr>
            <w:r>
              <w:rPr>
                <w:rFonts w:hint="eastAsia" w:ascii="宋体" w:hAnsi="宋体"/>
                <w:iCs/>
                <w:color w:val="auto"/>
                <w:sz w:val="24"/>
                <w:szCs w:val="24"/>
                <w:highlight w:val="none"/>
              </w:rPr>
              <w:t xml:space="preserve">工期：签订合同后，在接到书面进场通知40日历天内（包括节假日在内）向采购人交付合同约定的货物，并完成安装、调试、验收合格，交付采购人使用。</w:t>
            </w:r>
            <w:r/>
          </w:p>
        </w:tc>
        <w:tc>
          <w:tcPr>
            <w:tcW w:w="19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626"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505"/>
        </w:trPr>
        <w:tc>
          <w:tcPr>
            <w:tcW w:w="888"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5474" w:type="dxa"/>
            <w:vAlign w:val="center"/>
            <w:textDirection w:val="lrTb"/>
            <w:noWrap w:val="false"/>
          </w:tcPr>
          <w:p>
            <w:pPr>
              <w:ind w:right="50"/>
              <w:spacing w:line="440" w:lineRule="exact"/>
              <w:rPr>
                <w:iCs/>
                <w:color w:val="auto"/>
                <w:sz w:val="24"/>
                <w:szCs w:val="24"/>
                <w:highlight w:val="none"/>
              </w:rPr>
            </w:pPr>
            <w:r>
              <w:rPr>
                <w:rFonts w:hint="eastAsia"/>
                <w:iCs/>
                <w:color w:val="auto"/>
                <w:sz w:val="24"/>
                <w:szCs w:val="24"/>
                <w:highlight w:val="none"/>
              </w:rPr>
              <w:t xml:space="preserve">付款方式：</w:t>
            </w:r>
            <w:r/>
          </w:p>
          <w:p>
            <w:pPr>
              <w:ind w:firstLine="480"/>
              <w:spacing w:line="440" w:lineRule="exact"/>
              <w:rPr>
                <w:rFonts w:ascii="Times New Roman" w:hAnsi="Times New Roman"/>
                <w:color w:val="auto"/>
                <w:sz w:val="24"/>
                <w:highlight w:val="none"/>
                <w:lang w:bidi="ar"/>
              </w:rPr>
            </w:pPr>
            <w:r>
              <w:rPr>
                <w:rFonts w:hint="eastAsia" w:ascii="Times New Roman" w:hAnsi="Times New Roman"/>
                <w:color w:val="auto"/>
                <w:sz w:val="24"/>
                <w:highlight w:val="none"/>
                <w:lang w:bidi="ar"/>
              </w:rPr>
              <w:t xml:space="preserve">1、合同签订后的一个月内，甲方向乙方支付合同总价的70</w:t>
            </w:r>
            <w:r>
              <w:rPr>
                <w:rFonts w:ascii="Times New Roman" w:hAnsi="Times New Roman"/>
                <w:color w:val="auto"/>
                <w:sz w:val="24"/>
                <w:highlight w:val="none"/>
                <w:lang w:bidi="ar"/>
              </w:rPr>
              <w:t xml:space="preserve">%</w:t>
            </w:r>
            <w:r>
              <w:rPr>
                <w:rFonts w:hint="eastAsia" w:ascii="Times New Roman" w:hAnsi="Times New Roman"/>
                <w:color w:val="auto"/>
                <w:sz w:val="24"/>
                <w:highlight w:val="none"/>
                <w:lang w:bidi="ar"/>
              </w:rPr>
              <w:t xml:space="preserve">作为预付款；</w:t>
            </w:r>
            <w:r/>
          </w:p>
          <w:p>
            <w:pPr>
              <w:ind w:firstLine="480"/>
              <w:spacing w:line="440" w:lineRule="exact"/>
              <w:rPr>
                <w:rFonts w:ascii="Times New Roman" w:hAnsi="Times New Roman"/>
                <w:color w:val="auto"/>
                <w:sz w:val="24"/>
                <w:highlight w:val="none"/>
                <w:lang w:bidi="ar"/>
              </w:rPr>
            </w:pPr>
            <w:r>
              <w:rPr>
                <w:rFonts w:hint="eastAsia" w:ascii="Times New Roman" w:hAnsi="Times New Roman"/>
                <w:color w:val="auto"/>
                <w:sz w:val="24"/>
                <w:highlight w:val="none"/>
                <w:lang w:bidi="ar"/>
              </w:rPr>
              <w:t xml:space="preserve">2、乙方提供的货物经甲方验收合格后的两个月内，甲方向乙方支付至合同总价的90</w:t>
            </w:r>
            <w:r>
              <w:rPr>
                <w:rFonts w:ascii="Times New Roman" w:hAnsi="Times New Roman"/>
                <w:color w:val="auto"/>
                <w:sz w:val="24"/>
                <w:highlight w:val="none"/>
                <w:lang w:bidi="ar"/>
              </w:rPr>
              <w:t xml:space="preserve">%</w:t>
            </w:r>
            <w:r>
              <w:rPr>
                <w:rFonts w:hint="eastAsia" w:ascii="Times New Roman" w:hAnsi="Times New Roman"/>
                <w:color w:val="auto"/>
                <w:sz w:val="24"/>
                <w:highlight w:val="none"/>
                <w:lang w:bidi="ar"/>
              </w:rPr>
              <w:t xml:space="preserve">；</w:t>
            </w:r>
            <w:r/>
          </w:p>
          <w:p>
            <w:pPr>
              <w:ind w:firstLine="480"/>
              <w:spacing w:line="440" w:lineRule="exact"/>
              <w:rPr>
                <w:rFonts w:ascii="Times New Roman" w:hAnsi="Times New Roman"/>
                <w:color w:val="auto"/>
                <w:sz w:val="24"/>
                <w:highlight w:val="none"/>
                <w:lang w:bidi="ar"/>
              </w:rPr>
            </w:pPr>
            <w:r>
              <w:rPr>
                <w:rFonts w:hint="eastAsia" w:ascii="Times New Roman" w:hAnsi="Times New Roman"/>
                <w:color w:val="auto"/>
                <w:sz w:val="24"/>
                <w:highlight w:val="none"/>
                <w:lang w:bidi="ar"/>
              </w:rPr>
              <w:t xml:space="preserve">3、安装调试验收合格之日起一周年后的农历年前，甲方向乙方支付至合同总价的100%。</w:t>
            </w:r>
            <w:r/>
          </w:p>
          <w:p>
            <w:pPr>
              <w:spacing w:line="440" w:lineRule="exact"/>
              <w:rPr>
                <w:rFonts w:ascii="Times New Roman" w:hAnsi="Times New Roman"/>
                <w:color w:val="auto"/>
                <w:sz w:val="24"/>
                <w:highlight w:val="none"/>
                <w:lang w:bidi="ar"/>
              </w:rPr>
            </w:pPr>
            <w:r>
              <w:rPr>
                <w:rFonts w:hint="eastAsia" w:ascii="Times New Roman" w:hAnsi="Times New Roman"/>
                <w:color w:val="auto"/>
                <w:sz w:val="24"/>
                <w:highlight w:val="none"/>
                <w:lang w:bidi="ar"/>
              </w:rPr>
              <w:t xml:space="preserve">注：（1）以上每次付款前，乙方均应提供符合甲方要求的同等金额的合法有效发票。否则，甲方有权顺延付款时间，且不承担任何违约及赔偿责任。 </w:t>
            </w:r>
            <w:r/>
          </w:p>
          <w:p>
            <w:pPr>
              <w:spacing w:line="440" w:lineRule="exact"/>
              <w:rPr>
                <w:rFonts w:ascii="Times New Roman" w:hAnsi="Times New Roman"/>
                <w:color w:val="auto"/>
                <w:sz w:val="24"/>
                <w:highlight w:val="none"/>
                <w:lang w:bidi="ar"/>
              </w:rPr>
            </w:pPr>
            <w:r>
              <w:rPr>
                <w:rFonts w:hint="eastAsia" w:ascii="Times New Roman" w:hAnsi="Times New Roman"/>
                <w:color w:val="auto"/>
                <w:sz w:val="24"/>
                <w:highlight w:val="none"/>
                <w:lang w:bidi="ar"/>
              </w:rPr>
              <w:t xml:space="preserve">（2）本项目支付方式支持数字人民币方式。</w:t>
            </w:r>
            <w:r/>
          </w:p>
          <w:p>
            <w:pPr>
              <w:spacing w:line="440" w:lineRule="exact"/>
              <w:rPr>
                <w:color w:val="auto"/>
                <w:highlight w:val="none"/>
              </w:rPr>
            </w:pPr>
            <w:r>
              <w:rPr>
                <w:rFonts w:hint="eastAsia" w:ascii="Times New Roman" w:hAnsi="Times New Roman"/>
                <w:color w:val="auto"/>
                <w:sz w:val="24"/>
                <w:highlight w:val="none"/>
                <w:lang w:bidi="ar"/>
              </w:rPr>
              <w:t xml:space="preserve">（3）在签订合同时乙方明确表示无需预付款或者主要要求降低预付款比例的，上述付款方式中预付款要求可不执行，但应当由乙方书面提出并作为采购档案保存。</w:t>
            </w:r>
            <w:r/>
          </w:p>
        </w:tc>
        <w:tc>
          <w:tcPr>
            <w:tcW w:w="19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626"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505"/>
        </w:trPr>
        <w:tc>
          <w:tcPr>
            <w:tcW w:w="888" w:type="dxa"/>
            <w:vAlign w:val="center"/>
            <w:textDirection w:val="lrTb"/>
            <w:noWrap w:val="false"/>
          </w:tcPr>
          <w:p>
            <w:pPr>
              <w:jc w:val="center"/>
              <w:spacing w:line="40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W w:w="5474" w:type="dxa"/>
            <w:vAlign w:val="center"/>
            <w:textDirection w:val="lrTb"/>
            <w:noWrap w:val="false"/>
          </w:tcPr>
          <w:p>
            <w:pPr>
              <w:ind w:firstLine="480"/>
              <w:spacing w:line="440" w:lineRule="exact"/>
              <w:rPr>
                <w:rFonts w:hint="eastAsia" w:ascii="Times New Roman" w:hAnsi="Times New Roman"/>
                <w:color w:val="auto"/>
                <w:sz w:val="24"/>
                <w:highlight w:val="none"/>
                <w:lang w:bidi="ar"/>
              </w:rPr>
            </w:pPr>
            <w:r>
              <w:rPr>
                <w:rFonts w:hint="eastAsia" w:ascii="Times New Roman" w:hAnsi="Times New Roman"/>
                <w:i w:val="0"/>
                <w:iCs w:val="0"/>
                <w:color w:val="auto"/>
                <w:sz w:val="24"/>
                <w:szCs w:val="20"/>
                <w:highlight w:val="none"/>
                <w:u w:val="none"/>
                <w:lang w:bidi="ar"/>
              </w:rPr>
              <w:t xml:space="preserve">本项目硬件部分免费质保期不少于3年，配套软件部分免费运维期不少于3年，免费质保期及运维期结束后，投标人应继续为本项目设施维修及软件维护提供远程指导。</w:t>
            </w:r>
            <w:r/>
          </w:p>
        </w:tc>
        <w:tc>
          <w:tcPr>
            <w:tcW w:w="19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626"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对技术</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和商务要求中的实质性要求逐条做出明确响应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否则作无效投标处理</w:t>
      </w:r>
      <w:r>
        <w:rPr>
          <w:rFonts w:ascii="宋体" w:hAnsi="宋体"/>
          <w:color w:val="auto"/>
          <w:sz w:val="24"/>
          <w:highlight w:val="none"/>
        </w:rPr>
        <w:t xml:space="preserve">。</w:t>
      </w:r>
      <w:r/>
    </w:p>
    <w:p>
      <w:pPr>
        <w:ind w:firstLine="480"/>
        <w:spacing w:line="4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.投标人未对实质性要求逐条作出明确响应的，或未按招标文件要求提供证明材料（如有）的，该项目作无效投标处理。</w:t>
      </w:r>
      <w:r/>
    </w:p>
    <w:p>
      <w:pPr>
        <w:rPr>
          <w:rFonts w:ascii="宋体" w:hAnsi="宋体"/>
          <w:color w:val="auto"/>
          <w:sz w:val="24"/>
          <w:szCs w:val="24"/>
          <w:highlight w:val="none"/>
        </w:rPr>
      </w:pPr>
      <w:r>
        <w:rPr>
          <w:rFonts w:hint="eastAsia" w:ascii="宋体" w:hAnsi="宋体"/>
          <w:color w:val="auto"/>
          <w:sz w:val="24"/>
          <w:szCs w:val="24"/>
          <w:highlight w:val="none"/>
        </w:rPr>
        <w:br w:type="page" w:clear="all"/>
      </w:r>
      <w:r/>
    </w:p>
    <w:p>
      <w:pPr>
        <w:ind w:firstLine="562"/>
        <w:jc w:val="center"/>
        <w:spacing w:line="440" w:lineRule="exact"/>
        <w:rPr>
          <w:rFonts w:ascii="Times New Roman" w:hAnsi="Times New Roman"/>
          <w:b/>
          <w:bCs/>
          <w:color w:val="auto"/>
          <w:sz w:val="28"/>
          <w:szCs w:val="28"/>
          <w:highlight w:val="none"/>
        </w:rPr>
        <w:outlineLvl w:val="1"/>
      </w:pPr>
      <w:r/>
      <w:bookmarkStart w:id="541" w:name="_Toc239671985"/>
      <w:r>
        <w:rPr>
          <w:rFonts w:hint="eastAsia" w:ascii="Times New Roman" w:hAnsi="Times New Roman"/>
          <w:b/>
          <w:bCs/>
          <w:color w:val="auto"/>
          <w:sz w:val="28"/>
          <w:szCs w:val="28"/>
          <w:highlight w:val="none"/>
        </w:rPr>
        <w:t xml:space="preserve">附件16 关于符合本国产品标准的声明函</w:t>
      </w:r>
      <w:bookmarkEnd w:id="541"/>
      <w:r/>
      <w:r/>
    </w:p>
    <w:p>
      <w:pPr>
        <w:pStyle w:val="848"/>
        <w:ind w:firstLine="420"/>
        <w:spacing w:before="0" w:beforeAutospacing="0" w:after="0" w:afterAutospacing="0" w:line="0" w:lineRule="atLeast"/>
        <w:widowControl w:val="off"/>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48"/>
        <w:ind w:firstLine="420"/>
        <w:spacing w:before="0" w:beforeAutospacing="0" w:after="0" w:afterAutospacing="0" w:line="0" w:lineRule="atLeast"/>
        <w:widowControl w:val="off"/>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8"/>
        <w:ind w:firstLine="420"/>
        <w:spacing w:before="30" w:beforeAutospacing="0" w:after="30" w:afterAutospacing="0" w:line="0" w:lineRule="atLeast"/>
        <w:widowControl w:val="off"/>
        <w:rPr>
          <w:rFonts w:cs="仿宋"/>
          <w:color w:val="auto"/>
          <w:highlight w:val="none"/>
          <w:lang w:bidi="ar"/>
        </w:rPr>
      </w:pPr>
      <w:r>
        <w:rPr>
          <w:rFonts w:hint="eastAsia" w:ascii="方正魏碑_GBK" w:hAnsi="方正魏碑_GBK" w:eastAsia="方正魏碑_GBK" w:cs="方正魏碑_GBK"/>
          <w:color w:val="auto"/>
          <w:highlight w:val="none"/>
          <w:shd w:val="clear" w:color="auto" w:fill="ffffff"/>
        </w:rPr>
        <w:t xml:space="preserve">1.</w:t>
      </w:r>
      <w:r>
        <w:rPr>
          <w:rFonts w:hint="eastAsia"/>
          <w:color w:val="auto"/>
          <w:highlight w:val="none"/>
          <w:u w:val="single"/>
        </w:rPr>
        <w:t xml:space="preserve">雷达水位计</w:t>
      </w:r>
      <w:r>
        <w:rPr>
          <w:rFonts w:hint="eastAsia" w:ascii="方正魏碑_GBK" w:hAnsi="方正魏碑_GBK" w:eastAsia="方正魏碑_GBK" w:cs="方正魏碑_GBK"/>
          <w:color w:val="auto"/>
          <w:highlight w:val="none"/>
          <w:shd w:val="clear" w:color="auto" w:fill="ffffff"/>
        </w:rPr>
        <w:t xml:space="preserve">，</w:t>
      </w:r>
      <w:r>
        <w:rPr>
          <w:color w:val="auto"/>
          <w:highlight w:val="none"/>
          <w:shd w:val="clear" w:color="auto" w:fill="ffffff"/>
        </w:rPr>
        <w:t xml:space="preserve">生产厂为</w:t>
      </w:r>
      <w:r>
        <w:rPr>
          <w:color w:val="auto"/>
          <w:highlight w:val="none"/>
          <w:u w:val="single"/>
          <w:shd w:val="clear" w:color="auto" w:fill="ffffff"/>
        </w:rPr>
        <w:t xml:space="preserve">（厂名）</w:t>
      </w:r>
      <w:r>
        <w:rPr>
          <w:color w:val="auto"/>
          <w:highlight w:val="none"/>
          <w:shd w:val="clear" w:color="auto" w:fill="ffffff"/>
        </w:rPr>
        <w:t xml:space="preserve">，厂址为</w:t>
      </w:r>
      <w:r>
        <w:rPr>
          <w:color w:val="auto"/>
          <w:highlight w:val="none"/>
          <w:u w:val="single"/>
          <w:shd w:val="clear" w:color="auto" w:fill="ffffff"/>
        </w:rPr>
        <w:t xml:space="preserve">（生产厂址）</w:t>
      </w:r>
      <w:r>
        <w:rPr>
          <w:color w:val="auto"/>
          <w:highlight w:val="none"/>
          <w:shd w:val="clear" w:color="auto" w:fill="ffffff"/>
        </w:rPr>
        <w:t xml:space="preserve">。</w:t>
      </w:r>
      <w:r>
        <w:rPr>
          <w:color w:val="auto"/>
          <w:highlight w:val="none"/>
          <w:u w:val="single"/>
          <w:shd w:val="clear" w:color="auto" w:fill="ffffff"/>
        </w:rPr>
        <w:t xml:space="preserve"> / </w:t>
      </w:r>
      <w:r>
        <w:rPr>
          <w:color w:val="auto"/>
          <w:highlight w:val="none"/>
          <w:shd w:val="clear" w:color="auto" w:fill="ffffff"/>
        </w:rPr>
        <w:t xml:space="preserve">的中国境内生产的组件成本占比</w:t>
      </w:r>
      <w:r>
        <w:rPr>
          <w:rFonts w:hint="eastAsia"/>
          <w:color w:val="auto"/>
          <w:highlight w:val="none"/>
          <w:shd w:val="clear" w:color="auto" w:fill="ffffff"/>
        </w:rPr>
        <w:t xml:space="preserve">≥</w:t>
      </w:r>
      <w:r>
        <w:rPr>
          <w:color w:val="auto"/>
          <w:highlight w:val="none"/>
          <w:u w:val="single"/>
          <w:shd w:val="clear" w:color="auto" w:fill="ffffff"/>
        </w:rPr>
        <w:t xml:space="preserve"> /  </w:t>
      </w:r>
      <w:r>
        <w:rPr>
          <w:color w:val="auto"/>
          <w:highlight w:val="none"/>
          <w:shd w:val="clear" w:color="auto" w:fill="ffffff"/>
        </w:rPr>
        <w:t xml:space="preserve">。</w:t>
      </w:r>
      <w:r>
        <w:rPr>
          <w:color w:val="auto"/>
          <w:highlight w:val="none"/>
          <w:u w:val="single"/>
          <w:shd w:val="clear" w:color="auto" w:fill="ffffff"/>
        </w:rPr>
        <w:t xml:space="preserve">  /  </w:t>
      </w:r>
      <w:r>
        <w:rPr>
          <w:color w:val="auto"/>
          <w:highlight w:val="none"/>
          <w:shd w:val="clear" w:color="auto" w:fill="ffffff"/>
        </w:rPr>
        <w:t xml:space="preserve">的</w:t>
      </w:r>
      <w:r>
        <w:rPr>
          <w:color w:val="auto"/>
          <w:highlight w:val="none"/>
          <w:u w:val="single"/>
          <w:shd w:val="clear" w:color="auto" w:fill="ffffff"/>
        </w:rPr>
        <w:t xml:space="preserve">  /  </w:t>
      </w:r>
      <w:r>
        <w:rPr>
          <w:color w:val="auto"/>
          <w:highlight w:val="none"/>
          <w:shd w:val="clear" w:color="auto" w:fill="ffffff"/>
        </w:rPr>
        <w:t xml:space="preserve">在中国境内生产。</w:t>
      </w:r>
      <w:r>
        <w:rPr>
          <w:color w:val="auto"/>
          <w:highlight w:val="none"/>
          <w:u w:val="single"/>
          <w:shd w:val="clear" w:color="auto" w:fill="ffffff"/>
        </w:rPr>
        <w:t xml:space="preserve">  /  </w:t>
      </w:r>
      <w:r>
        <w:rPr>
          <w:color w:val="auto"/>
          <w:highlight w:val="none"/>
          <w:shd w:val="clear" w:color="auto" w:fill="ffffff"/>
        </w:rPr>
        <w:t xml:space="preserve">的</w:t>
      </w:r>
      <w:r>
        <w:rPr>
          <w:color w:val="auto"/>
          <w:highlight w:val="none"/>
          <w:u w:val="single"/>
          <w:shd w:val="clear" w:color="auto" w:fill="ffffff"/>
        </w:rPr>
        <w:t xml:space="preserve">  /  </w:t>
      </w:r>
      <w:r>
        <w:rPr>
          <w:color w:val="auto"/>
          <w:highlight w:val="none"/>
          <w:shd w:val="clear" w:color="auto" w:fill="ffffff"/>
        </w:rPr>
        <w:t xml:space="preserve">在中国境内完成</w:t>
      </w:r>
      <w:r>
        <w:rPr>
          <w:rFonts w:hint="eastAsia" w:cs="仿宋"/>
          <w:color w:val="auto"/>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2.</w:t>
      </w:r>
      <w:r>
        <w:rPr>
          <w:rFonts w:hint="eastAsia" w:ascii="宋体" w:hAnsi="宋体" w:cs="仿宋"/>
          <w:color w:val="auto"/>
          <w:sz w:val="24"/>
          <w:szCs w:val="24"/>
          <w:highlight w:val="none"/>
          <w:u w:val="single"/>
          <w:lang w:bidi="ar"/>
        </w:rPr>
        <w:t xml:space="preserve">智能雨量测量仪</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3.</w:t>
      </w:r>
      <w:r>
        <w:rPr>
          <w:rFonts w:hint="eastAsia" w:ascii="宋体" w:hAnsi="宋体" w:cs="仿宋"/>
          <w:color w:val="auto"/>
          <w:sz w:val="24"/>
          <w:szCs w:val="24"/>
          <w:highlight w:val="none"/>
          <w:u w:val="single"/>
          <w:lang w:bidi="ar"/>
        </w:rPr>
        <w:t xml:space="preserve">RTU</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4.</w:t>
      </w:r>
      <w:r>
        <w:rPr>
          <w:rFonts w:hint="eastAsia" w:ascii="宋体" w:hAnsi="宋体" w:cs="仿宋"/>
          <w:color w:val="auto"/>
          <w:sz w:val="24"/>
          <w:szCs w:val="24"/>
          <w:highlight w:val="none"/>
          <w:u w:val="single"/>
          <w:lang w:bidi="ar"/>
        </w:rPr>
        <w:t xml:space="preserve">蓄电池</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5.</w:t>
      </w:r>
      <w:r>
        <w:rPr>
          <w:rFonts w:hint="eastAsia" w:ascii="宋体" w:hAnsi="宋体" w:cs="仿宋"/>
          <w:color w:val="auto"/>
          <w:sz w:val="24"/>
          <w:szCs w:val="24"/>
          <w:highlight w:val="none"/>
          <w:u w:val="single"/>
          <w:lang w:bidi="ar"/>
        </w:rPr>
        <w:t xml:space="preserve">充电控制器</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6.</w:t>
      </w:r>
      <w:r>
        <w:rPr>
          <w:rFonts w:hint="eastAsia" w:ascii="宋体" w:hAnsi="宋体" w:cs="仿宋"/>
          <w:color w:val="auto"/>
          <w:sz w:val="24"/>
          <w:szCs w:val="24"/>
          <w:highlight w:val="none"/>
          <w:u w:val="single"/>
          <w:lang w:bidi="ar"/>
        </w:rPr>
        <w:t xml:space="preserve">太阳能板</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7.</w:t>
      </w:r>
      <w:r>
        <w:rPr>
          <w:rFonts w:hint="eastAsia" w:ascii="宋体" w:hAnsi="宋体" w:cs="仿宋"/>
          <w:color w:val="auto"/>
          <w:sz w:val="24"/>
          <w:szCs w:val="24"/>
          <w:highlight w:val="none"/>
          <w:u w:val="single"/>
          <w:lang w:bidi="ar"/>
        </w:rPr>
        <w:t xml:space="preserve">设备箱</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lang w:bidi="ar"/>
        </w:rPr>
      </w:pPr>
      <w:r>
        <w:rPr>
          <w:rFonts w:hint="eastAsia" w:ascii="宋体" w:hAnsi="宋体" w:cs="仿宋"/>
          <w:color w:val="auto"/>
          <w:sz w:val="24"/>
          <w:szCs w:val="24"/>
          <w:highlight w:val="none"/>
          <w:lang w:bidi="ar"/>
        </w:rPr>
        <w:t xml:space="preserve">8.</w:t>
      </w:r>
      <w:r>
        <w:rPr>
          <w:rFonts w:hint="eastAsia" w:ascii="宋体" w:hAnsi="宋体" w:cs="仿宋"/>
          <w:color w:val="auto"/>
          <w:sz w:val="24"/>
          <w:szCs w:val="24"/>
          <w:highlight w:val="none"/>
          <w:u w:val="single"/>
          <w:lang w:bidi="ar"/>
        </w:rPr>
        <w:t xml:space="preserve">水尺</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9.</w:t>
      </w:r>
      <w:r>
        <w:rPr>
          <w:rFonts w:hint="eastAsia" w:ascii="宋体" w:hAnsi="宋体" w:cs="仿宋"/>
          <w:color w:val="auto"/>
          <w:sz w:val="24"/>
          <w:szCs w:val="24"/>
          <w:highlight w:val="none"/>
          <w:u w:val="single"/>
          <w:lang w:bidi="ar"/>
        </w:rPr>
        <w:t xml:space="preserve">H-ADCP</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10.</w:t>
      </w:r>
      <w:r>
        <w:rPr>
          <w:rFonts w:hint="eastAsia" w:ascii="宋体" w:hAnsi="宋体" w:cs="仿宋"/>
          <w:color w:val="auto"/>
          <w:sz w:val="24"/>
          <w:szCs w:val="24"/>
          <w:highlight w:val="none"/>
          <w:u w:val="single"/>
          <w:lang w:bidi="ar"/>
        </w:rPr>
        <w:t xml:space="preserve">雷达水位计</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11.</w:t>
      </w:r>
      <w:r>
        <w:rPr>
          <w:rFonts w:hint="eastAsia" w:ascii="宋体" w:hAnsi="宋体" w:cs="仿宋"/>
          <w:color w:val="auto"/>
          <w:sz w:val="24"/>
          <w:szCs w:val="24"/>
          <w:highlight w:val="none"/>
          <w:u w:val="single"/>
          <w:lang w:bidi="ar"/>
        </w:rPr>
        <w:t xml:space="preserve">遥测终端机</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12.</w:t>
      </w:r>
      <w:r>
        <w:rPr>
          <w:rFonts w:hint="eastAsia" w:ascii="宋体" w:hAnsi="宋体" w:cs="仿宋"/>
          <w:color w:val="auto"/>
          <w:sz w:val="24"/>
          <w:szCs w:val="24"/>
          <w:highlight w:val="none"/>
          <w:u w:val="single"/>
          <w:lang w:bidi="ar"/>
        </w:rPr>
        <w:t xml:space="preserve">蓄电池</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13.</w:t>
      </w:r>
      <w:r>
        <w:rPr>
          <w:rFonts w:hint="eastAsia" w:ascii="宋体" w:hAnsi="宋体" w:cs="仿宋"/>
          <w:color w:val="auto"/>
          <w:sz w:val="24"/>
          <w:szCs w:val="24"/>
          <w:highlight w:val="none"/>
          <w:u w:val="single"/>
          <w:lang w:bidi="ar"/>
        </w:rPr>
        <w:t xml:space="preserve">太阳能板</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14.</w:t>
      </w:r>
      <w:r>
        <w:rPr>
          <w:rFonts w:hint="eastAsia" w:ascii="宋体" w:hAnsi="宋体" w:cs="仿宋"/>
          <w:color w:val="auto"/>
          <w:sz w:val="24"/>
          <w:szCs w:val="24"/>
          <w:highlight w:val="none"/>
          <w:u w:val="single"/>
          <w:lang w:bidi="ar"/>
        </w:rPr>
        <w:t xml:space="preserve">充电控制器</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15.</w:t>
      </w:r>
      <w:r>
        <w:rPr>
          <w:rFonts w:hint="eastAsia" w:ascii="宋体" w:hAnsi="宋体" w:cs="仿宋"/>
          <w:color w:val="auto"/>
          <w:sz w:val="24"/>
          <w:szCs w:val="24"/>
          <w:highlight w:val="none"/>
          <w:u w:val="single"/>
          <w:lang w:bidi="ar"/>
        </w:rPr>
        <w:t xml:space="preserve">设备箱</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16.</w:t>
      </w:r>
      <w:r>
        <w:rPr>
          <w:rFonts w:hint="eastAsia" w:ascii="宋体" w:hAnsi="宋体" w:cs="仿宋"/>
          <w:color w:val="auto"/>
          <w:sz w:val="24"/>
          <w:szCs w:val="24"/>
          <w:highlight w:val="none"/>
          <w:u w:val="single"/>
          <w:lang w:bidi="ar"/>
        </w:rPr>
        <w:t xml:space="preserve">闸位计</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1</w:t>
      </w:r>
      <w:r>
        <w:rPr>
          <w:rFonts w:ascii="宋体" w:hAnsi="宋体" w:cs="仿宋"/>
          <w:color w:val="auto"/>
          <w:sz w:val="24"/>
          <w:szCs w:val="24"/>
          <w:highlight w:val="none"/>
          <w:lang w:bidi="ar"/>
        </w:rPr>
        <w:t xml:space="preserve">7</w:t>
      </w:r>
      <w:r>
        <w:rPr>
          <w:rFonts w:hint="eastAsia" w:ascii="宋体" w:hAnsi="宋体" w:cs="仿宋"/>
          <w:color w:val="auto"/>
          <w:sz w:val="24"/>
          <w:szCs w:val="24"/>
          <w:highlight w:val="none"/>
          <w:lang w:bidi="ar"/>
        </w:rPr>
        <w:t xml:space="preserve">.</w:t>
      </w:r>
      <w:r>
        <w:rPr>
          <w:rFonts w:hint="eastAsia" w:ascii="宋体" w:hAnsi="宋体" w:cs="仿宋"/>
          <w:color w:val="auto"/>
          <w:sz w:val="24"/>
          <w:szCs w:val="24"/>
          <w:highlight w:val="none"/>
          <w:u w:val="single"/>
          <w:lang w:bidi="ar"/>
        </w:rPr>
        <w:t xml:space="preserve">遥测终端机</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1</w:t>
      </w:r>
      <w:r>
        <w:rPr>
          <w:rFonts w:ascii="宋体" w:hAnsi="宋体" w:cs="仿宋"/>
          <w:color w:val="auto"/>
          <w:sz w:val="24"/>
          <w:szCs w:val="24"/>
          <w:highlight w:val="none"/>
          <w:lang w:bidi="ar"/>
        </w:rPr>
        <w:t xml:space="preserve">8</w:t>
      </w: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u w:val="single"/>
        </w:rPr>
        <w:t xml:space="preserve">电源适配器</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1</w:t>
      </w:r>
      <w:r>
        <w:rPr>
          <w:rFonts w:ascii="宋体" w:hAnsi="宋体" w:cs="仿宋"/>
          <w:color w:val="auto"/>
          <w:sz w:val="24"/>
          <w:szCs w:val="24"/>
          <w:highlight w:val="none"/>
          <w:lang w:bidi="ar"/>
        </w:rPr>
        <w:t xml:space="preserve">9</w:t>
      </w:r>
      <w:r>
        <w:rPr>
          <w:rFonts w:hint="eastAsia" w:ascii="宋体" w:hAnsi="宋体" w:cs="仿宋"/>
          <w:color w:val="auto"/>
          <w:sz w:val="24"/>
          <w:szCs w:val="24"/>
          <w:highlight w:val="none"/>
          <w:lang w:bidi="ar"/>
        </w:rPr>
        <w:t xml:space="preserve">.</w:t>
      </w:r>
      <w:r>
        <w:rPr>
          <w:rFonts w:hint="eastAsia" w:ascii="宋体" w:hAnsi="宋体" w:cs="仿宋"/>
          <w:color w:val="auto"/>
          <w:sz w:val="24"/>
          <w:szCs w:val="24"/>
          <w:highlight w:val="none"/>
          <w:u w:val="single"/>
          <w:lang w:bidi="ar"/>
        </w:rPr>
        <w:t xml:space="preserve">设备箱</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20</w:t>
      </w:r>
      <w:r>
        <w:rPr>
          <w:rFonts w:hint="eastAsia" w:ascii="宋体" w:hAnsi="宋体" w:cs="仿宋"/>
          <w:color w:val="auto"/>
          <w:sz w:val="24"/>
          <w:szCs w:val="24"/>
          <w:highlight w:val="none"/>
          <w:lang w:bidi="ar"/>
        </w:rPr>
        <w:t xml:space="preserve">.</w:t>
      </w:r>
      <w:r>
        <w:rPr>
          <w:rFonts w:hint="eastAsia" w:ascii="宋体" w:hAnsi="宋体" w:cs="仿宋"/>
          <w:color w:val="auto"/>
          <w:sz w:val="24"/>
          <w:szCs w:val="24"/>
          <w:highlight w:val="none"/>
          <w:u w:val="single"/>
          <w:lang w:bidi="ar"/>
        </w:rPr>
        <w:t xml:space="preserve">高清视频球机</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21</w:t>
      </w:r>
      <w:r>
        <w:rPr>
          <w:rFonts w:hint="eastAsia" w:ascii="宋体" w:hAnsi="宋体" w:cs="仿宋"/>
          <w:color w:val="auto"/>
          <w:sz w:val="24"/>
          <w:szCs w:val="24"/>
          <w:highlight w:val="none"/>
          <w:lang w:bidi="ar"/>
        </w:rPr>
        <w:t xml:space="preserve">.</w:t>
      </w:r>
      <w:r>
        <w:rPr>
          <w:rFonts w:hint="eastAsia" w:ascii="宋体" w:hAnsi="宋体" w:cs="仿宋"/>
          <w:color w:val="auto"/>
          <w:sz w:val="24"/>
          <w:szCs w:val="24"/>
          <w:highlight w:val="none"/>
          <w:u w:val="single"/>
          <w:lang w:bidi="ar"/>
        </w:rPr>
        <w:t xml:space="preserve">防雷设备</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22</w:t>
      </w: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u w:val="single"/>
        </w:rPr>
        <w:t xml:space="preserve">电源箱</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23</w:t>
      </w: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u w:val="single"/>
        </w:rPr>
        <w:t xml:space="preserve">鸟类智能识别探头</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24</w:t>
      </w: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u w:val="single"/>
        </w:rPr>
        <w:t xml:space="preserve">鸟类鸣声监测设备</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25</w:t>
      </w: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u w:val="single"/>
        </w:rPr>
        <w:t xml:space="preserve">可移动望远镜</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26</w:t>
      </w: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u w:val="single"/>
        </w:rPr>
        <w:t xml:space="preserve">控制终端</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27</w:t>
      </w: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u w:val="single"/>
        </w:rPr>
        <w:t xml:space="preserve">无人机</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28</w:t>
      </w: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u w:val="single"/>
        </w:rPr>
        <w:t xml:space="preserve">无人机场</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29</w:t>
      </w: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u w:val="single"/>
        </w:rPr>
        <w:t xml:space="preserve">无人机</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30</w:t>
      </w: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u w:val="single"/>
        </w:rPr>
        <w:t xml:space="preserve">遥控器</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31</w:t>
      </w: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u w:val="single"/>
        </w:rPr>
        <w:t xml:space="preserve">图传模块</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32</w:t>
      </w: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u w:val="single"/>
        </w:rPr>
        <w:t xml:space="preserve">喊话器</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33</w:t>
      </w:r>
      <w:r>
        <w:rPr>
          <w:rFonts w:hint="eastAsia" w:ascii="宋体" w:hAnsi="宋体" w:cs="仿宋"/>
          <w:color w:val="auto"/>
          <w:sz w:val="24"/>
          <w:szCs w:val="24"/>
          <w:highlight w:val="none"/>
          <w:lang w:bidi="ar"/>
        </w:rPr>
        <w:t xml:space="preserve">.</w:t>
      </w:r>
      <w:r>
        <w:rPr>
          <w:rFonts w:hint="eastAsia" w:ascii="宋体" w:hAnsi="宋体" w:cs="宋体"/>
          <w:color w:val="auto"/>
          <w:sz w:val="24"/>
          <w:szCs w:val="24"/>
          <w:highlight w:val="none"/>
          <w:u w:val="single"/>
        </w:rPr>
        <w:t xml:space="preserve">探照灯</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3</w:t>
      </w:r>
      <w:r>
        <w:rPr>
          <w:rFonts w:hint="eastAsia" w:ascii="宋体" w:hAnsi="宋体" w:cs="仿宋"/>
          <w:color w:val="auto"/>
          <w:sz w:val="24"/>
          <w:szCs w:val="24"/>
          <w:highlight w:val="none"/>
          <w:lang w:bidi="ar"/>
        </w:rPr>
        <w:t xml:space="preserve">4.</w:t>
      </w:r>
      <w:r>
        <w:rPr>
          <w:rFonts w:hint="eastAsia" w:ascii="宋体" w:hAnsi="宋体" w:cs="宋体"/>
          <w:color w:val="auto"/>
          <w:sz w:val="24"/>
          <w:szCs w:val="24"/>
          <w:highlight w:val="none"/>
          <w:u w:val="single"/>
        </w:rPr>
        <w:t xml:space="preserve">监测站房</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3</w:t>
      </w:r>
      <w:r>
        <w:rPr>
          <w:rFonts w:hint="eastAsia" w:ascii="宋体" w:hAnsi="宋体" w:cs="仿宋"/>
          <w:color w:val="auto"/>
          <w:sz w:val="24"/>
          <w:szCs w:val="24"/>
          <w:highlight w:val="none"/>
          <w:lang w:bidi="ar"/>
        </w:rPr>
        <w:t xml:space="preserve">5.</w:t>
      </w:r>
      <w:r>
        <w:rPr>
          <w:rFonts w:hint="eastAsia" w:ascii="宋体" w:hAnsi="宋体" w:cs="宋体"/>
          <w:color w:val="auto"/>
          <w:sz w:val="24"/>
          <w:szCs w:val="24"/>
          <w:highlight w:val="none"/>
          <w:u w:val="single"/>
        </w:rPr>
        <w:t xml:space="preserve">水样预处理装置设备</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3</w:t>
      </w:r>
      <w:r>
        <w:rPr>
          <w:rFonts w:hint="eastAsia" w:ascii="宋体" w:hAnsi="宋体" w:cs="仿宋"/>
          <w:color w:val="auto"/>
          <w:sz w:val="24"/>
          <w:szCs w:val="24"/>
          <w:highlight w:val="none"/>
          <w:lang w:bidi="ar"/>
        </w:rPr>
        <w:t xml:space="preserve">6.</w:t>
      </w:r>
      <w:r>
        <w:rPr>
          <w:rFonts w:hint="eastAsia" w:ascii="宋体" w:hAnsi="宋体" w:cs="宋体"/>
          <w:color w:val="auto"/>
          <w:sz w:val="24"/>
          <w:szCs w:val="24"/>
          <w:highlight w:val="none"/>
          <w:u w:val="single"/>
        </w:rPr>
        <w:t xml:space="preserve">配水装置设备</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3</w:t>
      </w:r>
      <w:r>
        <w:rPr>
          <w:rFonts w:hint="eastAsia" w:ascii="宋体" w:hAnsi="宋体" w:cs="仿宋"/>
          <w:color w:val="auto"/>
          <w:sz w:val="24"/>
          <w:szCs w:val="24"/>
          <w:highlight w:val="none"/>
          <w:lang w:bidi="ar"/>
        </w:rPr>
        <w:t xml:space="preserve">7.</w:t>
      </w:r>
      <w:r>
        <w:rPr>
          <w:rFonts w:hint="eastAsia" w:ascii="宋体" w:hAnsi="宋体" w:cs="宋体"/>
          <w:color w:val="auto"/>
          <w:sz w:val="24"/>
          <w:szCs w:val="24"/>
          <w:highlight w:val="none"/>
          <w:u w:val="single"/>
        </w:rPr>
        <w:t xml:space="preserve">控制单元设备</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lang w:bidi="ar"/>
        </w:rPr>
      </w:pPr>
      <w:r>
        <w:rPr>
          <w:rFonts w:hint="eastAsia" w:ascii="宋体" w:hAnsi="宋体" w:cs="宋体"/>
          <w:color w:val="auto"/>
          <w:sz w:val="24"/>
          <w:szCs w:val="24"/>
          <w:highlight w:val="none"/>
        </w:rPr>
        <w:t xml:space="preserve">38.</w:t>
      </w:r>
      <w:r>
        <w:rPr>
          <w:rFonts w:hint="eastAsia" w:ascii="宋体" w:hAnsi="宋体" w:cs="宋体"/>
          <w:color w:val="auto"/>
          <w:sz w:val="24"/>
          <w:szCs w:val="24"/>
          <w:highlight w:val="none"/>
          <w:u w:val="single"/>
        </w:rPr>
        <w:t xml:space="preserve">质控单元</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39.</w:t>
      </w:r>
      <w:r>
        <w:rPr>
          <w:rFonts w:hint="eastAsia" w:ascii="宋体" w:hAnsi="宋体" w:cs="宋体"/>
          <w:color w:val="auto"/>
          <w:sz w:val="24"/>
          <w:szCs w:val="24"/>
          <w:highlight w:val="none"/>
          <w:u w:val="single"/>
        </w:rPr>
        <w:t xml:space="preserve">数据采集传输设备</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hint="eastAsia" w:ascii="宋体" w:hAnsi="宋体" w:cs="仿宋"/>
          <w:color w:val="auto"/>
          <w:sz w:val="24"/>
          <w:szCs w:val="24"/>
          <w:highlight w:val="none"/>
          <w:lang w:bidi="ar"/>
        </w:rPr>
        <w:t xml:space="preserve">40.</w:t>
      </w:r>
      <w:r>
        <w:rPr>
          <w:rFonts w:hint="eastAsia" w:ascii="宋体" w:hAnsi="宋体" w:cs="宋体"/>
          <w:color w:val="auto"/>
          <w:sz w:val="24"/>
          <w:szCs w:val="24"/>
          <w:highlight w:val="none"/>
          <w:u w:val="single"/>
        </w:rPr>
        <w:t xml:space="preserve">环境集成配套设备</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4</w:t>
      </w:r>
      <w:r>
        <w:rPr>
          <w:rFonts w:hint="eastAsia" w:ascii="宋体" w:hAnsi="宋体" w:cs="仿宋"/>
          <w:color w:val="auto"/>
          <w:sz w:val="24"/>
          <w:szCs w:val="24"/>
          <w:highlight w:val="none"/>
          <w:lang w:bidi="ar"/>
        </w:rPr>
        <w:t xml:space="preserve">1.</w:t>
      </w:r>
      <w:r>
        <w:rPr>
          <w:rFonts w:hint="eastAsia" w:ascii="宋体" w:hAnsi="宋体" w:cs="宋体"/>
          <w:color w:val="auto"/>
          <w:sz w:val="24"/>
          <w:szCs w:val="24"/>
          <w:highlight w:val="none"/>
          <w:u w:val="single"/>
        </w:rPr>
        <w:t xml:space="preserve">电力设施及监控设备</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4</w:t>
      </w:r>
      <w:r>
        <w:rPr>
          <w:rFonts w:hint="eastAsia" w:ascii="宋体" w:hAnsi="宋体" w:cs="仿宋"/>
          <w:color w:val="auto"/>
          <w:sz w:val="24"/>
          <w:szCs w:val="24"/>
          <w:highlight w:val="none"/>
          <w:lang w:bidi="ar"/>
        </w:rPr>
        <w:t xml:space="preserve">2.</w:t>
      </w:r>
      <w:r>
        <w:rPr>
          <w:rFonts w:hint="eastAsia" w:ascii="宋体" w:hAnsi="宋体" w:cs="仿宋"/>
          <w:color w:val="auto"/>
          <w:sz w:val="24"/>
          <w:szCs w:val="24"/>
          <w:highlight w:val="none"/>
          <w:u w:val="single"/>
          <w:lang w:bidi="ar"/>
        </w:rPr>
        <w:t xml:space="preserve">留样单元</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4</w:t>
      </w:r>
      <w:r>
        <w:rPr>
          <w:rFonts w:hint="eastAsia" w:ascii="宋体" w:hAnsi="宋体" w:cs="仿宋"/>
          <w:color w:val="auto"/>
          <w:sz w:val="24"/>
          <w:szCs w:val="24"/>
          <w:highlight w:val="none"/>
          <w:lang w:bidi="ar"/>
        </w:rPr>
        <w:t xml:space="preserve">3.</w:t>
      </w:r>
      <w:r>
        <w:rPr>
          <w:rFonts w:hint="eastAsia" w:ascii="宋体" w:hAnsi="宋体" w:cs="仿宋"/>
          <w:color w:val="auto"/>
          <w:sz w:val="24"/>
          <w:szCs w:val="24"/>
          <w:highlight w:val="none"/>
          <w:u w:val="single"/>
          <w:lang w:bidi="ar"/>
        </w:rPr>
        <w:t xml:space="preserve">多普勒流速仪</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4</w:t>
      </w:r>
      <w:r>
        <w:rPr>
          <w:rFonts w:hint="eastAsia" w:ascii="宋体" w:hAnsi="宋体" w:cs="仿宋"/>
          <w:color w:val="auto"/>
          <w:sz w:val="24"/>
          <w:szCs w:val="24"/>
          <w:highlight w:val="none"/>
          <w:lang w:bidi="ar"/>
        </w:rPr>
        <w:t xml:space="preserve">4.</w:t>
      </w:r>
      <w:r>
        <w:rPr>
          <w:rFonts w:hint="eastAsia" w:ascii="宋体" w:hAnsi="宋体" w:cs="宋体"/>
          <w:color w:val="auto"/>
          <w:sz w:val="24"/>
          <w:szCs w:val="24"/>
          <w:highlight w:val="none"/>
          <w:u w:val="single"/>
        </w:rPr>
        <w:t xml:space="preserve">高锰酸盐指数在线监测仪</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4</w:t>
      </w:r>
      <w:r>
        <w:rPr>
          <w:rFonts w:hint="eastAsia" w:ascii="宋体" w:hAnsi="宋体" w:cs="仿宋"/>
          <w:color w:val="auto"/>
          <w:sz w:val="24"/>
          <w:szCs w:val="24"/>
          <w:highlight w:val="none"/>
          <w:lang w:bidi="ar"/>
        </w:rPr>
        <w:t xml:space="preserve">5.</w:t>
      </w:r>
      <w:r>
        <w:rPr>
          <w:rFonts w:hint="eastAsia" w:ascii="宋体" w:hAnsi="宋体" w:cs="宋体"/>
          <w:color w:val="auto"/>
          <w:sz w:val="24"/>
          <w:szCs w:val="24"/>
          <w:highlight w:val="none"/>
          <w:u w:val="single"/>
        </w:rPr>
        <w:t xml:space="preserve">氨氮在线监测仪</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4</w:t>
      </w:r>
      <w:r>
        <w:rPr>
          <w:rFonts w:hint="eastAsia" w:ascii="宋体" w:hAnsi="宋体" w:cs="仿宋"/>
          <w:color w:val="auto"/>
          <w:sz w:val="24"/>
          <w:szCs w:val="24"/>
          <w:highlight w:val="none"/>
          <w:lang w:bidi="ar"/>
        </w:rPr>
        <w:t xml:space="preserve">6.</w:t>
      </w:r>
      <w:r>
        <w:rPr>
          <w:rFonts w:hint="eastAsia" w:ascii="宋体" w:hAnsi="宋体" w:cs="宋体"/>
          <w:color w:val="auto"/>
          <w:sz w:val="24"/>
          <w:szCs w:val="24"/>
          <w:highlight w:val="none"/>
          <w:u w:val="single"/>
        </w:rPr>
        <w:t xml:space="preserve">总磷在线监测仪</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4</w:t>
      </w:r>
      <w:r>
        <w:rPr>
          <w:rFonts w:hint="eastAsia" w:ascii="宋体" w:hAnsi="宋体" w:cs="仿宋"/>
          <w:color w:val="auto"/>
          <w:sz w:val="24"/>
          <w:szCs w:val="24"/>
          <w:highlight w:val="none"/>
          <w:lang w:bidi="ar"/>
        </w:rPr>
        <w:t xml:space="preserve">7.</w:t>
      </w:r>
      <w:r>
        <w:rPr>
          <w:rFonts w:hint="eastAsia" w:ascii="宋体" w:hAnsi="宋体" w:cs="宋体"/>
          <w:color w:val="auto"/>
          <w:sz w:val="24"/>
          <w:szCs w:val="24"/>
          <w:highlight w:val="none"/>
          <w:u w:val="single"/>
        </w:rPr>
        <w:t xml:space="preserve">总氮在线监测仪</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ind w:firstLine="480"/>
        <w:spacing w:line="440" w:lineRule="exact"/>
        <w:rPr>
          <w:rFonts w:ascii="宋体" w:hAnsi="宋体" w:cs="仿宋"/>
          <w:color w:val="auto"/>
          <w:sz w:val="24"/>
          <w:szCs w:val="24"/>
          <w:highlight w:val="none"/>
        </w:rPr>
      </w:pPr>
      <w:r>
        <w:rPr>
          <w:rFonts w:ascii="宋体" w:hAnsi="宋体" w:cs="仿宋"/>
          <w:color w:val="auto"/>
          <w:sz w:val="24"/>
          <w:szCs w:val="24"/>
          <w:highlight w:val="none"/>
          <w:lang w:bidi="ar"/>
        </w:rPr>
        <w:t xml:space="preserve">4</w:t>
      </w:r>
      <w:r>
        <w:rPr>
          <w:rFonts w:hint="eastAsia" w:ascii="宋体" w:hAnsi="宋体" w:cs="仿宋"/>
          <w:color w:val="auto"/>
          <w:sz w:val="24"/>
          <w:szCs w:val="24"/>
          <w:highlight w:val="none"/>
          <w:lang w:bidi="ar"/>
        </w:rPr>
        <w:t xml:space="preserve">8.</w:t>
      </w:r>
      <w:r>
        <w:rPr>
          <w:rFonts w:hint="eastAsia" w:ascii="宋体" w:hAnsi="宋体" w:cs="宋体"/>
          <w:color w:val="auto"/>
          <w:sz w:val="24"/>
          <w:szCs w:val="24"/>
          <w:highlight w:val="none"/>
          <w:u w:val="single"/>
        </w:rPr>
        <w:t xml:space="preserve">常规五参数分析仪</w:t>
      </w:r>
      <w:r>
        <w:rPr>
          <w:rFonts w:hint="eastAsia" w:ascii="宋体" w:hAnsi="宋体" w:cs="仿宋"/>
          <w:color w:val="auto"/>
          <w:sz w:val="24"/>
          <w:szCs w:val="24"/>
          <w:highlight w:val="none"/>
          <w:lang w:bidi="ar"/>
        </w:rPr>
        <w:t xml:space="preserve">，</w:t>
      </w:r>
      <w:r>
        <w:rPr>
          <w:color w:val="auto"/>
          <w:sz w:val="24"/>
          <w:szCs w:val="24"/>
          <w:highlight w:val="none"/>
          <w:shd w:val="clear" w:color="auto" w:fill="ffffff"/>
        </w:rPr>
        <w:t xml:space="preserve">生产厂为</w:t>
      </w:r>
      <w:r>
        <w:rPr>
          <w:color w:val="auto"/>
          <w:sz w:val="24"/>
          <w:szCs w:val="24"/>
          <w:highlight w:val="none"/>
          <w:u w:val="single"/>
          <w:shd w:val="clear" w:color="auto" w:fill="ffffff"/>
        </w:rPr>
        <w:t xml:space="preserve">（厂名）</w:t>
      </w:r>
      <w:r>
        <w:rPr>
          <w:color w:val="auto"/>
          <w:sz w:val="24"/>
          <w:szCs w:val="24"/>
          <w:highlight w:val="none"/>
          <w:shd w:val="clear" w:color="auto" w:fill="ffffff"/>
        </w:rPr>
        <w:t xml:space="preserve">，厂址为</w:t>
      </w:r>
      <w:r>
        <w:rPr>
          <w:color w:val="auto"/>
          <w:sz w:val="24"/>
          <w:szCs w:val="24"/>
          <w:highlight w:val="none"/>
          <w:u w:val="single"/>
          <w:shd w:val="clear" w:color="auto" w:fill="ffffff"/>
        </w:rPr>
        <w:t xml:space="preserve">（生产厂址）</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的中国境内生产的组件成本占比</w:t>
      </w:r>
      <w:r>
        <w:rPr>
          <w:rFonts w:hint="eastAsia"/>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在中国境内生产。</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的</w:t>
      </w:r>
      <w:r>
        <w:rPr>
          <w:color w:val="auto"/>
          <w:sz w:val="24"/>
          <w:szCs w:val="24"/>
          <w:highlight w:val="none"/>
          <w:u w:val="single"/>
          <w:shd w:val="clear" w:color="auto" w:fill="ffffff"/>
        </w:rPr>
        <w:t xml:space="preserve">  /  </w:t>
      </w:r>
      <w:r>
        <w:rPr>
          <w:color w:val="auto"/>
          <w:sz w:val="24"/>
          <w:szCs w:val="24"/>
          <w:highlight w:val="none"/>
          <w:shd w:val="clear" w:color="auto" w:fill="ffffff"/>
        </w:rPr>
        <w:t xml:space="preserve">在中国境内完成</w:t>
      </w:r>
      <w:r>
        <w:rPr>
          <w:rFonts w:hint="eastAsia" w:ascii="宋体" w:hAnsi="宋体" w:cs="仿宋"/>
          <w:color w:val="auto"/>
          <w:sz w:val="24"/>
          <w:szCs w:val="24"/>
          <w:highlight w:val="none"/>
          <w:lang w:bidi="ar"/>
        </w:rPr>
        <w:t xml:space="preserve">；</w:t>
      </w:r>
      <w:r/>
    </w:p>
    <w:p>
      <w:pPr>
        <w:pStyle w:val="848"/>
        <w:ind w:firstLine="420"/>
        <w:spacing w:before="30" w:beforeAutospacing="0" w:after="30" w:afterAutospacing="0" w:line="0" w:lineRule="atLeast"/>
        <w:widowControl w:val="off"/>
        <w:rPr>
          <w:rFonts w:cs="仿宋"/>
          <w:color w:val="auto"/>
          <w:highlight w:val="none"/>
          <w:lang w:bidi="ar"/>
        </w:rPr>
      </w:pPr>
      <w:r>
        <w:rPr>
          <w:rFonts w:hint="eastAsia" w:cs="仿宋"/>
          <w:color w:val="auto"/>
          <w:highlight w:val="none"/>
          <w:lang w:bidi="ar"/>
        </w:rPr>
        <w:t xml:space="preserve">49.</w:t>
      </w:r>
      <w:r>
        <w:rPr>
          <w:rFonts w:hint="eastAsia"/>
          <w:color w:val="auto"/>
          <w:highlight w:val="none"/>
          <w:u w:val="single"/>
        </w:rPr>
        <w:t xml:space="preserve">蓝绿藻监测仪</w:t>
      </w:r>
      <w:r>
        <w:rPr>
          <w:rFonts w:hint="eastAsia" w:cs="仿宋"/>
          <w:color w:val="auto"/>
          <w:highlight w:val="none"/>
          <w:lang w:bidi="ar"/>
        </w:rPr>
        <w:t xml:space="preserve">，</w:t>
      </w:r>
      <w:r>
        <w:rPr>
          <w:color w:val="auto"/>
          <w:highlight w:val="none"/>
          <w:shd w:val="clear" w:color="auto" w:fill="ffffff"/>
        </w:rPr>
        <w:t xml:space="preserve">生产厂为</w:t>
      </w:r>
      <w:r>
        <w:rPr>
          <w:color w:val="auto"/>
          <w:highlight w:val="none"/>
          <w:u w:val="single"/>
          <w:shd w:val="clear" w:color="auto" w:fill="ffffff"/>
        </w:rPr>
        <w:t xml:space="preserve">（厂名）</w:t>
      </w:r>
      <w:r>
        <w:rPr>
          <w:color w:val="auto"/>
          <w:highlight w:val="none"/>
          <w:shd w:val="clear" w:color="auto" w:fill="ffffff"/>
        </w:rPr>
        <w:t xml:space="preserve">，厂址为</w:t>
      </w:r>
      <w:r>
        <w:rPr>
          <w:color w:val="auto"/>
          <w:highlight w:val="none"/>
          <w:u w:val="single"/>
          <w:shd w:val="clear" w:color="auto" w:fill="ffffff"/>
        </w:rPr>
        <w:t xml:space="preserve">（生产厂址）</w:t>
      </w:r>
      <w:r>
        <w:rPr>
          <w:color w:val="auto"/>
          <w:highlight w:val="none"/>
          <w:shd w:val="clear" w:color="auto" w:fill="ffffff"/>
        </w:rPr>
        <w:t xml:space="preserve">。</w:t>
      </w:r>
      <w:r>
        <w:rPr>
          <w:color w:val="auto"/>
          <w:highlight w:val="none"/>
          <w:u w:val="single"/>
          <w:shd w:val="clear" w:color="auto" w:fill="ffffff"/>
        </w:rPr>
        <w:t xml:space="preserve"> / </w:t>
      </w:r>
      <w:r>
        <w:rPr>
          <w:color w:val="auto"/>
          <w:highlight w:val="none"/>
          <w:shd w:val="clear" w:color="auto" w:fill="ffffff"/>
        </w:rPr>
        <w:t xml:space="preserve">的中国境内生产的组件成本占比</w:t>
      </w:r>
      <w:r>
        <w:rPr>
          <w:rFonts w:hint="eastAsia"/>
          <w:color w:val="auto"/>
          <w:highlight w:val="none"/>
          <w:shd w:val="clear" w:color="auto" w:fill="ffffff"/>
        </w:rPr>
        <w:t xml:space="preserve">≥</w:t>
      </w:r>
      <w:r>
        <w:rPr>
          <w:color w:val="auto"/>
          <w:highlight w:val="none"/>
          <w:u w:val="single"/>
          <w:shd w:val="clear" w:color="auto" w:fill="ffffff"/>
        </w:rPr>
        <w:t xml:space="preserve"> /  </w:t>
      </w:r>
      <w:r>
        <w:rPr>
          <w:color w:val="auto"/>
          <w:highlight w:val="none"/>
          <w:shd w:val="clear" w:color="auto" w:fill="ffffff"/>
        </w:rPr>
        <w:t xml:space="preserve">。</w:t>
      </w:r>
      <w:r>
        <w:rPr>
          <w:color w:val="auto"/>
          <w:highlight w:val="none"/>
          <w:u w:val="single"/>
          <w:shd w:val="clear" w:color="auto" w:fill="ffffff"/>
        </w:rPr>
        <w:t xml:space="preserve">  /  </w:t>
      </w:r>
      <w:r>
        <w:rPr>
          <w:color w:val="auto"/>
          <w:highlight w:val="none"/>
          <w:shd w:val="clear" w:color="auto" w:fill="ffffff"/>
        </w:rPr>
        <w:t xml:space="preserve">的</w:t>
      </w:r>
      <w:r>
        <w:rPr>
          <w:color w:val="auto"/>
          <w:highlight w:val="none"/>
          <w:u w:val="single"/>
          <w:shd w:val="clear" w:color="auto" w:fill="ffffff"/>
        </w:rPr>
        <w:t xml:space="preserve">  /  </w:t>
      </w:r>
      <w:r>
        <w:rPr>
          <w:color w:val="auto"/>
          <w:highlight w:val="none"/>
          <w:shd w:val="clear" w:color="auto" w:fill="ffffff"/>
        </w:rPr>
        <w:t xml:space="preserve">在中国境内生产。</w:t>
      </w:r>
      <w:r>
        <w:rPr>
          <w:color w:val="auto"/>
          <w:highlight w:val="none"/>
          <w:u w:val="single"/>
          <w:shd w:val="clear" w:color="auto" w:fill="ffffff"/>
        </w:rPr>
        <w:t xml:space="preserve">  /  </w:t>
      </w:r>
      <w:r>
        <w:rPr>
          <w:color w:val="auto"/>
          <w:highlight w:val="none"/>
          <w:shd w:val="clear" w:color="auto" w:fill="ffffff"/>
        </w:rPr>
        <w:t xml:space="preserve">的</w:t>
      </w:r>
      <w:r>
        <w:rPr>
          <w:color w:val="auto"/>
          <w:highlight w:val="none"/>
          <w:u w:val="single"/>
          <w:shd w:val="clear" w:color="auto" w:fill="ffffff"/>
        </w:rPr>
        <w:t xml:space="preserve">  /  </w:t>
      </w:r>
      <w:r>
        <w:rPr>
          <w:color w:val="auto"/>
          <w:highlight w:val="none"/>
          <w:shd w:val="clear" w:color="auto" w:fill="ffffff"/>
        </w:rPr>
        <w:t xml:space="preserve">在中国境内完成</w:t>
      </w:r>
      <w:r>
        <w:rPr>
          <w:rFonts w:hint="eastAsia" w:cs="仿宋"/>
          <w:color w:val="auto"/>
          <w:highlight w:val="none"/>
          <w:lang w:bidi="ar"/>
        </w:rPr>
        <w:t xml:space="preserve">；</w:t>
      </w:r>
      <w:r/>
    </w:p>
    <w:p>
      <w:pPr>
        <w:pStyle w:val="848"/>
        <w:ind w:firstLine="420"/>
        <w:spacing w:before="30" w:beforeAutospacing="0" w:after="30" w:afterAutospacing="0" w:line="0" w:lineRule="atLeast"/>
        <w:widowControl w:val="off"/>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848"/>
        <w:ind w:firstLine="420"/>
        <w:spacing w:before="30" w:beforeAutospacing="0" w:after="30" w:afterAutospacing="0" w:line="0" w:lineRule="atLeast"/>
        <w:widowControl w:val="off"/>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848"/>
        <w:spacing w:before="30" w:beforeAutospacing="0" w:after="30" w:afterAutospacing="0" w:line="0" w:lineRule="atLeast"/>
        <w:widowControl w:val="off"/>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48"/>
        <w:ind w:right="480" w:firstLine="3720"/>
        <w:spacing w:before="30" w:beforeAutospacing="0" w:after="30" w:afterAutospacing="0" w:line="0" w:lineRule="atLeast"/>
        <w:widowControl w:val="off"/>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848"/>
        <w:jc w:val="center"/>
        <w:spacing w:before="30" w:beforeAutospacing="0" w:after="30" w:afterAutospacing="0" w:line="0" w:lineRule="atLeast"/>
        <w:widowControl w:val="off"/>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848"/>
        <w:spacing w:before="30" w:beforeAutospacing="0" w:after="30" w:afterAutospacing="0" w:line="0" w:lineRule="atLeast"/>
        <w:widowControl w:val="off"/>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48"/>
        <w:spacing w:before="30" w:beforeAutospacing="0" w:after="30" w:afterAutospacing="0" w:line="0" w:lineRule="atLeast"/>
        <w:widowControl w:val="off"/>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48"/>
        <w:spacing w:before="30" w:beforeAutospacing="0" w:after="30" w:afterAutospacing="0" w:line="0" w:lineRule="atLeast"/>
        <w:widowControl w:val="off"/>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48"/>
        <w:spacing w:before="30" w:beforeAutospacing="0" w:after="30" w:afterAutospacing="0" w:line="0" w:lineRule="atLeast"/>
        <w:widowControl w:val="off"/>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48"/>
        <w:spacing w:before="30" w:beforeAutospacing="0" w:after="30" w:afterAutospacing="0" w:line="0" w:lineRule="atLeast"/>
        <w:widowControl w:val="off"/>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48"/>
        <w:spacing w:before="30" w:beforeAutospacing="0" w:after="30" w:afterAutospacing="0" w:line="0" w:lineRule="atLeast"/>
        <w:widowControl w:val="off"/>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48"/>
        <w:spacing w:before="30" w:beforeAutospacing="0" w:after="30" w:afterAutospacing="0" w:line="0" w:lineRule="atLeast"/>
        <w:widowControl w:val="off"/>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sectPr>
      <w:footerReference w:type="default" r:id="rId14"/>
      <w:footerReference w:type="first" r:id="rId15"/>
      <w:footnotePr/>
      <w:endnotePr/>
      <w:type w:val="nextPage"/>
      <w:pgSz w:w="11906" w:h="16838" w:orient="portrait"/>
      <w:pgMar w:top="771" w:right="720" w:bottom="993" w:left="720" w:header="231" w:footer="45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mbria">
    <w:panose1 w:val="02040503050406030204"/>
  </w:font>
  <w:font w:name="仿宋">
    <w:panose1 w:val="02010609060101010101"/>
  </w:font>
  <w:font w:name="等线 Light">
    <w:panose1 w:val="02010600030101010101"/>
  </w:font>
  <w:font w:name="Berlin Sans FB Demi">
    <w:panose1 w:val="020E0802020502020306"/>
  </w:font>
  <w:font w:name="方正魏碑_GBK">
    <w:panose1 w:val="020B0503020202020204"/>
  </w:font>
  <w:font w:name="Calibri Light">
    <w:panose1 w:val="020F0302020204030204"/>
  </w:font>
  <w:font w:name="方正黑体_GBK">
    <w:panose1 w:val="020B0503020202020204"/>
  </w:font>
  <w:font w:name="Courier New">
    <w:panose1 w:val="020703090202050204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Microsoft YaHei UI">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ind w:firstLine="360"/>
      <w:rPr>
        <w:rStyle w:val="1061"/>
        <w:rFonts w:ascii="宋体" w:hAnsi="宋体"/>
      </w:rPr>
      <w:framePr w:wrap="around" w:vAnchor="text" w:hAnchor="margin" w:xAlign="center" w:y="1"/>
    </w:pPr>
    <w:r>
      <w:rPr>
        <w:rFonts w:ascii="宋体" w:hAnsi="宋体"/>
      </w:rPr>
      <w:fldChar w:fldCharType="begin"/>
    </w:r>
    <w:r>
      <w:rPr>
        <w:rStyle w:val="1061"/>
        <w:rFonts w:ascii="宋体" w:hAnsi="宋体"/>
      </w:rPr>
      <w:instrText xml:space="preserve">PAGE  </w:instrText>
    </w:r>
    <w:r>
      <w:rPr>
        <w:rFonts w:ascii="宋体" w:hAnsi="宋体"/>
      </w:rPr>
      <w:fldChar w:fldCharType="separate"/>
    </w:r>
    <w:r>
      <w:rPr>
        <w:rStyle w:val="1061"/>
        <w:rFonts w:ascii="宋体" w:hAnsi="宋体"/>
      </w:rPr>
      <w:t xml:space="preserve">38</w:t>
    </w:r>
    <w:r>
      <w:rPr>
        <w:rFonts w:ascii="宋体" w:hAnsi="宋体"/>
      </w:rPr>
      <w:fldChar w:fldCharType="end"/>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ind w:firstLine="360"/>
      <w:rPr>
        <w:rStyle w:val="1061"/>
      </w:rPr>
      <w:framePr w:wrap="around" w:vAnchor="text" w:hAnchor="margin" w:xAlign="center" w:y="1"/>
    </w:pPr>
    <w:r>
      <w:fldChar w:fldCharType="begin"/>
    </w:r>
    <w:r>
      <w:rPr>
        <w:rStyle w:val="1061"/>
      </w:rPr>
      <w:instrText xml:space="preserve">PAGE  </w:instrText>
    </w:r>
    <w:r>
      <w:fldChar w:fldCharType="separate"/>
    </w:r>
    <w:r>
      <w:rPr>
        <w:rStyle w:val="1061"/>
      </w:rPr>
      <w:t xml:space="preserve">1</w:t>
    </w:r>
    <w:r>
      <w:fldChar w:fldCharType="end"/>
    </w:r>
    <w:r/>
  </w:p>
  <w:p>
    <w:pPr>
      <w:pStyle w:val="1133"/>
      <w:ind w:firstLine="360"/>
    </w:pPr>
    <w:r/>
    <w:r/>
  </w:p>
  <w:p>
    <w:r/>
    <w:r/>
  </w:p>
  <w:p>
    <w:r/>
    <w:r/>
  </w:p>
  <w:p>
    <w:r/>
    <w:r/>
  </w:p>
  <w:p>
    <w:r/>
    <w:r/>
  </w:p>
  <w:p>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2013" cy="16278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62013"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2.8pt;height:12.8pt;mso-wrap-distance-left:9.0pt;mso-wrap-distance-top:0.0pt;mso-wrap-distance-right:9.0pt;mso-wrap-distance-bottom:0.0pt;v-text-anchor:top;visibility:visible;" filled="f" stroked="f" strokeweight="0.50pt">
              <v:textbox inset="0,0,0,0">
                <w:txbxContent>
                  <w:p>
                    <w:pPr>
                      <w:pStyle w:val="83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ind w:firstLine="360"/>
    </w:pPr>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77"/>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upperLetter"/>
      <w:pStyle w:val="108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0"/>
      <w:isLgl w:val="false"/>
      <w:suff w:val="nothing"/>
      <w:lvlText w:val=""/>
      <w:lvlJc w:val="left"/>
      <w:pPr>
        <w:ind w:left="0" w:firstLine="0"/>
      </w:pPr>
      <w:rPr>
        <w:rFonts w:hint="eastAsia"/>
      </w:rPr>
    </w:lvl>
    <w:lvl w:ilvl="6">
      <w:start w:val="1"/>
      <w:numFmt w:val="decimal"/>
      <w:pStyle w:val="1041"/>
      <w:isLgl w:val="false"/>
      <w:suff w:val="nothing"/>
      <w:lvlText w:val=""/>
      <w:lvlJc w:val="left"/>
      <w:pPr>
        <w:ind w:left="0" w:firstLine="0"/>
      </w:pPr>
      <w:rPr>
        <w:rFonts w:hint="eastAsia"/>
      </w:rPr>
    </w:lvl>
    <w:lvl w:ilvl="7">
      <w:start w:val="1"/>
      <w:numFmt w:val="decimal"/>
      <w:pStyle w:val="1042"/>
      <w:isLgl w:val="false"/>
      <w:suff w:val="nothing"/>
      <w:lvlText w:val=""/>
      <w:lvlJc w:val="left"/>
      <w:pPr>
        <w:ind w:left="0" w:firstLine="0"/>
      </w:pPr>
      <w:rPr>
        <w:rFonts w:hint="eastAsia"/>
      </w:rPr>
    </w:lvl>
    <w:lvl w:ilvl="8">
      <w:start w:val="1"/>
      <w:numFmt w:val="decimal"/>
      <w:pStyle w:val="1043"/>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1"/>
      <w:numFmt w:val="decimal"/>
      <w:pStyle w:val="110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3"/>
  </w:num>
  <w:num w:numId="2">
    <w:abstractNumId w:val="2"/>
  </w:num>
  <w:num w:numId="3">
    <w:abstractNumId w:val="6"/>
  </w:num>
  <w:num w:numId="4">
    <w:abstractNumId w:val="1"/>
  </w:num>
  <w:num w:numId="5">
    <w:abstractNumId w:val="7"/>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4"/>
    </w:lvlOverride>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08" w:default="1">
    <w:name w:val="Normal"/>
    <w:next w:val="810"/>
    <w:uiPriority w:val="0"/>
    <w:qFormat/>
    <w:pPr>
      <w:jc w:val="both"/>
      <w:widowControl w:val="off"/>
    </w:pPr>
    <w:rPr>
      <w:rFonts w:ascii="Calibri" w:hAnsi="Calibri" w:eastAsia="宋体" w:cs="Times New Roman"/>
      <w:sz w:val="21"/>
      <w:szCs w:val="22"/>
      <w:lang w:val="en-US" w:eastAsia="zh-CN" w:bidi="ar-SA"/>
    </w:rPr>
  </w:style>
  <w:style w:type="paragraph" w:styleId="809">
    <w:name w:val="Heading 1"/>
    <w:basedOn w:val="808"/>
    <w:next w:val="808"/>
    <w:link w:val="907"/>
    <w:uiPriority w:val="99"/>
    <w:qFormat/>
    <w:pPr>
      <w:keepLines/>
      <w:keepNext/>
      <w:spacing w:before="480" w:after="200"/>
      <w:outlineLvl w:val="0"/>
    </w:pPr>
    <w:rPr>
      <w:rFonts w:ascii="Arial" w:hAnsi="Arial" w:eastAsia="Arial" w:cs="Arial"/>
      <w:sz w:val="40"/>
      <w:szCs w:val="40"/>
    </w:rPr>
  </w:style>
  <w:style w:type="paragraph" w:styleId="810">
    <w:name w:val="Heading 2"/>
    <w:basedOn w:val="808"/>
    <w:next w:val="808"/>
    <w:link w:val="908"/>
    <w:uiPriority w:val="9"/>
    <w:unhideWhenUsed/>
    <w:qFormat/>
    <w:pPr>
      <w:keepLines/>
      <w:keepNext/>
      <w:spacing w:before="360" w:after="200"/>
      <w:outlineLvl w:val="1"/>
    </w:pPr>
    <w:rPr>
      <w:rFonts w:ascii="Arial" w:hAnsi="Arial" w:eastAsia="Arial" w:cs="Arial"/>
      <w:sz w:val="34"/>
    </w:rPr>
  </w:style>
  <w:style w:type="paragraph" w:styleId="811">
    <w:name w:val="Heading 3"/>
    <w:basedOn w:val="808"/>
    <w:next w:val="808"/>
    <w:link w:val="909"/>
    <w:uiPriority w:val="9"/>
    <w:unhideWhenUsed/>
    <w:qFormat/>
    <w:pPr>
      <w:keepLines/>
      <w:keepNext/>
      <w:spacing w:before="320" w:after="200"/>
      <w:outlineLvl w:val="2"/>
    </w:pPr>
    <w:rPr>
      <w:rFonts w:ascii="Arial" w:hAnsi="Arial" w:eastAsia="Arial" w:cs="Arial"/>
      <w:sz w:val="30"/>
      <w:szCs w:val="30"/>
    </w:rPr>
  </w:style>
  <w:style w:type="paragraph" w:styleId="812">
    <w:name w:val="Heading 4"/>
    <w:basedOn w:val="808"/>
    <w:next w:val="808"/>
    <w:link w:val="1239"/>
    <w:uiPriority w:val="9"/>
    <w:unhideWhenUsed/>
    <w:qFormat/>
    <w:pPr>
      <w:keepLines/>
      <w:keepNext/>
      <w:spacing w:before="320" w:after="200"/>
      <w:outlineLvl w:val="3"/>
    </w:pPr>
    <w:rPr>
      <w:rFonts w:ascii="Arial" w:hAnsi="Arial" w:eastAsia="Arial" w:cs="Arial"/>
      <w:b/>
      <w:bCs/>
      <w:sz w:val="26"/>
      <w:szCs w:val="26"/>
    </w:rPr>
  </w:style>
  <w:style w:type="paragraph" w:styleId="813">
    <w:name w:val="Heading 5"/>
    <w:basedOn w:val="808"/>
    <w:next w:val="808"/>
    <w:link w:val="1235"/>
    <w:uiPriority w:val="9"/>
    <w:unhideWhenUsed/>
    <w:qFormat/>
    <w:pPr>
      <w:keepLines/>
      <w:keepNext/>
      <w:spacing w:before="320" w:after="200"/>
      <w:outlineLvl w:val="4"/>
    </w:pPr>
    <w:rPr>
      <w:rFonts w:ascii="Arial" w:hAnsi="Arial" w:eastAsia="Arial" w:cs="Arial"/>
      <w:b/>
      <w:bCs/>
      <w:sz w:val="24"/>
      <w:szCs w:val="24"/>
    </w:rPr>
  </w:style>
  <w:style w:type="paragraph" w:styleId="814">
    <w:name w:val="Heading 6"/>
    <w:basedOn w:val="808"/>
    <w:next w:val="808"/>
    <w:link w:val="1240"/>
    <w:uiPriority w:val="9"/>
    <w:unhideWhenUsed/>
    <w:qFormat/>
    <w:pPr>
      <w:keepLines/>
      <w:keepNext/>
      <w:spacing w:before="320" w:after="200"/>
      <w:outlineLvl w:val="5"/>
    </w:pPr>
    <w:rPr>
      <w:rFonts w:ascii="Arial" w:hAnsi="Arial" w:eastAsia="Arial" w:cs="Arial"/>
      <w:b/>
      <w:bCs/>
      <w:sz w:val="22"/>
    </w:rPr>
  </w:style>
  <w:style w:type="paragraph" w:styleId="815">
    <w:name w:val="Heading 7"/>
    <w:basedOn w:val="808"/>
    <w:next w:val="808"/>
    <w:link w:val="912"/>
    <w:uiPriority w:val="9"/>
    <w:unhideWhenUsed/>
    <w:qFormat/>
    <w:pPr>
      <w:keepLines/>
      <w:keepNext/>
      <w:spacing w:before="320" w:after="200"/>
      <w:outlineLvl w:val="6"/>
    </w:pPr>
    <w:rPr>
      <w:rFonts w:ascii="Arial" w:hAnsi="Arial" w:eastAsia="Arial" w:cs="Arial"/>
      <w:b/>
      <w:bCs/>
      <w:i/>
      <w:iCs/>
      <w:sz w:val="22"/>
    </w:rPr>
  </w:style>
  <w:style w:type="paragraph" w:styleId="816">
    <w:name w:val="Heading 8"/>
    <w:basedOn w:val="808"/>
    <w:next w:val="808"/>
    <w:link w:val="886"/>
    <w:uiPriority w:val="9"/>
    <w:unhideWhenUsed/>
    <w:qFormat/>
    <w:pPr>
      <w:keepLines/>
      <w:keepNext/>
      <w:spacing w:before="320" w:after="200"/>
      <w:outlineLvl w:val="7"/>
    </w:pPr>
    <w:rPr>
      <w:rFonts w:ascii="Arial" w:hAnsi="Arial" w:eastAsia="Arial" w:cs="Arial"/>
      <w:i/>
      <w:iCs/>
      <w:sz w:val="22"/>
    </w:rPr>
  </w:style>
  <w:style w:type="paragraph" w:styleId="817">
    <w:name w:val="Heading 9"/>
    <w:basedOn w:val="808"/>
    <w:next w:val="808"/>
    <w:link w:val="913"/>
    <w:uiPriority w:val="9"/>
    <w:unhideWhenUsed/>
    <w:qFormat/>
    <w:pPr>
      <w:keepLines/>
      <w:keepNext/>
      <w:spacing w:before="320" w:after="200"/>
      <w:outlineLvl w:val="8"/>
    </w:pPr>
    <w:rPr>
      <w:rFonts w:ascii="Arial" w:hAnsi="Arial" w:eastAsia="Arial" w:cs="Arial"/>
      <w:i/>
      <w:iCs/>
      <w:szCs w:val="21"/>
    </w:rPr>
  </w:style>
  <w:style w:type="character" w:styleId="818" w:default="1">
    <w:name w:val="Default Paragraph Font"/>
    <w:uiPriority w:val="1"/>
    <w:semiHidden/>
    <w:unhideWhenUsed/>
    <w:qFormat/>
  </w:style>
  <w:style w:type="table" w:styleId="819" w:default="1">
    <w:name w:val="Normal Table"/>
    <w:uiPriority w:val="99"/>
    <w:semiHidden/>
    <w:unhideWhenUsed/>
    <w:qFormat/>
    <w:tblPr>
      <w:tblCellMar>
        <w:left w:w="108" w:type="dxa"/>
        <w:top w:w="0" w:type="dxa"/>
        <w:right w:w="108" w:type="dxa"/>
        <w:bottom w:w="0" w:type="dxa"/>
      </w:tblCellMar>
    </w:tblPr>
  </w:style>
  <w:style w:type="paragraph" w:styleId="820">
    <w:name w:val="toc 7"/>
    <w:basedOn w:val="808"/>
    <w:next w:val="808"/>
    <w:uiPriority w:val="39"/>
    <w:unhideWhenUsed/>
    <w:qFormat/>
    <w:pPr>
      <w:ind w:left="1701"/>
      <w:spacing w:after="57"/>
    </w:pPr>
  </w:style>
  <w:style w:type="paragraph" w:styleId="821">
    <w:name w:val="Caption"/>
    <w:basedOn w:val="808"/>
    <w:next w:val="808"/>
    <w:link w:val="12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2">
    <w:name w:val="Document Map"/>
    <w:basedOn w:val="808"/>
    <w:link w:val="1242"/>
    <w:uiPriority w:val="99"/>
    <w:semiHidden/>
    <w:unhideWhenUsed/>
    <w:qFormat/>
    <w:pPr>
      <w:shd w:val="clear" w:color="auto" w:fill="000080"/>
    </w:pPr>
  </w:style>
  <w:style w:type="paragraph" w:styleId="823">
    <w:name w:val="annotation text"/>
    <w:basedOn w:val="808"/>
    <w:link w:val="1200"/>
    <w:uiPriority w:val="99"/>
    <w:unhideWhenUsed/>
    <w:qFormat/>
    <w:pPr>
      <w:jc w:val="left"/>
    </w:pPr>
  </w:style>
  <w:style w:type="paragraph" w:styleId="824">
    <w:name w:val="Body Text"/>
    <w:basedOn w:val="808"/>
    <w:next w:val="825"/>
    <w:uiPriority w:val="0"/>
    <w:qFormat/>
    <w:rPr>
      <w:rFonts w:ascii="楷体_GB2312" w:hAnsi="Arial" w:eastAsia="楷体_GB2312"/>
      <w:sz w:val="28"/>
    </w:rPr>
  </w:style>
  <w:style w:type="paragraph" w:styleId="825">
    <w:name w:val="Body Text First Indent"/>
    <w:basedOn w:val="824"/>
    <w:next w:val="826"/>
    <w:link w:val="1213"/>
    <w:uiPriority w:val="99"/>
    <w:unhideWhenUsed/>
    <w:qFormat/>
    <w:pPr>
      <w:ind w:firstLine="420"/>
    </w:pPr>
  </w:style>
  <w:style w:type="paragraph" w:styleId="826">
    <w:name w:val="Body Text First Indent 2"/>
    <w:basedOn w:val="827"/>
    <w:next w:val="825"/>
    <w:link w:val="1212"/>
    <w:uiPriority w:val="0"/>
    <w:qFormat/>
    <w:pPr>
      <w:ind w:firstLine="420"/>
    </w:pPr>
  </w:style>
  <w:style w:type="paragraph" w:styleId="827">
    <w:name w:val="Body Text Indent"/>
    <w:basedOn w:val="808"/>
    <w:next w:val="828"/>
    <w:uiPriority w:val="0"/>
    <w:qFormat/>
    <w:pPr>
      <w:ind w:firstLine="574"/>
      <w:spacing w:line="312" w:lineRule="atLeast"/>
    </w:pPr>
    <w:rPr>
      <w:rFonts w:ascii="宋体"/>
      <w:sz w:val="28"/>
    </w:rPr>
  </w:style>
  <w:style w:type="paragraph" w:styleId="828">
    <w:name w:val="envelope return"/>
    <w:basedOn w:val="808"/>
    <w:uiPriority w:val="0"/>
    <w:qFormat/>
    <w:rPr>
      <w:rFonts w:ascii="Arial" w:hAnsi="Arial"/>
    </w:rPr>
  </w:style>
  <w:style w:type="paragraph" w:styleId="829">
    <w:name w:val="toc 5"/>
    <w:basedOn w:val="808"/>
    <w:next w:val="808"/>
    <w:uiPriority w:val="39"/>
    <w:unhideWhenUsed/>
    <w:qFormat/>
    <w:pPr>
      <w:ind w:left="1134"/>
      <w:spacing w:after="57"/>
    </w:pPr>
  </w:style>
  <w:style w:type="paragraph" w:styleId="830">
    <w:name w:val="toc 3"/>
    <w:basedOn w:val="808"/>
    <w:next w:val="808"/>
    <w:uiPriority w:val="39"/>
    <w:unhideWhenUsed/>
    <w:qFormat/>
    <w:pPr>
      <w:ind w:left="567"/>
      <w:spacing w:after="57"/>
    </w:pPr>
  </w:style>
  <w:style w:type="paragraph" w:styleId="831">
    <w:name w:val="toc 8"/>
    <w:basedOn w:val="808"/>
    <w:next w:val="808"/>
    <w:uiPriority w:val="39"/>
    <w:unhideWhenUsed/>
    <w:qFormat/>
    <w:pPr>
      <w:ind w:left="1984"/>
      <w:spacing w:after="57"/>
    </w:pPr>
  </w:style>
  <w:style w:type="paragraph" w:styleId="832">
    <w:name w:val="Date"/>
    <w:basedOn w:val="808"/>
    <w:next w:val="808"/>
    <w:uiPriority w:val="0"/>
    <w:qFormat/>
    <w:pPr>
      <w:spacing w:line="312" w:lineRule="atLeast"/>
    </w:pPr>
    <w:rPr>
      <w:rFonts w:ascii="宋体"/>
      <w:sz w:val="28"/>
    </w:rPr>
  </w:style>
  <w:style w:type="paragraph" w:styleId="833">
    <w:name w:val="Body Text Indent 2"/>
    <w:basedOn w:val="808"/>
    <w:link w:val="1244"/>
    <w:uiPriority w:val="99"/>
    <w:semiHidden/>
    <w:unhideWhenUsed/>
    <w:qFormat/>
    <w:pPr>
      <w:ind w:left="420"/>
      <w:spacing w:after="120" w:line="480" w:lineRule="auto"/>
    </w:pPr>
  </w:style>
  <w:style w:type="paragraph" w:styleId="834">
    <w:name w:val="endnote text"/>
    <w:basedOn w:val="808"/>
    <w:link w:val="1032"/>
    <w:uiPriority w:val="99"/>
    <w:semiHidden/>
    <w:unhideWhenUsed/>
    <w:qFormat/>
    <w:rPr>
      <w:sz w:val="20"/>
    </w:rPr>
  </w:style>
  <w:style w:type="paragraph" w:styleId="835">
    <w:name w:val="Balloon Text"/>
    <w:basedOn w:val="808"/>
    <w:link w:val="1202"/>
    <w:uiPriority w:val="99"/>
    <w:semiHidden/>
    <w:unhideWhenUsed/>
    <w:qFormat/>
    <w:rPr>
      <w:sz w:val="18"/>
      <w:szCs w:val="18"/>
    </w:rPr>
  </w:style>
  <w:style w:type="paragraph" w:styleId="836">
    <w:name w:val="Footer"/>
    <w:basedOn w:val="808"/>
    <w:link w:val="924"/>
    <w:uiPriority w:val="99"/>
    <w:unhideWhenUsed/>
    <w:qFormat/>
    <w:pPr>
      <w:tabs>
        <w:tab w:val="center" w:pos="7143" w:leader="none"/>
        <w:tab w:val="right" w:pos="14287" w:leader="none"/>
      </w:tabs>
    </w:pPr>
  </w:style>
  <w:style w:type="paragraph" w:styleId="837">
    <w:name w:val="Header"/>
    <w:basedOn w:val="808"/>
    <w:link w:val="922"/>
    <w:uiPriority w:val="99"/>
    <w:unhideWhenUsed/>
    <w:qFormat/>
    <w:pPr>
      <w:tabs>
        <w:tab w:val="center" w:pos="7143" w:leader="none"/>
        <w:tab w:val="right" w:pos="14287" w:leader="none"/>
      </w:tabs>
    </w:pPr>
  </w:style>
  <w:style w:type="paragraph" w:styleId="838">
    <w:name w:val="Signature"/>
    <w:basedOn w:val="808"/>
    <w:uiPriority w:val="0"/>
    <w:qFormat/>
    <w:pPr>
      <w:jc w:val="center"/>
      <w:spacing w:after="600" w:line="312" w:lineRule="atLeast"/>
    </w:pPr>
    <w:rPr>
      <w:rFonts w:eastAsia="仿宋_GB2312"/>
      <w:sz w:val="24"/>
    </w:rPr>
  </w:style>
  <w:style w:type="paragraph" w:styleId="839">
    <w:name w:val="toc 1"/>
    <w:basedOn w:val="808"/>
    <w:next w:val="808"/>
    <w:uiPriority w:val="39"/>
    <w:unhideWhenUsed/>
    <w:qFormat/>
    <w:pPr>
      <w:spacing w:after="57"/>
    </w:pPr>
  </w:style>
  <w:style w:type="paragraph" w:styleId="840">
    <w:name w:val="toc 4"/>
    <w:basedOn w:val="808"/>
    <w:next w:val="808"/>
    <w:uiPriority w:val="39"/>
    <w:unhideWhenUsed/>
    <w:qFormat/>
    <w:pPr>
      <w:ind w:left="850"/>
      <w:spacing w:after="57"/>
    </w:pPr>
  </w:style>
  <w:style w:type="paragraph" w:styleId="841">
    <w:name w:val="Subtitle"/>
    <w:basedOn w:val="808"/>
    <w:next w:val="808"/>
    <w:link w:val="1245"/>
    <w:uiPriority w:val="11"/>
    <w:qFormat/>
    <w:pPr>
      <w:spacing w:before="200" w:after="200"/>
    </w:pPr>
    <w:rPr>
      <w:sz w:val="24"/>
      <w:szCs w:val="24"/>
    </w:rPr>
  </w:style>
  <w:style w:type="paragraph" w:styleId="842">
    <w:name w:val="footnote text"/>
    <w:basedOn w:val="808"/>
    <w:link w:val="1031"/>
    <w:uiPriority w:val="99"/>
    <w:semiHidden/>
    <w:unhideWhenUsed/>
    <w:qFormat/>
    <w:pPr>
      <w:spacing w:after="40"/>
    </w:pPr>
    <w:rPr>
      <w:sz w:val="18"/>
    </w:rPr>
  </w:style>
  <w:style w:type="paragraph" w:styleId="843">
    <w:name w:val="toc 6"/>
    <w:basedOn w:val="808"/>
    <w:next w:val="808"/>
    <w:uiPriority w:val="39"/>
    <w:unhideWhenUsed/>
    <w:qFormat/>
    <w:pPr>
      <w:ind w:left="1417"/>
      <w:spacing w:after="57"/>
    </w:pPr>
  </w:style>
  <w:style w:type="paragraph" w:styleId="844">
    <w:name w:val="Body Text Indent 3"/>
    <w:basedOn w:val="808"/>
    <w:link w:val="1247"/>
    <w:uiPriority w:val="99"/>
    <w:semiHidden/>
    <w:unhideWhenUsed/>
    <w:qFormat/>
    <w:pPr>
      <w:ind w:left="420"/>
      <w:spacing w:after="120"/>
    </w:pPr>
    <w:rPr>
      <w:sz w:val="16"/>
    </w:rPr>
  </w:style>
  <w:style w:type="paragraph" w:styleId="845">
    <w:name w:val="table of figures"/>
    <w:basedOn w:val="808"/>
    <w:next w:val="808"/>
    <w:uiPriority w:val="99"/>
    <w:unhideWhenUsed/>
    <w:qFormat/>
  </w:style>
  <w:style w:type="paragraph" w:styleId="846">
    <w:name w:val="toc 2"/>
    <w:basedOn w:val="808"/>
    <w:next w:val="808"/>
    <w:uiPriority w:val="39"/>
    <w:unhideWhenUsed/>
    <w:qFormat/>
    <w:pPr>
      <w:ind w:left="283"/>
      <w:spacing w:after="57"/>
    </w:pPr>
  </w:style>
  <w:style w:type="paragraph" w:styleId="847">
    <w:name w:val="toc 9"/>
    <w:basedOn w:val="808"/>
    <w:next w:val="808"/>
    <w:uiPriority w:val="39"/>
    <w:unhideWhenUsed/>
    <w:qFormat/>
    <w:pPr>
      <w:ind w:left="2268"/>
      <w:spacing w:after="57"/>
    </w:pPr>
  </w:style>
  <w:style w:type="paragraph" w:styleId="848">
    <w:name w:val="Normal (Web)"/>
    <w:basedOn w:val="808"/>
    <w:link w:val="1249"/>
    <w:uiPriority w:val="99"/>
    <w:semiHidden/>
    <w:unhideWhenUsed/>
    <w:qFormat/>
    <w:pPr>
      <w:jc w:val="left"/>
      <w:spacing w:before="100" w:beforeAutospacing="1" w:after="100" w:afterAutospacing="1"/>
      <w:widowControl/>
    </w:pPr>
    <w:rPr>
      <w:rFonts w:ascii="宋体" w:hAnsi="宋体" w:cs="宋体"/>
      <w:sz w:val="24"/>
      <w:szCs w:val="24"/>
    </w:rPr>
  </w:style>
  <w:style w:type="paragraph" w:styleId="849">
    <w:name w:val="Title"/>
    <w:basedOn w:val="808"/>
    <w:next w:val="808"/>
    <w:link w:val="916"/>
    <w:uiPriority w:val="10"/>
    <w:qFormat/>
    <w:pPr>
      <w:contextualSpacing/>
      <w:spacing w:before="300" w:after="200"/>
    </w:pPr>
    <w:rPr>
      <w:sz w:val="48"/>
      <w:szCs w:val="48"/>
    </w:rPr>
  </w:style>
  <w:style w:type="paragraph" w:styleId="850">
    <w:name w:val="annotation subject"/>
    <w:basedOn w:val="823"/>
    <w:next w:val="823"/>
    <w:link w:val="1201"/>
    <w:uiPriority w:val="99"/>
    <w:semiHidden/>
    <w:unhideWhenUsed/>
    <w:qFormat/>
    <w:rPr>
      <w:b/>
      <w:bCs/>
    </w:rPr>
  </w:style>
  <w:style w:type="table" w:styleId="851">
    <w:name w:val="Table Grid"/>
    <w:basedOn w:val="81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2">
    <w:name w:val="endnote reference"/>
    <w:uiPriority w:val="99"/>
    <w:semiHidden/>
    <w:unhideWhenUsed/>
    <w:qFormat/>
    <w:rPr>
      <w:vertAlign w:val="superscript"/>
    </w:rPr>
  </w:style>
  <w:style w:type="character" w:styleId="853">
    <w:name w:val="FollowedHyperlink"/>
    <w:basedOn w:val="818"/>
    <w:uiPriority w:val="99"/>
    <w:semiHidden/>
    <w:unhideWhenUsed/>
    <w:qFormat/>
    <w:rPr>
      <w:color w:val="800080"/>
      <w:u w:val="single"/>
    </w:rPr>
  </w:style>
  <w:style w:type="character" w:styleId="854">
    <w:name w:val="Emphasis"/>
    <w:uiPriority w:val="0"/>
    <w:qFormat/>
    <w:rPr>
      <w:i/>
    </w:rPr>
  </w:style>
  <w:style w:type="character" w:styleId="855">
    <w:name w:val="HTML Definition"/>
    <w:basedOn w:val="818"/>
    <w:uiPriority w:val="99"/>
    <w:semiHidden/>
    <w:unhideWhenUsed/>
    <w:qFormat/>
    <w:rPr>
      <w:rFonts w:hint="default" w:ascii="Times New Roman" w:hAnsi="Times New Roman" w:cs="Times New Roman"/>
    </w:rPr>
  </w:style>
  <w:style w:type="character" w:styleId="856">
    <w:name w:val="HTML Typewriter"/>
    <w:basedOn w:val="818"/>
    <w:uiPriority w:val="99"/>
    <w:semiHidden/>
    <w:unhideWhenUsed/>
    <w:qFormat/>
    <w:rPr>
      <w:rFonts w:hint="default" w:ascii="monospace" w:hAnsi="monospace" w:eastAsia="Times New Roman" w:cs="monospace"/>
      <w:sz w:val="20"/>
    </w:rPr>
  </w:style>
  <w:style w:type="character" w:styleId="857">
    <w:name w:val="HTML Acronym"/>
    <w:basedOn w:val="818"/>
    <w:uiPriority w:val="99"/>
    <w:semiHidden/>
    <w:unhideWhenUsed/>
    <w:qFormat/>
    <w:rPr>
      <w:rFonts w:hint="default" w:ascii="Times New Roman" w:hAnsi="Times New Roman" w:cs="Times New Roman"/>
    </w:rPr>
  </w:style>
  <w:style w:type="character" w:styleId="858">
    <w:name w:val="HTML Variable"/>
    <w:basedOn w:val="818"/>
    <w:uiPriority w:val="99"/>
    <w:semiHidden/>
    <w:unhideWhenUsed/>
    <w:qFormat/>
    <w:rPr>
      <w:rFonts w:hint="default" w:ascii="Times New Roman" w:hAnsi="Times New Roman" w:cs="Times New Roman"/>
    </w:rPr>
  </w:style>
  <w:style w:type="character" w:styleId="859">
    <w:name w:val="Hyperlink"/>
    <w:uiPriority w:val="99"/>
    <w:unhideWhenUsed/>
    <w:qFormat/>
    <w:rPr>
      <w:color w:val="0000ff" w:themeColor="hyperlink"/>
      <w:u w:val="single"/>
      <w14:textFill>
        <w14:solidFill>
          <w14:schemeClr w14:val="hlink"/>
        </w14:solidFill>
      </w14:textFill>
    </w:rPr>
  </w:style>
  <w:style w:type="character" w:styleId="860">
    <w:name w:val="HTML Code"/>
    <w:basedOn w:val="818"/>
    <w:uiPriority w:val="99"/>
    <w:semiHidden/>
    <w:unhideWhenUsed/>
    <w:qFormat/>
    <w:rPr>
      <w:rFonts w:hint="default" w:ascii="monospace" w:hAnsi="monospace" w:eastAsia="Times New Roman" w:cs="monospace"/>
      <w:sz w:val="20"/>
    </w:rPr>
  </w:style>
  <w:style w:type="character" w:styleId="861">
    <w:name w:val="annotation reference"/>
    <w:basedOn w:val="818"/>
    <w:uiPriority w:val="99"/>
    <w:semiHidden/>
    <w:unhideWhenUsed/>
    <w:qFormat/>
    <w:rPr>
      <w:sz w:val="21"/>
      <w:szCs w:val="21"/>
    </w:rPr>
  </w:style>
  <w:style w:type="character" w:styleId="862">
    <w:name w:val="HTML Cite"/>
    <w:basedOn w:val="818"/>
    <w:uiPriority w:val="99"/>
    <w:semiHidden/>
    <w:unhideWhenUsed/>
    <w:qFormat/>
    <w:rPr>
      <w:rFonts w:hint="default" w:ascii="Times New Roman" w:hAnsi="Times New Roman" w:cs="Times New Roman"/>
    </w:rPr>
  </w:style>
  <w:style w:type="character" w:styleId="863">
    <w:name w:val="footnote reference"/>
    <w:uiPriority w:val="99"/>
    <w:unhideWhenUsed/>
    <w:qFormat/>
    <w:rPr>
      <w:vertAlign w:val="superscript"/>
    </w:rPr>
  </w:style>
  <w:style w:type="character" w:styleId="864">
    <w:name w:val="HTML Keyboard"/>
    <w:basedOn w:val="818"/>
    <w:uiPriority w:val="99"/>
    <w:semiHidden/>
    <w:unhideWhenUsed/>
    <w:qFormat/>
    <w:rPr>
      <w:rFonts w:hint="default" w:ascii="monospace" w:hAnsi="monospace" w:eastAsia="Times New Roman" w:cs="monospace"/>
      <w:sz w:val="20"/>
    </w:rPr>
  </w:style>
  <w:style w:type="character" w:styleId="865">
    <w:name w:val="HTML Sample"/>
    <w:basedOn w:val="818"/>
    <w:uiPriority w:val="99"/>
    <w:semiHidden/>
    <w:unhideWhenUsed/>
    <w:qFormat/>
    <w:rPr>
      <w:rFonts w:hint="default" w:ascii="monospace" w:hAnsi="monospace" w:eastAsia="Times New Roman" w:cs="monospace"/>
    </w:rPr>
  </w:style>
  <w:style w:type="table" w:styleId="866" w:customStyle="1">
    <w:name w:val="无格式表格 11"/>
    <w:basedOn w:val="8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21"/>
    <w:basedOn w:val="8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31"/>
    <w:basedOn w:val="8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无格式表格 41"/>
    <w:basedOn w:val="8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无格式表格 51"/>
    <w:basedOn w:val="8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网格表 1 浅色1"/>
    <w:basedOn w:val="8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网格表 21"/>
    <w:basedOn w:val="8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网格表 31"/>
    <w:basedOn w:val="8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网格表 41"/>
    <w:basedOn w:val="8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网格表 5 深色1"/>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网格表 6 彩色1"/>
    <w:basedOn w:val="8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网格表 7 彩色1"/>
    <w:basedOn w:val="8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清单表 1 浅色1"/>
    <w:basedOn w:val="81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清单表 21"/>
    <w:basedOn w:val="8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清单表 31"/>
    <w:basedOn w:val="8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清单表 41"/>
    <w:basedOn w:val="8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清单表 5 深色1"/>
    <w:basedOn w:val="8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清单表 6 彩色1"/>
    <w:basedOn w:val="81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清单表 7 彩色1"/>
    <w:basedOn w:val="81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5" w:customStyle="1">
    <w:name w:val="TOC 标题1"/>
    <w:uiPriority w:val="39"/>
    <w:unhideWhenUsed/>
    <w:qFormat/>
    <w:rPr>
      <w:rFonts w:ascii="Times New Roman" w:hAnsi="Times New Roman" w:eastAsia="宋体" w:cs="Times New Roman"/>
      <w:lang w:val="en-US" w:eastAsia="zh-CN" w:bidi="ar-SA"/>
    </w:rPr>
  </w:style>
  <w:style w:type="character" w:styleId="886" w:customStyle="1">
    <w:name w:val="标题 8 字符"/>
    <w:link w:val="816"/>
    <w:uiPriority w:val="9"/>
    <w:qFormat/>
    <w:rPr>
      <w:rFonts w:ascii="Arial" w:hAnsi="Arial" w:eastAsia="Arial" w:cs="Arial"/>
      <w:i/>
      <w:iCs/>
      <w:sz w:val="22"/>
      <w:szCs w:val="22"/>
    </w:rPr>
  </w:style>
  <w:style w:type="character" w:styleId="887" w:customStyle="1">
    <w:name w:val="标题 6 字符"/>
    <w:uiPriority w:val="9"/>
    <w:qFormat/>
    <w:rPr>
      <w:rFonts w:ascii="Arial" w:hAnsi="Arial" w:eastAsia="Arial" w:cs="Arial"/>
      <w:b/>
      <w:bCs/>
      <w:sz w:val="22"/>
      <w:szCs w:val="22"/>
    </w:rPr>
  </w:style>
  <w:style w:type="character" w:styleId="888" w:customStyle="1">
    <w:name w:val="标题 2 字符"/>
    <w:uiPriority w:val="9"/>
    <w:qFormat/>
    <w:rPr>
      <w:rFonts w:eastAsia="楷体_GB2312"/>
      <w:b/>
      <w:bCs/>
      <w:sz w:val="28"/>
      <w:szCs w:val="28"/>
    </w:rPr>
  </w:style>
  <w:style w:type="character" w:styleId="889" w:customStyle="1">
    <w:name w:val="Heading 1 Char"/>
    <w:basedOn w:val="818"/>
    <w:uiPriority w:val="9"/>
    <w:qFormat/>
    <w:rPr>
      <w:rFonts w:ascii="Arial" w:hAnsi="Arial" w:eastAsia="Arial" w:cs="Arial"/>
      <w:sz w:val="40"/>
      <w:szCs w:val="40"/>
    </w:rPr>
  </w:style>
  <w:style w:type="character" w:styleId="890" w:customStyle="1">
    <w:name w:val="Heading 2 Char"/>
    <w:basedOn w:val="818"/>
    <w:uiPriority w:val="9"/>
    <w:qFormat/>
    <w:rPr>
      <w:rFonts w:ascii="Arial" w:hAnsi="Arial" w:eastAsia="Arial" w:cs="Arial"/>
      <w:sz w:val="34"/>
    </w:rPr>
  </w:style>
  <w:style w:type="character" w:styleId="891" w:customStyle="1">
    <w:name w:val="Heading 3 Char"/>
    <w:basedOn w:val="818"/>
    <w:uiPriority w:val="9"/>
    <w:qFormat/>
    <w:rPr>
      <w:rFonts w:ascii="Arial" w:hAnsi="Arial" w:eastAsia="Arial" w:cs="Arial"/>
      <w:sz w:val="30"/>
      <w:szCs w:val="30"/>
    </w:rPr>
  </w:style>
  <w:style w:type="character" w:styleId="892" w:customStyle="1">
    <w:name w:val="Heading 4 Char"/>
    <w:basedOn w:val="818"/>
    <w:uiPriority w:val="9"/>
    <w:qFormat/>
    <w:rPr>
      <w:rFonts w:ascii="Arial" w:hAnsi="Arial" w:eastAsia="Arial" w:cs="Arial"/>
      <w:b/>
      <w:bCs/>
      <w:sz w:val="26"/>
      <w:szCs w:val="26"/>
    </w:rPr>
  </w:style>
  <w:style w:type="character" w:styleId="893" w:customStyle="1">
    <w:name w:val="Heading 5 Char"/>
    <w:basedOn w:val="818"/>
    <w:uiPriority w:val="9"/>
    <w:qFormat/>
    <w:rPr>
      <w:rFonts w:ascii="Arial" w:hAnsi="Arial" w:eastAsia="Arial" w:cs="Arial"/>
      <w:b/>
      <w:bCs/>
      <w:sz w:val="24"/>
      <w:szCs w:val="24"/>
    </w:rPr>
  </w:style>
  <w:style w:type="character" w:styleId="894" w:customStyle="1">
    <w:name w:val="Heading 6 Char"/>
    <w:basedOn w:val="818"/>
    <w:uiPriority w:val="9"/>
    <w:qFormat/>
    <w:rPr>
      <w:rFonts w:ascii="Arial" w:hAnsi="Arial" w:eastAsia="Arial" w:cs="Arial"/>
      <w:b/>
      <w:bCs/>
      <w:sz w:val="22"/>
      <w:szCs w:val="22"/>
    </w:rPr>
  </w:style>
  <w:style w:type="character" w:styleId="895" w:customStyle="1">
    <w:name w:val="Heading 7 Char"/>
    <w:basedOn w:val="818"/>
    <w:uiPriority w:val="9"/>
    <w:qFormat/>
    <w:rPr>
      <w:rFonts w:ascii="Arial" w:hAnsi="Arial" w:eastAsia="Arial" w:cs="Arial"/>
      <w:b/>
      <w:bCs/>
      <w:i/>
      <w:iCs/>
      <w:sz w:val="22"/>
      <w:szCs w:val="22"/>
    </w:rPr>
  </w:style>
  <w:style w:type="character" w:styleId="896" w:customStyle="1">
    <w:name w:val="Heading 8 Char"/>
    <w:basedOn w:val="818"/>
    <w:uiPriority w:val="9"/>
    <w:qFormat/>
    <w:rPr>
      <w:rFonts w:ascii="Arial" w:hAnsi="Arial" w:eastAsia="Arial" w:cs="Arial"/>
      <w:i/>
      <w:iCs/>
      <w:sz w:val="22"/>
      <w:szCs w:val="22"/>
    </w:rPr>
  </w:style>
  <w:style w:type="character" w:styleId="897" w:customStyle="1">
    <w:name w:val="Heading 9 Char"/>
    <w:basedOn w:val="818"/>
    <w:uiPriority w:val="9"/>
    <w:qFormat/>
    <w:rPr>
      <w:rFonts w:ascii="Arial" w:hAnsi="Arial" w:eastAsia="Arial" w:cs="Arial"/>
      <w:i/>
      <w:iCs/>
      <w:sz w:val="21"/>
      <w:szCs w:val="21"/>
    </w:rPr>
  </w:style>
  <w:style w:type="character" w:styleId="898" w:customStyle="1">
    <w:name w:val="Title Char"/>
    <w:basedOn w:val="818"/>
    <w:uiPriority w:val="10"/>
    <w:qFormat/>
    <w:rPr>
      <w:sz w:val="48"/>
      <w:szCs w:val="48"/>
    </w:rPr>
  </w:style>
  <w:style w:type="character" w:styleId="899" w:customStyle="1">
    <w:name w:val="Subtitle Char"/>
    <w:basedOn w:val="818"/>
    <w:uiPriority w:val="11"/>
    <w:qFormat/>
    <w:rPr>
      <w:sz w:val="24"/>
      <w:szCs w:val="24"/>
    </w:rPr>
  </w:style>
  <w:style w:type="character" w:styleId="900" w:customStyle="1">
    <w:name w:val="Quote Char"/>
    <w:uiPriority w:val="29"/>
    <w:qFormat/>
    <w:rPr>
      <w:i/>
    </w:rPr>
  </w:style>
  <w:style w:type="character" w:styleId="901" w:customStyle="1">
    <w:name w:val="Intense Quote Char"/>
    <w:uiPriority w:val="30"/>
    <w:qFormat/>
    <w:rPr>
      <w:i/>
    </w:rPr>
  </w:style>
  <w:style w:type="character" w:styleId="902" w:customStyle="1">
    <w:name w:val="Header Char"/>
    <w:basedOn w:val="818"/>
    <w:uiPriority w:val="99"/>
    <w:qFormat/>
  </w:style>
  <w:style w:type="character" w:styleId="903" w:customStyle="1">
    <w:name w:val="Caption Char"/>
    <w:uiPriority w:val="99"/>
    <w:qFormat/>
  </w:style>
  <w:style w:type="character" w:styleId="904" w:customStyle="1">
    <w:name w:val="Footnote Text Char"/>
    <w:uiPriority w:val="99"/>
    <w:qFormat/>
    <w:rPr>
      <w:sz w:val="18"/>
    </w:rPr>
  </w:style>
  <w:style w:type="character" w:styleId="905" w:customStyle="1">
    <w:name w:val="Endnote Text Char"/>
    <w:uiPriority w:val="99"/>
    <w:qFormat/>
    <w:rPr>
      <w:sz w:val="20"/>
    </w:rPr>
  </w:style>
  <w:style w:type="paragraph" w:styleId="906" w:customStyle="1">
    <w:name w:val="TOC 标题112"/>
    <w:uiPriority w:val="39"/>
    <w:unhideWhenUsed/>
    <w:qFormat/>
    <w:rPr>
      <w:rFonts w:ascii="Times New Roman" w:hAnsi="Times New Roman" w:eastAsia="宋体" w:cs="Times New Roman"/>
      <w:lang w:val="en-US" w:eastAsia="zh-CN" w:bidi="ar-SA"/>
    </w:rPr>
  </w:style>
  <w:style w:type="character" w:styleId="907" w:customStyle="1">
    <w:name w:val="标题 1 字符1"/>
    <w:link w:val="809"/>
    <w:uiPriority w:val="9"/>
    <w:qFormat/>
    <w:rPr>
      <w:rFonts w:ascii="Arial" w:hAnsi="Arial" w:eastAsia="Arial" w:cs="Arial"/>
      <w:sz w:val="40"/>
      <w:szCs w:val="40"/>
    </w:rPr>
  </w:style>
  <w:style w:type="character" w:styleId="908" w:customStyle="1">
    <w:name w:val="标题 2 字符3"/>
    <w:link w:val="810"/>
    <w:uiPriority w:val="9"/>
    <w:qFormat/>
    <w:rPr>
      <w:rFonts w:ascii="Arial" w:hAnsi="Arial" w:eastAsia="Arial" w:cs="Arial"/>
      <w:sz w:val="34"/>
    </w:rPr>
  </w:style>
  <w:style w:type="character" w:styleId="909" w:customStyle="1">
    <w:name w:val="标题 3 字符"/>
    <w:link w:val="811"/>
    <w:uiPriority w:val="9"/>
    <w:qFormat/>
    <w:rPr>
      <w:rFonts w:ascii="Arial" w:hAnsi="Arial" w:eastAsia="Arial" w:cs="Arial"/>
      <w:sz w:val="30"/>
      <w:szCs w:val="30"/>
    </w:rPr>
  </w:style>
  <w:style w:type="character" w:styleId="910" w:customStyle="1">
    <w:name w:val="标题 4 字符"/>
    <w:uiPriority w:val="9"/>
    <w:qFormat/>
    <w:rPr>
      <w:rFonts w:ascii="Arial" w:hAnsi="Arial" w:eastAsia="Arial" w:cs="Arial"/>
      <w:b/>
      <w:bCs/>
      <w:sz w:val="26"/>
      <w:szCs w:val="26"/>
    </w:rPr>
  </w:style>
  <w:style w:type="character" w:styleId="911" w:customStyle="1">
    <w:name w:val="标题 5 字符"/>
    <w:uiPriority w:val="9"/>
    <w:qFormat/>
    <w:rPr>
      <w:rFonts w:ascii="Arial" w:hAnsi="Arial" w:eastAsia="Arial" w:cs="Arial"/>
      <w:b/>
      <w:bCs/>
      <w:sz w:val="24"/>
      <w:szCs w:val="24"/>
    </w:rPr>
  </w:style>
  <w:style w:type="character" w:styleId="912" w:customStyle="1">
    <w:name w:val="标题 7 字符"/>
    <w:link w:val="815"/>
    <w:uiPriority w:val="9"/>
    <w:qFormat/>
    <w:rPr>
      <w:rFonts w:ascii="Arial" w:hAnsi="Arial" w:eastAsia="Arial" w:cs="Arial"/>
      <w:b/>
      <w:bCs/>
      <w:i/>
      <w:iCs/>
      <w:sz w:val="22"/>
      <w:szCs w:val="22"/>
    </w:rPr>
  </w:style>
  <w:style w:type="character" w:styleId="913" w:customStyle="1">
    <w:name w:val="标题 9 字符"/>
    <w:link w:val="817"/>
    <w:uiPriority w:val="9"/>
    <w:qFormat/>
    <w:rPr>
      <w:rFonts w:ascii="Arial" w:hAnsi="Arial" w:eastAsia="Arial" w:cs="Arial"/>
      <w:i/>
      <w:iCs/>
      <w:sz w:val="21"/>
      <w:szCs w:val="21"/>
    </w:rPr>
  </w:style>
  <w:style w:type="paragraph" w:styleId="914">
    <w:name w:val="List Paragraph"/>
    <w:basedOn w:val="808"/>
    <w:uiPriority w:val="34"/>
    <w:qFormat/>
    <w:pPr>
      <w:contextualSpacing/>
      <w:ind w:left="720"/>
    </w:pPr>
  </w:style>
  <w:style w:type="paragraph" w:styleId="915">
    <w:name w:val="No Spacing"/>
    <w:uiPriority w:val="1"/>
    <w:qFormat/>
    <w:rPr>
      <w:rFonts w:ascii="Calibri" w:hAnsi="Calibri" w:eastAsia="宋体" w:cs="Times New Roman"/>
      <w:lang w:val="en-US" w:eastAsia="zh-CN" w:bidi="ar-SA"/>
    </w:rPr>
  </w:style>
  <w:style w:type="character" w:styleId="916" w:customStyle="1">
    <w:name w:val="标题 字符"/>
    <w:link w:val="849"/>
    <w:uiPriority w:val="10"/>
    <w:qFormat/>
    <w:rPr>
      <w:sz w:val="48"/>
      <w:szCs w:val="48"/>
    </w:rPr>
  </w:style>
  <w:style w:type="character" w:styleId="917" w:customStyle="1">
    <w:name w:val="副标题 字符"/>
    <w:uiPriority w:val="11"/>
    <w:qFormat/>
    <w:rPr>
      <w:sz w:val="24"/>
      <w:szCs w:val="24"/>
    </w:rPr>
  </w:style>
  <w:style w:type="paragraph" w:styleId="918">
    <w:name w:val="Quote"/>
    <w:basedOn w:val="808"/>
    <w:next w:val="808"/>
    <w:link w:val="919"/>
    <w:uiPriority w:val="29"/>
    <w:qFormat/>
    <w:pPr>
      <w:ind w:left="720" w:right="720"/>
    </w:pPr>
    <w:rPr>
      <w:i/>
    </w:rPr>
  </w:style>
  <w:style w:type="character" w:styleId="919" w:customStyle="1">
    <w:name w:val="引用 字符"/>
    <w:link w:val="918"/>
    <w:uiPriority w:val="29"/>
    <w:qFormat/>
    <w:rPr>
      <w:i/>
    </w:rPr>
  </w:style>
  <w:style w:type="paragraph" w:styleId="920">
    <w:name w:val="Intense Quote"/>
    <w:basedOn w:val="808"/>
    <w:next w:val="808"/>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customStyle="1">
    <w:name w:val="明显引用 字符"/>
    <w:link w:val="920"/>
    <w:uiPriority w:val="30"/>
    <w:qFormat/>
    <w:rPr>
      <w:i/>
    </w:rPr>
  </w:style>
  <w:style w:type="character" w:styleId="922" w:customStyle="1">
    <w:name w:val="页眉 字符"/>
    <w:link w:val="837"/>
    <w:uiPriority w:val="99"/>
    <w:qFormat/>
  </w:style>
  <w:style w:type="character" w:styleId="923" w:customStyle="1">
    <w:name w:val="Footer Char"/>
    <w:uiPriority w:val="99"/>
    <w:qFormat/>
  </w:style>
  <w:style w:type="character" w:styleId="924" w:customStyle="1">
    <w:name w:val="页脚 字符"/>
    <w:link w:val="836"/>
    <w:uiPriority w:val="99"/>
    <w:qFormat/>
  </w:style>
  <w:style w:type="table" w:styleId="92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1" w:customStyle="1">
    <w:name w:val="脚注文本 字符1"/>
    <w:link w:val="842"/>
    <w:uiPriority w:val="99"/>
    <w:qFormat/>
    <w:rPr>
      <w:sz w:val="18"/>
    </w:rPr>
  </w:style>
  <w:style w:type="character" w:styleId="1032" w:customStyle="1">
    <w:name w:val="尾注文本 字符"/>
    <w:link w:val="834"/>
    <w:uiPriority w:val="99"/>
    <w:qFormat/>
    <w:rPr>
      <w:sz w:val="20"/>
    </w:rPr>
  </w:style>
  <w:style w:type="paragraph" w:styleId="1033" w:customStyle="1">
    <w:name w:val="TOC 标题111"/>
    <w:uiPriority w:val="39"/>
    <w:unhideWhenUsed/>
    <w:qFormat/>
    <w:rPr>
      <w:rFonts w:ascii="Calibri" w:hAnsi="Calibri" w:eastAsia="宋体" w:cs="Times New Roman"/>
      <w:lang w:val="en-US" w:eastAsia="zh-CN" w:bidi="ar-SA"/>
    </w:rPr>
  </w:style>
  <w:style w:type="paragraph" w:styleId="1034" w:customStyle="1">
    <w:name w:val="标题 11"/>
    <w:basedOn w:val="808"/>
    <w:next w:val="808"/>
    <w:link w:val="1046"/>
    <w:uiPriority w:val="9"/>
    <w:qFormat/>
    <w:pPr>
      <w:jc w:val="center"/>
      <w:keepNext/>
      <w:outlineLvl w:val="0"/>
    </w:pPr>
    <w:rPr>
      <w:rFonts w:ascii="楷体_GB2312" w:hAnsi="Times New Roman" w:eastAsia="楷体_GB2312"/>
      <w:sz w:val="28"/>
      <w:szCs w:val="28"/>
    </w:rPr>
  </w:style>
  <w:style w:type="paragraph" w:styleId="1035" w:customStyle="1">
    <w:name w:val="标题 21"/>
    <w:basedOn w:val="808"/>
    <w:next w:val="808"/>
    <w:link w:val="104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36" w:customStyle="1">
    <w:name w:val="正文缩进1"/>
    <w:basedOn w:val="808"/>
    <w:link w:val="1057"/>
    <w:uiPriority w:val="0"/>
    <w:qFormat/>
    <w:pPr>
      <w:ind w:firstLine="420"/>
    </w:pPr>
    <w:rPr>
      <w:szCs w:val="21"/>
    </w:rPr>
  </w:style>
  <w:style w:type="paragraph" w:styleId="1037" w:customStyle="1">
    <w:name w:val="标题 31"/>
    <w:basedOn w:val="808"/>
    <w:next w:val="1036"/>
    <w:link w:val="1048"/>
    <w:uiPriority w:val="0"/>
    <w:qFormat/>
    <w:pPr>
      <w:keepLines/>
      <w:keepNext/>
      <w:spacing w:before="260" w:after="260" w:line="416" w:lineRule="auto"/>
      <w:outlineLvl w:val="2"/>
    </w:pPr>
    <w:rPr>
      <w:rFonts w:ascii="Times New Roman" w:hAnsi="Times New Roman"/>
      <w:b/>
      <w:bCs/>
      <w:sz w:val="32"/>
      <w:szCs w:val="32"/>
    </w:rPr>
  </w:style>
  <w:style w:type="paragraph" w:styleId="1038" w:customStyle="1">
    <w:name w:val="标题 41"/>
    <w:basedOn w:val="808"/>
    <w:next w:val="808"/>
    <w:link w:val="1049"/>
    <w:uiPriority w:val="0"/>
    <w:qFormat/>
    <w:pPr>
      <w:keepLines/>
      <w:keepNext/>
      <w:spacing w:before="280" w:after="290" w:line="376" w:lineRule="auto"/>
      <w:outlineLvl w:val="3"/>
    </w:pPr>
    <w:rPr>
      <w:rFonts w:ascii="Arial" w:hAnsi="Arial" w:eastAsia="黑体" w:cs="Arial"/>
      <w:b/>
      <w:bCs/>
      <w:sz w:val="28"/>
      <w:szCs w:val="28"/>
    </w:rPr>
  </w:style>
  <w:style w:type="paragraph" w:styleId="1039" w:customStyle="1">
    <w:name w:val="标题 51"/>
    <w:basedOn w:val="808"/>
    <w:next w:val="1036"/>
    <w:link w:val="1050"/>
    <w:uiPriority w:val="0"/>
    <w:qFormat/>
    <w:pPr>
      <w:keepNext/>
      <w:outlineLvl w:val="4"/>
    </w:pPr>
    <w:rPr>
      <w:rFonts w:ascii="宋体" w:hAnsi="Times New Roman"/>
      <w:color w:val="000000"/>
      <w:sz w:val="28"/>
      <w:szCs w:val="28"/>
    </w:rPr>
  </w:style>
  <w:style w:type="paragraph" w:styleId="1040" w:customStyle="1">
    <w:name w:val="标题 61"/>
    <w:basedOn w:val="808"/>
    <w:next w:val="808"/>
    <w:link w:val="105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41" w:customStyle="1">
    <w:name w:val="标题 71"/>
    <w:basedOn w:val="808"/>
    <w:next w:val="808"/>
    <w:link w:val="1052"/>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42" w:customStyle="1">
    <w:name w:val="标题 81"/>
    <w:basedOn w:val="808"/>
    <w:next w:val="808"/>
    <w:link w:val="105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43" w:customStyle="1">
    <w:name w:val="标题 91"/>
    <w:basedOn w:val="808"/>
    <w:next w:val="808"/>
    <w:link w:val="1054"/>
    <w:uiPriority w:val="0"/>
    <w:qFormat/>
    <w:pPr>
      <w:numPr>
        <w:ilvl w:val="8"/>
        <w:numId w:val="1"/>
      </w:numPr>
      <w:keepLines/>
      <w:keepNext/>
      <w:spacing w:before="240" w:after="64" w:line="320" w:lineRule="auto"/>
      <w:outlineLvl w:val="8"/>
    </w:pPr>
    <w:rPr>
      <w:rFonts w:ascii="Arial" w:hAnsi="Arial" w:eastAsia="黑体"/>
      <w:szCs w:val="21"/>
    </w:rPr>
  </w:style>
  <w:style w:type="character" w:styleId="1044" w:customStyle="1">
    <w:name w:val="默认段落字体1"/>
    <w:uiPriority w:val="1"/>
    <w:semiHidden/>
    <w:unhideWhenUsed/>
    <w:qFormat/>
  </w:style>
  <w:style w:type="table" w:styleId="1045" w:customStyle="1">
    <w:name w:val="普通表格1"/>
    <w:uiPriority w:val="99"/>
    <w:semiHidden/>
    <w:unhideWhenUsed/>
    <w:qFormat/>
    <w:tblPr>
      <w:tblCellMar>
        <w:left w:w="0" w:type="dxa"/>
        <w:top w:w="0" w:type="dxa"/>
        <w:right w:w="0" w:type="dxa"/>
        <w:bottom w:w="0" w:type="dxa"/>
      </w:tblCellMar>
    </w:tblPr>
  </w:style>
  <w:style w:type="character" w:styleId="1046" w:customStyle="1">
    <w:name w:val="标题 1 Char"/>
    <w:link w:val="1034"/>
    <w:uiPriority w:val="0"/>
    <w:qFormat/>
    <w:rPr>
      <w:rFonts w:ascii="楷体_GB2312" w:hAnsi="Times New Roman" w:eastAsia="楷体_GB2312" w:cs="Times New Roman"/>
      <w:sz w:val="28"/>
      <w:szCs w:val="28"/>
    </w:rPr>
  </w:style>
  <w:style w:type="character" w:styleId="1047" w:customStyle="1">
    <w:name w:val="标题 2 Char"/>
    <w:link w:val="1035"/>
    <w:uiPriority w:val="0"/>
    <w:qFormat/>
    <w:rPr>
      <w:rFonts w:ascii="Arial" w:hAnsi="Arial" w:eastAsia="幼圆" w:cs="Arial"/>
      <w:b/>
      <w:bCs/>
      <w:sz w:val="44"/>
      <w:szCs w:val="44"/>
    </w:rPr>
  </w:style>
  <w:style w:type="character" w:styleId="1048" w:customStyle="1">
    <w:name w:val="标题 3 Char"/>
    <w:link w:val="1037"/>
    <w:uiPriority w:val="0"/>
    <w:qFormat/>
    <w:rPr>
      <w:rFonts w:ascii="Times New Roman" w:hAnsi="Times New Roman" w:eastAsia="宋体" w:cs="Times New Roman"/>
      <w:b/>
      <w:bCs/>
      <w:sz w:val="32"/>
      <w:szCs w:val="32"/>
    </w:rPr>
  </w:style>
  <w:style w:type="character" w:styleId="1049" w:customStyle="1">
    <w:name w:val="标题 4 Char"/>
    <w:link w:val="1038"/>
    <w:uiPriority w:val="0"/>
    <w:qFormat/>
    <w:rPr>
      <w:rFonts w:ascii="Arial" w:hAnsi="Arial" w:eastAsia="黑体" w:cs="Arial"/>
      <w:b/>
      <w:bCs/>
      <w:sz w:val="28"/>
      <w:szCs w:val="28"/>
    </w:rPr>
  </w:style>
  <w:style w:type="character" w:styleId="1050" w:customStyle="1">
    <w:name w:val="标题 5 Char"/>
    <w:link w:val="1039"/>
    <w:uiPriority w:val="0"/>
    <w:qFormat/>
    <w:rPr>
      <w:rFonts w:ascii="宋体" w:hAnsi="Times New Roman" w:eastAsia="宋体" w:cs="Times New Roman"/>
      <w:color w:val="000000"/>
      <w:sz w:val="28"/>
      <w:szCs w:val="28"/>
    </w:rPr>
  </w:style>
  <w:style w:type="character" w:styleId="1051" w:customStyle="1">
    <w:name w:val="标题 6 Char"/>
    <w:link w:val="1040"/>
    <w:uiPriority w:val="0"/>
    <w:qFormat/>
    <w:rPr>
      <w:rFonts w:ascii="Arial" w:hAnsi="Arial" w:eastAsia="黑体" w:cs="Times New Roman"/>
      <w:b/>
      <w:bCs/>
      <w:sz w:val="24"/>
      <w:szCs w:val="24"/>
    </w:rPr>
  </w:style>
  <w:style w:type="character" w:styleId="1052" w:customStyle="1">
    <w:name w:val="标题 7 Char"/>
    <w:link w:val="1041"/>
    <w:uiPriority w:val="0"/>
    <w:qFormat/>
    <w:rPr>
      <w:rFonts w:ascii="Times New Roman" w:hAnsi="Times New Roman" w:eastAsia="宋体" w:cs="Times New Roman"/>
      <w:b/>
      <w:bCs/>
      <w:sz w:val="24"/>
      <w:szCs w:val="24"/>
    </w:rPr>
  </w:style>
  <w:style w:type="character" w:styleId="1053" w:customStyle="1">
    <w:name w:val="标题 8 Char"/>
    <w:link w:val="1042"/>
    <w:uiPriority w:val="0"/>
    <w:qFormat/>
    <w:rPr>
      <w:rFonts w:ascii="Arial" w:hAnsi="Arial" w:eastAsia="黑体" w:cs="Times New Roman"/>
      <w:sz w:val="24"/>
      <w:szCs w:val="24"/>
    </w:rPr>
  </w:style>
  <w:style w:type="character" w:styleId="1054" w:customStyle="1">
    <w:name w:val="标题 9 Char"/>
    <w:link w:val="1043"/>
    <w:uiPriority w:val="0"/>
    <w:qFormat/>
    <w:rPr>
      <w:rFonts w:ascii="Arial" w:hAnsi="Arial" w:eastAsia="黑体" w:cs="Times New Roman"/>
      <w:szCs w:val="21"/>
    </w:rPr>
  </w:style>
  <w:style w:type="character" w:styleId="1055" w:customStyle="1">
    <w:name w:val="访问过的超链接1"/>
    <w:uiPriority w:val="0"/>
    <w:qFormat/>
    <w:rPr>
      <w:color w:val="800080"/>
      <w:u w:val="single"/>
    </w:rPr>
  </w:style>
  <w:style w:type="character" w:styleId="1056" w:customStyle="1">
    <w:name w:val="font5 Char"/>
    <w:uiPriority w:val="0"/>
    <w:qFormat/>
    <w:rPr>
      <w:rFonts w:ascii="宋体" w:hAnsi="宋体" w:eastAsia="宋体"/>
      <w:sz w:val="28"/>
      <w:szCs w:val="28"/>
      <w:lang w:val="en-US" w:eastAsia="zh-CN" w:bidi="ar-SA"/>
    </w:rPr>
  </w:style>
  <w:style w:type="character" w:styleId="1057" w:customStyle="1">
    <w:name w:val="正文缩进 Char"/>
    <w:link w:val="1036"/>
    <w:uiPriority w:val="0"/>
    <w:qFormat/>
    <w:rPr>
      <w:szCs w:val="21"/>
    </w:rPr>
  </w:style>
  <w:style w:type="character" w:styleId="1058" w:customStyle="1">
    <w:name w:val="批注引用1"/>
    <w:uiPriority w:val="0"/>
    <w:qFormat/>
    <w:rPr>
      <w:sz w:val="21"/>
      <w:szCs w:val="21"/>
    </w:rPr>
  </w:style>
  <w:style w:type="character" w:styleId="1059" w:customStyle="1">
    <w:name w:val="要点1"/>
    <w:uiPriority w:val="22"/>
    <w:qFormat/>
    <w:rPr>
      <w:b/>
      <w:bCs/>
    </w:rPr>
  </w:style>
  <w:style w:type="character" w:styleId="1060" w:customStyle="1">
    <w:name w:val="超链接1"/>
    <w:uiPriority w:val="99"/>
    <w:qFormat/>
    <w:rPr>
      <w:color w:val="0000ff"/>
      <w:u w:val="single"/>
    </w:rPr>
  </w:style>
  <w:style w:type="character" w:styleId="1061" w:customStyle="1">
    <w:name w:val="页码1"/>
    <w:uiPriority w:val="0"/>
    <w:qFormat/>
  </w:style>
  <w:style w:type="character" w:styleId="1062" w:customStyle="1">
    <w:name w:val="二级目录 Char"/>
    <w:link w:val="1063"/>
    <w:uiPriority w:val="0"/>
    <w:qFormat/>
    <w:rPr>
      <w:b/>
      <w:sz w:val="30"/>
      <w:szCs w:val="28"/>
    </w:rPr>
  </w:style>
  <w:style w:type="paragraph" w:styleId="1063" w:customStyle="1">
    <w:name w:val="二级目录"/>
    <w:next w:val="808"/>
    <w:link w:val="1062"/>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64" w:customStyle="1">
    <w:name w:val="列出段落 Char"/>
    <w:link w:val="1065"/>
    <w:uiPriority w:val="0"/>
    <w:qFormat/>
    <w:rPr>
      <w:rFonts w:ascii="Calibri" w:hAnsi="Calibri"/>
      <w:sz w:val="24"/>
      <w:szCs w:val="24"/>
      <w:lang w:eastAsia="en-US" w:bidi="en-US"/>
    </w:rPr>
  </w:style>
  <w:style w:type="paragraph" w:styleId="1065" w:customStyle="1">
    <w:name w:val="列出段落1"/>
    <w:basedOn w:val="808"/>
    <w:link w:val="1064"/>
    <w:uiPriority w:val="0"/>
    <w:qFormat/>
    <w:pPr>
      <w:contextualSpacing/>
      <w:ind w:left="720"/>
      <w:jc w:val="left"/>
      <w:widowControl/>
    </w:pPr>
    <w:rPr>
      <w:sz w:val="24"/>
      <w:szCs w:val="24"/>
      <w:lang w:eastAsia="en-US" w:bidi="en-US"/>
    </w:rPr>
  </w:style>
  <w:style w:type="paragraph" w:styleId="1066" w:customStyle="1">
    <w:name w:val="Body Text(ch)"/>
    <w:basedOn w:val="808"/>
    <w:next w:val="1067"/>
    <w:uiPriority w:val="0"/>
    <w:qFormat/>
    <w:pPr>
      <w:spacing w:after="120"/>
    </w:pPr>
    <w:rPr>
      <w:rFonts w:ascii="宋体" w:hAnsi="Arial"/>
      <w:bCs/>
      <w:iCs/>
      <w:szCs w:val="24"/>
    </w:rPr>
  </w:style>
  <w:style w:type="paragraph" w:styleId="1067" w:customStyle="1">
    <w:name w:val="正文文本1"/>
    <w:basedOn w:val="808"/>
    <w:link w:val="1072"/>
    <w:uiPriority w:val="0"/>
    <w:qFormat/>
    <w:rPr>
      <w:rFonts w:ascii="楷体_GB2312" w:hAnsi="Arial" w:eastAsia="楷体_GB2312"/>
      <w:sz w:val="28"/>
      <w:szCs w:val="28"/>
    </w:rPr>
  </w:style>
  <w:style w:type="paragraph" w:styleId="1068" w:customStyle="1">
    <w:name w:val="目录 91"/>
    <w:basedOn w:val="808"/>
    <w:next w:val="808"/>
    <w:uiPriority w:val="0"/>
    <w:semiHidden/>
    <w:qFormat/>
    <w:pPr>
      <w:ind w:left="1680"/>
      <w:jc w:val="left"/>
    </w:pPr>
    <w:rPr>
      <w:rFonts w:ascii="Times New Roman" w:hAnsi="Times New Roman"/>
      <w:szCs w:val="21"/>
    </w:rPr>
  </w:style>
  <w:style w:type="paragraph" w:styleId="1069" w:customStyle="1">
    <w:name w:val="xl27"/>
    <w:basedOn w:val="8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0" w:customStyle="1">
    <w:name w:val="正文文本缩进 21"/>
    <w:basedOn w:val="808"/>
    <w:link w:val="1071"/>
    <w:uiPriority w:val="0"/>
    <w:qFormat/>
    <w:pPr>
      <w:ind w:left="630" w:firstLine="645"/>
    </w:pPr>
    <w:rPr>
      <w:rFonts w:ascii="Arial" w:hAnsi="Arial" w:eastAsia="仿宋_GB2312" w:cs="Arial"/>
      <w:sz w:val="32"/>
      <w:szCs w:val="32"/>
    </w:rPr>
  </w:style>
  <w:style w:type="character" w:styleId="1071" w:customStyle="1">
    <w:name w:val="正文文本缩进 2 Char"/>
    <w:link w:val="1070"/>
    <w:uiPriority w:val="0"/>
    <w:qFormat/>
    <w:rPr>
      <w:rFonts w:ascii="Arial" w:hAnsi="Arial" w:eastAsia="仿宋_GB2312" w:cs="Arial"/>
      <w:sz w:val="32"/>
      <w:szCs w:val="32"/>
    </w:rPr>
  </w:style>
  <w:style w:type="character" w:styleId="1072" w:customStyle="1">
    <w:name w:val="正文文本 Char"/>
    <w:link w:val="1067"/>
    <w:uiPriority w:val="0"/>
    <w:qFormat/>
    <w:rPr>
      <w:rFonts w:ascii="楷体_GB2312" w:hAnsi="Arial" w:eastAsia="楷体_GB2312" w:cs="Times New Roman"/>
      <w:sz w:val="28"/>
      <w:szCs w:val="28"/>
    </w:rPr>
  </w:style>
  <w:style w:type="paragraph" w:styleId="1073" w:customStyle="1">
    <w:name w:val="图表目录1"/>
    <w:basedOn w:val="808"/>
    <w:next w:val="808"/>
    <w:uiPriority w:val="0"/>
    <w:semiHidden/>
    <w:qFormat/>
    <w:pPr>
      <w:ind w:left="840" w:hanging="420"/>
    </w:pPr>
    <w:rPr>
      <w:rFonts w:ascii="Times New Roman" w:hAnsi="Times New Roman"/>
      <w:szCs w:val="21"/>
    </w:rPr>
  </w:style>
  <w:style w:type="paragraph" w:styleId="1074" w:customStyle="1">
    <w:name w:val="xl26"/>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5" w:customStyle="1">
    <w:name w:val="Char"/>
    <w:basedOn w:val="808"/>
    <w:uiPriority w:val="0"/>
    <w:qFormat/>
    <w:pPr>
      <w:ind w:firstLine="200"/>
      <w:tabs>
        <w:tab w:val="left" w:pos="360" w:leader="none"/>
      </w:tabs>
    </w:pPr>
    <w:rPr>
      <w:rFonts w:ascii="Times New Roman" w:hAnsi="Times New Roman"/>
      <w:sz w:val="28"/>
      <w:szCs w:val="30"/>
    </w:rPr>
  </w:style>
  <w:style w:type="paragraph" w:styleId="1076" w:customStyle="1">
    <w:name w:val="Char1"/>
    <w:basedOn w:val="1077"/>
    <w:uiPriority w:val="0"/>
    <w:qFormat/>
    <w:rPr>
      <w:rFonts w:ascii="Tahoma" w:hAnsi="Tahoma"/>
      <w:sz w:val="24"/>
      <w:szCs w:val="24"/>
    </w:rPr>
  </w:style>
  <w:style w:type="paragraph" w:styleId="1077" w:customStyle="1">
    <w:name w:val="文档结构图1"/>
    <w:basedOn w:val="808"/>
    <w:link w:val="1101"/>
    <w:uiPriority w:val="0"/>
    <w:semiHidden/>
    <w:qFormat/>
    <w:pPr>
      <w:shd w:val="clear" w:color="auto" w:fill="000080"/>
    </w:pPr>
    <w:rPr>
      <w:rFonts w:ascii="Times New Roman" w:hAnsi="Times New Roman"/>
      <w:szCs w:val="21"/>
    </w:rPr>
  </w:style>
  <w:style w:type="paragraph" w:styleId="1078" w:customStyle="1">
    <w:name w:val="批注文字1"/>
    <w:basedOn w:val="808"/>
    <w:link w:val="1079"/>
    <w:uiPriority w:val="0"/>
    <w:unhideWhenUsed/>
    <w:qFormat/>
    <w:pPr>
      <w:jc w:val="left"/>
    </w:pPr>
  </w:style>
  <w:style w:type="character" w:styleId="1079" w:customStyle="1">
    <w:name w:val="批注文字 Char"/>
    <w:basedOn w:val="1044"/>
    <w:link w:val="1078"/>
    <w:uiPriority w:val="0"/>
    <w:qFormat/>
  </w:style>
  <w:style w:type="paragraph" w:styleId="1080" w:customStyle="1">
    <w:name w:val="批注主题1"/>
    <w:basedOn w:val="1078"/>
    <w:next w:val="1078"/>
    <w:link w:val="1081"/>
    <w:uiPriority w:val="0"/>
    <w:qFormat/>
    <w:rPr>
      <w:rFonts w:ascii="Times New Roman" w:hAnsi="Times New Roman"/>
      <w:b/>
      <w:bCs/>
      <w:szCs w:val="21"/>
    </w:rPr>
  </w:style>
  <w:style w:type="character" w:styleId="1081" w:customStyle="1">
    <w:name w:val="批注主题 Char"/>
    <w:link w:val="1080"/>
    <w:uiPriority w:val="0"/>
    <w:semiHidden/>
    <w:qFormat/>
    <w:rPr>
      <w:rFonts w:ascii="Times New Roman" w:hAnsi="Times New Roman" w:eastAsia="宋体" w:cs="Times New Roman"/>
      <w:b/>
      <w:bCs/>
      <w:szCs w:val="21"/>
    </w:rPr>
  </w:style>
  <w:style w:type="paragraph" w:styleId="1082" w:customStyle="1">
    <w:name w:val="索引 11"/>
    <w:basedOn w:val="808"/>
    <w:next w:val="808"/>
    <w:uiPriority w:val="0"/>
    <w:semiHidden/>
    <w:qFormat/>
    <w:pPr>
      <w:spacing w:line="240" w:lineRule="atLeast"/>
    </w:pPr>
    <w:rPr>
      <w:rFonts w:ascii="Times New Roman" w:hAnsi="Times New Roman"/>
      <w:b/>
      <w:bCs/>
      <w:szCs w:val="21"/>
    </w:rPr>
  </w:style>
  <w:style w:type="paragraph" w:styleId="1083" w:customStyle="1">
    <w:name w:val="普通正文"/>
    <w:basedOn w:val="808"/>
    <w:link w:val="1199"/>
    <w:uiPriority w:val="0"/>
    <w:qFormat/>
    <w:pPr>
      <w:ind w:firstLine="480"/>
      <w:jc w:val="left"/>
      <w:spacing w:before="120" w:after="120" w:line="360" w:lineRule="auto"/>
    </w:pPr>
    <w:rPr>
      <w:rFonts w:ascii="Arial" w:hAnsi="Arial"/>
      <w:sz w:val="24"/>
      <w:szCs w:val="24"/>
    </w:rPr>
  </w:style>
  <w:style w:type="paragraph" w:styleId="1084" w:customStyle="1">
    <w:name w:val="table_lines"/>
    <w:basedOn w:val="808"/>
    <w:uiPriority w:val="0"/>
    <w:qFormat/>
    <w:pPr>
      <w:jc w:val="left"/>
      <w:widowControl/>
    </w:pPr>
    <w:rPr>
      <w:rFonts w:ascii="Times New Roman" w:hAnsi="Times New Roman"/>
      <w:sz w:val="20"/>
      <w:szCs w:val="20"/>
      <w:lang w:val="de-DE" w:eastAsia="de-DE"/>
    </w:rPr>
  </w:style>
  <w:style w:type="paragraph" w:styleId="108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86" w:customStyle="1">
    <w:name w:val="目录 31"/>
    <w:basedOn w:val="808"/>
    <w:next w:val="808"/>
    <w:uiPriority w:val="39"/>
    <w:qFormat/>
    <w:pPr>
      <w:ind w:left="420"/>
      <w:jc w:val="left"/>
    </w:pPr>
    <w:rPr>
      <w:rFonts w:ascii="Times New Roman" w:hAnsi="Times New Roman"/>
      <w:i/>
      <w:iCs/>
      <w:szCs w:val="24"/>
    </w:rPr>
  </w:style>
  <w:style w:type="paragraph" w:styleId="1087" w:customStyle="1">
    <w:name w:val="正文文本缩进1"/>
    <w:basedOn w:val="808"/>
    <w:link w:val="1088"/>
    <w:uiPriority w:val="0"/>
    <w:unhideWhenUsed/>
    <w:qFormat/>
    <w:pPr>
      <w:ind w:left="420"/>
      <w:spacing w:after="120"/>
    </w:pPr>
  </w:style>
  <w:style w:type="character" w:styleId="1088" w:customStyle="1">
    <w:name w:val="正文文本缩进 Char"/>
    <w:basedOn w:val="1044"/>
    <w:link w:val="1087"/>
    <w:uiPriority w:val="99"/>
    <w:semiHidden/>
    <w:qFormat/>
  </w:style>
  <w:style w:type="paragraph" w:styleId="1089" w:customStyle="1">
    <w:name w:val="正文首行缩进 21"/>
    <w:basedOn w:val="1087"/>
    <w:link w:val="1090"/>
    <w:uiPriority w:val="0"/>
    <w:qFormat/>
    <w:pPr>
      <w:ind w:left="0" w:firstLine="420"/>
      <w:spacing w:after="0" w:line="360" w:lineRule="auto"/>
    </w:pPr>
    <w:rPr>
      <w:rFonts w:ascii="宋体" w:hAnsi="宋体"/>
      <w:szCs w:val="20"/>
    </w:rPr>
  </w:style>
  <w:style w:type="character" w:styleId="1090" w:customStyle="1">
    <w:name w:val="正文首行缩进 2 Char"/>
    <w:link w:val="1089"/>
    <w:uiPriority w:val="0"/>
    <w:qFormat/>
    <w:rPr>
      <w:rFonts w:ascii="宋体" w:hAnsi="宋体" w:eastAsia="宋体" w:cs="Times New Roman"/>
      <w:szCs w:val="20"/>
    </w:rPr>
  </w:style>
  <w:style w:type="paragraph" w:styleId="1091" w:customStyle="1">
    <w:name w:val="正文文本缩进 31"/>
    <w:basedOn w:val="808"/>
    <w:link w:val="1092"/>
    <w:uiPriority w:val="0"/>
    <w:qFormat/>
    <w:pPr>
      <w:ind w:left="645" w:firstLine="645"/>
    </w:pPr>
    <w:rPr>
      <w:rFonts w:ascii="Arial" w:hAnsi="Arial" w:eastAsia="仿宋_GB2312" w:cs="Arial"/>
      <w:color w:val="ffff00"/>
      <w:sz w:val="32"/>
      <w:szCs w:val="32"/>
    </w:rPr>
  </w:style>
  <w:style w:type="character" w:styleId="1092" w:customStyle="1">
    <w:name w:val="正文文本缩进 3 Char"/>
    <w:link w:val="1091"/>
    <w:uiPriority w:val="0"/>
    <w:qFormat/>
    <w:rPr>
      <w:rFonts w:ascii="Arial" w:hAnsi="Arial" w:eastAsia="仿宋_GB2312" w:cs="Arial"/>
      <w:color w:val="ffff00"/>
      <w:sz w:val="32"/>
      <w:szCs w:val="32"/>
    </w:rPr>
  </w:style>
  <w:style w:type="paragraph" w:styleId="1093" w:customStyle="1">
    <w:name w:val="目录 61"/>
    <w:basedOn w:val="808"/>
    <w:next w:val="808"/>
    <w:uiPriority w:val="0"/>
    <w:semiHidden/>
    <w:qFormat/>
    <w:pPr>
      <w:ind w:left="1050"/>
      <w:jc w:val="left"/>
    </w:pPr>
    <w:rPr>
      <w:rFonts w:ascii="Times New Roman" w:hAnsi="Times New Roman"/>
      <w:szCs w:val="21"/>
    </w:rPr>
  </w:style>
  <w:style w:type="paragraph" w:styleId="1094" w:customStyle="1">
    <w:name w:val="font7"/>
    <w:basedOn w:val="808"/>
    <w:uiPriority w:val="0"/>
    <w:qFormat/>
    <w:pPr>
      <w:jc w:val="left"/>
      <w:spacing w:before="100" w:beforeAutospacing="1" w:after="100" w:afterAutospacing="1"/>
      <w:widowControl/>
    </w:pPr>
    <w:rPr>
      <w:rFonts w:hint="eastAsia" w:ascii="宋体" w:hAnsi="宋体"/>
      <w:sz w:val="18"/>
      <w:szCs w:val="18"/>
    </w:rPr>
  </w:style>
  <w:style w:type="paragraph" w:styleId="1095" w:customStyle="1">
    <w:name w:val="Char Char Char Char"/>
    <w:basedOn w:val="1077"/>
    <w:uiPriority w:val="0"/>
    <w:qFormat/>
    <w:pPr>
      <w:spacing w:line="360" w:lineRule="auto"/>
    </w:pPr>
    <w:rPr>
      <w:rFonts w:ascii="Tahoma" w:hAnsi="Tahoma"/>
      <w:sz w:val="24"/>
      <w:szCs w:val="24"/>
    </w:rPr>
  </w:style>
  <w:style w:type="paragraph" w:styleId="1096" w:customStyle="1">
    <w:name w:val="正文文本 31"/>
    <w:basedOn w:val="808"/>
    <w:link w:val="1097"/>
    <w:uiPriority w:val="0"/>
    <w:qFormat/>
    <w:rPr>
      <w:rFonts w:ascii="仿宋_GB2312" w:hAnsi="Arial" w:eastAsia="仿宋_GB2312"/>
      <w:sz w:val="32"/>
      <w:szCs w:val="32"/>
    </w:rPr>
  </w:style>
  <w:style w:type="character" w:styleId="1097" w:customStyle="1">
    <w:name w:val="正文文本 3 Char"/>
    <w:link w:val="1096"/>
    <w:uiPriority w:val="0"/>
    <w:qFormat/>
    <w:rPr>
      <w:rFonts w:ascii="仿宋_GB2312" w:hAnsi="Arial" w:eastAsia="仿宋_GB2312" w:cs="Times New Roman"/>
      <w:sz w:val="32"/>
      <w:szCs w:val="32"/>
    </w:rPr>
  </w:style>
  <w:style w:type="paragraph" w:styleId="1098" w:customStyle="1">
    <w:name w:val="普通(网站)1"/>
    <w:basedOn w:val="808"/>
    <w:uiPriority w:val="99"/>
    <w:qFormat/>
    <w:pPr>
      <w:jc w:val="left"/>
      <w:spacing w:before="100" w:beforeAutospacing="1" w:after="100" w:afterAutospacing="1"/>
      <w:widowControl/>
    </w:pPr>
    <w:rPr>
      <w:rFonts w:ascii="宋体" w:hAnsi="宋体" w:cs="宋体"/>
      <w:sz w:val="24"/>
      <w:szCs w:val="24"/>
    </w:rPr>
  </w:style>
  <w:style w:type="paragraph" w:styleId="1099" w:customStyle="1">
    <w:name w:val="目录 41"/>
    <w:basedOn w:val="808"/>
    <w:next w:val="808"/>
    <w:uiPriority w:val="0"/>
    <w:semiHidden/>
    <w:qFormat/>
    <w:pPr>
      <w:ind w:left="630"/>
      <w:jc w:val="left"/>
    </w:pPr>
    <w:rPr>
      <w:rFonts w:ascii="Times New Roman" w:hAnsi="Times New Roman"/>
      <w:szCs w:val="21"/>
    </w:rPr>
  </w:style>
  <w:style w:type="paragraph" w:styleId="1100" w:customStyle="1">
    <w:name w:val="列出段落2"/>
    <w:basedOn w:val="808"/>
    <w:link w:val="1176"/>
    <w:uiPriority w:val="34"/>
    <w:qFormat/>
    <w:pPr>
      <w:contextualSpacing/>
      <w:ind w:left="720"/>
      <w:jc w:val="left"/>
      <w:widowControl/>
    </w:pPr>
    <w:rPr>
      <w:sz w:val="24"/>
      <w:szCs w:val="24"/>
      <w:lang w:eastAsia="en-US" w:bidi="en-US"/>
    </w:rPr>
  </w:style>
  <w:style w:type="character" w:styleId="1101" w:customStyle="1">
    <w:name w:val="文档结构图 Char"/>
    <w:link w:val="1077"/>
    <w:uiPriority w:val="0"/>
    <w:semiHidden/>
    <w:qFormat/>
    <w:rPr>
      <w:rFonts w:ascii="Times New Roman" w:hAnsi="Times New Roman" w:eastAsia="宋体" w:cs="Times New Roman"/>
      <w:szCs w:val="21"/>
      <w:shd w:val="clear" w:color="auto" w:fill="000080"/>
    </w:rPr>
  </w:style>
  <w:style w:type="paragraph" w:styleId="1102" w:customStyle="1">
    <w:name w:val="4"/>
    <w:basedOn w:val="808"/>
    <w:next w:val="1091"/>
    <w:uiPriority w:val="0"/>
    <w:qFormat/>
    <w:pPr>
      <w:ind w:firstLine="420"/>
      <w:spacing w:line="360" w:lineRule="auto"/>
    </w:pPr>
    <w:rPr>
      <w:rFonts w:ascii="Times New Roman" w:hAnsi="Times New Roman"/>
      <w:color w:val="ff0000"/>
      <w:sz w:val="24"/>
      <w:szCs w:val="24"/>
    </w:rPr>
  </w:style>
  <w:style w:type="paragraph" w:styleId="1103" w:customStyle="1">
    <w:name w:val="普通 (Web)"/>
    <w:basedOn w:val="808"/>
    <w:uiPriority w:val="0"/>
    <w:qFormat/>
    <w:pPr>
      <w:jc w:val="left"/>
      <w:spacing w:before="100" w:beforeAutospacing="1" w:after="100" w:afterAutospacing="1"/>
      <w:widowControl/>
    </w:pPr>
    <w:rPr>
      <w:rFonts w:ascii="宋体" w:hAnsi="宋体"/>
      <w:sz w:val="24"/>
      <w:szCs w:val="24"/>
    </w:rPr>
  </w:style>
  <w:style w:type="paragraph" w:styleId="1104" w:customStyle="1">
    <w:name w:val="Char Char Char Char Char Char Char Char Char Char"/>
    <w:basedOn w:val="808"/>
    <w:uiPriority w:val="0"/>
    <w:qFormat/>
    <w:pPr>
      <w:spacing w:line="360" w:lineRule="auto"/>
    </w:pPr>
    <w:rPr>
      <w:rFonts w:ascii="Times New Roman" w:hAnsi="Times New Roman"/>
      <w:sz w:val="24"/>
      <w:szCs w:val="20"/>
    </w:rPr>
  </w:style>
  <w:style w:type="paragraph" w:styleId="1105" w:customStyle="1">
    <w:name w:val="列表 21"/>
    <w:basedOn w:val="808"/>
    <w:uiPriority w:val="0"/>
    <w:qFormat/>
    <w:pPr>
      <w:ind w:left="100" w:hanging="200"/>
    </w:pPr>
    <w:rPr>
      <w:rFonts w:ascii="Times New Roman" w:hAnsi="Times New Roman"/>
      <w:szCs w:val="21"/>
    </w:rPr>
  </w:style>
  <w:style w:type="paragraph" w:styleId="1106" w:customStyle="1">
    <w:name w:val="正文首行缩进1"/>
    <w:basedOn w:val="808"/>
    <w:link w:val="1107"/>
    <w:uiPriority w:val="0"/>
    <w:qFormat/>
    <w:pPr>
      <w:ind w:firstLine="200"/>
      <w:spacing w:line="360" w:lineRule="auto"/>
    </w:pPr>
    <w:rPr>
      <w:rFonts w:ascii="仿宋_GB2312" w:hAnsi="Times New Roman" w:eastAsia="仿宋_GB2312"/>
      <w:sz w:val="30"/>
      <w:szCs w:val="30"/>
    </w:rPr>
  </w:style>
  <w:style w:type="character" w:styleId="1107" w:customStyle="1">
    <w:name w:val="正文首行缩进 Char"/>
    <w:link w:val="1106"/>
    <w:uiPriority w:val="0"/>
    <w:qFormat/>
    <w:rPr>
      <w:rFonts w:ascii="仿宋_GB2312" w:hAnsi="Times New Roman" w:eastAsia="仿宋_GB2312" w:cs="Times New Roman"/>
      <w:sz w:val="30"/>
      <w:szCs w:val="30"/>
    </w:rPr>
  </w:style>
  <w:style w:type="paragraph" w:styleId="1108" w:customStyle="1">
    <w:name w:val="样式1"/>
    <w:basedOn w:val="808"/>
    <w:uiPriority w:val="0"/>
    <w:qFormat/>
    <w:pPr>
      <w:numPr>
        <w:ilvl w:val="0"/>
        <w:numId w:val="3"/>
      </w:numPr>
    </w:pPr>
    <w:rPr>
      <w:rFonts w:ascii="宋体" w:hAnsi="宋体"/>
      <w:szCs w:val="21"/>
    </w:rPr>
  </w:style>
  <w:style w:type="paragraph" w:styleId="1109" w:customStyle="1">
    <w:name w:val="font6"/>
    <w:basedOn w:val="808"/>
    <w:uiPriority w:val="0"/>
    <w:qFormat/>
    <w:pPr>
      <w:jc w:val="left"/>
      <w:spacing w:before="100" w:beforeAutospacing="1" w:after="100" w:afterAutospacing="1"/>
      <w:widowControl/>
    </w:pPr>
    <w:rPr>
      <w:rFonts w:hint="eastAsia" w:ascii="宋体" w:hAnsi="宋体"/>
      <w:sz w:val="28"/>
      <w:szCs w:val="28"/>
      <w:u w:val="single"/>
    </w:rPr>
  </w:style>
  <w:style w:type="paragraph" w:styleId="1110" w:customStyle="1">
    <w:name w:val="目录 51"/>
    <w:basedOn w:val="808"/>
    <w:next w:val="808"/>
    <w:uiPriority w:val="0"/>
    <w:semiHidden/>
    <w:qFormat/>
    <w:pPr>
      <w:ind w:left="840"/>
      <w:jc w:val="left"/>
    </w:pPr>
    <w:rPr>
      <w:rFonts w:ascii="Times New Roman" w:hAnsi="Times New Roman"/>
      <w:szCs w:val="21"/>
    </w:rPr>
  </w:style>
  <w:style w:type="paragraph" w:styleId="1111" w:customStyle="1">
    <w:name w:val="目录 11"/>
    <w:basedOn w:val="808"/>
    <w:next w:val="808"/>
    <w:uiPriority w:val="39"/>
    <w:qFormat/>
    <w:pPr>
      <w:jc w:val="left"/>
      <w:spacing w:before="120" w:after="120" w:line="400" w:lineRule="exact"/>
      <w:tabs>
        <w:tab w:val="right" w:pos="8720" w:leader="dot"/>
      </w:tabs>
    </w:pPr>
    <w:rPr>
      <w:rFonts w:ascii="宋体" w:hAnsi="宋体"/>
      <w:caps/>
      <w:sz w:val="24"/>
      <w:szCs w:val="24"/>
    </w:rPr>
  </w:style>
  <w:style w:type="paragraph" w:styleId="1112" w:customStyle="1">
    <w:name w:val="纯文本1"/>
    <w:basedOn w:val="808"/>
    <w:link w:val="1113"/>
    <w:uiPriority w:val="0"/>
    <w:qFormat/>
    <w:rPr>
      <w:rFonts w:ascii="宋体" w:hAnsi="Courier New" w:cs="Courier New"/>
      <w:szCs w:val="21"/>
    </w:rPr>
  </w:style>
  <w:style w:type="character" w:styleId="1113" w:customStyle="1">
    <w:name w:val="纯文本 Char"/>
    <w:link w:val="1112"/>
    <w:uiPriority w:val="0"/>
    <w:qFormat/>
    <w:rPr>
      <w:rFonts w:ascii="宋体" w:hAnsi="Courier New" w:eastAsia="宋体" w:cs="Courier New"/>
      <w:szCs w:val="21"/>
    </w:rPr>
  </w:style>
  <w:style w:type="paragraph" w:styleId="1114" w:customStyle="1">
    <w:name w:val="批注框文本1"/>
    <w:basedOn w:val="808"/>
    <w:link w:val="1115"/>
    <w:uiPriority w:val="0"/>
    <w:qFormat/>
    <w:rPr>
      <w:rFonts w:ascii="Times New Roman" w:hAnsi="Times New Roman"/>
      <w:sz w:val="18"/>
      <w:szCs w:val="18"/>
    </w:rPr>
  </w:style>
  <w:style w:type="character" w:styleId="1115" w:customStyle="1">
    <w:name w:val="批注框文本 Char"/>
    <w:link w:val="1114"/>
    <w:uiPriority w:val="0"/>
    <w:semiHidden/>
    <w:qFormat/>
    <w:rPr>
      <w:rFonts w:ascii="Times New Roman" w:hAnsi="Times New Roman" w:eastAsia="宋体" w:cs="Times New Roman"/>
      <w:sz w:val="18"/>
      <w:szCs w:val="18"/>
    </w:rPr>
  </w:style>
  <w:style w:type="paragraph" w:styleId="1116" w:customStyle="1">
    <w:name w:val="xl25"/>
    <w:basedOn w:val="80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7" w:customStyle="1">
    <w:name w:val="列表1"/>
    <w:basedOn w:val="808"/>
    <w:uiPriority w:val="0"/>
    <w:qFormat/>
    <w:pPr>
      <w:ind w:left="200" w:hanging="200"/>
    </w:pPr>
    <w:rPr>
      <w:rFonts w:ascii="Times New Roman" w:hAnsi="Times New Roman"/>
      <w:szCs w:val="21"/>
    </w:rPr>
  </w:style>
  <w:style w:type="paragraph" w:styleId="1118" w:customStyle="1">
    <w:name w:val="图标"/>
    <w:basedOn w:val="808"/>
    <w:next w:val="80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19" w:customStyle="1">
    <w:name w:val="日期1"/>
    <w:basedOn w:val="808"/>
    <w:next w:val="808"/>
    <w:link w:val="1120"/>
    <w:uiPriority w:val="0"/>
    <w:qFormat/>
    <w:rPr>
      <w:rFonts w:ascii="Times New Roman" w:hAnsi="Times New Roman"/>
      <w:sz w:val="24"/>
      <w:szCs w:val="24"/>
    </w:rPr>
  </w:style>
  <w:style w:type="character" w:styleId="1120" w:customStyle="1">
    <w:name w:val="日期 Char"/>
    <w:link w:val="1119"/>
    <w:uiPriority w:val="0"/>
    <w:qFormat/>
    <w:rPr>
      <w:rFonts w:ascii="Times New Roman" w:hAnsi="Times New Roman" w:eastAsia="宋体" w:cs="Times New Roman"/>
      <w:sz w:val="24"/>
      <w:szCs w:val="24"/>
    </w:rPr>
  </w:style>
  <w:style w:type="paragraph" w:styleId="1121" w:customStyle="1">
    <w:name w:val="标题3"/>
    <w:basedOn w:val="808"/>
    <w:next w:val="808"/>
    <w:uiPriority w:val="0"/>
    <w:qFormat/>
    <w:pPr>
      <w:ind w:firstLine="624"/>
      <w:spacing w:line="590" w:lineRule="atLeast"/>
    </w:pPr>
    <w:rPr>
      <w:rFonts w:ascii="方正黑体_GBK" w:hAnsi="Times New Roman" w:eastAsia="方正黑体_GBK"/>
      <w:sz w:val="32"/>
      <w:szCs w:val="32"/>
    </w:rPr>
  </w:style>
  <w:style w:type="paragraph" w:styleId="1122" w:customStyle="1">
    <w:name w:val="xl24"/>
    <w:basedOn w:val="8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3" w:customStyle="1">
    <w:name w:val="xl29"/>
    <w:basedOn w:val="80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4" w:customStyle="1">
    <w:name w:val="Char Char Char Char Char Char Char Char"/>
    <w:basedOn w:val="808"/>
    <w:uiPriority w:val="0"/>
    <w:qFormat/>
    <w:pPr>
      <w:jc w:val="left"/>
      <w:spacing w:after="160" w:line="240" w:lineRule="exact"/>
      <w:widowControl/>
    </w:pPr>
    <w:rPr>
      <w:rFonts w:ascii="Verdana" w:hAnsi="Verdana"/>
      <w:sz w:val="20"/>
      <w:szCs w:val="20"/>
      <w:lang w:eastAsia="en-US"/>
    </w:rPr>
  </w:style>
  <w:style w:type="paragraph" w:styleId="1125" w:customStyle="1">
    <w:name w:val="正文文本 21"/>
    <w:basedOn w:val="808"/>
    <w:link w:val="1126"/>
    <w:uiPriority w:val="0"/>
    <w:qFormat/>
    <w:pPr>
      <w:jc w:val="center"/>
      <w:widowControl/>
    </w:pPr>
    <w:rPr>
      <w:rFonts w:ascii="楷体_GB2312" w:hAnsi="Times New Roman" w:eastAsia="楷体_GB2312"/>
      <w:sz w:val="28"/>
      <w:szCs w:val="28"/>
    </w:rPr>
  </w:style>
  <w:style w:type="character" w:styleId="1126" w:customStyle="1">
    <w:name w:val="正文文本 2 Char"/>
    <w:link w:val="1125"/>
    <w:uiPriority w:val="0"/>
    <w:qFormat/>
    <w:rPr>
      <w:rFonts w:ascii="楷体_GB2312" w:hAnsi="Times New Roman" w:eastAsia="楷体_GB2312" w:cs="Times New Roman"/>
      <w:sz w:val="28"/>
      <w:szCs w:val="28"/>
    </w:rPr>
  </w:style>
  <w:style w:type="paragraph" w:styleId="1127" w:customStyle="1">
    <w:name w:val="列表 31"/>
    <w:basedOn w:val="808"/>
    <w:uiPriority w:val="0"/>
    <w:qFormat/>
    <w:pPr>
      <w:ind w:left="100" w:hanging="200"/>
    </w:pPr>
    <w:rPr>
      <w:rFonts w:ascii="Times New Roman" w:hAnsi="Times New Roman"/>
      <w:szCs w:val="21"/>
    </w:rPr>
  </w:style>
  <w:style w:type="paragraph" w:styleId="1128" w:customStyle="1">
    <w:name w:val="目录 71"/>
    <w:basedOn w:val="808"/>
    <w:next w:val="808"/>
    <w:uiPriority w:val="0"/>
    <w:semiHidden/>
    <w:qFormat/>
    <w:pPr>
      <w:ind w:left="1260"/>
      <w:jc w:val="left"/>
    </w:pPr>
    <w:rPr>
      <w:rFonts w:ascii="Times New Roman" w:hAnsi="Times New Roman"/>
      <w:szCs w:val="21"/>
    </w:rPr>
  </w:style>
  <w:style w:type="paragraph" w:styleId="1129" w:customStyle="1">
    <w:name w:val="目录 21"/>
    <w:basedOn w:val="808"/>
    <w:next w:val="808"/>
    <w:uiPriority w:val="39"/>
    <w:qFormat/>
    <w:pPr>
      <w:ind w:left="210"/>
      <w:jc w:val="left"/>
      <w:tabs>
        <w:tab w:val="right" w:pos="8719" w:leader="none"/>
      </w:tabs>
    </w:pPr>
    <w:rPr>
      <w:rFonts w:ascii="Times New Roman" w:hAnsi="Times New Roman"/>
      <w:smallCaps/>
      <w:szCs w:val="24"/>
    </w:rPr>
  </w:style>
  <w:style w:type="paragraph" w:styleId="1130" w:customStyle="1">
    <w:name w:val="xl28"/>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1" w:customStyle="1">
    <w:name w:val="页眉1"/>
    <w:basedOn w:val="808"/>
    <w:link w:val="1132"/>
    <w:uiPriority w:val="0"/>
    <w:qFormat/>
    <w:pPr>
      <w:ind w:firstLine="361"/>
      <w:jc w:val="right"/>
      <w:tabs>
        <w:tab w:val="center" w:pos="4153" w:leader="none"/>
        <w:tab w:val="right" w:pos="8306" w:leader="none"/>
      </w:tabs>
      <w:pBdr>
        <w:bottom w:val="none" w:color="000000" w:sz="0" w:space="0"/>
      </w:pBdr>
    </w:pPr>
    <w:rPr>
      <w:rFonts w:ascii="Times New Roman" w:hAnsi="Times New Roman"/>
      <w:sz w:val="18"/>
      <w:szCs w:val="18"/>
    </w:rPr>
  </w:style>
  <w:style w:type="character" w:styleId="1132" w:customStyle="1">
    <w:name w:val="页眉 Char"/>
    <w:link w:val="1131"/>
    <w:uiPriority w:val="0"/>
    <w:qFormat/>
    <w:rPr>
      <w:rFonts w:ascii="Times New Roman" w:hAnsi="Times New Roman"/>
      <w:sz w:val="18"/>
      <w:szCs w:val="18"/>
    </w:rPr>
  </w:style>
  <w:style w:type="paragraph" w:styleId="1133" w:customStyle="1">
    <w:name w:val="页脚1"/>
    <w:basedOn w:val="808"/>
    <w:link w:val="1134"/>
    <w:uiPriority w:val="0"/>
    <w:qFormat/>
    <w:pPr>
      <w:jc w:val="left"/>
      <w:tabs>
        <w:tab w:val="center" w:pos="4153" w:leader="none"/>
        <w:tab w:val="right" w:pos="8306" w:leader="none"/>
      </w:tabs>
    </w:pPr>
    <w:rPr>
      <w:rFonts w:ascii="Times New Roman" w:hAnsi="Times New Roman"/>
      <w:sz w:val="18"/>
      <w:szCs w:val="18"/>
    </w:rPr>
  </w:style>
  <w:style w:type="character" w:styleId="1134" w:customStyle="1">
    <w:name w:val="页脚 Char"/>
    <w:link w:val="1133"/>
    <w:uiPriority w:val="0"/>
    <w:qFormat/>
    <w:rPr>
      <w:rFonts w:ascii="Times New Roman" w:hAnsi="Times New Roman" w:eastAsia="宋体" w:cs="Times New Roman"/>
      <w:sz w:val="18"/>
      <w:szCs w:val="18"/>
    </w:rPr>
  </w:style>
  <w:style w:type="paragraph" w:styleId="1135" w:customStyle="1">
    <w:name w:val="Char Char Char Char Char Char Char Char1"/>
    <w:basedOn w:val="808"/>
    <w:uiPriority w:val="0"/>
    <w:qFormat/>
    <w:pPr>
      <w:jc w:val="left"/>
      <w:spacing w:after="160" w:line="240" w:lineRule="exact"/>
      <w:widowControl/>
    </w:pPr>
    <w:rPr>
      <w:rFonts w:ascii="Verdana" w:hAnsi="Verdana"/>
      <w:sz w:val="20"/>
      <w:szCs w:val="20"/>
      <w:lang w:eastAsia="en-US"/>
    </w:rPr>
  </w:style>
  <w:style w:type="paragraph" w:styleId="1136" w:customStyle="1">
    <w:name w:val="目录 81"/>
    <w:basedOn w:val="808"/>
    <w:next w:val="808"/>
    <w:uiPriority w:val="0"/>
    <w:semiHidden/>
    <w:qFormat/>
    <w:pPr>
      <w:ind w:left="1470"/>
      <w:jc w:val="left"/>
    </w:pPr>
    <w:rPr>
      <w:rFonts w:ascii="Times New Roman" w:hAnsi="Times New Roman"/>
      <w:szCs w:val="21"/>
    </w:rPr>
  </w:style>
  <w:style w:type="paragraph" w:styleId="1137" w:customStyle="1">
    <w:name w:val="xl30"/>
    <w:basedOn w:val="808"/>
    <w:uiPriority w:val="0"/>
    <w:qFormat/>
    <w:pPr>
      <w:jc w:val="center"/>
      <w:spacing w:before="100" w:beforeAutospacing="1" w:after="100" w:afterAutospacing="1"/>
      <w:widowControl/>
    </w:pPr>
    <w:rPr>
      <w:rFonts w:ascii="宋体" w:hAnsi="宋体"/>
      <w:b/>
      <w:bCs/>
      <w:sz w:val="36"/>
      <w:szCs w:val="36"/>
    </w:rPr>
  </w:style>
  <w:style w:type="paragraph" w:styleId="1138" w:customStyle="1">
    <w:name w:val="Char Char Char Char1"/>
    <w:basedOn w:val="1077"/>
    <w:uiPriority w:val="0"/>
    <w:qFormat/>
    <w:pPr>
      <w:spacing w:line="360" w:lineRule="auto"/>
    </w:pPr>
    <w:rPr>
      <w:rFonts w:ascii="Tahoma" w:hAnsi="Tahoma"/>
      <w:sz w:val="24"/>
      <w:szCs w:val="24"/>
    </w:rPr>
  </w:style>
  <w:style w:type="paragraph" w:styleId="1139" w:customStyle="1">
    <w:name w:val="table_1stline"/>
    <w:basedOn w:val="808"/>
    <w:uiPriority w:val="0"/>
    <w:qFormat/>
    <w:pPr>
      <w:jc w:val="left"/>
      <w:spacing w:before="120"/>
      <w:widowControl/>
    </w:pPr>
    <w:rPr>
      <w:rFonts w:ascii="Times New Roman" w:hAnsi="Times New Roman"/>
      <w:bCs/>
      <w:sz w:val="20"/>
      <w:szCs w:val="20"/>
      <w:lang w:val="de-DE" w:eastAsia="de-DE"/>
    </w:rPr>
  </w:style>
  <w:style w:type="paragraph" w:styleId="1140" w:customStyle="1">
    <w:name w:val="font5"/>
    <w:basedOn w:val="808"/>
    <w:uiPriority w:val="0"/>
    <w:qFormat/>
    <w:pPr>
      <w:jc w:val="left"/>
      <w:spacing w:before="100" w:beforeAutospacing="1" w:after="100" w:afterAutospacing="1"/>
      <w:widowControl/>
    </w:pPr>
    <w:rPr>
      <w:rFonts w:hint="eastAsia" w:ascii="宋体" w:hAnsi="宋体"/>
      <w:sz w:val="28"/>
      <w:szCs w:val="28"/>
    </w:rPr>
  </w:style>
  <w:style w:type="paragraph" w:styleId="1141" w:customStyle="1">
    <w:name w:val="标题1"/>
    <w:basedOn w:val="808"/>
    <w:next w:val="80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42" w:customStyle="1">
    <w:name w:val="修订1"/>
    <w:uiPriority w:val="99"/>
    <w:semiHidden/>
    <w:qFormat/>
    <w:rPr>
      <w:rFonts w:ascii="Times New Roman" w:hAnsi="Times New Roman" w:eastAsia="宋体" w:cs="Times New Roman"/>
      <w:sz w:val="21"/>
      <w:szCs w:val="21"/>
      <w:lang w:val="en-US" w:eastAsia="zh-CN" w:bidi="ar-SA"/>
    </w:rPr>
  </w:style>
  <w:style w:type="table" w:styleId="1143" w:customStyle="1">
    <w:name w:val="网格型1"/>
    <w:basedOn w:val="819"/>
    <w:uiPriority w:val="0"/>
    <w:qFormat/>
    <w:pPr>
      <w:jc w:val="both"/>
      <w:widowControl w:val="off"/>
    </w:pPr>
    <w:rPr>
      <w:rFonts w:ascii="Calibri" w:hAnsi="Calibri"/>
    </w:rPr>
    <w:tblPr/>
  </w:style>
  <w:style w:type="paragraph" w:styleId="1144"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45" w:customStyle="1">
    <w:name w:val="索引 81"/>
    <w:basedOn w:val="808"/>
    <w:next w:val="808"/>
    <w:uiPriority w:val="0"/>
    <w:semiHidden/>
    <w:qFormat/>
    <w:pPr>
      <w:ind w:left="1400"/>
    </w:pPr>
    <w:rPr>
      <w:rFonts w:ascii="Times New Roman" w:hAnsi="Times New Roman"/>
      <w:szCs w:val="20"/>
    </w:rPr>
  </w:style>
  <w:style w:type="paragraph" w:styleId="1146" w:customStyle="1">
    <w:name w:val="索引 51"/>
    <w:basedOn w:val="808"/>
    <w:next w:val="808"/>
    <w:uiPriority w:val="0"/>
    <w:semiHidden/>
    <w:qFormat/>
    <w:pPr>
      <w:ind w:left="800"/>
    </w:pPr>
    <w:rPr>
      <w:rFonts w:ascii="Times New Roman" w:hAnsi="Times New Roman"/>
      <w:szCs w:val="20"/>
    </w:rPr>
  </w:style>
  <w:style w:type="paragraph" w:styleId="1147" w:customStyle="1">
    <w:name w:val="索引 61"/>
    <w:basedOn w:val="808"/>
    <w:next w:val="808"/>
    <w:uiPriority w:val="0"/>
    <w:semiHidden/>
    <w:qFormat/>
    <w:pPr>
      <w:ind w:left="1000"/>
    </w:pPr>
    <w:rPr>
      <w:rFonts w:ascii="Times New Roman" w:hAnsi="Times New Roman"/>
      <w:szCs w:val="20"/>
    </w:rPr>
  </w:style>
  <w:style w:type="paragraph" w:styleId="1148" w:customStyle="1">
    <w:name w:val="寄信人地址1"/>
    <w:basedOn w:val="808"/>
    <w:uiPriority w:val="0"/>
    <w:qFormat/>
    <w:rPr>
      <w:rFonts w:ascii="Arial" w:hAnsi="Arial"/>
      <w:szCs w:val="20"/>
    </w:rPr>
  </w:style>
  <w:style w:type="paragraph" w:styleId="1149" w:customStyle="1">
    <w:name w:val="文本块1"/>
    <w:basedOn w:val="808"/>
    <w:uiPriority w:val="0"/>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1150" w:customStyle="1">
    <w:name w:val="索引 41"/>
    <w:basedOn w:val="808"/>
    <w:next w:val="808"/>
    <w:uiPriority w:val="0"/>
    <w:semiHidden/>
    <w:qFormat/>
    <w:pPr>
      <w:ind w:left="600"/>
    </w:pPr>
    <w:rPr>
      <w:rFonts w:ascii="Times New Roman" w:hAnsi="Times New Roman"/>
      <w:szCs w:val="20"/>
    </w:rPr>
  </w:style>
  <w:style w:type="paragraph" w:styleId="1151" w:customStyle="1">
    <w:name w:val="索引 31"/>
    <w:basedOn w:val="808"/>
    <w:next w:val="808"/>
    <w:uiPriority w:val="0"/>
    <w:semiHidden/>
    <w:qFormat/>
    <w:pPr>
      <w:ind w:left="400"/>
    </w:pPr>
    <w:rPr>
      <w:rFonts w:ascii="Times New Roman" w:hAnsi="Times New Roman"/>
      <w:szCs w:val="20"/>
    </w:rPr>
  </w:style>
  <w:style w:type="paragraph" w:styleId="1152" w:customStyle="1">
    <w:name w:val="签名1"/>
    <w:basedOn w:val="808"/>
    <w:link w:val="1173"/>
    <w:uiPriority w:val="0"/>
    <w:qFormat/>
    <w:pPr>
      <w:jc w:val="center"/>
      <w:spacing w:after="600" w:line="312" w:lineRule="atLeast"/>
    </w:pPr>
    <w:rPr>
      <w:rFonts w:ascii="Times New Roman" w:hAnsi="Times New Roman" w:eastAsia="仿宋_GB2312"/>
      <w:sz w:val="24"/>
      <w:szCs w:val="20"/>
    </w:rPr>
  </w:style>
  <w:style w:type="character" w:styleId="1153" w:customStyle="1">
    <w:name w:val="签名 字符"/>
    <w:uiPriority w:val="0"/>
    <w:qFormat/>
    <w:rPr>
      <w:sz w:val="21"/>
      <w:szCs w:val="22"/>
    </w:rPr>
  </w:style>
  <w:style w:type="paragraph" w:styleId="1154" w:customStyle="1">
    <w:name w:val="索引标题1"/>
    <w:basedOn w:val="808"/>
    <w:next w:val="1082"/>
    <w:uiPriority w:val="0"/>
    <w:semiHidden/>
    <w:qFormat/>
    <w:rPr>
      <w:rFonts w:ascii="Times New Roman" w:hAnsi="Times New Roman"/>
      <w:szCs w:val="20"/>
    </w:rPr>
  </w:style>
  <w:style w:type="paragraph" w:styleId="1155" w:customStyle="1">
    <w:name w:val="脚注文本1"/>
    <w:basedOn w:val="808"/>
    <w:link w:val="1156"/>
    <w:uiPriority w:val="0"/>
    <w:qFormat/>
    <w:pPr>
      <w:jc w:val="left"/>
    </w:pPr>
    <w:rPr>
      <w:rFonts w:ascii="Times New Roman" w:hAnsi="Times New Roman"/>
      <w:sz w:val="18"/>
      <w:szCs w:val="18"/>
    </w:rPr>
  </w:style>
  <w:style w:type="character" w:styleId="1156" w:customStyle="1">
    <w:name w:val="脚注文本 字符"/>
    <w:link w:val="1155"/>
    <w:uiPriority w:val="0"/>
    <w:qFormat/>
    <w:rPr>
      <w:rFonts w:ascii="Times New Roman" w:hAnsi="Times New Roman"/>
      <w:sz w:val="18"/>
      <w:szCs w:val="18"/>
    </w:rPr>
  </w:style>
  <w:style w:type="paragraph" w:styleId="1157" w:customStyle="1">
    <w:name w:val="索引 71"/>
    <w:basedOn w:val="808"/>
    <w:next w:val="808"/>
    <w:uiPriority w:val="0"/>
    <w:semiHidden/>
    <w:qFormat/>
    <w:pPr>
      <w:ind w:left="1200"/>
    </w:pPr>
    <w:rPr>
      <w:rFonts w:ascii="Times New Roman" w:hAnsi="Times New Roman"/>
      <w:szCs w:val="20"/>
    </w:rPr>
  </w:style>
  <w:style w:type="paragraph" w:styleId="1158" w:customStyle="1">
    <w:name w:val="索引 91"/>
    <w:basedOn w:val="808"/>
    <w:next w:val="808"/>
    <w:uiPriority w:val="0"/>
    <w:semiHidden/>
    <w:qFormat/>
    <w:pPr>
      <w:ind w:left="1600"/>
    </w:pPr>
    <w:rPr>
      <w:rFonts w:ascii="Times New Roman" w:hAnsi="Times New Roman"/>
      <w:szCs w:val="20"/>
    </w:rPr>
  </w:style>
  <w:style w:type="paragraph" w:styleId="1159" w:customStyle="1">
    <w:name w:val="HTML 预设格式1"/>
    <w:basedOn w:val="808"/>
    <w:link w:val="11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1160" w:customStyle="1">
    <w:name w:val="HTML 预设格式 字符"/>
    <w:link w:val="1159"/>
    <w:uiPriority w:val="0"/>
    <w:qFormat/>
    <w:rPr>
      <w:rFonts w:ascii="Arial" w:hAnsi="Arial"/>
      <w:sz w:val="24"/>
      <w:szCs w:val="24"/>
    </w:rPr>
  </w:style>
  <w:style w:type="paragraph" w:styleId="1161" w:customStyle="1">
    <w:name w:val="索引 21"/>
    <w:basedOn w:val="808"/>
    <w:next w:val="808"/>
    <w:uiPriority w:val="0"/>
    <w:semiHidden/>
    <w:qFormat/>
    <w:pPr>
      <w:ind w:left="200"/>
    </w:pPr>
    <w:rPr>
      <w:rFonts w:ascii="Times New Roman" w:hAnsi="Times New Roman"/>
      <w:szCs w:val="20"/>
    </w:rPr>
  </w:style>
  <w:style w:type="character" w:styleId="1162" w:customStyle="1">
    <w:name w:val="强调1"/>
    <w:uiPriority w:val="20"/>
    <w:qFormat/>
    <w:rPr>
      <w:i/>
      <w:iCs/>
    </w:rPr>
  </w:style>
  <w:style w:type="character" w:styleId="1163" w:customStyle="1">
    <w:name w:val="脚注引用1"/>
    <w:uiPriority w:val="0"/>
    <w:unhideWhenUsed/>
    <w:qFormat/>
    <w:rPr>
      <w:vertAlign w:val="superscript"/>
    </w:rPr>
  </w:style>
  <w:style w:type="character" w:styleId="1164" w:customStyle="1">
    <w:name w:val="标题 1 字符"/>
    <w:uiPriority w:val="99"/>
    <w:qFormat/>
    <w:rPr>
      <w:rFonts w:ascii="宋体" w:hAnsi="宋体"/>
      <w:b/>
      <w:sz w:val="36"/>
    </w:rPr>
  </w:style>
  <w:style w:type="character" w:styleId="1165" w:customStyle="1">
    <w:name w:val="标题 2 字符2"/>
    <w:uiPriority w:val="0"/>
    <w:qFormat/>
    <w:rPr>
      <w:rFonts w:eastAsia="楷体_GB2312"/>
      <w:b/>
      <w:bCs/>
      <w:sz w:val="28"/>
      <w:szCs w:val="28"/>
    </w:rPr>
  </w:style>
  <w:style w:type="character" w:styleId="1166" w:customStyle="1">
    <w:name w:val="正文缩进 字符"/>
    <w:uiPriority w:val="0"/>
    <w:qFormat/>
    <w:rPr>
      <w:sz w:val="21"/>
    </w:rPr>
  </w:style>
  <w:style w:type="character" w:styleId="1167" w:customStyle="1">
    <w:name w:val="批注文字 字符1"/>
    <w:uiPriority w:val="0"/>
    <w:qFormat/>
    <w:rPr>
      <w:sz w:val="21"/>
    </w:rPr>
  </w:style>
  <w:style w:type="character" w:styleId="1168" w:customStyle="1">
    <w:name w:val="正文文本 字符2"/>
    <w:uiPriority w:val="0"/>
    <w:qFormat/>
    <w:rPr>
      <w:rFonts w:ascii="楷体_GB2312" w:hAnsi="Arial" w:eastAsia="楷体_GB2312"/>
      <w:sz w:val="28"/>
    </w:rPr>
  </w:style>
  <w:style w:type="character" w:styleId="1169" w:customStyle="1">
    <w:name w:val="正文文本缩进 字符"/>
    <w:uiPriority w:val="0"/>
    <w:qFormat/>
    <w:rPr>
      <w:rFonts w:ascii="宋体"/>
      <w:sz w:val="28"/>
    </w:rPr>
  </w:style>
  <w:style w:type="character" w:styleId="1170" w:customStyle="1">
    <w:name w:val="纯文本 字符"/>
    <w:uiPriority w:val="0"/>
    <w:qFormat/>
    <w:rPr>
      <w:rFonts w:ascii="宋体" w:hAnsi="Courier New"/>
      <w:sz w:val="21"/>
    </w:rPr>
  </w:style>
  <w:style w:type="character" w:styleId="1171" w:customStyle="1">
    <w:name w:val="日期 字符1"/>
    <w:uiPriority w:val="0"/>
    <w:qFormat/>
    <w:rPr>
      <w:rFonts w:ascii="宋体"/>
      <w:sz w:val="28"/>
    </w:rPr>
  </w:style>
  <w:style w:type="character" w:styleId="1172" w:customStyle="1">
    <w:name w:val="批注框文本 字符"/>
    <w:uiPriority w:val="0"/>
    <w:qFormat/>
    <w:rPr>
      <w:sz w:val="18"/>
      <w:szCs w:val="18"/>
    </w:rPr>
  </w:style>
  <w:style w:type="character" w:styleId="1173" w:customStyle="1">
    <w:name w:val="签名 字符1"/>
    <w:link w:val="1152"/>
    <w:uiPriority w:val="0"/>
    <w:qFormat/>
    <w:rPr>
      <w:rFonts w:ascii="Times New Roman" w:hAnsi="Times New Roman" w:eastAsia="仿宋_GB2312"/>
      <w:sz w:val="24"/>
    </w:rPr>
  </w:style>
  <w:style w:type="character" w:styleId="1174" w:customStyle="1">
    <w:name w:val="批注主题 字符"/>
    <w:uiPriority w:val="0"/>
    <w:qFormat/>
    <w:rPr>
      <w:b/>
      <w:bCs/>
      <w:sz w:val="21"/>
    </w:rPr>
  </w:style>
  <w:style w:type="character" w:styleId="1175" w:customStyle="1">
    <w:name w:val="正文文本 字符"/>
    <w:uiPriority w:val="0"/>
    <w:qFormat/>
    <w:rPr>
      <w:rFonts w:ascii="楷体_GB2312" w:hAnsi="Arial" w:eastAsia="楷体_GB2312"/>
      <w:sz w:val="28"/>
    </w:rPr>
  </w:style>
  <w:style w:type="character" w:styleId="1176" w:customStyle="1">
    <w:name w:val="列表段落 字符"/>
    <w:link w:val="1100"/>
    <w:uiPriority w:val="34"/>
    <w:qFormat/>
    <w:rPr>
      <w:sz w:val="24"/>
      <w:szCs w:val="24"/>
      <w:lang w:eastAsia="en-US" w:bidi="en-US"/>
    </w:rPr>
  </w:style>
  <w:style w:type="paragraph" w:styleId="1177" w:customStyle="1">
    <w:name w:val="Char Char Char"/>
    <w:basedOn w:val="808"/>
    <w:uiPriority w:val="0"/>
    <w:qFormat/>
    <w:pPr>
      <w:numPr>
        <w:ilvl w:val="0"/>
        <w:numId w:val="4"/>
      </w:numPr>
      <w:tabs>
        <w:tab w:val="left" w:pos="1545" w:leader="none"/>
      </w:tabs>
    </w:pPr>
    <w:rPr>
      <w:rFonts w:ascii="Times New Roman" w:hAnsi="Times New Roman"/>
      <w:szCs w:val="20"/>
    </w:rPr>
  </w:style>
  <w:style w:type="paragraph" w:styleId="1178" w:customStyle="1">
    <w:name w:val="Plain Text1"/>
    <w:basedOn w:val="808"/>
    <w:uiPriority w:val="0"/>
    <w:qFormat/>
    <w:rPr>
      <w:rFonts w:ascii="宋体" w:hAnsi="Courier New" w:eastAsia="楷体_GB2312"/>
      <w:sz w:val="28"/>
      <w:szCs w:val="20"/>
    </w:rPr>
  </w:style>
  <w:style w:type="paragraph" w:styleId="1179" w:customStyle="1">
    <w:name w:val="Default"/>
    <w:uiPriority w:val="99"/>
    <w:qFormat/>
    <w:pPr>
      <w:widowControl w:val="off"/>
    </w:pPr>
    <w:rPr>
      <w:rFonts w:ascii="Times New Roman" w:hAnsi="Times New Roman" w:eastAsia="宋体" w:cs="Times New Roman"/>
      <w:color w:val="000000"/>
      <w:sz w:val="24"/>
      <w:szCs w:val="24"/>
      <w:lang w:val="en-US" w:eastAsia="zh-CN" w:bidi="ar-SA"/>
    </w:rPr>
  </w:style>
  <w:style w:type="paragraph" w:styleId="1180" w:customStyle="1">
    <w:name w:val="Char1 Char Char Char"/>
    <w:basedOn w:val="808"/>
    <w:uiPriority w:val="0"/>
    <w:qFormat/>
    <w:rPr>
      <w:rFonts w:ascii="Tahoma" w:hAnsi="Tahoma"/>
      <w:sz w:val="24"/>
      <w:szCs w:val="20"/>
    </w:rPr>
  </w:style>
  <w:style w:type="paragraph" w:styleId="1181" w:customStyle="1">
    <w:name w:val="Char Char1 Char Char Char Char Char Char Char"/>
    <w:basedOn w:val="808"/>
    <w:uiPriority w:val="0"/>
    <w:qFormat/>
    <w:rPr>
      <w:rFonts w:ascii="Calibri Light" w:hAnsi="Calibri Light" w:cs="Berlin Sans FB Demi"/>
      <w:sz w:val="24"/>
      <w:szCs w:val="20"/>
    </w:rPr>
  </w:style>
  <w:style w:type="paragraph" w:styleId="1182" w:customStyle="1">
    <w:name w:val="Char Char"/>
    <w:basedOn w:val="808"/>
    <w:uiPriority w:val="0"/>
    <w:qFormat/>
    <w:rPr>
      <w:rFonts w:ascii="Times New Roman" w:hAnsi="Times New Roman"/>
      <w:szCs w:val="21"/>
    </w:rPr>
  </w:style>
  <w:style w:type="paragraph" w:styleId="1183" w:customStyle="1">
    <w:name w:val="_Style 12"/>
    <w:basedOn w:val="1077"/>
    <w:uiPriority w:val="0"/>
    <w:qFormat/>
    <w:pPr>
      <w:jc w:val="left"/>
      <w:spacing w:line="360" w:lineRule="auto"/>
      <w:widowControl/>
    </w:pPr>
    <w:rPr>
      <w:sz w:val="24"/>
      <w:szCs w:val="24"/>
    </w:rPr>
  </w:style>
  <w:style w:type="character" w:styleId="1184" w:customStyle="1">
    <w:name w:val="正文缩进 Char1"/>
    <w:uiPriority w:val="0"/>
    <w:qFormat/>
    <w:rPr>
      <w:rFonts w:eastAsia="楷体_GB2312"/>
      <w:sz w:val="24"/>
    </w:rPr>
  </w:style>
  <w:style w:type="character" w:styleId="1185" w:customStyle="1">
    <w:name w:val="纯文本 字符1"/>
    <w:uiPriority w:val="0"/>
    <w:qFormat/>
    <w:rPr>
      <w:rFonts w:ascii="宋体" w:hAnsi="Courier New"/>
    </w:rPr>
  </w:style>
  <w:style w:type="character" w:styleId="1186" w:customStyle="1">
    <w:name w:val="未处理的提及1"/>
    <w:uiPriority w:val="99"/>
    <w:unhideWhenUsed/>
    <w:qFormat/>
    <w:rPr>
      <w:color w:val="605e5c"/>
      <w:shd w:val="clear" w:color="auto" w:fill="e1dfdd"/>
    </w:rPr>
  </w:style>
  <w:style w:type="character" w:styleId="1187" w:customStyle="1">
    <w:name w:val="批注文字 字符"/>
    <w:uiPriority w:val="0"/>
    <w:qFormat/>
    <w:rPr>
      <w:sz w:val="21"/>
    </w:rPr>
  </w:style>
  <w:style w:type="character" w:styleId="1188" w:customStyle="1">
    <w:name w:val="日期 字符"/>
    <w:uiPriority w:val="0"/>
    <w:qFormat/>
    <w:rPr>
      <w:rFonts w:ascii="宋体"/>
      <w:sz w:val="28"/>
    </w:rPr>
  </w:style>
  <w:style w:type="character" w:styleId="1189" w:customStyle="1">
    <w:name w:val="正文文本 字符1"/>
    <w:uiPriority w:val="0"/>
    <w:qFormat/>
    <w:rPr>
      <w:rFonts w:ascii="楷体_GB2312" w:hAnsi="Arial" w:eastAsia="楷体_GB2312"/>
      <w:sz w:val="28"/>
    </w:rPr>
  </w:style>
  <w:style w:type="paragraph" w:styleId="1190" w:customStyle="1">
    <w:name w:val="正文1"/>
    <w:next w:val="808"/>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91" w:customStyle="1">
    <w:name w:val="_正文段落"/>
    <w:basedOn w:val="808"/>
    <w:link w:val="1192"/>
    <w:uiPriority w:val="0"/>
    <w:qFormat/>
    <w:pPr>
      <w:ind w:firstLine="480"/>
      <w:spacing w:line="360" w:lineRule="auto"/>
    </w:pPr>
    <w:rPr>
      <w:rFonts w:ascii="宋体" w:hAnsi="宋体"/>
      <w:sz w:val="24"/>
      <w:szCs w:val="24"/>
    </w:rPr>
  </w:style>
  <w:style w:type="character" w:styleId="1192" w:customStyle="1">
    <w:name w:val="_正文段落 Char"/>
    <w:link w:val="1191"/>
    <w:uiPriority w:val="0"/>
    <w:qFormat/>
    <w:rPr>
      <w:rFonts w:ascii="宋体" w:hAnsi="宋体"/>
      <w:sz w:val="24"/>
      <w:szCs w:val="24"/>
    </w:rPr>
  </w:style>
  <w:style w:type="character" w:styleId="1193" w:customStyle="1">
    <w:name w:val="cf01"/>
    <w:uiPriority w:val="0"/>
    <w:qFormat/>
    <w:rPr>
      <w:rFonts w:hint="eastAsia" w:ascii="Microsoft YaHei UI" w:hAnsi="Microsoft YaHei UI" w:eastAsia="Microsoft YaHei UI"/>
      <w:b/>
      <w:bCs/>
      <w:sz w:val="18"/>
      <w:szCs w:val="18"/>
    </w:rPr>
  </w:style>
  <w:style w:type="character" w:styleId="1194" w:customStyle="1">
    <w:name w:val="标题 2 字符1"/>
    <w:uiPriority w:val="0"/>
    <w:qFormat/>
    <w:rPr>
      <w:rFonts w:eastAsia="楷体_GB2312"/>
      <w:b/>
      <w:bCs/>
      <w:sz w:val="28"/>
      <w:szCs w:val="28"/>
    </w:rPr>
  </w:style>
  <w:style w:type="paragraph" w:styleId="1195" w:customStyle="1">
    <w:name w:val="pf0"/>
    <w:basedOn w:val="808"/>
    <w:uiPriority w:val="0"/>
    <w:qFormat/>
    <w:pPr>
      <w:jc w:val="left"/>
      <w:spacing w:before="100" w:beforeAutospacing="1" w:after="100" w:afterAutospacing="1"/>
      <w:widowControl/>
    </w:pPr>
    <w:rPr>
      <w:rFonts w:ascii="宋体" w:hAnsi="宋体" w:cs="宋体"/>
      <w:sz w:val="24"/>
      <w:szCs w:val="24"/>
    </w:rPr>
  </w:style>
  <w:style w:type="character" w:styleId="1196" w:customStyle="1">
    <w:name w:val="cf11"/>
    <w:uiPriority w:val="0"/>
    <w:qFormat/>
    <w:rPr>
      <w:rFonts w:hint="eastAsia" w:ascii="Microsoft YaHei UI" w:hAnsi="Microsoft YaHei UI" w:eastAsia="Microsoft YaHei UI"/>
      <w:sz w:val="18"/>
      <w:szCs w:val="18"/>
    </w:rPr>
  </w:style>
  <w:style w:type="character" w:styleId="1197" w:customStyle="1">
    <w:name w:val="cf21"/>
    <w:uiPriority w:val="0"/>
    <w:qFormat/>
    <w:rPr>
      <w:rFonts w:hint="eastAsia" w:ascii="Microsoft YaHei UI" w:hAnsi="Microsoft YaHei UI" w:eastAsia="Microsoft YaHei UI"/>
      <w:b/>
      <w:bCs/>
      <w:sz w:val="18"/>
      <w:szCs w:val="18"/>
    </w:rPr>
  </w:style>
  <w:style w:type="paragraph" w:styleId="1198" w:customStyle="1">
    <w:name w:val="TOC 标题11"/>
    <w:basedOn w:val="1034"/>
    <w:next w:val="808"/>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1199" w:customStyle="1">
    <w:name w:val="普通正文 Char"/>
    <w:link w:val="1083"/>
    <w:uiPriority w:val="0"/>
    <w:qFormat/>
    <w:rPr>
      <w:rFonts w:ascii="Arial" w:hAnsi="Arial"/>
      <w:sz w:val="24"/>
      <w:szCs w:val="24"/>
    </w:rPr>
  </w:style>
  <w:style w:type="character" w:styleId="1200" w:customStyle="1">
    <w:name w:val="批注文字 字符2"/>
    <w:basedOn w:val="818"/>
    <w:link w:val="823"/>
    <w:uiPriority w:val="99"/>
    <w:qFormat/>
    <w:rPr>
      <w:sz w:val="21"/>
      <w:szCs w:val="22"/>
    </w:rPr>
  </w:style>
  <w:style w:type="character" w:styleId="1201" w:customStyle="1">
    <w:name w:val="批注主题 字符1"/>
    <w:basedOn w:val="1200"/>
    <w:link w:val="850"/>
    <w:uiPriority w:val="99"/>
    <w:semiHidden/>
    <w:qFormat/>
    <w:rPr>
      <w:b/>
      <w:bCs/>
      <w:sz w:val="21"/>
      <w:szCs w:val="22"/>
    </w:rPr>
  </w:style>
  <w:style w:type="character" w:styleId="1202" w:customStyle="1">
    <w:name w:val="批注框文本 字符1"/>
    <w:basedOn w:val="818"/>
    <w:link w:val="835"/>
    <w:uiPriority w:val="99"/>
    <w:semiHidden/>
    <w:qFormat/>
    <w:rPr>
      <w:sz w:val="18"/>
      <w:szCs w:val="18"/>
    </w:rPr>
  </w:style>
  <w:style w:type="character" w:styleId="1203" w:customStyle="1">
    <w:name w:val="1、 字符"/>
    <w:link w:val="1204"/>
    <w:uiPriority w:val="0"/>
    <w:qFormat/>
    <w:rPr>
      <w:sz w:val="24"/>
      <w:szCs w:val="24"/>
    </w:rPr>
  </w:style>
  <w:style w:type="paragraph" w:styleId="1204" w:customStyle="1">
    <w:name w:val="1、"/>
    <w:basedOn w:val="808"/>
    <w:link w:val="1203"/>
    <w:uiPriority w:val="0"/>
    <w:qFormat/>
    <w:pPr>
      <w:ind w:firstLine="200"/>
      <w:spacing w:line="440" w:lineRule="exact"/>
    </w:pPr>
    <w:rPr>
      <w:sz w:val="24"/>
      <w:szCs w:val="24"/>
    </w:rPr>
  </w:style>
  <w:style w:type="paragraph" w:styleId="1205" w:customStyle="1">
    <w:name w:val="段"/>
    <w:next w:val="808"/>
    <w:uiPriority w:val="0"/>
    <w:qFormat/>
    <w:pPr>
      <w:ind w:firstLine="200"/>
      <w:jc w:val="both"/>
      <w:spacing w:line="360" w:lineRule="auto"/>
    </w:pPr>
    <w:rPr>
      <w:rFonts w:ascii="宋体" w:hAnsi="Calibri" w:eastAsia="宋体" w:cs="Times New Roman"/>
      <w:sz w:val="24"/>
      <w:szCs w:val="22"/>
      <w:lang w:val="en-US" w:eastAsia="zh-CN" w:bidi="ar-SA"/>
    </w:rPr>
  </w:style>
  <w:style w:type="character" w:styleId="1206" w:customStyle="1">
    <w:name w:val="15"/>
    <w:basedOn w:val="818"/>
    <w:uiPriority w:val="0"/>
    <w:qFormat/>
    <w:rPr>
      <w:rFonts w:hint="default" w:ascii="Calibri" w:hAnsi="Calibri" w:cs="Calibri"/>
    </w:rPr>
  </w:style>
  <w:style w:type="paragraph" w:styleId="1207" w:customStyle="1">
    <w:name w:val="Char Char1 Char Char Char Char Char Char Char2"/>
    <w:basedOn w:val="808"/>
    <w:uiPriority w:val="0"/>
    <w:qFormat/>
    <w:rPr>
      <w:rFonts w:ascii="Tahoma" w:hAnsi="Tahoma"/>
      <w:sz w:val="24"/>
    </w:rPr>
  </w:style>
  <w:style w:type="character" w:styleId="1208" w:customStyle="1">
    <w:name w:val="font41"/>
    <w:basedOn w:val="818"/>
    <w:uiPriority w:val="0"/>
    <w:qFormat/>
    <w:rPr>
      <w:rFonts w:hint="eastAsia" w:ascii="宋体" w:hAnsi="宋体" w:eastAsia="宋体" w:cs="宋体"/>
      <w:color w:val="ff0000"/>
      <w:sz w:val="24"/>
      <w:szCs w:val="24"/>
      <w:u w:val="none"/>
    </w:rPr>
  </w:style>
  <w:style w:type="character" w:styleId="1209" w:customStyle="1">
    <w:name w:val="font01"/>
    <w:basedOn w:val="818"/>
    <w:uiPriority w:val="0"/>
    <w:qFormat/>
    <w:rPr>
      <w:rFonts w:hint="eastAsia" w:ascii="宋体" w:hAnsi="宋体" w:eastAsia="宋体" w:cs="宋体"/>
      <w:color w:val="000000"/>
      <w:sz w:val="24"/>
      <w:szCs w:val="24"/>
      <w:u w:val="none"/>
    </w:rPr>
  </w:style>
  <w:style w:type="character" w:styleId="1210" w:customStyle="1">
    <w:name w:val="font51"/>
    <w:basedOn w:val="818"/>
    <w:uiPriority w:val="0"/>
    <w:qFormat/>
    <w:rPr>
      <w:rFonts w:hint="eastAsia" w:ascii="宋体" w:hAnsi="宋体" w:eastAsia="宋体" w:cs="宋体"/>
      <w:color w:val="000000"/>
      <w:sz w:val="24"/>
      <w:szCs w:val="24"/>
      <w:u w:val="none"/>
    </w:rPr>
  </w:style>
  <w:style w:type="paragraph" w:styleId="1211" w:customStyle="1">
    <w:name w:val="表格内容"/>
    <w:basedOn w:val="808"/>
    <w:uiPriority w:val="0"/>
    <w:qFormat/>
    <w:pPr>
      <w:jc w:val="center"/>
    </w:pPr>
    <w:rPr>
      <w:rFonts w:cs="宋体"/>
      <w:sz w:val="18"/>
      <w:szCs w:val="28"/>
      <w:lang w:val="zh-CN"/>
    </w:rPr>
  </w:style>
  <w:style w:type="character" w:styleId="1212" w:customStyle="1">
    <w:name w:val="正文首行缩进 2 字符"/>
    <w:link w:val="826"/>
    <w:uiPriority w:val="0"/>
    <w:qFormat/>
    <w:rPr>
      <w:rFonts w:hint="default" w:ascii="Calibri" w:hAnsi="Calibri" w:cs="Calibri"/>
      <w:sz w:val="21"/>
      <w:szCs w:val="22"/>
    </w:rPr>
  </w:style>
  <w:style w:type="character" w:styleId="1213" w:customStyle="1">
    <w:name w:val="正文首行缩进 字符"/>
    <w:link w:val="825"/>
    <w:uiPriority w:val="0"/>
    <w:qFormat/>
    <w:rPr>
      <w:rFonts w:hint="default" w:ascii="Calibri" w:hAnsi="Calibri" w:cs="Calibri"/>
      <w:sz w:val="21"/>
    </w:rPr>
  </w:style>
  <w:style w:type="character" w:styleId="1214" w:customStyle="1">
    <w:name w:val="批注框文本 字符2"/>
    <w:basedOn w:val="818"/>
    <w:uiPriority w:val="0"/>
    <w:qFormat/>
    <w:rPr>
      <w:rFonts w:hint="default" w:ascii="Calibri" w:hAnsi="Calibri" w:cs="Calibri"/>
      <w:sz w:val="18"/>
      <w:szCs w:val="18"/>
    </w:rPr>
  </w:style>
  <w:style w:type="character" w:styleId="1215" w:customStyle="1">
    <w:name w:val="tdog-simplepop-icon"/>
    <w:basedOn w:val="818"/>
    <w:uiPriority w:val="0"/>
    <w:qFormat/>
  </w:style>
  <w:style w:type="character" w:styleId="1216" w:customStyle="1">
    <w:name w:val="font11"/>
    <w:basedOn w:val="818"/>
    <w:uiPriority w:val="0"/>
    <w:qFormat/>
    <w:rPr>
      <w:rFonts w:hint="eastAsia" w:ascii="宋体" w:hAnsi="宋体" w:eastAsia="宋体" w:cs="宋体"/>
      <w:b/>
      <w:color w:val="000000"/>
      <w:sz w:val="24"/>
      <w:szCs w:val="24"/>
      <w:u w:val="none"/>
    </w:rPr>
  </w:style>
  <w:style w:type="character" w:styleId="1217" w:customStyle="1">
    <w:name w:val="tdog-msg-count"/>
    <w:basedOn w:val="818"/>
    <w:uiPriority w:val="0"/>
    <w:qFormat/>
    <w:rPr>
      <w:color w:val="0b4f9e"/>
    </w:rPr>
  </w:style>
  <w:style w:type="character" w:styleId="1218" w:customStyle="1">
    <w:name w:val="正文文本 字符3"/>
    <w:basedOn w:val="818"/>
    <w:uiPriority w:val="0"/>
    <w:qFormat/>
    <w:rPr>
      <w:rFonts w:hint="eastAsia" w:ascii="楷体_GB2312" w:hAnsi="Arial" w:eastAsia="楷体_GB2312" w:cs="楷体_GB2312"/>
      <w:sz w:val="28"/>
    </w:rPr>
  </w:style>
  <w:style w:type="character" w:styleId="1219" w:customStyle="1">
    <w:name w:val="font21"/>
    <w:basedOn w:val="818"/>
    <w:uiPriority w:val="0"/>
    <w:qFormat/>
    <w:rPr>
      <w:rFonts w:hint="default" w:ascii="Calibri" w:hAnsi="Calibri" w:cs="Calibri"/>
      <w:color w:val="000000"/>
      <w:sz w:val="24"/>
      <w:szCs w:val="24"/>
      <w:u w:val="none"/>
    </w:rPr>
  </w:style>
  <w:style w:type="character" w:styleId="1220" w:customStyle="1">
    <w:name w:val="Title Char1"/>
    <w:basedOn w:val="818"/>
    <w:uiPriority w:val="0"/>
    <w:qFormat/>
    <w:rPr>
      <w:rFonts w:hint="default" w:ascii="Cambria" w:hAnsi="Cambria" w:eastAsia="Cambria" w:cs="Times New Roman"/>
      <w:b/>
      <w:sz w:val="32"/>
      <w:szCs w:val="32"/>
    </w:rPr>
  </w:style>
  <w:style w:type="character" w:styleId="1221" w:customStyle="1">
    <w:name w:val="签名 Char1"/>
    <w:basedOn w:val="818"/>
    <w:uiPriority w:val="0"/>
    <w:qFormat/>
    <w:rPr>
      <w:sz w:val="21"/>
    </w:rPr>
  </w:style>
  <w:style w:type="character" w:styleId="1222" w:customStyle="1">
    <w:name w:val="标题 1 字符2"/>
    <w:basedOn w:val="818"/>
    <w:uiPriority w:val="0"/>
    <w:qFormat/>
    <w:rPr>
      <w:rFonts w:hint="eastAsia" w:ascii="宋体" w:hAnsi="宋体" w:eastAsia="宋体" w:cs="宋体"/>
      <w:b/>
      <w:sz w:val="36"/>
    </w:rPr>
  </w:style>
  <w:style w:type="character" w:styleId="1223" w:customStyle="1">
    <w:name w:val="标题 Char1"/>
    <w:basedOn w:val="818"/>
    <w:uiPriority w:val="0"/>
    <w:qFormat/>
    <w:rPr>
      <w:rFonts w:hint="default" w:ascii="Cambria" w:hAnsi="Cambria" w:eastAsia="宋体" w:cs="Times New Roman"/>
      <w:b/>
      <w:sz w:val="32"/>
      <w:szCs w:val="32"/>
    </w:rPr>
  </w:style>
  <w:style w:type="character" w:styleId="1224" w:customStyle="1">
    <w:name w:val="正文缩进 字符1"/>
    <w:basedOn w:val="818"/>
    <w:uiPriority w:val="0"/>
    <w:qFormat/>
    <w:rPr>
      <w:sz w:val="21"/>
    </w:rPr>
  </w:style>
  <w:style w:type="character" w:styleId="1225" w:customStyle="1">
    <w:name w:val="font31"/>
    <w:basedOn w:val="818"/>
    <w:uiPriority w:val="0"/>
    <w:qFormat/>
    <w:rPr>
      <w:rFonts w:hint="eastAsia" w:ascii="宋体" w:hAnsi="宋体" w:eastAsia="宋体" w:cs="宋体"/>
      <w:color w:val="000000"/>
      <w:sz w:val="24"/>
      <w:szCs w:val="24"/>
      <w:u w:val="none"/>
    </w:rPr>
  </w:style>
  <w:style w:type="character" w:styleId="1226" w:customStyle="1">
    <w:name w:val="HTML 预设格式 字符2"/>
    <w:basedOn w:val="818"/>
    <w:uiPriority w:val="0"/>
    <w:qFormat/>
    <w:rPr>
      <w:rFonts w:hint="default" w:ascii="Courier New" w:hAnsi="Courier New" w:cs="Courier New"/>
    </w:rPr>
  </w:style>
  <w:style w:type="character" w:styleId="1227" w:customStyle="1">
    <w:name w:val="Char Char16"/>
    <w:basedOn w:val="818"/>
    <w:uiPriority w:val="0"/>
    <w:qFormat/>
    <w:rPr>
      <w:rFonts w:hint="eastAsia" w:ascii="宋体" w:hAnsi="宋体" w:eastAsia="宋体" w:cs="宋体"/>
      <w:b/>
      <w:sz w:val="28"/>
      <w:szCs w:val="28"/>
    </w:rPr>
  </w:style>
  <w:style w:type="character" w:styleId="1228" w:customStyle="1">
    <w:name w:val="日期 Char1"/>
    <w:basedOn w:val="818"/>
    <w:uiPriority w:val="0"/>
    <w:qFormat/>
    <w:rPr>
      <w:sz w:val="21"/>
    </w:rPr>
  </w:style>
  <w:style w:type="character" w:styleId="1229" w:customStyle="1">
    <w:name w:val="标题 1 字符3"/>
    <w:basedOn w:val="818"/>
    <w:uiPriority w:val="0"/>
    <w:qFormat/>
    <w:rPr>
      <w:rFonts w:hint="eastAsia" w:ascii="宋体" w:hAnsi="宋体" w:eastAsia="宋体" w:cs="宋体"/>
      <w:b/>
      <w:sz w:val="36"/>
    </w:rPr>
  </w:style>
  <w:style w:type="character" w:styleId="1230" w:customStyle="1">
    <w:name w:val="批注文字 Char1"/>
    <w:basedOn w:val="818"/>
    <w:uiPriority w:val="0"/>
    <w:qFormat/>
    <w:rPr>
      <w:sz w:val="21"/>
    </w:rPr>
  </w:style>
  <w:style w:type="character" w:styleId="1231" w:customStyle="1">
    <w:name w:val="font61"/>
    <w:basedOn w:val="818"/>
    <w:uiPriority w:val="0"/>
    <w:qFormat/>
    <w:rPr>
      <w:rFonts w:hint="default" w:ascii="Calibri" w:hAnsi="Calibri" w:cs="Calibri"/>
      <w:b/>
      <w:color w:val="000000"/>
      <w:sz w:val="24"/>
      <w:szCs w:val="24"/>
      <w:u w:val="none"/>
    </w:rPr>
  </w:style>
  <w:style w:type="character" w:styleId="1232" w:customStyle="1">
    <w:name w:val="HTML 预设格式 字符3"/>
    <w:basedOn w:val="818"/>
    <w:uiPriority w:val="0"/>
    <w:qFormat/>
    <w:rPr>
      <w:rFonts w:hint="eastAsia" w:ascii="宋体" w:hAnsi="宋体" w:eastAsia="宋体" w:cs="宋体"/>
      <w:sz w:val="24"/>
      <w:szCs w:val="24"/>
    </w:rPr>
  </w:style>
  <w:style w:type="character" w:styleId="1233" w:customStyle="1">
    <w:name w:val="正文文本缩进 字符1"/>
    <w:basedOn w:val="818"/>
    <w:uiPriority w:val="0"/>
    <w:qFormat/>
    <w:rPr>
      <w:rFonts w:hint="eastAsia" w:ascii="宋体" w:hAnsi="Courier New" w:eastAsia="宋体" w:cs="宋体"/>
      <w:spacing w:val="-4"/>
      <w:sz w:val="18"/>
    </w:rPr>
  </w:style>
  <w:style w:type="character" w:styleId="1234" w:customStyle="1">
    <w:name w:val="签名 字符3"/>
    <w:basedOn w:val="818"/>
    <w:uiPriority w:val="0"/>
    <w:qFormat/>
    <w:rPr>
      <w:rFonts w:hint="eastAsia" w:ascii="仿宋_GB2312" w:eastAsia="仿宋_GB2312" w:cs="仿宋_GB2312"/>
      <w:sz w:val="24"/>
    </w:rPr>
  </w:style>
  <w:style w:type="character" w:styleId="1235" w:customStyle="1">
    <w:name w:val="标题 5 字符1"/>
    <w:basedOn w:val="818"/>
    <w:link w:val="813"/>
    <w:uiPriority w:val="0"/>
    <w:qFormat/>
    <w:rPr>
      <w:b/>
      <w:sz w:val="18"/>
    </w:rPr>
  </w:style>
  <w:style w:type="character" w:styleId="1236" w:customStyle="1">
    <w:name w:val="*正文 Char"/>
    <w:basedOn w:val="818"/>
    <w:uiPriority w:val="0"/>
    <w:qFormat/>
    <w:rPr>
      <w:rFonts w:hint="eastAsia" w:ascii="宋体" w:hAnsi="宋体" w:eastAsia="宋体" w:cs="宋体"/>
      <w:sz w:val="24"/>
      <w:szCs w:val="24"/>
    </w:rPr>
  </w:style>
  <w:style w:type="character" w:styleId="1237" w:customStyle="1">
    <w:name w:val="宋体3 Char"/>
    <w:basedOn w:val="818"/>
    <w:uiPriority w:val="0"/>
    <w:qFormat/>
    <w:rPr>
      <w:rFonts w:hint="default" w:ascii="Calibri" w:hAnsi="Calibri" w:cs="Calibri"/>
      <w:b/>
      <w:sz w:val="28"/>
    </w:rPr>
  </w:style>
  <w:style w:type="character" w:styleId="1238" w:customStyle="1">
    <w:name w:val="apple-style-span"/>
    <w:basedOn w:val="818"/>
    <w:uiPriority w:val="0"/>
    <w:qFormat/>
  </w:style>
  <w:style w:type="character" w:styleId="1239" w:customStyle="1">
    <w:name w:val="标题 4 字符1"/>
    <w:basedOn w:val="818"/>
    <w:link w:val="812"/>
    <w:uiPriority w:val="0"/>
    <w:qFormat/>
    <w:rPr>
      <w:b/>
      <w:sz w:val="18"/>
    </w:rPr>
  </w:style>
  <w:style w:type="character" w:styleId="1240" w:customStyle="1">
    <w:name w:val="标题 6 字符1"/>
    <w:basedOn w:val="818"/>
    <w:link w:val="814"/>
    <w:uiPriority w:val="0"/>
    <w:qFormat/>
    <w:rPr>
      <w:rFonts w:hint="default" w:ascii="Cambria" w:hAnsi="Cambria" w:eastAsia="黑体" w:cs="Cambria"/>
      <w:b/>
      <w:sz w:val="28"/>
      <w:szCs w:val="24"/>
    </w:rPr>
  </w:style>
  <w:style w:type="character" w:styleId="1241" w:customStyle="1">
    <w:name w:val="题注 字符"/>
    <w:basedOn w:val="818"/>
    <w:link w:val="821"/>
    <w:uiPriority w:val="0"/>
    <w:qFormat/>
    <w:rPr>
      <w:rFonts w:hint="default" w:ascii="Cambria" w:hAnsi="Cambria" w:eastAsia="黑体" w:cs="Cambria"/>
      <w:sz w:val="24"/>
    </w:rPr>
  </w:style>
  <w:style w:type="character" w:styleId="1242" w:customStyle="1">
    <w:name w:val="文档结构图 字符"/>
    <w:basedOn w:val="818"/>
    <w:link w:val="822"/>
    <w:uiPriority w:val="0"/>
    <w:qFormat/>
    <w:rPr>
      <w:sz w:val="21"/>
      <w:shd w:val="clear" w:color="auto" w:fill="000080"/>
    </w:rPr>
  </w:style>
  <w:style w:type="character" w:styleId="1243" w:customStyle="1">
    <w:name w:val="正文文本 字符4"/>
    <w:basedOn w:val="818"/>
    <w:uiPriority w:val="0"/>
    <w:qFormat/>
    <w:rPr>
      <w:sz w:val="21"/>
    </w:rPr>
  </w:style>
  <w:style w:type="character" w:styleId="1244" w:customStyle="1">
    <w:name w:val="正文文本缩进 2 字符"/>
    <w:basedOn w:val="818"/>
    <w:link w:val="833"/>
    <w:uiPriority w:val="0"/>
    <w:qFormat/>
    <w:rPr>
      <w:sz w:val="24"/>
    </w:rPr>
  </w:style>
  <w:style w:type="character" w:styleId="1245" w:customStyle="1">
    <w:name w:val="副标题 字符1"/>
    <w:basedOn w:val="818"/>
    <w:link w:val="841"/>
    <w:uiPriority w:val="0"/>
    <w:qFormat/>
    <w:rPr>
      <w:rFonts w:hint="default" w:ascii="Cambria" w:hAnsi="Cambria" w:eastAsia="Cambria" w:cs="Cambria"/>
      <w:b/>
      <w:sz w:val="32"/>
      <w:szCs w:val="32"/>
    </w:rPr>
  </w:style>
  <w:style w:type="character" w:styleId="1246" w:customStyle="1">
    <w:name w:val="tdog-popup-talkbar-report"/>
    <w:basedOn w:val="818"/>
    <w:uiPriority w:val="0"/>
    <w:qFormat/>
  </w:style>
  <w:style w:type="character" w:styleId="1247" w:customStyle="1">
    <w:name w:val="正文文本缩进 3 字符"/>
    <w:basedOn w:val="818"/>
    <w:link w:val="844"/>
    <w:uiPriority w:val="0"/>
    <w:qFormat/>
    <w:rPr>
      <w:b/>
      <w:sz w:val="28"/>
      <w:u w:val="single"/>
    </w:rPr>
  </w:style>
  <w:style w:type="character" w:styleId="1248" w:customStyle="1">
    <w:name w:val="标题 Char"/>
    <w:basedOn w:val="818"/>
    <w:uiPriority w:val="0"/>
    <w:qFormat/>
    <w:rPr>
      <w:rFonts w:hint="default" w:ascii="Cambria" w:hAnsi="Cambria" w:eastAsia="Cambria" w:cs="Cambria"/>
      <w:color w:val="17365d"/>
      <w:spacing w:val="5"/>
      <w:sz w:val="52"/>
      <w:szCs w:val="52"/>
      <w:lang w:eastAsia="en-US" w:bidi="en-US"/>
    </w:rPr>
  </w:style>
  <w:style w:type="character" w:styleId="1249" w:customStyle="1">
    <w:name w:val="普通(网站) 字符"/>
    <w:basedOn w:val="818"/>
    <w:link w:val="848"/>
    <w:uiPriority w:val="0"/>
    <w:qFormat/>
    <w:rPr>
      <w:rFonts w:hint="eastAsia" w:ascii="宋体" w:hAnsi="宋体" w:eastAsia="宋体" w:cs="宋体"/>
      <w:sz w:val="24"/>
      <w:szCs w:val="24"/>
    </w:rPr>
  </w:style>
  <w:style w:type="character" w:styleId="1250" w:customStyle="1">
    <w:name w:val="标题 Char2"/>
    <w:basedOn w:val="818"/>
    <w:uiPriority w:val="0"/>
    <w:qFormat/>
    <w:rPr>
      <w:rFonts w:hint="default" w:ascii="Cambria" w:hAnsi="Cambria" w:eastAsia="Cambria" w:cs="Times New Roman"/>
      <w:b/>
      <w:sz w:val="32"/>
      <w:szCs w:val="32"/>
    </w:rPr>
  </w:style>
  <w:style w:type="character" w:styleId="1251" w:customStyle="1">
    <w:name w:val="标题5 Char"/>
    <w:basedOn w:val="818"/>
    <w:uiPriority w:val="0"/>
    <w:qFormat/>
    <w:rPr>
      <w:b/>
      <w:sz w:val="24"/>
      <w:szCs w:val="24"/>
    </w:rPr>
  </w:style>
  <w:style w:type="character" w:styleId="1252" w:customStyle="1">
    <w:name w:val="签名 Char"/>
    <w:basedOn w:val="818"/>
    <w:uiPriority w:val="0"/>
    <w:qFormat/>
    <w:rPr>
      <w:rFonts w:hint="eastAsia" w:ascii="仿宋_GB2312" w:eastAsia="仿宋_GB2312" w:cs="仿宋_GB2312"/>
      <w:sz w:val="24"/>
    </w:rPr>
  </w:style>
  <w:style w:type="character" w:styleId="1253" w:customStyle="1">
    <w:name w:val="Item List Char"/>
    <w:basedOn w:val="818"/>
    <w:uiPriority w:val="0"/>
    <w:qFormat/>
    <w:rPr>
      <w:sz w:val="21"/>
      <w:szCs w:val="21"/>
    </w:rPr>
  </w:style>
  <w:style w:type="character" w:styleId="1254" w:customStyle="1">
    <w:name w:val="正文文本 Char1"/>
    <w:basedOn w:val="818"/>
    <w:uiPriority w:val="0"/>
    <w:qFormat/>
  </w:style>
  <w:style w:type="character" w:styleId="1255" w:customStyle="1">
    <w:name w:val="副标题 Char"/>
    <w:basedOn w:val="818"/>
    <w:uiPriority w:val="0"/>
    <w:qFormat/>
    <w:rPr>
      <w:rFonts w:hint="default" w:ascii="Cambria" w:hAnsi="Cambria" w:eastAsia="Cambria" w:cs="Times New Roman"/>
      <w:b/>
      <w:sz w:val="32"/>
      <w:szCs w:val="32"/>
    </w:rPr>
  </w:style>
  <w:style w:type="character" w:styleId="1256" w:customStyle="1">
    <w:name w:val="tdog-popup-help"/>
    <w:basedOn w:val="818"/>
    <w:uiPriority w:val="0"/>
    <w:qFormat/>
    <w:rPr>
      <w:vanish/>
    </w:rPr>
  </w:style>
  <w:style w:type="character" w:styleId="1257" w:customStyle="1">
    <w:name w:val="正文文本缩进 Char1"/>
    <w:basedOn w:val="818"/>
    <w:uiPriority w:val="0"/>
    <w:qFormat/>
    <w:rPr>
      <w:sz w:val="21"/>
    </w:rPr>
  </w:style>
  <w:style w:type="character" w:styleId="1258" w:customStyle="1">
    <w:name w:val="批注主题 字符2"/>
    <w:basedOn w:val="818"/>
    <w:uiPriority w:val="0"/>
    <w:qFormat/>
    <w:rPr>
      <w:b/>
      <w:sz w:val="21"/>
    </w:rPr>
  </w:style>
  <w:style w:type="character" w:styleId="1259" w:customStyle="1">
    <w:name w:val="tdog-systips"/>
    <w:basedOn w:val="818"/>
    <w:uiPriority w:val="0"/>
    <w:qFormat/>
  </w:style>
  <w:style w:type="character" w:styleId="1260" w:customStyle="1">
    <w:name w:val="param-name"/>
    <w:basedOn w:val="818"/>
    <w:uiPriority w:val="0"/>
    <w:qFormat/>
  </w:style>
  <w:style w:type="character" w:styleId="1261" w:customStyle="1">
    <w:name w:val="apple-converted-space"/>
    <w:basedOn w:val="818"/>
    <w:uiPriority w:val="0"/>
    <w:qFormat/>
  </w:style>
  <w:style w:type="character" w:styleId="1262" w:customStyle="1">
    <w:name w:val="标题 8 Char1"/>
    <w:basedOn w:val="818"/>
    <w:uiPriority w:val="0"/>
    <w:qFormat/>
    <w:rPr>
      <w:rFonts w:hint="eastAsia" w:ascii="等线 Light" w:hAnsi="等线 Light" w:eastAsia="等线 Light" w:cs="等线 Light"/>
      <w:sz w:val="24"/>
      <w:szCs w:val="24"/>
    </w:rPr>
  </w:style>
  <w:style w:type="character" w:styleId="1263" w:customStyle="1">
    <w:name w:val="hidden"/>
    <w:basedOn w:val="818"/>
    <w:uiPriority w:val="0"/>
    <w:qFormat/>
    <w:rPr>
      <w:vanish/>
    </w:rPr>
  </w:style>
  <w:style w:type="character" w:styleId="1264" w:customStyle="1">
    <w:name w:val="未处理的提及2"/>
    <w:basedOn w:val="818"/>
    <w:uiPriority w:val="0"/>
    <w:qFormat/>
    <w:rPr>
      <w:color w:val="605e5c"/>
      <w:shd w:val="clear" w:color="auto" w:fill="e1dfdd"/>
    </w:rPr>
  </w:style>
  <w:style w:type="character" w:styleId="1265" w:customStyle="1">
    <w:name w:val="正文文本 Char2"/>
    <w:basedOn w:val="818"/>
    <w:uiPriority w:val="0"/>
    <w:qFormat/>
    <w:rPr>
      <w:rFonts w:hint="eastAsia" w:ascii="楷体_GB2312" w:hAnsi="Arial" w:eastAsia="楷体_GB2312" w:cs="楷体_GB2312"/>
      <w:sz w:val="28"/>
    </w:rPr>
  </w:style>
  <w:style w:type="character" w:styleId="1266" w:customStyle="1">
    <w:name w:val="hover5"/>
    <w:basedOn w:val="818"/>
    <w:uiPriority w:val="0"/>
    <w:qFormat/>
  </w:style>
  <w:style w:type="character" w:styleId="1267" w:customStyle="1">
    <w:name w:val="tdog-info-mailicon"/>
    <w:basedOn w:val="818"/>
    <w:uiPriority w:val="0"/>
    <w:qFormat/>
  </w:style>
  <w:style w:type="character" w:styleId="1268" w:customStyle="1">
    <w:name w:val="tdog-minimizebut"/>
    <w:basedOn w:val="818"/>
    <w:uiPriority w:val="0"/>
    <w:qFormat/>
  </w:style>
  <w:style w:type="character" w:styleId="1269" w:customStyle="1">
    <w:name w:val="纯文本 Char1"/>
    <w:basedOn w:val="818"/>
    <w:uiPriority w:val="0"/>
    <w:qFormat/>
    <w:rPr>
      <w:rFonts w:hint="eastAsia" w:ascii="宋体" w:hAnsi="Courier New" w:eastAsia="宋体" w:cs="Courier New"/>
      <w:sz w:val="21"/>
      <w:szCs w:val="21"/>
    </w:rPr>
  </w:style>
  <w:style w:type="character" w:styleId="1270" w:customStyle="1">
    <w:name w:val="font"/>
    <w:basedOn w:val="818"/>
    <w:uiPriority w:val="0"/>
    <w:qFormat/>
  </w:style>
  <w:style w:type="character" w:styleId="1271" w:customStyle="1">
    <w:name w:val="标题 3 字符1"/>
    <w:basedOn w:val="818"/>
    <w:uiPriority w:val="0"/>
    <w:qFormat/>
    <w:rPr>
      <w:rFonts w:hint="eastAsia" w:ascii="宋体" w:hAnsi="宋体" w:eastAsia="宋体" w:cs="宋体"/>
      <w:sz w:val="28"/>
      <w:lang w:val="en-US" w:eastAsia="zh-CN" w:bidi="ar"/>
    </w:rPr>
  </w:style>
  <w:style w:type="character" w:styleId="1272" w:customStyle="1">
    <w:name w:val="tdog-info-title"/>
    <w:basedOn w:val="818"/>
    <w:uiPriority w:val="0"/>
    <w:qFormat/>
  </w:style>
  <w:style w:type="character" w:styleId="1273" w:customStyle="1">
    <w:name w:val="标题 字符3"/>
    <w:basedOn w:val="818"/>
    <w:uiPriority w:val="0"/>
    <w:qFormat/>
    <w:rPr>
      <w:rFonts w:hint="eastAsia" w:ascii="等线 Light" w:hAnsi="等线 Light" w:eastAsia="等线 Light" w:cs="Times New Roman"/>
      <w:b/>
      <w:sz w:val="32"/>
      <w:szCs w:val="32"/>
    </w:rPr>
  </w:style>
  <w:style w:type="character" w:styleId="1274" w:customStyle="1">
    <w:name w:val="Body Text Char"/>
    <w:basedOn w:val="818"/>
    <w:uiPriority w:val="0"/>
    <w:qFormat/>
    <w:rPr>
      <w:rFonts w:hint="eastAsia" w:ascii="楷体_GB2312" w:hAnsi="Arial" w:eastAsia="楷体_GB2312" w:cs="Times New Roman"/>
      <w:sz w:val="28"/>
      <w:szCs w:val="20"/>
    </w:rPr>
  </w:style>
  <w:style w:type="character" w:styleId="1275" w:customStyle="1">
    <w:name w:val="tdog-popup-minimize"/>
    <w:basedOn w:val="818"/>
    <w:uiPriority w:val="0"/>
    <w:qFormat/>
  </w:style>
  <w:style w:type="character" w:styleId="1276" w:customStyle="1">
    <w:name w:val="无间隔 Char"/>
    <w:basedOn w:val="818"/>
    <w:uiPriority w:val="0"/>
    <w:qFormat/>
    <w:rPr>
      <w:rFonts w:hint="default" w:ascii="Calibri" w:hAnsi="Calibri" w:cs="Calibri"/>
      <w:sz w:val="22"/>
      <w:szCs w:val="22"/>
    </w:rPr>
  </w:style>
  <w:style w:type="character" w:styleId="1277" w:customStyle="1">
    <w:name w:val="标题 字符1"/>
    <w:basedOn w:val="818"/>
    <w:uiPriority w:val="0"/>
    <w:qFormat/>
    <w:rPr>
      <w:rFonts w:hint="default" w:ascii="Cambria" w:hAnsi="Cambria" w:eastAsia="宋体" w:cs="Times New Roman"/>
      <w:color w:val="17365d"/>
      <w:spacing w:val="5"/>
      <w:sz w:val="52"/>
      <w:szCs w:val="52"/>
      <w:lang w:eastAsia="en-US" w:bidi="en-US"/>
    </w:rPr>
  </w:style>
  <w:style w:type="character" w:styleId="1278" w:customStyle="1">
    <w:name w:val="副标题 Char1"/>
    <w:basedOn w:val="818"/>
    <w:uiPriority w:val="0"/>
    <w:qFormat/>
    <w:rPr>
      <w:rFonts w:hint="default" w:ascii="Cambria" w:hAnsi="Cambria" w:eastAsia="宋体" w:cs="Times New Roman"/>
      <w:b/>
      <w:sz w:val="32"/>
      <w:szCs w:val="32"/>
    </w:rPr>
  </w:style>
  <w:style w:type="character" w:styleId="1279" w:customStyle="1">
    <w:name w:val="日期 字符2"/>
    <w:basedOn w:val="818"/>
    <w:uiPriority w:val="0"/>
    <w:qFormat/>
    <w:rPr>
      <w:rFonts w:hint="eastAsia" w:ascii="宋体" w:hAnsi="宋体" w:eastAsia="宋体" w:cs="宋体"/>
      <w:sz w:val="28"/>
    </w:rPr>
  </w:style>
  <w:style w:type="character" w:styleId="1280" w:customStyle="1">
    <w:name w:val="Figure Char"/>
    <w:basedOn w:val="818"/>
    <w:uiPriority w:val="0"/>
    <w:qFormat/>
    <w:rPr>
      <w:sz w:val="24"/>
      <w:szCs w:val="21"/>
    </w:rPr>
  </w:style>
  <w:style w:type="character" w:styleId="1281" w:customStyle="1">
    <w:name w:val="标题 5 Char1"/>
    <w:basedOn w:val="818"/>
    <w:uiPriority w:val="0"/>
    <w:qFormat/>
    <w:rPr>
      <w:b/>
      <w:sz w:val="18"/>
    </w:rPr>
  </w:style>
  <w:style w:type="character" w:styleId="1282" w:customStyle="1">
    <w:name w:val="列出段落 字符"/>
    <w:basedOn w:val="818"/>
    <w:uiPriority w:val="0"/>
    <w:qFormat/>
    <w:rPr>
      <w:sz w:val="24"/>
      <w:szCs w:val="21"/>
    </w:rPr>
  </w:style>
  <w:style w:type="character" w:styleId="1283" w:customStyle="1">
    <w:name w:val="签名 字符2"/>
    <w:basedOn w:val="818"/>
    <w:uiPriority w:val="0"/>
    <w:qFormat/>
    <w:rPr>
      <w:rFonts w:hint="eastAsia" w:ascii="仿宋_GB2312" w:eastAsia="仿宋_GB2312" w:cs="仿宋_GB2312"/>
      <w:sz w:val="24"/>
    </w:rPr>
  </w:style>
  <w:style w:type="character" w:styleId="1284" w:customStyle="1">
    <w:name w:val="font101"/>
    <w:basedOn w:val="818"/>
    <w:uiPriority w:val="0"/>
    <w:qFormat/>
    <w:rPr>
      <w:rFonts w:hint="default" w:ascii="Arial" w:hAnsi="Arial" w:cs="Arial"/>
      <w:color w:val="000000"/>
      <w:sz w:val="20"/>
      <w:szCs w:val="20"/>
      <w:u w:val="none"/>
    </w:rPr>
  </w:style>
  <w:style w:type="character" w:styleId="1285" w:customStyle="1">
    <w:name w:val="HTML 预设格式 Char"/>
    <w:basedOn w:val="818"/>
    <w:uiPriority w:val="0"/>
    <w:qFormat/>
    <w:rPr>
      <w:rFonts w:hint="eastAsia" w:ascii="宋体" w:hAnsi="宋体" w:eastAsia="宋体" w:cs="宋体"/>
      <w:sz w:val="24"/>
      <w:szCs w:val="24"/>
    </w:rPr>
  </w:style>
  <w:style w:type="character" w:styleId="1286" w:customStyle="1">
    <w:name w:val="副标题 字符3"/>
    <w:basedOn w:val="818"/>
    <w:uiPriority w:val="0"/>
    <w:qFormat/>
    <w:rPr>
      <w:rFonts w:hint="eastAsia" w:ascii="等线 Light" w:hAnsi="等线 Light" w:eastAsia="等线 Light" w:cs="Times New Roman"/>
      <w:b/>
      <w:sz w:val="32"/>
      <w:szCs w:val="32"/>
    </w:rPr>
  </w:style>
  <w:style w:type="character" w:styleId="1287" w:customStyle="1">
    <w:name w:val="王兴华的论文正文 Char"/>
    <w:basedOn w:val="818"/>
    <w:uiPriority w:val="0"/>
    <w:qFormat/>
    <w:rPr>
      <w:sz w:val="24"/>
      <w:szCs w:val="24"/>
    </w:rPr>
  </w:style>
  <w:style w:type="character" w:styleId="1288" w:customStyle="1">
    <w:name w:val="页眉 Char1"/>
    <w:basedOn w:val="818"/>
    <w:uiPriority w:val="0"/>
    <w:qFormat/>
    <w:rPr>
      <w:sz w:val="18"/>
      <w:szCs w:val="18"/>
    </w:rPr>
  </w:style>
  <w:style w:type="character" w:styleId="1289" w:customStyle="1">
    <w:name w:val="批注文字 字符3"/>
    <w:basedOn w:val="818"/>
    <w:uiPriority w:val="0"/>
    <w:qFormat/>
    <w:rPr>
      <w:sz w:val="21"/>
    </w:rPr>
  </w:style>
  <w:style w:type="character" w:styleId="1290" w:customStyle="1">
    <w:name w:val="标题 字符2"/>
    <w:basedOn w:val="818"/>
    <w:uiPriority w:val="0"/>
    <w:qFormat/>
    <w:rPr>
      <w:rFonts w:hint="default" w:ascii="Cambria" w:hAnsi="Cambria" w:eastAsia="宋体" w:cs="Cambria"/>
      <w:b/>
      <w:sz w:val="32"/>
      <w:szCs w:val="32"/>
      <w:lang w:val="en-US" w:eastAsia="zh-CN" w:bidi="ar"/>
    </w:rPr>
  </w:style>
  <w:style w:type="character" w:styleId="1291" w:customStyle="1">
    <w:name w:val="标题4 Char"/>
    <w:basedOn w:val="818"/>
    <w:uiPriority w:val="0"/>
    <w:qFormat/>
    <w:rPr>
      <w:b/>
      <w:sz w:val="24"/>
      <w:szCs w:val="24"/>
    </w:rPr>
  </w:style>
  <w:style w:type="character" w:styleId="1292" w:customStyle="1">
    <w:name w:val="正文文本缩进 字符2"/>
    <w:basedOn w:val="818"/>
    <w:uiPriority w:val="0"/>
    <w:qFormat/>
    <w:rPr>
      <w:rFonts w:hint="eastAsia" w:ascii="宋体" w:hAnsi="宋体" w:eastAsia="宋体" w:cs="宋体"/>
      <w:sz w:val="28"/>
    </w:rPr>
  </w:style>
  <w:style w:type="character" w:styleId="1293" w:customStyle="1">
    <w:name w:val="页脚 字符2"/>
    <w:basedOn w:val="818"/>
    <w:uiPriority w:val="0"/>
    <w:qFormat/>
    <w:rPr>
      <w:sz w:val="18"/>
    </w:rPr>
  </w:style>
  <w:style w:type="character" w:styleId="1294" w:customStyle="1">
    <w:name w:val="页脚 Char1"/>
    <w:basedOn w:val="818"/>
    <w:uiPriority w:val="0"/>
    <w:qFormat/>
    <w:rPr>
      <w:sz w:val="18"/>
      <w:szCs w:val="18"/>
    </w:rPr>
  </w:style>
  <w:style w:type="character" w:styleId="1295" w:customStyle="1">
    <w:name w:val="tdog-user-name"/>
    <w:basedOn w:val="818"/>
    <w:uiPriority w:val="0"/>
    <w:qFormat/>
  </w:style>
  <w:style w:type="character" w:styleId="1296" w:customStyle="1">
    <w:name w:val="未处理的提及21"/>
    <w:basedOn w:val="818"/>
    <w:uiPriority w:val="0"/>
    <w:qFormat/>
    <w:rPr>
      <w:color w:val="605e5c"/>
      <w:shd w:val="clear" w:color="auto" w:fill="e1dfdd"/>
    </w:rPr>
  </w:style>
  <w:style w:type="character" w:styleId="1297" w:customStyle="1">
    <w:name w:val="tdog-info-toolclose"/>
    <w:basedOn w:val="818"/>
    <w:uiPriority w:val="0"/>
    <w:qFormat/>
  </w:style>
  <w:style w:type="character" w:styleId="1298" w:customStyle="1">
    <w:name w:val="标题2 Char"/>
    <w:basedOn w:val="818"/>
    <w:uiPriority w:val="0"/>
    <w:qFormat/>
    <w:rPr>
      <w:rFonts w:hint="eastAsia" w:ascii="宋体" w:hAnsi="宋体" w:eastAsia="宋体" w:cs="宋体"/>
      <w:b/>
      <w:sz w:val="28"/>
      <w:szCs w:val="22"/>
    </w:rPr>
  </w:style>
  <w:style w:type="character" w:styleId="1299" w:customStyle="1">
    <w:name w:val="List Paragraph Char"/>
    <w:basedOn w:val="818"/>
    <w:uiPriority w:val="0"/>
    <w:qFormat/>
    <w:rPr>
      <w:rFonts w:hint="eastAsia" w:ascii="宋体" w:hAnsi="宋体" w:eastAsia="宋体" w:cs="宋体"/>
      <w:sz w:val="21"/>
      <w:szCs w:val="24"/>
      <w:lang w:bidi="ar"/>
    </w:rPr>
  </w:style>
  <w:style w:type="character" w:styleId="1300" w:customStyle="1">
    <w:name w:val="tdog-closebut"/>
    <w:basedOn w:val="818"/>
    <w:uiPriority w:val="0"/>
    <w:qFormat/>
  </w:style>
  <w:style w:type="character" w:styleId="1301" w:customStyle="1">
    <w:name w:val="HTML 预设格式 Char2"/>
    <w:basedOn w:val="818"/>
    <w:uiPriority w:val="0"/>
    <w:qFormat/>
    <w:rPr>
      <w:rFonts w:hint="default" w:ascii="Courier New" w:hAnsi="Courier New" w:cs="Courier New"/>
    </w:rPr>
  </w:style>
  <w:style w:type="character" w:styleId="1302" w:customStyle="1">
    <w:name w:val="列出段落 字符1"/>
    <w:basedOn w:val="818"/>
    <w:uiPriority w:val="0"/>
    <w:qFormat/>
  </w:style>
  <w:style w:type="character" w:styleId="1303" w:customStyle="1">
    <w:name w:val="标题3 Char"/>
    <w:basedOn w:val="818"/>
    <w:uiPriority w:val="0"/>
    <w:qFormat/>
    <w:rPr>
      <w:b/>
      <w:sz w:val="28"/>
      <w:szCs w:val="44"/>
    </w:rPr>
  </w:style>
  <w:style w:type="character" w:styleId="1304" w:customStyle="1">
    <w:name w:val="HTML 预设格式 字符1"/>
    <w:basedOn w:val="818"/>
    <w:uiPriority w:val="0"/>
    <w:qFormat/>
    <w:rPr>
      <w:rFonts w:hint="eastAsia" w:ascii="宋体" w:hAnsi="宋体" w:eastAsia="宋体" w:cs="宋体"/>
      <w:sz w:val="24"/>
      <w:szCs w:val="24"/>
    </w:rPr>
  </w:style>
  <w:style w:type="character" w:styleId="1305" w:customStyle="1">
    <w:name w:val="tdog-popup-talkbar-clear"/>
    <w:basedOn w:val="818"/>
    <w:uiPriority w:val="0"/>
    <w:qFormat/>
  </w:style>
  <w:style w:type="character" w:styleId="1306" w:customStyle="1">
    <w:name w:val="表 字符"/>
    <w:basedOn w:val="818"/>
    <w:uiPriority w:val="0"/>
    <w:qFormat/>
    <w:rPr>
      <w:sz w:val="24"/>
      <w:szCs w:val="24"/>
    </w:rPr>
  </w:style>
  <w:style w:type="character" w:styleId="1307" w:customStyle="1">
    <w:name w:val="tdog-info-toolopen"/>
    <w:basedOn w:val="818"/>
    <w:uiPriority w:val="0"/>
    <w:qFormat/>
  </w:style>
  <w:style w:type="character" w:styleId="1308" w:customStyle="1">
    <w:name w:val="Plain Text Char"/>
    <w:basedOn w:val="818"/>
    <w:uiPriority w:val="0"/>
    <w:qFormat/>
    <w:rPr>
      <w:rFonts w:hint="eastAsia" w:ascii="宋体" w:hAnsi="Courier New" w:eastAsia="楷体_GB2312" w:cs="宋体"/>
      <w:sz w:val="26"/>
    </w:rPr>
  </w:style>
  <w:style w:type="character" w:styleId="1309" w:customStyle="1">
    <w:name w:val="批注框文本 Char1"/>
    <w:basedOn w:val="818"/>
    <w:uiPriority w:val="0"/>
    <w:qFormat/>
    <w:rPr>
      <w:sz w:val="18"/>
      <w:szCs w:val="18"/>
    </w:rPr>
  </w:style>
  <w:style w:type="character" w:styleId="1310" w:customStyle="1">
    <w:name w:val="无间隔 字符"/>
    <w:basedOn w:val="818"/>
    <w:uiPriority w:val="0"/>
    <w:qFormat/>
    <w:rPr>
      <w:rFonts w:hint="default" w:ascii="Calibri" w:hAnsi="Calibri" w:cs="Calibri"/>
      <w:sz w:val="24"/>
      <w:szCs w:val="22"/>
    </w:rPr>
  </w:style>
  <w:style w:type="character" w:styleId="1311" w:customStyle="1">
    <w:name w:val="明显强调1"/>
    <w:basedOn w:val="818"/>
    <w:uiPriority w:val="0"/>
    <w:qFormat/>
    <w:rPr>
      <w:i/>
      <w:color w:val="5b9bd5"/>
    </w:rPr>
  </w:style>
  <w:style w:type="character" w:styleId="1312" w:customStyle="1">
    <w:name w:val="列出段落 字符2"/>
    <w:basedOn w:val="818"/>
    <w:uiPriority w:val="0"/>
    <w:qFormat/>
    <w:rPr>
      <w:sz w:val="24"/>
      <w:szCs w:val="21"/>
    </w:rPr>
  </w:style>
  <w:style w:type="character" w:styleId="1313" w:customStyle="1">
    <w:name w:val="纯文本 字符2"/>
    <w:basedOn w:val="818"/>
    <w:uiPriority w:val="0"/>
    <w:qFormat/>
    <w:rPr>
      <w:rFonts w:hint="eastAsia" w:ascii="宋体" w:hAnsi="Courier New" w:eastAsia="宋体" w:cs="宋体"/>
      <w:sz w:val="21"/>
    </w:rPr>
  </w:style>
  <w:style w:type="character" w:styleId="1314" w:customStyle="1">
    <w:name w:val="不明显强调1"/>
    <w:basedOn w:val="818"/>
    <w:uiPriority w:val="0"/>
    <w:qFormat/>
    <w:rPr>
      <w:i/>
      <w:color w:val="404040"/>
    </w:rPr>
  </w:style>
  <w:style w:type="character" w:styleId="1315" w:customStyle="1">
    <w:name w:val="日期 字符3"/>
    <w:basedOn w:val="818"/>
    <w:uiPriority w:val="0"/>
    <w:qFormat/>
    <w:rPr>
      <w:rFonts w:hint="eastAsia" w:ascii="宋体" w:hAnsi="宋体" w:eastAsia="宋体" w:cs="宋体"/>
      <w:sz w:val="28"/>
    </w:rPr>
  </w:style>
  <w:style w:type="character" w:styleId="1316" w:customStyle="1">
    <w:name w:val="批注框文本 字符3"/>
    <w:basedOn w:val="818"/>
    <w:uiPriority w:val="0"/>
    <w:qFormat/>
    <w:rPr>
      <w:sz w:val="18"/>
      <w:szCs w:val="18"/>
    </w:rPr>
  </w:style>
  <w:style w:type="character" w:styleId="1317" w:customStyle="1">
    <w:name w:val="HTML 预设格式 字符4"/>
    <w:basedOn w:val="818"/>
    <w:uiPriority w:val="0"/>
    <w:qFormat/>
    <w:rPr>
      <w:rFonts w:hint="default" w:ascii="Arial" w:hAnsi="Arial" w:cs="Arial"/>
      <w:sz w:val="24"/>
      <w:szCs w:val="24"/>
    </w:rPr>
  </w:style>
  <w:style w:type="character" w:styleId="1318" w:customStyle="1">
    <w:name w:val="列出段落 Char1"/>
    <w:basedOn w:val="818"/>
    <w:uiPriority w:val="0"/>
    <w:qFormat/>
    <w:rPr>
      <w:rFonts w:hint="default" w:ascii="Calibri" w:hAnsi="Calibri" w:cs="Calibri"/>
      <w:sz w:val="24"/>
    </w:rPr>
  </w:style>
  <w:style w:type="paragraph" w:styleId="1319" w:customStyle="1">
    <w:name w:val="msonormal"/>
    <w:basedOn w:val="808"/>
    <w:uiPriority w:val="0"/>
    <w:qFormat/>
    <w:pPr>
      <w:jc w:val="left"/>
      <w:spacing w:before="100" w:beforeAutospacing="1" w:after="100" w:afterAutospacing="1"/>
      <w:widowControl/>
    </w:pPr>
    <w:rPr>
      <w:rFonts w:ascii="宋体" w:hAnsi="宋体" w:cs="宋体"/>
      <w:sz w:val="24"/>
      <w:szCs w:val="24"/>
    </w:rPr>
  </w:style>
  <w:style w:type="paragraph" w:styleId="1320" w:customStyle="1">
    <w:name w:val="修订2"/>
    <w:hidden/>
    <w:uiPriority w:val="99"/>
    <w:unhideWhenUsed/>
    <w:qFormat/>
    <w:rPr>
      <w:rFonts w:ascii="Calibri" w:hAnsi="Calibri" w:eastAsia="宋体" w:cs="Times New Roman"/>
      <w:sz w:val="21"/>
      <w:szCs w:val="22"/>
      <w:lang w:val="en-US" w:eastAsia="zh-CN" w:bidi="ar-SA"/>
    </w:rPr>
  </w:style>
  <w:style w:type="paragraph" w:styleId="1321" w:customStyle="1">
    <w:name w:val="段落正文"/>
    <w:basedOn w:val="808"/>
    <w:uiPriority w:val="0"/>
    <w:qFormat/>
    <w:pPr>
      <w:ind w:firstLine="200"/>
      <w:spacing w:line="360" w:lineRule="auto"/>
    </w:pPr>
    <w:rPr>
      <w:rFonts w:ascii="Times New Roman" w:hAnsi="Times New Roman" w:cs="宋体"/>
      <w:sz w:val="24"/>
      <w:szCs w:val="24"/>
    </w:rPr>
  </w:style>
  <w:style w:type="paragraph" w:styleId="1322" w:customStyle="1">
    <w:name w:val="修订3"/>
    <w:hidden/>
    <w:uiPriority w:val="99"/>
    <w:semiHidden/>
    <w:qFormat/>
    <w:rPr>
      <w:rFonts w:ascii="Calibri" w:hAnsi="Calibri" w:eastAsia="宋体" w:cs="Times New Roman"/>
      <w:sz w:val="21"/>
      <w:szCs w:val="22"/>
      <w:lang w:val="en-US" w:eastAsia="zh-CN" w:bidi="ar-SA"/>
    </w:rPr>
  </w:style>
  <w:style w:type="paragraph" w:styleId="1323" w:customStyle="1">
    <w:name w:val="修订4"/>
    <w:hidden/>
    <w:uiPriority w:val="99"/>
    <w:semiHidden/>
    <w:qFormat/>
    <w:rPr>
      <w:rFonts w:ascii="Calibri" w:hAnsi="Calibri" w:eastAsia="宋体" w:cs="Times New Roman"/>
      <w:sz w:val="21"/>
      <w:szCs w:val="22"/>
      <w:lang w:val="en-US" w:eastAsia="zh-CN" w:bidi="ar-SA"/>
    </w:rPr>
  </w:style>
  <w:style w:type="paragraph" w:styleId="1324" w:customStyle="1">
    <w:name w:val="Table Text"/>
    <w:basedOn w:val="808"/>
    <w:uiPriority w:val="0"/>
    <w:semiHidden/>
    <w:qFormat/>
    <w:rPr>
      <w:rFonts w:ascii="Times New Roman" w:hAnsi="Times New Roman" w:eastAsia="Times New Roman"/>
      <w:szCs w:val="21"/>
      <w:lang w:eastAsia="en-US"/>
    </w:rPr>
  </w:style>
  <w:style w:type="table" w:styleId="1325" w:customStyle="1">
    <w:name w:val="Table Normal"/>
    <w:uiPriority w:val="0"/>
    <w:semiHidden/>
    <w:unhideWhenUsed/>
    <w:qFormat/>
    <w:tblPr>
      <w:tblCellMar>
        <w:left w:w="0" w:type="dxa"/>
        <w:top w:w="0" w:type="dxa"/>
        <w:right w:w="0" w:type="dxa"/>
        <w:bottom w:w="0" w:type="dxa"/>
      </w:tblCellMar>
    </w:tblPr>
  </w:style>
  <w:style w:type="numbering" w:styleId="180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zhanghuan05</dc:creator>
  <cp:lastModifiedBy>韩忆程</cp:lastModifiedBy>
  <cp:revision>13</cp:revision>
  <dcterms:created xsi:type="dcterms:W3CDTF">2025-11-11T02:39:00Z</dcterms:created>
  <dcterms:modified xsi:type="dcterms:W3CDTF">2026-09-07T08:59:21Z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5DF84B354BF8420087798AD9F2AF13D1_13</vt:lpwstr>
  </property>
  <property fmtid="{D5CDD505-2E9C-101B-9397-08002B2CF9AE}" pid="4" name="KSOTemplateDocerSaveRecord">
    <vt:lpwstr>eyJoZGlkIjoiOTliMWRmOWE5NTVhZmI2MjI3MjFjMjEyNGI4YTQ5ODkiLCJ1c2VySWQiOiI0NzA0Njk1MDUifQ==</vt:lpwstr>
  </property>
</Properties>
</file>