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hint="eastAsia" w:ascii="CESI黑体-GB2312" w:hAnsi="CESI黑体-GB2312" w:eastAsia="CESI黑体-GB2312" w:cs="CESI黑体-GB2312"/>
          <w:color w:val="auto"/>
          <w:sz w:val="32"/>
          <w:szCs w:val="32"/>
          <w:highlight w:val="none"/>
        </w:rPr>
        <w:t xml:space="preserve"> </w:t>
      </w:r>
      <w:r/>
    </w:p>
    <w:p>
      <w:pPr>
        <w:ind w:firstLine="300"/>
        <w:spacing w:line="360" w:lineRule="auto"/>
        <w:rPr>
          <w:color w:val="auto"/>
          <w:sz w:val="60"/>
          <w:szCs w:val="60"/>
          <w:highlight w:val="none"/>
        </w:rPr>
      </w:pPr>
      <w:r>
        <w:rPr>
          <w:color w:val="auto"/>
          <w:sz w:val="60"/>
          <w:szCs w:val="60"/>
          <w:highlight w:val="none"/>
        </w:rPr>
      </w:r>
      <w:r/>
    </w:p>
    <w:p>
      <w:pPr>
        <w:jc w:val="center"/>
        <w:rPr>
          <w:rFonts w:hint="eastAsia" w:eastAsia="宋体"/>
          <w:b/>
          <w:bCs/>
          <w:color w:val="auto"/>
          <w:sz w:val="60"/>
          <w:szCs w:val="60"/>
          <w:highlight w:val="none"/>
          <w:lang w:eastAsia="zh-CN"/>
        </w:rPr>
      </w:pPr>
      <w:r>
        <w:rPr>
          <w:rFonts w:hint="eastAsia"/>
          <w:b/>
          <w:bCs/>
          <w:color w:val="auto"/>
          <w:sz w:val="60"/>
          <w:szCs w:val="60"/>
          <w:highlight w:val="none"/>
          <w:lang w:eastAsia="zh-CN"/>
        </w:rPr>
        <w:t xml:space="preserve">永武河（青龙西路-薛家浜桥）河道整治工程</w:t>
      </w:r>
      <w:r/>
    </w:p>
    <w:p>
      <w:pPr>
        <w:jc w:val="center"/>
        <w:rPr>
          <w:b/>
          <w:bCs/>
          <w:color w:val="auto"/>
          <w:sz w:val="60"/>
          <w:szCs w:val="60"/>
          <w:highlight w:val="none"/>
        </w:rPr>
      </w:pPr>
      <w:r>
        <w:rPr>
          <w:b/>
          <w:bCs/>
          <w:color w:val="auto"/>
          <w:sz w:val="60"/>
          <w:szCs w:val="60"/>
          <w:highlight w:val="none"/>
        </w:rPr>
        <w:t xml:space="preserve">竞争性磋商文件</w:t>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ind w:left="2832" w:hanging="1900"/>
        <w:jc w:val="left"/>
        <w:spacing w:line="360" w:lineRule="auto"/>
        <w:tabs>
          <w:tab w:val="left" w:pos="5609" w:leader="none"/>
        </w:tabs>
        <w:rPr>
          <w:bCs/>
          <w:color w:val="auto"/>
          <w:sz w:val="36"/>
          <w:szCs w:val="36"/>
          <w:highlight w:val="none"/>
        </w:rPr>
      </w:pPr>
      <w:r>
        <w:rPr>
          <w:bCs/>
          <w:color w:val="auto"/>
          <w:sz w:val="36"/>
          <w:szCs w:val="36"/>
          <w:highlight w:val="none"/>
        </w:rPr>
        <w:t xml:space="preserve">项目名称：</w:t>
      </w:r>
      <w:r>
        <w:rPr>
          <w:rFonts w:hint="eastAsia"/>
          <w:bCs/>
          <w:color w:val="auto"/>
          <w:sz w:val="36"/>
          <w:szCs w:val="36"/>
          <w:highlight w:val="none"/>
          <w:lang w:eastAsia="zh-CN"/>
        </w:rPr>
        <w:t xml:space="preserve">永武河（青龙西路-薛家浜桥）河道整治工程</w:t>
      </w:r>
      <w:r>
        <w:rPr>
          <w:rFonts w:hint="eastAsia"/>
          <w:bCs/>
          <w:color w:val="auto"/>
          <w:sz w:val="36"/>
          <w:szCs w:val="36"/>
          <w:highlight w:val="none"/>
        </w:rPr>
        <w:t xml:space="preserve">（政府采购工程）（面向中小企业） </w:t>
      </w:r>
      <w:r/>
    </w:p>
    <w:p>
      <w:pPr>
        <w:ind w:left="2832" w:hanging="1900"/>
        <w:jc w:val="left"/>
        <w:spacing w:line="360" w:lineRule="auto"/>
        <w:tabs>
          <w:tab w:val="left" w:pos="5609" w:leader="none"/>
        </w:tabs>
        <w:rPr>
          <w:rFonts w:hint="eastAsia" w:eastAsia="宋体"/>
          <w:bCs/>
          <w:color w:val="auto"/>
          <w:sz w:val="36"/>
          <w:szCs w:val="36"/>
          <w:highlight w:val="none"/>
          <w:lang w:eastAsia="zh-CN"/>
        </w:rPr>
      </w:pPr>
      <w:r>
        <w:rPr>
          <w:bCs/>
          <w:color w:val="auto"/>
          <w:sz w:val="36"/>
          <w:szCs w:val="36"/>
          <w:highlight w:val="none"/>
        </w:rPr>
        <w:t xml:space="preserve">项目编号：</w:t>
      </w:r>
      <w:r>
        <w:rPr>
          <w:rFonts w:hint="eastAsia"/>
          <w:bCs/>
          <w:color w:val="auto"/>
          <w:sz w:val="36"/>
          <w:szCs w:val="36"/>
          <w:highlight w:val="none"/>
          <w:lang w:eastAsia="zh-CN"/>
        </w:rPr>
        <w:t xml:space="preserve">JSZC-320402022-SYZB-C2026-0061</w:t>
      </w:r>
      <w:r/>
    </w:p>
    <w:p>
      <w:pPr>
        <w:ind w:left="2832" w:hanging="1900"/>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采 购 人：</w:t>
      </w:r>
      <w:r>
        <w:rPr>
          <w:rFonts w:hint="eastAsia"/>
          <w:bCs/>
          <w:color w:val="auto"/>
          <w:sz w:val="36"/>
          <w:szCs w:val="36"/>
          <w:highlight w:val="none"/>
          <w:lang w:eastAsia="zh-CN"/>
        </w:rPr>
        <w:t xml:space="preserve">常州市天宁区青龙街道办事处</w:t>
      </w:r>
      <w:r/>
    </w:p>
    <w:p>
      <w:pPr>
        <w:ind w:left="2832" w:hanging="190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江苏尚阳工程管理有限公司</w:t>
      </w:r>
      <w:r/>
    </w:p>
    <w:p>
      <w:pPr>
        <w:jc w:val="center"/>
        <w:spacing w:before="100" w:after="240" w:line="500" w:lineRule="exact"/>
        <w:rPr>
          <w:b/>
          <w:bCs/>
          <w:color w:val="auto"/>
          <w:sz w:val="44"/>
          <w:highlight w:val="none"/>
        </w:rPr>
      </w:pPr>
      <w:r>
        <w:rPr>
          <w:b/>
          <w:bCs/>
          <w:color w:val="auto"/>
          <w:sz w:val="44"/>
          <w:highlight w:val="none"/>
        </w:rPr>
        <w:br w:type="page" w:clear="all"/>
      </w:r>
      <w:bookmarkStart w:id="0" w:name="_Toc104818924"/>
      <w:r/>
      <w:r/>
    </w:p>
    <w:p>
      <w:pPr>
        <w:jc w:val="center"/>
        <w:spacing w:before="100" w:after="100" w:line="500" w:lineRule="exact"/>
        <w:rPr>
          <w:rFonts w:ascii="宋体" w:hAnsi="宋体" w:cs="宋体"/>
          <w:b/>
          <w:color w:val="auto"/>
          <w:sz w:val="44"/>
          <w:szCs w:val="44"/>
          <w:highlight w:val="none"/>
        </w:rPr>
      </w:pPr>
      <w:r>
        <w:rPr>
          <w:rFonts w:hint="eastAsia" w:ascii="宋体" w:hAnsi="宋体" w:cs="宋体"/>
          <w:b/>
          <w:color w:val="auto"/>
          <w:sz w:val="44"/>
          <w:szCs w:val="44"/>
          <w:highlight w:val="none"/>
        </w:rPr>
        <w:t xml:space="preserve">目      录</w:t>
      </w:r>
      <w:bookmarkEnd w:id="0"/>
      <w:r/>
      <w:r/>
    </w:p>
    <w:p>
      <w:pPr>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pStyle w:val="805"/>
        <w:spacing w:line="360" w:lineRule="auto"/>
        <w:tabs>
          <w:tab w:val="clear" w:pos="1050" w:leader="none"/>
          <w:tab w:val="clear" w:pos="8937" w:leader="none"/>
          <w:tab w:val="right" w:pos="9072" w:leader="dot"/>
        </w:tabs>
        <w:rPr>
          <w:rFonts w:cs="宋体"/>
          <w:b w:val="0"/>
          <w:color w:val="auto"/>
          <w:sz w:val="32"/>
          <w:szCs w:val="32"/>
          <w:highlight w:val="none"/>
        </w:rPr>
      </w:pPr>
      <w:r>
        <w:rPr>
          <w:rFonts w:cs="宋体"/>
          <w:b w:val="0"/>
          <w:color w:val="auto"/>
          <w:sz w:val="32"/>
          <w:szCs w:val="32"/>
          <w:highlight w:val="none"/>
        </w:rPr>
      </w:r>
      <w:r/>
    </w:p>
    <w:p>
      <w:pPr>
        <w:pStyle w:val="805"/>
        <w:spacing w:line="360" w:lineRule="auto"/>
        <w:tabs>
          <w:tab w:val="clear" w:pos="1050" w:leader="none"/>
          <w:tab w:val="clear" w:pos="8937" w:leader="none"/>
          <w:tab w:val="right" w:pos="9072" w:leader="dot"/>
        </w:tabs>
        <w:rPr>
          <w:color w:val="auto"/>
          <w:sz w:val="32"/>
          <w:szCs w:val="32"/>
          <w:highlight w:val="none"/>
        </w:rPr>
      </w:pPr>
      <w:r>
        <w:rPr>
          <w:rFonts w:hint="eastAsia" w:cs="宋体"/>
          <w:b w:val="0"/>
          <w:color w:val="auto"/>
          <w:sz w:val="32"/>
          <w:szCs w:val="32"/>
          <w:highlight w:val="none"/>
        </w:rPr>
        <w:fldChar w:fldCharType="begin"/>
      </w:r>
      <w:r>
        <w:rPr>
          <w:rFonts w:hint="eastAsia" w:cs="宋体"/>
          <w:b w:val="0"/>
          <w:color w:val="auto"/>
          <w:sz w:val="32"/>
          <w:szCs w:val="32"/>
          <w:highlight w:val="none"/>
        </w:rPr>
        <w:instrText xml:space="preserve"> TOC \o "1-1" \h \z \u </w:instrText>
      </w:r>
      <w:r>
        <w:rPr>
          <w:rFonts w:hint="eastAsia" w:cs="宋体"/>
          <w:b w:val="0"/>
          <w:color w:val="auto"/>
          <w:sz w:val="32"/>
          <w:szCs w:val="32"/>
          <w:highlight w:val="none"/>
        </w:rPr>
        <w:fldChar w:fldCharType="separate"/>
      </w:r>
      <w:r>
        <w:rPr>
          <w:color w:val="auto"/>
          <w:highlight w:val="none"/>
        </w:rPr>
        <w:fldChar w:fldCharType="begin"/>
      </w:r>
      <w:r>
        <w:rPr>
          <w:color w:val="auto"/>
          <w:highlight w:val="none"/>
        </w:rPr>
        <w:instrText xml:space="preserve"> HYPERLINK \l "_Toc26361" </w:instrText>
      </w:r>
      <w:r>
        <w:rPr>
          <w:color w:val="auto"/>
          <w:highlight w:val="none"/>
        </w:rPr>
        <w:fldChar w:fldCharType="separate"/>
      </w:r>
      <w:r>
        <w:rPr>
          <w:color w:val="auto"/>
          <w:sz w:val="32"/>
          <w:szCs w:val="32"/>
          <w:highlight w:val="none"/>
        </w:rPr>
        <w:t xml:space="preserve">第一章   采购邀请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_Toc26361 \h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color w:val="auto"/>
          <w:sz w:val="32"/>
          <w:szCs w:val="32"/>
          <w:highlight w:val="none"/>
        </w:rPr>
        <w:fldChar w:fldCharType="end"/>
      </w:r>
      <w:r/>
    </w:p>
    <w:p>
      <w:pPr>
        <w:pStyle w:val="805"/>
        <w:spacing w:line="360" w:lineRule="auto"/>
        <w:tabs>
          <w:tab w:val="clear" w:pos="1050" w:leader="none"/>
          <w:tab w:val="clear" w:pos="8937" w:leader="none"/>
          <w:tab w:val="right" w:pos="9072" w:leader="dot"/>
        </w:tabs>
        <w:rPr>
          <w:color w:val="auto"/>
          <w:sz w:val="32"/>
          <w:szCs w:val="32"/>
          <w:highlight w:val="none"/>
        </w:rPr>
      </w:pPr>
      <w:r>
        <w:rPr>
          <w:color w:val="auto"/>
          <w:highlight w:val="none"/>
        </w:rPr>
        <w:fldChar w:fldCharType="begin"/>
      </w:r>
      <w:r>
        <w:rPr>
          <w:color w:val="auto"/>
          <w:highlight w:val="none"/>
        </w:rPr>
        <w:instrText xml:space="preserve"> HYPERLINK \l "_Toc6147" </w:instrText>
      </w:r>
      <w:r>
        <w:rPr>
          <w:color w:val="auto"/>
          <w:highlight w:val="none"/>
        </w:rPr>
        <w:fldChar w:fldCharType="separate"/>
      </w:r>
      <w:r>
        <w:rPr>
          <w:color w:val="auto"/>
          <w:sz w:val="32"/>
          <w:szCs w:val="32"/>
          <w:highlight w:val="none"/>
        </w:rPr>
        <w:t xml:space="preserve">第二章   供应商须知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_Toc6147 \h </w:instrText>
      </w:r>
      <w:r>
        <w:rPr>
          <w:color w:val="auto"/>
          <w:sz w:val="32"/>
          <w:szCs w:val="32"/>
          <w:highlight w:val="none"/>
        </w:rPr>
        <w:fldChar w:fldCharType="separate"/>
      </w:r>
      <w:r>
        <w:rPr>
          <w:color w:val="auto"/>
          <w:sz w:val="32"/>
          <w:szCs w:val="32"/>
          <w:highlight w:val="none"/>
        </w:rPr>
        <w:t xml:space="preserve">6</w:t>
      </w:r>
      <w:r>
        <w:rPr>
          <w:color w:val="auto"/>
          <w:sz w:val="32"/>
          <w:szCs w:val="32"/>
          <w:highlight w:val="none"/>
        </w:rPr>
        <w:fldChar w:fldCharType="end"/>
      </w:r>
      <w:r>
        <w:rPr>
          <w:color w:val="auto"/>
          <w:sz w:val="32"/>
          <w:szCs w:val="32"/>
          <w:highlight w:val="none"/>
        </w:rPr>
        <w:fldChar w:fldCharType="end"/>
      </w:r>
      <w:r/>
    </w:p>
    <w:p>
      <w:pPr>
        <w:pStyle w:val="805"/>
        <w:spacing w:line="360" w:lineRule="auto"/>
        <w:tabs>
          <w:tab w:val="clear" w:pos="1050" w:leader="none"/>
          <w:tab w:val="clear" w:pos="8937" w:leader="none"/>
          <w:tab w:val="right" w:pos="9072" w:leader="dot"/>
        </w:tabs>
        <w:rPr>
          <w:color w:val="auto"/>
          <w:sz w:val="32"/>
          <w:szCs w:val="32"/>
          <w:highlight w:val="none"/>
        </w:rPr>
      </w:pPr>
      <w:r>
        <w:rPr>
          <w:color w:val="auto"/>
          <w:highlight w:val="none"/>
        </w:rPr>
        <w:fldChar w:fldCharType="begin"/>
      </w:r>
      <w:r>
        <w:rPr>
          <w:color w:val="auto"/>
          <w:highlight w:val="none"/>
        </w:rPr>
        <w:instrText xml:space="preserve"> HYPERLINK \l "_Toc8164" </w:instrText>
      </w:r>
      <w:r>
        <w:rPr>
          <w:color w:val="auto"/>
          <w:highlight w:val="none"/>
        </w:rPr>
        <w:fldChar w:fldCharType="separate"/>
      </w:r>
      <w:r>
        <w:rPr>
          <w:color w:val="auto"/>
          <w:sz w:val="32"/>
          <w:szCs w:val="32"/>
          <w:highlight w:val="none"/>
        </w:rPr>
        <w:t xml:space="preserve">第三章   评审</w:t>
      </w:r>
      <w:r>
        <w:rPr>
          <w:rFonts w:hint="eastAsia"/>
          <w:color w:val="auto"/>
          <w:sz w:val="32"/>
          <w:szCs w:val="32"/>
          <w:highlight w:val="none"/>
        </w:rPr>
        <w:t xml:space="preserve">程序、评审</w:t>
      </w:r>
      <w:r>
        <w:rPr>
          <w:color w:val="auto"/>
          <w:sz w:val="32"/>
          <w:szCs w:val="32"/>
          <w:highlight w:val="none"/>
        </w:rPr>
        <w:t xml:space="preserve">方法和评审标准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_Toc8164 \h </w:instrText>
      </w:r>
      <w:r>
        <w:rPr>
          <w:color w:val="auto"/>
          <w:sz w:val="32"/>
          <w:szCs w:val="32"/>
          <w:highlight w:val="none"/>
        </w:rPr>
        <w:fldChar w:fldCharType="separate"/>
      </w:r>
      <w:r>
        <w:rPr>
          <w:color w:val="auto"/>
          <w:sz w:val="32"/>
          <w:szCs w:val="32"/>
          <w:highlight w:val="none"/>
        </w:rPr>
        <w:t xml:space="preserve">20</w:t>
      </w:r>
      <w:r>
        <w:rPr>
          <w:color w:val="auto"/>
          <w:sz w:val="32"/>
          <w:szCs w:val="32"/>
          <w:highlight w:val="none"/>
        </w:rPr>
        <w:fldChar w:fldCharType="end"/>
      </w:r>
      <w:r>
        <w:rPr>
          <w:color w:val="auto"/>
          <w:sz w:val="32"/>
          <w:szCs w:val="32"/>
          <w:highlight w:val="none"/>
        </w:rPr>
        <w:fldChar w:fldCharType="end"/>
      </w:r>
      <w:r/>
    </w:p>
    <w:p>
      <w:pPr>
        <w:pStyle w:val="805"/>
        <w:spacing w:line="360" w:lineRule="auto"/>
        <w:tabs>
          <w:tab w:val="clear" w:pos="1050" w:leader="none"/>
          <w:tab w:val="clear" w:pos="8937" w:leader="none"/>
          <w:tab w:val="right" w:pos="9072" w:leader="dot"/>
        </w:tabs>
        <w:rPr>
          <w:color w:val="auto"/>
          <w:sz w:val="32"/>
          <w:szCs w:val="32"/>
          <w:highlight w:val="none"/>
        </w:rPr>
      </w:pPr>
      <w:r>
        <w:rPr>
          <w:color w:val="auto"/>
          <w:highlight w:val="none"/>
        </w:rPr>
        <w:fldChar w:fldCharType="begin"/>
      </w:r>
      <w:r>
        <w:rPr>
          <w:color w:val="auto"/>
          <w:highlight w:val="none"/>
        </w:rPr>
        <w:instrText xml:space="preserve"> HYPERLINK \l "_Toc10818" </w:instrText>
      </w:r>
      <w:r>
        <w:rPr>
          <w:color w:val="auto"/>
          <w:highlight w:val="none"/>
        </w:rPr>
        <w:fldChar w:fldCharType="separate"/>
      </w:r>
      <w:r>
        <w:rPr>
          <w:color w:val="auto"/>
          <w:sz w:val="32"/>
          <w:szCs w:val="32"/>
          <w:highlight w:val="none"/>
        </w:rPr>
        <w:t xml:space="preserve">第四章   采购需求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_Toc10818 \h </w:instrText>
      </w:r>
      <w:r>
        <w:rPr>
          <w:color w:val="auto"/>
          <w:sz w:val="32"/>
          <w:szCs w:val="32"/>
          <w:highlight w:val="none"/>
        </w:rPr>
        <w:fldChar w:fldCharType="separate"/>
      </w:r>
      <w:r>
        <w:rPr>
          <w:color w:val="auto"/>
          <w:sz w:val="32"/>
          <w:szCs w:val="32"/>
          <w:highlight w:val="none"/>
        </w:rPr>
        <w:t xml:space="preserve">28</w:t>
      </w:r>
      <w:r>
        <w:rPr>
          <w:color w:val="auto"/>
          <w:sz w:val="32"/>
          <w:szCs w:val="32"/>
          <w:highlight w:val="none"/>
        </w:rPr>
        <w:fldChar w:fldCharType="end"/>
      </w:r>
      <w:r>
        <w:rPr>
          <w:color w:val="auto"/>
          <w:sz w:val="32"/>
          <w:szCs w:val="32"/>
          <w:highlight w:val="none"/>
        </w:rPr>
        <w:fldChar w:fldCharType="end"/>
      </w:r>
      <w:r/>
    </w:p>
    <w:p>
      <w:pPr>
        <w:pStyle w:val="805"/>
        <w:spacing w:line="360" w:lineRule="auto"/>
        <w:tabs>
          <w:tab w:val="clear" w:pos="1050" w:leader="none"/>
          <w:tab w:val="clear" w:pos="8937" w:leader="none"/>
          <w:tab w:val="right" w:pos="9072" w:leader="dot"/>
        </w:tabs>
        <w:rPr>
          <w:color w:val="auto"/>
          <w:sz w:val="32"/>
          <w:szCs w:val="32"/>
          <w:highlight w:val="none"/>
        </w:rPr>
      </w:pPr>
      <w:r>
        <w:rPr>
          <w:color w:val="auto"/>
          <w:highlight w:val="none"/>
        </w:rPr>
        <w:fldChar w:fldCharType="begin"/>
      </w:r>
      <w:r>
        <w:rPr>
          <w:color w:val="auto"/>
          <w:highlight w:val="none"/>
        </w:rPr>
        <w:instrText xml:space="preserve"> HYPERLINK \l "_Toc17556" </w:instrText>
      </w:r>
      <w:r>
        <w:rPr>
          <w:color w:val="auto"/>
          <w:highlight w:val="none"/>
        </w:rPr>
        <w:fldChar w:fldCharType="separate"/>
      </w:r>
      <w:r>
        <w:rPr>
          <w:color w:val="auto"/>
          <w:sz w:val="32"/>
          <w:szCs w:val="32"/>
          <w:highlight w:val="none"/>
        </w:rPr>
        <w:t xml:space="preserve">第五章   合同草案条款</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_Toc17556 \h </w:instrText>
      </w:r>
      <w:r>
        <w:rPr>
          <w:color w:val="auto"/>
          <w:sz w:val="32"/>
          <w:szCs w:val="32"/>
          <w:highlight w:val="none"/>
        </w:rPr>
        <w:fldChar w:fldCharType="separate"/>
      </w:r>
      <w:r>
        <w:rPr>
          <w:color w:val="auto"/>
          <w:sz w:val="32"/>
          <w:szCs w:val="32"/>
          <w:highlight w:val="none"/>
        </w:rPr>
        <w:t xml:space="preserve">32</w:t>
      </w:r>
      <w:r>
        <w:rPr>
          <w:color w:val="auto"/>
          <w:sz w:val="32"/>
          <w:szCs w:val="32"/>
          <w:highlight w:val="none"/>
        </w:rPr>
        <w:fldChar w:fldCharType="end"/>
      </w:r>
      <w:r>
        <w:rPr>
          <w:color w:val="auto"/>
          <w:sz w:val="32"/>
          <w:szCs w:val="32"/>
          <w:highlight w:val="none"/>
        </w:rPr>
        <w:fldChar w:fldCharType="end"/>
      </w:r>
      <w:r/>
    </w:p>
    <w:p>
      <w:pPr>
        <w:pStyle w:val="805"/>
        <w:spacing w:line="360" w:lineRule="auto"/>
        <w:tabs>
          <w:tab w:val="clear" w:pos="1050" w:leader="none"/>
          <w:tab w:val="clear" w:pos="8937" w:leader="none"/>
          <w:tab w:val="right" w:pos="9072" w:leader="dot"/>
        </w:tabs>
        <w:rPr>
          <w:color w:val="auto"/>
          <w:sz w:val="32"/>
          <w:szCs w:val="32"/>
          <w:highlight w:val="none"/>
        </w:rPr>
      </w:pPr>
      <w:r>
        <w:rPr>
          <w:color w:val="auto"/>
          <w:highlight w:val="none"/>
        </w:rPr>
        <w:fldChar w:fldCharType="begin"/>
      </w:r>
      <w:r>
        <w:rPr>
          <w:color w:val="auto"/>
          <w:highlight w:val="none"/>
        </w:rPr>
        <w:instrText xml:space="preserve"> HYPERLINK \l "_Toc11016" </w:instrText>
      </w:r>
      <w:r>
        <w:rPr>
          <w:color w:val="auto"/>
          <w:highlight w:val="none"/>
        </w:rPr>
        <w:fldChar w:fldCharType="separate"/>
      </w:r>
      <w:r>
        <w:rPr>
          <w:color w:val="auto"/>
          <w:sz w:val="32"/>
          <w:szCs w:val="32"/>
          <w:highlight w:val="none"/>
        </w:rPr>
        <w:t xml:space="preserve">第六章   响应文件格式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_Toc11016 \h </w:instrText>
      </w:r>
      <w:r>
        <w:rPr>
          <w:color w:val="auto"/>
          <w:sz w:val="32"/>
          <w:szCs w:val="32"/>
          <w:highlight w:val="none"/>
        </w:rPr>
        <w:fldChar w:fldCharType="separate"/>
      </w:r>
      <w:r>
        <w:rPr>
          <w:color w:val="auto"/>
          <w:sz w:val="32"/>
          <w:szCs w:val="32"/>
          <w:highlight w:val="none"/>
        </w:rPr>
        <w:t xml:space="preserve">53</w:t>
      </w:r>
      <w:r>
        <w:rPr>
          <w:color w:val="auto"/>
          <w:sz w:val="32"/>
          <w:szCs w:val="32"/>
          <w:highlight w:val="none"/>
        </w:rPr>
        <w:fldChar w:fldCharType="end"/>
      </w:r>
      <w:r>
        <w:rPr>
          <w:color w:val="auto"/>
          <w:sz w:val="32"/>
          <w:szCs w:val="32"/>
          <w:highlight w:val="none"/>
        </w:rPr>
        <w:fldChar w:fldCharType="end"/>
      </w:r>
      <w:r/>
    </w:p>
    <w:p>
      <w:pPr>
        <w:pStyle w:val="805"/>
        <w:spacing w:line="360" w:lineRule="auto"/>
        <w:rPr>
          <w:rFonts w:cs="宋体"/>
          <w:b w:val="0"/>
          <w:color w:val="auto"/>
          <w:sz w:val="32"/>
          <w:szCs w:val="32"/>
          <w:highlight w:val="none"/>
        </w:rPr>
      </w:pPr>
      <w:r>
        <w:rPr>
          <w:rFonts w:hint="eastAsia" w:cs="宋体"/>
          <w:color w:val="auto"/>
          <w:sz w:val="32"/>
          <w:szCs w:val="32"/>
          <w:highlight w:val="none"/>
        </w:rPr>
        <w:fldChar w:fldCharType="end"/>
      </w:r>
      <w:r/>
    </w:p>
    <w:p>
      <w:pPr>
        <w:pStyle w:val="805"/>
        <w:spacing w:line="360" w:lineRule="auto"/>
        <w:rPr>
          <w:rFonts w:cs="宋体"/>
          <w:b w:val="0"/>
          <w:color w:val="auto"/>
          <w:sz w:val="32"/>
          <w:szCs w:val="32"/>
          <w:highlight w:val="none"/>
        </w:rPr>
      </w:pPr>
      <w:r>
        <w:rPr>
          <w:rFonts w:cs="宋体"/>
          <w:b w:val="0"/>
          <w:color w:val="auto"/>
          <w:sz w:val="32"/>
          <w:szCs w:val="32"/>
          <w:highlight w:val="none"/>
        </w:rPr>
      </w:r>
      <w:r/>
    </w:p>
    <w:p>
      <w:pPr>
        <w:jc w:val="center"/>
        <w:spacing w:line="360" w:lineRule="auto"/>
        <w:rPr>
          <w:rFonts w:ascii="宋体" w:hAnsi="宋体" w:cs="宋体"/>
          <w:b/>
          <w:color w:val="auto"/>
          <w:sz w:val="32"/>
          <w:szCs w:val="32"/>
          <w:highlight w:val="none"/>
        </w:rPr>
        <w:sectPr>
          <w:headerReference w:type="default" r:id="rId9"/>
          <w:headerReference w:type="first" r:id="rId10"/>
          <w:footerReference w:type="default" r:id="rId13"/>
          <w:footerReference w:type="even" r:id="rId14"/>
          <w:footerReference w:type="first" r:id="rId15"/>
          <w:footnotePr/>
          <w:endnotePr/>
          <w:type w:val="nextPage"/>
          <w:pgSz w:w="11907" w:h="16840" w:orient="portrait"/>
          <w:pgMar w:top="1418" w:right="1134" w:bottom="1418" w:left="1701" w:header="851" w:footer="851" w:gutter="0"/>
          <w:pgNumType w:start="1"/>
          <w:cols w:num="1" w:sep="0" w:space="720" w:equalWidth="1"/>
          <w:docGrid w:linePitch="360"/>
          <w:titlePg/>
        </w:sectPr>
        <w:outlineLvl w:val="0"/>
      </w:pPr>
      <w:r>
        <w:rPr>
          <w:rFonts w:ascii="宋体" w:hAnsi="宋体" w:cs="宋体"/>
          <w:b/>
          <w:color w:val="auto"/>
          <w:sz w:val="32"/>
          <w:szCs w:val="32"/>
          <w:highlight w:val="none"/>
        </w:rPr>
      </w:r>
      <w:r/>
    </w:p>
    <w:p>
      <w:pPr>
        <w:jc w:val="center"/>
        <w:spacing w:line="360" w:lineRule="auto"/>
        <w:rPr>
          <w:b/>
          <w:color w:val="auto"/>
          <w:sz w:val="36"/>
          <w:szCs w:val="36"/>
          <w:highlight w:val="none"/>
        </w:rPr>
        <w:outlineLvl w:val="0"/>
      </w:pPr>
      <w:r/>
      <w:bookmarkStart w:id="1" w:name="_Toc26361"/>
      <w:r>
        <w:rPr>
          <w:b/>
          <w:color w:val="auto"/>
          <w:sz w:val="36"/>
          <w:szCs w:val="36"/>
          <w:highlight w:val="none"/>
        </w:rPr>
        <w:t xml:space="preserve">第一章   采购邀请</w:t>
      </w:r>
      <w:bookmarkEnd w:id="1"/>
      <w:r/>
      <w:bookmarkStart w:id="2" w:name="_Toc35393621"/>
      <w:r/>
      <w:bookmarkStart w:id="3" w:name="_Toc35393790"/>
      <w:r/>
      <w:bookmarkStart w:id="4" w:name="_Toc28359079"/>
      <w:r/>
      <w:bookmarkStart w:id="5" w:name="_Toc28359002"/>
      <w:r/>
      <w:bookmarkStart w:id="6" w:name="_Hlk24379207"/>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1.项目编号：</w:t>
      </w:r>
      <w:r>
        <w:rPr>
          <w:rFonts w:hint="eastAsia" w:ascii="宋体" w:hAnsi="宋体" w:cs="宋体"/>
          <w:color w:val="auto"/>
          <w:sz w:val="24"/>
          <w:highlight w:val="none"/>
          <w:lang w:eastAsia="zh-CN"/>
        </w:rPr>
        <w:t xml:space="preserve">JSZC-320402022-SYZB-C2026-0061</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永武河（青龙西路-薛家浜桥）河道整治工程</w:t>
      </w:r>
      <w:r>
        <w:rPr>
          <w:rFonts w:hint="eastAsia" w:ascii="宋体" w:hAnsi="宋体" w:cs="宋体"/>
          <w:color w:val="auto"/>
          <w:sz w:val="24"/>
          <w:highlight w:val="none"/>
          <w:u w:val="single"/>
        </w:rPr>
        <w:t xml:space="preserve">（政府采购工程）（面向中小企业）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3.采购方式：竞争性磋商</w:t>
      </w:r>
      <w:bookmarkEnd w:id="6"/>
      <w:r/>
    </w:p>
    <w:p>
      <w:pPr>
        <w:ind w:firstLine="480"/>
        <w:spacing w:line="360" w:lineRule="auto"/>
        <w:rPr>
          <w:rFonts w:hint="eastAsia" w:ascii="宋体" w:hAnsi="宋体" w:cs="宋体"/>
          <w:b w:val="0"/>
          <w:bCs w:val="0"/>
          <w:color w:val="auto"/>
          <w:sz w:val="24"/>
          <w:highlight w:val="none"/>
          <w:u w:val="single"/>
        </w:rPr>
      </w:pPr>
      <w:r>
        <w:rPr>
          <w:rFonts w:hint="eastAsia" w:ascii="宋体" w:hAnsi="宋体" w:cs="宋体"/>
          <w:b w:val="0"/>
          <w:bCs w:val="0"/>
          <w:color w:val="auto"/>
          <w:sz w:val="24"/>
          <w:highlight w:val="none"/>
        </w:rPr>
        <w:t xml:space="preserve">4.项目预算金额：</w:t>
      </w:r>
      <w:r>
        <w:rPr>
          <w:rFonts w:hint="eastAsia" w:ascii="宋体" w:hAnsi="宋体" w:cs="宋体"/>
          <w:b w:val="0"/>
          <w:bCs w:val="0"/>
          <w:color w:val="auto"/>
          <w:sz w:val="24"/>
          <w:highlight w:val="none"/>
          <w:u w:val="single"/>
          <w:lang w:val="en-US" w:eastAsia="zh-CN"/>
        </w:rPr>
        <w:t xml:space="preserve"> 330 </w:t>
      </w:r>
      <w:r>
        <w:rPr>
          <w:rFonts w:hint="eastAsia" w:ascii="宋体" w:hAnsi="宋体" w:cs="宋体"/>
          <w:b w:val="0"/>
          <w:bCs w:val="0"/>
          <w:color w:val="auto"/>
          <w:sz w:val="24"/>
          <w:highlight w:val="none"/>
          <w:u w:val="none"/>
          <w:lang w:val="en-US" w:eastAsia="zh-CN"/>
        </w:rPr>
        <w:t xml:space="preserve">万元</w:t>
      </w:r>
      <w:r>
        <w:rPr>
          <w:rFonts w:hint="eastAsia" w:ascii="宋体" w:hAnsi="宋体" w:cs="宋体"/>
          <w:b w:val="0"/>
          <w:bCs w:val="0"/>
          <w:color w:val="auto"/>
          <w:sz w:val="24"/>
          <w:highlight w:val="none"/>
        </w:rPr>
        <w:t xml:space="preserve">、项目最高限价：</w:t>
      </w:r>
      <w:r>
        <w:rPr>
          <w:rFonts w:hint="eastAsia" w:ascii="宋体" w:hAnsi="宋体" w:cs="宋体"/>
          <w:b w:val="0"/>
          <w:bCs w:val="0"/>
          <w:color w:val="auto"/>
          <w:sz w:val="24"/>
          <w:highlight w:val="none"/>
          <w:u w:val="single"/>
          <w:lang w:val="en-US" w:eastAsia="zh-CN"/>
        </w:rPr>
        <w:t xml:space="preserve"> 2853314.62 </w:t>
      </w:r>
      <w:r>
        <w:rPr>
          <w:rFonts w:hint="eastAsia" w:ascii="宋体" w:hAnsi="宋体" w:cs="宋体"/>
          <w:b w:val="0"/>
          <w:bCs w:val="0"/>
          <w:color w:val="auto"/>
          <w:sz w:val="24"/>
          <w:highlight w:val="none"/>
          <w:u w:val="none"/>
        </w:rPr>
        <w:t xml:space="preserve">元</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5.采购需求：</w:t>
      </w:r>
      <w:r/>
    </w:p>
    <w:tbl>
      <w:tblPr>
        <w:tblStyle w:val="7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6"/>
        <w:gridCol w:w="1649"/>
        <w:gridCol w:w="670"/>
        <w:gridCol w:w="5523"/>
      </w:tblGrid>
      <w:tr>
        <w:trPr>
          <w:trHeight w:val="454"/>
        </w:trPr>
        <w:tc>
          <w:tcPr>
            <w:tcW w:w="1446"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标的名称</w:t>
            </w:r>
            <w:r/>
          </w:p>
        </w:tc>
        <w:tc>
          <w:tcPr>
            <w:tcW w:w="1649"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采购预算金额（</w:t>
            </w:r>
            <w:r>
              <w:rPr>
                <w:rFonts w:hint="eastAsia" w:ascii="宋体" w:hAnsi="宋体" w:cs="宋体"/>
                <w:color w:val="auto"/>
                <w:sz w:val="24"/>
                <w:highlight w:val="none"/>
              </w:rPr>
              <w:t xml:space="preserve">万</w:t>
            </w:r>
            <w:r>
              <w:rPr>
                <w:rFonts w:hint="eastAsia" w:ascii="宋体" w:hAnsi="宋体" w:cs="宋体"/>
                <w:bCs/>
                <w:color w:val="auto"/>
                <w:sz w:val="24"/>
                <w:highlight w:val="none"/>
              </w:rPr>
              <w:t xml:space="preserve">元）</w:t>
            </w:r>
            <w:r/>
          </w:p>
        </w:tc>
        <w:tc>
          <w:tcPr>
            <w:tcW w:w="670"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数量</w:t>
            </w:r>
            <w:r/>
          </w:p>
        </w:tc>
        <w:tc>
          <w:tcPr>
            <w:tcW w:w="55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简要技术需求或服务要求</w:t>
            </w:r>
            <w:r/>
          </w:p>
        </w:tc>
      </w:tr>
      <w:tr>
        <w:trPr>
          <w:trHeight w:val="90"/>
        </w:trPr>
        <w:tc>
          <w:tcPr>
            <w:tcW w:w="1446" w:type="dxa"/>
            <w:vAlign w:val="center"/>
            <w:textDirection w:val="lrTb"/>
            <w:noWrap w:val="false"/>
          </w:tcPr>
          <w:p>
            <w:pPr>
              <w:jc w:val="center"/>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eastAsia="zh-CN"/>
              </w:rPr>
              <w:t xml:space="preserve">永武河（青龙西路-薛家浜桥）河道整治工程</w:t>
            </w:r>
            <w:r/>
          </w:p>
        </w:tc>
        <w:tc>
          <w:tcPr>
            <w:tcW w:w="1649" w:type="dxa"/>
            <w:vAlign w:val="center"/>
            <w:textDirection w:val="lrTb"/>
            <w:noWrap w:val="false"/>
          </w:tcPr>
          <w:p>
            <w:pPr>
              <w:jc w:val="center"/>
              <w:rPr>
                <w:rFonts w:hint="default" w:ascii="宋体" w:hAnsi="宋体" w:cs="宋体"/>
                <w:bCs/>
                <w:color w:val="auto"/>
                <w:sz w:val="24"/>
                <w:highlight w:val="none"/>
                <w:lang w:val="en-US"/>
              </w:rPr>
            </w:pPr>
            <w:r>
              <w:rPr>
                <w:rFonts w:hint="eastAsia" w:ascii="宋体" w:hAnsi="宋体" w:cs="宋体"/>
                <w:bCs/>
                <w:color w:val="auto"/>
                <w:sz w:val="24"/>
                <w:highlight w:val="none"/>
                <w:lang w:val="en-US" w:eastAsia="zh-CN"/>
              </w:rPr>
              <w:t xml:space="preserve">330</w:t>
            </w:r>
            <w:r/>
          </w:p>
        </w:tc>
        <w:tc>
          <w:tcPr>
            <w:tcW w:w="670" w:type="dxa"/>
            <w:vAlign w:val="center"/>
            <w:textDirection w:val="lrTb"/>
            <w:noWrap w:val="false"/>
          </w:tcPr>
          <w:p>
            <w:pPr>
              <w:jc w:val="center"/>
              <w:rPr>
                <w:rFonts w:ascii="宋体" w:hAnsi="宋体" w:cs="宋体"/>
                <w:bCs/>
                <w:color w:val="auto"/>
                <w:sz w:val="24"/>
                <w:highlight w:val="none"/>
              </w:rPr>
            </w:pPr>
            <w:r>
              <w:rPr>
                <w:rFonts w:hint="eastAsia" w:ascii="宋体" w:hAnsi="宋体" w:cs="宋体"/>
                <w:bCs/>
                <w:color w:val="auto"/>
                <w:sz w:val="24"/>
                <w:highlight w:val="none"/>
              </w:rPr>
              <w:t xml:space="preserve">1</w:t>
            </w:r>
            <w:r/>
          </w:p>
        </w:tc>
        <w:tc>
          <w:tcPr>
            <w:tcW w:w="5523" w:type="dxa"/>
            <w:vAlign w:val="center"/>
            <w:textDirection w:val="lrTb"/>
            <w:noWrap w:val="false"/>
          </w:tcPr>
          <w:p>
            <w:pPr>
              <w:jc w:val="left"/>
              <w:rPr>
                <w:rFonts w:ascii="宋体" w:hAnsi="宋体" w:cs="宋体"/>
                <w:color w:val="auto"/>
                <w:sz w:val="24"/>
                <w:highlight w:val="none"/>
              </w:rPr>
            </w:pPr>
            <w:r>
              <w:rPr>
                <w:rFonts w:hint="eastAsia" w:ascii="宋体" w:hAnsi="宋体" w:cs="宋体"/>
                <w:bCs/>
                <w:color w:val="auto"/>
                <w:sz w:val="24"/>
                <w:highlight w:val="none"/>
              </w:rPr>
              <w:t xml:space="preserve">包括但不限于竞争性磋商文件及其基本技术要求范围内相应工程开工前的准备（包括现场踏勘、技术核对等）、技术资料、施工、技术服务、主管单位验收、质保期及维保服务和竞争性磋商文件所要求的相关工程等全部内容。</w:t>
            </w:r>
            <w:r/>
          </w:p>
        </w:tc>
      </w:tr>
    </w:tbl>
    <w:p>
      <w:pPr>
        <w:ind w:firstLine="482"/>
        <w:spacing w:before="120" w:line="360" w:lineRule="auto"/>
        <w:rPr>
          <w:rFonts w:ascii="宋体" w:hAnsi="宋体" w:cs="宋体"/>
          <w:b/>
          <w:bCs/>
          <w:color w:val="auto"/>
          <w:sz w:val="24"/>
          <w:highlight w:val="none"/>
          <w:u w:val="single"/>
        </w:rPr>
      </w:pPr>
      <w:r>
        <w:rPr>
          <w:rFonts w:hint="eastAsia" w:ascii="宋体" w:hAnsi="宋体" w:cs="宋体"/>
          <w:b/>
          <w:bCs/>
          <w:color w:val="auto"/>
          <w:sz w:val="24"/>
          <w:highlight w:val="none"/>
        </w:rPr>
        <w:t xml:space="preserve">6.合同履行期限：</w:t>
      </w:r>
      <w:r>
        <w:rPr>
          <w:rFonts w:hint="eastAsia" w:ascii="宋体" w:hAnsi="宋体" w:cs="宋体"/>
          <w:b/>
          <w:bCs/>
          <w:color w:val="auto"/>
          <w:sz w:val="24"/>
          <w:highlight w:val="none"/>
          <w:u w:val="single"/>
          <w:lang w:val="en-US" w:eastAsia="zh-CN"/>
        </w:rPr>
        <w:t xml:space="preserve">自采购人发出开工令之日起90日历天</w:t>
      </w:r>
      <w:r>
        <w:rPr>
          <w:rFonts w:hint="eastAsia" w:ascii="宋体" w:hAnsi="宋体" w:cs="宋体"/>
          <w:b/>
          <w:bCs/>
          <w:color w:val="auto"/>
          <w:sz w:val="24"/>
          <w:highlight w:val="none"/>
          <w:u w:val="singl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7.本项目是否接受联合体：□是  ■否。</w:t>
      </w:r>
      <w:r/>
    </w:p>
    <w:p>
      <w:pPr>
        <w:spacing w:line="360" w:lineRule="auto"/>
        <w:rPr>
          <w:rFonts w:ascii="宋体" w:hAnsi="宋体"/>
          <w:b/>
          <w:bCs/>
          <w:color w:val="auto"/>
          <w:sz w:val="24"/>
          <w:highlight w:val="none"/>
        </w:rPr>
      </w:pPr>
      <w:r/>
      <w:bookmarkStart w:id="7" w:name="_Toc28359080"/>
      <w:r/>
      <w:bookmarkStart w:id="8" w:name="_Toc28359003"/>
      <w:r/>
      <w:bookmarkStart w:id="9" w:name="_Toc35393791"/>
      <w:r/>
      <w:bookmarkStart w:id="10" w:name="_Toc35393622"/>
      <w:r>
        <w:rPr>
          <w:rFonts w:hint="eastAsia" w:ascii="宋体" w:hAnsi="宋体"/>
          <w:b/>
          <w:bCs/>
          <w:color w:val="auto"/>
          <w:sz w:val="24"/>
          <w:highlight w:val="none"/>
        </w:rPr>
        <w:t xml:space="preserve">二、申请人的资格要求（须同时满足）</w:t>
      </w:r>
      <w:bookmarkEnd w:id="7"/>
      <w:r/>
      <w:bookmarkEnd w:id="8"/>
      <w:r/>
      <w:bookmarkEnd w:id="9"/>
      <w:r/>
      <w:bookmarkEnd w:id="10"/>
      <w:r/>
      <w:r/>
    </w:p>
    <w:p>
      <w:pPr>
        <w:ind w:firstLine="480"/>
        <w:spacing w:line="360" w:lineRule="auto"/>
        <w:rPr>
          <w:rFonts w:ascii="宋体" w:hAnsi="宋体" w:cs="宋体"/>
          <w:color w:val="auto"/>
          <w:sz w:val="24"/>
          <w:highlight w:val="none"/>
        </w:rPr>
      </w:pPr>
      <w:r/>
      <w:bookmarkStart w:id="11" w:name="_Toc28359004"/>
      <w:r/>
      <w:bookmarkStart w:id="12" w:name="_Toc28359081"/>
      <w:r>
        <w:rPr>
          <w:rFonts w:hint="eastAsia" w:ascii="宋体" w:hAnsi="宋体" w:cs="宋体"/>
          <w:color w:val="auto"/>
          <w:sz w:val="24"/>
          <w:highlight w:val="none"/>
        </w:rPr>
        <w:t xml:space="preserve">1.满足《中华人民共和国政府采购法》第二十二条规定以及下列情形：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 中小企业政策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□本项目不专门面向中小企业预留采购份额。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■本项目专门面向  ■中小 □小微企业  采购。即：提供的工程全部由中小企业承接（提供《中小企业声明函》）。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spacing w:line="360" w:lineRule="auto"/>
        <w:rPr>
          <w:rFonts w:ascii="宋体" w:hAnsi="宋体" w:cs="宋体"/>
          <w:i/>
          <w:iCs/>
          <w:color w:val="auto"/>
          <w:sz w:val="24"/>
          <w:highlight w:val="none"/>
          <w:u w:val="single"/>
        </w:rPr>
      </w:pPr>
      <w:r>
        <w:rPr>
          <w:rFonts w:hint="eastAsia" w:ascii="宋体" w:hAnsi="宋体" w:cs="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3.1本项目是否接受分支机构参与响应：□是   ■否；</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ascii="宋体" w:hAnsi="宋体" w:cs="宋体"/>
          <w:color w:val="auto"/>
          <w:sz w:val="24"/>
          <w:highlight w:val="none"/>
        </w:rPr>
      </w:pPr>
      <w:r>
        <w:rPr>
          <w:rFonts w:hint="eastAsia" w:ascii="宋体" w:hAnsi="宋体" w:cs="宋体"/>
          <w:color w:val="auto"/>
          <w:sz w:val="24"/>
          <w:highlight w:val="none"/>
        </w:rPr>
        <w:t xml:space="preserve">3.3其他特定资格要求：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3.3.1供应商：</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（1）具备有效的环保工程专业承包三级及以上资质；具备安全生产条件，并取得有效的安全生产许可证；</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3.3.2项目负责人：</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（1）具备市政公用工程二级及以上注册建造师；</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（2）注册建造师不得同时在两个或者两个以上单位受聘或者执业；</w:t>
      </w:r>
      <w:r/>
    </w:p>
    <w:p>
      <w:pPr>
        <w:ind w:firstLine="480"/>
        <w:spacing w:line="360" w:lineRule="auto"/>
        <w:tabs>
          <w:tab w:val="left" w:pos="900" w:leader="none"/>
          <w:tab w:val="left" w:pos="1134" w:leader="none"/>
          <w:tab w:val="left" w:pos="1589" w:leader="none"/>
          <w:tab w:val="left" w:pos="5521"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（3）注册建造师具有有效的建设行政主管部门核发的安全生产考核合格证（B证）；</w:t>
      </w:r>
      <w:r/>
    </w:p>
    <w:p>
      <w:pPr>
        <w:ind w:firstLine="480"/>
        <w:spacing w:line="360" w:lineRule="auto"/>
        <w:tabs>
          <w:tab w:val="left" w:pos="900" w:leader="none"/>
          <w:tab w:val="left" w:pos="1134" w:leader="none"/>
          <w:tab w:val="left" w:pos="1589" w:leader="none"/>
          <w:tab w:val="left" w:pos="5521" w:leader="none"/>
        </w:tabs>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（4）具有社保机构出具的供应商为项目负责人缴纳社会基本养老保险的2026年</w:t>
      </w:r>
      <w:r>
        <w:rPr>
          <w:rFonts w:hint="eastAsia" w:ascii="宋体" w:hAnsi="宋体" w:cs="宋体"/>
          <w:b w:val="0"/>
          <w:bCs w:val="0"/>
          <w:color w:val="auto"/>
          <w:sz w:val="24"/>
          <w:highlight w:val="none"/>
          <w:lang w:val="en-US" w:eastAsia="zh-CN"/>
        </w:rPr>
        <w:t xml:space="preserve">6</w:t>
      </w:r>
      <w:r>
        <w:rPr>
          <w:rFonts w:hint="eastAsia" w:ascii="宋体" w:hAnsi="宋体" w:cs="宋体"/>
          <w:b w:val="0"/>
          <w:bCs w:val="0"/>
          <w:color w:val="auto"/>
          <w:sz w:val="24"/>
          <w:highlight w:val="none"/>
        </w:rPr>
        <w:t xml:space="preserve">月至2026年</w:t>
      </w:r>
      <w:r>
        <w:rPr>
          <w:rFonts w:hint="eastAsia" w:ascii="宋体" w:hAnsi="宋体" w:cs="宋体"/>
          <w:b w:val="0"/>
          <w:bCs w:val="0"/>
          <w:color w:val="auto"/>
          <w:sz w:val="24"/>
          <w:highlight w:val="none"/>
          <w:lang w:val="en-US" w:eastAsia="zh-CN"/>
        </w:rPr>
        <w:t xml:space="preserve">8</w:t>
      </w:r>
      <w:r>
        <w:rPr>
          <w:rFonts w:hint="eastAsia" w:ascii="宋体" w:hAnsi="宋体" w:cs="宋体"/>
          <w:b w:val="0"/>
          <w:bCs w:val="0"/>
          <w:color w:val="auto"/>
          <w:sz w:val="24"/>
          <w:highlight w:val="none"/>
        </w:rPr>
        <w:t xml:space="preserve">月中任意一个月的缴纳凭证。</w:t>
      </w:r>
      <w:bookmarkEnd w:id="11"/>
      <w:bookmarkEnd w:id="12"/>
      <w:r/>
    </w:p>
    <w:p>
      <w:pPr>
        <w:spacing w:line="360" w:lineRule="auto"/>
        <w:rPr>
          <w:rFonts w:ascii="宋体" w:hAnsi="宋体"/>
          <w:b/>
          <w:bCs/>
          <w:color w:val="auto"/>
          <w:sz w:val="24"/>
          <w:highlight w:val="none"/>
        </w:rPr>
      </w:pPr>
      <w:r/>
      <w:bookmarkStart w:id="13" w:name="_Toc35393623"/>
      <w:r/>
      <w:bookmarkStart w:id="14" w:name="_Toc35393792"/>
      <w:r>
        <w:rPr>
          <w:rFonts w:hint="eastAsia" w:ascii="宋体" w:hAnsi="宋体"/>
          <w:b/>
          <w:bCs/>
          <w:color w:val="auto"/>
          <w:sz w:val="24"/>
          <w:highlight w:val="none"/>
        </w:rPr>
        <w:t xml:space="preserve">三、获取采购文件</w:t>
      </w:r>
      <w:bookmarkEnd w:id="13"/>
      <w:r/>
      <w:bookmarkEnd w:id="14"/>
      <w:r/>
      <w:r/>
    </w:p>
    <w:p>
      <w:pPr>
        <w:ind w:firstLine="480"/>
        <w:spacing w:line="360" w:lineRule="auto"/>
        <w:rPr>
          <w:rFonts w:ascii="宋体" w:hAnsi="宋体" w:cs="宋体"/>
          <w:color w:val="auto"/>
          <w:sz w:val="24"/>
          <w:highlight w:val="none"/>
          <w:lang w:bidi="ar"/>
        </w:rPr>
      </w:pPr>
      <w:r/>
      <w:bookmarkStart w:id="15" w:name="_Toc35393793"/>
      <w:r/>
      <w:bookmarkStart w:id="16" w:name="_Toc28359005"/>
      <w:r/>
      <w:bookmarkStart w:id="17" w:name="_Toc28359082"/>
      <w:r/>
      <w:bookmarkStart w:id="18" w:name="_Toc35393624"/>
      <w:r>
        <w:rPr>
          <w:rFonts w:hint="eastAsia" w:ascii="宋体" w:hAnsi="宋体" w:cs="宋体"/>
          <w:color w:val="auto"/>
          <w:sz w:val="24"/>
          <w:highlight w:val="none"/>
          <w:lang w:bidi="ar"/>
        </w:rPr>
        <w:t xml:space="preserve">1.时间：</w:t>
      </w:r>
      <w:r>
        <w:rPr>
          <w:rFonts w:hint="eastAsia" w:ascii="宋体" w:hAnsi="宋体" w:cs="宋体"/>
          <w:color w:val="auto"/>
          <w:sz w:val="24"/>
          <w:highlight w:val="none"/>
        </w:rPr>
        <w:t xml:space="preserve">自磋商文件公告发布之日起5个工作日</w:t>
      </w:r>
      <w:r>
        <w:rPr>
          <w:rFonts w:hint="eastAsia" w:ascii="宋体" w:hAnsi="宋体" w:cs="宋体"/>
          <w:color w:val="auto"/>
          <w:sz w:val="24"/>
          <w:highlight w:val="none"/>
          <w:lang w:bidi="ar"/>
        </w:rPr>
        <w:t xml:space="preserve">。</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2.地点：</w:t>
      </w:r>
      <w:r>
        <w:rPr>
          <w:rFonts w:hint="eastAsia" w:ascii="宋体" w:hAnsi="宋体" w:cs="宋体"/>
          <w:color w:val="auto"/>
          <w:sz w:val="24"/>
          <w:highlight w:val="none"/>
        </w:rPr>
        <w:t xml:space="preserve">“苏采云”政府采购一体化平台。</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3.方式：</w:t>
      </w:r>
      <w:r>
        <w:rPr>
          <w:rFonts w:hint="eastAsia" w:ascii="宋体" w:hAnsi="宋体" w:cs="宋体"/>
          <w:color w:val="auto"/>
          <w:sz w:val="24"/>
          <w:highlight w:val="none"/>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 xml:space="preserve">元。</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四、</w:t>
      </w:r>
      <w:bookmarkEnd w:id="15"/>
      <w:r/>
      <w:bookmarkEnd w:id="16"/>
      <w:r/>
      <w:bookmarkEnd w:id="17"/>
      <w:r/>
      <w:bookmarkEnd w:id="18"/>
      <w:r>
        <w:rPr>
          <w:rFonts w:hint="eastAsia" w:ascii="宋体" w:hAnsi="宋体"/>
          <w:b/>
          <w:bCs/>
          <w:color w:val="auto"/>
          <w:sz w:val="24"/>
          <w:highlight w:val="none"/>
        </w:rPr>
        <w:t xml:space="preserve">响应文件提交</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u w:val="single"/>
        </w:rPr>
        <w:outlineLvl w:val="9"/>
      </w:pPr>
      <w:r>
        <w:rPr>
          <w:rFonts w:hint="eastAsia" w:ascii="宋体" w:hAnsi="宋体" w:eastAsia="宋体" w:cs="宋体"/>
          <w:color w:val="auto"/>
          <w:sz w:val="24"/>
          <w:highlight w:val="none"/>
          <w:lang w:bidi="ar"/>
        </w:rPr>
        <w:t xml:space="preserve">截止时间：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9</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21 </w:t>
      </w:r>
      <w:r>
        <w:rPr>
          <w:rFonts w:hint="eastAsia" w:ascii="宋体" w:hAnsi="宋体" w:eastAsia="宋体" w:cs="宋体"/>
          <w:color w:val="auto"/>
          <w:sz w:val="24"/>
          <w:highlight w:val="none"/>
          <w:lang w:bidi="ar"/>
        </w:rPr>
        <w:t xml:space="preserve">日</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13</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30</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分</w:t>
      </w:r>
      <w:r>
        <w:rPr>
          <w:rFonts w:hint="eastAsia" w:ascii="宋体" w:hAnsi="宋体" w:eastAsia="宋体" w:cs="宋体"/>
          <w:bCs/>
          <w:color w:val="auto"/>
          <w:sz w:val="24"/>
          <w:highlight w:val="none"/>
          <w:lang w:bidi="ar"/>
        </w:rPr>
        <w:t xml:space="preserve">（北京时间）</w:t>
      </w:r>
      <w:r>
        <w:rPr>
          <w:rFonts w:hint="eastAsia" w:ascii="宋体" w:hAnsi="宋体" w:eastAsia="宋体" w:cs="宋体"/>
          <w:iCs/>
          <w:color w:val="auto"/>
          <w:sz w:val="24"/>
          <w:highlight w:val="none"/>
          <w:lang w:bidi="ar"/>
        </w:rPr>
        <w:t xml:space="preserve">。</w:t>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地点：</w:t>
      </w:r>
      <w:r>
        <w:rPr>
          <w:rFonts w:hint="eastAsia" w:ascii="宋体" w:hAnsi="宋体"/>
          <w:color w:val="auto"/>
          <w:sz w:val="24"/>
          <w:highlight w:val="none"/>
          <w:u w:val="single"/>
        </w:rPr>
        <w:t xml:space="preserve">本项目采用远程“不见面”交易方式，无需到现场提交，请供应商在提交时间截止前提前登入“苏采云”，通过系统在线提交电子磋商响应文件</w:t>
      </w:r>
      <w:r>
        <w:rPr>
          <w:rFonts w:hint="eastAsia" w:ascii="宋体" w:hAnsi="宋体" w:cs="宋体"/>
          <w:color w:val="auto"/>
          <w:sz w:val="24"/>
          <w:highlight w:val="none"/>
          <w:lang w:bidi="ar"/>
        </w:rPr>
        <w:t xml:space="preserve">。</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五、开启</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u w:val="single"/>
        </w:rPr>
        <w:outlineLvl w:val="9"/>
      </w:pPr>
      <w:r/>
      <w:bookmarkStart w:id="19" w:name="_Toc35393794"/>
      <w:r/>
      <w:bookmarkStart w:id="20" w:name="_Toc35393625"/>
      <w:r/>
      <w:bookmarkStart w:id="21" w:name="_Toc28359084"/>
      <w:r/>
      <w:bookmarkStart w:id="22" w:name="_Toc28359007"/>
      <w:r>
        <w:rPr>
          <w:rFonts w:hint="eastAsia" w:ascii="宋体" w:hAnsi="宋体" w:eastAsia="宋体" w:cs="宋体"/>
          <w:color w:val="auto"/>
          <w:sz w:val="24"/>
          <w:highlight w:val="none"/>
          <w:lang w:bidi="ar"/>
        </w:rPr>
        <w:t xml:space="preserve">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202</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9</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highlight w:val="none"/>
          <w:u w:val="single"/>
          <w:lang w:val="en-US" w:eastAsia="zh-CN"/>
        </w:rPr>
        <w:t xml:space="preserve">21</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日</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13</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30</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bidi="ar"/>
        </w:rPr>
        <w:t xml:space="preserve">分</w:t>
      </w:r>
      <w:r>
        <w:rPr>
          <w:rFonts w:hint="eastAsia" w:ascii="宋体" w:hAnsi="宋体" w:eastAsia="宋体" w:cs="宋体"/>
          <w:bCs/>
          <w:color w:val="auto"/>
          <w:sz w:val="24"/>
          <w:highlight w:val="none"/>
          <w:lang w:bidi="ar"/>
        </w:rPr>
        <w:t xml:space="preserve">（北京时间）</w:t>
      </w:r>
      <w:r>
        <w:rPr>
          <w:rFonts w:hint="eastAsia" w:ascii="宋体" w:hAnsi="宋体" w:eastAsia="宋体" w:cs="宋体"/>
          <w:iCs/>
          <w:color w:val="auto"/>
          <w:sz w:val="24"/>
          <w:highlight w:val="none"/>
          <w:lang w:bidi="ar"/>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bidi="ar"/>
        </w:rPr>
        <w:outlineLvl w:val="9"/>
      </w:pPr>
      <w:r>
        <w:rPr>
          <w:rFonts w:hint="eastAsia" w:ascii="宋体" w:hAnsi="宋体" w:eastAsia="宋体" w:cs="宋体"/>
          <w:color w:val="auto"/>
          <w:sz w:val="24"/>
          <w:highlight w:val="none"/>
          <w:lang w:bidi="ar"/>
        </w:rPr>
        <w:t xml:space="preserve">地点：</w:t>
      </w:r>
      <w:r>
        <w:rPr>
          <w:rFonts w:hint="eastAsia" w:ascii="宋体" w:hAnsi="宋体"/>
          <w:color w:val="auto"/>
          <w:sz w:val="24"/>
          <w:highlight w:val="none"/>
          <w:u w:val="single"/>
          <w:lang w:eastAsia="zh-CN"/>
        </w:rPr>
        <w:t xml:space="preserve">“苏采云”政府采购交易系统网上开标大厅</w:t>
      </w:r>
      <w:r>
        <w:rPr>
          <w:rFonts w:hint="eastAsia" w:ascii="宋体" w:hAnsi="宋体" w:eastAsia="宋体" w:cs="宋体"/>
          <w:color w:val="auto"/>
          <w:sz w:val="24"/>
          <w:highlight w:val="none"/>
          <w:lang w:bidi="ar"/>
        </w:rPr>
        <w:t xml:space="preserve">。</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六、公告期限</w:t>
      </w:r>
      <w:bookmarkEnd w:id="19"/>
      <w:r/>
      <w:bookmarkEnd w:id="20"/>
      <w:r/>
      <w:bookmarkEnd w:id="21"/>
      <w:r/>
      <w:bookmarkEnd w:id="22"/>
      <w:r/>
      <w:r/>
    </w:p>
    <w:p>
      <w:pPr>
        <w:ind w:firstLine="480"/>
        <w:spacing w:line="360" w:lineRule="auto"/>
        <w:rPr>
          <w:rFonts w:ascii="宋体" w:hAnsi="宋体" w:cs="宋体"/>
          <w:color w:val="auto"/>
          <w:sz w:val="24"/>
          <w:highlight w:val="none"/>
          <w:lang w:bidi="ar"/>
        </w:rPr>
      </w:pPr>
      <w:r>
        <w:rPr>
          <w:rFonts w:hint="eastAsia" w:ascii="宋体" w:hAnsi="宋体" w:cs="宋体"/>
          <w:color w:val="auto"/>
          <w:sz w:val="24"/>
          <w:highlight w:val="none"/>
          <w:lang w:bidi="ar"/>
        </w:rPr>
        <w:t xml:space="preserve">自本公告发布之日起3个工作日。</w:t>
      </w:r>
      <w:r/>
    </w:p>
    <w:p>
      <w:pPr>
        <w:spacing w:line="360" w:lineRule="auto"/>
        <w:rPr>
          <w:rFonts w:ascii="宋体" w:hAnsi="宋体"/>
          <w:b/>
          <w:bCs/>
          <w:color w:val="auto"/>
          <w:sz w:val="24"/>
          <w:highlight w:val="none"/>
        </w:rPr>
      </w:pPr>
      <w:r/>
      <w:bookmarkStart w:id="23" w:name="_Toc35393795"/>
      <w:r/>
      <w:bookmarkStart w:id="24" w:name="_Toc35393626"/>
      <w:r>
        <w:rPr>
          <w:rFonts w:hint="eastAsia" w:ascii="宋体" w:hAnsi="宋体"/>
          <w:b/>
          <w:bCs/>
          <w:color w:val="auto"/>
          <w:sz w:val="24"/>
          <w:highlight w:val="none"/>
        </w:rPr>
        <w:t xml:space="preserve">七、其他补充事宜</w:t>
      </w:r>
      <w:bookmarkEnd w:id="23"/>
      <w:r/>
      <w:bookmarkEnd w:id="24"/>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1.本项目需要落实的政府采购政策：</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bookmarkStart w:id="25" w:name="_Toc28359008"/>
      <w:r/>
      <w:bookmarkStart w:id="26" w:name="_Toc28359085"/>
      <w:r/>
      <w:bookmarkStart w:id="27" w:name="_Toc35393627"/>
      <w:r/>
      <w:bookmarkStart w:id="28" w:name="_Toc35393796"/>
      <w:r>
        <w:rPr>
          <w:rFonts w:hint="eastAsia" w:ascii="宋体" w:hAnsi="宋体" w:cs="宋体"/>
          <w:color w:val="auto"/>
          <w:sz w:val="24"/>
          <w:highlight w:val="none"/>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磋商响应文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4.有关本次磋商的事项若存在变动或修改，敬请及时关注“江苏政府采购网”、“常州市政府采购网”发布的更正公告。</w:t>
      </w:r>
      <w:r/>
    </w:p>
    <w:p>
      <w:pPr>
        <w:ind w:firstLine="482"/>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5.本次磋商不收取磋商保证金。</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6.注意事项</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供应商在磋商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供应商自行承担。</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9.如潜在供应商未按上述要求操作，将自行承担所产生的风险。</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10.关于常州市中小企业政府采购信用融资：</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11.关于深入开展常州市政府采购线上合同信用融资：</w:t>
      </w:r>
      <w:r/>
    </w:p>
    <w:p>
      <w:pPr>
        <w:ind w:firstLine="480"/>
        <w:jc w:val="left"/>
        <w:spacing w:line="360" w:lineRule="auto"/>
        <w:widowControl/>
        <w:rPr>
          <w:color w:val="auto"/>
          <w:highlight w:val="none"/>
        </w:rPr>
      </w:pPr>
      <w:r>
        <w:rPr>
          <w:rFonts w:hint="eastAsia" w:ascii="宋体" w:hAnsi="宋体" w:cs="宋体"/>
          <w:color w:val="auto"/>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八、对本项目提出询问，请按以下方式联系。</w:t>
      </w:r>
      <w:bookmarkEnd w:id="25"/>
      <w:r/>
      <w:bookmarkEnd w:id="26"/>
      <w:r/>
      <w:bookmarkEnd w:id="27"/>
      <w:r/>
      <w:bookmarkEnd w:id="28"/>
      <w:r/>
      <w:r/>
    </w:p>
    <w:p>
      <w:pPr>
        <w:ind w:firstLine="482"/>
        <w:jc w:val="left"/>
        <w:spacing w:line="360" w:lineRule="auto"/>
        <w:widowControl/>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 xml:space="preserve">1.采购人信息</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名    称：</w:t>
      </w:r>
      <w:r>
        <w:rPr>
          <w:rFonts w:hint="eastAsia" w:ascii="宋体" w:hAnsi="宋体" w:cs="宋体"/>
          <w:color w:val="auto"/>
          <w:sz w:val="24"/>
          <w:highlight w:val="none"/>
          <w:u w:val="single"/>
          <w:lang w:val="en-US" w:eastAsia="zh-CN" w:bidi="ar"/>
        </w:rPr>
        <w:t xml:space="preserve"> </w:t>
      </w:r>
      <w:r>
        <w:rPr>
          <w:rFonts w:hint="eastAsia" w:ascii="宋体" w:hAnsi="宋体" w:cs="宋体"/>
          <w:color w:val="auto"/>
          <w:sz w:val="24"/>
          <w:highlight w:val="none"/>
          <w:u w:val="single"/>
          <w:lang w:eastAsia="zh-CN" w:bidi="ar"/>
        </w:rPr>
        <w:t xml:space="preserve">常州市天宁区青龙街道办事处</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u w:val="single"/>
          <w:lang w:val="en-US" w:eastAsia="zh-CN" w:bidi="ar"/>
        </w:rPr>
      </w:pPr>
      <w:r>
        <w:rPr>
          <w:rFonts w:hint="eastAsia" w:ascii="宋体" w:hAnsi="宋体" w:cs="宋体"/>
          <w:color w:val="auto"/>
          <w:sz w:val="24"/>
          <w:highlight w:val="none"/>
          <w:lang w:val="zh-TW" w:bidi="ar"/>
        </w:rPr>
        <w:t xml:space="preserve">地    址：</w:t>
      </w:r>
      <w:r>
        <w:rPr>
          <w:rFonts w:hint="eastAsia" w:ascii="宋体" w:hAnsi="宋体" w:cs="宋体"/>
          <w:color w:val="auto"/>
          <w:sz w:val="24"/>
          <w:highlight w:val="none"/>
          <w:u w:val="single"/>
          <w:lang w:val="en-US" w:eastAsia="zh-CN" w:bidi="ar"/>
        </w:rPr>
        <w:t xml:space="preserve"> </w:t>
      </w:r>
      <w:r>
        <w:rPr>
          <w:rFonts w:hint="eastAsia" w:ascii="宋体" w:hAnsi="宋体" w:eastAsia="宋体" w:cs="宋体"/>
          <w:color w:val="auto"/>
          <w:sz w:val="24"/>
          <w:highlight w:val="none"/>
          <w:u w:val="single"/>
          <w:lang w:val="zh-TW" w:bidi="ar"/>
        </w:rPr>
        <w:t xml:space="preserve">常州市河海东路9号</w:t>
      </w:r>
      <w:r>
        <w:rPr>
          <w:rFonts w:hint="eastAsia" w:ascii="宋体" w:hAnsi="宋体" w:cs="宋体"/>
          <w:color w:val="auto"/>
          <w:sz w:val="24"/>
          <w:highlight w:val="none"/>
          <w:u w:val="single"/>
          <w:lang w:val="en-US" w:eastAsia="zh-CN" w:bidi="ar"/>
        </w:rPr>
        <w:t xml:space="preserve"> </w:t>
      </w:r>
      <w:r/>
    </w:p>
    <w:p>
      <w:pPr>
        <w:ind w:firstLine="480"/>
        <w:jc w:val="left"/>
        <w:spacing w:line="360" w:lineRule="auto"/>
        <w:widowControl/>
        <w:rPr>
          <w:rFonts w:hint="eastAsia"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 xml:space="preserve">联系方式：</w:t>
      </w:r>
      <w:r>
        <w:rPr>
          <w:rFonts w:hint="eastAsia" w:ascii="宋体" w:hAnsi="宋体" w:cs="宋体"/>
          <w:color w:val="auto"/>
          <w:sz w:val="24"/>
          <w:highlight w:val="none"/>
          <w:u w:val="single"/>
          <w:lang w:val="en-US" w:eastAsia="zh-CN" w:bidi="ar"/>
        </w:rPr>
        <w:t xml:space="preserve"> </w:t>
      </w:r>
      <w:r>
        <w:rPr>
          <w:rFonts w:ascii="SimSun" w:hAnsi="SimSun" w:eastAsia="SimSun" w:cs="SimSun"/>
          <w:color w:val="000000"/>
          <w:sz w:val="24"/>
          <w:u w:val="single"/>
        </w:rPr>
        <w:t xml:space="preserve">孙女士、0519-85500890</w:t>
      </w:r>
      <w:r>
        <w:rPr>
          <w:rFonts w:hint="eastAsia" w:ascii="宋体" w:hAnsi="宋体" w:cs="宋体"/>
          <w:color w:val="auto"/>
          <w:sz w:val="24"/>
          <w:highlight w:val="none"/>
          <w:u w:val="single"/>
          <w:lang w:val="en-US" w:eastAsia="zh-CN" w:bidi="ar"/>
        </w:rPr>
      </w:r>
      <w:r>
        <w:rPr>
          <w:rFonts w:hint="eastAsia" w:ascii="宋体" w:hAnsi="宋体" w:cs="宋体"/>
          <w:color w:val="auto"/>
          <w:sz w:val="24"/>
          <w:highlight w:val="none"/>
          <w:u w:val="single"/>
          <w:lang w:val="en-US" w:eastAsia="zh-CN" w:bidi="ar"/>
        </w:rPr>
        <w:t xml:space="preserve"> </w:t>
      </w:r>
      <w:r/>
    </w:p>
    <w:p>
      <w:pPr>
        <w:ind w:firstLine="482"/>
        <w:jc w:val="left"/>
        <w:spacing w:line="360" w:lineRule="auto"/>
        <w:widowControl/>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 xml:space="preserve">2.采购代理机构信息</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名    称：</w:t>
      </w:r>
      <w:r>
        <w:rPr>
          <w:rFonts w:hint="eastAsia" w:ascii="宋体" w:hAnsi="宋体" w:cs="宋体"/>
          <w:color w:val="auto"/>
          <w:sz w:val="24"/>
          <w:highlight w:val="none"/>
          <w:u w:val="single"/>
          <w:lang w:val="zh-TW" w:bidi="ar"/>
        </w:rPr>
        <w:t xml:space="preserve"> 江苏尚阳工程管理有限公司</w:t>
      </w:r>
      <w:r>
        <w:rPr>
          <w:rFonts w:hint="eastAsia" w:ascii="宋体" w:hAnsi="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u w:val="single"/>
          <w:lang w:val="en-US" w:eastAsia="zh-CN" w:bidi="ar"/>
        </w:rPr>
      </w:pPr>
      <w:r>
        <w:rPr>
          <w:rFonts w:hint="eastAsia" w:ascii="宋体" w:hAnsi="宋体" w:cs="宋体"/>
          <w:color w:val="auto"/>
          <w:sz w:val="24"/>
          <w:highlight w:val="none"/>
          <w:lang w:val="zh-TW" w:bidi="ar"/>
        </w:rPr>
        <w:t xml:space="preserve">地    址：</w:t>
      </w:r>
      <w:r>
        <w:rPr>
          <w:rFonts w:hint="eastAsia" w:ascii="宋体" w:hAnsi="宋体" w:cs="宋体"/>
          <w:color w:val="auto"/>
          <w:sz w:val="24"/>
          <w:highlight w:val="none"/>
          <w:u w:val="single"/>
          <w:lang w:val="zh-TW" w:bidi="ar"/>
        </w:rPr>
        <w:t xml:space="preserve"> 常州市新北区嵩山路1-301号</w:t>
      </w:r>
      <w:r>
        <w:rPr>
          <w:rFonts w:hint="eastAsia" w:ascii="宋体" w:hAnsi="宋体" w:cs="宋体"/>
          <w:color w:val="auto"/>
          <w:sz w:val="24"/>
          <w:highlight w:val="none"/>
          <w:u w:val="single"/>
          <w:lang w:val="en-US" w:eastAsia="zh-CN" w:bidi="ar"/>
        </w:rPr>
        <w:t xml:space="preserve"> </w:t>
      </w:r>
      <w:r/>
    </w:p>
    <w:p>
      <w:pPr>
        <w:ind w:firstLine="480"/>
        <w:jc w:val="left"/>
        <w:spacing w:line="36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zh-TW" w:bidi="ar"/>
        </w:rPr>
        <w:t xml:space="preserve">联系方式：</w:t>
      </w:r>
      <w:r>
        <w:rPr>
          <w:rFonts w:hint="eastAsia" w:ascii="宋体" w:hAnsi="宋体" w:cs="宋体"/>
          <w:color w:val="auto"/>
          <w:sz w:val="24"/>
          <w:highlight w:val="none"/>
          <w:u w:val="single"/>
          <w:lang w:val="zh-TW" w:bidi="ar"/>
        </w:rPr>
        <w:t xml:space="preserve"> 0519-88818</w:t>
      </w:r>
      <w:r>
        <w:rPr>
          <w:rFonts w:hint="eastAsia" w:ascii="宋体" w:hAnsi="宋体" w:cs="宋体"/>
          <w:color w:val="auto"/>
          <w:sz w:val="24"/>
          <w:highlight w:val="none"/>
          <w:u w:val="single"/>
          <w:lang w:val="en-US" w:eastAsia="zh-CN" w:bidi="ar"/>
        </w:rPr>
        <w:t xml:space="preserve">291 </w:t>
      </w:r>
      <w:r/>
    </w:p>
    <w:p>
      <w:pPr>
        <w:ind w:firstLine="482"/>
        <w:jc w:val="left"/>
        <w:spacing w:line="360" w:lineRule="auto"/>
        <w:widowControl/>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 xml:space="preserve">3.项目联系方式</w:t>
      </w:r>
      <w:r/>
    </w:p>
    <w:p>
      <w:pPr>
        <w:ind w:firstLine="480"/>
        <w:jc w:val="left"/>
        <w:spacing w:line="360" w:lineRule="auto"/>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zh-TW" w:bidi="ar"/>
        </w:rPr>
        <w:t xml:space="preserve">项目联系人：</w:t>
      </w:r>
      <w:r>
        <w:rPr>
          <w:rFonts w:hint="eastAsia" w:ascii="宋体" w:hAnsi="宋体" w:cs="宋体"/>
          <w:color w:val="auto"/>
          <w:sz w:val="24"/>
          <w:highlight w:val="none"/>
          <w:u w:val="single"/>
          <w:lang w:val="en-US" w:eastAsia="zh-CN" w:bidi="ar"/>
        </w:rPr>
        <w:t xml:space="preserve"> 嵇玲 </w:t>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电      话：</w:t>
      </w:r>
      <w:r>
        <w:rPr>
          <w:rFonts w:hint="eastAsia" w:ascii="宋体" w:hAnsi="宋体" w:cs="宋体"/>
          <w:color w:val="auto"/>
          <w:sz w:val="24"/>
          <w:highlight w:val="none"/>
          <w:u w:val="single"/>
          <w:lang w:val="en-US" w:eastAsia="zh-CN" w:bidi="ar"/>
        </w:rPr>
        <w:t xml:space="preserve"> 0519-88818295（8000）</w:t>
      </w:r>
      <w:r>
        <w:rPr>
          <w:rFonts w:hint="eastAsia" w:ascii="宋体" w:hAnsi="宋体" w:cs="宋体"/>
          <w:color w:val="auto"/>
          <w:sz w:val="24"/>
          <w:highlight w:val="none"/>
          <w:u w:val="single"/>
          <w:lang w:bidi="ar"/>
        </w:rPr>
        <w:t xml:space="preserve"> </w:t>
      </w:r>
      <w:r/>
    </w:p>
    <w:p>
      <w:pPr>
        <w:jc w:val="center"/>
        <w:spacing w:line="360" w:lineRule="auto"/>
        <w:rPr>
          <w:rFonts w:ascii="宋体" w:hAnsi="宋体" w:cs="宋体"/>
          <w:color w:val="auto"/>
          <w:sz w:val="24"/>
          <w:highlight w:val="none"/>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outlineLvl w:val="0"/>
      </w:pPr>
      <w:r>
        <w:rPr>
          <w:rFonts w:ascii="宋体" w:hAnsi="宋体" w:cs="宋体"/>
          <w:color w:val="auto"/>
          <w:sz w:val="24"/>
          <w:highlight w:val="none"/>
        </w:rPr>
      </w:r>
      <w:r/>
    </w:p>
    <w:p>
      <w:pPr>
        <w:jc w:val="center"/>
        <w:spacing w:line="360" w:lineRule="auto"/>
        <w:rPr>
          <w:b/>
          <w:color w:val="auto"/>
          <w:sz w:val="36"/>
          <w:szCs w:val="36"/>
          <w:highlight w:val="none"/>
        </w:rPr>
        <w:outlineLvl w:val="0"/>
      </w:pPr>
      <w:r/>
      <w:bookmarkStart w:id="29" w:name="_Toc353873938"/>
      <w:r/>
      <w:bookmarkStart w:id="30" w:name="_Toc127161488"/>
      <w:r/>
      <w:bookmarkStart w:id="31" w:name="_Toc512937850"/>
      <w:r/>
      <w:bookmarkStart w:id="32" w:name="_Toc127151777"/>
      <w:r/>
      <w:bookmarkStart w:id="33" w:name="_Toc353825548"/>
      <w:r/>
      <w:bookmarkStart w:id="34" w:name="_Toc150774783"/>
      <w:r/>
      <w:bookmarkStart w:id="35" w:name="_Toc6147"/>
      <w:r/>
      <w:bookmarkStart w:id="36" w:name="_Toc226965856"/>
      <w:r/>
      <w:bookmarkStart w:id="37" w:name="_Toc264969275"/>
      <w:r/>
      <w:bookmarkStart w:id="38" w:name="_Toc305158854"/>
      <w:r/>
      <w:bookmarkStart w:id="39" w:name="_Toc305158928"/>
      <w:r/>
      <w:bookmarkStart w:id="40" w:name="_Toc265228423"/>
      <w:r/>
      <w:bookmarkStart w:id="41" w:name="_Toc195842950"/>
      <w:r>
        <w:rPr>
          <w:b/>
          <w:color w:val="auto"/>
          <w:sz w:val="36"/>
          <w:szCs w:val="36"/>
          <w:highlight w:val="none"/>
        </w:rPr>
        <w:t xml:space="preserve">第二章   供应商须知</w:t>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
    </w:p>
    <w:p>
      <w:pPr>
        <w:jc w:val="center"/>
        <w:spacing w:line="360" w:lineRule="auto"/>
        <w:rPr>
          <w:rFonts w:ascii="宋体" w:hAnsi="宋体"/>
          <w:b/>
          <w:bCs/>
          <w:color w:val="auto"/>
          <w:sz w:val="28"/>
          <w:szCs w:val="28"/>
          <w:highlight w:val="none"/>
        </w:rPr>
      </w:pPr>
      <w:r/>
      <w:bookmarkStart w:id="42" w:name="_Toc142311021"/>
      <w:r/>
      <w:bookmarkStart w:id="43" w:name="_Toc127161433"/>
      <w:r/>
      <w:bookmarkStart w:id="44" w:name="_Toc150509270"/>
      <w:r/>
      <w:bookmarkStart w:id="45" w:name="_Toc150774724"/>
      <w:r/>
      <w:bookmarkStart w:id="46" w:name="_Toc164608788"/>
      <w:r/>
      <w:bookmarkStart w:id="47" w:name="_Toc151190146"/>
      <w:r/>
      <w:bookmarkStart w:id="48" w:name="_Toc151193833"/>
      <w:r/>
      <w:bookmarkStart w:id="49" w:name="_Toc520356144"/>
      <w:r/>
      <w:bookmarkStart w:id="50" w:name="_Toc151193689"/>
      <w:r/>
      <w:bookmarkStart w:id="51" w:name="_Toc226965792"/>
      <w:r/>
      <w:bookmarkStart w:id="52" w:name="_Toc195842884"/>
      <w:r/>
      <w:bookmarkStart w:id="53" w:name="_Toc150480757"/>
      <w:r/>
      <w:bookmarkStart w:id="54" w:name="_Toc150774619"/>
      <w:r/>
      <w:bookmarkStart w:id="55" w:name="_Toc226337215"/>
      <w:r/>
      <w:bookmarkStart w:id="56" w:name="_Toc127151720"/>
      <w:r/>
      <w:bookmarkStart w:id="57" w:name="_Toc151193907"/>
      <w:r/>
      <w:bookmarkStart w:id="58" w:name="_Toc226309763"/>
      <w:r/>
      <w:bookmarkStart w:id="59" w:name="_Toc149720812"/>
      <w:r/>
      <w:bookmarkStart w:id="60" w:name="_Toc127151519"/>
      <w:r/>
      <w:bookmarkStart w:id="61" w:name="_Toc164351613"/>
      <w:r/>
      <w:bookmarkStart w:id="62" w:name="_Toc164229214"/>
      <w:r/>
      <w:bookmarkStart w:id="63" w:name="_Toc164608633"/>
      <w:r/>
      <w:bookmarkStart w:id="64" w:name="_Toc164229360"/>
      <w:r/>
      <w:bookmarkStart w:id="65" w:name="_Toc151193761"/>
      <w:r/>
      <w:bookmarkStart w:id="66" w:name="_Toc151193617"/>
      <w:r/>
      <w:bookmarkStart w:id="67" w:name="_Toc226965709"/>
      <w:r>
        <w:rPr>
          <w:rFonts w:hint="eastAsia" w:ascii="宋体" w:hAnsi="宋体"/>
          <w:b/>
          <w:bCs/>
          <w:color w:val="auto"/>
          <w:sz w:val="28"/>
          <w:szCs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jc w:val="left"/>
        <w:spacing w:line="360" w:lineRule="auto"/>
        <w:widowControl/>
        <w:rPr>
          <w:rFonts w:ascii="宋体" w:hAnsi="宋体" w:cs="宋体"/>
          <w:color w:val="auto"/>
          <w:sz w:val="24"/>
          <w:highlight w:val="none"/>
          <w:lang w:val="zh-TW" w:bidi="ar"/>
        </w:rPr>
      </w:pPr>
      <w:r>
        <w:rPr>
          <w:rFonts w:hint="eastAsia" w:ascii="宋体" w:hAnsi="宋体" w:cs="宋体"/>
          <w:color w:val="auto"/>
          <w:sz w:val="24"/>
          <w:highlight w:val="none"/>
          <w:lang w:val="zh-TW" w:bidi="ar"/>
        </w:rPr>
        <w:t xml:space="preserve">本表是对供应商须知的具体补充和修改，如有矛盾，均以本资料表为准。标记“■”的选项意为适用于本项目，标记“□”的选项意为不适用于本项目。</w:t>
      </w:r>
      <w:r/>
    </w:p>
    <w:tbl>
      <w:tblPr>
        <w:tblStyle w:val="7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color w:val="auto"/>
                <w:sz w:val="24"/>
                <w:highlight w:val="none"/>
              </w:rPr>
              <w:t xml:space="preserve">条款号</w:t>
            </w:r>
            <w:r/>
          </w:p>
        </w:tc>
        <w:tc>
          <w:tcPr>
            <w:tcW w:w="1701"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条目</w:t>
            </w:r>
            <w:r/>
          </w:p>
        </w:tc>
        <w:tc>
          <w:tcPr>
            <w:tcW w:w="7253"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内容</w:t>
            </w:r>
            <w:r/>
          </w:p>
        </w:tc>
      </w:tr>
      <w:tr>
        <w:trPr>
          <w:jc w:val="center"/>
          <w:trHeight w:val="20"/>
        </w:trPr>
        <w:tc>
          <w:tcPr>
            <w:tcW w:w="988" w:type="dxa"/>
            <w:vAlign w:val="center"/>
            <w:textDirection w:val="lrTb"/>
            <w:noWrap w:val="false"/>
          </w:tcPr>
          <w:p>
            <w:pPr>
              <w:pStyle w:val="801"/>
              <w:jc w:val="center"/>
              <w:rPr>
                <w:rFonts w:hint="default" w:hAnsi="宋体" w:cs="宋体"/>
                <w:color w:val="auto"/>
                <w:sz w:val="24"/>
                <w:szCs w:val="24"/>
                <w:highlight w:val="none"/>
              </w:rPr>
            </w:pPr>
            <w:r>
              <w:rPr>
                <w:rFonts w:hAnsi="宋体" w:cs="宋体"/>
                <w:color w:val="auto"/>
                <w:sz w:val="24"/>
                <w:szCs w:val="24"/>
                <w:highlight w:val="none"/>
              </w:rPr>
              <w:t xml:space="preserve">2.2</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项目属性</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项目属性：</w:t>
            </w:r>
            <w:r/>
          </w:p>
          <w:p>
            <w:pPr>
              <w:jc w:val="left"/>
              <w:rPr>
                <w:rFonts w:ascii="宋体" w:hAnsi="宋体" w:cs="宋体"/>
                <w:color w:val="auto"/>
                <w:sz w:val="24"/>
                <w:highlight w:val="none"/>
              </w:rPr>
            </w:pPr>
            <w:r>
              <w:rPr>
                <w:rFonts w:hint="eastAsia" w:ascii="宋体" w:hAnsi="宋体" w:cs="宋体"/>
                <w:color w:val="auto"/>
                <w:sz w:val="24"/>
                <w:highlight w:val="none"/>
              </w:rPr>
              <w:t xml:space="preserve">□服务</w:t>
            </w:r>
            <w:r/>
          </w:p>
          <w:p>
            <w:pPr>
              <w:jc w:val="left"/>
              <w:rPr>
                <w:rFonts w:ascii="宋体" w:hAnsi="宋体" w:cs="宋体"/>
                <w:color w:val="auto"/>
                <w:sz w:val="24"/>
                <w:highlight w:val="none"/>
              </w:rPr>
            </w:pPr>
            <w:r>
              <w:rPr>
                <w:rFonts w:hint="eastAsia" w:ascii="宋体" w:hAnsi="宋体" w:cs="宋体"/>
                <w:color w:val="auto"/>
                <w:sz w:val="24"/>
                <w:highlight w:val="none"/>
              </w:rPr>
              <w:t xml:space="preserve">□货物</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■工程</w:t>
            </w:r>
            <w:r/>
          </w:p>
        </w:tc>
      </w:tr>
      <w:tr>
        <w:trPr>
          <w:jc w:val="center"/>
          <w:trHeight w:val="20"/>
        </w:trPr>
        <w:tc>
          <w:tcPr>
            <w:tcW w:w="988" w:type="dxa"/>
            <w:vAlign w:val="center"/>
            <w:vMerge w:val="restart"/>
            <w:textDirection w:val="lrTb"/>
            <w:noWrap w:val="false"/>
          </w:tcPr>
          <w:p>
            <w:pPr>
              <w:pStyle w:val="801"/>
              <w:jc w:val="center"/>
              <w:rPr>
                <w:rFonts w:hint="default" w:hAnsi="宋体" w:cs="宋体"/>
                <w:color w:val="auto"/>
                <w:sz w:val="24"/>
                <w:szCs w:val="24"/>
                <w:highlight w:val="none"/>
              </w:rPr>
            </w:pPr>
            <w:r>
              <w:rPr>
                <w:rFonts w:hAnsi="宋体" w:cs="宋体"/>
                <w:color w:val="auto"/>
                <w:sz w:val="24"/>
                <w:szCs w:val="24"/>
                <w:highlight w:val="none"/>
              </w:rPr>
              <w:t xml:space="preserve">3.1</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现场考察</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■不组织</w:t>
            </w:r>
            <w:r/>
          </w:p>
          <w:p>
            <w:pPr>
              <w:jc w:val="left"/>
              <w:rPr>
                <w:rFonts w:ascii="宋体" w:hAnsi="宋体" w:cs="宋体"/>
                <w:bCs/>
                <w:color w:val="auto"/>
                <w:sz w:val="24"/>
                <w:highlight w:val="none"/>
              </w:rPr>
            </w:pPr>
            <w:r>
              <w:rPr>
                <w:rFonts w:hint="eastAsia" w:ascii="宋体" w:hAnsi="宋体" w:cs="宋体"/>
                <w:color w:val="auto"/>
                <w:sz w:val="24"/>
                <w:highlight w:val="none"/>
              </w:rPr>
              <w:t xml:space="preserve">□组织，考察时间：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分</w:t>
            </w:r>
            <w:r/>
          </w:p>
          <w:p>
            <w:pPr>
              <w:pStyle w:val="801"/>
              <w:rPr>
                <w:rFonts w:hint="default" w:hAnsi="宋体" w:cs="宋体"/>
                <w:color w:val="auto"/>
                <w:sz w:val="24"/>
                <w:szCs w:val="24"/>
                <w:highlight w:val="none"/>
              </w:rPr>
            </w:pPr>
            <w:r>
              <w:rPr>
                <w:rFonts w:hAnsi="宋体" w:cs="宋体"/>
                <w:color w:val="auto"/>
                <w:sz w:val="24"/>
                <w:szCs w:val="24"/>
                <w:highlight w:val="none"/>
              </w:rPr>
              <w:t xml:space="preserve">考察地点：</w:t>
            </w:r>
            <w:r>
              <w:rPr>
                <w:rFonts w:hAnsi="宋体" w:cs="宋体"/>
                <w:color w:val="auto"/>
                <w:sz w:val="24"/>
                <w:szCs w:val="24"/>
                <w:highlight w:val="none"/>
                <w:u w:val="single"/>
              </w:rPr>
              <w:t xml:space="preserve">  /  </w:t>
            </w:r>
            <w:r>
              <w:rPr>
                <w:rFonts w:hAnsi="宋体" w:cs="宋体"/>
                <w:color w:val="auto"/>
                <w:sz w:val="24"/>
                <w:szCs w:val="24"/>
                <w:highlight w:val="none"/>
              </w:rPr>
              <w:t xml:space="preserve">。</w:t>
            </w:r>
            <w:r/>
          </w:p>
        </w:tc>
      </w:tr>
      <w:tr>
        <w:trPr>
          <w:jc w:val="center"/>
          <w:trHeight w:val="20"/>
        </w:trPr>
        <w:tc>
          <w:tcPr>
            <w:tcW w:w="988" w:type="dxa"/>
            <w:vAlign w:val="center"/>
            <w:vMerge w:val="continue"/>
            <w:textDirection w:val="lrTb"/>
            <w:noWrap w:val="false"/>
          </w:tcPr>
          <w:p>
            <w:pPr>
              <w:pStyle w:val="801"/>
              <w:jc w:val="center"/>
              <w:rPr>
                <w:rFonts w:hint="default" w:hAnsi="宋体" w:cs="宋体"/>
                <w:color w:val="auto"/>
                <w:sz w:val="24"/>
                <w:szCs w:val="24"/>
                <w:highlight w:val="none"/>
              </w:rPr>
            </w:pPr>
            <w:r>
              <w:rPr>
                <w:rFonts w:hint="default" w:hAnsi="宋体" w:cs="宋体"/>
                <w:color w:val="auto"/>
                <w:sz w:val="24"/>
                <w:szCs w:val="24"/>
                <w:highlight w:val="none"/>
              </w:rPr>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磋商前答疑会</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■不召开</w:t>
            </w:r>
            <w:r/>
          </w:p>
          <w:p>
            <w:pPr>
              <w:jc w:val="left"/>
              <w:rPr>
                <w:rFonts w:ascii="宋体" w:hAnsi="宋体" w:cs="宋体"/>
                <w:color w:val="auto"/>
                <w:sz w:val="24"/>
                <w:highlight w:val="none"/>
              </w:rPr>
            </w:pPr>
            <w:r>
              <w:rPr>
                <w:rFonts w:hint="eastAsia" w:ascii="宋体" w:hAnsi="宋体" w:cs="宋体"/>
                <w:color w:val="auto"/>
                <w:sz w:val="24"/>
                <w:highlight w:val="none"/>
              </w:rPr>
              <w:t xml:space="preserve">□召开，召开时间：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 xml:space="preserve">分</w:t>
            </w:r>
            <w:r/>
          </w:p>
          <w:p>
            <w:pPr>
              <w:jc w:val="left"/>
              <w:rPr>
                <w:rFonts w:ascii="宋体" w:hAnsi="宋体" w:cs="宋体"/>
                <w:color w:val="auto"/>
                <w:sz w:val="24"/>
                <w:highlight w:val="none"/>
              </w:rPr>
            </w:pPr>
            <w:r>
              <w:rPr>
                <w:rFonts w:hint="eastAsia" w:ascii="宋体" w:hAnsi="宋体" w:cs="宋体"/>
                <w:color w:val="auto"/>
                <w:sz w:val="24"/>
                <w:highlight w:val="none"/>
              </w:rPr>
              <w:t xml:space="preserve">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tc>
      </w:tr>
      <w:tr>
        <w:trPr>
          <w:jc w:val="center"/>
          <w:trHeight w:val="670"/>
        </w:trPr>
        <w:tc>
          <w:tcPr>
            <w:tcW w:w="988" w:type="dxa"/>
            <w:vAlign w:val="center"/>
            <w:textDirection w:val="lrTb"/>
            <w:noWrap w:val="false"/>
          </w:tcPr>
          <w:p>
            <w:pPr>
              <w:pStyle w:val="801"/>
              <w:jc w:val="center"/>
              <w:rPr>
                <w:rFonts w:hint="default" w:hAnsi="宋体" w:cs="宋体"/>
                <w:color w:val="auto"/>
                <w:sz w:val="24"/>
                <w:szCs w:val="24"/>
                <w:highlight w:val="none"/>
              </w:rPr>
            </w:pPr>
            <w:r>
              <w:rPr>
                <w:rFonts w:hAnsi="宋体" w:cs="宋体"/>
                <w:color w:val="auto"/>
                <w:sz w:val="24"/>
                <w:szCs w:val="24"/>
                <w:highlight w:val="none"/>
              </w:rPr>
              <w:t xml:space="preserve">4.2.5</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标的所属行业</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本项目采购标的对应的中小企业划分标准所属行业：</w:t>
            </w:r>
            <w:r>
              <w:rPr>
                <w:rFonts w:hint="eastAsia" w:ascii="宋体" w:hAnsi="宋体" w:cs="宋体"/>
                <w:color w:val="auto"/>
                <w:sz w:val="24"/>
                <w:highlight w:val="none"/>
                <w:u w:val="single"/>
              </w:rPr>
              <w:t xml:space="preserve"> 建筑业 </w:t>
            </w:r>
            <w:r/>
          </w:p>
        </w:tc>
      </w:tr>
      <w:tr>
        <w:trPr>
          <w:jc w:val="center"/>
          <w:trHeight w:val="890"/>
        </w:trPr>
        <w:tc>
          <w:tcPr>
            <w:tcW w:w="988" w:type="dxa"/>
            <w:vAlign w:val="center"/>
            <w:textDirection w:val="lrTb"/>
            <w:noWrap w:val="false"/>
          </w:tcPr>
          <w:p>
            <w:pPr>
              <w:pStyle w:val="801"/>
              <w:jc w:val="center"/>
              <w:rPr>
                <w:rFonts w:hint="default" w:hAnsi="宋体" w:cs="宋体"/>
                <w:color w:val="auto"/>
                <w:sz w:val="24"/>
                <w:szCs w:val="24"/>
                <w:highlight w:val="none"/>
              </w:rPr>
            </w:pPr>
            <w:r>
              <w:rPr>
                <w:rFonts w:hAnsi="宋体" w:cs="宋体"/>
                <w:color w:val="auto"/>
                <w:sz w:val="24"/>
                <w:szCs w:val="24"/>
                <w:highlight w:val="none"/>
              </w:rPr>
              <w:t xml:space="preserve">10.2</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报价</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报价的特殊规定：</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无</w:t>
            </w:r>
            <w:r/>
          </w:p>
          <w:p>
            <w:pPr>
              <w:jc w:val="left"/>
              <w:rPr>
                <w:rFonts w:ascii="宋体" w:hAnsi="宋体" w:cs="宋体"/>
                <w:color w:val="auto"/>
                <w:sz w:val="24"/>
                <w:highlight w:val="none"/>
              </w:rPr>
            </w:pPr>
            <w:r>
              <w:rPr>
                <w:rFonts w:hint="eastAsia" w:ascii="宋体" w:hAnsi="宋体" w:cs="宋体"/>
                <w:color w:val="auto"/>
                <w:sz w:val="24"/>
                <w:highlight w:val="none"/>
                <w:u w:val="none"/>
              </w:rPr>
              <w:t xml:space="preserve">■有，具体情形： </w:t>
            </w:r>
            <w:r>
              <w:rPr>
                <w:rFonts w:hint="eastAsia" w:ascii="宋体" w:hAnsi="宋体" w:cs="宋体"/>
                <w:color w:val="auto"/>
                <w:sz w:val="24"/>
                <w:highlight w:val="none"/>
                <w:u w:val="single"/>
              </w:rPr>
              <w:t xml:space="preserve">本项目采用二轮报价，电子响应文件中的书面报价为首轮报价，第二轮报价为最后报价(通过系统在线报价)。最后报价不得超过预算、最高限价及首轮报价，否则其响应将被视为无效。</w:t>
            </w:r>
            <w:r/>
          </w:p>
        </w:tc>
      </w:tr>
      <w:tr>
        <w:trPr>
          <w:jc w:val="center"/>
          <w:trHeight w:val="20"/>
        </w:trPr>
        <w:tc>
          <w:tcPr>
            <w:tcW w:w="988" w:type="dxa"/>
            <w:vAlign w:val="center"/>
            <w:textDirection w:val="lrTb"/>
            <w:noWrap w:val="false"/>
          </w:tcPr>
          <w:p>
            <w:pPr>
              <w:pStyle w:val="801"/>
              <w:jc w:val="center"/>
              <w:rPr>
                <w:rFonts w:hint="default" w:hAnsi="宋体" w:cs="宋体"/>
                <w:color w:val="auto"/>
                <w:sz w:val="24"/>
                <w:szCs w:val="24"/>
                <w:highlight w:val="none"/>
              </w:rPr>
            </w:pPr>
            <w:r>
              <w:rPr>
                <w:rFonts w:hAnsi="宋体" w:cs="宋体"/>
                <w:color w:val="auto"/>
                <w:sz w:val="24"/>
                <w:szCs w:val="24"/>
                <w:highlight w:val="none"/>
              </w:rPr>
              <w:t xml:space="preserve">11.1</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磋商保证金</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免收</w:t>
            </w:r>
            <w:r/>
          </w:p>
        </w:tc>
      </w:tr>
      <w:tr>
        <w:trPr>
          <w:jc w:val="center"/>
          <w:trHeight w:val="316"/>
        </w:trPr>
        <w:tc>
          <w:tcPr>
            <w:tcW w:w="988" w:type="dxa"/>
            <w:vAlign w:val="center"/>
            <w:textDirection w:val="lrTb"/>
            <w:noWrap w:val="false"/>
          </w:tcPr>
          <w:p>
            <w:pPr>
              <w:pStyle w:val="801"/>
              <w:jc w:val="center"/>
              <w:rPr>
                <w:rFonts w:hint="default" w:hAnsi="宋体" w:cs="宋体"/>
                <w:color w:val="auto"/>
                <w:sz w:val="24"/>
                <w:szCs w:val="24"/>
                <w:highlight w:val="none"/>
              </w:rPr>
            </w:pPr>
            <w:r>
              <w:rPr>
                <w:rFonts w:hAnsi="宋体" w:cs="宋体"/>
                <w:color w:val="auto"/>
                <w:sz w:val="24"/>
                <w:szCs w:val="24"/>
                <w:highlight w:val="none"/>
              </w:rPr>
              <w:t xml:space="preserve">12.1</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响应有效期</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自提交响应文件的截止之日起算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 xml:space="preserve">日历天。</w:t>
            </w:r>
            <w:r/>
          </w:p>
        </w:tc>
      </w:tr>
      <w:tr>
        <w:trPr>
          <w:jc w:val="center"/>
          <w:trHeight w:val="20"/>
        </w:trPr>
        <w:tc>
          <w:tcPr>
            <w:tcW w:w="988" w:type="dxa"/>
            <w:vAlign w:val="center"/>
            <w:textDirection w:val="lrTb"/>
            <w:noWrap w:val="false"/>
          </w:tcPr>
          <w:p>
            <w:pPr>
              <w:pStyle w:val="801"/>
              <w:jc w:val="center"/>
              <w:rPr>
                <w:rFonts w:hint="default" w:hAnsi="宋体" w:cs="宋体"/>
                <w:color w:val="auto"/>
                <w:sz w:val="24"/>
                <w:szCs w:val="24"/>
                <w:highlight w:val="none"/>
              </w:rPr>
            </w:pPr>
            <w:r>
              <w:rPr>
                <w:rFonts w:hAnsi="宋体" w:cs="宋体"/>
                <w:color w:val="auto"/>
                <w:sz w:val="24"/>
                <w:szCs w:val="24"/>
                <w:highlight w:val="none"/>
              </w:rPr>
              <w:t xml:space="preserve">23.5</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分包</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本项目是否允许分包： </w:t>
            </w:r>
            <w:r/>
          </w:p>
          <w:p>
            <w:pPr>
              <w:jc w:val="left"/>
              <w:rPr>
                <w:rFonts w:ascii="宋体" w:hAnsi="宋体" w:cs="宋体"/>
                <w:color w:val="auto"/>
                <w:sz w:val="24"/>
                <w:highlight w:val="none"/>
              </w:rPr>
            </w:pPr>
            <w:r>
              <w:rPr>
                <w:rFonts w:hint="eastAsia" w:ascii="宋体" w:hAnsi="宋体" w:cs="宋体"/>
                <w:color w:val="auto"/>
                <w:sz w:val="24"/>
                <w:highlight w:val="none"/>
              </w:rPr>
              <w:t xml:space="preserve">■不允许</w:t>
            </w:r>
            <w:r/>
          </w:p>
          <w:p>
            <w:pPr>
              <w:jc w:val="left"/>
              <w:rPr>
                <w:rFonts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801"/>
              <w:jc w:val="center"/>
              <w:rPr>
                <w:rFonts w:hint="default" w:hAnsi="宋体" w:cs="宋体"/>
                <w:color w:val="auto"/>
                <w:sz w:val="24"/>
                <w:szCs w:val="24"/>
                <w:highlight w:val="none"/>
              </w:rPr>
            </w:pPr>
            <w:r>
              <w:rPr>
                <w:rFonts w:hAnsi="宋体" w:cs="宋体"/>
                <w:color w:val="auto"/>
                <w:sz w:val="24"/>
                <w:szCs w:val="24"/>
                <w:highlight w:val="none"/>
              </w:rPr>
              <w:t xml:space="preserve">24.1.1</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询问</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询问送达形式：</w:t>
            </w:r>
            <w:r>
              <w:rPr>
                <w:rFonts w:hint="eastAsia" w:ascii="宋体" w:hAnsi="宋体" w:cs="宋体"/>
                <w:b/>
                <w:bCs/>
                <w:color w:val="auto"/>
                <w:sz w:val="24"/>
                <w:highlight w:val="none"/>
                <w:u w:val="single"/>
              </w:rPr>
              <w:t xml:space="preserve"> 于2026年</w:t>
            </w:r>
            <w:r>
              <w:rPr>
                <w:rFonts w:hint="eastAsia" w:ascii="宋体" w:hAnsi="宋体" w:cs="宋体"/>
                <w:b/>
                <w:bCs/>
                <w:color w:val="auto"/>
                <w:sz w:val="24"/>
                <w:highlight w:val="none"/>
                <w:u w:val="single"/>
                <w:lang w:val="en-US" w:eastAsia="zh-CN"/>
              </w:rPr>
              <w:t xml:space="preserve">9</w:t>
            </w:r>
            <w:r>
              <w:rPr>
                <w:rFonts w:hint="eastAsia" w:ascii="宋体" w:hAnsi="宋体" w:cs="宋体"/>
                <w:b/>
                <w:bCs/>
                <w:color w:val="auto"/>
                <w:sz w:val="24"/>
                <w:highlight w:val="none"/>
                <w:u w:val="single"/>
              </w:rPr>
              <w:t xml:space="preserve">月</w:t>
            </w:r>
            <w:r>
              <w:rPr>
                <w:rFonts w:hint="eastAsia" w:ascii="宋体" w:hAnsi="宋体" w:cs="宋体"/>
                <w:b/>
                <w:bCs/>
                <w:color w:val="auto"/>
                <w:sz w:val="24"/>
                <w:highlight w:val="none"/>
                <w:u w:val="single"/>
                <w:lang w:val="en-US" w:eastAsia="zh-CN"/>
              </w:rPr>
              <w:t xml:space="preserve">17</w:t>
            </w:r>
            <w:r>
              <w:rPr>
                <w:rFonts w:hint="eastAsia" w:ascii="宋体" w:hAnsi="宋体" w:cs="宋体"/>
                <w:b/>
                <w:bCs/>
                <w:color w:val="auto"/>
                <w:sz w:val="24"/>
                <w:highlight w:val="none"/>
                <w:u w:val="single"/>
              </w:rPr>
              <w:t xml:space="preserve">日11:00（北京时间）</w:t>
            </w:r>
            <w:r>
              <w:rPr>
                <w:rFonts w:hint="eastAsia" w:ascii="宋体" w:hAnsi="宋体" w:cs="宋体"/>
                <w:color w:val="auto"/>
                <w:sz w:val="24"/>
                <w:highlight w:val="none"/>
                <w:u w:val="single"/>
              </w:rPr>
              <w:t xml:space="preserve">前以书面形式递交至江苏尚阳工程管理有限公司 </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801"/>
              <w:jc w:val="center"/>
              <w:rPr>
                <w:rFonts w:hint="default" w:hAnsi="宋体" w:cs="宋体"/>
                <w:color w:val="auto"/>
                <w:sz w:val="24"/>
                <w:szCs w:val="24"/>
                <w:highlight w:val="none"/>
              </w:rPr>
            </w:pPr>
            <w:r>
              <w:rPr>
                <w:rFonts w:hAnsi="宋体" w:cs="宋体"/>
                <w:color w:val="auto"/>
                <w:sz w:val="24"/>
                <w:szCs w:val="24"/>
                <w:highlight w:val="none"/>
              </w:rPr>
              <w:t xml:space="preserve">24.3</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联系方式</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bidi="ar"/>
              </w:rPr>
              <w:t xml:space="preserve">嵇玲</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bidi="ar"/>
              </w:rPr>
              <w:t xml:space="preserve">0519-88818295（8000）</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jc w:val="left"/>
              <w:rPr>
                <w:rFonts w:ascii="宋体" w:hAnsi="宋体" w:cs="宋体"/>
                <w:color w:val="auto"/>
                <w:sz w:val="24"/>
                <w:highlight w:val="none"/>
              </w:rPr>
            </w:pPr>
            <w:r>
              <w:rPr>
                <w:rFonts w:hint="eastAsia" w:ascii="宋体" w:hAnsi="宋体" w:cs="宋体"/>
                <w:color w:val="auto"/>
                <w:sz w:val="24"/>
                <w:highlight w:val="none"/>
              </w:rPr>
              <w:t xml:space="preserve">通讯地址：</w:t>
            </w:r>
            <w:r>
              <w:rPr>
                <w:rFonts w:hint="eastAsia" w:ascii="宋体" w:hAnsi="宋体" w:cs="宋体"/>
                <w:color w:val="auto"/>
                <w:sz w:val="24"/>
                <w:highlight w:val="none"/>
                <w:u w:val="single"/>
              </w:rPr>
              <w:t xml:space="preserve">  常州市新北区嵩山路1-301号 </w:t>
            </w:r>
            <w:r>
              <w:rPr>
                <w:rFonts w:hint="eastAsia" w:ascii="宋体" w:hAnsi="宋体" w:cs="宋体"/>
                <w:color w:val="auto"/>
                <w:sz w:val="24"/>
                <w:highlight w:val="none"/>
              </w:rPr>
              <w:t xml:space="preserve">。</w:t>
            </w:r>
            <w:r/>
          </w:p>
        </w:tc>
      </w:tr>
      <w:tr>
        <w:trPr>
          <w:jc w:val="center"/>
          <w:trHeight w:val="20"/>
        </w:trPr>
        <w:tc>
          <w:tcPr>
            <w:tcW w:w="988" w:type="dxa"/>
            <w:vAlign w:val="center"/>
            <w:textDirection w:val="lrTb"/>
            <w:noWrap w:val="false"/>
          </w:tcPr>
          <w:p>
            <w:pPr>
              <w:pStyle w:val="801"/>
              <w:jc w:val="center"/>
              <w:rPr>
                <w:rFonts w:hint="default" w:hAnsi="宋体" w:cs="宋体"/>
                <w:color w:val="auto"/>
                <w:sz w:val="24"/>
                <w:szCs w:val="24"/>
                <w:highlight w:val="none"/>
              </w:rPr>
            </w:pPr>
            <w:r>
              <w:rPr>
                <w:rFonts w:hAnsi="宋体" w:cs="宋体"/>
                <w:color w:val="auto"/>
                <w:sz w:val="24"/>
                <w:szCs w:val="24"/>
                <w:highlight w:val="none"/>
              </w:rPr>
              <w:t xml:space="preserve">25</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代理费</w:t>
            </w:r>
            <w:r/>
          </w:p>
        </w:tc>
        <w:tc>
          <w:tcPr>
            <w:tcW w:w="7253" w:type="dxa"/>
            <w:vAlign w:val="center"/>
            <w:textDirection w:val="lrTb"/>
            <w:noWrap w:val="false"/>
          </w:tcPr>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收费对象：</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□采购人</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■成交供应商</w:t>
            </w:r>
            <w:r/>
          </w:p>
          <w:p>
            <w:pPr>
              <w:jc w:val="left"/>
              <w:rPr>
                <w:rFonts w:hint="eastAsia" w:ascii="宋体" w:hAnsi="宋体" w:eastAsia="宋体" w:cs="宋体"/>
                <w:color w:val="auto"/>
                <w:sz w:val="24"/>
                <w:szCs w:val="24"/>
                <w:highlight w:val="none"/>
                <w:u w:val="none"/>
                <w:shd w:val="clear" w:color="auto" w:fill="auto"/>
                <w:lang w:eastAsia="zh-CN"/>
              </w:rPr>
            </w:pPr>
            <w:r>
              <w:rPr>
                <w:rFonts w:hint="eastAsia" w:ascii="宋体" w:hAnsi="宋体" w:eastAsia="宋体" w:cs="宋体"/>
                <w:color w:val="auto"/>
                <w:sz w:val="24"/>
                <w:szCs w:val="24"/>
                <w:highlight w:val="none"/>
                <w:shd w:val="clear" w:color="auto" w:fill="auto"/>
              </w:rPr>
              <w:t xml:space="preserve">收费标准：</w:t>
            </w:r>
            <w:r>
              <w:rPr>
                <w:rFonts w:hint="eastAsia" w:ascii="宋体" w:hAnsi="宋体" w:cs="宋体"/>
                <w:color w:val="auto"/>
                <w:sz w:val="24"/>
                <w:highlight w:val="none"/>
                <w:u w:val="single"/>
              </w:rPr>
              <w:t xml:space="preserve"> </w:t>
            </w:r>
            <w:r>
              <w:rPr>
                <w:rFonts w:hint="eastAsia" w:ascii="宋体" w:hAnsi="宋体" w:eastAsia="宋体" w:cs="宋体"/>
                <w:color w:val="auto"/>
                <w:sz w:val="24"/>
                <w:szCs w:val="24"/>
                <w:highlight w:val="none"/>
                <w:u w:val="single"/>
                <w:shd w:val="clear" w:color="auto" w:fill="auto"/>
              </w:rPr>
              <w:t xml:space="preserve">收费比例按差额定率分档累进法计算，收费差额费率：</w:t>
            </w:r>
            <w:r>
              <w:rPr>
                <w:rFonts w:hint="eastAsia" w:ascii="宋体" w:hAnsi="宋体" w:eastAsia="宋体" w:cs="宋体"/>
                <w:color w:val="auto"/>
                <w:sz w:val="24"/>
                <w:szCs w:val="24"/>
                <w:highlight w:val="none"/>
                <w:u w:val="single"/>
                <w:shd w:val="clear" w:color="auto" w:fill="auto"/>
                <w:lang w:val="en-US" w:eastAsia="zh-CN"/>
              </w:rPr>
              <w:t xml:space="preserve">成交</w:t>
            </w:r>
            <w:r>
              <w:rPr>
                <w:rFonts w:hint="eastAsia" w:ascii="宋体" w:hAnsi="宋体" w:eastAsia="宋体" w:cs="宋体"/>
                <w:color w:val="auto"/>
                <w:sz w:val="24"/>
                <w:szCs w:val="24"/>
                <w:highlight w:val="none"/>
                <w:u w:val="single"/>
                <w:shd w:val="clear" w:color="auto" w:fill="auto"/>
              </w:rPr>
              <w:t xml:space="preserve">金额在100万元(含)以下的为1.</w:t>
            </w:r>
            <w:r>
              <w:rPr>
                <w:rFonts w:hint="eastAsia" w:ascii="宋体" w:hAnsi="宋体" w:eastAsia="宋体" w:cs="宋体"/>
                <w:color w:val="auto"/>
                <w:sz w:val="24"/>
                <w:szCs w:val="24"/>
                <w:highlight w:val="none"/>
                <w:u w:val="single"/>
                <w:shd w:val="clear" w:color="auto" w:fill="auto"/>
                <w:lang w:val="en-US" w:eastAsia="zh-CN"/>
              </w:rPr>
              <w:t xml:space="preserve">0</w:t>
            </w:r>
            <w:r>
              <w:rPr>
                <w:rFonts w:hint="eastAsia" w:ascii="宋体" w:hAnsi="宋体" w:eastAsia="宋体" w:cs="宋体"/>
                <w:color w:val="auto"/>
                <w:sz w:val="24"/>
                <w:szCs w:val="24"/>
                <w:highlight w:val="none"/>
                <w:u w:val="single"/>
                <w:shd w:val="clear" w:color="auto" w:fill="auto"/>
              </w:rPr>
              <w:t xml:space="preserve">%，</w:t>
            </w:r>
            <w:r>
              <w:rPr>
                <w:rFonts w:hint="eastAsia" w:ascii="宋体" w:hAnsi="宋体" w:eastAsia="宋体" w:cs="宋体"/>
                <w:color w:val="auto"/>
                <w:sz w:val="24"/>
                <w:szCs w:val="24"/>
                <w:highlight w:val="none"/>
                <w:u w:val="single"/>
                <w:shd w:val="clear" w:color="auto" w:fill="auto"/>
                <w:lang w:val="en-US" w:eastAsia="zh-CN"/>
              </w:rPr>
              <w:t xml:space="preserve">成交</w:t>
            </w:r>
            <w:r>
              <w:rPr>
                <w:rFonts w:hint="eastAsia" w:ascii="宋体" w:hAnsi="宋体" w:eastAsia="宋体" w:cs="宋体"/>
                <w:color w:val="auto"/>
                <w:sz w:val="24"/>
                <w:szCs w:val="24"/>
                <w:highlight w:val="none"/>
                <w:u w:val="single"/>
                <w:shd w:val="clear" w:color="auto" w:fill="auto"/>
              </w:rPr>
              <w:t xml:space="preserve">金额在100万元（不含）至500万元（含）的为0.</w:t>
            </w:r>
            <w:r>
              <w:rPr>
                <w:rFonts w:hint="eastAsia" w:ascii="宋体" w:hAnsi="宋体" w:eastAsia="宋体" w:cs="宋体"/>
                <w:color w:val="auto"/>
                <w:sz w:val="24"/>
                <w:szCs w:val="24"/>
                <w:highlight w:val="none"/>
                <w:u w:val="single"/>
                <w:shd w:val="clear" w:color="auto" w:fill="auto"/>
                <w:lang w:val="en-US" w:eastAsia="zh-CN"/>
              </w:rPr>
              <w:t xml:space="preserve">7</w:t>
            </w:r>
            <w:r>
              <w:rPr>
                <w:rFonts w:hint="eastAsia" w:ascii="宋体" w:hAnsi="宋体" w:eastAsia="宋体" w:cs="宋体"/>
                <w:color w:val="auto"/>
                <w:sz w:val="24"/>
                <w:szCs w:val="24"/>
                <w:highlight w:val="none"/>
                <w:u w:val="single"/>
                <w:shd w:val="clear" w:color="auto" w:fill="auto"/>
              </w:rPr>
              <w:t xml:space="preserve">%，</w:t>
            </w:r>
            <w:r>
              <w:rPr>
                <w:rFonts w:hint="eastAsia" w:ascii="宋体" w:hAnsi="宋体" w:eastAsia="宋体" w:cs="宋体"/>
                <w:color w:val="auto"/>
                <w:sz w:val="24"/>
                <w:szCs w:val="24"/>
                <w:highlight w:val="none"/>
                <w:u w:val="single"/>
                <w:shd w:val="clear" w:color="auto" w:fill="auto"/>
                <w:lang w:val="en-US" w:eastAsia="zh-CN"/>
              </w:rPr>
              <w:t xml:space="preserve">成交</w:t>
            </w:r>
            <w:r>
              <w:rPr>
                <w:rFonts w:hint="eastAsia" w:ascii="宋体" w:hAnsi="宋体" w:eastAsia="宋体" w:cs="宋体"/>
                <w:color w:val="auto"/>
                <w:sz w:val="24"/>
                <w:szCs w:val="24"/>
                <w:highlight w:val="none"/>
                <w:u w:val="single"/>
                <w:shd w:val="clear" w:color="auto" w:fill="auto"/>
              </w:rPr>
              <w:t xml:space="preserve">金额在</w:t>
            </w:r>
            <w:r>
              <w:rPr>
                <w:rFonts w:hint="eastAsia" w:ascii="宋体" w:hAnsi="宋体" w:eastAsia="宋体" w:cs="宋体"/>
                <w:color w:val="auto"/>
                <w:sz w:val="24"/>
                <w:szCs w:val="24"/>
                <w:highlight w:val="none"/>
                <w:u w:val="single"/>
                <w:shd w:val="clear" w:color="auto" w:fill="auto"/>
                <w:lang w:val="en-US" w:eastAsia="zh-CN"/>
              </w:rPr>
              <w:t xml:space="preserve">5</w:t>
            </w:r>
            <w:r>
              <w:rPr>
                <w:rFonts w:hint="eastAsia" w:ascii="宋体" w:hAnsi="宋体" w:eastAsia="宋体" w:cs="宋体"/>
                <w:color w:val="auto"/>
                <w:sz w:val="24"/>
                <w:szCs w:val="24"/>
                <w:highlight w:val="none"/>
                <w:u w:val="single"/>
                <w:shd w:val="clear" w:color="auto" w:fill="auto"/>
              </w:rPr>
              <w:t xml:space="preserve">00万元（不含）至</w:t>
            </w:r>
            <w:r>
              <w:rPr>
                <w:rFonts w:hint="eastAsia" w:ascii="宋体" w:hAnsi="宋体" w:eastAsia="宋体" w:cs="宋体"/>
                <w:color w:val="auto"/>
                <w:sz w:val="24"/>
                <w:szCs w:val="24"/>
                <w:highlight w:val="none"/>
                <w:u w:val="single"/>
                <w:shd w:val="clear" w:color="auto" w:fill="auto"/>
                <w:lang w:val="en-US" w:eastAsia="zh-CN"/>
              </w:rPr>
              <w:t xml:space="preserve">10</w:t>
            </w:r>
            <w:r>
              <w:rPr>
                <w:rFonts w:hint="eastAsia" w:ascii="宋体" w:hAnsi="宋体" w:eastAsia="宋体" w:cs="宋体"/>
                <w:color w:val="auto"/>
                <w:sz w:val="24"/>
                <w:szCs w:val="24"/>
                <w:highlight w:val="none"/>
                <w:u w:val="single"/>
                <w:shd w:val="clear" w:color="auto" w:fill="auto"/>
              </w:rPr>
              <w:t xml:space="preserve">00万元（含）的为0.</w:t>
            </w:r>
            <w:r>
              <w:rPr>
                <w:rFonts w:hint="eastAsia" w:ascii="宋体" w:hAnsi="宋体" w:eastAsia="宋体" w:cs="宋体"/>
                <w:color w:val="auto"/>
                <w:sz w:val="24"/>
                <w:szCs w:val="24"/>
                <w:highlight w:val="none"/>
                <w:u w:val="single"/>
                <w:shd w:val="clear" w:color="auto" w:fill="auto"/>
                <w:lang w:val="en-US" w:eastAsia="zh-CN"/>
              </w:rPr>
              <w:t xml:space="preserve">55</w:t>
            </w:r>
            <w:r>
              <w:rPr>
                <w:rFonts w:hint="eastAsia" w:ascii="宋体" w:hAnsi="宋体" w:eastAsia="宋体" w:cs="宋体"/>
                <w:color w:val="auto"/>
                <w:sz w:val="24"/>
                <w:szCs w:val="24"/>
                <w:highlight w:val="none"/>
                <w:u w:val="single"/>
                <w:shd w:val="clear" w:color="auto" w:fill="auto"/>
              </w:rPr>
              <w:t xml:space="preserve">%，</w:t>
            </w:r>
            <w:r>
              <w:rPr>
                <w:rFonts w:hint="eastAsia" w:ascii="宋体" w:hAnsi="宋体" w:eastAsia="宋体" w:cs="宋体"/>
                <w:color w:val="auto"/>
                <w:sz w:val="24"/>
                <w:szCs w:val="24"/>
                <w:highlight w:val="none"/>
                <w:u w:val="single"/>
                <w:shd w:val="clear" w:color="auto" w:fill="auto"/>
                <w:lang w:val="en-US" w:eastAsia="zh-CN"/>
              </w:rPr>
              <w:t xml:space="preserve">成交</w:t>
            </w:r>
            <w:r>
              <w:rPr>
                <w:rFonts w:hint="eastAsia" w:ascii="宋体" w:hAnsi="宋体" w:eastAsia="宋体" w:cs="宋体"/>
                <w:color w:val="auto"/>
                <w:sz w:val="24"/>
                <w:szCs w:val="24"/>
                <w:highlight w:val="none"/>
                <w:u w:val="single"/>
                <w:shd w:val="clear" w:color="auto" w:fill="auto"/>
              </w:rPr>
              <w:t xml:space="preserve">服务收费按上述计算方法不足人民币3000元的，按人民币3000元收取</w:t>
            </w:r>
            <w:r>
              <w:rPr>
                <w:rFonts w:hint="eastAsia" w:ascii="宋体" w:hAnsi="宋体" w:cs="宋体"/>
                <w:color w:val="auto"/>
                <w:sz w:val="24"/>
                <w:highlight w:val="none"/>
                <w:u w:val="single"/>
              </w:rPr>
              <w:t xml:space="preserve"> </w:t>
            </w:r>
            <w:r>
              <w:rPr>
                <w:rFonts w:hint="eastAsia" w:ascii="宋体" w:hAnsi="宋体" w:eastAsia="宋体" w:cs="宋体"/>
                <w:color w:val="auto"/>
                <w:sz w:val="24"/>
                <w:szCs w:val="24"/>
                <w:highlight w:val="none"/>
                <w:u w:val="none"/>
                <w:shd w:val="clear" w:color="auto" w:fill="auto"/>
                <w:lang w:eastAsia="zh-CN"/>
              </w:rPr>
              <w:t xml:space="preserve">；</w:t>
            </w:r>
            <w:r/>
          </w:p>
          <w:p>
            <w:pPr>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缴纳时间：</w:t>
            </w:r>
            <w:r>
              <w:rPr>
                <w:rFonts w:hint="eastAsia" w:ascii="宋体" w:hAnsi="宋体" w:eastAsia="宋体" w:cs="宋体"/>
                <w:color w:val="auto"/>
                <w:sz w:val="24"/>
                <w:szCs w:val="24"/>
                <w:highlight w:val="none"/>
                <w:u w:val="single"/>
                <w:shd w:val="clear" w:color="auto" w:fill="auto"/>
              </w:rPr>
              <w:t xml:space="preserve"> 成交供应商应在领取成交通知书时将成交服务费付至采购代理机构的</w:t>
            </w:r>
            <w:r>
              <w:rPr>
                <w:rFonts w:hint="eastAsia" w:ascii="宋体" w:hAnsi="宋体" w:eastAsia="宋体" w:cs="宋体"/>
                <w:color w:val="auto"/>
                <w:sz w:val="24"/>
                <w:szCs w:val="24"/>
                <w:highlight w:val="none"/>
                <w:u w:val="single"/>
                <w:shd w:val="clear" w:color="auto" w:fill="auto"/>
                <w:lang w:eastAsia="zh-CN"/>
              </w:rPr>
              <w:t xml:space="preserve">账</w:t>
            </w:r>
            <w:r>
              <w:rPr>
                <w:rFonts w:hint="eastAsia" w:ascii="宋体" w:hAnsi="宋体" w:eastAsia="宋体" w:cs="宋体"/>
                <w:color w:val="auto"/>
                <w:sz w:val="24"/>
                <w:szCs w:val="24"/>
                <w:highlight w:val="none"/>
                <w:u w:val="single"/>
                <w:shd w:val="clear" w:color="auto" w:fill="auto"/>
              </w:rPr>
              <w:t xml:space="preserve">户并备注项目编号 </w:t>
            </w:r>
            <w:r>
              <w:rPr>
                <w:rFonts w:hint="eastAsia" w:ascii="宋体" w:hAnsi="宋体" w:eastAsia="宋体" w:cs="宋体"/>
                <w:color w:val="auto"/>
                <w:sz w:val="24"/>
                <w:szCs w:val="24"/>
                <w:highlight w:val="none"/>
                <w:shd w:val="clear" w:color="auto" w:fill="auto"/>
              </w:rPr>
              <w:t xml:space="preserve">。</w:t>
            </w:r>
            <w:r/>
          </w:p>
          <w:p>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收款单位：江苏尚阳工程管理有限公司</w:t>
            </w:r>
            <w:r/>
          </w:p>
          <w:p>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银行账号：406010100100626575</w:t>
            </w:r>
            <w:r/>
          </w:p>
          <w:p>
            <w:pPr>
              <w:jc w:val="left"/>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开户银行：兴业银行股份有限公司常州分行</w:t>
            </w:r>
            <w:r/>
          </w:p>
          <w:p>
            <w:pPr>
              <w:jc w:val="left"/>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代理服务费支付说明及原因： </w:t>
            </w:r>
            <w:r/>
          </w:p>
          <w:p>
            <w:pPr>
              <w:jc w:val="left"/>
              <w:rPr>
                <w:rFonts w:ascii="宋体" w:hAnsi="宋体" w:cs="宋体"/>
                <w:color w:val="auto"/>
                <w:sz w:val="24"/>
                <w:highlight w:val="none"/>
                <w:u w:val="single"/>
              </w:rPr>
            </w:pPr>
            <w:r>
              <w:rPr>
                <w:rFonts w:hint="eastAsia" w:ascii="宋体" w:hAnsi="宋体" w:eastAsia="宋体" w:cs="宋体"/>
                <w:color w:val="auto"/>
                <w:sz w:val="24"/>
                <w:szCs w:val="24"/>
                <w:highlight w:val="none"/>
                <w:u w:val="none"/>
                <w:shd w:val="clear" w:color="auto" w:fill="auto"/>
              </w:rPr>
              <w:t xml:space="preserve">1.支付依据：根据《政府采购代理机构管理暂行办法》第十五条规定，代理费用可以由中标、成交供应商支付。本项目经采购人与采购代理机构在《委托代理协议》中约定，代理服务费由中标/成交供应商支付。 2.定价原则：本项目代理服务费遵循市场调节原则，由采购人与代理机构根据项目特点、服务成本及市场行情协商确定收费标准。 3.报价要求：供应商在编制响应报价时，应当将代理服务费包含在总报价中。若供应商未将此项费用计入报价，视为其已承诺自行承担或放弃相关权利，但仍须按采购文件规定的标准足额缴纳代理服务费后方可领取成交通知书。</w:t>
            </w:r>
            <w:r/>
          </w:p>
        </w:tc>
      </w:tr>
      <w:tr>
        <w:trPr>
          <w:jc w:val="center"/>
          <w:trHeight w:val="20"/>
        </w:trPr>
        <w:tc>
          <w:tcPr>
            <w:tcW w:w="988" w:type="dxa"/>
            <w:vAlign w:val="center"/>
            <w:textDirection w:val="lrTb"/>
            <w:noWrap w:val="false"/>
          </w:tcPr>
          <w:p>
            <w:pPr>
              <w:pStyle w:val="801"/>
              <w:jc w:val="center"/>
              <w:rPr>
                <w:rFonts w:hint="default" w:hAnsi="宋体" w:cs="宋体"/>
                <w:color w:val="auto"/>
                <w:sz w:val="24"/>
                <w:szCs w:val="24"/>
                <w:highlight w:val="none"/>
              </w:rPr>
            </w:pPr>
            <w:r>
              <w:rPr>
                <w:rFonts w:hAnsi="宋体" w:cs="宋体"/>
                <w:color w:val="auto"/>
                <w:sz w:val="24"/>
                <w:szCs w:val="24"/>
                <w:highlight w:val="none"/>
              </w:rPr>
              <w:t xml:space="preserve">26</w:t>
            </w:r>
            <w:r/>
          </w:p>
        </w:tc>
        <w:tc>
          <w:tcPr>
            <w:tcW w:w="17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电子系统意外情况处理条款</w:t>
            </w:r>
            <w:r/>
          </w:p>
        </w:tc>
        <w:tc>
          <w:tcPr>
            <w:tcW w:w="7253"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为确保本项目电子化采购活动顺利进行，防范化解采购风险，特制定相关情形处置举措。所有潜在供应商及参与各方均应知悉并遵守以下规定：</w:t>
            </w:r>
            <w:r/>
          </w:p>
          <w:p>
            <w:pPr>
              <w:jc w:val="left"/>
              <w:rPr>
                <w:rFonts w:ascii="宋体" w:hAnsi="宋体" w:cs="宋体"/>
                <w:color w:val="auto"/>
                <w:sz w:val="24"/>
                <w:highlight w:val="none"/>
              </w:rPr>
            </w:pPr>
            <w:r>
              <w:rPr>
                <w:rFonts w:hint="eastAsia" w:ascii="宋体" w:hAnsi="宋体" w:cs="宋体"/>
                <w:color w:val="auto"/>
                <w:sz w:val="24"/>
                <w:highlight w:val="none"/>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p>
          <w:p>
            <w:pPr>
              <w:jc w:val="left"/>
              <w:rPr>
                <w:rFonts w:ascii="宋体" w:hAnsi="宋体" w:cs="宋体"/>
                <w:color w:val="auto"/>
                <w:sz w:val="24"/>
                <w:highlight w:val="none"/>
              </w:rPr>
            </w:pPr>
            <w:r>
              <w:rPr>
                <w:rFonts w:hint="eastAsia" w:ascii="宋体" w:hAnsi="宋体" w:cs="宋体"/>
                <w:color w:val="auto"/>
                <w:sz w:val="24"/>
                <w:highlight w:val="none"/>
              </w:rPr>
              <w:t xml:space="preserve">2.开标前环节故障处置：在供应商报名、响应文件上传、响应文件解密及唱标环节等开标活动开始前的任何环节出现系统无法访问的情形，采购代理机构将按照以下原则处置：</w:t>
            </w:r>
            <w:r/>
          </w:p>
          <w:p>
            <w:pPr>
              <w:jc w:val="left"/>
              <w:rPr>
                <w:rFonts w:ascii="宋体" w:hAnsi="宋体" w:cs="宋体"/>
                <w:color w:val="auto"/>
                <w:sz w:val="24"/>
                <w:highlight w:val="none"/>
              </w:rPr>
            </w:pPr>
            <w:r>
              <w:rPr>
                <w:rFonts w:hint="eastAsia" w:ascii="宋体" w:hAnsi="宋体" w:cs="宋体"/>
                <w:color w:val="auto"/>
                <w:sz w:val="24"/>
                <w:highlight w:val="none"/>
              </w:rPr>
              <w:t xml:space="preserve">（一）若故障可在短时间内排除，采购代理机构将等待系统修复后，继续开展采购活动。</w:t>
            </w:r>
            <w:r/>
          </w:p>
          <w:p>
            <w:pPr>
              <w:jc w:val="left"/>
              <w:rPr>
                <w:rFonts w:ascii="宋体" w:hAnsi="宋体" w:cs="宋体"/>
                <w:color w:val="auto"/>
                <w:sz w:val="24"/>
                <w:highlight w:val="none"/>
              </w:rPr>
            </w:pPr>
            <w:r>
              <w:rPr>
                <w:rFonts w:hint="eastAsia" w:ascii="宋体" w:hAnsi="宋体" w:cs="宋体"/>
                <w:color w:val="auto"/>
                <w:sz w:val="24"/>
                <w:highlight w:val="none"/>
              </w:rPr>
              <w:t xml:space="preserve">（二）若故障无法在预定开标时间前排除，或故障情况严重影响公平竞争，采购代理机构将通过发布更正公告推迟开标。</w:t>
            </w:r>
            <w:r/>
          </w:p>
          <w:p>
            <w:pPr>
              <w:jc w:val="left"/>
              <w:rPr>
                <w:rFonts w:ascii="宋体" w:hAnsi="宋体" w:cs="宋体"/>
                <w:color w:val="auto"/>
                <w:sz w:val="24"/>
                <w:highlight w:val="none"/>
              </w:rPr>
            </w:pPr>
            <w:r>
              <w:rPr>
                <w:rFonts w:hint="eastAsia" w:ascii="宋体" w:hAnsi="宋体" w:cs="宋体"/>
                <w:color w:val="auto"/>
                <w:sz w:val="24"/>
                <w:highlight w:val="none"/>
              </w:rPr>
              <w:t xml:space="preserve">（三）若因故障导致有效供应商不足法定家数或出现其他法定废标情形，采购代理机构将发布废标（终止）公告，重新开展采购活动。</w:t>
            </w:r>
            <w:r/>
          </w:p>
          <w:p>
            <w:pPr>
              <w:jc w:val="left"/>
              <w:rPr>
                <w:rFonts w:ascii="宋体" w:hAnsi="宋体" w:cs="宋体"/>
                <w:color w:val="auto"/>
                <w:sz w:val="24"/>
                <w:highlight w:val="none"/>
              </w:rPr>
            </w:pPr>
            <w:r>
              <w:rPr>
                <w:rFonts w:hint="eastAsia" w:ascii="宋体" w:hAnsi="宋体" w:cs="宋体"/>
                <w:color w:val="auto"/>
                <w:sz w:val="24"/>
                <w:highlight w:val="none"/>
              </w:rPr>
              <w:t xml:space="preserve">特别说明：本项目响应文件递交方式以招标文件载明为准。在电子系统发生故障时，采购代理机构仅依据上述程序处理，不接受任何现场提交的纸质、U盘等非招标文件规定的响应文件。</w:t>
            </w:r>
            <w:r/>
          </w:p>
          <w:p>
            <w:pPr>
              <w:jc w:val="left"/>
              <w:rPr>
                <w:rFonts w:ascii="宋体" w:hAnsi="宋体" w:cs="宋体"/>
                <w:color w:val="auto"/>
                <w:sz w:val="24"/>
                <w:highlight w:val="none"/>
              </w:rPr>
            </w:pPr>
            <w:r>
              <w:rPr>
                <w:rFonts w:hint="eastAsia" w:ascii="宋体" w:hAnsi="宋体" w:cs="宋体"/>
                <w:color w:val="auto"/>
                <w:sz w:val="24"/>
                <w:highlight w:val="none"/>
              </w:rPr>
              <w:t xml:space="preserve">3.评审过程中故障处置：在评审委员会组建后至评审报告出具前的评审过程中出现系统无法访问的情形，采购代理机构将按照以下原则处置：</w:t>
            </w:r>
            <w:r/>
          </w:p>
          <w:p>
            <w:pPr>
              <w:jc w:val="left"/>
              <w:rPr>
                <w:rFonts w:ascii="宋体" w:hAnsi="宋体" w:cs="宋体"/>
                <w:color w:val="auto"/>
                <w:sz w:val="24"/>
                <w:highlight w:val="none"/>
              </w:rPr>
            </w:pPr>
            <w:r>
              <w:rPr>
                <w:rFonts w:hint="eastAsia" w:ascii="宋体" w:hAnsi="宋体" w:cs="宋体"/>
                <w:color w:val="auto"/>
                <w:sz w:val="24"/>
                <w:highlight w:val="none"/>
              </w:rPr>
              <w:t xml:space="preserve">（一）立即暂停评审：采购代理机构将立即宣布暂停评审活动，并采取必要措施封存所有响应文件及评审记录。</w:t>
            </w:r>
            <w:r/>
          </w:p>
          <w:p>
            <w:pPr>
              <w:jc w:val="left"/>
              <w:rPr>
                <w:rFonts w:ascii="宋体" w:hAnsi="宋体" w:cs="宋体"/>
                <w:color w:val="auto"/>
                <w:sz w:val="24"/>
                <w:highlight w:val="none"/>
              </w:rPr>
            </w:pPr>
            <w:r>
              <w:rPr>
                <w:rFonts w:hint="eastAsia" w:ascii="宋体" w:hAnsi="宋体" w:cs="宋体"/>
                <w:color w:val="auto"/>
                <w:sz w:val="24"/>
                <w:highlight w:val="none"/>
              </w:rPr>
              <w:t xml:space="preserve">（二）处置方案：视故障排除情况，采购代理机构将选择：</w:t>
            </w:r>
            <w:r/>
          </w:p>
          <w:p>
            <w:pPr>
              <w:jc w:val="left"/>
              <w:rPr>
                <w:rFonts w:ascii="宋体" w:hAnsi="宋体" w:cs="宋体"/>
                <w:color w:val="auto"/>
                <w:sz w:val="24"/>
                <w:highlight w:val="none"/>
              </w:rPr>
            </w:pPr>
            <w:r>
              <w:rPr>
                <w:rFonts w:hint="eastAsia" w:ascii="宋体" w:hAnsi="宋体" w:cs="宋体"/>
                <w:color w:val="auto"/>
                <w:sz w:val="24"/>
                <w:highlight w:val="none"/>
              </w:rPr>
              <w:t xml:space="preserve">1.若故障可在短时间内排除，采购代理机构将等待系统修复后，由原评审委员会继续完成评审；</w:t>
            </w:r>
            <w:r/>
          </w:p>
          <w:p>
            <w:pPr>
              <w:jc w:val="left"/>
              <w:rPr>
                <w:rFonts w:ascii="宋体" w:hAnsi="宋体" w:cs="宋体"/>
                <w:color w:val="auto"/>
                <w:sz w:val="24"/>
                <w:highlight w:val="none"/>
              </w:rPr>
            </w:pPr>
            <w:r>
              <w:rPr>
                <w:rFonts w:hint="eastAsia" w:ascii="宋体" w:hAnsi="宋体" w:cs="宋体"/>
                <w:color w:val="auto"/>
                <w:sz w:val="24"/>
                <w:highlight w:val="none"/>
              </w:rPr>
              <w:t xml:space="preserve">2. 若故障无法在当日排除，或故障导致评审无法公正进行，将发布废标（终止）公告，重新开展采购活动；</w:t>
            </w:r>
            <w:r/>
          </w:p>
          <w:p>
            <w:pPr>
              <w:jc w:val="left"/>
              <w:rPr>
                <w:rFonts w:ascii="宋体" w:hAnsi="宋体" w:cs="宋体"/>
                <w:color w:val="auto"/>
                <w:sz w:val="24"/>
                <w:highlight w:val="none"/>
              </w:rPr>
            </w:pPr>
            <w:r>
              <w:rPr>
                <w:rFonts w:hint="eastAsia" w:ascii="宋体" w:hAnsi="宋体" w:cs="宋体"/>
                <w:color w:val="auto"/>
                <w:sz w:val="24"/>
                <w:highlight w:val="none"/>
              </w:rPr>
              <w:t xml:space="preserve">3.若需在第二日继续评审，采购代理机构将重新从政府采购评审专家库中抽取专家，组建新的评审委员会，在系统修复后继续评审活动。</w:t>
            </w:r>
            <w:r/>
          </w:p>
          <w:p>
            <w:pPr>
              <w:jc w:val="left"/>
              <w:rPr>
                <w:rFonts w:ascii="宋体" w:hAnsi="宋体" w:cs="宋体"/>
                <w:color w:val="auto"/>
                <w:sz w:val="24"/>
                <w:highlight w:val="none"/>
              </w:rPr>
            </w:pPr>
            <w:r>
              <w:rPr>
                <w:rFonts w:hint="eastAsia" w:ascii="宋体" w:hAnsi="宋体" w:cs="宋体"/>
                <w:color w:val="auto"/>
                <w:sz w:val="24"/>
                <w:highlight w:val="none"/>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（四）供应商责任：供应商有责任确保自身网络环境、设备及数字证书（CA）的正常，并在招标文件规定的期限内完成文件上传、解密等操作。因供应商自身原因导致的操作失败，不适用本意外情况处理条款。</w:t>
            </w:r>
            <w:r/>
          </w:p>
        </w:tc>
      </w:tr>
    </w:tbl>
    <w:p>
      <w:pPr>
        <w:jc w:val="center"/>
        <w:spacing w:line="360" w:lineRule="auto"/>
        <w:rPr>
          <w:rFonts w:hint="eastAsia" w:ascii="宋体" w:hAnsi="宋体"/>
          <w:b/>
          <w:bCs/>
          <w:color w:val="auto"/>
          <w:sz w:val="28"/>
          <w:szCs w:val="28"/>
          <w:highlight w:val="none"/>
        </w:rPr>
        <w:sectPr>
          <w:footnotePr/>
          <w:endnotePr/>
          <w:type w:val="nextPage"/>
          <w:pgSz w:w="11907" w:h="16840" w:orient="portrait"/>
          <w:pgMar w:top="1440" w:right="1304" w:bottom="1440" w:left="1304" w:header="851" w:footer="851" w:gutter="0"/>
          <w:cols w:num="1" w:sep="0" w:space="720" w:equalWidth="1"/>
          <w:docGrid w:linePitch="360"/>
        </w:sectPr>
      </w:pPr>
      <w:r>
        <w:rPr>
          <w:rFonts w:hint="eastAsia"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供应商须知</w:t>
      </w:r>
      <w:r/>
    </w:p>
    <w:p>
      <w:pPr>
        <w:jc w:val="center"/>
        <w:spacing w:line="360" w:lineRule="auto"/>
        <w:rPr>
          <w:rFonts w:ascii="宋体" w:hAnsi="宋体"/>
          <w:b/>
          <w:bCs/>
          <w:color w:val="auto"/>
          <w:sz w:val="28"/>
          <w:szCs w:val="28"/>
          <w:highlight w:val="none"/>
        </w:rPr>
      </w:pPr>
      <w:r/>
      <w:bookmarkStart w:id="68" w:name="_Toc151193688"/>
      <w:r/>
      <w:bookmarkStart w:id="69" w:name="_Toc151193906"/>
      <w:r/>
      <w:bookmarkStart w:id="70" w:name="_Toc142311020"/>
      <w:r/>
      <w:bookmarkStart w:id="71" w:name="_Toc264969208"/>
      <w:r/>
      <w:bookmarkStart w:id="72" w:name="_Toc150509269"/>
      <w:r/>
      <w:bookmarkStart w:id="73" w:name="_Toc520356143"/>
      <w:r/>
      <w:bookmarkStart w:id="74" w:name="_Toc151193616"/>
      <w:r/>
      <w:bookmarkStart w:id="75" w:name="_Toc151190145"/>
      <w:r/>
      <w:bookmarkStart w:id="76" w:name="_Toc226337214"/>
      <w:r/>
      <w:bookmarkStart w:id="77" w:name="_Toc151193832"/>
      <w:r/>
      <w:bookmarkStart w:id="78" w:name="_Toc226965791"/>
      <w:r/>
      <w:bookmarkStart w:id="79" w:name="_Toc226965708"/>
      <w:r/>
      <w:bookmarkStart w:id="80" w:name="_Toc226309762"/>
      <w:r/>
      <w:bookmarkStart w:id="81" w:name="_Toc150774618"/>
      <w:r/>
      <w:bookmarkStart w:id="82" w:name="_Toc265228356"/>
      <w:r/>
      <w:bookmarkStart w:id="83" w:name="_Toc127151518"/>
      <w:r/>
      <w:bookmarkStart w:id="84" w:name="_Toc150774723"/>
      <w:r/>
      <w:bookmarkStart w:id="85" w:name="_Toc195842883"/>
      <w:r/>
      <w:bookmarkStart w:id="86" w:name="_Toc305158860"/>
      <w:r/>
      <w:bookmarkStart w:id="87" w:name="_Toc305158786"/>
      <w:r/>
      <w:bookmarkStart w:id="88" w:name="_Toc150480756"/>
      <w:r/>
      <w:bookmarkStart w:id="89" w:name="_Toc151193760"/>
      <w:r>
        <w:rPr>
          <w:rFonts w:hint="eastAsia" w:ascii="宋体" w:hAnsi="宋体"/>
          <w:b/>
          <w:bCs/>
          <w:color w:val="auto"/>
          <w:sz w:val="28"/>
          <w:szCs w:val="28"/>
          <w:highlight w:val="none"/>
        </w:rPr>
        <w:t xml:space="preserve">一   说  明</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ind w:left="357" w:hanging="357"/>
        <w:spacing w:line="360" w:lineRule="auto"/>
        <w:tabs>
          <w:tab w:val="left" w:pos="360" w:leader="none"/>
        </w:tabs>
        <w:rPr>
          <w:rFonts w:ascii="宋体" w:hAnsi="宋体" w:cs="宋体"/>
          <w:color w:val="auto"/>
          <w:sz w:val="24"/>
          <w:highlight w:val="none"/>
        </w:rPr>
        <w:outlineLvl w:val="1"/>
      </w:pPr>
      <w:r/>
      <w:bookmarkStart w:id="90" w:name="_Toc305158787"/>
      <w:r/>
      <w:bookmarkStart w:id="91" w:name="_Toc265228357"/>
      <w:r/>
      <w:bookmarkStart w:id="92" w:name="_Toc305158861"/>
      <w:r/>
      <w:bookmarkStart w:id="93" w:name="_Toc264969209"/>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highlight w:val="none"/>
        </w:rPr>
        <w:t xml:space="preserve">采购人、采购代理机构、供应商</w:t>
      </w:r>
      <w:bookmarkEnd w:id="90"/>
      <w:r/>
      <w:bookmarkEnd w:id="91"/>
      <w:r/>
      <w:bookmarkEnd w:id="92"/>
      <w:r/>
      <w:bookmarkEnd w:id="93"/>
      <w:r>
        <w:rPr>
          <w:rFonts w:hint="eastAsia" w:ascii="宋体" w:hAnsi="宋体" w:cs="宋体"/>
          <w:color w:val="auto"/>
          <w:sz w:val="24"/>
          <w:highlight w:val="none"/>
        </w:rPr>
        <w:t xml:space="preserve">、联合体</w:t>
      </w:r>
      <w:r/>
    </w:p>
    <w:p>
      <w:p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1.1</w:t>
      </w: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采购人、采购代理机构：指依法进行政府采购的国家机关、事业单位、团体组织，及其委托的采购代理机构。本项目采购人、采购代理机构见第一章《采购邀请》。</w:t>
      </w:r>
      <w:r/>
    </w:p>
    <w:p>
      <w:p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1.2</w:t>
      </w:r>
      <w:r>
        <w:rPr>
          <w:rFonts w:hint="eastAsia" w:ascii="宋体" w:hAnsi="宋体" w:cs="宋体"/>
          <w:color w:val="auto"/>
          <w:sz w:val="24"/>
          <w:highlight w:val="none"/>
        </w:rPr>
        <w:t xml:space="preserve">供应商（也称“申请人”）：指向采购人提供货物、工程或者服务的法人、其他组织或者自然人。</w:t>
      </w:r>
      <w:r/>
    </w:p>
    <w:p>
      <w:pPr>
        <w:ind w:left="1080" w:hanging="720"/>
        <w:spacing w:line="360" w:lineRule="auto"/>
        <w:tabs>
          <w:tab w:val="left" w:pos="1080" w:leader="none"/>
          <w:tab w:val="left" w:pos="2014" w:leader="none"/>
          <w:tab w:val="left" w:pos="5521"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1.3</w:t>
      </w:r>
      <w:r>
        <w:rPr>
          <w:rFonts w:hint="eastAsia" w:ascii="宋体" w:hAnsi="宋体" w:cs="宋体"/>
          <w:color w:val="auto"/>
          <w:sz w:val="24"/>
          <w:highlight w:val="none"/>
        </w:rPr>
        <w:t xml:space="preserve">联合体：指两个以上的自然人、法人或者其他组织组成一个联合体，以一个供应商的身份共同参加政府采购。</w:t>
      </w:r>
      <w:r/>
    </w:p>
    <w:p>
      <w:pPr>
        <w:ind w:left="357" w:hanging="357"/>
        <w:spacing w:line="360" w:lineRule="auto"/>
        <w:tabs>
          <w:tab w:val="left" w:pos="360" w:leader="none"/>
        </w:tabs>
        <w:rPr>
          <w:rFonts w:ascii="宋体" w:hAnsi="宋体" w:cs="宋体"/>
          <w:color w:val="auto"/>
          <w:sz w:val="24"/>
          <w:highlight w:val="none"/>
        </w:rPr>
        <w:outlineLvl w:val="1"/>
      </w:pPr>
      <w:r/>
      <w:bookmarkStart w:id="94" w:name="_Toc142311022"/>
      <w:r/>
      <w:bookmarkStart w:id="95" w:name="_Toc151193690"/>
      <w:r/>
      <w:bookmarkStart w:id="96" w:name="_Toc127151721"/>
      <w:r/>
      <w:bookmarkStart w:id="97" w:name="_Toc151193618"/>
      <w:r/>
      <w:bookmarkStart w:id="98" w:name="_Toc305158862"/>
      <w:r/>
      <w:bookmarkStart w:id="99" w:name="_Toc226309764"/>
      <w:r/>
      <w:bookmarkStart w:id="100" w:name="_Toc151193834"/>
      <w:r/>
      <w:bookmarkStart w:id="101" w:name="_Toc151193762"/>
      <w:r/>
      <w:bookmarkStart w:id="102" w:name="_Toc150774725"/>
      <w:r/>
      <w:bookmarkStart w:id="103" w:name="_Toc164229215"/>
      <w:r/>
      <w:bookmarkStart w:id="104" w:name="_Toc151193908"/>
      <w:r/>
      <w:bookmarkStart w:id="105" w:name="_Toc164608634"/>
      <w:r/>
      <w:bookmarkStart w:id="106" w:name="_Toc265228358"/>
      <w:r/>
      <w:bookmarkStart w:id="107" w:name="_Toc226965793"/>
      <w:r/>
      <w:bookmarkStart w:id="108" w:name="_Toc151190147"/>
      <w:r/>
      <w:bookmarkStart w:id="109" w:name="_Toc264969210"/>
      <w:r/>
      <w:bookmarkStart w:id="110" w:name="_Toc164351614"/>
      <w:r/>
      <w:bookmarkStart w:id="111" w:name="_Toc127161434"/>
      <w:r/>
      <w:bookmarkStart w:id="112" w:name="_Toc150480758"/>
      <w:r/>
      <w:bookmarkStart w:id="113" w:name="_Toc195842885"/>
      <w:r/>
      <w:bookmarkStart w:id="114" w:name="_Toc150774620"/>
      <w:r/>
      <w:bookmarkStart w:id="115" w:name="_Toc164229361"/>
      <w:r/>
      <w:bookmarkStart w:id="116" w:name="_Toc127151520"/>
      <w:r/>
      <w:bookmarkStart w:id="117" w:name="_Toc305158788"/>
      <w:r/>
      <w:bookmarkStart w:id="118" w:name="_Toc150509271"/>
      <w:r/>
      <w:bookmarkStart w:id="119" w:name="_Toc164608789"/>
      <w:r/>
      <w:bookmarkStart w:id="120" w:name="_Toc149720813"/>
      <w:r/>
      <w:bookmarkStart w:id="121" w:name="_Toc226337216"/>
      <w:r/>
      <w:bookmarkStart w:id="122" w:name="_Toc226965710"/>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highlight w:val="none"/>
        </w:rPr>
        <w:t xml:space="preserve">资金来源</w:t>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Pr>
          <w:rFonts w:hint="eastAsia" w:ascii="宋体" w:hAnsi="宋体" w:cs="宋体"/>
          <w:color w:val="auto"/>
          <w:sz w:val="24"/>
          <w:highlight w:val="none"/>
        </w:rPr>
        <w:t xml:space="preserve">、项目属性、科研仪器设备采购</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2.1</w:t>
      </w:r>
      <w:r>
        <w:rPr>
          <w:rFonts w:hint="eastAsia" w:ascii="宋体" w:hAnsi="宋体" w:cs="宋体"/>
          <w:color w:val="auto"/>
          <w:sz w:val="24"/>
          <w:highlight w:val="none"/>
        </w:rPr>
        <w:t xml:space="preserve">资金来源为财政性资金和/或本项目采购中无法与财政性资金分割的非财政性资金。</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2.2</w:t>
      </w:r>
      <w:r>
        <w:rPr>
          <w:rFonts w:hint="eastAsia" w:ascii="宋体" w:hAnsi="宋体" w:cs="宋体"/>
          <w:color w:val="auto"/>
          <w:sz w:val="24"/>
          <w:highlight w:val="none"/>
        </w:rPr>
        <w:t xml:space="preserve">项目属性见《供应商须知资料表》。</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2.3</w:t>
      </w:r>
      <w:r>
        <w:rPr>
          <w:rFonts w:hint="eastAsia" w:ascii="宋体" w:hAnsi="宋体" w:cs="宋体"/>
          <w:color w:val="auto"/>
          <w:sz w:val="24"/>
          <w:highlight w:val="none"/>
        </w:rPr>
        <w:t xml:space="preserve">是否属于科研仪器设备采购见《供应商须知资料表》。</w:t>
      </w:r>
      <w:r/>
    </w:p>
    <w:p>
      <w:p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highlight w:val="none"/>
        </w:rPr>
        <w:t xml:space="preserve">现场考察、磋商前答疑会</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3.1</w:t>
      </w:r>
      <w:r>
        <w:rPr>
          <w:rFonts w:hint="eastAsia" w:ascii="宋体" w:hAnsi="宋体" w:cs="宋体"/>
          <w:color w:val="auto"/>
          <w:sz w:val="24"/>
          <w:highlight w:val="none"/>
        </w:rPr>
        <w:t xml:space="preserve">若《供应商须知资料表》中规定了组织现场考察、召开磋商前答疑会，则供应商应按要求在规定的时间和地点参加。</w:t>
      </w:r>
      <w:bookmarkStart w:id="123" w:name="_Toc305158864"/>
      <w:r/>
      <w:bookmarkStart w:id="124" w:name="_Toc195842887"/>
      <w:r/>
      <w:bookmarkStart w:id="125" w:name="_Toc151193692"/>
      <w:r/>
      <w:bookmarkStart w:id="126" w:name="_Toc151190149"/>
      <w:r/>
      <w:bookmarkStart w:id="127" w:name="_Toc226309766"/>
      <w:r/>
      <w:bookmarkStart w:id="128" w:name="_Toc151193620"/>
      <w:r/>
      <w:bookmarkStart w:id="129" w:name="_Toc226965712"/>
      <w:r/>
      <w:bookmarkStart w:id="130" w:name="_Toc142311024"/>
      <w:r/>
      <w:bookmarkStart w:id="131" w:name="_Toc151193764"/>
      <w:r/>
      <w:bookmarkStart w:id="132" w:name="_Toc150509273"/>
      <w:r/>
      <w:bookmarkStart w:id="133" w:name="_Toc265228360"/>
      <w:r/>
      <w:bookmarkStart w:id="134" w:name="_Toc226337218"/>
      <w:r/>
      <w:bookmarkStart w:id="135" w:name="_Toc127151522"/>
      <w:r/>
      <w:bookmarkStart w:id="136" w:name="_Toc305158790"/>
      <w:r/>
      <w:bookmarkStart w:id="137" w:name="_Toc151193836"/>
      <w:r/>
      <w:bookmarkStart w:id="138" w:name="_Toc151193910"/>
      <w:r/>
      <w:bookmarkStart w:id="139" w:name="_Toc264969212"/>
      <w:r/>
      <w:bookmarkStart w:id="140" w:name="_Toc150480760"/>
      <w:r/>
      <w:bookmarkStart w:id="141" w:name="_Toc226965795"/>
      <w:r/>
      <w:bookmarkStart w:id="142" w:name="_Toc520356146"/>
      <w:r/>
      <w:bookmarkStart w:id="143" w:name="_Toc150774727"/>
      <w:r/>
      <w:bookmarkStart w:id="144" w:name="_Toc150774622"/>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3.2</w:t>
      </w:r>
      <w:r>
        <w:rPr>
          <w:rFonts w:hint="eastAsia" w:ascii="宋体" w:hAnsi="宋体" w:cs="宋体"/>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highlight w:val="none"/>
        </w:rPr>
        <w:t xml:space="preserve">政府采购政策（包括但不限于下列具体政策要求）</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4.1</w:t>
      </w:r>
      <w:r>
        <w:rPr>
          <w:rFonts w:hint="eastAsia" w:ascii="宋体" w:hAnsi="宋体" w:cs="宋体"/>
          <w:color w:val="auto"/>
          <w:sz w:val="24"/>
          <w:highlight w:val="none"/>
        </w:rPr>
        <w:t xml:space="preserve">进口产品（本项目不涉及）</w:t>
      </w:r>
      <w:r/>
    </w:p>
    <w:p>
      <w:pPr>
        <w:ind w:left="1980" w:hanging="900"/>
        <w:spacing w:line="360" w:lineRule="auto"/>
        <w:tabs>
          <w:tab w:val="left" w:pos="2014"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4.1.1</w:t>
      </w: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4.2</w:t>
      </w:r>
      <w:r>
        <w:rPr>
          <w:rFonts w:hint="eastAsia" w:ascii="宋体" w:hAnsi="宋体" w:cs="宋体"/>
          <w:color w:val="auto"/>
          <w:sz w:val="24"/>
          <w:highlight w:val="none"/>
        </w:rPr>
        <w:t xml:space="preserve">中小企业、监狱企业及残疾人福利性单位</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4.2.1</w:t>
      </w:r>
      <w:r>
        <w:rPr>
          <w:rFonts w:hint="eastAsia" w:ascii="宋体" w:hAnsi="宋体" w:cs="宋体"/>
          <w:color w:val="auto"/>
          <w:sz w:val="24"/>
          <w:highlight w:val="none"/>
        </w:rPr>
        <w:t xml:space="preserve">中小企业定义：</w:t>
      </w:r>
      <w:r/>
    </w:p>
    <w:p>
      <w:pPr>
        <w:ind w:left="2885" w:hanging="90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4.2.1.1</w:t>
      </w:r>
      <w:r>
        <w:rPr>
          <w:rFonts w:hint="eastAsia" w:ascii="宋体" w:hAnsi="宋体" w:cs="宋体"/>
          <w:color w:val="auto"/>
          <w:sz w:val="24"/>
          <w:highlight w:val="none"/>
        </w:rPr>
        <w:t xml:space="preserve">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2885" w:hanging="90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4.2.1.2</w:t>
      </w:r>
      <w:r>
        <w:rPr>
          <w:rFonts w:hint="eastAsia" w:ascii="宋体" w:hAnsi="宋体" w:cs="宋体"/>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ind w:left="2885" w:hanging="90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4.2.1.3</w:t>
      </w:r>
      <w:r>
        <w:rPr>
          <w:rFonts w:hint="eastAsia" w:ascii="宋体" w:hAnsi="宋体" w:cs="宋体"/>
          <w:color w:val="auto"/>
          <w:sz w:val="24"/>
          <w:highlight w:val="none"/>
        </w:rPr>
        <w:t xml:space="preserve">在货物采购项目中，供应商提供的货物既有中小企业制造货物，也有大型企业制造货物的，不享受中小企业扶持政策。</w:t>
      </w:r>
      <w:r/>
    </w:p>
    <w:p>
      <w:pPr>
        <w:ind w:left="2885" w:hanging="90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4.2.1.4</w:t>
      </w: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4.2.2</w:t>
      </w:r>
      <w:r>
        <w:rPr>
          <w:rFonts w:hint="eastAsia" w:ascii="宋体" w:hAnsi="宋体" w:cs="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4.2.3</w:t>
      </w:r>
      <w:r>
        <w:rPr>
          <w:rFonts w:hint="eastAsia" w:ascii="宋体" w:hAnsi="宋体" w:cs="宋体"/>
          <w:color w:val="auto"/>
          <w:sz w:val="24"/>
          <w:highlight w:val="none"/>
        </w:rPr>
        <w:t xml:space="preserve">残疾人福利单位定义：享受政府采购支持政策的残疾人福利性单位应当同时满足以下条件：</w:t>
      </w:r>
      <w:r/>
    </w:p>
    <w:p>
      <w:pPr>
        <w:ind w:left="2885" w:hanging="90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4.2.3.1</w:t>
      </w:r>
      <w:r>
        <w:rPr>
          <w:rFonts w:hint="eastAsia" w:ascii="宋体" w:hAnsi="宋体" w:cs="宋体"/>
          <w:color w:val="auto"/>
          <w:sz w:val="24"/>
          <w:highlight w:val="none"/>
        </w:rPr>
        <w:t xml:space="preserve">安置的残疾人占本单位在职职工人数的比例不低于25%（含25%），并且安置的残疾人人数不少于10 人（含10 人）；</w:t>
      </w:r>
      <w:r/>
    </w:p>
    <w:p>
      <w:pPr>
        <w:ind w:left="2885" w:hanging="90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4.2.3.2</w:t>
      </w:r>
      <w:r>
        <w:rPr>
          <w:rFonts w:hint="eastAsia" w:ascii="宋体" w:hAnsi="宋体" w:cs="宋体"/>
          <w:color w:val="auto"/>
          <w:sz w:val="24"/>
          <w:highlight w:val="none"/>
        </w:rPr>
        <w:t xml:space="preserve">依法与安置的每位残疾人签订了一年以上（含一年）的劳动合同或服务协议；</w:t>
      </w:r>
      <w:r/>
    </w:p>
    <w:p>
      <w:pPr>
        <w:ind w:left="2885" w:hanging="90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4.2.3.3</w:t>
      </w:r>
      <w:r>
        <w:rPr>
          <w:rFonts w:hint="eastAsia" w:ascii="宋体" w:hAnsi="宋体" w:cs="宋体"/>
          <w:color w:val="auto"/>
          <w:sz w:val="24"/>
          <w:highlight w:val="none"/>
        </w:rPr>
        <w:t xml:space="preserve">为安置的每位残疾人按月足额缴纳了基本养老保险、基本医疗保险、失业保险、工伤保险和生育保险等社会保险费；</w:t>
      </w:r>
      <w:r/>
    </w:p>
    <w:p>
      <w:pPr>
        <w:ind w:left="2885" w:hanging="90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4.2.3.4</w:t>
      </w:r>
      <w:r>
        <w:rPr>
          <w:rFonts w:hint="eastAsia" w:ascii="宋体" w:hAnsi="宋体" w:cs="宋体"/>
          <w:color w:val="auto"/>
          <w:sz w:val="24"/>
          <w:highlight w:val="none"/>
        </w:rPr>
        <w:t xml:space="preserve">通过银行等金融机构向安置的每位残疾人，按月支付了不低于单位所在区县适用的经省级人民政府批准的月最低工资标准的工资；</w:t>
      </w:r>
      <w:r/>
    </w:p>
    <w:p>
      <w:pPr>
        <w:ind w:left="2885" w:hanging="90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4.2.3.5</w:t>
      </w:r>
      <w:r>
        <w:rPr>
          <w:rFonts w:hint="eastAsia" w:ascii="宋体" w:hAnsi="宋体" w:cs="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ind w:left="2885" w:hanging="900"/>
        <w:spacing w:line="360" w:lineRule="auto"/>
        <w:tabs>
          <w:tab w:val="left" w:pos="1980" w:leader="none"/>
          <w:tab w:val="left" w:pos="2035" w:leader="none"/>
          <w:tab w:val="left" w:pos="2885"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4.2.3.6</w:t>
      </w:r>
      <w:r>
        <w:rPr>
          <w:rFonts w:hint="eastAsia" w:ascii="宋体" w:hAnsi="宋体" w:cs="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4.2.4</w:t>
      </w:r>
      <w:r>
        <w:rPr>
          <w:rFonts w:hint="eastAsia" w:ascii="宋体" w:hAnsi="宋体" w:cs="宋体"/>
          <w:color w:val="auto"/>
          <w:sz w:val="24"/>
          <w:highlight w:val="none"/>
        </w:rPr>
        <w:t xml:space="preserve">本项目是否专门面向中小企业预留采购份额见第一章《采购邀请》。</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4.2.5</w:t>
      </w:r>
      <w:r>
        <w:rPr>
          <w:rFonts w:hint="eastAsia" w:ascii="宋体" w:hAnsi="宋体" w:cs="宋体"/>
          <w:color w:val="auto"/>
          <w:sz w:val="24"/>
          <w:highlight w:val="none"/>
        </w:rPr>
        <w:t xml:space="preserve">采购标的对应的中小企业划分标准所属行业见《供应商须知资料表》。</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4.2.6</w:t>
      </w:r>
      <w:r>
        <w:rPr>
          <w:rFonts w:hint="eastAsia" w:ascii="宋体" w:hAnsi="宋体" w:cs="宋体"/>
          <w:color w:val="auto"/>
          <w:sz w:val="24"/>
          <w:highlight w:val="none"/>
        </w:rPr>
        <w:t xml:space="preserve">小微企业价格评审优惠的政策调整：见第三章《评审方法和评审标准》。</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4.3</w:t>
      </w:r>
      <w:r>
        <w:rPr>
          <w:rFonts w:hint="eastAsia" w:ascii="宋体" w:hAnsi="宋体" w:cs="宋体"/>
          <w:color w:val="auto"/>
          <w:sz w:val="24"/>
          <w:highlight w:val="none"/>
        </w:rPr>
        <w:t xml:space="preserve">政府采购节能产品、环境标志产品（本项目不涉及）</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4.3.1</w:t>
      </w:r>
      <w:r>
        <w:rPr>
          <w:rFonts w:hint="eastAsia" w:ascii="宋体" w:hAnsi="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4.3.2</w:t>
      </w: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4.3.3</w:t>
      </w:r>
      <w:r>
        <w:rPr>
          <w:rFonts w:hint="eastAsia" w:ascii="宋体" w:hAnsi="宋体" w:cs="宋体"/>
          <w:color w:val="auto"/>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4.3.4</w:t>
      </w: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非政府强制采购的节能产品或环境标志产品，依据品目清单和认证证书实施政府优先采购。优先采购的具体规定见第三章《评审方法和评审标准》。</w:t>
      </w:r>
      <w:r/>
    </w:p>
    <w:p>
      <w:pPr>
        <w:ind w:left="1980" w:hanging="900"/>
        <w:spacing w:line="360" w:lineRule="auto"/>
        <w:tabs>
          <w:tab w:val="left" w:pos="2014"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4.3.5</w:t>
      </w:r>
      <w:r>
        <w:rPr>
          <w:rFonts w:hint="eastAsia" w:ascii="宋体" w:hAnsi="宋体" w:cs="宋体"/>
          <w:color w:val="auto"/>
          <w:sz w:val="24"/>
          <w:highlight w:val="none"/>
        </w:rPr>
        <w:t xml:space="preserve">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4.4</w:t>
      </w:r>
      <w:r>
        <w:rPr>
          <w:rFonts w:hint="eastAsia" w:ascii="宋体" w:hAnsi="宋体" w:cs="宋体"/>
          <w:color w:val="auto"/>
          <w:sz w:val="24"/>
          <w:highlight w:val="none"/>
        </w:rPr>
        <w:t xml:space="preserve">支持乡村产业振兴管理（本项目不涉及）</w:t>
      </w:r>
      <w:r/>
    </w:p>
    <w:p>
      <w:pPr>
        <w:ind w:left="1980" w:hanging="900"/>
        <w:spacing w:line="360" w:lineRule="auto"/>
        <w:tabs>
          <w:tab w:val="left" w:pos="2014"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4.4.1</w:t>
      </w:r>
      <w:r>
        <w:rPr>
          <w:rFonts w:hint="eastAsia" w:ascii="宋体" w:hAnsi="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为落实《关于运用政府采购政策支持乡村产业振兴的通知》（财库〔2021〕19号）有关要求，做好支持脱贫攻坚工作，本项目采购活动中对于支持乡村振兴管理的相关要求见第四章《采购需求》。</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4.5</w:t>
      </w:r>
      <w:r>
        <w:rPr>
          <w:rFonts w:hint="eastAsia" w:ascii="宋体" w:hAnsi="宋体" w:cs="宋体"/>
          <w:color w:val="auto"/>
          <w:sz w:val="24"/>
          <w:highlight w:val="none"/>
        </w:rPr>
        <w:t xml:space="preserve">正版软件（本项目不涉及）</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4.5.1</w:t>
      </w:r>
      <w:r>
        <w:rPr>
          <w:rFonts w:hint="eastAsia" w:ascii="宋体" w:hAnsi="宋体" w:cs="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auto"/>
          <w:sz w:val="24"/>
          <w:highlight w:val="none"/>
        </w:rPr>
        <w:t xml:space="preserve">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4.5.2</w:t>
      </w:r>
      <w:r>
        <w:rPr>
          <w:rFonts w:hint="eastAsia" w:ascii="宋体" w:hAnsi="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4.6</w:t>
      </w:r>
      <w:r>
        <w:rPr>
          <w:rFonts w:hint="eastAsia" w:ascii="宋体" w:hAnsi="宋体" w:cs="宋体"/>
          <w:color w:val="auto"/>
          <w:sz w:val="24"/>
          <w:highlight w:val="none"/>
        </w:rPr>
        <w:t xml:space="preserve">政府采购创新产品政策（本项目不涉及）</w:t>
      </w:r>
      <w:r/>
    </w:p>
    <w:p>
      <w:pPr>
        <w:ind w:left="1980" w:hanging="900"/>
        <w:spacing w:line="360" w:lineRule="auto"/>
        <w:tabs>
          <w:tab w:val="left" w:pos="2014"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4.6.1</w:t>
      </w:r>
      <w:r>
        <w:rPr>
          <w:rFonts w:hint="eastAsia" w:ascii="宋体" w:hAnsi="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4.7</w:t>
      </w:r>
      <w:r>
        <w:rPr>
          <w:rFonts w:hint="eastAsia" w:ascii="宋体" w:hAnsi="宋体" w:cs="宋体"/>
          <w:color w:val="auto"/>
          <w:sz w:val="24"/>
          <w:highlight w:val="none"/>
        </w:rPr>
        <w:t xml:space="preserve">绿色采购政策</w:t>
      </w:r>
      <w:r/>
    </w:p>
    <w:p>
      <w:pPr>
        <w:ind w:left="1980" w:hanging="900"/>
        <w:spacing w:line="360" w:lineRule="auto"/>
        <w:tabs>
          <w:tab w:val="left" w:pos="2014"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4.7.1</w:t>
      </w:r>
      <w:r>
        <w:rPr>
          <w:rFonts w:hint="eastAsia" w:ascii="宋体" w:hAnsi="宋体" w:cs="宋体"/>
          <w:color w:val="auto"/>
          <w:sz w:val="24"/>
          <w:highlight w:val="none"/>
        </w:rPr>
        <w:t xml:space="preserve">绿色数据中心政策 </w:t>
      </w:r>
      <w:r/>
    </w:p>
    <w:p>
      <w:pPr>
        <w:ind w:left="144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1980" w:hanging="900"/>
        <w:spacing w:line="360" w:lineRule="auto"/>
        <w:tabs>
          <w:tab w:val="left" w:pos="2014"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4.7.2</w:t>
      </w:r>
      <w:r>
        <w:rPr>
          <w:rFonts w:hint="eastAsia" w:ascii="宋体" w:hAnsi="宋体" w:cs="宋体"/>
          <w:color w:val="auto"/>
          <w:sz w:val="24"/>
          <w:highlight w:val="none"/>
        </w:rPr>
        <w:t xml:space="preserve">推广应用绿色建材</w:t>
      </w:r>
      <w:r/>
    </w:p>
    <w:p>
      <w:pPr>
        <w:ind w:left="144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ind w:left="1980" w:hanging="900"/>
        <w:spacing w:line="360" w:lineRule="auto"/>
        <w:tabs>
          <w:tab w:val="left" w:pos="2014"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4.7.3</w:t>
      </w:r>
      <w:r>
        <w:rPr>
          <w:rFonts w:hint="eastAsia" w:ascii="宋体" w:hAnsi="宋体" w:cs="宋体"/>
          <w:color w:val="auto"/>
          <w:sz w:val="24"/>
          <w:highlight w:val="none"/>
        </w:rPr>
        <w:t xml:space="preserve">优先使用低挥发性有机化合物产品</w:t>
      </w:r>
      <w:r/>
    </w:p>
    <w:p>
      <w:pPr>
        <w:ind w:left="1445"/>
        <w:spacing w:line="360" w:lineRule="auto"/>
        <w:tabs>
          <w:tab w:val="left" w:pos="1980" w:leader="none"/>
          <w:tab w:val="left" w:pos="2520" w:leader="none"/>
        </w:tabs>
        <w:rPr>
          <w:rFonts w:ascii="宋体" w:hAnsi="宋体" w:cs="宋体"/>
          <w:color w:val="auto"/>
          <w:sz w:val="24"/>
          <w:highlight w:val="none"/>
        </w:rPr>
      </w:pPr>
      <w:r>
        <w:rPr>
          <w:rFonts w:hint="eastAsia" w:ascii="宋体" w:hAnsi="宋体" w:cs="宋体"/>
          <w:color w:val="auto"/>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p>
    <w:p>
      <w:p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highlight w:val="none"/>
          <w:lang w:val="en-US" w:eastAsia="zh-CN" w:bidi="ar-SA"/>
        </w:rPr>
        <w:t xml:space="preserve">5</w:t>
      </w:r>
      <w:r>
        <w:rPr>
          <w:rFonts w:hint="eastAsia" w:ascii="宋体" w:hAnsi="宋体" w:cs="宋体"/>
          <w:color w:val="auto"/>
          <w:sz w:val="24"/>
          <w:highlight w:val="none"/>
        </w:rPr>
        <w:t xml:space="preserve">响应费用</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5.1</w:t>
      </w:r>
      <w:r>
        <w:rPr>
          <w:rFonts w:hint="eastAsia" w:ascii="宋体" w:hAnsi="宋体" w:cs="宋体"/>
          <w:color w:val="auto"/>
          <w:sz w:val="24"/>
          <w:highlight w:val="none"/>
        </w:rPr>
        <w:t xml:space="preserve">供应商应自行承担所有与准备和参加磋商有关的费用，无论磋商的结果如何，采购人或采购代理机构在任何情况下均无承担这些费用的义务和责任。</w:t>
      </w:r>
      <w:r/>
    </w:p>
    <w:p>
      <w:pPr>
        <w:jc w:val="center"/>
        <w:spacing w:line="360" w:lineRule="auto"/>
        <w:rPr>
          <w:rFonts w:ascii="宋体" w:hAnsi="宋体"/>
          <w:b/>
          <w:bCs/>
          <w:color w:val="auto"/>
          <w:sz w:val="28"/>
          <w:szCs w:val="28"/>
          <w:highlight w:val="none"/>
        </w:rPr>
      </w:pPr>
      <w:r/>
      <w:bookmarkStart w:id="145" w:name="_1.8_计量单位"/>
      <w:r/>
      <w:bookmarkEnd w:id="145"/>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二   竞争性磋商文件</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
    </w:p>
    <w:p>
      <w:pPr>
        <w:ind w:left="357" w:hanging="357"/>
        <w:spacing w:line="360" w:lineRule="auto"/>
        <w:tabs>
          <w:tab w:val="left" w:pos="360" w:leader="none"/>
        </w:tabs>
        <w:rPr>
          <w:rFonts w:ascii="宋体" w:hAnsi="宋体" w:cs="宋体"/>
          <w:color w:val="auto"/>
          <w:sz w:val="24"/>
          <w:highlight w:val="none"/>
        </w:rPr>
        <w:outlineLvl w:val="1"/>
      </w:pPr>
      <w:r/>
      <w:bookmarkStart w:id="146" w:name="_Toc127151523"/>
      <w:r/>
      <w:bookmarkStart w:id="147" w:name="_Toc151193911"/>
      <w:r/>
      <w:bookmarkStart w:id="148" w:name="_Toc151193837"/>
      <w:r/>
      <w:bookmarkStart w:id="149" w:name="_Toc265228361"/>
      <w:r/>
      <w:bookmarkStart w:id="150" w:name="_Toc520356147"/>
      <w:r/>
      <w:bookmarkStart w:id="151" w:name="_Toc150774623"/>
      <w:r/>
      <w:bookmarkStart w:id="152" w:name="_Toc127161437"/>
      <w:r/>
      <w:bookmarkStart w:id="153" w:name="_Toc164229364"/>
      <w:r/>
      <w:bookmarkStart w:id="154" w:name="_Toc226337219"/>
      <w:r/>
      <w:bookmarkStart w:id="155" w:name="_Toc164351617"/>
      <w:r/>
      <w:bookmarkStart w:id="156" w:name="_Toc305158865"/>
      <w:r/>
      <w:bookmarkStart w:id="157" w:name="_Toc264969213"/>
      <w:r/>
      <w:bookmarkStart w:id="158" w:name="_Toc195842888"/>
      <w:r/>
      <w:bookmarkStart w:id="159" w:name="_Toc226965713"/>
      <w:r/>
      <w:bookmarkStart w:id="160" w:name="_Toc164608637"/>
      <w:r/>
      <w:bookmarkStart w:id="161" w:name="_Toc305158791"/>
      <w:r/>
      <w:bookmarkStart w:id="162" w:name="_Toc151193621"/>
      <w:r/>
      <w:bookmarkStart w:id="163" w:name="_Toc149720816"/>
      <w:r/>
      <w:bookmarkStart w:id="164" w:name="_Toc151193693"/>
      <w:r/>
      <w:bookmarkStart w:id="165" w:name="_Toc226965796"/>
      <w:r/>
      <w:bookmarkStart w:id="166" w:name="_Toc150774728"/>
      <w:r/>
      <w:bookmarkStart w:id="167" w:name="_Toc150480761"/>
      <w:r/>
      <w:bookmarkStart w:id="168" w:name="_Toc226309767"/>
      <w:r/>
      <w:bookmarkStart w:id="169" w:name="_Toc151193765"/>
      <w:r/>
      <w:bookmarkStart w:id="170" w:name="_Toc142311025"/>
      <w:r/>
      <w:bookmarkStart w:id="171" w:name="_Toc164229218"/>
      <w:r/>
      <w:bookmarkStart w:id="172" w:name="_Toc150509274"/>
      <w:r/>
      <w:bookmarkStart w:id="173" w:name="_Toc127151724"/>
      <w:r/>
      <w:bookmarkStart w:id="174" w:name="_Toc164608792"/>
      <w:r/>
      <w:bookmarkStart w:id="175" w:name="_Toc151190150"/>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color w:val="auto"/>
          <w:sz w:val="24"/>
          <w:highlight w:val="none"/>
        </w:rPr>
        <w:t xml:space="preserve">竞争性磋商文件构</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cs="宋体"/>
          <w:color w:val="auto"/>
          <w:sz w:val="24"/>
          <w:highlight w:val="none"/>
        </w:rPr>
        <w:t xml:space="preserve">成</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6.1</w:t>
      </w:r>
      <w:r>
        <w:rPr>
          <w:rFonts w:hint="eastAsia" w:ascii="宋体" w:hAnsi="宋体" w:cs="宋体"/>
          <w:color w:val="auto"/>
          <w:sz w:val="24"/>
          <w:highlight w:val="none"/>
        </w:rPr>
        <w:t xml:space="preserve">竞争性磋商文件包括以下部分：</w:t>
      </w:r>
      <w:r/>
    </w:p>
    <w:p>
      <w:p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第一章</w:t>
      </w:r>
      <w:r>
        <w:rPr>
          <w:rFonts w:hint="eastAsia" w:ascii="宋体" w:hAnsi="宋体" w:cs="宋体"/>
          <w:color w:val="auto"/>
          <w:sz w:val="24"/>
          <w:highlight w:val="none"/>
        </w:rPr>
        <w:t xml:space="preserve">采购邀请</w:t>
      </w:r>
      <w:r/>
    </w:p>
    <w:p>
      <w:p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第二章</w:t>
      </w:r>
      <w:r>
        <w:rPr>
          <w:rFonts w:hint="eastAsia" w:ascii="宋体" w:hAnsi="宋体" w:cs="宋体"/>
          <w:color w:val="auto"/>
          <w:sz w:val="24"/>
          <w:highlight w:val="none"/>
        </w:rPr>
        <w:t xml:space="preserve">供应商须知</w:t>
      </w:r>
      <w:r/>
    </w:p>
    <w:p>
      <w:p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第三章</w:t>
      </w:r>
      <w:r>
        <w:rPr>
          <w:rFonts w:hint="eastAsia" w:ascii="宋体" w:hAnsi="宋体" w:cs="宋体"/>
          <w:color w:val="auto"/>
          <w:sz w:val="24"/>
          <w:highlight w:val="none"/>
        </w:rPr>
        <w:t xml:space="preserve">评审程序、评审方法和评审标准</w:t>
      </w:r>
      <w:r/>
    </w:p>
    <w:p>
      <w:p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第四章</w:t>
      </w:r>
      <w:r>
        <w:rPr>
          <w:rFonts w:hint="eastAsia" w:ascii="宋体" w:hAnsi="宋体" w:cs="宋体"/>
          <w:color w:val="auto"/>
          <w:sz w:val="24"/>
          <w:highlight w:val="none"/>
        </w:rPr>
        <w:t xml:space="preserve">采购需求</w:t>
      </w:r>
      <w:r/>
    </w:p>
    <w:p>
      <w:p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第五章</w:t>
      </w:r>
      <w:r>
        <w:rPr>
          <w:rFonts w:hint="eastAsia" w:ascii="宋体" w:hAnsi="宋体" w:cs="宋体"/>
          <w:color w:val="auto"/>
          <w:sz w:val="24"/>
          <w:highlight w:val="none"/>
        </w:rPr>
        <w:t xml:space="preserve">合同草案条款</w:t>
      </w:r>
      <w:r/>
    </w:p>
    <w:p>
      <w:pPr>
        <w:ind w:left="1440" w:firstLine="5"/>
        <w:spacing w:line="360" w:lineRule="auto"/>
        <w:tabs>
          <w:tab w:val="left" w:pos="1980" w:leader="none"/>
          <w:tab w:val="left" w:pos="2520"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第六章</w:t>
      </w:r>
      <w:r>
        <w:rPr>
          <w:rFonts w:hint="eastAsia" w:ascii="宋体" w:hAnsi="宋体" w:cs="宋体"/>
          <w:color w:val="auto"/>
          <w:sz w:val="24"/>
          <w:highlight w:val="none"/>
        </w:rPr>
        <w:t xml:space="preserve">响应文件格式</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6.2</w:t>
      </w:r>
      <w:r>
        <w:rPr>
          <w:rFonts w:hint="eastAsia" w:ascii="宋体" w:hAnsi="宋体" w:cs="宋体"/>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left="357" w:hanging="357"/>
        <w:spacing w:line="360" w:lineRule="auto"/>
        <w:tabs>
          <w:tab w:val="left" w:pos="1080" w:leader="none"/>
          <w:tab w:val="left" w:pos="2014" w:leader="none"/>
        </w:tabs>
        <w:rPr>
          <w:rFonts w:ascii="宋体" w:hAnsi="宋体" w:cs="宋体"/>
          <w:color w:val="auto"/>
          <w:sz w:val="24"/>
          <w:highlight w:val="none"/>
        </w:rPr>
        <w:outlineLvl w:val="1"/>
      </w:pPr>
      <w:r>
        <w:rPr>
          <w:rFonts w:hint="eastAsia" w:ascii="宋体" w:hAnsi="宋体" w:eastAsia="宋体" w:cs="宋体"/>
          <w:color w:val="auto"/>
          <w:sz w:val="24"/>
          <w:szCs w:val="24"/>
          <w:highlight w:val="none"/>
          <w:lang w:val="en-US" w:eastAsia="zh-CN" w:bidi="ar-SA"/>
        </w:rPr>
        <w:t xml:space="preserve">7</w:t>
      </w:r>
      <w:r>
        <w:rPr>
          <w:rFonts w:hint="eastAsia" w:ascii="宋体" w:hAnsi="宋体" w:cs="宋体"/>
          <w:color w:val="auto"/>
          <w:sz w:val="24"/>
          <w:highlight w:val="none"/>
        </w:rPr>
        <w:t xml:space="preserve">对竞争性磋商文件的澄清或修改</w:t>
      </w:r>
      <w:r/>
    </w:p>
    <w:p>
      <w:pPr>
        <w:ind w:left="1080" w:hanging="720"/>
        <w:spacing w:line="360" w:lineRule="auto"/>
        <w:tabs>
          <w:tab w:val="left" w:pos="1080" w:leader="none"/>
          <w:tab w:val="left" w:pos="1561"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7.1</w:t>
      </w:r>
      <w:r>
        <w:rPr>
          <w:rFonts w:hint="eastAsia" w:ascii="宋体" w:hAnsi="宋体" w:cs="宋体"/>
          <w:color w:val="auto"/>
          <w:sz w:val="24"/>
          <w:highlight w:val="none"/>
        </w:rPr>
        <w:t xml:space="preserve">采购人或采购代理机构对已发出的竞争性磋商文件进行必要澄清或者修改的，将在原公告发布媒体上以发布更正公告的形式通知所有获取磋商文件的供应商。</w:t>
      </w:r>
      <w:r/>
    </w:p>
    <w:p>
      <w:pPr>
        <w:ind w:left="1080" w:hanging="720"/>
        <w:spacing w:line="360" w:lineRule="auto"/>
        <w:tabs>
          <w:tab w:val="left" w:pos="1080" w:leader="none"/>
          <w:tab w:val="left" w:pos="1561"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7.2</w:t>
      </w:r>
      <w:r>
        <w:rPr>
          <w:rFonts w:hint="eastAsia" w:ascii="宋体" w:hAnsi="宋体" w:cs="宋体"/>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jc w:val="center"/>
        <w:spacing w:line="360" w:lineRule="auto"/>
        <w:rPr>
          <w:rFonts w:ascii="宋体" w:hAnsi="宋体"/>
          <w:b/>
          <w:bCs/>
          <w:color w:val="auto"/>
          <w:sz w:val="28"/>
          <w:szCs w:val="28"/>
          <w:highlight w:val="none"/>
        </w:rPr>
      </w:pPr>
      <w:r/>
      <w:bookmarkStart w:id="176" w:name="_Toc516367020"/>
      <w:r/>
      <w:bookmarkStart w:id="177" w:name="_Toc195842891"/>
      <w:r/>
      <w:bookmarkStart w:id="178" w:name="_Toc127151526"/>
      <w:r/>
      <w:bookmarkStart w:id="179" w:name="_Toc150480764"/>
      <w:r/>
      <w:bookmarkStart w:id="180" w:name="_Toc151193624"/>
      <w:r/>
      <w:bookmarkStart w:id="181" w:name="_Toc150774731"/>
      <w:r/>
      <w:bookmarkStart w:id="182" w:name="_Toc151193768"/>
      <w:r/>
      <w:bookmarkStart w:id="183" w:name="_Toc150509277"/>
      <w:r/>
      <w:bookmarkStart w:id="184" w:name="_Toc226309770"/>
      <w:r/>
      <w:bookmarkStart w:id="185" w:name="_Toc151193696"/>
      <w:r/>
      <w:bookmarkStart w:id="186" w:name="_Toc151193914"/>
      <w:r/>
      <w:bookmarkStart w:id="187" w:name="_Toc151190153"/>
      <w:r/>
      <w:bookmarkStart w:id="188" w:name="_Toc520356150"/>
      <w:r/>
      <w:bookmarkStart w:id="189" w:name="_Toc305158794"/>
      <w:r/>
      <w:bookmarkStart w:id="190" w:name="_Toc264969216"/>
      <w:r/>
      <w:bookmarkStart w:id="191" w:name="_Toc150774626"/>
      <w:r/>
      <w:bookmarkStart w:id="192" w:name="_Toc226337222"/>
      <w:r/>
      <w:bookmarkStart w:id="193" w:name="_Toc265228364"/>
      <w:r/>
      <w:bookmarkStart w:id="194" w:name="_Toc142311028"/>
      <w:r/>
      <w:bookmarkStart w:id="195" w:name="_Toc305158868"/>
      <w:r/>
      <w:bookmarkStart w:id="196" w:name="_Toc226965799"/>
      <w:r/>
      <w:bookmarkStart w:id="197" w:name="_Toc226965716"/>
      <w:r/>
      <w:bookmarkStart w:id="198" w:name="_Toc151193840"/>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三   响应文件</w:t>
      </w:r>
      <w:bookmarkEnd w:id="176"/>
      <w:r>
        <w:rPr>
          <w:rFonts w:hint="eastAsia" w:ascii="宋体" w:hAnsi="宋体"/>
          <w:b/>
          <w:bCs/>
          <w:color w:val="auto"/>
          <w:sz w:val="28"/>
          <w:szCs w:val="28"/>
          <w:highlight w:val="none"/>
        </w:rPr>
        <w:t xml:space="preserve">的编制</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
    </w:p>
    <w:p>
      <w:pPr>
        <w:ind w:left="357" w:hanging="357"/>
        <w:spacing w:line="360" w:lineRule="auto"/>
        <w:tabs>
          <w:tab w:val="left" w:pos="360" w:leader="none"/>
        </w:tabs>
        <w:rPr>
          <w:rFonts w:ascii="宋体" w:hAnsi="宋体" w:cs="宋体"/>
          <w:color w:val="auto"/>
          <w:sz w:val="24"/>
          <w:highlight w:val="none"/>
        </w:rPr>
        <w:outlineLvl w:val="1"/>
      </w:pPr>
      <w:r/>
      <w:bookmarkStart w:id="199" w:name="_Toc164608796"/>
      <w:r/>
      <w:bookmarkStart w:id="200" w:name="_Toc142311029"/>
      <w:r/>
      <w:bookmarkStart w:id="201" w:name="_Toc226965717"/>
      <w:r/>
      <w:bookmarkStart w:id="202" w:name="_Toc127151527"/>
      <w:r/>
      <w:bookmarkStart w:id="203" w:name="_Toc305158795"/>
      <w:r/>
      <w:bookmarkStart w:id="204" w:name="_Toc151193769"/>
      <w:r/>
      <w:bookmarkStart w:id="205" w:name="_Toc164351621"/>
      <w:r/>
      <w:bookmarkStart w:id="206" w:name="_Toc516367021"/>
      <w:r/>
      <w:bookmarkStart w:id="207" w:name="_Toc164229222"/>
      <w:r/>
      <w:bookmarkStart w:id="208" w:name="_Toc150480765"/>
      <w:r/>
      <w:bookmarkStart w:id="209" w:name="_Toc226965800"/>
      <w:r/>
      <w:bookmarkStart w:id="210" w:name="_Toc151193915"/>
      <w:r/>
      <w:bookmarkStart w:id="211" w:name="_Toc151190154"/>
      <w:r/>
      <w:bookmarkStart w:id="212" w:name="_Toc151193697"/>
      <w:r/>
      <w:bookmarkStart w:id="213" w:name="_Toc150774627"/>
      <w:r/>
      <w:bookmarkStart w:id="214" w:name="_Toc195842892"/>
      <w:r/>
      <w:bookmarkStart w:id="215" w:name="_Toc127151728"/>
      <w:r/>
      <w:bookmarkStart w:id="216" w:name="_Toc265228365"/>
      <w:r/>
      <w:bookmarkStart w:id="217" w:name="_Toc151193625"/>
      <w:r/>
      <w:bookmarkStart w:id="218" w:name="_Toc150509278"/>
      <w:r/>
      <w:bookmarkStart w:id="219" w:name="_Toc226309771"/>
      <w:r/>
      <w:bookmarkStart w:id="220" w:name="_Toc164229368"/>
      <w:r/>
      <w:bookmarkStart w:id="221" w:name="_Toc164608641"/>
      <w:r/>
      <w:bookmarkStart w:id="222" w:name="_Toc127161441"/>
      <w:r/>
      <w:bookmarkStart w:id="223" w:name="_Toc520356151"/>
      <w:r/>
      <w:bookmarkStart w:id="224" w:name="_Toc149720820"/>
      <w:r/>
      <w:bookmarkStart w:id="225" w:name="_Toc264969217"/>
      <w:r/>
      <w:bookmarkStart w:id="226" w:name="_Toc151193841"/>
      <w:r/>
      <w:bookmarkStart w:id="227" w:name="_Toc305158869"/>
      <w:r/>
      <w:bookmarkStart w:id="228" w:name="_Toc150774732"/>
      <w:r/>
      <w:bookmarkStart w:id="229" w:name="_Toc226337223"/>
      <w:r>
        <w:rPr>
          <w:rFonts w:hint="eastAsia" w:ascii="宋体" w:hAnsi="宋体" w:eastAsia="宋体" w:cs="宋体"/>
          <w:color w:val="auto"/>
          <w:sz w:val="24"/>
          <w:szCs w:val="24"/>
          <w:highlight w:val="none"/>
          <w:lang w:val="en-US" w:eastAsia="zh-CN" w:bidi="ar-SA"/>
        </w:rPr>
        <w:t xml:space="preserve">8</w:t>
      </w:r>
      <w:r>
        <w:rPr>
          <w:rFonts w:hint="eastAsia" w:ascii="宋体" w:hAnsi="宋体" w:cs="宋体"/>
          <w:color w:val="auto"/>
          <w:sz w:val="24"/>
          <w:highlight w:val="none"/>
        </w:rPr>
        <w:t xml:space="preserve">响应范围、竞争性磋商文件中计量单位的使用</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rFonts w:hint="eastAsia" w:ascii="宋体" w:hAnsi="宋体" w:cs="宋体"/>
          <w:color w:val="auto"/>
          <w:sz w:val="24"/>
          <w:highlight w:val="none"/>
        </w:rPr>
        <w:t xml:space="preserve">及磋商语言</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8.1</w:t>
      </w:r>
      <w:r>
        <w:rPr>
          <w:rFonts w:hint="eastAsia" w:ascii="宋体" w:hAnsi="宋体" w:cs="宋体"/>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8.2</w:t>
      </w:r>
      <w:r>
        <w:rPr>
          <w:rFonts w:hint="eastAsia" w:ascii="宋体" w:hAnsi="宋体" w:cs="宋体"/>
          <w:color w:val="auto"/>
          <w:sz w:val="24"/>
          <w:highlight w:val="none"/>
        </w:rPr>
        <w:t xml:space="preserve">除竞争性磋商文件有特殊要求外，本项目磋商所使用的计量单位，应采用中华人民共和国法定计量单位。</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8.3</w:t>
      </w:r>
      <w:r>
        <w:rPr>
          <w:rFonts w:hint="eastAsia" w:ascii="宋体" w:hAnsi="宋体" w:cs="宋体"/>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ind w:left="357" w:hanging="357"/>
        <w:spacing w:line="360" w:lineRule="auto"/>
        <w:tabs>
          <w:tab w:val="left" w:pos="360" w:leader="none"/>
        </w:tabs>
        <w:rPr>
          <w:rFonts w:ascii="宋体" w:hAnsi="宋体" w:cs="宋体"/>
          <w:color w:val="auto"/>
          <w:sz w:val="24"/>
          <w:highlight w:val="none"/>
        </w:rPr>
        <w:outlineLvl w:val="1"/>
      </w:pPr>
      <w:r/>
      <w:bookmarkStart w:id="230" w:name="_Ref467306195"/>
      <w:r/>
      <w:bookmarkStart w:id="231" w:name="_Ref467306676"/>
      <w:r/>
      <w:bookmarkStart w:id="232" w:name="_Toc516367022"/>
      <w:r/>
      <w:bookmarkStart w:id="233" w:name="_Toc149720821"/>
      <w:r/>
      <w:bookmarkStart w:id="234" w:name="_Toc226337224"/>
      <w:r/>
      <w:bookmarkStart w:id="235" w:name="_Toc164229223"/>
      <w:r/>
      <w:bookmarkStart w:id="236" w:name="_Toc150774733"/>
      <w:r/>
      <w:bookmarkStart w:id="237" w:name="_Toc151193770"/>
      <w:r/>
      <w:bookmarkStart w:id="238" w:name="_Toc151193626"/>
      <w:r/>
      <w:bookmarkStart w:id="239" w:name="_Toc164608642"/>
      <w:r/>
      <w:bookmarkStart w:id="240" w:name="_Toc150774628"/>
      <w:r/>
      <w:bookmarkStart w:id="241" w:name="_Toc150480766"/>
      <w:r/>
      <w:bookmarkStart w:id="242" w:name="_Toc226309772"/>
      <w:r/>
      <w:bookmarkStart w:id="243" w:name="_Toc142311030"/>
      <w:r/>
      <w:bookmarkStart w:id="244" w:name="_Toc127161442"/>
      <w:r/>
      <w:bookmarkStart w:id="245" w:name="_Toc150509279"/>
      <w:r/>
      <w:bookmarkStart w:id="246" w:name="_Toc305158796"/>
      <w:r/>
      <w:bookmarkStart w:id="247" w:name="_Toc195842893"/>
      <w:r/>
      <w:bookmarkStart w:id="248" w:name="_Toc164608797"/>
      <w:r/>
      <w:bookmarkStart w:id="249" w:name="_Toc520356152"/>
      <w:r/>
      <w:bookmarkStart w:id="250" w:name="_Toc151193916"/>
      <w:r/>
      <w:bookmarkStart w:id="251" w:name="_Toc127151729"/>
      <w:r/>
      <w:bookmarkStart w:id="252" w:name="_Toc164229369"/>
      <w:r/>
      <w:bookmarkStart w:id="253" w:name="_Toc264969218"/>
      <w:r/>
      <w:bookmarkStart w:id="254" w:name="_Toc226965801"/>
      <w:r/>
      <w:bookmarkStart w:id="255" w:name="_Toc305158870"/>
      <w:r/>
      <w:bookmarkStart w:id="256" w:name="_Toc151193842"/>
      <w:r/>
      <w:bookmarkStart w:id="257" w:name="_Toc164351622"/>
      <w:r/>
      <w:bookmarkStart w:id="258" w:name="_Toc226965718"/>
      <w:r/>
      <w:bookmarkStart w:id="259" w:name="_Toc265228366"/>
      <w:r/>
      <w:bookmarkStart w:id="260" w:name="_Toc151190155"/>
      <w:r/>
      <w:bookmarkStart w:id="261" w:name="_Toc127151528"/>
      <w:r/>
      <w:bookmarkStart w:id="262" w:name="_Toc151193698"/>
      <w:r>
        <w:rPr>
          <w:rFonts w:hint="eastAsia" w:ascii="宋体" w:hAnsi="宋体" w:eastAsia="宋体" w:cs="宋体"/>
          <w:color w:val="auto"/>
          <w:sz w:val="24"/>
          <w:szCs w:val="24"/>
          <w:highlight w:val="none"/>
          <w:lang w:val="en-US" w:eastAsia="zh-CN" w:bidi="ar-SA"/>
        </w:rPr>
        <w:t xml:space="preserve">9</w:t>
      </w:r>
      <w:r>
        <w:rPr>
          <w:rFonts w:hint="eastAsia" w:ascii="宋体" w:hAnsi="宋体" w:cs="宋体"/>
          <w:color w:val="auto"/>
          <w:sz w:val="24"/>
          <w:highlight w:val="none"/>
        </w:rPr>
        <w:t xml:space="preserve">响应文件</w:t>
      </w:r>
      <w:bookmarkEnd w:id="230"/>
      <w:r/>
      <w:bookmarkEnd w:id="231"/>
      <w:r/>
      <w:bookmarkEnd w:id="232"/>
      <w:r>
        <w:rPr>
          <w:rFonts w:hint="eastAsia" w:ascii="宋体" w:hAnsi="宋体" w:cs="宋体"/>
          <w:color w:val="auto"/>
          <w:sz w:val="24"/>
          <w:highlight w:val="none"/>
        </w:rPr>
        <w:t xml:space="preserve">构成</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ind w:left="1077" w:hanging="720"/>
        <w:spacing w:line="360" w:lineRule="auto"/>
        <w:tabs>
          <w:tab w:val="left" w:pos="1080" w:leader="none"/>
          <w:tab w:val="left" w:pos="2014" w:leader="none"/>
        </w:tabs>
        <w:rPr>
          <w:rFonts w:ascii="宋体" w:hAnsi="宋体" w:cs="宋体"/>
          <w:color w:val="auto"/>
          <w:sz w:val="24"/>
          <w:highlight w:val="none"/>
        </w:rPr>
      </w:pPr>
      <w:r/>
      <w:bookmarkStart w:id="263" w:name="_Ref467052588"/>
      <w:r>
        <w:rPr>
          <w:rFonts w:hint="default" w:ascii="Times New Roman" w:hAnsi="Times New Roman" w:eastAsia="宋体" w:cs="Times New Roman"/>
          <w:color w:val="auto"/>
          <w:sz w:val="24"/>
          <w:szCs w:val="24"/>
          <w:highlight w:val="none"/>
          <w:lang w:val="en-US" w:eastAsia="zh-CN" w:bidi="ar-SA"/>
        </w:rPr>
        <w:t xml:space="preserve">9.1</w:t>
      </w:r>
      <w:r>
        <w:rPr>
          <w:rFonts w:hint="eastAsia" w:ascii="宋体" w:hAnsi="宋体" w:cs="宋体"/>
          <w:color w:val="auto"/>
          <w:sz w:val="24"/>
          <w:highlight w:val="none"/>
        </w:rPr>
        <w:t xml:space="preserve">供应商应当按照竞争性磋商文件的要求编制响应文件，</w:t>
      </w:r>
      <w:r>
        <w:rPr>
          <w:rFonts w:hint="eastAsia" w:ascii="宋体" w:hAnsi="宋体" w:cs="宋体"/>
          <w:color w:val="auto"/>
          <w:sz w:val="24"/>
          <w:highlight w:val="none"/>
        </w:rPr>
        <w:t xml:space="preserve">并对其提交的响应文件的真实性、合法性承担法律责任</w:t>
      </w:r>
      <w:r>
        <w:rPr>
          <w:rFonts w:hint="eastAsia" w:ascii="宋体" w:hAnsi="宋体" w:cs="宋体"/>
          <w:color w:val="auto"/>
          <w:sz w:val="24"/>
          <w:highlight w:val="none"/>
        </w:rPr>
        <w:t xml:space="preserve">。响应文件的部分格式要求，见第六章《响应文件格式》。</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9.2</w:t>
      </w:r>
      <w:r>
        <w:rPr>
          <w:rFonts w:hint="eastAsia" w:ascii="宋体" w:hAnsi="宋体" w:cs="宋体"/>
          <w:color w:val="auto"/>
          <w:sz w:val="24"/>
          <w:highlight w:val="none"/>
        </w:rPr>
        <w:t xml:space="preserve">对于竞争性磋商文件中标记了“实质性格式”文件的，</w:t>
      </w:r>
      <w:r>
        <w:rPr>
          <w:rFonts w:hint="eastAsia" w:ascii="宋体" w:hAnsi="宋体" w:cs="宋体"/>
          <w:color w:val="auto"/>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。未标记“实质性格式”的文件和竞争性磋商文件未提供格式的内容，可由供应商自行编写。</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9.3</w:t>
      </w:r>
      <w:r>
        <w:rPr>
          <w:rFonts w:hint="eastAsia" w:ascii="宋体" w:hAnsi="宋体" w:cs="宋体"/>
          <w:color w:val="auto"/>
          <w:sz w:val="24"/>
          <w:highlight w:val="none"/>
        </w:rPr>
        <w:t xml:space="preserve">第三章《评审方法和评审标准》中涉及的证明文件。</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9.4</w:t>
      </w:r>
      <w:r>
        <w:rPr>
          <w:rFonts w:hint="eastAsia" w:ascii="宋体" w:hAnsi="宋体" w:cs="宋体"/>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9.5</w:t>
      </w:r>
      <w:r>
        <w:rPr>
          <w:rFonts w:hint="eastAsia" w:ascii="宋体" w:hAnsi="宋体" w:cs="宋体"/>
          <w:color w:val="auto"/>
          <w:sz w:val="24"/>
          <w:highlight w:val="none"/>
        </w:rPr>
        <w:t xml:space="preserve">供应商认为应附的其他材料。</w:t>
      </w:r>
      <w:bookmarkEnd w:id="263"/>
      <w:r/>
      <w:r/>
    </w:p>
    <w:p>
      <w:pPr>
        <w:ind w:left="357" w:hanging="357"/>
        <w:spacing w:line="360" w:lineRule="auto"/>
        <w:tabs>
          <w:tab w:val="left" w:pos="360" w:leader="none"/>
        </w:tabs>
        <w:rPr>
          <w:rFonts w:ascii="宋体" w:hAnsi="宋体" w:cs="宋体"/>
          <w:color w:val="auto"/>
          <w:sz w:val="24"/>
          <w:highlight w:val="none"/>
        </w:rPr>
        <w:outlineLvl w:val="1"/>
      </w:pPr>
      <w:r/>
      <w:bookmarkStart w:id="264" w:name="_Toc164229225"/>
      <w:r/>
      <w:bookmarkStart w:id="265" w:name="_Toc164608644"/>
      <w:r/>
      <w:bookmarkStart w:id="266" w:name="_Toc151193700"/>
      <w:r/>
      <w:bookmarkStart w:id="267" w:name="_Toc127151530"/>
      <w:r/>
      <w:bookmarkStart w:id="268" w:name="_Toc142311032"/>
      <w:r/>
      <w:bookmarkStart w:id="269" w:name="_Toc164608799"/>
      <w:r/>
      <w:bookmarkStart w:id="270" w:name="_Toc520356155"/>
      <w:r/>
      <w:bookmarkStart w:id="271" w:name="_Toc151193628"/>
      <w:r/>
      <w:bookmarkStart w:id="272" w:name="_Toc164229371"/>
      <w:r/>
      <w:bookmarkStart w:id="273" w:name="_Toc150509281"/>
      <w:r/>
      <w:bookmarkStart w:id="274" w:name="_Toc150774630"/>
      <w:r/>
      <w:bookmarkStart w:id="275" w:name="_Toc164351624"/>
      <w:r/>
      <w:bookmarkStart w:id="276" w:name="_Toc151193844"/>
      <w:r/>
      <w:bookmarkStart w:id="277" w:name="_Toc151193772"/>
      <w:r/>
      <w:bookmarkStart w:id="278" w:name="_Toc127161444"/>
      <w:r/>
      <w:bookmarkStart w:id="279" w:name="_Toc149720823"/>
      <w:r/>
      <w:bookmarkStart w:id="280" w:name="_Toc195842895"/>
      <w:r/>
      <w:bookmarkStart w:id="281" w:name="_Toc151190157"/>
      <w:r/>
      <w:bookmarkStart w:id="282" w:name="_Toc150480768"/>
      <w:r/>
      <w:bookmarkStart w:id="283" w:name="_Toc127151731"/>
      <w:r/>
      <w:bookmarkStart w:id="284" w:name="_Toc151193918"/>
      <w:r/>
      <w:bookmarkStart w:id="285" w:name="_Toc150774735"/>
      <w:r>
        <w:rPr>
          <w:rFonts w:hint="eastAsia" w:ascii="宋体" w:hAnsi="宋体" w:eastAsia="宋体" w:cs="宋体"/>
          <w:color w:val="auto"/>
          <w:sz w:val="24"/>
          <w:szCs w:val="24"/>
          <w:highlight w:val="none"/>
          <w:lang w:val="en-US" w:eastAsia="zh-CN" w:bidi="ar-SA"/>
        </w:rPr>
        <w:t xml:space="preserve">10</w:t>
      </w:r>
      <w:r>
        <w:rPr>
          <w:rFonts w:hint="eastAsia" w:ascii="宋体" w:hAnsi="宋体" w:cs="宋体"/>
          <w:color w:val="auto"/>
          <w:sz w:val="24"/>
          <w:highlight w:val="none"/>
        </w:rPr>
        <w:t xml:space="preserve">报价</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10.1</w:t>
      </w:r>
      <w:r>
        <w:rPr>
          <w:rFonts w:hint="eastAsia" w:ascii="宋体" w:hAnsi="宋体" w:cs="宋体"/>
          <w:color w:val="auto"/>
          <w:sz w:val="24"/>
          <w:highlight w:val="none"/>
        </w:rPr>
        <w:t xml:space="preserve">所有响应均以人民币报价。</w:t>
      </w:r>
      <w:r/>
    </w:p>
    <w:p>
      <w:p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10.2</w:t>
      </w:r>
      <w:r>
        <w:rPr>
          <w:rFonts w:hint="eastAsia" w:ascii="宋体" w:hAnsi="宋体" w:cs="宋体"/>
          <w:color w:val="auto"/>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10.2.1</w:t>
      </w:r>
      <w:r>
        <w:rPr>
          <w:rFonts w:hint="eastAsia" w:ascii="宋体" w:hAnsi="宋体" w:cs="宋体"/>
          <w:color w:val="auto"/>
          <w:sz w:val="24"/>
          <w:highlight w:val="none"/>
        </w:rPr>
        <w:t xml:space="preserve">按照竞争性磋商文件要求完成本项目的全部相关工程费用。</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10.3</w:t>
      </w:r>
      <w:r>
        <w:rPr>
          <w:rFonts w:hint="eastAsia" w:ascii="宋体" w:hAnsi="宋体" w:cs="宋体"/>
          <w:color w:val="auto"/>
          <w:sz w:val="24"/>
          <w:highlight w:val="none"/>
        </w:rPr>
        <w:t xml:space="preserve">采购人不得向供应商索要或者接受其给予的赠品、回扣或者与采购无关的其他商品、服务。</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10.4</w:t>
      </w:r>
      <w:r>
        <w:rPr>
          <w:rFonts w:hint="eastAsia" w:ascii="宋体" w:hAnsi="宋体" w:cs="宋体"/>
          <w:color w:val="auto"/>
          <w:sz w:val="24"/>
          <w:highlight w:val="none"/>
        </w:rPr>
        <w:t xml:space="preserve">供应商不能提供任何有选择性或可调整的最终报价（</w:t>
      </w:r>
      <w:r>
        <w:rPr>
          <w:rFonts w:hint="eastAsia" w:ascii="宋体" w:hAnsi="宋体" w:cs="宋体"/>
          <w:color w:val="auto"/>
          <w:sz w:val="24"/>
          <w:highlight w:val="none"/>
        </w:rPr>
        <w:t xml:space="preserve">竞争性磋商文件</w:t>
      </w:r>
      <w:r>
        <w:rPr>
          <w:rFonts w:hint="eastAsia" w:ascii="宋体" w:hAnsi="宋体" w:cs="宋体"/>
          <w:color w:val="auto"/>
          <w:sz w:val="24"/>
          <w:highlight w:val="none"/>
        </w:rPr>
        <w:t xml:space="preserve">另有规定的除外），否则其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highlight w:val="none"/>
          <w:lang w:val="en-US" w:eastAsia="zh-CN" w:bidi="ar-SA"/>
        </w:rPr>
        <w:t xml:space="preserve">11</w:t>
      </w:r>
      <w:r>
        <w:rPr>
          <w:rFonts w:hint="eastAsia" w:ascii="宋体" w:hAnsi="宋体" w:cs="宋体"/>
          <w:color w:val="auto"/>
          <w:sz w:val="24"/>
          <w:highlight w:val="none"/>
        </w:rPr>
        <w:t xml:space="preserve">磋商保证金</w:t>
      </w:r>
      <w:r/>
    </w:p>
    <w:p>
      <w:pPr>
        <w:ind w:firstLine="361"/>
        <w:spacing w:line="360" w:lineRule="auto"/>
        <w:tabs>
          <w:tab w:val="left" w:pos="360" w:leader="none"/>
        </w:tabs>
        <w:rPr>
          <w:rFonts w:ascii="宋体" w:hAnsi="宋体" w:cs="宋体"/>
          <w:b/>
          <w:bCs/>
          <w:color w:val="auto"/>
          <w:sz w:val="24"/>
          <w:highlight w:val="none"/>
        </w:rPr>
        <w:outlineLvl w:val="1"/>
      </w:pPr>
      <w:r>
        <w:rPr>
          <w:rFonts w:hint="eastAsia" w:ascii="宋体" w:hAnsi="宋体" w:cs="宋体"/>
          <w:b/>
          <w:bCs/>
          <w:color w:val="auto"/>
          <w:sz w:val="24"/>
          <w:highlight w:val="none"/>
        </w:rPr>
        <w:t xml:space="preserve">根据江苏省和常州市的相关文件规定，免收保证金。</w:t>
      </w:r>
      <w:r/>
    </w:p>
    <w:p>
      <w:p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highlight w:val="none"/>
          <w:lang w:val="en-US" w:eastAsia="zh-CN" w:bidi="ar-SA"/>
        </w:rPr>
        <w:t xml:space="preserve">12</w:t>
      </w:r>
      <w:r>
        <w:rPr>
          <w:rFonts w:hint="eastAsia" w:ascii="宋体" w:hAnsi="宋体" w:cs="宋体"/>
          <w:color w:val="auto"/>
          <w:sz w:val="24"/>
          <w:highlight w:val="none"/>
        </w:rPr>
        <w:t xml:space="preserve">响应有效期</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12.1</w:t>
      </w:r>
      <w:r>
        <w:rPr>
          <w:rFonts w:hint="eastAsia" w:ascii="宋体" w:hAnsi="宋体" w:cs="宋体"/>
          <w:color w:val="auto"/>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highlight w:val="none"/>
          <w:lang w:val="en-US" w:eastAsia="zh-CN" w:bidi="ar-SA"/>
        </w:rPr>
        <w:t xml:space="preserve">13</w:t>
      </w:r>
      <w:r>
        <w:rPr>
          <w:rFonts w:hint="eastAsia" w:ascii="宋体" w:hAnsi="宋体" w:cs="宋体"/>
          <w:color w:val="auto"/>
          <w:sz w:val="24"/>
          <w:highlight w:val="none"/>
        </w:rPr>
        <w:t xml:space="preserve">响应文件的签署、盖章</w:t>
      </w:r>
      <w:r/>
    </w:p>
    <w:p>
      <w:pPr>
        <w:ind w:left="1980" w:hanging="900"/>
        <w:spacing w:line="360" w:lineRule="auto"/>
        <w:rPr>
          <w:rFonts w:hint="eastAsia" w:ascii="宋体" w:hAnsi="宋体" w:cs="宋体"/>
          <w:color w:val="auto"/>
          <w:sz w:val="24"/>
          <w:highlight w:val="none"/>
        </w:rPr>
      </w:pPr>
      <w:r/>
      <w:bookmarkStart w:id="286" w:name="_Toc195842899"/>
      <w:r/>
      <w:bookmarkStart w:id="287" w:name="_Toc150480772"/>
      <w:r/>
      <w:bookmarkStart w:id="288" w:name="_Toc226965807"/>
      <w:r/>
      <w:bookmarkStart w:id="289" w:name="_Toc151193848"/>
      <w:r/>
      <w:bookmarkStart w:id="290" w:name="_Toc305158876"/>
      <w:r/>
      <w:bookmarkStart w:id="291" w:name="_Toc127151534"/>
      <w:r/>
      <w:bookmarkStart w:id="292" w:name="_Toc151193704"/>
      <w:r/>
      <w:bookmarkStart w:id="293" w:name="_Toc142311036"/>
      <w:r/>
      <w:bookmarkStart w:id="294" w:name="_Toc151190161"/>
      <w:r/>
      <w:bookmarkStart w:id="295" w:name="_Toc151193632"/>
      <w:r/>
      <w:bookmarkStart w:id="296" w:name="_Toc226337230"/>
      <w:r/>
      <w:bookmarkStart w:id="297" w:name="_Toc150509285"/>
      <w:r/>
      <w:bookmarkStart w:id="298" w:name="_Toc305158802"/>
      <w:r/>
      <w:bookmarkStart w:id="299" w:name="_Toc150774634"/>
      <w:r/>
      <w:bookmarkStart w:id="300" w:name="_Toc151193922"/>
      <w:r/>
      <w:bookmarkStart w:id="301" w:name="_Toc150774739"/>
      <w:r/>
      <w:bookmarkStart w:id="302" w:name="_Toc226965724"/>
      <w:r/>
      <w:bookmarkStart w:id="303" w:name="_Toc265228372"/>
      <w:r/>
      <w:bookmarkStart w:id="304" w:name="_Toc226309778"/>
      <w:r/>
      <w:bookmarkStart w:id="305" w:name="_Toc264969224"/>
      <w:r/>
      <w:bookmarkStart w:id="306" w:name="_Toc520356159"/>
      <w:r/>
      <w:bookmarkStart w:id="307" w:name="_Toc151193776"/>
      <w:r>
        <w:rPr>
          <w:rFonts w:hint="eastAsia" w:ascii="宋体" w:hAnsi="宋体" w:eastAsia="宋体" w:cs="宋体"/>
          <w:color w:val="auto"/>
          <w:sz w:val="24"/>
          <w:szCs w:val="24"/>
          <w:highlight w:val="none"/>
          <w:lang w:val="en-US" w:eastAsia="zh-CN" w:bidi="ar-SA"/>
        </w:rPr>
        <w:t xml:space="preserve">13.1.1</w:t>
      </w:r>
      <w:r>
        <w:rPr>
          <w:rFonts w:hint="eastAsia" w:ascii="宋体" w:hAnsi="宋体" w:cs="宋体"/>
          <w:color w:val="auto"/>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13.2</w:t>
      </w:r>
      <w:r>
        <w:rPr>
          <w:rFonts w:hint="eastAsia" w:ascii="宋体" w:hAnsi="宋体" w:cs="宋体"/>
          <w:color w:val="auto"/>
          <w:sz w:val="24"/>
          <w:highlight w:val="none"/>
        </w:rPr>
        <w:t xml:space="preserve">竞争性磋商文件要求盖章的内容，一般通过磋商响应文件编制工具加盖电子签章。</w:t>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四   响应文件的提交</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
    </w:p>
    <w:p>
      <w:pPr>
        <w:ind w:left="357" w:hanging="357"/>
        <w:spacing w:line="360" w:lineRule="auto"/>
        <w:tabs>
          <w:tab w:val="left" w:pos="360" w:leader="none"/>
        </w:tabs>
        <w:rPr>
          <w:rFonts w:ascii="宋体" w:hAnsi="宋体" w:cs="宋体"/>
          <w:color w:val="auto"/>
          <w:sz w:val="24"/>
          <w:highlight w:val="none"/>
        </w:rPr>
        <w:outlineLvl w:val="1"/>
      </w:pPr>
      <w:r/>
      <w:bookmarkStart w:id="308" w:name="_Toc164608804"/>
      <w:r/>
      <w:bookmarkStart w:id="309" w:name="_Toc127151535"/>
      <w:r/>
      <w:bookmarkStart w:id="310" w:name="_Toc226309779"/>
      <w:r/>
      <w:bookmarkStart w:id="311" w:name="_Toc164351629"/>
      <w:r/>
      <w:bookmarkStart w:id="312" w:name="_Toc151193849"/>
      <w:r/>
      <w:bookmarkStart w:id="313" w:name="_Toc151193705"/>
      <w:r/>
      <w:bookmarkStart w:id="314" w:name="_Toc150480773"/>
      <w:r/>
      <w:bookmarkStart w:id="315" w:name="_Toc226337231"/>
      <w:r/>
      <w:bookmarkStart w:id="316" w:name="_Toc127151736"/>
      <w:r/>
      <w:bookmarkStart w:id="317" w:name="_Toc164608649"/>
      <w:r/>
      <w:bookmarkStart w:id="318" w:name="_Toc127161449"/>
      <w:r/>
      <w:bookmarkStart w:id="319" w:name="_Toc226965808"/>
      <w:r/>
      <w:bookmarkStart w:id="320" w:name="_Toc265228373"/>
      <w:r/>
      <w:bookmarkStart w:id="321" w:name="_Toc195842900"/>
      <w:r/>
      <w:bookmarkStart w:id="322" w:name="_Toc264969225"/>
      <w:r/>
      <w:bookmarkStart w:id="323" w:name="_Toc150774740"/>
      <w:r/>
      <w:bookmarkStart w:id="324" w:name="_Toc226965725"/>
      <w:r/>
      <w:bookmarkStart w:id="325" w:name="_Toc149720828"/>
      <w:r/>
      <w:bookmarkStart w:id="326" w:name="_Toc151193777"/>
      <w:r/>
      <w:bookmarkStart w:id="327" w:name="_Toc150509286"/>
      <w:r/>
      <w:bookmarkStart w:id="328" w:name="_Toc305158877"/>
      <w:r/>
      <w:bookmarkStart w:id="329" w:name="_Toc151193633"/>
      <w:r/>
      <w:bookmarkStart w:id="330" w:name="_Toc164229376"/>
      <w:r/>
      <w:bookmarkStart w:id="331" w:name="_Toc151190162"/>
      <w:r/>
      <w:bookmarkStart w:id="332" w:name="_Toc520356160"/>
      <w:r/>
      <w:bookmarkStart w:id="333" w:name="_Toc151193923"/>
      <w:r/>
      <w:bookmarkStart w:id="334" w:name="_Toc164229230"/>
      <w:r/>
      <w:bookmarkStart w:id="335" w:name="_Toc150774635"/>
      <w:r/>
      <w:bookmarkStart w:id="336" w:name="_Toc305158803"/>
      <w:r/>
      <w:bookmarkStart w:id="337" w:name="_Toc142311037"/>
      <w:r>
        <w:rPr>
          <w:rFonts w:hint="eastAsia" w:ascii="宋体" w:hAnsi="宋体" w:eastAsia="宋体" w:cs="宋体"/>
          <w:color w:val="auto"/>
          <w:sz w:val="24"/>
          <w:szCs w:val="24"/>
          <w:highlight w:val="none"/>
          <w:lang w:val="en-US" w:eastAsia="zh-CN" w:bidi="ar-SA"/>
        </w:rPr>
        <w:t xml:space="preserve">14</w:t>
      </w:r>
      <w:r>
        <w:rPr>
          <w:rFonts w:hint="eastAsia" w:ascii="宋体" w:hAnsi="宋体" w:cs="宋体"/>
          <w:color w:val="auto"/>
          <w:sz w:val="24"/>
          <w:highlight w:val="none"/>
        </w:rPr>
        <w:t xml:space="preserve">响应文件的</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color w:val="auto"/>
          <w:sz w:val="24"/>
          <w:highlight w:val="none"/>
        </w:rPr>
        <w:t xml:space="preserve">提交</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14.1</w:t>
      </w:r>
      <w:r>
        <w:rPr>
          <w:rFonts w:hint="eastAsia" w:ascii="宋体" w:hAnsi="宋体" w:cs="宋体"/>
          <w:color w:val="auto"/>
          <w:sz w:val="24"/>
          <w:highlight w:val="none"/>
        </w:rPr>
        <w:t xml:space="preserve">本项目使用“苏采云”政府采购一体化平台。供应商根据竞争性磋商文件及“苏采云”政府采购一体化平台供应商操作手册要求编制、生成并提交电子响应文件。</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14.2</w:t>
      </w:r>
      <w:r>
        <w:rPr>
          <w:rFonts w:hint="eastAsia" w:ascii="宋体" w:hAnsi="宋体" w:cs="宋体"/>
          <w:color w:val="auto"/>
          <w:sz w:val="24"/>
          <w:highlight w:val="none"/>
        </w:rPr>
        <w:t xml:space="preserve">采购人及采购代理机构拒绝接受通过电子交易平台以外任何形式提交的响应文件。</w:t>
      </w:r>
      <w:r/>
    </w:p>
    <w:p>
      <w:pPr>
        <w:ind w:left="357" w:hanging="357"/>
        <w:spacing w:line="360" w:lineRule="auto"/>
        <w:tabs>
          <w:tab w:val="left" w:pos="360" w:leader="none"/>
        </w:tabs>
        <w:rPr>
          <w:rFonts w:ascii="宋体" w:hAnsi="宋体" w:cs="宋体"/>
          <w:color w:val="auto"/>
          <w:sz w:val="24"/>
          <w:highlight w:val="none"/>
        </w:rPr>
        <w:outlineLvl w:val="1"/>
      </w:pPr>
      <w:r/>
      <w:bookmarkStart w:id="338" w:name="_Toc226337232"/>
      <w:r/>
      <w:bookmarkStart w:id="339" w:name="_Toc151193778"/>
      <w:r/>
      <w:bookmarkStart w:id="340" w:name="_Toc151190163"/>
      <w:r/>
      <w:bookmarkStart w:id="341" w:name="_Toc149720829"/>
      <w:r/>
      <w:bookmarkStart w:id="342" w:name="_Toc127151536"/>
      <w:r/>
      <w:bookmarkStart w:id="343" w:name="_Toc127161450"/>
      <w:r/>
      <w:bookmarkStart w:id="344" w:name="_Toc151193850"/>
      <w:r/>
      <w:bookmarkStart w:id="345" w:name="_Toc305158878"/>
      <w:r/>
      <w:bookmarkStart w:id="346" w:name="_Toc305158804"/>
      <w:r/>
      <w:bookmarkStart w:id="347" w:name="_Toc226309780"/>
      <w:r/>
      <w:bookmarkStart w:id="348" w:name="_Toc151193706"/>
      <w:r/>
      <w:bookmarkStart w:id="349" w:name="_Toc150774636"/>
      <w:r/>
      <w:bookmarkStart w:id="350" w:name="_Toc164229377"/>
      <w:r/>
      <w:bookmarkStart w:id="351" w:name="_Toc164229231"/>
      <w:r/>
      <w:bookmarkStart w:id="352" w:name="_Toc150480774"/>
      <w:r/>
      <w:bookmarkStart w:id="353" w:name="_Toc151193634"/>
      <w:r/>
      <w:bookmarkStart w:id="354" w:name="_Toc265228374"/>
      <w:r/>
      <w:bookmarkStart w:id="355" w:name="_Toc142311038"/>
      <w:r/>
      <w:bookmarkStart w:id="356" w:name="_Toc195842901"/>
      <w:r/>
      <w:bookmarkStart w:id="357" w:name="_Toc151193924"/>
      <w:r/>
      <w:bookmarkStart w:id="358" w:name="_Toc164608805"/>
      <w:r/>
      <w:bookmarkStart w:id="359" w:name="_Toc226965726"/>
      <w:r/>
      <w:bookmarkStart w:id="360" w:name="_Toc164351630"/>
      <w:r/>
      <w:bookmarkStart w:id="361" w:name="_Toc264969226"/>
      <w:r/>
      <w:bookmarkStart w:id="362" w:name="_Toc150774741"/>
      <w:r/>
      <w:bookmarkStart w:id="363" w:name="_Toc150509287"/>
      <w:r/>
      <w:bookmarkStart w:id="364" w:name="_Toc164608650"/>
      <w:r/>
      <w:bookmarkStart w:id="365" w:name="_Toc226965809"/>
      <w:r/>
      <w:bookmarkStart w:id="366" w:name="_Toc127151737"/>
      <w:r/>
      <w:bookmarkStart w:id="367" w:name="_Toc520356161"/>
      <w:r>
        <w:rPr>
          <w:rFonts w:hint="eastAsia" w:ascii="宋体" w:hAnsi="宋体" w:eastAsia="宋体" w:cs="宋体"/>
          <w:color w:val="auto"/>
          <w:sz w:val="24"/>
          <w:szCs w:val="24"/>
          <w:highlight w:val="none"/>
          <w:lang w:val="en-US" w:eastAsia="zh-CN" w:bidi="ar-SA"/>
        </w:rPr>
        <w:t xml:space="preserve">15</w:t>
      </w:r>
      <w:r>
        <w:rPr>
          <w:rFonts w:hint="eastAsia" w:ascii="宋体" w:hAnsi="宋体" w:cs="宋体"/>
          <w:color w:val="auto"/>
          <w:sz w:val="24"/>
          <w:highlight w:val="none"/>
        </w:rPr>
        <w:t xml:space="preserve">响应文件截止</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color w:val="auto"/>
          <w:sz w:val="24"/>
          <w:highlight w:val="none"/>
        </w:rPr>
        <w:t xml:space="preserve">时间</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15.1</w:t>
      </w:r>
      <w:r>
        <w:rPr>
          <w:rFonts w:hint="eastAsia" w:ascii="宋体" w:hAnsi="宋体" w:cs="宋体"/>
          <w:color w:val="auto"/>
          <w:sz w:val="24"/>
          <w:highlight w:val="none"/>
        </w:rPr>
        <w:t xml:space="preserve">供应商应在竞争性磋商文件要求提交响应文件截止时间前，将电子响应文件提交至“苏采云”政府采购一体化平台。</w:t>
      </w:r>
      <w:r/>
    </w:p>
    <w:p>
      <w:pPr>
        <w:ind w:left="357" w:hanging="357"/>
        <w:spacing w:line="360" w:lineRule="auto"/>
        <w:tabs>
          <w:tab w:val="left" w:pos="360" w:leader="none"/>
        </w:tabs>
        <w:rPr>
          <w:rFonts w:ascii="宋体" w:hAnsi="宋体" w:cs="宋体"/>
          <w:color w:val="auto"/>
          <w:sz w:val="24"/>
          <w:highlight w:val="none"/>
        </w:rPr>
        <w:outlineLvl w:val="1"/>
      </w:pPr>
      <w:r/>
      <w:bookmarkStart w:id="368" w:name="_Toc149720830"/>
      <w:r/>
      <w:bookmarkStart w:id="369" w:name="_Toc151193635"/>
      <w:r/>
      <w:bookmarkStart w:id="370" w:name="_Toc226965727"/>
      <w:r/>
      <w:bookmarkStart w:id="371" w:name="_Toc151193925"/>
      <w:r/>
      <w:bookmarkStart w:id="372" w:name="_Toc151193779"/>
      <w:r/>
      <w:bookmarkStart w:id="373" w:name="_Toc226965810"/>
      <w:r/>
      <w:bookmarkStart w:id="374" w:name="_Toc142311039"/>
      <w:r/>
      <w:bookmarkStart w:id="375" w:name="_Toc151190164"/>
      <w:r/>
      <w:bookmarkStart w:id="376" w:name="_Toc150774742"/>
      <w:r/>
      <w:bookmarkStart w:id="377" w:name="_Toc226337233"/>
      <w:r/>
      <w:bookmarkStart w:id="378" w:name="_Toc151193851"/>
      <w:r/>
      <w:bookmarkStart w:id="379" w:name="_Toc150509288"/>
      <w:r/>
      <w:bookmarkStart w:id="380" w:name="_Toc520356162"/>
      <w:r/>
      <w:bookmarkStart w:id="381" w:name="_Toc195842902"/>
      <w:r/>
      <w:bookmarkStart w:id="382" w:name="_Toc164229378"/>
      <w:r/>
      <w:bookmarkStart w:id="383" w:name="_Toc164229232"/>
      <w:r/>
      <w:bookmarkStart w:id="384" w:name="_Toc151193707"/>
      <w:r/>
      <w:bookmarkStart w:id="385" w:name="_Toc226309781"/>
      <w:r/>
      <w:bookmarkStart w:id="386" w:name="_Toc305158879"/>
      <w:r/>
      <w:bookmarkStart w:id="387" w:name="_Toc127151738"/>
      <w:r/>
      <w:bookmarkStart w:id="388" w:name="_Toc127151537"/>
      <w:r/>
      <w:bookmarkStart w:id="389" w:name="_Toc164608651"/>
      <w:r/>
      <w:bookmarkStart w:id="390" w:name="_Toc127161451"/>
      <w:r/>
      <w:bookmarkStart w:id="391" w:name="_Toc150774637"/>
      <w:r/>
      <w:bookmarkStart w:id="392" w:name="_Toc164608806"/>
      <w:r/>
      <w:bookmarkStart w:id="393" w:name="_Toc164351631"/>
      <w:r/>
      <w:bookmarkStart w:id="394" w:name="_Toc150480775"/>
      <w:r/>
      <w:bookmarkStart w:id="395" w:name="_Toc265228375"/>
      <w:r/>
      <w:bookmarkStart w:id="396" w:name="_Toc305158805"/>
      <w:r/>
      <w:bookmarkStart w:id="397" w:name="_Toc264969227"/>
      <w:r>
        <w:rPr>
          <w:rFonts w:hint="eastAsia" w:ascii="宋体" w:hAnsi="宋体" w:eastAsia="宋体" w:cs="宋体"/>
          <w:color w:val="auto"/>
          <w:sz w:val="24"/>
          <w:szCs w:val="24"/>
          <w:highlight w:val="none"/>
          <w:lang w:val="en-US" w:eastAsia="zh-CN" w:bidi="ar-SA"/>
        </w:rPr>
        <w:t xml:space="preserve">16</w:t>
      </w:r>
      <w:r>
        <w:rPr>
          <w:rFonts w:hint="eastAsia" w:ascii="宋体" w:hAnsi="宋体" w:cs="宋体"/>
          <w:color w:val="auto"/>
          <w:sz w:val="24"/>
          <w:highlight w:val="none"/>
        </w:rPr>
        <w:t xml:space="preserve">响应文件的修改与撤回</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
    </w:p>
    <w:p>
      <w:p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16.1</w:t>
      </w:r>
      <w:r>
        <w:rPr>
          <w:rFonts w:hint="eastAsia" w:ascii="宋体" w:hAnsi="宋体" w:cs="宋体"/>
          <w:color w:val="auto"/>
          <w:sz w:val="24"/>
          <w:highlight w:val="none"/>
        </w:rPr>
        <w:t xml:space="preserve">提交响应文件截止时间前，供应商可以通过电子交易平台对所提交的响应文件进行补充、修改或者撤回。</w:t>
      </w:r>
      <w:r/>
    </w:p>
    <w:p>
      <w:p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16.2</w:t>
      </w:r>
      <w:r>
        <w:rPr>
          <w:rFonts w:hint="eastAsia" w:ascii="宋体" w:hAnsi="宋体" w:cs="宋体"/>
          <w:color w:val="auto"/>
          <w:sz w:val="24"/>
          <w:highlight w:val="none"/>
        </w:rPr>
        <w:t xml:space="preserve">供应商对响应文件的补充、修改的内容应当按照竞争性磋商文件要求签署、盖章，作为响应文件的组成部分。补充、修改的内容与响应文件不一致的，以补</w:t>
      </w:r>
      <w:r>
        <w:rPr>
          <w:color w:val="auto"/>
          <w:sz w:val="24"/>
          <w:highlight w:val="none"/>
        </w:rPr>
        <w:t xml:space="preserve">充、修改的内容为准。</w:t>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bookmarkStart w:id="398" w:name="_Toc150509289"/>
      <w:r/>
      <w:bookmarkStart w:id="399" w:name="_Toc264969228"/>
      <w:r/>
      <w:bookmarkStart w:id="400" w:name="_Toc151193708"/>
      <w:r/>
      <w:bookmarkStart w:id="401" w:name="_Toc151193852"/>
      <w:r/>
      <w:bookmarkStart w:id="402" w:name="_Toc226309782"/>
      <w:r/>
      <w:bookmarkStart w:id="403" w:name="_Toc151193636"/>
      <w:r/>
      <w:bookmarkStart w:id="404" w:name="_Toc520356163"/>
      <w:r/>
      <w:bookmarkStart w:id="405" w:name="_Toc195842903"/>
      <w:r/>
      <w:bookmarkStart w:id="406" w:name="_Toc226965811"/>
      <w:r/>
      <w:bookmarkStart w:id="407" w:name="_Toc142311040"/>
      <w:r/>
      <w:bookmarkStart w:id="408" w:name="_Toc150480776"/>
      <w:r/>
      <w:bookmarkStart w:id="409" w:name="_Toc127151538"/>
      <w:r/>
      <w:bookmarkStart w:id="410" w:name="_Toc150774638"/>
      <w:r/>
      <w:bookmarkStart w:id="411" w:name="_Toc305158880"/>
      <w:r/>
      <w:bookmarkStart w:id="412" w:name="_Toc305158806"/>
      <w:r/>
      <w:bookmarkStart w:id="413" w:name="_Toc151193926"/>
      <w:r/>
      <w:bookmarkStart w:id="414" w:name="_Toc265228376"/>
      <w:r/>
      <w:bookmarkStart w:id="415" w:name="_Toc226965728"/>
      <w:r/>
      <w:bookmarkStart w:id="416" w:name="_Toc151190165"/>
      <w:r/>
      <w:bookmarkStart w:id="417" w:name="_Toc226337234"/>
      <w:r/>
      <w:bookmarkStart w:id="418" w:name="_Toc150774743"/>
      <w:r/>
      <w:bookmarkStart w:id="419" w:name="_Toc151193780"/>
      <w:r>
        <w:rPr>
          <w:rFonts w:hint="eastAsia" w:ascii="宋体" w:hAnsi="宋体"/>
          <w:b/>
          <w:bCs/>
          <w:color w:val="auto"/>
          <w:sz w:val="28"/>
          <w:szCs w:val="28"/>
          <w:highlight w:val="none"/>
        </w:rPr>
        <w:t xml:space="preserve">五   </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b/>
          <w:bCs/>
          <w:color w:val="auto"/>
          <w:sz w:val="28"/>
          <w:szCs w:val="28"/>
          <w:highlight w:val="none"/>
        </w:rPr>
        <w:t xml:space="preserve">评审</w:t>
      </w:r>
      <w:r/>
    </w:p>
    <w:p>
      <w:p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highlight w:val="none"/>
          <w:lang w:val="en-US" w:eastAsia="zh-CN" w:bidi="ar-SA"/>
        </w:rPr>
        <w:t xml:space="preserve">17</w:t>
      </w:r>
      <w:r>
        <w:rPr>
          <w:color w:val="auto"/>
          <w:sz w:val="24"/>
          <w:highlight w:val="none"/>
        </w:rPr>
        <w:t xml:space="preserve">响应文件的</w:t>
      </w:r>
      <w:r>
        <w:rPr>
          <w:rFonts w:hint="eastAsia"/>
          <w:color w:val="auto"/>
          <w:sz w:val="24"/>
          <w:highlight w:val="none"/>
        </w:rPr>
        <w:t xml:space="preserve">解密与</w:t>
      </w:r>
      <w:r>
        <w:rPr>
          <w:color w:val="auto"/>
          <w:sz w:val="24"/>
          <w:highlight w:val="none"/>
        </w:rPr>
        <w:t xml:space="preserve">开启</w:t>
      </w:r>
      <w:r/>
    </w:p>
    <w:p>
      <w:p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17.1</w:t>
      </w:r>
      <w:r>
        <w:rPr>
          <w:color w:val="auto"/>
          <w:sz w:val="24"/>
          <w:highlight w:val="none"/>
        </w:rPr>
        <w:t xml:space="preserve">采购人或采购代理机构将按竞争性磋商文件的规定，在响应文件提交截止时间的同一时间和竞争性磋商文件预先确定的地点开启响应文件。</w:t>
      </w:r>
      <w:r/>
    </w:p>
    <w:p>
      <w:p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17.2</w:t>
      </w:r>
      <w:r>
        <w:rPr>
          <w:color w:val="auto"/>
          <w:sz w:val="24"/>
          <w:highlight w:val="none"/>
        </w:rPr>
        <w:t xml:space="preserve">本项目</w:t>
      </w:r>
      <w:r>
        <w:rPr>
          <w:rFonts w:ascii="宋体" w:hAnsi="宋体"/>
          <w:color w:val="auto"/>
          <w:sz w:val="24"/>
          <w:highlight w:val="none"/>
        </w:rPr>
        <w:t xml:space="preserve">采用不见面招</w:t>
      </w:r>
      <w:r>
        <w:rPr>
          <w:rFonts w:hint="eastAsia" w:ascii="宋体" w:hAnsi="宋体"/>
          <w:color w:val="auto"/>
          <w:sz w:val="24"/>
          <w:highlight w:val="none"/>
        </w:rPr>
        <w:t xml:space="preserve">交易</w:t>
      </w:r>
      <w:r>
        <w:rPr>
          <w:rFonts w:ascii="宋体" w:hAnsi="宋体"/>
          <w:color w:val="auto"/>
          <w:sz w:val="24"/>
          <w:highlight w:val="none"/>
        </w:rPr>
        <w:t xml:space="preserve">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“苏采云”政府采购一体化平台在线进行</w:t>
      </w:r>
      <w:r>
        <w:rPr>
          <w:color w:val="auto"/>
          <w:sz w:val="24"/>
          <w:highlight w:val="none"/>
        </w:rPr>
        <w:t xml:space="preserve">解密。供应商应在规定的时间内对</w:t>
      </w:r>
      <w:r>
        <w:rPr>
          <w:rFonts w:hint="eastAsia"/>
          <w:color w:val="auto"/>
          <w:sz w:val="24"/>
          <w:highlight w:val="none"/>
        </w:rPr>
        <w:t xml:space="preserve">响应</w:t>
      </w:r>
      <w:r>
        <w:rPr>
          <w:color w:val="auto"/>
          <w:sz w:val="24"/>
          <w:highlight w:val="none"/>
        </w:rPr>
        <w:t xml:space="preserve">文件进行解密，因非系统原因导致的解密失败，视为</w:t>
      </w:r>
      <w:r>
        <w:rPr>
          <w:b/>
          <w:color w:val="auto"/>
          <w:sz w:val="24"/>
          <w:highlight w:val="none"/>
        </w:rPr>
        <w:t xml:space="preserve">响应无效</w:t>
      </w:r>
      <w:r>
        <w:rPr>
          <w:color w:val="auto"/>
          <w:sz w:val="24"/>
          <w:highlight w:val="none"/>
        </w:rPr>
        <w:t xml:space="preserve">。</w:t>
      </w:r>
      <w:r/>
    </w:p>
    <w:p>
      <w:p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17.3</w:t>
      </w:r>
      <w:r>
        <w:rPr>
          <w:color w:val="auto"/>
          <w:sz w:val="24"/>
          <w:highlight w:val="none"/>
        </w:rPr>
        <w:t xml:space="preserve">供应商不足3家的，不予解密。</w:t>
      </w:r>
      <w:r/>
    </w:p>
    <w:p>
      <w:p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17.4</w:t>
      </w:r>
      <w:r>
        <w:rPr>
          <w:color w:val="auto"/>
          <w:sz w:val="24"/>
          <w:highlight w:val="none"/>
        </w:rPr>
        <w:t xml:space="preserve">本项目不公开报价。</w:t>
      </w:r>
      <w:r/>
    </w:p>
    <w:p>
      <w:p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17.5</w:t>
      </w:r>
      <w:r>
        <w:rPr>
          <w:color w:val="auto"/>
          <w:sz w:val="24"/>
          <w:highlight w:val="none"/>
        </w:rPr>
        <w:t xml:space="preserve">供应商须在开标前使用“验证CA”功能验证本地计算机的控件环境是否正常，并且在</w:t>
      </w:r>
      <w:r>
        <w:rPr>
          <w:rFonts w:hint="eastAsia"/>
          <w:color w:val="auto"/>
          <w:sz w:val="24"/>
          <w:highlight w:val="none"/>
        </w:rPr>
        <w:t xml:space="preserve">解密、评审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，必须使用验证成功的计算机进行操作，否则造成相应后果由供应商自行承担。本地计算机</w:t>
      </w:r>
      <w:r>
        <w:rPr>
          <w:rFonts w:hint="eastAsia"/>
          <w:color w:val="auto"/>
          <w:sz w:val="24"/>
          <w:highlight w:val="none"/>
        </w:rPr>
        <w:t xml:space="preserve">要求安装摄像头、麦克风和音箱，保持网络通畅。</w:t>
      </w:r>
      <w:r/>
    </w:p>
    <w:p>
      <w:p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17.6</w:t>
      </w: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解密、评审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 xml:space="preserve">。</w:t>
      </w:r>
      <w:r/>
    </w:p>
    <w:p>
      <w:pPr>
        <w:ind w:left="1077" w:hanging="720"/>
        <w:spacing w:line="360" w:lineRule="auto"/>
        <w:tabs>
          <w:tab w:val="left" w:pos="1080" w:leader="none"/>
          <w:tab w:val="left" w:pos="2014" w:leader="none"/>
        </w:tabs>
        <w:rPr>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17.7</w:t>
      </w: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w:t>
      </w:r>
      <w:r>
        <w:rPr>
          <w:rFonts w:hint="eastAsia"/>
          <w:color w:val="auto"/>
          <w:sz w:val="24"/>
          <w:highlight w:val="none"/>
          <w:lang w:bidi="ar"/>
        </w:rPr>
        <w:t xml:space="preserve">“苏采云”政府采购一体化平台</w:t>
      </w:r>
      <w:r>
        <w:rPr>
          <w:rFonts w:hint="eastAsia"/>
          <w:color w:val="auto"/>
          <w:sz w:val="24"/>
          <w:highlight w:val="none"/>
        </w:rPr>
        <w:t xml:space="preserve">”系统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rPr>
          <w:color w:val="auto"/>
          <w:sz w:val="24"/>
          <w:highlight w:val="none"/>
        </w:rPr>
        <w:br/>
      </w: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left="357" w:firstLine="480"/>
        <w:spacing w:line="360" w:lineRule="auto"/>
        <w:tabs>
          <w:tab w:val="left" w:pos="1080" w:leader="none"/>
          <w:tab w:val="left" w:pos="2014" w:leader="none"/>
        </w:tabs>
        <w:rPr>
          <w:rFonts w:ascii="宋体" w:hAnsi="宋体" w:cs="宋体"/>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highlight w:val="none"/>
          <w:lang w:val="en-US" w:eastAsia="zh-CN" w:bidi="ar-SA"/>
        </w:rPr>
        <w:t xml:space="preserve">18</w:t>
      </w:r>
      <w:r>
        <w:rPr>
          <w:rFonts w:hint="eastAsia" w:ascii="宋体" w:hAnsi="宋体" w:cs="宋体"/>
          <w:color w:val="auto"/>
          <w:sz w:val="24"/>
          <w:highlight w:val="none"/>
        </w:rPr>
        <w:t xml:space="preserve">磋商小组</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18.1</w:t>
      </w:r>
      <w:r>
        <w:rPr>
          <w:rFonts w:hint="eastAsia" w:ascii="宋体" w:hAnsi="宋体" w:cs="宋体"/>
          <w:color w:val="auto"/>
          <w:sz w:val="24"/>
          <w:highlight w:val="none"/>
        </w:rPr>
        <w:t xml:space="preserve">磋商小组根据政府采购有关规定和本次采购项目的特点进行组建，并负责具体评审事务，独立履行职责。</w:t>
      </w:r>
      <w:bookmarkStart w:id="420" w:name="_Toc520356166"/>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18.2</w:t>
      </w:r>
      <w:r>
        <w:rPr>
          <w:rFonts w:hint="eastAsia" w:ascii="宋体" w:hAnsi="宋体" w:cs="宋体"/>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20"/>
      <w:r/>
      <w:bookmarkStart w:id="421" w:name="_Toc520356169"/>
      <w:r/>
      <w:r/>
    </w:p>
    <w:p>
      <w:pPr>
        <w:ind w:left="900" w:hanging="900"/>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highlight w:val="none"/>
          <w:lang w:val="en-US" w:eastAsia="zh-CN" w:bidi="ar-SA"/>
        </w:rPr>
        <w:t xml:space="preserve">19</w:t>
      </w:r>
      <w:r>
        <w:rPr>
          <w:rFonts w:hint="eastAsia" w:ascii="宋体" w:hAnsi="宋体" w:cs="宋体"/>
          <w:color w:val="auto"/>
          <w:sz w:val="24"/>
          <w:highlight w:val="none"/>
        </w:rPr>
        <w:t xml:space="preserve">评审方法和评审标准</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19.1</w:t>
      </w:r>
      <w:r>
        <w:rPr>
          <w:rFonts w:hint="eastAsia" w:ascii="宋体" w:hAnsi="宋体" w:cs="宋体"/>
          <w:color w:val="auto"/>
          <w:sz w:val="24"/>
          <w:highlight w:val="none"/>
        </w:rPr>
        <w:t xml:space="preserve">见第三章《评审方法和评审标准》。</w:t>
      </w:r>
      <w:r/>
    </w:p>
    <w:p>
      <w:pPr>
        <w:jc w:val="center"/>
        <w:spacing w:line="360" w:lineRule="auto"/>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rPr>
          <w:rFonts w:ascii="宋体" w:hAnsi="宋体"/>
          <w:b/>
          <w:bCs/>
          <w:color w:val="auto"/>
          <w:sz w:val="28"/>
          <w:szCs w:val="28"/>
          <w:highlight w:val="none"/>
        </w:rPr>
      </w:pPr>
      <w:r/>
      <w:bookmarkStart w:id="422" w:name="_Toc226965818"/>
      <w:r/>
      <w:bookmarkStart w:id="423" w:name="_Toc305158813"/>
      <w:r/>
      <w:bookmarkStart w:id="424" w:name="_Toc195842910"/>
      <w:r/>
      <w:bookmarkStart w:id="425" w:name="_Toc226309789"/>
      <w:r/>
      <w:bookmarkStart w:id="426" w:name="_Toc151190172"/>
      <w:r/>
      <w:bookmarkStart w:id="427" w:name="_Toc150509296"/>
      <w:r/>
      <w:bookmarkStart w:id="428" w:name="_Toc150774645"/>
      <w:r/>
      <w:bookmarkStart w:id="429" w:name="_Toc226965735"/>
      <w:r/>
      <w:bookmarkStart w:id="430" w:name="_Toc264969235"/>
      <w:r/>
      <w:bookmarkStart w:id="431" w:name="_Toc226337241"/>
      <w:r/>
      <w:bookmarkStart w:id="432" w:name="_Toc151193787"/>
      <w:r/>
      <w:bookmarkStart w:id="433" w:name="_Toc127151545"/>
      <w:r/>
      <w:bookmarkStart w:id="434" w:name="_Toc151193715"/>
      <w:r/>
      <w:bookmarkStart w:id="435" w:name="_Toc150774750"/>
      <w:r/>
      <w:bookmarkStart w:id="436" w:name="_Toc151193933"/>
      <w:r/>
      <w:bookmarkStart w:id="437" w:name="_Toc142311047"/>
      <w:r/>
      <w:bookmarkStart w:id="438" w:name="_Toc265228383"/>
      <w:r/>
      <w:bookmarkStart w:id="439" w:name="_Toc151193859"/>
      <w:r/>
      <w:bookmarkStart w:id="440" w:name="_Toc305158887"/>
      <w:r/>
      <w:bookmarkStart w:id="441" w:name="_Toc150480783"/>
      <w:r/>
      <w:bookmarkStart w:id="442" w:name="_Toc151193643"/>
      <w:r>
        <w:rPr>
          <w:rFonts w:hint="eastAsia" w:ascii="宋体" w:hAnsi="宋体"/>
          <w:b/>
          <w:bCs/>
          <w:color w:val="auto"/>
          <w:sz w:val="28"/>
          <w:szCs w:val="28"/>
          <w:highlight w:val="none"/>
        </w:rPr>
        <w:t xml:space="preserve">六   </w:t>
      </w:r>
      <w:bookmarkEnd w:id="421"/>
      <w:r>
        <w:rPr>
          <w:rFonts w:hint="eastAsia" w:ascii="宋体" w:hAnsi="宋体"/>
          <w:b/>
          <w:bCs/>
          <w:color w:val="auto"/>
          <w:sz w:val="28"/>
          <w:szCs w:val="28"/>
          <w:highlight w:val="none"/>
        </w:rPr>
        <w:t xml:space="preserve">确定</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rPr>
          <w:rFonts w:hint="eastAsia" w:ascii="宋体" w:hAnsi="宋体"/>
          <w:b/>
          <w:bCs/>
          <w:color w:val="auto"/>
          <w:sz w:val="28"/>
          <w:szCs w:val="28"/>
          <w:highlight w:val="none"/>
        </w:rPr>
        <w:t xml:space="preserve">成交</w:t>
      </w:r>
      <w:r/>
    </w:p>
    <w:p>
      <w:pPr>
        <w:ind w:left="357" w:hanging="357"/>
        <w:spacing w:line="360" w:lineRule="auto"/>
        <w:tabs>
          <w:tab w:val="left" w:pos="360" w:leader="none"/>
        </w:tabs>
        <w:rPr>
          <w:rFonts w:ascii="宋体" w:hAnsi="宋体" w:cs="宋体"/>
          <w:color w:val="auto"/>
          <w:sz w:val="24"/>
          <w:highlight w:val="none"/>
        </w:rPr>
        <w:outlineLvl w:val="1"/>
      </w:pPr>
      <w:r/>
      <w:bookmarkStart w:id="443" w:name="_Toc164229242"/>
      <w:r/>
      <w:bookmarkStart w:id="444" w:name="_Toc264969237"/>
      <w:r/>
      <w:bookmarkStart w:id="445" w:name="_Toc149720840"/>
      <w:r/>
      <w:bookmarkStart w:id="446" w:name="_Toc226965737"/>
      <w:r/>
      <w:bookmarkStart w:id="447" w:name="_Toc127161461"/>
      <w:r/>
      <w:bookmarkStart w:id="448" w:name="_Toc150509298"/>
      <w:r/>
      <w:bookmarkStart w:id="449" w:name="_Toc226309791"/>
      <w:r/>
      <w:bookmarkStart w:id="450" w:name="_Toc305158815"/>
      <w:r/>
      <w:bookmarkStart w:id="451" w:name="_Toc151193861"/>
      <w:r/>
      <w:bookmarkStart w:id="452" w:name="_Toc127151748"/>
      <w:r/>
      <w:bookmarkStart w:id="453" w:name="_Toc142311049"/>
      <w:r/>
      <w:bookmarkStart w:id="454" w:name="_Toc127151547"/>
      <w:r/>
      <w:bookmarkStart w:id="455" w:name="_Toc151190174"/>
      <w:r/>
      <w:bookmarkStart w:id="456" w:name="_Toc150774647"/>
      <w:r/>
      <w:bookmarkStart w:id="457" w:name="_Toc226965820"/>
      <w:r/>
      <w:bookmarkStart w:id="458" w:name="_Toc164351641"/>
      <w:r/>
      <w:bookmarkStart w:id="459" w:name="_Toc150480785"/>
      <w:r/>
      <w:bookmarkStart w:id="460" w:name="_Toc195842912"/>
      <w:r/>
      <w:bookmarkStart w:id="461" w:name="_Toc265228385"/>
      <w:r/>
      <w:bookmarkStart w:id="462" w:name="_Toc151193717"/>
      <w:r/>
      <w:bookmarkStart w:id="463" w:name="_Toc151193935"/>
      <w:r/>
      <w:bookmarkStart w:id="464" w:name="_Toc305158889"/>
      <w:r/>
      <w:bookmarkStart w:id="465" w:name="_Toc150774752"/>
      <w:r/>
      <w:bookmarkStart w:id="466" w:name="_Toc164229388"/>
      <w:r/>
      <w:bookmarkStart w:id="467" w:name="_Toc151193789"/>
      <w:r/>
      <w:bookmarkStart w:id="468" w:name="_Toc151193645"/>
      <w:r/>
      <w:bookmarkStart w:id="469" w:name="_Toc226337243"/>
      <w:r/>
      <w:bookmarkStart w:id="470" w:name="_Toc164608661"/>
      <w:r/>
      <w:bookmarkStart w:id="471" w:name="_Toc164608816"/>
      <w:r>
        <w:rPr>
          <w:rFonts w:hint="eastAsia" w:ascii="宋体" w:hAnsi="宋体" w:eastAsia="宋体" w:cs="宋体"/>
          <w:color w:val="auto"/>
          <w:sz w:val="24"/>
          <w:szCs w:val="24"/>
          <w:highlight w:val="none"/>
          <w:lang w:val="en-US" w:eastAsia="zh-CN" w:bidi="ar-SA"/>
        </w:rPr>
        <w:t xml:space="preserve">20</w:t>
      </w:r>
      <w:r>
        <w:rPr>
          <w:rFonts w:hint="eastAsia" w:ascii="宋体" w:hAnsi="宋体" w:cs="宋体"/>
          <w:color w:val="auto"/>
          <w:sz w:val="24"/>
          <w:highlight w:val="none"/>
        </w:rPr>
        <w:t xml:space="preserve">确定成交供应商</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20.1</w:t>
      </w:r>
      <w:r>
        <w:rPr>
          <w:rFonts w:hint="eastAsia" w:ascii="宋体" w:hAnsi="宋体" w:cs="宋体"/>
          <w:color w:val="auto"/>
          <w:sz w:val="24"/>
          <w:highlight w:val="none"/>
        </w:rPr>
        <w:t xml:space="preserve">采购人将在收到评审报告后，从评审报告提出的成交候选供应商中，按照排序由高到低的原则确定成交供应商。成交候选人并列的，由采购人依法确定。</w:t>
      </w:r>
      <w:r/>
    </w:p>
    <w:p>
      <w:pPr>
        <w:ind w:left="357" w:hanging="357"/>
        <w:spacing w:line="360" w:lineRule="auto"/>
        <w:tabs>
          <w:tab w:val="left" w:pos="360" w:leader="none"/>
        </w:tabs>
        <w:rPr>
          <w:rFonts w:ascii="宋体" w:hAnsi="宋体" w:cs="宋体"/>
          <w:color w:val="auto"/>
          <w:sz w:val="24"/>
          <w:highlight w:val="none"/>
        </w:rPr>
        <w:outlineLvl w:val="1"/>
      </w:pPr>
      <w:r/>
      <w:bookmarkStart w:id="472" w:name="_Toc305158891"/>
      <w:r/>
      <w:bookmarkStart w:id="473" w:name="_Toc305158817"/>
      <w:r/>
      <w:bookmarkStart w:id="474" w:name="_Toc127151549"/>
      <w:r/>
      <w:bookmarkStart w:id="475" w:name="_Toc127161463"/>
      <w:r/>
      <w:bookmarkStart w:id="476" w:name="_Toc226309793"/>
      <w:r/>
      <w:bookmarkStart w:id="477" w:name="_Toc151193719"/>
      <w:r/>
      <w:bookmarkStart w:id="478" w:name="_Toc127151750"/>
      <w:r/>
      <w:bookmarkStart w:id="479" w:name="_Toc151193647"/>
      <w:r/>
      <w:bookmarkStart w:id="480" w:name="_Toc150774649"/>
      <w:r/>
      <w:bookmarkStart w:id="481" w:name="_Toc265228387"/>
      <w:r/>
      <w:bookmarkStart w:id="482" w:name="_Toc226337245"/>
      <w:r/>
      <w:bookmarkStart w:id="483" w:name="_Toc164608818"/>
      <w:r/>
      <w:bookmarkStart w:id="484" w:name="_Toc150509300"/>
      <w:r/>
      <w:bookmarkStart w:id="485" w:name="_Toc164229390"/>
      <w:r/>
      <w:bookmarkStart w:id="486" w:name="_Toc226965822"/>
      <w:r/>
      <w:bookmarkStart w:id="487" w:name="_Toc164229244"/>
      <w:r/>
      <w:bookmarkStart w:id="488" w:name="_Toc151193863"/>
      <w:r/>
      <w:bookmarkStart w:id="489" w:name="_Toc195842914"/>
      <w:r/>
      <w:bookmarkStart w:id="490" w:name="_Toc264969239"/>
      <w:r/>
      <w:bookmarkStart w:id="491" w:name="_Toc164351643"/>
      <w:r/>
      <w:bookmarkStart w:id="492" w:name="_Toc164608663"/>
      <w:r/>
      <w:bookmarkStart w:id="493" w:name="_Toc151193791"/>
      <w:r/>
      <w:bookmarkStart w:id="494" w:name="_Toc150774754"/>
      <w:r/>
      <w:bookmarkStart w:id="495" w:name="_Toc151190176"/>
      <w:r/>
      <w:bookmarkStart w:id="496" w:name="_Toc151193937"/>
      <w:r/>
      <w:bookmarkStart w:id="497" w:name="_Toc150480787"/>
      <w:r/>
      <w:bookmarkStart w:id="498" w:name="_Toc226965739"/>
      <w:r/>
      <w:bookmarkStart w:id="499" w:name="_Toc149720842"/>
      <w:r/>
      <w:bookmarkStart w:id="500" w:name="_Toc142311051"/>
      <w:r/>
      <w:bookmarkStart w:id="501" w:name="_Toc520356176"/>
      <w:r/>
      <w:bookmarkStart w:id="502" w:name="_Ref467307090"/>
      <w:r/>
      <w:bookmarkStart w:id="503" w:name="_Ref467306425"/>
      <w:r>
        <w:rPr>
          <w:rFonts w:hint="eastAsia" w:ascii="宋体" w:hAnsi="宋体" w:eastAsia="宋体" w:cs="宋体"/>
          <w:color w:val="auto"/>
          <w:sz w:val="24"/>
          <w:szCs w:val="24"/>
          <w:highlight w:val="none"/>
          <w:lang w:val="en-US" w:eastAsia="zh-CN" w:bidi="ar-SA"/>
        </w:rPr>
        <w:t xml:space="preserve">21</w:t>
      </w:r>
      <w:r>
        <w:rPr>
          <w:rFonts w:hint="eastAsia" w:ascii="宋体" w:hAnsi="宋体" w:cs="宋体"/>
          <w:color w:val="auto"/>
          <w:sz w:val="24"/>
          <w:highlight w:val="none"/>
        </w:rPr>
        <w:t xml:space="preserve">成交公告与成交通知书</w:t>
      </w:r>
      <w:bookmarkEnd w:id="472"/>
      <w:r/>
      <w:bookmarkEnd w:id="473"/>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21.1</w:t>
      </w:r>
      <w:r>
        <w:rPr>
          <w:rFonts w:hint="eastAsia" w:ascii="宋体" w:hAnsi="宋体" w:cs="宋体"/>
          <w:color w:val="auto"/>
          <w:sz w:val="24"/>
          <w:highlight w:val="none"/>
        </w:rPr>
        <w:t xml:space="preserve">采购人或采购代理机构将</w:t>
      </w:r>
      <w:r>
        <w:rPr>
          <w:rFonts w:hint="eastAsia" w:ascii="宋体" w:hAnsi="宋体" w:cs="宋体"/>
          <w:color w:val="auto"/>
          <w:sz w:val="24"/>
          <w:highlight w:val="none"/>
        </w:rPr>
        <w:t xml:space="preserve">在成交供应商确定后2个工作日内，在</w:t>
      </w:r>
      <w:r>
        <w:rPr>
          <w:rFonts w:hint="eastAsia" w:ascii="宋体" w:hAnsi="宋体" w:cs="宋体"/>
          <w:color w:val="auto"/>
          <w:sz w:val="24"/>
          <w:highlight w:val="none"/>
        </w:rPr>
        <w:t xml:space="preserve">江苏政府采购网、常州市政府采购网和江苏尚阳工程管理有限公司网</w:t>
      </w:r>
      <w:r>
        <w:rPr>
          <w:rFonts w:hint="eastAsia" w:ascii="宋体" w:hAnsi="宋体" w:cs="宋体"/>
          <w:color w:val="auto"/>
          <w:sz w:val="24"/>
          <w:highlight w:val="none"/>
        </w:rPr>
        <w:t xml:space="preserve">公告成交结果，同时向成交供应商发出成交通知书，</w:t>
      </w:r>
      <w:r>
        <w:rPr>
          <w:rFonts w:hint="eastAsia" w:ascii="宋体" w:hAnsi="宋体" w:cs="宋体"/>
          <w:color w:val="auto"/>
          <w:sz w:val="24"/>
          <w:highlight w:val="none"/>
        </w:rPr>
        <w:t xml:space="preserve">成交公告期限为1个工作日。</w:t>
      </w:r>
      <w:r/>
    </w:p>
    <w:p>
      <w:pPr>
        <w:ind w:left="1080"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21.2</w:t>
      </w:r>
      <w:r>
        <w:rPr>
          <w:rFonts w:hint="eastAsia" w:ascii="宋体" w:hAnsi="宋体" w:cs="宋体"/>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highlight w:val="none"/>
          <w:lang w:val="en-US" w:eastAsia="zh-CN" w:bidi="ar-SA"/>
        </w:rPr>
        <w:t xml:space="preserve">22</w:t>
      </w:r>
      <w:r>
        <w:rPr>
          <w:rFonts w:hint="eastAsia" w:ascii="宋体" w:hAnsi="宋体" w:cs="宋体"/>
          <w:color w:val="auto"/>
          <w:sz w:val="24"/>
          <w:highlight w:val="none"/>
        </w:rPr>
        <w:t xml:space="preserve">终止</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22.1</w:t>
      </w:r>
      <w:r>
        <w:rPr>
          <w:rFonts w:hint="eastAsia" w:ascii="宋体" w:hAnsi="宋体" w:cs="宋体"/>
          <w:color w:val="auto"/>
          <w:sz w:val="24"/>
          <w:highlight w:val="none"/>
        </w:rPr>
        <w:t xml:space="preserve">在采购中，出现下列情形之一的，采购人或采购代理机构将终止竞争性磋商采购活动，发布项目终止公告并说明原因，重新开展采购活动：</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22.1.1</w:t>
      </w:r>
      <w:r>
        <w:rPr>
          <w:rFonts w:hint="eastAsia" w:ascii="宋体" w:hAnsi="宋体" w:cs="宋体"/>
          <w:color w:val="auto"/>
          <w:sz w:val="24"/>
          <w:highlight w:val="none"/>
        </w:rPr>
        <w:t xml:space="preserve">因情况变化，不再符合规定的竞争性磋商采购方式适用情形的；</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22.1.2</w:t>
      </w:r>
      <w:r>
        <w:rPr>
          <w:rFonts w:hint="eastAsia" w:ascii="宋体" w:hAnsi="宋体" w:cs="宋体"/>
          <w:color w:val="auto"/>
          <w:sz w:val="24"/>
          <w:highlight w:val="none"/>
        </w:rPr>
        <w:t xml:space="preserve">出现影响采购公正的违法、违规行为的；</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22.1.3</w:t>
      </w:r>
      <w:r>
        <w:rPr>
          <w:rFonts w:hint="eastAsia" w:ascii="宋体" w:hAnsi="宋体" w:cs="宋体"/>
          <w:color w:val="auto"/>
          <w:sz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22.1.4</w:t>
      </w: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序号17.7的所述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r/>
    </w:p>
    <w:p>
      <w:pPr>
        <w:ind w:left="357" w:hanging="357"/>
        <w:spacing w:line="360" w:lineRule="auto"/>
        <w:tabs>
          <w:tab w:val="left" w:pos="360" w:leader="none"/>
        </w:tabs>
        <w:rPr>
          <w:rFonts w:ascii="宋体" w:hAnsi="宋体" w:cs="宋体"/>
          <w:color w:val="auto"/>
          <w:sz w:val="24"/>
          <w:highlight w:val="none"/>
        </w:rPr>
        <w:outlineLvl w:val="1"/>
      </w:pPr>
      <w:r/>
      <w:bookmarkStart w:id="504" w:name="_Toc151190177"/>
      <w:r/>
      <w:bookmarkStart w:id="505" w:name="_Toc226965740"/>
      <w:r/>
      <w:bookmarkStart w:id="506" w:name="_Toc164229391"/>
      <w:r/>
      <w:bookmarkStart w:id="507" w:name="_Toc226965823"/>
      <w:r/>
      <w:bookmarkStart w:id="508" w:name="_Toc127151751"/>
      <w:r/>
      <w:bookmarkStart w:id="509" w:name="_Toc150774755"/>
      <w:r/>
      <w:bookmarkStart w:id="510" w:name="_Toc151193720"/>
      <w:r/>
      <w:bookmarkStart w:id="511" w:name="_Toc226309794"/>
      <w:r/>
      <w:bookmarkStart w:id="512" w:name="_Toc127151550"/>
      <w:r/>
      <w:bookmarkStart w:id="513" w:name="_Ref467306377"/>
      <w:r/>
      <w:bookmarkStart w:id="514" w:name="_Toc151193938"/>
      <w:r/>
      <w:bookmarkStart w:id="515" w:name="_Toc164608819"/>
      <w:r/>
      <w:bookmarkStart w:id="516" w:name="_Toc150480788"/>
      <w:r/>
      <w:bookmarkStart w:id="517" w:name="_Toc151193648"/>
      <w:r/>
      <w:bookmarkStart w:id="518" w:name="_Toc164351644"/>
      <w:r/>
      <w:bookmarkStart w:id="519" w:name="_Toc142311052"/>
      <w:r/>
      <w:bookmarkStart w:id="520" w:name="_Ref467307062"/>
      <w:r/>
      <w:bookmarkStart w:id="521" w:name="_Toc150774650"/>
      <w:r/>
      <w:bookmarkStart w:id="522" w:name="_Toc520356175"/>
      <w:r/>
      <w:bookmarkStart w:id="523" w:name="_Ref467306978"/>
      <w:r/>
      <w:bookmarkStart w:id="524" w:name="_Toc164229245"/>
      <w:r/>
      <w:bookmarkStart w:id="525" w:name="_Toc149720843"/>
      <w:r/>
      <w:bookmarkStart w:id="526" w:name="_Toc151193864"/>
      <w:r/>
      <w:bookmarkStart w:id="527" w:name="_Toc305158818"/>
      <w:r/>
      <w:bookmarkStart w:id="528" w:name="_Toc264969240"/>
      <w:r/>
      <w:bookmarkStart w:id="529" w:name="_Toc164608664"/>
      <w:r/>
      <w:bookmarkStart w:id="530" w:name="_Toc195842915"/>
      <w:r/>
      <w:bookmarkStart w:id="531" w:name="_Toc265228388"/>
      <w:r/>
      <w:bookmarkStart w:id="532" w:name="_Toc226337246"/>
      <w:r/>
      <w:bookmarkStart w:id="533" w:name="_Toc151193792"/>
      <w:r/>
      <w:bookmarkStart w:id="534" w:name="_Ref467307204"/>
      <w:r/>
      <w:bookmarkStart w:id="535" w:name="_Toc127161464"/>
      <w:r/>
      <w:bookmarkStart w:id="536" w:name="_Toc305158892"/>
      <w:r/>
      <w:bookmarkStart w:id="537" w:name="_Toc150509301"/>
      <w:r>
        <w:rPr>
          <w:rFonts w:hint="eastAsia" w:ascii="宋体" w:hAnsi="宋体" w:eastAsia="宋体" w:cs="宋体"/>
          <w:color w:val="auto"/>
          <w:sz w:val="24"/>
          <w:szCs w:val="24"/>
          <w:highlight w:val="none"/>
          <w:lang w:val="en-US" w:eastAsia="zh-CN" w:bidi="ar-SA"/>
        </w:rPr>
        <w:t xml:space="preserve">23</w:t>
      </w:r>
      <w:r>
        <w:rPr>
          <w:rFonts w:hint="eastAsia" w:ascii="宋体" w:hAnsi="宋体" w:cs="宋体"/>
          <w:color w:val="auto"/>
          <w:sz w:val="24"/>
          <w:highlight w:val="none"/>
        </w:rPr>
        <w:t xml:space="preserve">签订合同</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23.1</w:t>
      </w:r>
      <w:r>
        <w:rPr>
          <w:rFonts w:hint="eastAsia" w:ascii="宋体" w:hAnsi="宋体" w:cs="宋体"/>
          <w:color w:val="auto"/>
          <w:sz w:val="24"/>
          <w:highlight w:val="none"/>
        </w:rPr>
        <w:t xml:space="preserve">采购人与成交供应商将在成交通知书发出之日起30日内，按照磋商文件确定的合同文本以及采购标的、采购金额、采购数量、技术和服务要求等事项签订政府采购合同。</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23.2</w:t>
      </w:r>
      <w:r>
        <w:rPr>
          <w:rFonts w:hint="eastAsia" w:ascii="宋体" w:hAnsi="宋体" w:cs="宋体"/>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23.3</w:t>
      </w:r>
      <w:r>
        <w:rPr>
          <w:rFonts w:hint="eastAsia" w:ascii="宋体" w:hAnsi="宋体" w:cs="宋体"/>
          <w:color w:val="auto"/>
          <w:sz w:val="24"/>
          <w:highlight w:val="none"/>
        </w:rPr>
        <w:t xml:space="preserve">联合体获得成交资格的，联合体各方应当共同与采购人签订合同，就成交项目向采购人承担连带责任。</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23.4</w:t>
      </w:r>
      <w:r>
        <w:rPr>
          <w:rFonts w:hint="eastAsia" w:ascii="宋体" w:hAnsi="宋体" w:cs="宋体"/>
          <w:color w:val="auto"/>
          <w:sz w:val="24"/>
          <w:highlight w:val="none"/>
        </w:rPr>
        <w:t xml:space="preserve">政府采购合同不能转包。</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23.5</w:t>
      </w:r>
      <w:r>
        <w:rPr>
          <w:rFonts w:hint="eastAsia" w:ascii="宋体" w:hAnsi="宋体" w:cs="宋体"/>
          <w:color w:val="auto"/>
          <w:sz w:val="24"/>
          <w:highlight w:val="none"/>
        </w:rPr>
        <w:t xml:space="preserve">本项目是否允许分包，见《供应商须知资料表》。</w:t>
      </w:r>
      <w:bookmarkEnd w:id="501"/>
      <w:bookmarkEnd w:id="502"/>
      <w:bookmarkEnd w:id="503"/>
      <w:r/>
    </w:p>
    <w:p>
      <w:p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highlight w:val="none"/>
          <w:lang w:val="en-US" w:eastAsia="zh-CN" w:bidi="ar-SA"/>
        </w:rPr>
        <w:t xml:space="preserve">24</w:t>
      </w:r>
      <w:r>
        <w:rPr>
          <w:rFonts w:hint="eastAsia" w:ascii="宋体" w:hAnsi="宋体" w:cs="宋体"/>
          <w:color w:val="auto"/>
          <w:sz w:val="24"/>
          <w:highlight w:val="none"/>
        </w:rPr>
        <w:t xml:space="preserve">询问与质疑</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24.1</w:t>
      </w:r>
      <w:r>
        <w:rPr>
          <w:rFonts w:hint="eastAsia" w:ascii="宋体" w:hAnsi="宋体" w:cs="宋体"/>
          <w:color w:val="auto"/>
          <w:sz w:val="24"/>
          <w:highlight w:val="none"/>
        </w:rPr>
        <w:t xml:space="preserve">询问</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24.1.1</w:t>
      </w:r>
      <w:r>
        <w:rPr>
          <w:rFonts w:hint="eastAsia" w:ascii="宋体" w:hAnsi="宋体" w:cs="宋体"/>
          <w:color w:val="auto"/>
          <w:sz w:val="24"/>
          <w:highlight w:val="none"/>
        </w:rPr>
        <w:t xml:space="preserve">供应商对政府采购活动事项有疑问的，可依法提出询问，并按《供应商须知资料表》载明的形式送达采购人或采购代理机构。</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24.1.2</w:t>
      </w:r>
      <w:r>
        <w:rPr>
          <w:rFonts w:hint="eastAsia" w:ascii="宋体" w:hAnsi="宋体" w:cs="宋体"/>
          <w:color w:val="auto"/>
          <w:sz w:val="24"/>
          <w:highlight w:val="none"/>
        </w:rPr>
        <w:t xml:space="preserve">采购人或采购代理机构对供应商依法提出的询问，在3个工作日内作出答复，但答复的内容不得涉及商业秘密。</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24.2</w:t>
      </w:r>
      <w:r>
        <w:rPr>
          <w:rFonts w:hint="eastAsia" w:ascii="宋体" w:hAnsi="宋体" w:cs="宋体"/>
          <w:color w:val="auto"/>
          <w:sz w:val="24"/>
          <w:highlight w:val="none"/>
        </w:rPr>
        <w:t xml:space="preserve">质疑</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24.2.1</w:t>
      </w:r>
      <w:r>
        <w:rPr>
          <w:rFonts w:hint="eastAsia" w:ascii="宋体" w:hAnsi="宋体" w:cs="宋体"/>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24.2.2</w:t>
      </w:r>
      <w:r>
        <w:rPr>
          <w:rFonts w:hint="eastAsia" w:ascii="宋体" w:hAnsi="宋体" w:cs="宋体"/>
          <w:b/>
          <w:color w:val="auto"/>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24.2.3</w:t>
      </w:r>
      <w:r>
        <w:rPr>
          <w:rFonts w:hint="eastAsia" w:ascii="宋体" w:hAnsi="宋体" w:cs="宋体"/>
          <w:color w:val="auto"/>
          <w:sz w:val="24"/>
          <w:highlight w:val="none"/>
        </w:rPr>
        <w:t xml:space="preserve">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810"/>
          <w:rFonts w:hint="eastAsia" w:ascii="宋体" w:hAnsi="宋体" w:cs="宋体"/>
          <w:color w:val="auto"/>
          <w:sz w:val="24"/>
          <w:highlight w:val="none"/>
        </w:rPr>
        <w:t xml:space="preserve">http://gk</w:t>
      </w:r>
      <w:bookmarkStart w:id="538" w:name="_Hlt100654014"/>
      <w:r>
        <w:rPr>
          <w:rStyle w:val="810"/>
          <w:rFonts w:hint="eastAsia" w:ascii="宋体" w:hAnsi="宋体" w:cs="宋体"/>
          <w:color w:val="auto"/>
          <w:sz w:val="24"/>
          <w:highlight w:val="none"/>
        </w:rPr>
        <w:t xml:space="preserve">s</w:t>
      </w:r>
      <w:bookmarkEnd w:id="538"/>
      <w:r>
        <w:rPr>
          <w:rStyle w:val="810"/>
          <w:rFonts w:hint="eastAsia" w:ascii="宋体" w:hAnsi="宋体" w:cs="宋体"/>
          <w:color w:val="auto"/>
          <w:sz w:val="24"/>
          <w:highlight w:val="none"/>
        </w:rPr>
        <w:t xml:space="preserve">.m</w:t>
      </w:r>
      <w:bookmarkStart w:id="539" w:name="_Hlt100653993"/>
      <w:r/>
      <w:bookmarkStart w:id="540" w:name="_Hlt100653994"/>
      <w:r>
        <w:rPr>
          <w:rStyle w:val="810"/>
          <w:rFonts w:hint="eastAsia" w:ascii="宋体" w:hAnsi="宋体" w:cs="宋体"/>
          <w:color w:val="auto"/>
          <w:sz w:val="24"/>
          <w:highlight w:val="none"/>
        </w:rPr>
        <w:t xml:space="preserve">o</w:t>
      </w:r>
      <w:bookmarkEnd w:id="539"/>
      <w:r/>
      <w:bookmarkEnd w:id="540"/>
      <w:r/>
      <w:bookmarkStart w:id="541" w:name="_Hlt101169156"/>
      <w:r>
        <w:rPr>
          <w:rStyle w:val="810"/>
          <w:rFonts w:hint="eastAsia" w:ascii="宋体" w:hAnsi="宋体" w:cs="宋体"/>
          <w:color w:val="auto"/>
          <w:sz w:val="24"/>
          <w:highlight w:val="none"/>
        </w:rPr>
        <w:t xml:space="preserve">f</w:t>
      </w:r>
      <w:bookmarkEnd w:id="541"/>
      <w:r>
        <w:rPr>
          <w:rStyle w:val="810"/>
          <w:rFonts w:hint="eastAsia" w:ascii="宋体" w:hAnsi="宋体" w:cs="宋体"/>
          <w:color w:val="auto"/>
          <w:sz w:val="24"/>
          <w:highlight w:val="none"/>
        </w:rPr>
        <w:t xml:space="preserve">.gov.cn/ztztz/zhengfucaigouguanli/201802/t20180201_2804589.htm</w:t>
      </w:r>
      <w:r>
        <w:rPr>
          <w:rStyle w:val="810"/>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24.2.4</w:t>
      </w:r>
      <w:r>
        <w:rPr>
          <w:rFonts w:hint="eastAsia"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w:t>
      </w:r>
      <w:r/>
    </w:p>
    <w:p>
      <w:pPr>
        <w:ind w:left="1980" w:hanging="900"/>
        <w:spacing w:line="360" w:lineRule="auto"/>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24.2.5</w:t>
      </w:r>
      <w:r>
        <w:rPr>
          <w:rFonts w:hint="eastAsia" w:ascii="宋体" w:hAnsi="宋体" w:cs="宋体"/>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24.3</w:t>
      </w:r>
      <w:r>
        <w:rPr>
          <w:rFonts w:hint="eastAsia" w:ascii="宋体" w:hAnsi="宋体" w:cs="宋体"/>
          <w:color w:val="auto"/>
          <w:sz w:val="24"/>
          <w:highlight w:val="none"/>
        </w:rPr>
        <w:t xml:space="preserve">接收询问和质疑的联系部门、联系电话和通讯地址见《供应商须知资料表》。</w:t>
      </w:r>
      <w:r/>
    </w:p>
    <w:p>
      <w:pPr>
        <w:ind w:left="357" w:hanging="357"/>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highlight w:val="none"/>
          <w:lang w:val="en-US" w:eastAsia="zh-CN" w:bidi="ar-SA"/>
        </w:rPr>
        <w:t xml:space="preserve">25</w:t>
      </w:r>
      <w:r>
        <w:rPr>
          <w:rFonts w:hint="eastAsia" w:ascii="宋体" w:hAnsi="宋体" w:cs="宋体"/>
          <w:color w:val="auto"/>
          <w:sz w:val="24"/>
          <w:highlight w:val="none"/>
        </w:rPr>
        <w:t xml:space="preserve">代理费</w:t>
      </w:r>
      <w:r/>
    </w:p>
    <w:p>
      <w:pPr>
        <w:ind w:left="1077" w:hanging="720"/>
        <w:spacing w:line="360" w:lineRule="auto"/>
        <w:tabs>
          <w:tab w:val="left" w:pos="1080" w:leader="none"/>
          <w:tab w:val="left" w:pos="2014" w:leader="none"/>
        </w:tabs>
        <w:rPr>
          <w:rFonts w:ascii="宋体" w:hAnsi="宋体" w:cs="宋体"/>
          <w:color w:val="auto"/>
          <w:sz w:val="24"/>
          <w:highlight w:val="none"/>
        </w:rPr>
      </w:pPr>
      <w:r>
        <w:rPr>
          <w:rFonts w:hint="default" w:ascii="Times New Roman" w:hAnsi="Times New Roman" w:eastAsia="宋体" w:cs="Times New Roman"/>
          <w:color w:val="auto"/>
          <w:sz w:val="24"/>
          <w:szCs w:val="24"/>
          <w:highlight w:val="none"/>
          <w:lang w:val="en-US" w:eastAsia="zh-CN" w:bidi="ar-SA"/>
        </w:rPr>
        <w:t xml:space="preserve">25.1</w:t>
      </w:r>
      <w:r>
        <w:rPr>
          <w:rFonts w:hint="eastAsia" w:ascii="宋体" w:hAnsi="宋体" w:cs="宋体"/>
          <w:color w:val="auto"/>
          <w:sz w:val="24"/>
          <w:highlight w:val="none"/>
        </w:rPr>
        <w:t xml:space="preserve">收费对象、收费标准及缴纳时间见《供应商须知资料表》。由成交供应商支付的，成交供应商须一次性向采购代理机构缴纳代理费，报价应包含代理费用。</w:t>
      </w:r>
      <w:r/>
    </w:p>
    <w:p>
      <w:pPr>
        <w:ind w:left="357"/>
        <w:spacing w:line="360" w:lineRule="auto"/>
        <w:tabs>
          <w:tab w:val="left" w:pos="1080" w:leader="none"/>
          <w:tab w:val="left" w:pos="2014" w:leader="none"/>
        </w:tabs>
        <w:rPr>
          <w:rFonts w:ascii="宋体" w:hAnsi="宋体" w:cs="宋体"/>
          <w:color w:val="auto"/>
          <w:sz w:val="24"/>
          <w:highlight w:val="none"/>
        </w:rPr>
      </w:pPr>
      <w:r/>
      <w:bookmarkStart w:id="542" w:name="_Toc353825544"/>
      <w:r/>
      <w:bookmarkStart w:id="543" w:name="_Toc305158896"/>
      <w:r/>
      <w:bookmarkStart w:id="544" w:name="_Toc226337250"/>
      <w:r/>
      <w:bookmarkStart w:id="545" w:name="_Toc150774759"/>
      <w:r/>
      <w:bookmarkStart w:id="546" w:name="_Toc305158822"/>
      <w:r/>
      <w:bookmarkStart w:id="547" w:name="_Toc353873664"/>
      <w:r/>
      <w:bookmarkStart w:id="548" w:name="_Toc142311056"/>
      <w:r/>
      <w:bookmarkStart w:id="549" w:name="_Toc127151554"/>
      <w:r/>
      <w:bookmarkStart w:id="550" w:name="_Toc353873934"/>
      <w:r/>
      <w:bookmarkStart w:id="551" w:name="_Toc264969244"/>
      <w:r/>
      <w:bookmarkStart w:id="552" w:name="_Toc150480792"/>
      <w:r/>
      <w:bookmarkStart w:id="553" w:name="_Toc265228392"/>
      <w:r/>
      <w:bookmarkStart w:id="554" w:name="_Toc226965827"/>
      <w:r/>
      <w:r/>
    </w:p>
    <w:p>
      <w:pPr>
        <w:ind w:left="1077" w:hanging="720"/>
        <w:spacing w:line="360" w:lineRule="auto"/>
        <w:tabs>
          <w:tab w:val="left" w:pos="1080" w:leader="none"/>
          <w:tab w:val="left" w:pos="2014" w:leader="none"/>
        </w:tabs>
        <w:rPr>
          <w:rFonts w:ascii="宋体" w:hAnsi="宋体" w:cs="宋体"/>
          <w:color w:val="auto"/>
          <w:sz w:val="24"/>
          <w:highlight w:val="none"/>
        </w:rPr>
        <w:sectPr>
          <w:footnotePr/>
          <w:endnotePr/>
          <w:type w:val="nextPage"/>
          <w:pgSz w:w="11907" w:h="16840" w:orient="portrait"/>
          <w:pgMar w:top="1440" w:right="1304" w:bottom="1440" w:left="1304" w:header="851" w:footer="851" w:gutter="0"/>
          <w:cols w:num="1" w:sep="0" w:space="720" w:equalWidth="1"/>
          <w:docGrid w:linePitch="360"/>
        </w:sectPr>
      </w:pPr>
      <w:r>
        <w:rPr>
          <w:rFonts w:ascii="宋体" w:hAnsi="宋体" w:cs="宋体"/>
          <w:color w:val="auto"/>
          <w:sz w:val="24"/>
          <w:highlight w:val="none"/>
        </w:rPr>
      </w:r>
      <w:r/>
    </w:p>
    <w:p>
      <w:pPr>
        <w:jc w:val="center"/>
        <w:spacing w:line="360" w:lineRule="auto"/>
        <w:rPr>
          <w:b/>
          <w:color w:val="auto"/>
          <w:sz w:val="36"/>
          <w:szCs w:val="36"/>
          <w:highlight w:val="none"/>
        </w:rPr>
        <w:outlineLvl w:val="0"/>
      </w:pPr>
      <w:r/>
      <w:bookmarkStart w:id="555" w:name="_Toc8164"/>
      <w:r>
        <w:rPr>
          <w:b/>
          <w:color w:val="auto"/>
          <w:sz w:val="36"/>
          <w:szCs w:val="36"/>
          <w:highlight w:val="none"/>
        </w:rPr>
        <w:t xml:space="preserve">第三章   </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555"/>
      <w:r/>
      <w:bookmarkStart w:id="556" w:name="_Toc487900382"/>
      <w:r/>
      <w:r/>
    </w:p>
    <w:p>
      <w:pPr>
        <w:jc w:val="center"/>
        <w:spacing w:line="36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一、评审程序</w:t>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556"/>
      <w:r/>
    </w:p>
    <w:p>
      <w:pPr>
        <w:ind w:left="900" w:hanging="900"/>
        <w:spacing w:line="360" w:lineRule="auto"/>
        <w:tabs>
          <w:tab w:val="left" w:pos="360" w:leader="none"/>
        </w:tabs>
        <w:rPr>
          <w:rFonts w:ascii="宋体" w:hAnsi="宋体" w:cs="宋体"/>
          <w:color w:val="auto"/>
          <w:sz w:val="24"/>
          <w:highlight w:val="none"/>
        </w:rPr>
        <w:outlineLvl w:val="1"/>
      </w:pPr>
      <w:r/>
      <w:bookmarkStart w:id="557" w:name="_Toc265228379"/>
      <w:r/>
      <w:bookmarkStart w:id="558" w:name="_Toc164608810"/>
      <w:r/>
      <w:bookmarkStart w:id="559" w:name="_Toc151193711"/>
      <w:r/>
      <w:bookmarkStart w:id="560" w:name="_Toc127151541"/>
      <w:r/>
      <w:bookmarkStart w:id="561" w:name="_Toc150774641"/>
      <w:r/>
      <w:bookmarkStart w:id="562" w:name="_Toc151190168"/>
      <w:r/>
      <w:bookmarkStart w:id="563" w:name="_Toc226309785"/>
      <w:r/>
      <w:bookmarkStart w:id="564" w:name="_Toc151193855"/>
      <w:r/>
      <w:bookmarkStart w:id="565" w:name="_Toc226965731"/>
      <w:r/>
      <w:bookmarkStart w:id="566" w:name="_Toc305158883"/>
      <w:r/>
      <w:bookmarkStart w:id="567" w:name="_Toc142311043"/>
      <w:r/>
      <w:bookmarkStart w:id="568" w:name="_Toc164229236"/>
      <w:r/>
      <w:bookmarkStart w:id="569" w:name="_Toc164351635"/>
      <w:r/>
      <w:bookmarkStart w:id="570" w:name="_Toc195842906"/>
      <w:r/>
      <w:bookmarkStart w:id="571" w:name="_Toc305158809"/>
      <w:r/>
      <w:bookmarkStart w:id="572" w:name="_Toc151193929"/>
      <w:r/>
      <w:bookmarkStart w:id="573" w:name="_Toc164229382"/>
      <w:r/>
      <w:bookmarkStart w:id="574" w:name="_Toc149720834"/>
      <w:r/>
      <w:bookmarkStart w:id="575" w:name="_Toc264969231"/>
      <w:r/>
      <w:bookmarkStart w:id="576" w:name="_Toc226965814"/>
      <w:r/>
      <w:bookmarkStart w:id="577" w:name="_Toc151193783"/>
      <w:r/>
      <w:bookmarkStart w:id="578" w:name="_Toc150509292"/>
      <w:r/>
      <w:bookmarkStart w:id="579" w:name="_Toc150480779"/>
      <w:r/>
      <w:bookmarkStart w:id="580" w:name="_Toc127161455"/>
      <w:r/>
      <w:bookmarkStart w:id="581" w:name="_Toc150774746"/>
      <w:r/>
      <w:bookmarkStart w:id="582" w:name="_Toc226337237"/>
      <w:r/>
      <w:bookmarkStart w:id="583" w:name="_Toc151193639"/>
      <w:r/>
      <w:bookmarkStart w:id="584" w:name="_Toc127151742"/>
      <w:r/>
      <w:bookmarkStart w:id="585" w:name="_Toc164608655"/>
      <w:r/>
      <w:bookmarkStart w:id="586" w:name="_Toc353825551"/>
      <w:r/>
      <w:bookmarkStart w:id="587" w:name="_Toc353873941"/>
      <w:r/>
      <w:bookmarkStart w:id="588" w:name="_Toc142311057"/>
      <w:r/>
      <w:bookmarkStart w:id="589" w:name="_Toc353873935"/>
      <w:r/>
      <w:bookmarkStart w:id="590" w:name="_Toc150480793"/>
      <w:r/>
      <w:bookmarkStart w:id="591" w:name="_Toc353825545"/>
      <w:r/>
      <w:bookmarkStart w:id="592" w:name="_Toc264969245"/>
      <w:r/>
      <w:bookmarkStart w:id="593" w:name="_Toc305158823"/>
      <w:r/>
      <w:bookmarkStart w:id="594" w:name="_Toc226337251"/>
      <w:r/>
      <w:bookmarkStart w:id="595" w:name="_Toc353873665"/>
      <w:r/>
      <w:bookmarkStart w:id="596" w:name="_Toc226965828"/>
      <w:r/>
      <w:bookmarkStart w:id="597" w:name="_Toc195842920"/>
      <w:r/>
      <w:bookmarkStart w:id="598" w:name="_Toc150774760"/>
      <w:r/>
      <w:bookmarkStart w:id="599" w:name="_Toc265228393"/>
      <w:r/>
      <w:bookmarkStart w:id="600" w:name="_Toc305158897"/>
      <w:r/>
      <w:bookmarkStart w:id="601" w:name="_Toc127151555"/>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highlight w:val="none"/>
        </w:rPr>
        <w:t xml:space="preserve">响应文件的</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Pr>
          <w:rFonts w:hint="eastAsia" w:ascii="宋体" w:hAnsi="宋体" w:cs="宋体"/>
          <w:color w:val="auto"/>
          <w:sz w:val="24"/>
          <w:highlight w:val="none"/>
        </w:rPr>
        <w:t xml:space="preserve">资格性检查和符合性审查</w:t>
      </w:r>
      <w:r/>
    </w:p>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1.1</w:t>
      </w:r>
      <w:r>
        <w:rPr>
          <w:rFonts w:hint="eastAsia" w:ascii="宋体" w:hAnsi="宋体" w:cs="宋体"/>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auto"/>
          <w:sz w:val="24"/>
          <w:highlight w:val="none"/>
        </w:rPr>
        <w:t xml:space="preserve">无效响应</w:t>
      </w:r>
      <w:r>
        <w:rPr>
          <w:rFonts w:hint="eastAsia" w:ascii="宋体" w:hAnsi="宋体" w:cs="宋体"/>
          <w:color w:val="auto"/>
          <w:sz w:val="24"/>
          <w:highlight w:val="none"/>
        </w:rPr>
        <w:t xml:space="preserve">处理，磋商小组应当告知提交响应文件的供应商。</w:t>
      </w:r>
      <w:r/>
    </w:p>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1.2</w:t>
      </w:r>
      <w:r>
        <w:rPr>
          <w:rFonts w:hint="eastAsia" w:ascii="宋体" w:hAnsi="宋体" w:cs="宋体"/>
          <w:color w:val="auto"/>
          <w:sz w:val="24"/>
          <w:highlight w:val="none"/>
        </w:rPr>
        <w:t xml:space="preserve">《资格性检查要求》中对格式有要求的，除竞争性磋商文件另有规定外，均为“实质性格式”文件。</w:t>
      </w:r>
      <w:r/>
    </w:p>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1.3</w:t>
      </w:r>
      <w:r>
        <w:rPr>
          <w:rFonts w:hint="eastAsia" w:ascii="宋体" w:hAnsi="宋体" w:cs="宋体"/>
          <w:color w:val="auto"/>
          <w:sz w:val="24"/>
          <w:highlight w:val="none"/>
        </w:rPr>
        <w:t xml:space="preserve">《资格性检查要求》见下表：</w:t>
      </w:r>
      <w:r/>
    </w:p>
    <w:p>
      <w:pPr>
        <w:jc w:val="center"/>
        <w:spacing w:line="360" w:lineRule="auto"/>
        <w:tabs>
          <w:tab w:val="left" w:pos="900" w:leader="none"/>
          <w:tab w:val="left" w:pos="1080" w:leader="none"/>
          <w:tab w:val="left" w:pos="1447" w:leader="none"/>
        </w:tabs>
        <w:rPr>
          <w:b/>
          <w:color w:val="auto"/>
          <w:sz w:val="24"/>
          <w:highlight w:val="none"/>
        </w:rPr>
      </w:pPr>
      <w:r>
        <w:rPr>
          <w:b/>
          <w:color w:val="auto"/>
          <w:sz w:val="24"/>
          <w:highlight w:val="none"/>
        </w:rPr>
        <w:t xml:space="preserve">资格性检查要求</w:t>
      </w:r>
      <w:r/>
    </w:p>
    <w:tbl>
      <w:tblPr>
        <w:tblStyle w:val="79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0"/>
        <w:gridCol w:w="1728"/>
        <w:gridCol w:w="4494"/>
        <w:gridCol w:w="1660"/>
      </w:tblGrid>
      <w:tr>
        <w:trPr>
          <w:cantSplit/>
          <w:trHeight w:val="20"/>
          <w:tblHeader/>
        </w:trPr>
        <w:tc>
          <w:tcPr>
            <w:tcW w:w="640" w:type="dxa"/>
            <w:vAlign w:val="center"/>
            <w:textDirection w:val="lrTb"/>
            <w:noWrap w:val="false"/>
          </w:tcPr>
          <w:p>
            <w:pPr>
              <w:jc w:val="center"/>
              <w:tabs>
                <w:tab w:val="left" w:pos="1080" w:leader="none"/>
              </w:tabs>
              <w:rPr>
                <w:rFonts w:ascii="宋体" w:hAnsi="宋体" w:cs="宋体"/>
                <w:b/>
                <w:color w:val="auto"/>
                <w:sz w:val="24"/>
                <w:highlight w:val="none"/>
              </w:rPr>
            </w:pPr>
            <w:r/>
            <w:bookmarkStart w:id="602" w:name="_Hlt487972895"/>
            <w:r/>
            <w:bookmarkEnd w:id="602"/>
            <w:r>
              <w:rPr>
                <w:rFonts w:hint="eastAsia" w:ascii="宋体" w:hAnsi="宋体" w:cs="宋体"/>
                <w:b/>
                <w:color w:val="auto"/>
                <w:sz w:val="24"/>
                <w:highlight w:val="none"/>
              </w:rPr>
              <w:t xml:space="preserve">序号</w:t>
            </w:r>
            <w:r/>
          </w:p>
        </w:tc>
        <w:tc>
          <w:tcPr>
            <w:tcW w:w="1728"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4494"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1660" w:type="dxa"/>
            <w:vAlign w:val="center"/>
            <w:textDirection w:val="lrTb"/>
            <w:noWrap w:val="false"/>
          </w:tcPr>
          <w:p>
            <w:pPr>
              <w:jc w:val="center"/>
              <w:tabs>
                <w:tab w:val="left" w:pos="1080" w:leader="none"/>
              </w:tabs>
              <w:rPr>
                <w:rFonts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cantSplit/>
          <w:trHeight w:val="20"/>
        </w:trPr>
        <w:tc>
          <w:tcPr>
            <w:tcW w:w="640"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1</w:t>
            </w:r>
            <w:r/>
          </w:p>
        </w:tc>
        <w:tc>
          <w:tcPr>
            <w:tcW w:w="172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满足《中华人民共和国政府采购法》第二十二条规定及法律法规的其他规定</w:t>
            </w:r>
            <w:r/>
          </w:p>
        </w:tc>
        <w:tc>
          <w:tcPr>
            <w:tcW w:w="4494"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具体规定见第一章《采购邀请》</w:t>
            </w:r>
            <w:r/>
          </w:p>
        </w:tc>
        <w:tc>
          <w:tcPr>
            <w:tcW w:w="1660"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468"/>
        </w:trPr>
        <w:tc>
          <w:tcPr>
            <w:tcW w:w="640" w:type="dxa"/>
            <w:vAlign w:val="center"/>
            <w:textDirection w:val="lrTb"/>
            <w:noWrap w:val="false"/>
          </w:tcPr>
          <w:p>
            <w:pPr>
              <w:jc w:val="center"/>
              <w:tabs>
                <w:tab w:val="left" w:pos="108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1</w:t>
            </w:r>
            <w:r/>
          </w:p>
        </w:tc>
        <w:tc>
          <w:tcPr>
            <w:tcW w:w="172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供应商资格声明函</w:t>
            </w:r>
            <w:r/>
          </w:p>
        </w:tc>
        <w:tc>
          <w:tcPr>
            <w:tcW w:w="4494"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提供了符合采购文件要求的《供应商资格声明函》。</w:t>
            </w:r>
            <w:r/>
          </w:p>
        </w:tc>
        <w:tc>
          <w:tcPr>
            <w:tcW w:w="1660"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格式见《响应文件格式》</w:t>
            </w:r>
            <w:r/>
          </w:p>
        </w:tc>
      </w:tr>
      <w:tr>
        <w:trPr>
          <w:cantSplit/>
          <w:trHeight w:val="20"/>
        </w:trPr>
        <w:tc>
          <w:tcPr>
            <w:tcW w:w="640" w:type="dxa"/>
            <w:vAlign w:val="center"/>
            <w:textDirection w:val="lrTb"/>
            <w:noWrap w:val="false"/>
          </w:tcPr>
          <w:p>
            <w:pPr>
              <w:jc w:val="center"/>
              <w:tabs>
                <w:tab w:val="left" w:pos="108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p>
        </w:tc>
        <w:tc>
          <w:tcPr>
            <w:tcW w:w="172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供应商信用记录</w:t>
            </w:r>
            <w:r/>
          </w:p>
        </w:tc>
        <w:tc>
          <w:tcPr>
            <w:tcW w:w="4494" w:type="dxa"/>
            <w:vAlign w:val="center"/>
            <w:textDirection w:val="lrTb"/>
            <w:noWrap w:val="false"/>
          </w:tcPr>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查询渠道：信用中国网站和中国政府采购网（www.creditchina.gov.cn、www.ccgp.gov.cn）；</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color w:val="auto"/>
                <w:sz w:val="24"/>
                <w:highlight w:val="none"/>
              </w:rPr>
            </w:pPr>
            <w:r>
              <w:rPr>
                <w:rFonts w:hint="eastAsia" w:ascii="宋体" w:hAnsi="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tc>
        <w:tc>
          <w:tcPr>
            <w:tcW w:w="1660"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无须供应商提供，由采购人查询。</w:t>
            </w:r>
            <w:r/>
          </w:p>
        </w:tc>
      </w:tr>
      <w:tr>
        <w:trPr>
          <w:cantSplit/>
          <w:trHeight w:val="20"/>
        </w:trPr>
        <w:tc>
          <w:tcPr>
            <w:shd w:val="clear" w:color="auto" w:fill="auto"/>
            <w:tcW w:w="640"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w:t>
            </w:r>
            <w:r/>
          </w:p>
        </w:tc>
        <w:tc>
          <w:tcPr>
            <w:shd w:val="clear" w:color="auto" w:fill="auto"/>
            <w:tcW w:w="172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落实政府采购政策需满足的资格要求</w:t>
            </w:r>
            <w:r/>
          </w:p>
        </w:tc>
        <w:tc>
          <w:tcPr>
            <w:shd w:val="clear" w:color="auto" w:fill="auto"/>
            <w:tcW w:w="4494"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具体要求见第一章《采购邀请》</w:t>
            </w:r>
            <w:r/>
          </w:p>
        </w:tc>
        <w:tc>
          <w:tcPr>
            <w:shd w:val="clear" w:color="auto" w:fill="auto"/>
            <w:tcW w:w="1660" w:type="dxa"/>
            <w:vAlign w:val="center"/>
            <w:textDirection w:val="lrTb"/>
            <w:noWrap w:val="false"/>
          </w:tcPr>
          <w:p>
            <w:pP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20"/>
        </w:trPr>
        <w:tc>
          <w:tcPr>
            <w:shd w:val="clear" w:color="auto" w:fill="auto"/>
            <w:tcW w:w="640"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2-1</w:t>
            </w:r>
            <w:r/>
          </w:p>
        </w:tc>
        <w:tc>
          <w:tcPr>
            <w:shd w:val="clear" w:color="auto" w:fill="auto"/>
            <w:tcW w:w="1728"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中小企业声明函</w:t>
            </w:r>
            <w:r/>
          </w:p>
        </w:tc>
        <w:tc>
          <w:tcPr>
            <w:shd w:val="clear" w:color="auto" w:fill="auto"/>
            <w:tcW w:w="4494" w:type="dxa"/>
            <w:vAlign w:val="center"/>
            <w:textDirection w:val="lrTb"/>
            <w:noWrap w:val="false"/>
          </w:tcPr>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供应商单独参与磋商的，应提供中小企业声明函；如为监狱企业或残疾人福利性单位，不必提供中小企业声明函，但须按注1或注2要求提供证明材料。</w:t>
            </w:r>
            <w:r/>
          </w:p>
          <w:p>
            <w:pPr>
              <w:tabs>
                <w:tab w:val="left" w:pos="1080" w:leader="none"/>
              </w:tabs>
              <w:rPr>
                <w:rFonts w:ascii="宋体" w:hAnsi="宋体" w:cs="宋体"/>
                <w:bCs/>
                <w:color w:val="auto"/>
                <w:sz w:val="24"/>
                <w:highlight w:val="none"/>
              </w:rPr>
            </w:pPr>
            <w:r>
              <w:rPr>
                <w:rFonts w:hint="eastAsia" w:ascii="宋体" w:hAnsi="宋体" w:cs="宋体"/>
                <w:bCs/>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ascii="宋体" w:hAnsi="宋体" w:cs="宋体"/>
                <w:color w:val="auto"/>
                <w:sz w:val="24"/>
                <w:highlight w:val="none"/>
              </w:rPr>
            </w:pPr>
            <w:r>
              <w:rPr>
                <w:rFonts w:hint="eastAsia" w:ascii="宋体" w:hAnsi="宋体" w:cs="宋体"/>
                <w:bCs/>
                <w:color w:val="auto"/>
                <w:sz w:val="24"/>
                <w:highlight w:val="none"/>
              </w:rPr>
              <w:t xml:space="preserve">注2：残疾人福利性单位须按磋商文件要求提供《残疾人福利性单位声明函》。</w:t>
            </w:r>
            <w:r/>
          </w:p>
        </w:tc>
        <w:tc>
          <w:tcPr>
            <w:shd w:val="clear" w:color="auto" w:fill="auto"/>
            <w:tcW w:w="1660" w:type="dxa"/>
            <w:vAlign w:val="center"/>
            <w:textDirection w:val="lrTb"/>
            <w:noWrap w:val="false"/>
          </w:tcPr>
          <w:p>
            <w:pP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格式见《响应文件格式》</w:t>
            </w:r>
            <w:r/>
          </w:p>
        </w:tc>
      </w:tr>
      <w:tr>
        <w:trPr>
          <w:cantSplit/>
          <w:trHeight w:val="20"/>
        </w:trPr>
        <w:tc>
          <w:tcPr>
            <w:shd w:val="clear" w:color="auto" w:fill="auto"/>
            <w:tcW w:w="640"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w:t>
            </w:r>
            <w:r/>
          </w:p>
        </w:tc>
        <w:tc>
          <w:tcPr>
            <w:shd w:val="clear" w:color="auto" w:fill="auto"/>
            <w:tcW w:w="1728"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本项目的特定资格要求</w:t>
            </w:r>
            <w:r/>
          </w:p>
        </w:tc>
        <w:tc>
          <w:tcPr>
            <w:shd w:val="clear" w:color="auto" w:fill="auto"/>
            <w:tcW w:w="449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见第一章《采购邀请》</w:t>
            </w:r>
            <w:r/>
          </w:p>
        </w:tc>
        <w:tc>
          <w:tcPr>
            <w:shd w:val="clear" w:color="auto" w:fill="auto"/>
            <w:tcW w:w="1660" w:type="dxa"/>
            <w:vAlign w:val="center"/>
            <w:textDirection w:val="lrTb"/>
            <w:noWrap w:val="false"/>
          </w:tcPr>
          <w:p>
            <w:pPr>
              <w:jc w:val="center"/>
              <w:tabs>
                <w:tab w:val="left" w:pos="1080" w:leader="none"/>
              </w:tabs>
              <w:rPr>
                <w:rFonts w:ascii="宋体" w:hAnsi="宋体" w:cs="宋体"/>
                <w:color w:val="auto"/>
                <w:sz w:val="24"/>
                <w:highlight w:val="none"/>
              </w:rPr>
            </w:pPr>
            <w:r>
              <w:rPr>
                <w:rFonts w:ascii="宋体" w:hAnsi="宋体" w:cs="宋体"/>
                <w:color w:val="auto"/>
                <w:sz w:val="24"/>
                <w:highlight w:val="none"/>
              </w:rPr>
            </w:r>
            <w:r/>
          </w:p>
        </w:tc>
      </w:tr>
      <w:tr>
        <w:trPr>
          <w:cantSplit/>
          <w:trHeight w:val="20"/>
        </w:trPr>
        <w:tc>
          <w:tcPr>
            <w:shd w:val="clear" w:color="auto" w:fill="auto"/>
            <w:tcW w:w="640"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3-1</w:t>
            </w:r>
            <w:r/>
          </w:p>
        </w:tc>
        <w:tc>
          <w:tcPr>
            <w:shd w:val="clear" w:color="auto" w:fill="auto"/>
            <w:tcW w:w="1728"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其他特定资格要求</w:t>
            </w:r>
            <w:r/>
          </w:p>
        </w:tc>
        <w:tc>
          <w:tcPr>
            <w:shd w:val="clear" w:color="auto" w:fill="auto"/>
            <w:tcW w:w="4494" w:type="dxa"/>
            <w:vAlign w:val="center"/>
            <w:textDirection w:val="lrTb"/>
            <w:noWrap w:val="false"/>
          </w:tcPr>
          <w:p>
            <w:pPr>
              <w:jc w:val="center"/>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见第一章《采购邀请》</w:t>
            </w:r>
            <w:r/>
          </w:p>
        </w:tc>
        <w:tc>
          <w:tcPr>
            <w:shd w:val="clear" w:color="auto" w:fill="auto"/>
            <w:tcW w:w="1660" w:type="dxa"/>
            <w:vAlign w:val="center"/>
            <w:textDirection w:val="lrTb"/>
            <w:noWrap w:val="false"/>
          </w:tcPr>
          <w:p>
            <w:pPr>
              <w:tabs>
                <w:tab w:val="left" w:pos="1080" w:leader="none"/>
              </w:tabs>
              <w:rPr>
                <w:rFonts w:ascii="宋体" w:hAnsi="宋体" w:cs="宋体"/>
                <w:color w:val="auto"/>
                <w:sz w:val="24"/>
                <w:highlight w:val="none"/>
              </w:rPr>
            </w:pPr>
            <w:r>
              <w:rPr>
                <w:rFonts w:hint="eastAsia"/>
                <w:b/>
                <w:bCs/>
                <w:color w:val="auto"/>
                <w:sz w:val="24"/>
                <w:highlight w:val="none"/>
              </w:rPr>
              <w:t xml:space="preserve">提供证书的电子件或电子证照，及无在建承诺及</w:t>
            </w:r>
            <w:r>
              <w:rPr>
                <w:rFonts w:hint="eastAsia"/>
                <w:b/>
                <w:bCs/>
                <w:color w:val="ff0000"/>
                <w:sz w:val="24"/>
                <w:highlight w:val="none"/>
                <w:lang w:val="en-US" w:eastAsia="zh-CN"/>
              </w:rPr>
              <w:t xml:space="preserve">社保</w:t>
            </w:r>
            <w:r>
              <w:rPr>
                <w:rFonts w:hint="eastAsia"/>
                <w:b/>
                <w:bCs/>
                <w:color w:val="auto"/>
                <w:sz w:val="24"/>
                <w:highlight w:val="none"/>
              </w:rPr>
              <w:t xml:space="preserve">缴纳凭证</w:t>
            </w:r>
            <w:r/>
          </w:p>
        </w:tc>
      </w:tr>
    </w:tbl>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1.4</w:t>
      </w:r>
      <w:r>
        <w:rPr>
          <w:rFonts w:hint="eastAsia" w:ascii="宋体" w:hAnsi="宋体" w:cs="宋体"/>
          <w:color w:val="auto"/>
          <w:sz w:val="24"/>
          <w:highlight w:val="none"/>
        </w:rPr>
        <w:t xml:space="preserve">《符合性审查要求》见下表：</w:t>
      </w:r>
      <w:r/>
    </w:p>
    <w:p>
      <w:pPr>
        <w:jc w:val="center"/>
        <w:spacing w:line="360" w:lineRule="auto"/>
        <w:tabs>
          <w:tab w:val="left" w:pos="900" w:leader="none"/>
          <w:tab w:val="left" w:pos="1080" w:leader="none"/>
          <w:tab w:val="left" w:pos="1447" w:leader="none"/>
        </w:tabs>
        <w:rPr>
          <w:b/>
          <w:color w:val="auto"/>
          <w:sz w:val="24"/>
          <w:highlight w:val="none"/>
        </w:rPr>
      </w:pPr>
      <w:r>
        <w:rPr>
          <w:b/>
          <w:color w:val="auto"/>
          <w:sz w:val="24"/>
          <w:highlight w:val="none"/>
        </w:rPr>
        <w:t xml:space="preserve">符合性审查要求</w:t>
      </w:r>
      <w:r/>
    </w:p>
    <w:tbl>
      <w:tblPr>
        <w:tblStyle w:val="79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459"/>
        <w:gridCol w:w="6288"/>
      </w:tblGrid>
      <w:tr>
        <w:trPr>
          <w:jc w:val="center"/>
          <w:trHeight w:val="454"/>
        </w:trPr>
        <w:tc>
          <w:tcPr>
            <w:tcW w:w="453" w:type="pct"/>
            <w:vAlign w:val="center"/>
            <w:textDirection w:val="lrTb"/>
            <w:noWrap w:val="false"/>
          </w:tcPr>
          <w:p>
            <w:pPr>
              <w:jc w:val="center"/>
              <w:spacing w:line="3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序号</w:t>
            </w:r>
            <w:r/>
          </w:p>
        </w:tc>
        <w:tc>
          <w:tcPr>
            <w:tcW w:w="856" w:type="pct"/>
            <w:vAlign w:val="center"/>
            <w:textDirection w:val="lrTb"/>
            <w:noWrap w:val="false"/>
          </w:tcPr>
          <w:p>
            <w:pPr>
              <w:jc w:val="center"/>
              <w:spacing w:line="3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3690" w:type="pct"/>
            <w:vAlign w:val="center"/>
            <w:textDirection w:val="lrTb"/>
            <w:noWrap w:val="false"/>
          </w:tcPr>
          <w:p>
            <w:pPr>
              <w:jc w:val="center"/>
              <w:spacing w:line="360" w:lineRule="exact"/>
              <w:widowControl/>
              <w:rPr>
                <w:rFonts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响应函、法定代表人资格证明书和政府采购供应商信用承诺书</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按磋商文件要求提供响应函、法定代表人资格证明书和政府采购供应商信用承诺书；</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响应完整性</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未将一个采购项目中的内容拆开响应；</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响应报价</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响应报价未超过磋商文件中规定的项目预算金额或者项目最高限价</w:t>
            </w:r>
            <w:r>
              <w:rPr>
                <w:rFonts w:hint="eastAsia" w:ascii="宋体" w:hAnsi="宋体" w:cs="宋体"/>
                <w:color w:val="ff0000"/>
                <w:sz w:val="24"/>
                <w:highlight w:val="none"/>
                <w:lang w:val="en-US" w:eastAsia="zh-CN"/>
              </w:rPr>
              <w:t xml:space="preserve">或控制价或控制价单价限价</w:t>
            </w:r>
            <w:r>
              <w:rPr>
                <w:rFonts w:hint="eastAsia" w:ascii="宋体" w:hAnsi="宋体" w:cs="宋体"/>
                <w:color w:val="auto"/>
                <w:sz w:val="24"/>
                <w:highlight w:val="none"/>
              </w:rPr>
              <w:t xml:space="preserve">；</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报价唯一性</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响应文件未出现可选择性或可调整的报价（磋商文件另有规定的除外）；</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响应有效期</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响应文件中承诺的响应有效期满足磋商文件中载明的响应有效期的；</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按照磋商文件要求签署、加盖公章的；</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实质性格式</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标记为“实质性格式”的文件均按磋商文件要求提供；</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8</w:t>
            </w:r>
            <w:r/>
          </w:p>
        </w:tc>
        <w:tc>
          <w:tcPr>
            <w:shd w:val="clear" w:color="auto" w:fill="auto"/>
            <w:tcW w:w="856" w:type="pct"/>
            <w:vAlign w:val="center"/>
            <w:textDirection w:val="lrTb"/>
            <w:noWrap w:val="false"/>
          </w:tcPr>
          <w:p>
            <w:pPr>
              <w:jc w:val="center"/>
              <w:spacing w:line="360" w:lineRule="exact"/>
              <w:widowControl/>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★号条款响应</w:t>
            </w:r>
            <w:r/>
          </w:p>
        </w:tc>
        <w:tc>
          <w:tcPr>
            <w:shd w:val="clear" w:color="auto" w:fill="auto"/>
            <w:tcW w:w="3690" w:type="pct"/>
            <w:vAlign w:val="center"/>
            <w:textDirection w:val="lrTb"/>
            <w:noWrap w:val="false"/>
          </w:tcPr>
          <w:p>
            <w:pPr>
              <w:jc w:val="left"/>
              <w:widowControl/>
              <w:rPr>
                <w:rFonts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响应文件满足磋商文件第四章《采购需求》中★号条款要求的；</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9</w:t>
            </w:r>
            <w:r/>
          </w:p>
        </w:tc>
        <w:tc>
          <w:tcPr>
            <w:shd w:val="clear" w:color="auto" w:fill="auto"/>
            <w:tcW w:w="856"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报价的修正</w:t>
            </w:r>
            <w:r/>
          </w:p>
        </w:tc>
        <w:tc>
          <w:tcPr>
            <w:shd w:val="clear" w:color="auto" w:fill="auto"/>
            <w:tcW w:w="3690" w:type="pct"/>
            <w:vAlign w:val="center"/>
            <w:textDirection w:val="lrTb"/>
            <w:noWrap w:val="false"/>
          </w:tcPr>
          <w:p>
            <w:pPr>
              <w:jc w:val="left"/>
              <w:spacing w:line="36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响应文件报价出现前后不一致时，供应商对修正后的报价予以确认。</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tcW w:w="856"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报价合理性</w:t>
            </w:r>
            <w:r/>
          </w:p>
        </w:tc>
        <w:tc>
          <w:tcPr>
            <w:tcW w:w="3690" w:type="pct"/>
            <w:vAlign w:val="center"/>
            <w:textDirection w:val="lrTb"/>
            <w:noWrap w:val="false"/>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报价合理，或供应商的报价明显低于其他通过符合性审查供应商的报价，有可能影响服务质量或者不能诚信履约的，能够应磋商小组要求在规定时间内证明其报价合理性的；</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按照财库〔2026〕2号《关于推动解决政府采购异常低价问题的通知》要求：</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（一）政府采购评审中出现下列情形之一的，评审委员会应当启动异常低价响应审查程序：</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1.响应报价低于全部通过符合性审查供应商响应报价平均值50%的，即响应报价&lt;全部通过符合性审查供应商响应报价平均值×50%；</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2.响应报价低于通过符合性审查的次低报价供应商响应报价50%的，即响应报价&lt;通过符合性审查的次低报价供应商响应报价×50%；</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3.响应报价低于采购项目最高限价45%的，即响应报价&lt;采购项目最高限价×45%；</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4.评审委员会基于专业判断，认为供应商报价过低，有可能影响产品质量或者不能诚信履约的其他情形。</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异常低价响应审查的启动原因、审查意见和审查结果应当在评审报告中记录，并随供应商提供的相关书面说明及证明材料，以及评审委员会有关互联网浏览、查询历史一并归档。</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11</w:t>
            </w:r>
            <w:r/>
          </w:p>
        </w:tc>
        <w:tc>
          <w:tcPr>
            <w:shd w:val="clear" w:color="auto" w:fill="auto"/>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公平竞争</w:t>
            </w:r>
            <w:r/>
          </w:p>
        </w:tc>
        <w:tc>
          <w:tcPr>
            <w:shd w:val="clear" w:color="auto" w:fill="auto"/>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串通响应</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不存在《政府采购货物和服务招标响应管理办法》视为供应商串通响应的情形：</w:t>
            </w:r>
            <w:r/>
          </w:p>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（一）不同供应商的响应文件由同一单位或者个人编制（包含使用同一MAC地址的计算机制作电子响应文件的情形）；</w:t>
            </w:r>
            <w:r/>
          </w:p>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（二）不同供应商委托同一单位或者个人办理响应事宜（包含使用同一MAC地址的计算机提交或者解密电子响应文件的情形）；</w:t>
            </w:r>
            <w:r/>
          </w:p>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（三）不同供应商的响应文件载明的项目管理成员或者联系人员为同一人；</w:t>
            </w:r>
            <w:r/>
          </w:p>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（四）不同供应商的响应文件异常一致或者响应报价呈规律性差异；</w:t>
            </w:r>
            <w:r/>
          </w:p>
        </w:tc>
      </w:tr>
      <w:tr>
        <w:trPr>
          <w:jc w:val="center"/>
          <w:trHeight w:val="454"/>
        </w:trPr>
        <w:tc>
          <w:tcPr>
            <w:shd w:val="clear" w:color="auto" w:fill="auto"/>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13</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附加条件</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响应文件未含有采购人不能接受的附加条件的；</w:t>
            </w:r>
            <w:r/>
          </w:p>
        </w:tc>
      </w:tr>
      <w:tr>
        <w:trPr>
          <w:jc w:val="center"/>
          <w:trHeight w:val="454"/>
        </w:trPr>
        <w:tc>
          <w:tcPr>
            <w:tcW w:w="453" w:type="pct"/>
            <w:vAlign w:val="center"/>
            <w:textDirection w:val="lrTb"/>
            <w:noWrap w:val="false"/>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14</w:t>
            </w:r>
            <w:r/>
          </w:p>
        </w:tc>
        <w:tc>
          <w:tcPr>
            <w:tcW w:w="856"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3690" w:type="pct"/>
            <w:vAlign w:val="center"/>
            <w:textDirection w:val="lrTb"/>
            <w:noWrap w:val="false"/>
          </w:tcPr>
          <w:p>
            <w:pPr>
              <w:jc w:val="left"/>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供应商、响应文件不存在不符合法律、法规和磋商文件规定的其他无效情形。</w:t>
            </w:r>
            <w:r/>
          </w:p>
        </w:tc>
      </w:tr>
    </w:tbl>
    <w:p>
      <w:pPr>
        <w:ind w:left="900" w:hanging="900"/>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highlight w:val="none"/>
        </w:rPr>
        <w:t xml:space="preserve">磋商、响应文件有关事项的澄清、说明或者更正和最终报价</w:t>
      </w:r>
      <w:r/>
    </w:p>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2.1</w:t>
      </w:r>
      <w:r>
        <w:rPr>
          <w:rFonts w:hint="eastAsia" w:ascii="宋体" w:hAnsi="宋体" w:cs="宋体"/>
          <w:color w:val="auto"/>
          <w:sz w:val="24"/>
          <w:highlight w:val="none"/>
        </w:rPr>
        <w:t xml:space="preserve">磋商小组所有成员应当集中与单一供应商分别进行磋商，并给予所有参加磋商的供应商平等的磋商机会。</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2.2</w:t>
      </w:r>
      <w:r>
        <w:rPr>
          <w:rFonts w:hint="eastAsia" w:ascii="宋体" w:hAnsi="宋体" w:cs="宋体"/>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2.3</w:t>
      </w:r>
      <w:r>
        <w:rPr>
          <w:color w:val="auto"/>
          <w:sz w:val="24"/>
          <w:highlight w:val="none"/>
        </w:rPr>
        <w:t xml:space="preserve">对磋商文件作出的实质性变动是磋商文件的有效组成部分，磋商小组应当及时</w:t>
      </w:r>
      <w:r>
        <w:rPr>
          <w:rFonts w:hint="eastAsia"/>
          <w:color w:val="auto"/>
          <w:sz w:val="24"/>
          <w:highlight w:val="none"/>
        </w:rPr>
        <w:t xml:space="preserve">通过“苏采云”政府采购一体化平台系统</w:t>
      </w:r>
      <w:r>
        <w:rPr>
          <w:color w:val="auto"/>
          <w:sz w:val="24"/>
          <w:highlight w:val="none"/>
        </w:rPr>
        <w:t xml:space="preserve">以书面形式同时通知所有参加磋商的供应商。</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2.4</w:t>
      </w:r>
      <w:r>
        <w:rPr>
          <w:rFonts w:hint="eastAsia" w:ascii="宋体" w:hAnsi="宋体" w:cs="宋体"/>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2.5</w:t>
      </w:r>
      <w:r>
        <w:rPr>
          <w:rFonts w:hint="eastAsia" w:ascii="宋体" w:hAnsi="宋体" w:cs="宋体"/>
          <w:color w:val="auto"/>
          <w:sz w:val="24"/>
          <w:highlight w:val="none"/>
        </w:rPr>
        <w:t xml:space="preserve">响应文件的澄清、说明或者更正：</w:t>
      </w:r>
      <w:r/>
    </w:p>
    <w:p>
      <w:pPr>
        <w:ind w:left="1080"/>
        <w:spacing w:line="360" w:lineRule="auto"/>
        <w:tabs>
          <w:tab w:val="left" w:pos="1980" w:leader="none"/>
        </w:tabs>
        <w:rPr>
          <w:rFonts w:ascii="宋体" w:hAnsi="宋体" w:cs="宋体"/>
          <w:color w:val="auto"/>
          <w:sz w:val="24"/>
          <w:highlight w:val="none"/>
        </w:rPr>
      </w:pP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磋商小组</w:t>
      </w:r>
      <w:r>
        <w:rPr>
          <w:color w:val="auto"/>
          <w:sz w:val="24"/>
          <w:highlight w:val="none"/>
        </w:rPr>
        <w:t xml:space="preserve">会将</w:t>
      </w:r>
      <w:r>
        <w:rPr>
          <w:rFonts w:hint="eastAsia"/>
          <w:color w:val="auto"/>
          <w:sz w:val="24"/>
          <w:highlight w:val="none"/>
        </w:rPr>
        <w:t xml:space="preserve">通过“苏采云”政府采购一体化平台系统</w:t>
      </w:r>
      <w:r>
        <w:rPr>
          <w:color w:val="auto"/>
          <w:sz w:val="24"/>
          <w:highlight w:val="none"/>
        </w:rPr>
        <w:t xml:space="preserve">以书面形式要求</w:t>
      </w:r>
      <w:r>
        <w:rPr>
          <w:rFonts w:hint="eastAsia"/>
          <w:color w:val="auto"/>
          <w:sz w:val="24"/>
          <w:highlight w:val="none"/>
        </w:rPr>
        <w:t xml:space="preserve">供应商</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rPr>
        <w:t xml:space="preserve">供应商</w:t>
      </w:r>
      <w:r>
        <w:rPr>
          <w:color w:val="auto"/>
          <w:sz w:val="24"/>
          <w:highlight w:val="none"/>
        </w:rPr>
        <w:t xml:space="preserve">的澄清、说明或者补正应当采用书面形式，并加盖</w:t>
      </w:r>
      <w:r>
        <w:rPr>
          <w:rFonts w:hint="eastAsia"/>
          <w:color w:val="auto"/>
          <w:sz w:val="24"/>
          <w:highlight w:val="none"/>
        </w:rPr>
        <w:t xml:space="preserve">电子</w:t>
      </w:r>
      <w:r>
        <w:rPr>
          <w:color w:val="auto"/>
          <w:sz w:val="24"/>
          <w:highlight w:val="none"/>
        </w:rPr>
        <w:t xml:space="preserve">公章。</w:t>
      </w:r>
      <w:r>
        <w:rPr>
          <w:rFonts w:hint="eastAsia"/>
          <w:color w:val="auto"/>
          <w:sz w:val="24"/>
          <w:highlight w:val="none"/>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p>
    <w:p>
      <w:pPr>
        <w:ind w:left="1077" w:hanging="720"/>
        <w:spacing w:line="360" w:lineRule="auto"/>
        <w:tabs>
          <w:tab w:val="left" w:pos="1080" w:leader="none"/>
          <w:tab w:val="left" w:pos="1872" w:leader="none"/>
        </w:tabs>
        <w:rPr>
          <w:rFonts w:ascii="宋体" w:hAnsi="宋体" w:cs="宋体"/>
          <w:b/>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2.6</w:t>
      </w:r>
      <w:r>
        <w:rPr>
          <w:b/>
          <w:color w:val="auto"/>
          <w:sz w:val="24"/>
          <w:highlight w:val="none"/>
        </w:rPr>
        <w:t xml:space="preserve">磋商结束后，磋商小组将要求所有实质性响应的供应商在规定时间内</w:t>
      </w:r>
      <w:r>
        <w:rPr>
          <w:rFonts w:hint="eastAsia"/>
          <w:b/>
          <w:color w:val="auto"/>
          <w:sz w:val="24"/>
          <w:highlight w:val="none"/>
        </w:rPr>
        <w:t xml:space="preserve">通过“苏采云”政府采购一体化平台系统</w:t>
      </w:r>
      <w:r>
        <w:rPr>
          <w:b/>
          <w:color w:val="auto"/>
          <w:sz w:val="24"/>
          <w:highlight w:val="none"/>
        </w:rPr>
        <w:t xml:space="preserve">提交最</w:t>
      </w:r>
      <w:r>
        <w:rPr>
          <w:rFonts w:hint="eastAsia"/>
          <w:b/>
          <w:color w:val="auto"/>
          <w:sz w:val="24"/>
          <w:highlight w:val="none"/>
        </w:rPr>
        <w:t xml:space="preserve">终</w:t>
      </w:r>
      <w:r>
        <w:rPr>
          <w:b/>
          <w:color w:val="auto"/>
          <w:sz w:val="24"/>
          <w:highlight w:val="none"/>
        </w:rPr>
        <w:t xml:space="preserve">报价</w:t>
      </w:r>
      <w:r>
        <w:rPr>
          <w:rFonts w:hint="eastAsia" w:ascii="宋体" w:hAnsi="宋体" w:cs="宋体"/>
          <w:b/>
          <w:color w:val="auto"/>
          <w:sz w:val="24"/>
          <w:highlight w:val="none"/>
        </w:rPr>
        <w:t xml:space="preserve">。</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2.7</w:t>
      </w:r>
      <w:r>
        <w:rPr>
          <w:rFonts w:hint="eastAsia" w:ascii="宋体" w:hAnsi="宋体" w:cs="宋体"/>
          <w:color w:val="auto"/>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color w:val="auto"/>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2.8</w:t>
      </w:r>
      <w:r>
        <w:rPr>
          <w:rFonts w:hint="eastAsia" w:ascii="宋体" w:hAnsi="宋体" w:cs="宋体"/>
          <w:color w:val="auto"/>
          <w:sz w:val="24"/>
          <w:highlight w:val="none"/>
        </w:rPr>
        <w:t xml:space="preserve">最终报价是供应商响应文件的有效组成部分。</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2.9</w:t>
      </w:r>
      <w:r>
        <w:rPr>
          <w:rFonts w:hint="eastAsia" w:ascii="宋体" w:hAnsi="宋体" w:cs="宋体"/>
          <w:color w:val="auto"/>
          <w:sz w:val="24"/>
          <w:highlight w:val="none"/>
        </w:rPr>
        <w:t xml:space="preserve">已提交响应文件的供应商，在提交最终报价之前，可以根据磋商情况退出磋商。</w:t>
      </w:r>
      <w:r/>
    </w:p>
    <w:p>
      <w:pPr>
        <w:ind w:left="900" w:hanging="900"/>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highlight w:val="none"/>
          <w:lang w:val="en-US" w:eastAsia="zh-CN" w:bidi="ar-SA"/>
        </w:rPr>
        <w:t xml:space="preserve">3</w:t>
      </w:r>
      <w:r>
        <w:rPr>
          <w:rFonts w:hint="eastAsia" w:ascii="宋体" w:hAnsi="宋体" w:cs="宋体"/>
          <w:color w:val="auto"/>
          <w:sz w:val="24"/>
          <w:highlight w:val="none"/>
        </w:rPr>
        <w:t xml:space="preserve">最终报价的算术修正及政策调整</w:t>
      </w:r>
      <w:r/>
    </w:p>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3.1</w:t>
      </w:r>
      <w:r>
        <w:rPr>
          <w:rFonts w:hint="eastAsia" w:ascii="宋体" w:hAnsi="宋体" w:cs="宋体"/>
          <w:color w:val="auto"/>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项目中的内容拆开响应，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3.2</w:t>
      </w:r>
      <w:r>
        <w:rPr>
          <w:rFonts w:hint="eastAsia" w:ascii="宋体" w:hAnsi="宋体" w:cs="宋体"/>
          <w:color w:val="auto"/>
          <w:sz w:val="24"/>
          <w:highlight w:val="none"/>
        </w:rPr>
        <w:t xml:space="preserve">最终报价出现前后不一致的，按照下列规定修正：</w:t>
      </w:r>
      <w:r/>
    </w:p>
    <w:p>
      <w:pPr>
        <w:ind w:left="2035" w:hanging="90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3.2.1</w:t>
      </w:r>
      <w:r>
        <w:rPr>
          <w:rFonts w:hint="eastAsia" w:ascii="宋体" w:hAnsi="宋体" w:cs="宋体"/>
          <w:color w:val="auto"/>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u w:val="single"/>
        </w:rPr>
      </w:pPr>
      <w:r>
        <w:rPr>
          <w:rFonts w:hint="eastAsia" w:ascii="宋体" w:hAnsi="宋体" w:cs="宋体"/>
          <w:color w:val="auto"/>
          <w:sz w:val="24"/>
          <w:highlight w:val="none"/>
        </w:rPr>
        <w:t xml:space="preserve">□有，具体规定为：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2035"/>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cs="宋体"/>
          <w:color w:val="auto"/>
          <w:sz w:val="24"/>
          <w:highlight w:val="none"/>
        </w:rPr>
        <w:t xml:space="preserve">■无，按下述3.2.2-3.2.5项规定修正。</w:t>
      </w:r>
      <w:r/>
    </w:p>
    <w:p>
      <w:pPr>
        <w:ind w:left="2035" w:hanging="90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3.2.2</w:t>
      </w:r>
      <w:r>
        <w:rPr>
          <w:rFonts w:hint="eastAsia" w:ascii="宋体" w:hAnsi="宋体" w:cs="宋体"/>
          <w:color w:val="auto"/>
          <w:sz w:val="24"/>
          <w:highlight w:val="none"/>
        </w:rPr>
        <w:t xml:space="preserve">大写金额和小写金额不一致的，以大写金额为准；</w:t>
      </w:r>
      <w:r/>
    </w:p>
    <w:p>
      <w:pPr>
        <w:ind w:left="2035" w:hanging="90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3.2.3</w:t>
      </w:r>
      <w:r>
        <w:rPr>
          <w:rFonts w:hint="eastAsia" w:ascii="宋体" w:hAnsi="宋体" w:cs="宋体"/>
          <w:color w:val="auto"/>
          <w:sz w:val="24"/>
          <w:highlight w:val="none"/>
        </w:rPr>
        <w:t xml:space="preserve">单价金额小数点或者百分比有明显错位的，以最终报价一览表的总价为准，并修改单价；</w:t>
      </w:r>
      <w:r/>
    </w:p>
    <w:p>
      <w:pPr>
        <w:ind w:left="2035" w:hanging="900"/>
        <w:spacing w:line="360" w:lineRule="auto"/>
        <w:tabs>
          <w:tab w:val="left" w:pos="2035" w:leader="none"/>
          <w:tab w:val="left" w:pos="2114" w:leader="none"/>
          <w:tab w:val="left" w:pos="2977"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3.2.4</w:t>
      </w:r>
      <w:r>
        <w:rPr>
          <w:rFonts w:hint="eastAsia" w:ascii="宋体" w:hAnsi="宋体" w:cs="宋体"/>
          <w:color w:val="auto"/>
          <w:sz w:val="24"/>
          <w:highlight w:val="none"/>
        </w:rPr>
        <w:t xml:space="preserve">总价金额与按单价汇总金额不一致的，以单价金额计算结果为准。</w:t>
      </w:r>
      <w:r/>
    </w:p>
    <w:p>
      <w:pPr>
        <w:ind w:left="2035" w:hanging="900"/>
        <w:spacing w:line="360" w:lineRule="auto"/>
        <w:tabs>
          <w:tab w:val="left" w:pos="1080" w:leader="none"/>
          <w:tab w:val="left" w:pos="1589" w:leader="none"/>
          <w:tab w:val="left" w:pos="2035" w:leader="none"/>
          <w:tab w:val="left" w:pos="2114" w:leader="none"/>
        </w:tabs>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SA"/>
        </w:rPr>
        <w:t xml:space="preserve">3.2.5</w:t>
      </w:r>
      <w:r>
        <w:rPr>
          <w:rFonts w:hint="eastAsia" w:ascii="宋体" w:hAnsi="宋体" w:cs="宋体"/>
          <w:color w:val="auto"/>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color w:val="auto"/>
          <w:sz w:val="24"/>
          <w:highlight w:val="none"/>
        </w:rPr>
        <w:t xml:space="preserve">其响应无效</w:t>
      </w:r>
      <w:r>
        <w:rPr>
          <w:rFonts w:hint="eastAsia" w:ascii="宋体" w:hAnsi="宋体" w:cs="宋体"/>
          <w:color w:val="auto"/>
          <w:sz w:val="24"/>
          <w:highlight w:val="none"/>
        </w:rPr>
        <w:t xml:space="preserve">。</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3.3</w:t>
      </w:r>
      <w:r>
        <w:rPr>
          <w:rFonts w:hint="eastAsia" w:ascii="宋体" w:hAnsi="宋体" w:cs="宋体"/>
          <w:color w:val="auto"/>
          <w:sz w:val="24"/>
          <w:highlight w:val="none"/>
        </w:rPr>
        <w:t xml:space="preserve">落实政府采购政策的价格调整：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900" w:hanging="900"/>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highlight w:val="none"/>
          <w:lang w:val="en-US" w:eastAsia="zh-CN" w:bidi="ar-SA"/>
        </w:rPr>
        <w:t xml:space="preserve">4</w:t>
      </w:r>
      <w:r>
        <w:rPr>
          <w:rFonts w:hint="eastAsia" w:ascii="宋体" w:hAnsi="宋体" w:cs="宋体"/>
          <w:color w:val="auto"/>
          <w:sz w:val="24"/>
          <w:highlight w:val="none"/>
        </w:rPr>
        <w:t xml:space="preserve">磋商环节及提交最终报价后如出现以下情况的，供应商的</w:t>
      </w:r>
      <w:r>
        <w:rPr>
          <w:rFonts w:hint="eastAsia" w:ascii="宋体" w:hAnsi="宋体" w:cs="宋体"/>
          <w:b/>
          <w:color w:val="auto"/>
          <w:sz w:val="24"/>
          <w:highlight w:val="none"/>
        </w:rPr>
        <w:t xml:space="preserve">响应文件无效</w:t>
      </w:r>
      <w:r>
        <w:rPr>
          <w:rFonts w:hint="eastAsia" w:ascii="宋体" w:hAnsi="宋体" w:cs="宋体"/>
          <w:color w:val="auto"/>
          <w:sz w:val="24"/>
          <w:highlight w:val="none"/>
        </w:rPr>
        <w:t xml:space="preserve">：</w:t>
      </w:r>
      <w:r/>
    </w:p>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4.1</w:t>
      </w:r>
      <w:r>
        <w:rPr>
          <w:rFonts w:hint="eastAsia" w:ascii="宋体" w:hAnsi="宋体" w:cs="宋体"/>
          <w:color w:val="auto"/>
          <w:sz w:val="24"/>
          <w:highlight w:val="none"/>
        </w:rPr>
        <w:t xml:space="preserve">供应商对实质性变动不予确认的；</w:t>
      </w:r>
      <w:r/>
    </w:p>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4.2</w:t>
      </w:r>
      <w:r>
        <w:rPr>
          <w:rFonts w:hint="eastAsia" w:ascii="宋体" w:hAnsi="宋体" w:cs="宋体"/>
          <w:color w:val="auto"/>
          <w:sz w:val="24"/>
          <w:highlight w:val="none"/>
        </w:rPr>
        <w:t xml:space="preserve">未按照磋商小组规定的时间、逾期提交最终报价的；</w:t>
      </w:r>
      <w:r/>
    </w:p>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4.3</w:t>
      </w:r>
      <w:r>
        <w:rPr>
          <w:rFonts w:hint="eastAsia" w:ascii="宋体" w:hAnsi="宋体" w:cs="宋体"/>
          <w:color w:val="auto"/>
          <w:sz w:val="24"/>
          <w:highlight w:val="none"/>
        </w:rPr>
        <w:t xml:space="preserve">如供应商的最终报价超过竞争性磋商文件中规定的项目预算金额或者项目最高限价的；</w:t>
      </w:r>
      <w:r/>
    </w:p>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4.4</w:t>
      </w:r>
      <w:r>
        <w:rPr>
          <w:rFonts w:hint="eastAsia" w:ascii="宋体" w:hAnsi="宋体" w:cs="宋体"/>
          <w:color w:val="auto"/>
          <w:sz w:val="24"/>
          <w:highlight w:val="none"/>
        </w:rPr>
        <w:t xml:space="preserve">响应文件中出现可选择性或可调整的报价的（竞争性磋商文件另有规定的除外）；</w:t>
      </w:r>
      <w:r/>
    </w:p>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4.5</w:t>
      </w:r>
      <w:r>
        <w:rPr>
          <w:rFonts w:hint="eastAsia" w:ascii="宋体" w:hAnsi="宋体" w:cs="宋体"/>
          <w:color w:val="auto"/>
          <w:sz w:val="24"/>
          <w:highlight w:val="none"/>
        </w:rPr>
        <w:t xml:space="preserve">最终报价出现前后不一致，供应商对修正后的报价不予确认的；</w:t>
      </w:r>
      <w:r/>
    </w:p>
    <w:p>
      <w:pPr>
        <w:ind w:left="1077" w:hanging="720"/>
        <w:spacing w:line="360" w:lineRule="auto"/>
        <w:tabs>
          <w:tab w:val="left" w:pos="1080"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4.6</w:t>
      </w:r>
      <w:r>
        <w:rPr>
          <w:rFonts w:hint="eastAsia" w:ascii="宋体" w:hAnsi="宋体" w:cs="宋体"/>
          <w:color w:val="auto"/>
          <w:sz w:val="24"/>
          <w:highlight w:val="none"/>
        </w:rPr>
        <w:t xml:space="preserve">其他：</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bookmarkEnd w:id="586"/>
      <w:bookmarkEnd w:id="587"/>
      <w:r/>
    </w:p>
    <w:p>
      <w:pPr>
        <w:ind w:left="900" w:hanging="900"/>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highlight w:val="none"/>
          <w:lang w:val="en-US" w:eastAsia="zh-CN" w:bidi="ar-SA"/>
        </w:rPr>
        <w:t xml:space="preserve">5</w:t>
      </w:r>
      <w:r>
        <w:rPr>
          <w:rFonts w:hint="eastAsia" w:ascii="宋体" w:hAnsi="宋体" w:cs="宋体"/>
          <w:color w:val="auto"/>
          <w:sz w:val="24"/>
          <w:highlight w:val="none"/>
        </w:rPr>
        <w:t xml:space="preserve">评审方法和评审标准</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5.1</w:t>
      </w:r>
      <w:r>
        <w:rPr>
          <w:rFonts w:hint="eastAsia" w:ascii="宋体" w:hAnsi="宋体" w:cs="宋体"/>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5.2</w:t>
      </w:r>
      <w:r>
        <w:rPr>
          <w:rFonts w:hint="eastAsia" w:ascii="宋体" w:hAnsi="宋体" w:cs="宋体"/>
          <w:color w:val="auto"/>
          <w:sz w:val="24"/>
          <w:highlight w:val="none"/>
        </w:rPr>
        <w:t xml:space="preserve">竞争性磋商文件中没有规定的评审标准不得作为评审依据。</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5.3</w:t>
      </w: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5.4</w:t>
      </w:r>
      <w:r>
        <w:rPr>
          <w:rFonts w:hint="eastAsia" w:ascii="宋体" w:hAnsi="宋体" w:cs="宋体"/>
          <w:color w:val="auto"/>
          <w:sz w:val="24"/>
          <w:highlight w:val="none"/>
        </w:rPr>
        <w:t xml:space="preserve">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left="900" w:hanging="900"/>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highlight w:val="none"/>
          <w:lang w:val="en-US" w:eastAsia="zh-CN" w:bidi="ar-SA"/>
        </w:rPr>
        <w:t xml:space="preserve">6</w:t>
      </w:r>
      <w:r>
        <w:rPr>
          <w:rFonts w:hint="eastAsia" w:ascii="宋体" w:hAnsi="宋体" w:cs="宋体"/>
          <w:color w:val="auto"/>
          <w:sz w:val="24"/>
          <w:highlight w:val="none"/>
        </w:rPr>
        <w:t xml:space="preserve">确定</w:t>
      </w:r>
      <w:bookmarkStart w:id="603" w:name="_Toc164229387"/>
      <w:r/>
      <w:bookmarkStart w:id="604" w:name="_Toc151193860"/>
      <w:r/>
      <w:bookmarkStart w:id="605" w:name="_Toc150509297"/>
      <w:r/>
      <w:bookmarkStart w:id="606" w:name="_Toc151193644"/>
      <w:r/>
      <w:bookmarkStart w:id="607" w:name="_Toc150774751"/>
      <w:r/>
      <w:bookmarkStart w:id="608" w:name="_Toc151193716"/>
      <w:r/>
      <w:bookmarkStart w:id="609" w:name="_Ref467307010"/>
      <w:r/>
      <w:bookmarkStart w:id="610" w:name="_Toc305158888"/>
      <w:r/>
      <w:bookmarkStart w:id="611" w:name="_Toc164229241"/>
      <w:r/>
      <w:bookmarkStart w:id="612" w:name="_Toc164351640"/>
      <w:r/>
      <w:bookmarkStart w:id="613" w:name="_Toc142311048"/>
      <w:r/>
      <w:bookmarkStart w:id="614" w:name="_Toc127151546"/>
      <w:r/>
      <w:bookmarkStart w:id="615" w:name="_Toc226337242"/>
      <w:r/>
      <w:bookmarkStart w:id="616" w:name="_Toc226965819"/>
      <w:r/>
      <w:bookmarkStart w:id="617" w:name="_Toc151193934"/>
      <w:r/>
      <w:bookmarkStart w:id="618" w:name="_Toc520356170"/>
      <w:r/>
      <w:bookmarkStart w:id="619" w:name="_Toc151190173"/>
      <w:r/>
      <w:bookmarkStart w:id="620" w:name="_Toc150774646"/>
      <w:r/>
      <w:bookmarkStart w:id="621" w:name="_Toc265228384"/>
      <w:r/>
      <w:bookmarkStart w:id="622" w:name="_Toc127151747"/>
      <w:r/>
      <w:bookmarkStart w:id="623" w:name="_Toc150480784"/>
      <w:r/>
      <w:bookmarkStart w:id="624" w:name="_Toc127161460"/>
      <w:r/>
      <w:bookmarkStart w:id="625" w:name="_Toc226309790"/>
      <w:r/>
      <w:bookmarkStart w:id="626" w:name="_Toc164608815"/>
      <w:r/>
      <w:bookmarkStart w:id="627" w:name="_Toc305158814"/>
      <w:r/>
      <w:bookmarkStart w:id="628" w:name="_Toc264969236"/>
      <w:r/>
      <w:bookmarkStart w:id="629" w:name="_Toc164608660"/>
      <w:r/>
      <w:bookmarkStart w:id="630" w:name="_Toc151193788"/>
      <w:r/>
      <w:bookmarkStart w:id="631" w:name="_Toc195842911"/>
      <w:r/>
      <w:bookmarkStart w:id="632" w:name="_Toc149720839"/>
      <w:r/>
      <w:bookmarkStart w:id="633" w:name="_Toc226965736"/>
      <w:r>
        <w:rPr>
          <w:rFonts w:hint="eastAsia" w:ascii="宋体" w:hAnsi="宋体" w:cs="宋体"/>
          <w:color w:val="auto"/>
          <w:sz w:val="24"/>
          <w:highlight w:val="none"/>
        </w:rPr>
        <w:t xml:space="preserve">成交候选人名单</w:t>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6.1</w:t>
      </w:r>
      <w:r>
        <w:rPr>
          <w:rFonts w:hint="eastAsia" w:ascii="宋体" w:hAnsi="宋体" w:cs="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6.2</w:t>
      </w:r>
      <w:r>
        <w:rPr>
          <w:rFonts w:hint="eastAsia" w:ascii="宋体" w:hAnsi="宋体" w:cs="宋体"/>
          <w:color w:val="auto"/>
          <w:sz w:val="24"/>
          <w:szCs w:val="20"/>
          <w:highlight w:val="none"/>
        </w:rPr>
        <w:t xml:space="preserve">磋商小组根据上述供应商排序，依次推荐排序前</w:t>
      </w:r>
      <w:r>
        <w:rPr>
          <w:rFonts w:hint="eastAsia" w:ascii="宋体" w:hAnsi="宋体" w:cs="宋体"/>
          <w:color w:val="auto"/>
          <w:sz w:val="24"/>
          <w:highlight w:val="none"/>
        </w:rPr>
        <w:t xml:space="preserve">3名</w:t>
      </w:r>
      <w:r>
        <w:rPr>
          <w:rFonts w:hint="eastAsia" w:ascii="宋体" w:hAnsi="宋体" w:cs="宋体"/>
          <w:color w:val="auto"/>
          <w:sz w:val="24"/>
          <w:szCs w:val="20"/>
          <w:highlight w:val="none"/>
        </w:rPr>
        <w:t xml:space="preserve">的供应商为</w:t>
      </w:r>
      <w:r>
        <w:rPr>
          <w:rFonts w:hint="eastAsia" w:ascii="宋体" w:hAnsi="宋体" w:cs="宋体"/>
          <w:color w:val="auto"/>
          <w:sz w:val="24"/>
          <w:szCs w:val="21"/>
          <w:highlight w:val="none"/>
        </w:rPr>
        <w:t xml:space="preserve">成交候选供应商</w:t>
      </w:r>
      <w:r>
        <w:rPr>
          <w:rFonts w:hint="eastAsia" w:ascii="宋体" w:hAnsi="宋体" w:cs="宋体"/>
          <w:color w:val="auto"/>
          <w:sz w:val="24"/>
          <w:szCs w:val="20"/>
          <w:highlight w:val="none"/>
        </w:rPr>
        <w:t xml:space="preserve">（若在磋商文件允许的情形下提交最终报价的供应商为二家，则依次推荐二名供应商为成交候选供应商），并编写评审报告。</w:t>
      </w:r>
      <w:r/>
    </w:p>
    <w:p>
      <w:pPr>
        <w:ind w:left="1077" w:hanging="720"/>
        <w:spacing w:line="360" w:lineRule="auto"/>
        <w:tabs>
          <w:tab w:val="left" w:pos="1080" w:leader="none"/>
          <w:tab w:val="left" w:pos="1872" w:leader="none"/>
        </w:tabs>
        <w:rPr>
          <w:rFonts w:ascii="宋体" w:hAnsi="宋体" w:cs="宋体"/>
          <w:color w:val="auto"/>
          <w:sz w:val="24"/>
          <w:highlight w:val="none"/>
        </w:rPr>
      </w:pPr>
      <w:r>
        <w:rPr>
          <w:rFonts w:hint="default" w:ascii="Times New Roman" w:hAnsi="Times New Roman" w:eastAsia="宋体" w:cs="Times New Roman"/>
          <w:b w:val="0"/>
          <w:color w:val="auto"/>
          <w:sz w:val="24"/>
          <w:szCs w:val="24"/>
          <w:highlight w:val="none"/>
          <w:lang w:val="en-US" w:eastAsia="zh-CN" w:bidi="ar-SA"/>
        </w:rPr>
        <w:t xml:space="preserve">6.3</w:t>
      </w:r>
      <w:r>
        <w:rPr>
          <w:rFonts w:hint="eastAsia" w:ascii="宋体" w:hAnsi="宋体" w:cs="宋体"/>
          <w:color w:val="auto"/>
          <w:sz w:val="24"/>
          <w:highlight w:val="none"/>
        </w:rPr>
        <w:t xml:space="preserve">磋商小组要对评分汇总情况进行复核，特别是对排名第一的、报价最低的、响应文件被认定为无效的情形进行重点复核。</w:t>
      </w:r>
      <w:r/>
    </w:p>
    <w:p>
      <w:pPr>
        <w:ind w:left="900" w:hanging="900"/>
        <w:spacing w:line="360" w:lineRule="auto"/>
        <w:tabs>
          <w:tab w:val="left" w:pos="360" w:leader="none"/>
        </w:tabs>
        <w:rPr>
          <w:rFonts w:ascii="宋体" w:hAnsi="宋体" w:cs="宋体"/>
          <w:color w:val="auto"/>
          <w:sz w:val="24"/>
          <w:highlight w:val="none"/>
        </w:rPr>
        <w:outlineLvl w:val="1"/>
      </w:pPr>
      <w:r>
        <w:rPr>
          <w:rFonts w:hint="eastAsia" w:ascii="宋体" w:hAnsi="宋体" w:eastAsia="宋体" w:cs="宋体"/>
          <w:color w:val="auto"/>
          <w:sz w:val="24"/>
          <w:szCs w:val="24"/>
          <w:highlight w:val="none"/>
          <w:lang w:val="en-US" w:eastAsia="zh-CN" w:bidi="ar-SA"/>
        </w:rPr>
        <w:t xml:space="preserve">7</w:t>
      </w:r>
      <w:r>
        <w:rPr>
          <w:rFonts w:hint="eastAsia" w:ascii="宋体" w:hAnsi="宋体" w:cs="宋体"/>
          <w:color w:val="auto"/>
          <w:sz w:val="24"/>
          <w:highlight w:val="none"/>
        </w:rPr>
        <w:t xml:space="preserve">报告违法行为</w:t>
      </w:r>
      <w:r/>
    </w:p>
    <w:p>
      <w:pPr>
        <w:jc w:val="center"/>
        <w:spacing w:line="360" w:lineRule="auto"/>
        <w:rPr>
          <w:rFonts w:ascii="宋体" w:hAnsi="宋体"/>
          <w:b/>
          <w:bCs/>
          <w:color w:val="auto"/>
          <w:sz w:val="28"/>
          <w:szCs w:val="28"/>
          <w:highlight w:val="none"/>
        </w:rPr>
      </w:pPr>
      <w:r>
        <w:rPr>
          <w:rFonts w:hint="eastAsia" w:ascii="宋体" w:hAnsi="宋体" w:cs="宋体"/>
          <w:color w:val="auto"/>
          <w:sz w:val="24"/>
          <w:highlight w:val="none"/>
        </w:rPr>
        <w:t xml:space="preserve">         磋商小组在评审过程中发现供应商有行贿、提供虚假材料或者串通等违法行为时，有向采购人、采购代理机构或者有关部门报告的职责。</w:t>
      </w:r>
      <w:r>
        <w:rPr>
          <w:rFonts w:hint="eastAsia" w:ascii="宋体" w:hAnsi="宋体" w:cs="宋体"/>
          <w:color w:val="auto"/>
          <w:sz w:val="24"/>
          <w:highlight w:val="none"/>
        </w:rPr>
        <w:br w:type="page" w:clear="all"/>
      </w:r>
      <w:r>
        <w:rPr>
          <w:rFonts w:hint="eastAsia" w:ascii="宋体" w:hAnsi="宋体"/>
          <w:b/>
          <w:bCs/>
          <w:color w:val="auto"/>
          <w:sz w:val="28"/>
          <w:szCs w:val="28"/>
          <w:highlight w:val="none"/>
        </w:rPr>
        <w:t xml:space="preserve">二、评审标准</w:t>
      </w:r>
      <w:r/>
    </w:p>
    <w:tbl>
      <w:tblPr>
        <w:tblStyle w:val="7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81"/>
        <w:gridCol w:w="1355"/>
        <w:gridCol w:w="6098"/>
        <w:gridCol w:w="488"/>
      </w:tblGrid>
      <w:tr>
        <w:trPr>
          <w:trHeight w:val="355"/>
        </w:trPr>
        <w:tc>
          <w:tcPr>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序号</w:t>
            </w:r>
            <w:r/>
          </w:p>
        </w:tc>
        <w:tc>
          <w:tcPr>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评分因素</w:t>
            </w:r>
            <w:r/>
          </w:p>
        </w:tc>
        <w:tc>
          <w:tcPr>
            <w:tcMar>
              <w:left w:w="108" w:type="dxa"/>
              <w:top w:w="0" w:type="dxa"/>
              <w:right w:w="108" w:type="dxa"/>
              <w:bottom w:w="0" w:type="dxa"/>
            </w:tcMar>
            <w:tcW w:w="6098"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评分标准</w:t>
            </w:r>
            <w:r/>
          </w:p>
        </w:tc>
        <w:tc>
          <w:tcPr>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color w:val="auto"/>
                <w:sz w:val="24"/>
                <w:szCs w:val="24"/>
                <w:highlight w:val="none"/>
                <w:shd w:val="clear" w:color="auto" w:fill="auto"/>
              </w:rPr>
              <w:t xml:space="preserve">分值</w:t>
            </w:r>
            <w:r/>
          </w:p>
        </w:tc>
      </w:tr>
      <w:tr>
        <w:trPr>
          <w:trHeight w:val="283"/>
        </w:trPr>
        <w:tc>
          <w:tcPr>
            <w:gridSpan w:val="4"/>
            <w:tcMar>
              <w:left w:w="108" w:type="dxa"/>
              <w:top w:w="0" w:type="dxa"/>
              <w:right w:w="108" w:type="dxa"/>
              <w:bottom w:w="0" w:type="dxa"/>
            </w:tcMar>
            <w:tcW w:w="8522" w:type="dxa"/>
            <w:vAlign w:val="center"/>
            <w:textDirection w:val="lrTb"/>
            <w:noWrap w:val="false"/>
          </w:tcPr>
          <w:p>
            <w:pPr>
              <w:jc w:val="both"/>
              <w:keepLines w:val="0"/>
              <w:keepNext w:val="0"/>
              <w:pageBreakBefore w:val="0"/>
              <w:spacing w:line="400" w:lineRule="exact"/>
              <w:widowControl w:val="off"/>
              <w:tabs>
                <w:tab w:val="left" w:pos="426" w:leader="none"/>
              </w:tabs>
              <w:rPr>
                <w:rFonts w:hint="eastAsia" w:ascii="宋体" w:hAnsi="宋体" w:eastAsia="宋体" w:cs="宋体"/>
                <w:b/>
                <w:color w:val="auto"/>
                <w:sz w:val="24"/>
                <w:szCs w:val="24"/>
                <w:highlight w:val="none"/>
                <w:shd w:val="clear" w:color="auto" w:fill="auto"/>
              </w:rPr>
              <w:outlineLvl w:val="9"/>
            </w:pPr>
            <w:r>
              <w:rPr>
                <w:rFonts w:hint="eastAsia" w:ascii="宋体" w:hAnsi="宋体" w:eastAsia="宋体" w:cs="宋体"/>
                <w:b/>
                <w:color w:val="auto"/>
                <w:sz w:val="24"/>
                <w:szCs w:val="24"/>
                <w:highlight w:val="none"/>
                <w:shd w:val="clear" w:color="auto" w:fill="auto"/>
              </w:rPr>
              <w:t xml:space="preserve">一、报价（</w:t>
            </w:r>
            <w:r>
              <w:rPr>
                <w:rFonts w:hint="eastAsia" w:ascii="宋体" w:hAnsi="宋体" w:cs="宋体"/>
                <w:b/>
                <w:color w:val="auto"/>
                <w:sz w:val="24"/>
                <w:szCs w:val="24"/>
                <w:highlight w:val="none"/>
                <w:shd w:val="clear" w:color="auto" w:fill="auto"/>
                <w:lang w:val="en-US" w:eastAsia="zh-CN"/>
              </w:rPr>
              <w:t xml:space="preserve">15</w:t>
            </w:r>
            <w:r>
              <w:rPr>
                <w:rFonts w:hint="eastAsia" w:ascii="宋体" w:hAnsi="宋体" w:eastAsia="宋体" w:cs="宋体"/>
                <w:b/>
                <w:color w:val="auto"/>
                <w:sz w:val="24"/>
                <w:szCs w:val="24"/>
                <w:highlight w:val="none"/>
                <w:shd w:val="clear" w:color="auto" w:fill="auto"/>
              </w:rPr>
              <w:t xml:space="preserve">分）</w:t>
            </w:r>
            <w:r/>
          </w:p>
        </w:tc>
      </w:tr>
      <w:tr>
        <w:trPr>
          <w:trHeight w:val="283"/>
        </w:trPr>
        <w:tc>
          <w:tcPr>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1</w:t>
            </w:r>
            <w:r/>
          </w:p>
        </w:tc>
        <w:tc>
          <w:tcPr>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价格</w:t>
            </w:r>
            <w:r/>
          </w:p>
        </w:tc>
        <w:tc>
          <w:tcPr>
            <w:tcMar>
              <w:left w:w="108" w:type="dxa"/>
              <w:top w:w="0" w:type="dxa"/>
              <w:right w:w="108" w:type="dxa"/>
              <w:bottom w:w="0" w:type="dxa"/>
            </w:tcMar>
            <w:tcW w:w="6098" w:type="dxa"/>
            <w:vAlign w:val="center"/>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满足磋商文件要求且最终报价最低的报价为评标基准价，其价格分为满分。其他供应商的价格分统一按照下列公式计算：价格分得分＝（评标基准价/最终报价）×分值。</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rPr>
              <w:outlineLvl w:val="9"/>
            </w:pPr>
            <w:r>
              <w:rPr>
                <w:rFonts w:hint="eastAsia" w:ascii="宋体" w:hAnsi="宋体" w:eastAsia="宋体" w:cs="宋体"/>
                <w:b/>
                <w:bCs/>
                <w:color w:val="auto"/>
                <w:sz w:val="24"/>
                <w:szCs w:val="24"/>
                <w:highlight w:val="none"/>
                <w:lang w:val="en-US" w:eastAsia="zh-CN"/>
              </w:rPr>
              <w:t xml:space="preserve">注：此处最终报价指经过报价修正后的最终报价。</w:t>
            </w:r>
            <w:r/>
          </w:p>
        </w:tc>
        <w:tc>
          <w:tcPr>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eastAsia="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15</w:t>
            </w:r>
            <w:r/>
          </w:p>
        </w:tc>
      </w:tr>
      <w:tr>
        <w:trPr>
          <w:trHeight w:val="283"/>
        </w:trPr>
        <w:tc>
          <w:tcPr>
            <w:gridSpan w:val="4"/>
            <w:tcMar>
              <w:left w:w="108" w:type="dxa"/>
              <w:top w:w="0" w:type="dxa"/>
              <w:right w:w="108" w:type="dxa"/>
              <w:bottom w:w="0" w:type="dxa"/>
            </w:tcMar>
            <w:tcW w:w="8522" w:type="dxa"/>
            <w:vAlign w:val="center"/>
            <w:textDirection w:val="lrTb"/>
            <w:noWrap w:val="false"/>
          </w:tcPr>
          <w:p>
            <w:pPr>
              <w:jc w:val="both"/>
              <w:keepLines w:val="0"/>
              <w:keepNext w:val="0"/>
              <w:pageBreakBefore w:val="0"/>
              <w:spacing w:line="400" w:lineRule="exact"/>
              <w:widowControl w:val="off"/>
              <w:tabs>
                <w:tab w:val="left" w:pos="426" w:leader="none"/>
              </w:tabs>
              <w:rPr>
                <w:rFonts w:hint="eastAsia" w:ascii="宋体" w:hAnsi="宋体" w:eastAsia="宋体" w:cs="宋体"/>
                <w:b/>
                <w:color w:val="auto"/>
                <w:sz w:val="24"/>
                <w:szCs w:val="24"/>
                <w:highlight w:val="none"/>
                <w:shd w:val="clear" w:color="auto" w:fill="auto"/>
                <w:lang w:eastAsia="zh-CN"/>
              </w:rPr>
              <w:outlineLvl w:val="9"/>
            </w:pPr>
            <w:r>
              <w:rPr>
                <w:rFonts w:hint="eastAsia" w:ascii="宋体" w:hAnsi="宋体" w:eastAsia="宋体" w:cs="宋体"/>
                <w:b/>
                <w:color w:val="auto"/>
                <w:sz w:val="24"/>
                <w:szCs w:val="24"/>
                <w:highlight w:val="none"/>
                <w:shd w:val="clear" w:color="auto" w:fill="auto"/>
              </w:rPr>
              <w:t xml:space="preserve">二</w:t>
            </w:r>
            <w:r>
              <w:rPr>
                <w:rFonts w:hint="eastAsia" w:ascii="宋体" w:hAnsi="宋体" w:eastAsia="宋体" w:cs="宋体"/>
                <w:b/>
                <w:color w:val="auto"/>
                <w:sz w:val="24"/>
                <w:szCs w:val="24"/>
                <w:highlight w:val="none"/>
                <w:shd w:val="clear" w:color="auto" w:fill="auto"/>
                <w:lang w:eastAsia="zh-CN"/>
              </w:rPr>
              <w:t xml:space="preserve">、</w:t>
            </w:r>
            <w:r>
              <w:rPr>
                <w:rFonts w:hint="eastAsia" w:ascii="宋体" w:hAnsi="宋体" w:eastAsia="宋体" w:cs="宋体"/>
                <w:b/>
                <w:color w:val="auto"/>
                <w:sz w:val="24"/>
                <w:szCs w:val="24"/>
                <w:highlight w:val="none"/>
                <w:shd w:val="clear" w:color="auto" w:fill="auto"/>
                <w:lang w:val="en-US" w:eastAsia="zh-CN"/>
              </w:rPr>
              <w:t xml:space="preserve">主观分</w:t>
            </w:r>
            <w:r>
              <w:rPr>
                <w:rFonts w:hint="eastAsia" w:ascii="宋体" w:hAnsi="宋体" w:eastAsia="宋体" w:cs="宋体"/>
                <w:b/>
                <w:color w:val="auto"/>
                <w:sz w:val="24"/>
                <w:szCs w:val="24"/>
                <w:highlight w:val="none"/>
                <w:shd w:val="clear" w:color="auto" w:fill="auto"/>
                <w:lang w:eastAsia="zh-CN"/>
              </w:rPr>
              <w:t xml:space="preserve">（</w:t>
            </w:r>
            <w:r>
              <w:rPr>
                <w:rFonts w:hint="eastAsia" w:ascii="宋体" w:hAnsi="宋体" w:cs="宋体"/>
                <w:b/>
                <w:color w:val="auto"/>
                <w:sz w:val="24"/>
                <w:szCs w:val="24"/>
                <w:highlight w:val="none"/>
                <w:shd w:val="clear" w:color="auto" w:fill="auto"/>
                <w:lang w:val="en-US" w:eastAsia="zh-CN"/>
              </w:rPr>
              <w:t xml:space="preserve">65</w:t>
            </w:r>
            <w:r>
              <w:rPr>
                <w:rFonts w:hint="eastAsia" w:ascii="宋体" w:hAnsi="宋体" w:eastAsia="宋体" w:cs="宋体"/>
                <w:b/>
                <w:color w:val="auto"/>
                <w:sz w:val="24"/>
                <w:szCs w:val="24"/>
                <w:highlight w:val="none"/>
                <w:shd w:val="clear" w:color="auto" w:fill="auto"/>
                <w:lang w:val="en-US" w:eastAsia="zh-CN"/>
              </w:rPr>
              <w:t xml:space="preserve">分</w:t>
            </w:r>
            <w:r>
              <w:rPr>
                <w:rFonts w:hint="eastAsia" w:ascii="宋体" w:hAnsi="宋体" w:eastAsia="宋体" w:cs="宋体"/>
                <w:b/>
                <w:color w:val="auto"/>
                <w:sz w:val="24"/>
                <w:szCs w:val="24"/>
                <w:highlight w:val="none"/>
                <w:shd w:val="clear" w:color="auto" w:fill="auto"/>
                <w:lang w:eastAsia="zh-CN"/>
              </w:rPr>
              <w:t xml:space="preserve">）</w:t>
            </w:r>
            <w:r/>
          </w:p>
        </w:tc>
      </w:tr>
      <w:tr>
        <w:trPr>
          <w:trHeight w:val="283"/>
        </w:trPr>
        <w:tc>
          <w:tcPr>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rPr>
              <w:outlineLvl w:val="9"/>
            </w:pPr>
            <w:r>
              <w:rPr>
                <w:rFonts w:hint="eastAsia" w:ascii="宋体" w:hAnsi="宋体" w:eastAsia="宋体" w:cs="宋体"/>
                <w:color w:val="auto"/>
                <w:sz w:val="24"/>
                <w:szCs w:val="24"/>
                <w:highlight w:val="none"/>
                <w:shd w:val="clear" w:color="auto" w:fill="auto"/>
                <w:lang w:val="en-US" w:eastAsia="zh-CN"/>
              </w:rPr>
              <w:t xml:space="preserve">1</w:t>
            </w:r>
            <w:r/>
          </w:p>
        </w:tc>
        <w:tc>
          <w:tcPr>
            <w:shd w:val="clear" w:color="auto" w:fill="auto"/>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项目总体概述</w:t>
            </w:r>
            <w:r/>
          </w:p>
        </w:tc>
        <w:tc>
          <w:tcPr>
            <w:shd w:val="clear" w:color="auto" w:fill="auto"/>
            <w:tcMar>
              <w:left w:w="108" w:type="dxa"/>
              <w:top w:w="0" w:type="dxa"/>
              <w:right w:w="108" w:type="dxa"/>
              <w:bottom w:w="0" w:type="dxa"/>
            </w:tcMar>
            <w:tcW w:w="6098" w:type="dxa"/>
            <w:vAlign w:val="top"/>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磋商小组根据供应商提供的工程总体概述资料（含工程概况、施工组织总体设想、施工方案针对性、施工段划分、施工现场平面布置、临时设施及临时道路布置等内容）综合评审：</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（1）总体概述内容完整详实，主导工程内容清晰、施工方法科学合理、针对性强，完全契合、满足本项目全部实施要求的，得</w:t>
            </w:r>
            <w:r>
              <w:rPr>
                <w:rFonts w:hint="eastAsia" w:ascii="宋体" w:hAnsi="宋体" w:cs="宋体"/>
                <w:color w:val="auto"/>
                <w:sz w:val="24"/>
                <w:szCs w:val="24"/>
                <w:highlight w:val="none"/>
                <w:shd w:val="clear" w:color="auto" w:fill="auto"/>
                <w:lang w:val="en-US" w:eastAsia="zh-CN" w:bidi="ar-SA"/>
              </w:rPr>
              <w:t xml:space="preserve">9</w:t>
            </w:r>
            <w:r>
              <w:rPr>
                <w:rFonts w:hint="eastAsia" w:ascii="宋体" w:hAnsi="宋体" w:eastAsia="宋体" w:cs="宋体"/>
                <w:color w:val="auto"/>
                <w:sz w:val="24"/>
                <w:szCs w:val="24"/>
                <w:highlight w:val="none"/>
                <w:shd w:val="clear" w:color="auto" w:fill="auto"/>
                <w:lang w:val="en-US" w:eastAsia="zh-CN" w:bidi="ar-SA"/>
              </w:rPr>
              <w:t xml:space="preserve">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（2）总体概述内容较为完整，主导工程内容、施工方法明确合理，能够基本满足本项目实施要求的，得</w:t>
            </w:r>
            <w:r>
              <w:rPr>
                <w:rFonts w:hint="eastAsia" w:ascii="宋体" w:hAnsi="宋体" w:cs="宋体"/>
                <w:color w:val="auto"/>
                <w:sz w:val="24"/>
                <w:szCs w:val="24"/>
                <w:highlight w:val="none"/>
                <w:shd w:val="clear" w:color="auto" w:fill="auto"/>
                <w:lang w:val="en-US" w:eastAsia="zh-CN" w:bidi="ar-SA"/>
              </w:rPr>
              <w:t xml:space="preserve">7</w:t>
            </w:r>
            <w:r>
              <w:rPr>
                <w:rFonts w:hint="eastAsia" w:ascii="宋体" w:hAnsi="宋体" w:eastAsia="宋体" w:cs="宋体"/>
                <w:color w:val="auto"/>
                <w:sz w:val="24"/>
                <w:szCs w:val="24"/>
                <w:highlight w:val="none"/>
                <w:shd w:val="clear" w:color="auto" w:fill="auto"/>
                <w:lang w:val="en-US" w:eastAsia="zh-CN" w:bidi="ar-SA"/>
              </w:rPr>
              <w:t xml:space="preserve">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（3）总体概述内容相对简略，对本项目实施要求响应程度一般，内容完整性、针对性有所欠缺的，得</w:t>
            </w:r>
            <w:r>
              <w:rPr>
                <w:rFonts w:hint="eastAsia" w:ascii="宋体" w:hAnsi="宋体" w:cs="宋体"/>
                <w:color w:val="auto"/>
                <w:sz w:val="24"/>
                <w:szCs w:val="24"/>
                <w:highlight w:val="none"/>
                <w:shd w:val="clear" w:color="auto" w:fill="auto"/>
                <w:lang w:val="en-US" w:eastAsia="zh-CN" w:bidi="ar-SA"/>
              </w:rPr>
              <w:t xml:space="preserve">5</w:t>
            </w:r>
            <w:r>
              <w:rPr>
                <w:rFonts w:hint="eastAsia" w:ascii="宋体" w:hAnsi="宋体" w:eastAsia="宋体" w:cs="宋体"/>
                <w:color w:val="auto"/>
                <w:sz w:val="24"/>
                <w:szCs w:val="24"/>
                <w:highlight w:val="none"/>
                <w:shd w:val="clear" w:color="auto" w:fill="auto"/>
                <w:lang w:val="en-US" w:eastAsia="zh-CN" w:bidi="ar-SA"/>
              </w:rPr>
              <w:t xml:space="preserve">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（4）总体概述内容粗糙、逻辑混乱，无项目针对性，无法匹配项目实施需求的，得</w:t>
            </w:r>
            <w:r>
              <w:rPr>
                <w:rFonts w:hint="eastAsia" w:ascii="宋体" w:hAnsi="宋体" w:cs="宋体"/>
                <w:color w:val="auto"/>
                <w:sz w:val="24"/>
                <w:szCs w:val="24"/>
                <w:highlight w:val="none"/>
                <w:shd w:val="clear" w:color="auto" w:fill="auto"/>
                <w:lang w:val="en-US" w:eastAsia="zh-CN" w:bidi="ar-SA"/>
              </w:rPr>
              <w:t xml:space="preserve">3</w:t>
            </w:r>
            <w:r>
              <w:rPr>
                <w:rFonts w:hint="eastAsia" w:ascii="宋体" w:hAnsi="宋体" w:eastAsia="宋体" w:cs="宋体"/>
                <w:color w:val="auto"/>
                <w:sz w:val="24"/>
                <w:szCs w:val="24"/>
                <w:highlight w:val="none"/>
                <w:shd w:val="clear" w:color="auto" w:fill="auto"/>
                <w:lang w:val="en-US" w:eastAsia="zh-CN" w:bidi="ar-SA"/>
              </w:rPr>
              <w:t xml:space="preserve">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（5）未提供的不得分。</w:t>
            </w:r>
            <w:r/>
          </w:p>
        </w:tc>
        <w:tc>
          <w:tcPr>
            <w:shd w:val="clear" w:color="auto" w:fill="auto"/>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9</w:t>
            </w:r>
            <w:r/>
          </w:p>
        </w:tc>
      </w:tr>
      <w:tr>
        <w:trPr>
          <w:trHeight w:val="283"/>
        </w:trPr>
        <w:tc>
          <w:tcPr>
            <w:shd w:val="clear" w:color="auto" w:fill="auto"/>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rPr>
              <w:t xml:space="preserve">2</w:t>
            </w:r>
            <w:r/>
          </w:p>
        </w:tc>
        <w:tc>
          <w:tcPr>
            <w:shd w:val="clear" w:color="auto" w:fill="auto"/>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整体施工方案</w:t>
            </w:r>
            <w:r/>
          </w:p>
        </w:tc>
        <w:tc>
          <w:tcPr>
            <w:shd w:val="clear" w:color="auto" w:fill="auto"/>
            <w:tcMar>
              <w:left w:w="108" w:type="dxa"/>
              <w:top w:w="0" w:type="dxa"/>
              <w:right w:w="108" w:type="dxa"/>
              <w:bottom w:w="0" w:type="dxa"/>
            </w:tcMar>
            <w:tcW w:w="6098" w:type="dxa"/>
            <w:vAlign w:val="top"/>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磋商小组根据供应商提供的整体施工方案综合评审：</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（1）施工方案体系完整、内容详实、逻辑清晰，工艺流程、施工部署科学，完全满足本项目实施要求的，得10分；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（2）施工方案内容较为具体，核心施工流程、部署规划清晰，能够基本满足本项目实施要求的，得8分；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（3）施工方案内容简略，细节缺失较多，对本项目实施要求响应程度一般的，得6分；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（4）施工方案内容粗糙、流于形式，无项目针对性的，得4分；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（5）未提供的不得分。</w:t>
            </w:r>
            <w:r/>
          </w:p>
        </w:tc>
        <w:tc>
          <w:tcPr>
            <w:shd w:val="clear" w:color="auto" w:fill="auto"/>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10</w:t>
            </w:r>
            <w:r/>
          </w:p>
        </w:tc>
      </w:tr>
      <w:tr>
        <w:trPr>
          <w:trHeight w:val="283"/>
        </w:trPr>
        <w:tc>
          <w:tcPr>
            <w:shd w:val="clear" w:color="auto" w:fill="auto"/>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rPr>
              <w:t xml:space="preserve">3</w:t>
            </w:r>
            <w:r/>
          </w:p>
        </w:tc>
        <w:tc>
          <w:tcPr>
            <w:shd w:val="clear" w:color="auto" w:fill="auto"/>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bidi="ar-SA"/>
              </w:rPr>
              <w:t xml:space="preserve">质量保障措施</w:t>
            </w:r>
            <w:r/>
          </w:p>
        </w:tc>
        <w:tc>
          <w:tcPr>
            <w:shd w:val="clear" w:color="auto" w:fill="auto"/>
            <w:tcMar>
              <w:left w:w="108" w:type="dxa"/>
              <w:top w:w="0" w:type="dxa"/>
              <w:right w:w="108" w:type="dxa"/>
              <w:bottom w:w="0" w:type="dxa"/>
            </w:tcMar>
            <w:tcW w:w="6098" w:type="dxa"/>
            <w:vAlign w:val="top"/>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磋商小组根据供应商提供的工程</w:t>
            </w:r>
            <w:r>
              <w:rPr>
                <w:rFonts w:hint="eastAsia" w:ascii="宋体" w:hAnsi="宋体" w:cs="宋体"/>
                <w:color w:val="auto"/>
                <w:sz w:val="24"/>
                <w:szCs w:val="24"/>
                <w:highlight w:val="none"/>
                <w:shd w:val="clear" w:color="auto" w:fill="auto"/>
                <w:lang w:val="en-US" w:eastAsia="zh-CN" w:bidi="ar-SA"/>
              </w:rPr>
              <w:t xml:space="preserve">质量保障措施</w:t>
            </w:r>
            <w:r>
              <w:rPr>
                <w:rFonts w:hint="eastAsia" w:ascii="宋体" w:hAnsi="宋体" w:eastAsia="宋体" w:cs="宋体"/>
                <w:color w:val="auto"/>
                <w:sz w:val="24"/>
                <w:szCs w:val="24"/>
                <w:highlight w:val="none"/>
                <w:shd w:val="clear" w:color="auto" w:fill="auto"/>
                <w:lang w:val="en-US" w:eastAsia="zh-CN" w:bidi="ar-SA"/>
              </w:rPr>
              <w:t xml:space="preserve">综合评审：</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（1）</w:t>
            </w:r>
            <w:r>
              <w:rPr>
                <w:rFonts w:hint="eastAsia" w:ascii="宋体" w:hAnsi="宋体" w:cs="宋体"/>
                <w:color w:val="auto"/>
                <w:sz w:val="24"/>
                <w:szCs w:val="24"/>
                <w:highlight w:val="none"/>
                <w:shd w:val="clear" w:color="auto" w:fill="auto"/>
                <w:lang w:val="en-US" w:eastAsia="zh-CN" w:bidi="ar-SA"/>
              </w:rPr>
              <w:t xml:space="preserve">质量保障措施</w:t>
            </w:r>
            <w:r>
              <w:rPr>
                <w:rFonts w:hint="eastAsia" w:ascii="宋体" w:hAnsi="宋体" w:eastAsia="宋体" w:cs="宋体"/>
                <w:color w:val="auto"/>
                <w:sz w:val="24"/>
                <w:szCs w:val="24"/>
                <w:highlight w:val="none"/>
                <w:shd w:val="clear" w:color="auto" w:fill="auto"/>
                <w:lang w:val="en-US" w:eastAsia="zh-CN" w:bidi="ar-SA"/>
              </w:rPr>
              <w:t xml:space="preserve">体系完整、内容详实，管控流程、保障机制完善，可全面保障项目施工质量，完全满足项目实施要求的，得</w:t>
            </w:r>
            <w:r>
              <w:rPr>
                <w:rFonts w:hint="eastAsia" w:ascii="宋体" w:hAnsi="宋体" w:cs="宋体"/>
                <w:color w:val="auto"/>
                <w:sz w:val="24"/>
                <w:szCs w:val="24"/>
                <w:highlight w:val="none"/>
                <w:shd w:val="clear" w:color="auto" w:fill="auto"/>
                <w:lang w:val="en-US" w:eastAsia="zh-CN" w:bidi="ar-SA"/>
              </w:rPr>
              <w:t xml:space="preserve">9</w:t>
            </w:r>
            <w:r>
              <w:rPr>
                <w:rFonts w:hint="eastAsia" w:ascii="宋体" w:hAnsi="宋体" w:eastAsia="宋体" w:cs="宋体"/>
                <w:color w:val="auto"/>
                <w:sz w:val="24"/>
                <w:szCs w:val="24"/>
                <w:highlight w:val="none"/>
                <w:shd w:val="clear" w:color="auto" w:fill="auto"/>
                <w:lang w:val="en-US" w:eastAsia="zh-CN" w:bidi="ar-SA"/>
              </w:rPr>
              <w:t xml:space="preserve">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（2）</w:t>
            </w:r>
            <w:r>
              <w:rPr>
                <w:rFonts w:hint="eastAsia" w:ascii="宋体" w:hAnsi="宋体" w:cs="宋体"/>
                <w:color w:val="auto"/>
                <w:sz w:val="24"/>
                <w:szCs w:val="24"/>
                <w:highlight w:val="none"/>
                <w:shd w:val="clear" w:color="auto" w:fill="auto"/>
                <w:lang w:val="en-US" w:eastAsia="zh-CN" w:bidi="ar-SA"/>
              </w:rPr>
              <w:t xml:space="preserve">质量保障措施</w:t>
            </w:r>
            <w:r>
              <w:rPr>
                <w:rFonts w:hint="eastAsia" w:ascii="宋体" w:hAnsi="宋体" w:eastAsia="宋体" w:cs="宋体"/>
                <w:color w:val="auto"/>
                <w:sz w:val="24"/>
                <w:szCs w:val="24"/>
                <w:highlight w:val="none"/>
                <w:shd w:val="clear" w:color="auto" w:fill="auto"/>
                <w:lang w:val="en-US" w:eastAsia="zh-CN" w:bidi="ar-SA"/>
              </w:rPr>
              <w:t xml:space="preserve">内容具体、管控要点清晰，能够有效保障项目施工质量，基本满足项目实施要求的，得</w:t>
            </w:r>
            <w:r>
              <w:rPr>
                <w:rFonts w:hint="eastAsia" w:ascii="宋体" w:hAnsi="宋体" w:cs="宋体"/>
                <w:color w:val="auto"/>
                <w:sz w:val="24"/>
                <w:szCs w:val="24"/>
                <w:highlight w:val="none"/>
                <w:shd w:val="clear" w:color="auto" w:fill="auto"/>
                <w:lang w:val="en-US" w:eastAsia="zh-CN" w:bidi="ar-SA"/>
              </w:rPr>
              <w:t xml:space="preserve">7</w:t>
            </w:r>
            <w:r>
              <w:rPr>
                <w:rFonts w:hint="eastAsia" w:ascii="宋体" w:hAnsi="宋体" w:eastAsia="宋体" w:cs="宋体"/>
                <w:color w:val="auto"/>
                <w:sz w:val="24"/>
                <w:szCs w:val="24"/>
                <w:highlight w:val="none"/>
                <w:shd w:val="clear" w:color="auto" w:fill="auto"/>
                <w:lang w:val="en-US" w:eastAsia="zh-CN" w:bidi="ar-SA"/>
              </w:rPr>
              <w:t xml:space="preserve">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（3）</w:t>
            </w:r>
            <w:r>
              <w:rPr>
                <w:rFonts w:hint="eastAsia" w:ascii="宋体" w:hAnsi="宋体" w:cs="宋体"/>
                <w:color w:val="auto"/>
                <w:sz w:val="24"/>
                <w:szCs w:val="24"/>
                <w:highlight w:val="none"/>
                <w:shd w:val="clear" w:color="auto" w:fill="auto"/>
                <w:lang w:val="en-US" w:eastAsia="zh-CN" w:bidi="ar-SA"/>
              </w:rPr>
              <w:t xml:space="preserve">质量保障措施</w:t>
            </w:r>
            <w:r>
              <w:rPr>
                <w:rFonts w:hint="eastAsia" w:ascii="宋体" w:hAnsi="宋体" w:eastAsia="宋体" w:cs="宋体"/>
                <w:color w:val="auto"/>
                <w:sz w:val="24"/>
                <w:szCs w:val="24"/>
                <w:highlight w:val="none"/>
                <w:shd w:val="clear" w:color="auto" w:fill="auto"/>
                <w:lang w:val="en-US" w:eastAsia="zh-CN" w:bidi="ar-SA"/>
              </w:rPr>
              <w:t xml:space="preserve">内容简略，管控机制不够完善，对项目质量管控要求响应一般的，得</w:t>
            </w:r>
            <w:r>
              <w:rPr>
                <w:rFonts w:hint="eastAsia" w:ascii="宋体" w:hAnsi="宋体" w:cs="宋体"/>
                <w:color w:val="auto"/>
                <w:sz w:val="24"/>
                <w:szCs w:val="24"/>
                <w:highlight w:val="none"/>
                <w:shd w:val="clear" w:color="auto" w:fill="auto"/>
                <w:lang w:val="en-US" w:eastAsia="zh-CN" w:bidi="ar-SA"/>
              </w:rPr>
              <w:t xml:space="preserve">5</w:t>
            </w:r>
            <w:r>
              <w:rPr>
                <w:rFonts w:hint="eastAsia" w:ascii="宋体" w:hAnsi="宋体" w:eastAsia="宋体" w:cs="宋体"/>
                <w:color w:val="auto"/>
                <w:sz w:val="24"/>
                <w:szCs w:val="24"/>
                <w:highlight w:val="none"/>
                <w:shd w:val="clear" w:color="auto" w:fill="auto"/>
                <w:lang w:val="en-US" w:eastAsia="zh-CN" w:bidi="ar-SA"/>
              </w:rPr>
              <w:t xml:space="preserve">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（4）</w:t>
            </w:r>
            <w:r>
              <w:rPr>
                <w:rFonts w:hint="eastAsia" w:ascii="宋体" w:hAnsi="宋体" w:cs="宋体"/>
                <w:color w:val="auto"/>
                <w:sz w:val="24"/>
                <w:szCs w:val="24"/>
                <w:highlight w:val="none"/>
                <w:shd w:val="clear" w:color="auto" w:fill="auto"/>
                <w:lang w:val="en-US" w:eastAsia="zh-CN" w:bidi="ar-SA"/>
              </w:rPr>
              <w:t xml:space="preserve">质量保障措施</w:t>
            </w:r>
            <w:r>
              <w:rPr>
                <w:rFonts w:hint="eastAsia" w:ascii="宋体" w:hAnsi="宋体" w:eastAsia="宋体" w:cs="宋体"/>
                <w:color w:val="auto"/>
                <w:sz w:val="24"/>
                <w:szCs w:val="24"/>
                <w:highlight w:val="none"/>
                <w:shd w:val="clear" w:color="auto" w:fill="auto"/>
                <w:lang w:val="en-US" w:eastAsia="zh-CN" w:bidi="ar-SA"/>
              </w:rPr>
              <w:t xml:space="preserve">内容粗糙、缺乏针对性，管控措施无效、无法保障施工质量的，得</w:t>
            </w:r>
            <w:r>
              <w:rPr>
                <w:rFonts w:hint="eastAsia" w:ascii="宋体" w:hAnsi="宋体" w:cs="宋体"/>
                <w:color w:val="auto"/>
                <w:sz w:val="24"/>
                <w:szCs w:val="24"/>
                <w:highlight w:val="none"/>
                <w:shd w:val="clear" w:color="auto" w:fill="auto"/>
                <w:lang w:val="en-US" w:eastAsia="zh-CN" w:bidi="ar-SA"/>
              </w:rPr>
              <w:t xml:space="preserve">3</w:t>
            </w:r>
            <w:r>
              <w:rPr>
                <w:rFonts w:hint="eastAsia" w:ascii="宋体" w:hAnsi="宋体" w:eastAsia="宋体" w:cs="宋体"/>
                <w:color w:val="auto"/>
                <w:sz w:val="24"/>
                <w:szCs w:val="24"/>
                <w:highlight w:val="none"/>
                <w:shd w:val="clear" w:color="auto" w:fill="auto"/>
                <w:lang w:val="en-US" w:eastAsia="zh-CN" w:bidi="ar-SA"/>
              </w:rPr>
              <w:t xml:space="preserve">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（5）未提供的不得分。</w:t>
            </w:r>
            <w:r/>
          </w:p>
        </w:tc>
        <w:tc>
          <w:tcPr>
            <w:shd w:val="clear" w:color="auto" w:fill="auto"/>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9</w:t>
            </w:r>
            <w:r/>
          </w:p>
        </w:tc>
      </w:tr>
      <w:tr>
        <w:trPr>
          <w:trHeight w:val="283"/>
        </w:trPr>
        <w:tc>
          <w:tcPr>
            <w:shd w:val="clear" w:color="auto" w:fill="auto"/>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4</w:t>
            </w:r>
            <w:r/>
          </w:p>
        </w:tc>
        <w:tc>
          <w:tcPr>
            <w:shd w:val="clear" w:color="auto" w:fill="auto"/>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bidi="ar-SA"/>
              </w:rPr>
              <w:t xml:space="preserve">施工进度计划及进度保障措施</w:t>
            </w:r>
            <w:r/>
          </w:p>
        </w:tc>
        <w:tc>
          <w:tcPr>
            <w:shd w:val="clear" w:color="auto" w:fill="auto"/>
            <w:tcMar>
              <w:left w:w="108" w:type="dxa"/>
              <w:top w:w="0" w:type="dxa"/>
              <w:right w:w="108" w:type="dxa"/>
              <w:bottom w:w="0" w:type="dxa"/>
            </w:tcMar>
            <w:tcW w:w="6098" w:type="dxa"/>
            <w:vAlign w:val="top"/>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磋商小组根据供应商提供的工程</w:t>
            </w:r>
            <w:r>
              <w:rPr>
                <w:rFonts w:hint="eastAsia" w:ascii="宋体" w:hAnsi="宋体" w:cs="宋体"/>
                <w:color w:val="auto"/>
                <w:sz w:val="24"/>
                <w:szCs w:val="24"/>
                <w:highlight w:val="none"/>
                <w:shd w:val="clear" w:color="auto" w:fill="auto"/>
                <w:lang w:val="en-US" w:eastAsia="zh-CN" w:bidi="ar-SA"/>
              </w:rPr>
              <w:t xml:space="preserve">施工进度计划及进度保障措施</w:t>
            </w:r>
            <w:r>
              <w:rPr>
                <w:rFonts w:hint="eastAsia" w:ascii="宋体" w:hAnsi="宋体" w:eastAsia="宋体" w:cs="宋体"/>
                <w:color w:val="auto"/>
                <w:sz w:val="24"/>
                <w:szCs w:val="24"/>
                <w:highlight w:val="none"/>
                <w:shd w:val="clear" w:color="auto" w:fill="auto"/>
                <w:lang w:val="en-US" w:eastAsia="zh-CN" w:bidi="ar-SA"/>
              </w:rPr>
              <w:t xml:space="preserve">综合评审：</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bidi="ar-SA"/>
              </w:rPr>
              <w:t xml:space="preserve">（1）</w:t>
            </w:r>
            <w:r>
              <w:rPr>
                <w:rFonts w:hint="eastAsia" w:ascii="宋体" w:hAnsi="宋体" w:eastAsia="宋体" w:cs="宋体"/>
                <w:color w:val="auto"/>
                <w:sz w:val="24"/>
                <w:szCs w:val="24"/>
                <w:highlight w:val="none"/>
                <w:shd w:val="clear" w:color="auto" w:fill="auto"/>
                <w:lang w:val="en-US" w:eastAsia="zh-CN" w:bidi="ar-SA"/>
              </w:rPr>
              <w:t xml:space="preserve">施工进度计划及进度保障措施体系完整、内容详实全面，施工管控流程清晰规范、进度保障机制健全完善，可全方位保障项目施工有序推进、施工质量达标，完全契合本项目实施进度与质量整体要求的，得</w:t>
            </w:r>
            <w:r>
              <w:rPr>
                <w:rFonts w:hint="eastAsia" w:ascii="宋体" w:hAnsi="宋体" w:cs="宋体"/>
                <w:color w:val="auto"/>
                <w:sz w:val="24"/>
                <w:szCs w:val="24"/>
                <w:highlight w:val="none"/>
                <w:shd w:val="clear" w:color="auto" w:fill="auto"/>
                <w:lang w:val="en-US" w:eastAsia="zh-CN" w:bidi="ar-SA"/>
              </w:rPr>
              <w:t xml:space="preserve">9</w:t>
            </w:r>
            <w:r>
              <w:rPr>
                <w:rFonts w:hint="eastAsia" w:ascii="宋体" w:hAnsi="宋体" w:eastAsia="宋体" w:cs="宋体"/>
                <w:color w:val="auto"/>
                <w:sz w:val="24"/>
                <w:szCs w:val="24"/>
                <w:highlight w:val="none"/>
                <w:shd w:val="clear" w:color="auto" w:fill="auto"/>
                <w:lang w:val="en-US" w:eastAsia="zh-CN" w:bidi="ar-SA"/>
              </w:rPr>
              <w:t xml:space="preserve">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bidi="ar-SA"/>
              </w:rPr>
              <w:t xml:space="preserve">（2）</w:t>
            </w:r>
            <w:r>
              <w:rPr>
                <w:rFonts w:hint="eastAsia" w:ascii="宋体" w:hAnsi="宋体" w:eastAsia="宋体" w:cs="宋体"/>
                <w:color w:val="auto"/>
                <w:sz w:val="24"/>
                <w:szCs w:val="24"/>
                <w:highlight w:val="none"/>
                <w:shd w:val="clear" w:color="auto" w:fill="auto"/>
                <w:lang w:val="en-US" w:eastAsia="zh-CN" w:bidi="ar-SA"/>
              </w:rPr>
              <w:t xml:space="preserve">施工进度计划及进度保障措施内容具体详实，施工进度管控核心要点明确、流程合理，能够有效把控施工进度、保障施工质量，基本满足本项目实施各项要求的，得</w:t>
            </w:r>
            <w:r>
              <w:rPr>
                <w:rFonts w:hint="eastAsia" w:ascii="宋体" w:hAnsi="宋体" w:cs="宋体"/>
                <w:color w:val="auto"/>
                <w:sz w:val="24"/>
                <w:szCs w:val="24"/>
                <w:highlight w:val="none"/>
                <w:shd w:val="clear" w:color="auto" w:fill="auto"/>
                <w:lang w:val="en-US" w:eastAsia="zh-CN" w:bidi="ar-SA"/>
              </w:rPr>
              <w:t xml:space="preserve">7</w:t>
            </w:r>
            <w:r>
              <w:rPr>
                <w:rFonts w:hint="eastAsia" w:ascii="宋体" w:hAnsi="宋体" w:eastAsia="宋体" w:cs="宋体"/>
                <w:color w:val="auto"/>
                <w:sz w:val="24"/>
                <w:szCs w:val="24"/>
                <w:highlight w:val="none"/>
                <w:shd w:val="clear" w:color="auto" w:fill="auto"/>
                <w:lang w:val="en-US" w:eastAsia="zh-CN" w:bidi="ar-SA"/>
              </w:rPr>
              <w:t xml:space="preserve">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bidi="ar-SA"/>
              </w:rPr>
              <w:t xml:space="preserve">（3）</w:t>
            </w:r>
            <w:r>
              <w:rPr>
                <w:rFonts w:hint="eastAsia" w:ascii="宋体" w:hAnsi="宋体" w:eastAsia="宋体" w:cs="宋体"/>
                <w:color w:val="auto"/>
                <w:sz w:val="24"/>
                <w:szCs w:val="24"/>
                <w:highlight w:val="none"/>
                <w:shd w:val="clear" w:color="auto" w:fill="auto"/>
                <w:lang w:val="en-US" w:eastAsia="zh-CN" w:bidi="ar-SA"/>
              </w:rPr>
              <w:t xml:space="preserve">施工进度计划及进度保障措施内容较为简略，进度管控机制不够健全、管控流程不够细化，对项目施工进度及质量管控需求的响应程度一般，仅可满足基础施工要求的，得</w:t>
            </w:r>
            <w:r>
              <w:rPr>
                <w:rFonts w:hint="eastAsia" w:ascii="宋体" w:hAnsi="宋体" w:cs="宋体"/>
                <w:color w:val="auto"/>
                <w:sz w:val="24"/>
                <w:szCs w:val="24"/>
                <w:highlight w:val="none"/>
                <w:shd w:val="clear" w:color="auto" w:fill="auto"/>
                <w:lang w:val="en-US" w:eastAsia="zh-CN" w:bidi="ar-SA"/>
              </w:rPr>
              <w:t xml:space="preserve">5</w:t>
            </w:r>
            <w:r>
              <w:rPr>
                <w:rFonts w:hint="eastAsia" w:ascii="宋体" w:hAnsi="宋体" w:eastAsia="宋体" w:cs="宋体"/>
                <w:color w:val="auto"/>
                <w:sz w:val="24"/>
                <w:szCs w:val="24"/>
                <w:highlight w:val="none"/>
                <w:shd w:val="clear" w:color="auto" w:fill="auto"/>
                <w:lang w:val="en-US" w:eastAsia="zh-CN" w:bidi="ar-SA"/>
              </w:rPr>
              <w:t xml:space="preserve">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bidi="ar-SA"/>
              </w:rPr>
              <w:t xml:space="preserve">（4）</w:t>
            </w:r>
            <w:r>
              <w:rPr>
                <w:rFonts w:hint="eastAsia" w:ascii="宋体" w:hAnsi="宋体" w:eastAsia="宋体" w:cs="宋体"/>
                <w:color w:val="auto"/>
                <w:sz w:val="24"/>
                <w:szCs w:val="24"/>
                <w:highlight w:val="none"/>
                <w:shd w:val="clear" w:color="auto" w:fill="auto"/>
                <w:lang w:val="en-US" w:eastAsia="zh-CN" w:bidi="ar-SA"/>
              </w:rPr>
              <w:t xml:space="preserve">施工进度计划及进度保障措施内容粗糙笼统，缺乏项目针对性和实操性，进度管控措施流于形式、有效性不足，无法有效保障项目施工进度与施工质量的，得</w:t>
            </w:r>
            <w:r>
              <w:rPr>
                <w:rFonts w:hint="eastAsia" w:ascii="宋体" w:hAnsi="宋体" w:cs="宋体"/>
                <w:color w:val="auto"/>
                <w:sz w:val="24"/>
                <w:szCs w:val="24"/>
                <w:highlight w:val="none"/>
                <w:shd w:val="clear" w:color="auto" w:fill="auto"/>
                <w:lang w:val="en-US" w:eastAsia="zh-CN" w:bidi="ar-SA"/>
              </w:rPr>
              <w:t xml:space="preserve">3</w:t>
            </w:r>
            <w:r>
              <w:rPr>
                <w:rFonts w:hint="eastAsia" w:ascii="宋体" w:hAnsi="宋体" w:eastAsia="宋体" w:cs="宋体"/>
                <w:color w:val="auto"/>
                <w:sz w:val="24"/>
                <w:szCs w:val="24"/>
                <w:highlight w:val="none"/>
                <w:shd w:val="clear" w:color="auto" w:fill="auto"/>
                <w:lang w:val="en-US" w:eastAsia="zh-CN" w:bidi="ar-SA"/>
              </w:rPr>
              <w:t xml:space="preserve">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（5）未提供的不得分。</w:t>
            </w:r>
            <w:r/>
          </w:p>
        </w:tc>
        <w:tc>
          <w:tcPr>
            <w:shd w:val="clear" w:color="auto" w:fill="auto"/>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rPr>
                <w:rFonts w:hint="default"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9</w:t>
            </w:r>
            <w:r/>
          </w:p>
        </w:tc>
      </w:tr>
      <w:tr>
        <w:trPr>
          <w:trHeight w:val="283"/>
        </w:trPr>
        <w:tc>
          <w:tcPr>
            <w:shd w:val="clear" w:color="auto" w:fill="auto"/>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5</w:t>
            </w:r>
            <w:r/>
          </w:p>
        </w:tc>
        <w:tc>
          <w:tcPr>
            <w:shd w:val="clear" w:color="auto" w:fill="auto"/>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安全文明施工</w:t>
            </w:r>
            <w:r>
              <w:rPr>
                <w:rFonts w:hint="eastAsia" w:ascii="宋体" w:hAnsi="宋体" w:cs="宋体"/>
                <w:color w:val="auto"/>
                <w:sz w:val="24"/>
                <w:szCs w:val="24"/>
                <w:highlight w:val="none"/>
                <w:shd w:val="clear" w:color="auto" w:fill="auto"/>
                <w:lang w:val="en-US" w:eastAsia="zh-CN" w:bidi="ar-SA"/>
              </w:rPr>
              <w:t xml:space="preserve">及环境保护</w:t>
            </w:r>
            <w:r>
              <w:rPr>
                <w:rFonts w:hint="eastAsia" w:ascii="宋体" w:hAnsi="宋体" w:eastAsia="宋体" w:cs="宋体"/>
                <w:color w:val="auto"/>
                <w:sz w:val="24"/>
                <w:szCs w:val="24"/>
                <w:highlight w:val="none"/>
                <w:shd w:val="clear" w:color="auto" w:fill="auto"/>
                <w:lang w:val="en-US" w:eastAsia="zh-CN" w:bidi="ar-SA"/>
              </w:rPr>
              <w:t xml:space="preserve">措施</w:t>
            </w:r>
            <w:r/>
          </w:p>
        </w:tc>
        <w:tc>
          <w:tcPr>
            <w:shd w:val="clear" w:color="auto" w:fill="auto"/>
            <w:tcMar>
              <w:left w:w="108" w:type="dxa"/>
              <w:top w:w="0" w:type="dxa"/>
              <w:right w:w="108" w:type="dxa"/>
              <w:bottom w:w="0" w:type="dxa"/>
            </w:tcMar>
            <w:tcW w:w="6098" w:type="dxa"/>
            <w:vAlign w:val="top"/>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磋商小组根据供应商提供的</w:t>
            </w:r>
            <w:r>
              <w:rPr>
                <w:rFonts w:hint="eastAsia" w:ascii="宋体" w:hAnsi="宋体" w:cs="宋体"/>
                <w:color w:val="auto"/>
                <w:sz w:val="24"/>
                <w:szCs w:val="24"/>
                <w:highlight w:val="none"/>
                <w:shd w:val="clear" w:color="auto" w:fill="auto"/>
                <w:lang w:val="en-US" w:eastAsia="zh-CN" w:bidi="ar-SA"/>
              </w:rPr>
              <w:t xml:space="preserve">安全文明施工及环境保护措施</w:t>
            </w:r>
            <w:r>
              <w:rPr>
                <w:rFonts w:hint="eastAsia" w:ascii="宋体" w:hAnsi="宋体" w:eastAsia="宋体" w:cs="宋体"/>
                <w:color w:val="auto"/>
                <w:sz w:val="24"/>
                <w:szCs w:val="24"/>
                <w:highlight w:val="none"/>
                <w:shd w:val="clear" w:color="auto" w:fill="auto"/>
                <w:lang w:val="en-US" w:eastAsia="zh-CN" w:bidi="ar-SA"/>
              </w:rPr>
              <w:t xml:space="preserve">综合评审：</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（1）</w:t>
            </w:r>
            <w:r>
              <w:rPr>
                <w:rFonts w:hint="eastAsia" w:ascii="宋体" w:hAnsi="宋体" w:cs="宋体"/>
                <w:color w:val="auto"/>
                <w:sz w:val="24"/>
                <w:szCs w:val="24"/>
                <w:highlight w:val="none"/>
                <w:shd w:val="clear" w:color="auto" w:fill="auto"/>
                <w:lang w:val="en-US" w:eastAsia="zh-CN" w:bidi="ar-SA"/>
              </w:rPr>
              <w:t xml:space="preserve">安全文明施工及环境保护措施</w:t>
            </w:r>
            <w:r>
              <w:rPr>
                <w:rFonts w:hint="eastAsia" w:ascii="宋体" w:hAnsi="宋体" w:eastAsia="宋体" w:cs="宋体"/>
                <w:color w:val="auto"/>
                <w:sz w:val="24"/>
                <w:szCs w:val="24"/>
                <w:highlight w:val="none"/>
                <w:shd w:val="clear" w:color="auto" w:fill="auto"/>
                <w:lang w:val="en-US" w:eastAsia="zh-CN" w:bidi="ar-SA"/>
              </w:rPr>
              <w:t xml:space="preserve">体系完整、内容详实，安全管控、文明施工、风险防控机制完善，完全满足项目施工安全及文明施工要求的，得</w:t>
            </w:r>
            <w:r>
              <w:rPr>
                <w:rFonts w:hint="eastAsia" w:ascii="宋体" w:hAnsi="宋体" w:cs="宋体"/>
                <w:color w:val="auto"/>
                <w:sz w:val="24"/>
                <w:szCs w:val="24"/>
                <w:highlight w:val="none"/>
                <w:shd w:val="clear" w:color="auto" w:fill="auto"/>
                <w:lang w:val="en-US" w:eastAsia="zh-CN" w:bidi="ar-SA"/>
              </w:rPr>
              <w:t xml:space="preserve">9</w:t>
            </w:r>
            <w:r>
              <w:rPr>
                <w:rFonts w:hint="eastAsia" w:ascii="宋体" w:hAnsi="宋体" w:eastAsia="宋体" w:cs="宋体"/>
                <w:color w:val="auto"/>
                <w:sz w:val="24"/>
                <w:szCs w:val="24"/>
                <w:highlight w:val="none"/>
                <w:shd w:val="clear" w:color="auto" w:fill="auto"/>
                <w:lang w:val="en-US" w:eastAsia="zh-CN" w:bidi="ar-SA"/>
              </w:rPr>
              <w:t xml:space="preserve">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（2）</w:t>
            </w:r>
            <w:r>
              <w:rPr>
                <w:rFonts w:hint="eastAsia" w:ascii="宋体" w:hAnsi="宋体" w:cs="宋体"/>
                <w:color w:val="auto"/>
                <w:sz w:val="24"/>
                <w:szCs w:val="24"/>
                <w:highlight w:val="none"/>
                <w:shd w:val="clear" w:color="auto" w:fill="auto"/>
                <w:lang w:val="en-US" w:eastAsia="zh-CN" w:bidi="ar-SA"/>
              </w:rPr>
              <w:t xml:space="preserve">安全文明施工及环境保护措施</w:t>
            </w:r>
            <w:r>
              <w:rPr>
                <w:rFonts w:hint="eastAsia" w:ascii="宋体" w:hAnsi="宋体" w:eastAsia="宋体" w:cs="宋体"/>
                <w:color w:val="auto"/>
                <w:sz w:val="24"/>
                <w:szCs w:val="24"/>
                <w:highlight w:val="none"/>
                <w:shd w:val="clear" w:color="auto" w:fill="auto"/>
                <w:lang w:val="en-US" w:eastAsia="zh-CN" w:bidi="ar-SA"/>
              </w:rPr>
              <w:t xml:space="preserve">内容具体、管控要点齐全，能够有效防范施工安全风险、保障文明施工，基本满足项目实施要求的，得</w:t>
            </w:r>
            <w:r>
              <w:rPr>
                <w:rFonts w:hint="eastAsia" w:ascii="宋体" w:hAnsi="宋体" w:cs="宋体"/>
                <w:color w:val="auto"/>
                <w:sz w:val="24"/>
                <w:szCs w:val="24"/>
                <w:highlight w:val="none"/>
                <w:shd w:val="clear" w:color="auto" w:fill="auto"/>
                <w:lang w:val="en-US" w:eastAsia="zh-CN" w:bidi="ar-SA"/>
              </w:rPr>
              <w:t xml:space="preserve">7</w:t>
            </w:r>
            <w:r>
              <w:rPr>
                <w:rFonts w:hint="eastAsia" w:ascii="宋体" w:hAnsi="宋体" w:eastAsia="宋体" w:cs="宋体"/>
                <w:color w:val="auto"/>
                <w:sz w:val="24"/>
                <w:szCs w:val="24"/>
                <w:highlight w:val="none"/>
                <w:shd w:val="clear" w:color="auto" w:fill="auto"/>
                <w:lang w:val="en-US" w:eastAsia="zh-CN" w:bidi="ar-SA"/>
              </w:rPr>
              <w:t xml:space="preserve">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（3）</w:t>
            </w:r>
            <w:r>
              <w:rPr>
                <w:rFonts w:hint="eastAsia" w:ascii="宋体" w:hAnsi="宋体" w:cs="宋体"/>
                <w:color w:val="auto"/>
                <w:sz w:val="24"/>
                <w:szCs w:val="24"/>
                <w:highlight w:val="none"/>
                <w:shd w:val="clear" w:color="auto" w:fill="auto"/>
                <w:lang w:val="en-US" w:eastAsia="zh-CN" w:bidi="ar-SA"/>
              </w:rPr>
              <w:t xml:space="preserve">安全文明施工及环境保护措施</w:t>
            </w:r>
            <w:r>
              <w:rPr>
                <w:rFonts w:hint="eastAsia" w:ascii="宋体" w:hAnsi="宋体" w:eastAsia="宋体" w:cs="宋体"/>
                <w:color w:val="auto"/>
                <w:sz w:val="24"/>
                <w:szCs w:val="24"/>
                <w:highlight w:val="none"/>
                <w:shd w:val="clear" w:color="auto" w:fill="auto"/>
                <w:lang w:val="en-US" w:eastAsia="zh-CN" w:bidi="ar-SA"/>
              </w:rPr>
              <w:t xml:space="preserve">内容简略，管控细节缺失，对项目安全文明施工要求响应一般的，得</w:t>
            </w:r>
            <w:r>
              <w:rPr>
                <w:rFonts w:hint="eastAsia" w:ascii="宋体" w:hAnsi="宋体" w:cs="宋体"/>
                <w:color w:val="auto"/>
                <w:sz w:val="24"/>
                <w:szCs w:val="24"/>
                <w:highlight w:val="none"/>
                <w:shd w:val="clear" w:color="auto" w:fill="auto"/>
                <w:lang w:val="en-US" w:eastAsia="zh-CN" w:bidi="ar-SA"/>
              </w:rPr>
              <w:t xml:space="preserve">5</w:t>
            </w:r>
            <w:r>
              <w:rPr>
                <w:rFonts w:hint="eastAsia" w:ascii="宋体" w:hAnsi="宋体" w:eastAsia="宋体" w:cs="宋体"/>
                <w:color w:val="auto"/>
                <w:sz w:val="24"/>
                <w:szCs w:val="24"/>
                <w:highlight w:val="none"/>
                <w:shd w:val="clear" w:color="auto" w:fill="auto"/>
                <w:lang w:val="en-US" w:eastAsia="zh-CN" w:bidi="ar-SA"/>
              </w:rPr>
              <w:t xml:space="preserve">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（4）</w:t>
            </w:r>
            <w:r>
              <w:rPr>
                <w:rFonts w:hint="eastAsia" w:ascii="宋体" w:hAnsi="宋体" w:cs="宋体"/>
                <w:color w:val="auto"/>
                <w:sz w:val="24"/>
                <w:szCs w:val="24"/>
                <w:highlight w:val="none"/>
                <w:shd w:val="clear" w:color="auto" w:fill="auto"/>
                <w:lang w:val="en-US" w:eastAsia="zh-CN" w:bidi="ar-SA"/>
              </w:rPr>
              <w:t xml:space="preserve">安全文明施工及环境保护措施</w:t>
            </w:r>
            <w:r>
              <w:rPr>
                <w:rFonts w:hint="eastAsia" w:ascii="宋体" w:hAnsi="宋体" w:eastAsia="宋体" w:cs="宋体"/>
                <w:color w:val="auto"/>
                <w:sz w:val="24"/>
                <w:szCs w:val="24"/>
                <w:highlight w:val="none"/>
                <w:shd w:val="clear" w:color="auto" w:fill="auto"/>
                <w:lang w:val="en-US" w:eastAsia="zh-CN" w:bidi="ar-SA"/>
              </w:rPr>
              <w:t xml:space="preserve">内容粗糙、无项目针对性，无法满足安全文明施工基本要求的，得</w:t>
            </w:r>
            <w:r>
              <w:rPr>
                <w:rFonts w:hint="eastAsia" w:ascii="宋体" w:hAnsi="宋体" w:cs="宋体"/>
                <w:color w:val="auto"/>
                <w:sz w:val="24"/>
                <w:szCs w:val="24"/>
                <w:highlight w:val="none"/>
                <w:shd w:val="clear" w:color="auto" w:fill="auto"/>
                <w:lang w:val="en-US" w:eastAsia="zh-CN" w:bidi="ar-SA"/>
              </w:rPr>
              <w:t xml:space="preserve">3</w:t>
            </w:r>
            <w:r>
              <w:rPr>
                <w:rFonts w:hint="eastAsia" w:ascii="宋体" w:hAnsi="宋体" w:eastAsia="宋体" w:cs="宋体"/>
                <w:color w:val="auto"/>
                <w:sz w:val="24"/>
                <w:szCs w:val="24"/>
                <w:highlight w:val="none"/>
                <w:shd w:val="clear" w:color="auto" w:fill="auto"/>
                <w:lang w:val="en-US" w:eastAsia="zh-CN" w:bidi="ar-SA"/>
              </w:rPr>
              <w:t xml:space="preserve">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（5）未提供的不得分。</w:t>
            </w:r>
            <w:r/>
          </w:p>
        </w:tc>
        <w:tc>
          <w:tcPr>
            <w:shd w:val="clear" w:color="auto" w:fill="auto"/>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9</w:t>
            </w:r>
            <w:r/>
          </w:p>
        </w:tc>
      </w:tr>
      <w:tr>
        <w:trPr>
          <w:trHeight w:val="283"/>
        </w:trPr>
        <w:tc>
          <w:tcPr>
            <w:shd w:val="clear" w:color="auto" w:fill="auto"/>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6</w:t>
            </w:r>
            <w:r/>
          </w:p>
        </w:tc>
        <w:tc>
          <w:tcPr>
            <w:shd w:val="clear" w:color="auto" w:fill="auto"/>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关键施工技术、重难点分析及解决方案</w:t>
            </w:r>
            <w:r/>
          </w:p>
        </w:tc>
        <w:tc>
          <w:tcPr>
            <w:shd w:val="clear" w:color="auto" w:fill="auto"/>
            <w:tcMar>
              <w:left w:w="108" w:type="dxa"/>
              <w:top w:w="0" w:type="dxa"/>
              <w:right w:w="108" w:type="dxa"/>
              <w:bottom w:w="0" w:type="dxa"/>
            </w:tcMar>
            <w:tcW w:w="6098" w:type="dxa"/>
            <w:vAlign w:val="top"/>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磋商小组根据供应商提供的关键施工技术、施工工艺、项目实施重点难点分析及专项解决方案综合评审：</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（1）关键施工技术、工艺选用科学合规，项目重难点分析全面精准，解决方案详实、针对性强，完全满足项目实施要求的，得</w:t>
            </w:r>
            <w:r>
              <w:rPr>
                <w:rFonts w:hint="eastAsia" w:ascii="宋体" w:hAnsi="宋体" w:cs="宋体"/>
                <w:color w:val="auto"/>
                <w:sz w:val="24"/>
                <w:szCs w:val="24"/>
                <w:highlight w:val="none"/>
                <w:shd w:val="clear" w:color="auto" w:fill="auto"/>
                <w:lang w:val="en-US" w:eastAsia="zh-CN" w:bidi="ar-SA"/>
              </w:rPr>
              <w:t xml:space="preserve">9</w:t>
            </w:r>
            <w:r>
              <w:rPr>
                <w:rFonts w:hint="eastAsia" w:ascii="宋体" w:hAnsi="宋体" w:eastAsia="宋体" w:cs="宋体"/>
                <w:color w:val="auto"/>
                <w:sz w:val="24"/>
                <w:szCs w:val="24"/>
                <w:highlight w:val="none"/>
                <w:shd w:val="clear" w:color="auto" w:fill="auto"/>
                <w:lang w:val="en-US" w:eastAsia="zh-CN" w:bidi="ar-SA"/>
              </w:rPr>
              <w:t xml:space="preserve">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（2）关键施工技术、工艺选用合理，项目重难点梳理清晰，解决方案较为具体、可落地，基本满足项目实施要求的，得</w:t>
            </w:r>
            <w:r>
              <w:rPr>
                <w:rFonts w:hint="eastAsia" w:ascii="宋体" w:hAnsi="宋体" w:cs="宋体"/>
                <w:color w:val="auto"/>
                <w:sz w:val="24"/>
                <w:szCs w:val="24"/>
                <w:highlight w:val="none"/>
                <w:shd w:val="clear" w:color="auto" w:fill="auto"/>
                <w:lang w:val="en-US" w:eastAsia="zh-CN" w:bidi="ar-SA"/>
              </w:rPr>
              <w:t xml:space="preserve">7</w:t>
            </w:r>
            <w:r>
              <w:rPr>
                <w:rFonts w:hint="eastAsia" w:ascii="宋体" w:hAnsi="宋体" w:eastAsia="宋体" w:cs="宋体"/>
                <w:color w:val="auto"/>
                <w:sz w:val="24"/>
                <w:szCs w:val="24"/>
                <w:highlight w:val="none"/>
                <w:shd w:val="clear" w:color="auto" w:fill="auto"/>
                <w:lang w:val="en-US" w:eastAsia="zh-CN" w:bidi="ar-SA"/>
              </w:rPr>
              <w:t xml:space="preserve">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（3）关键技术、工艺阐述简略，重难点分析不够全面，解决方案流于表面，对项目实施要求响应一般的，得</w:t>
            </w:r>
            <w:r>
              <w:rPr>
                <w:rFonts w:hint="eastAsia" w:ascii="宋体" w:hAnsi="宋体" w:cs="宋体"/>
                <w:color w:val="auto"/>
                <w:sz w:val="24"/>
                <w:szCs w:val="24"/>
                <w:highlight w:val="none"/>
                <w:shd w:val="clear" w:color="auto" w:fill="auto"/>
                <w:lang w:val="en-US" w:eastAsia="zh-CN" w:bidi="ar-SA"/>
              </w:rPr>
              <w:t xml:space="preserve">5</w:t>
            </w:r>
            <w:r>
              <w:rPr>
                <w:rFonts w:hint="eastAsia" w:ascii="宋体" w:hAnsi="宋体" w:eastAsia="宋体" w:cs="宋体"/>
                <w:color w:val="auto"/>
                <w:sz w:val="24"/>
                <w:szCs w:val="24"/>
                <w:highlight w:val="none"/>
                <w:shd w:val="clear" w:color="auto" w:fill="auto"/>
                <w:lang w:val="en-US" w:eastAsia="zh-CN" w:bidi="ar-SA"/>
              </w:rPr>
              <w:t xml:space="preserve">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（4）关键施工技术、工艺阐述模糊，重难点分析缺失、解决方案无针对性，无法匹配项目施工需求的，得</w:t>
            </w:r>
            <w:r>
              <w:rPr>
                <w:rFonts w:hint="eastAsia" w:ascii="宋体" w:hAnsi="宋体" w:cs="宋体"/>
                <w:color w:val="auto"/>
                <w:sz w:val="24"/>
                <w:szCs w:val="24"/>
                <w:highlight w:val="none"/>
                <w:shd w:val="clear" w:color="auto" w:fill="auto"/>
                <w:lang w:val="en-US" w:eastAsia="zh-CN" w:bidi="ar-SA"/>
              </w:rPr>
              <w:t xml:space="preserve">3</w:t>
            </w:r>
            <w:r>
              <w:rPr>
                <w:rFonts w:hint="eastAsia" w:ascii="宋体" w:hAnsi="宋体" w:eastAsia="宋体" w:cs="宋体"/>
                <w:color w:val="auto"/>
                <w:sz w:val="24"/>
                <w:szCs w:val="24"/>
                <w:highlight w:val="none"/>
                <w:shd w:val="clear" w:color="auto" w:fill="auto"/>
                <w:lang w:val="en-US" w:eastAsia="zh-CN" w:bidi="ar-SA"/>
              </w:rPr>
              <w:t xml:space="preserve">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（5）未提供的不得分。</w:t>
            </w:r>
            <w:r/>
          </w:p>
        </w:tc>
        <w:tc>
          <w:tcPr>
            <w:shd w:val="clear" w:color="auto" w:fill="auto"/>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rPr>
                <w:rFonts w:hint="eastAsia"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9</w:t>
            </w:r>
            <w:r/>
          </w:p>
        </w:tc>
      </w:tr>
      <w:tr>
        <w:trPr>
          <w:trHeight w:val="283"/>
        </w:trPr>
        <w:tc>
          <w:tcPr>
            <w:shd w:val="clear" w:color="auto" w:fill="auto"/>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7</w:t>
            </w:r>
            <w:r/>
          </w:p>
        </w:tc>
        <w:tc>
          <w:tcPr>
            <w:shd w:val="clear" w:color="auto" w:fill="auto"/>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施工资源配置、现场运维及质保服务保障方案</w:t>
            </w:r>
            <w:r/>
          </w:p>
        </w:tc>
        <w:tc>
          <w:tcPr>
            <w:shd w:val="clear" w:color="auto" w:fill="auto"/>
            <w:tcMar>
              <w:left w:w="108" w:type="dxa"/>
              <w:top w:w="0" w:type="dxa"/>
              <w:right w:w="108" w:type="dxa"/>
              <w:bottom w:w="0" w:type="dxa"/>
            </w:tcMar>
            <w:tcW w:w="6098" w:type="dxa"/>
            <w:vAlign w:val="top"/>
            <w:textDirection w:val="lrTb"/>
            <w:noWrap w:val="false"/>
          </w:tcPr>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磋商小组根据供应商提供的施工资源配置、现场运维及质保服务保障方案综合评审：</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1）施工人员、机械设备、物资材料等资源配置科学贴合本河道整治工程需求，人员岗位职责、设备调配、材料管控体系完善，现场运维管理制度健全、流程规范，质保期维保方案详实、服务保障举措全面到位，可全方位保障项目高效、有序、合规实施，完全满足项目全部实施要求的，得10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2）施工资源配置规划清晰，核心人员、机械设备、主材配置满足施工需求，现场运维、日常管控机制完善，质保期维保服务方案完整、举措可行，能够有效保障项目顺利实施，基本满足项目实施要求的，得8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3）施工资源配置内容相对简略，人员、设备、材料配置规划不够细化，现场运维管理制度不完善，质保服务举措较为单一，对项目施工保障及后期维保需求响应程度一般，仅能满足基础施工及维保要求的，得6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（4）施工资源配置方案粗糙笼统，无本项目针对性规划，现场运维管控缺失，质保维保方案流于形式、无实际落地举措，无法有效保障项目施工及后期运维服务质量的，得4分；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eastAsia="宋体" w:cs="宋体"/>
                <w:color w:val="auto"/>
                <w:sz w:val="24"/>
                <w:szCs w:val="24"/>
                <w:highlight w:val="none"/>
                <w:shd w:val="clear" w:color="auto" w:fill="auto"/>
                <w:lang w:val="en-US" w:eastAsia="zh-CN" w:bidi="ar-SA"/>
              </w:rPr>
              <w:t xml:space="preserve">（5）未提供的不得分。</w:t>
            </w:r>
            <w:r/>
          </w:p>
        </w:tc>
        <w:tc>
          <w:tcPr>
            <w:shd w:val="clear" w:color="auto" w:fill="auto"/>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rPr>
                <w:rFonts w:hint="default"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10</w:t>
            </w:r>
            <w:r/>
          </w:p>
        </w:tc>
      </w:tr>
      <w:tr>
        <w:trPr>
          <w:trHeight w:val="283"/>
        </w:trPr>
        <w:tc>
          <w:tcPr>
            <w:gridSpan w:val="4"/>
            <w:tcMar>
              <w:left w:w="108" w:type="dxa"/>
              <w:top w:w="0" w:type="dxa"/>
              <w:right w:w="108" w:type="dxa"/>
              <w:bottom w:w="0" w:type="dxa"/>
            </w:tcMar>
            <w:tcW w:w="8522" w:type="dxa"/>
            <w:vAlign w:val="center"/>
            <w:textDirection w:val="lrTb"/>
            <w:noWrap w:val="false"/>
          </w:tcPr>
          <w:p>
            <w:pPr>
              <w:jc w:val="both"/>
              <w:keepLines w:val="0"/>
              <w:keepNext w:val="0"/>
              <w:pageBreakBefore w:val="0"/>
              <w:spacing w:line="400" w:lineRule="exact"/>
              <w:widowControl w:val="off"/>
              <w:tabs>
                <w:tab w:val="left" w:pos="426" w:leader="none"/>
              </w:tabs>
              <w:rPr>
                <w:rFonts w:hint="eastAsia" w:ascii="宋体" w:hAnsi="宋体" w:eastAsia="宋体" w:cs="宋体"/>
                <w:b/>
                <w:color w:val="auto"/>
                <w:sz w:val="24"/>
                <w:szCs w:val="24"/>
                <w:highlight w:val="none"/>
                <w:shd w:val="clear" w:color="auto" w:fill="auto"/>
                <w:lang w:eastAsia="zh-CN"/>
              </w:rPr>
              <w:outlineLvl w:val="9"/>
            </w:pPr>
            <w:r>
              <w:rPr>
                <w:rFonts w:hint="eastAsia" w:ascii="宋体" w:hAnsi="宋体" w:eastAsia="宋体" w:cs="宋体"/>
                <w:b/>
                <w:color w:val="auto"/>
                <w:sz w:val="24"/>
                <w:szCs w:val="24"/>
                <w:highlight w:val="none"/>
                <w:shd w:val="clear" w:color="auto" w:fill="auto"/>
                <w:lang w:val="en-US" w:eastAsia="zh-CN"/>
              </w:rPr>
              <w:t xml:space="preserve">三、客观分</w:t>
            </w:r>
            <w:r>
              <w:rPr>
                <w:rFonts w:hint="eastAsia" w:ascii="宋体" w:hAnsi="宋体" w:eastAsia="宋体" w:cs="宋体"/>
                <w:b/>
                <w:color w:val="auto"/>
                <w:sz w:val="24"/>
                <w:szCs w:val="24"/>
                <w:highlight w:val="none"/>
                <w:shd w:val="clear" w:color="auto" w:fill="auto"/>
                <w:lang w:eastAsia="zh-CN"/>
              </w:rPr>
              <w:t xml:space="preserve">（</w:t>
            </w:r>
            <w:r>
              <w:rPr>
                <w:rFonts w:hint="eastAsia" w:ascii="宋体" w:hAnsi="宋体" w:cs="宋体"/>
                <w:b/>
                <w:color w:val="auto"/>
                <w:sz w:val="24"/>
                <w:szCs w:val="24"/>
                <w:highlight w:val="none"/>
                <w:shd w:val="clear" w:color="auto" w:fill="auto"/>
                <w:lang w:val="en-US" w:eastAsia="zh-CN"/>
              </w:rPr>
              <w:t xml:space="preserve">20</w:t>
            </w:r>
            <w:r>
              <w:rPr>
                <w:rFonts w:hint="eastAsia" w:ascii="宋体" w:hAnsi="宋体" w:eastAsia="宋体" w:cs="宋体"/>
                <w:b/>
                <w:color w:val="auto"/>
                <w:sz w:val="24"/>
                <w:szCs w:val="24"/>
                <w:highlight w:val="none"/>
                <w:shd w:val="clear" w:color="auto" w:fill="auto"/>
                <w:lang w:val="en-US" w:eastAsia="zh-CN"/>
              </w:rPr>
              <w:t xml:space="preserve">分</w:t>
            </w:r>
            <w:r>
              <w:rPr>
                <w:rFonts w:hint="eastAsia" w:ascii="宋体" w:hAnsi="宋体" w:eastAsia="宋体" w:cs="宋体"/>
                <w:b/>
                <w:color w:val="auto"/>
                <w:sz w:val="24"/>
                <w:szCs w:val="24"/>
                <w:highlight w:val="none"/>
                <w:shd w:val="clear" w:color="auto" w:fill="auto"/>
                <w:lang w:eastAsia="zh-CN"/>
              </w:rPr>
              <w:t xml:space="preserve">）</w:t>
            </w:r>
            <w:r/>
          </w:p>
        </w:tc>
      </w:tr>
      <w:tr>
        <w:trPr>
          <w:trHeight w:val="463"/>
        </w:trPr>
        <w:tc>
          <w:tcPr>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eastAsia="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1</w:t>
            </w:r>
            <w:r/>
          </w:p>
        </w:tc>
        <w:tc>
          <w:tcPr>
            <w:shd w:val="clear" w:color="auto" w:fill="auto"/>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业绩</w:t>
            </w:r>
            <w:r/>
          </w:p>
        </w:tc>
        <w:tc>
          <w:tcPr>
            <w:shd w:val="clear" w:color="auto" w:fill="auto"/>
            <w:tcMar>
              <w:left w:w="108" w:type="dxa"/>
              <w:top w:w="0" w:type="dxa"/>
              <w:right w:w="108" w:type="dxa"/>
              <w:bottom w:w="0" w:type="dxa"/>
            </w:tcMar>
            <w:tcW w:w="6098" w:type="dxa"/>
            <w:vAlign w:val="center"/>
            <w:textDirection w:val="lrTb"/>
            <w:noWrap w:val="false"/>
          </w:tcPr>
          <w:p>
            <w:pPr>
              <w:jc w:val="both"/>
              <w:keepLines w:val="0"/>
              <w:keepNext w:val="0"/>
              <w:pageBreakBefore w:val="0"/>
              <w:spacing w:line="400" w:lineRule="exact"/>
              <w:widowControl w:val="off"/>
              <w:tabs>
                <w:tab w:val="left" w:pos="426" w:leader="none"/>
              </w:tabs>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供应商自202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年1月1日以来（以合同签订日期为准）承担的类似工程业绩，有一个得</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分，最高得</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分。</w:t>
            </w:r>
            <w:r/>
          </w:p>
          <w:p>
            <w:pPr>
              <w:jc w:val="both"/>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en-US" w:eastAsia="zh-CN" w:bidi="ar-SA"/>
              </w:rPr>
              <w:t xml:space="preserve">磋商响应文件</w:t>
            </w:r>
            <w:r>
              <w:rPr>
                <w:rFonts w:hint="eastAsia" w:ascii="宋体" w:hAnsi="宋体" w:eastAsia="宋体" w:cs="宋体"/>
                <w:b/>
                <w:bCs/>
                <w:color w:val="auto"/>
                <w:sz w:val="24"/>
                <w:szCs w:val="24"/>
                <w:highlight w:val="none"/>
                <w:lang w:val="en-US" w:eastAsia="zh-CN"/>
              </w:rPr>
              <w:t xml:space="preserve">中提供中标通知书</w:t>
            </w:r>
            <w:r>
              <w:rPr>
                <w:rFonts w:hint="eastAsia" w:ascii="宋体" w:hAnsi="宋体" w:cs="宋体"/>
                <w:b/>
                <w:bCs/>
                <w:color w:val="auto"/>
                <w:sz w:val="24"/>
                <w:szCs w:val="24"/>
                <w:highlight w:val="none"/>
                <w:lang w:val="en-US" w:eastAsia="zh-CN"/>
              </w:rPr>
              <w:t xml:space="preserve">和</w:t>
            </w:r>
            <w:r>
              <w:rPr>
                <w:rFonts w:hint="eastAsia" w:ascii="宋体" w:hAnsi="宋体" w:eastAsia="宋体" w:cs="宋体"/>
                <w:b/>
                <w:bCs/>
                <w:color w:val="auto"/>
                <w:sz w:val="24"/>
                <w:szCs w:val="24"/>
                <w:highlight w:val="none"/>
                <w:lang w:val="en-US" w:eastAsia="zh-CN"/>
              </w:rPr>
              <w:t xml:space="preserve">合同并加盖供应商公章，否则不得分。</w:t>
            </w:r>
            <w:r/>
          </w:p>
        </w:tc>
        <w:tc>
          <w:tcPr>
            <w:shd w:val="clear" w:color="auto" w:fill="auto"/>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6</w:t>
            </w:r>
            <w:r/>
          </w:p>
        </w:tc>
      </w:tr>
      <w:tr>
        <w:trPr>
          <w:trHeight w:val="463"/>
        </w:trPr>
        <w:tc>
          <w:tcPr>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2</w:t>
            </w:r>
            <w:r/>
          </w:p>
        </w:tc>
        <w:tc>
          <w:tcPr>
            <w:shd w:val="clear" w:color="auto" w:fill="auto"/>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认证证书</w:t>
            </w:r>
            <w:r/>
          </w:p>
        </w:tc>
        <w:tc>
          <w:tcPr>
            <w:shd w:val="clear" w:color="auto" w:fill="auto"/>
            <w:tcMar>
              <w:left w:w="108" w:type="dxa"/>
              <w:top w:w="0" w:type="dxa"/>
              <w:right w:w="108" w:type="dxa"/>
              <w:bottom w:w="0" w:type="dxa"/>
            </w:tcMar>
            <w:tcW w:w="6098" w:type="dxa"/>
            <w:vAlign w:val="center"/>
            <w:textDirection w:val="lrTb"/>
            <w:noWrap w:val="false"/>
          </w:tcPr>
          <w:p>
            <w:pPr>
              <w:ind w:firstLine="0"/>
              <w:keepLines w:val="0"/>
              <w:keepNext w:val="0"/>
              <w:pageBreakBefore w:val="0"/>
              <w:spacing w:line="400" w:lineRule="exact"/>
              <w:widowControl w:val="off"/>
              <w:rPr>
                <w:rFonts w:hint="eastAsia" w:ascii="宋体" w:hAnsi="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bidi="ar-SA"/>
              </w:rPr>
              <w:t xml:space="preserve">供应商具有有效的质量管理体系认证证书、环境管理体系认证证书、职业健康安全管理体系认证证书的，有一个得2分，最高得6分。</w:t>
            </w:r>
            <w:r/>
          </w:p>
          <w:p>
            <w:pPr>
              <w:ind w:firstLine="0"/>
              <w:keepLines w:val="0"/>
              <w:keepNext w:val="0"/>
              <w:pageBreakBefore w:val="0"/>
              <w:spacing w:line="400" w:lineRule="exact"/>
              <w:widowControl w:val="off"/>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b/>
                <w:bCs/>
                <w:color w:val="auto"/>
                <w:sz w:val="24"/>
                <w:szCs w:val="24"/>
                <w:highlight w:val="none"/>
                <w:shd w:val="clear" w:color="auto" w:fill="auto"/>
                <w:lang w:val="en-US" w:eastAsia="zh-CN" w:bidi="ar-SA"/>
              </w:rPr>
              <w:t xml:space="preserve">注：磋商响应文件中提供证书并加盖供应商</w:t>
            </w:r>
            <w:r>
              <w:rPr>
                <w:rFonts w:hint="eastAsia" w:ascii="宋体" w:hAnsi="宋体" w:eastAsia="宋体" w:cs="宋体"/>
                <w:b/>
                <w:bCs/>
                <w:color w:val="auto"/>
                <w:sz w:val="24"/>
                <w:szCs w:val="24"/>
                <w:highlight w:val="none"/>
                <w:lang w:val="en-US" w:eastAsia="zh-CN"/>
              </w:rPr>
              <w:t xml:space="preserve">公章，否则不得分。</w:t>
            </w:r>
            <w:r/>
          </w:p>
        </w:tc>
        <w:tc>
          <w:tcPr>
            <w:shd w:val="clear" w:color="auto" w:fill="auto"/>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6</w:t>
            </w:r>
            <w:r/>
          </w:p>
        </w:tc>
      </w:tr>
      <w:tr>
        <w:trPr>
          <w:trHeight w:val="463"/>
        </w:trPr>
        <w:tc>
          <w:tcPr>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3</w:t>
            </w:r>
            <w:r/>
          </w:p>
        </w:tc>
        <w:tc>
          <w:tcPr>
            <w:shd w:val="clear" w:color="auto" w:fill="auto"/>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项目人员</w:t>
            </w:r>
            <w:r/>
          </w:p>
        </w:tc>
        <w:tc>
          <w:tcPr>
            <w:shd w:val="clear" w:color="auto" w:fill="auto"/>
            <w:tcMar>
              <w:left w:w="108" w:type="dxa"/>
              <w:top w:w="0" w:type="dxa"/>
              <w:right w:w="108" w:type="dxa"/>
              <w:bottom w:w="0" w:type="dxa"/>
            </w:tcMar>
            <w:tcW w:w="6098" w:type="dxa"/>
            <w:vAlign w:val="center"/>
            <w:textDirection w:val="lrTb"/>
            <w:noWrap w:val="false"/>
          </w:tcPr>
          <w:p>
            <w:pPr>
              <w:ind w:firstLine="0"/>
              <w:keepLines w:val="0"/>
              <w:keepNext w:val="0"/>
              <w:pageBreakBefore w:val="0"/>
              <w:spacing w:line="400" w:lineRule="exact"/>
              <w:widowControl w:val="off"/>
              <w:rPr>
                <w:rFonts w:hint="eastAsia" w:ascii="宋体" w:hAnsi="宋体" w:cs="宋体"/>
                <w:b w:val="0"/>
                <w:bCs w:val="0"/>
                <w:color w:val="auto"/>
                <w:sz w:val="24"/>
                <w:szCs w:val="24"/>
                <w:highlight w:val="none"/>
                <w:shd w:val="clear" w:color="auto" w:fill="auto"/>
                <w:lang w:val="en-US" w:eastAsia="zh-CN" w:bidi="ar-SA"/>
              </w:rPr>
              <w:outlineLvl w:val="9"/>
            </w:pPr>
            <w:r>
              <w:rPr>
                <w:rFonts w:hint="eastAsia" w:ascii="宋体" w:hAnsi="宋体" w:cs="宋体"/>
                <w:b w:val="0"/>
                <w:bCs w:val="0"/>
                <w:color w:val="auto"/>
                <w:sz w:val="24"/>
                <w:szCs w:val="24"/>
                <w:highlight w:val="none"/>
                <w:shd w:val="clear" w:color="auto" w:fill="auto"/>
                <w:lang w:val="en-US" w:eastAsia="zh-CN" w:bidi="ar-SA"/>
              </w:rPr>
              <w:t xml:space="preserve">拟投入本项目的项目人员中具有高级及以上职称证书的，有一个得2分；具有中级职称证书的，有一个得1分，同一人不重复得分，最高得4分。</w:t>
            </w:r>
            <w:r/>
          </w:p>
          <w:p>
            <w:pPr>
              <w:ind w:firstLine="0"/>
              <w:keepLines w:val="0"/>
              <w:keepNext w:val="0"/>
              <w:pageBreakBefore w:val="0"/>
              <w:spacing w:line="400" w:lineRule="exact"/>
              <w:widowControl w:val="off"/>
              <w:rPr>
                <w:rFonts w:hint="default" w:ascii="宋体" w:hAnsi="宋体" w:eastAsia="宋体" w:cs="宋体"/>
                <w:b/>
                <w:bCs/>
                <w:color w:val="auto"/>
                <w:sz w:val="24"/>
                <w:szCs w:val="24"/>
                <w:highlight w:val="none"/>
                <w:shd w:val="clear" w:color="auto" w:fill="auto"/>
                <w:lang w:val="en-US" w:eastAsia="zh-CN" w:bidi="ar-SA"/>
              </w:rPr>
              <w:outlineLvl w:val="9"/>
            </w:pPr>
            <w:r>
              <w:rPr>
                <w:rFonts w:hint="eastAsia" w:ascii="宋体" w:hAnsi="宋体" w:cs="宋体"/>
                <w:b/>
                <w:bCs/>
                <w:color w:val="auto"/>
                <w:sz w:val="24"/>
                <w:szCs w:val="24"/>
                <w:highlight w:val="none"/>
                <w:shd w:val="clear" w:color="auto" w:fill="auto"/>
                <w:lang w:val="en-US" w:eastAsia="zh-CN" w:bidi="ar-SA"/>
              </w:rPr>
              <w:t xml:space="preserve">注：磋商响应文件中提供上述人员职称证书及2026年6月至2026年8月中任意一个月供应商为上述人员缴纳的社保证明材料，并加盖供应商</w:t>
            </w:r>
            <w:r>
              <w:rPr>
                <w:rFonts w:hint="eastAsia" w:ascii="宋体" w:hAnsi="宋体" w:eastAsia="宋体" w:cs="宋体"/>
                <w:b/>
                <w:bCs/>
                <w:color w:val="auto"/>
                <w:sz w:val="24"/>
                <w:szCs w:val="24"/>
                <w:highlight w:val="none"/>
                <w:lang w:val="en-US" w:eastAsia="zh-CN"/>
              </w:rPr>
              <w:t xml:space="preserve">公章，否则不得分。</w:t>
            </w:r>
            <w:r/>
          </w:p>
        </w:tc>
        <w:tc>
          <w:tcPr>
            <w:shd w:val="clear" w:color="auto" w:fill="auto"/>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4</w:t>
            </w:r>
            <w:r/>
          </w:p>
        </w:tc>
      </w:tr>
      <w:tr>
        <w:trPr>
          <w:trHeight w:val="463"/>
        </w:trPr>
        <w:tc>
          <w:tcPr>
            <w:tcMar>
              <w:left w:w="108" w:type="dxa"/>
              <w:top w:w="0" w:type="dxa"/>
              <w:right w:w="108" w:type="dxa"/>
              <w:bottom w:w="0" w:type="dxa"/>
            </w:tcMar>
            <w:tcW w:w="581" w:type="dxa"/>
            <w:vAlign w:val="center"/>
            <w:textDirection w:val="lrTb"/>
            <w:noWrap w:val="false"/>
          </w:tcPr>
          <w:p>
            <w:pPr>
              <w:jc w:val="center"/>
              <w:keepLines w:val="0"/>
              <w:keepNext w:val="0"/>
              <w:pageBreakBefore w:val="0"/>
              <w:spacing w:line="400" w:lineRule="exact"/>
              <w:widowControl w:val="off"/>
              <w:tabs>
                <w:tab w:val="left" w:pos="426" w:leader="none"/>
              </w:tabs>
              <w:rPr>
                <w:rFonts w:hint="default" w:ascii="宋体" w:hAnsi="宋体" w:cs="宋体"/>
                <w:color w:val="auto"/>
                <w:sz w:val="24"/>
                <w:szCs w:val="24"/>
                <w:highlight w:val="none"/>
                <w:shd w:val="clear" w:color="auto" w:fill="auto"/>
                <w:lang w:val="en-US" w:eastAsia="zh-CN"/>
              </w:rPr>
              <w:outlineLvl w:val="9"/>
            </w:pPr>
            <w:r>
              <w:rPr>
                <w:rFonts w:hint="eastAsia" w:ascii="宋体" w:hAnsi="宋体" w:cs="宋体"/>
                <w:color w:val="auto"/>
                <w:sz w:val="24"/>
                <w:szCs w:val="24"/>
                <w:highlight w:val="none"/>
                <w:shd w:val="clear" w:color="auto" w:fill="auto"/>
                <w:lang w:val="en-US" w:eastAsia="zh-CN"/>
              </w:rPr>
              <w:t xml:space="preserve">4</w:t>
            </w:r>
            <w:r/>
          </w:p>
        </w:tc>
        <w:tc>
          <w:tcPr>
            <w:shd w:val="clear" w:color="auto" w:fill="auto"/>
            <w:tcMar>
              <w:left w:w="108" w:type="dxa"/>
              <w:top w:w="0" w:type="dxa"/>
              <w:right w:w="108" w:type="dxa"/>
              <w:bottom w:w="0" w:type="dxa"/>
            </w:tcMar>
            <w:tcW w:w="1355"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质保承诺</w:t>
            </w:r>
            <w:r/>
          </w:p>
        </w:tc>
        <w:tc>
          <w:tcPr>
            <w:shd w:val="clear" w:color="auto" w:fill="auto"/>
            <w:tcMar>
              <w:left w:w="108" w:type="dxa"/>
              <w:top w:w="0" w:type="dxa"/>
              <w:right w:w="108" w:type="dxa"/>
              <w:bottom w:w="0" w:type="dxa"/>
            </w:tcMar>
            <w:tcW w:w="6098" w:type="dxa"/>
            <w:vAlign w:val="center"/>
            <w:textDirection w:val="lrTb"/>
            <w:noWrap w:val="false"/>
          </w:tcPr>
          <w:p>
            <w:pPr>
              <w:ind w:firstLine="0"/>
              <w:keepLines w:val="0"/>
              <w:keepNext w:val="0"/>
              <w:pageBreakBefore w:val="0"/>
              <w:spacing w:line="400" w:lineRule="exact"/>
              <w:widowControl w:val="off"/>
              <w:rPr>
                <w:rFonts w:hint="eastAsia" w:ascii="宋体" w:hAnsi="宋体" w:cs="宋体"/>
                <w:b w:val="0"/>
                <w:bCs w:val="0"/>
                <w:color w:val="auto"/>
                <w:sz w:val="24"/>
                <w:szCs w:val="24"/>
                <w:highlight w:val="none"/>
                <w:shd w:val="clear" w:color="auto" w:fill="auto"/>
                <w:lang w:val="en-US" w:eastAsia="zh-CN" w:bidi="ar-SA"/>
              </w:rPr>
              <w:outlineLvl w:val="9"/>
            </w:pPr>
            <w:r>
              <w:rPr>
                <w:rFonts w:hint="eastAsia" w:ascii="宋体" w:hAnsi="宋体" w:cs="宋体"/>
                <w:b w:val="0"/>
                <w:bCs w:val="0"/>
                <w:color w:val="auto"/>
                <w:sz w:val="24"/>
                <w:szCs w:val="24"/>
                <w:highlight w:val="none"/>
                <w:shd w:val="clear" w:color="auto" w:fill="auto"/>
                <w:lang w:val="en-US" w:eastAsia="zh-CN" w:bidi="ar-SA"/>
              </w:rPr>
              <w:t xml:space="preserve">质保期在满足招标文件要求（2年）的基础上，每增加半年得1分，最高得4分。</w:t>
            </w:r>
            <w:r/>
          </w:p>
          <w:p>
            <w:pPr>
              <w:ind w:firstLine="0"/>
              <w:keepLines w:val="0"/>
              <w:keepNext w:val="0"/>
              <w:pageBreakBefore w:val="0"/>
              <w:spacing w:line="400" w:lineRule="exact"/>
              <w:widowControl w:val="off"/>
              <w:rPr>
                <w:rFonts w:hint="eastAsia" w:ascii="宋体" w:hAnsi="宋体" w:eastAsia="宋体" w:cs="宋体"/>
                <w:b/>
                <w:bCs/>
                <w:color w:val="auto"/>
                <w:sz w:val="24"/>
                <w:szCs w:val="24"/>
                <w:highlight w:val="none"/>
                <w:shd w:val="clear" w:color="auto" w:fill="auto"/>
                <w:lang w:val="en-US" w:eastAsia="zh-CN" w:bidi="ar-SA"/>
              </w:rPr>
              <w:outlineLvl w:val="9"/>
            </w:pPr>
            <w:r>
              <w:rPr>
                <w:rFonts w:hint="eastAsia" w:ascii="宋体" w:hAnsi="宋体" w:cs="宋体"/>
                <w:b/>
                <w:bCs/>
                <w:color w:val="auto"/>
                <w:sz w:val="24"/>
                <w:szCs w:val="24"/>
                <w:highlight w:val="none"/>
                <w:shd w:val="clear" w:color="auto" w:fill="auto"/>
                <w:lang w:val="en-US" w:eastAsia="zh-CN" w:bidi="ar-SA"/>
              </w:rPr>
              <w:t xml:space="preserve">注：磋商响应文件中提供承诺函（格式自拟）并加盖供应商</w:t>
            </w:r>
            <w:r>
              <w:rPr>
                <w:rFonts w:hint="eastAsia" w:ascii="宋体" w:hAnsi="宋体" w:eastAsia="宋体" w:cs="宋体"/>
                <w:b/>
                <w:bCs/>
                <w:color w:val="auto"/>
                <w:sz w:val="24"/>
                <w:szCs w:val="24"/>
                <w:highlight w:val="none"/>
                <w:lang w:val="en-US" w:eastAsia="zh-CN"/>
              </w:rPr>
              <w:t xml:space="preserve">公章，否则不得分。</w:t>
            </w:r>
            <w:r/>
          </w:p>
        </w:tc>
        <w:tc>
          <w:tcPr>
            <w:shd w:val="clear" w:color="auto" w:fill="auto"/>
            <w:tcMar>
              <w:left w:w="108" w:type="dxa"/>
              <w:top w:w="0" w:type="dxa"/>
              <w:right w:w="108" w:type="dxa"/>
              <w:bottom w:w="0" w:type="dxa"/>
            </w:tcMar>
            <w:tcW w:w="488" w:type="dxa"/>
            <w:vAlign w:val="center"/>
            <w:textDirection w:val="lrTb"/>
            <w:noWrap w:val="false"/>
          </w:tcPr>
          <w:p>
            <w:pPr>
              <w:jc w:val="center"/>
              <w:keepLines w:val="0"/>
              <w:keepNext w:val="0"/>
              <w:pageBreakBefore w:val="0"/>
              <w:spacing w:line="400" w:lineRule="exact"/>
              <w:widowControl w:val="off"/>
              <w:tabs>
                <w:tab w:val="left" w:pos="426" w:leader="none"/>
              </w:tabs>
              <w:rPr>
                <w:rFonts w:hint="eastAsia" w:ascii="宋体" w:hAnsi="宋体" w:eastAsia="宋体" w:cs="宋体"/>
                <w:color w:val="auto"/>
                <w:sz w:val="24"/>
                <w:szCs w:val="24"/>
                <w:highlight w:val="none"/>
                <w:shd w:val="clear" w:color="auto" w:fill="auto"/>
                <w:lang w:val="en-US" w:eastAsia="zh-CN" w:bidi="ar-SA"/>
              </w:rPr>
              <w:outlineLvl w:val="9"/>
            </w:pPr>
            <w:r>
              <w:rPr>
                <w:rFonts w:hint="eastAsia" w:ascii="宋体" w:hAnsi="宋体" w:cs="宋体"/>
                <w:color w:val="auto"/>
                <w:sz w:val="24"/>
                <w:szCs w:val="24"/>
                <w:highlight w:val="none"/>
                <w:shd w:val="clear" w:color="auto" w:fill="auto"/>
                <w:lang w:val="en-US" w:eastAsia="zh-CN"/>
              </w:rPr>
              <w:t xml:space="preserve">4</w:t>
            </w:r>
            <w:r/>
          </w:p>
        </w:tc>
      </w:tr>
    </w:tbl>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注：1.评分细则中要求提供的证明文件及资料等在响应文件中提供并加盖公章，否则不得分。</w:t>
      </w:r>
      <w:r/>
    </w:p>
    <w:p>
      <w:pPr>
        <w:contextualSpacing/>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2.评审时，未能按以上要求提供相应证明的，不作为评审依据，不得分。</w:t>
      </w:r>
      <w:r/>
    </w:p>
    <w:p>
      <w:pPr>
        <w:jc w:val="center"/>
        <w:spacing w:line="360" w:lineRule="auto"/>
        <w:rPr>
          <w:b/>
          <w:color w:val="auto"/>
          <w:sz w:val="36"/>
          <w:szCs w:val="36"/>
          <w:highlight w:val="none"/>
        </w:rPr>
        <w:outlineLvl w:val="0"/>
      </w:pPr>
      <w:r>
        <w:rPr>
          <w:b/>
          <w:color w:val="auto"/>
          <w:sz w:val="36"/>
          <w:szCs w:val="36"/>
          <w:highlight w:val="none"/>
        </w:rPr>
        <w:br w:type="page" w:clear="all"/>
      </w:r>
      <w:bookmarkStart w:id="634" w:name="_Toc10818"/>
      <w:r>
        <w:rPr>
          <w:b/>
          <w:color w:val="auto"/>
          <w:sz w:val="36"/>
          <w:szCs w:val="36"/>
          <w:highlight w:val="none"/>
        </w:rPr>
        <w:t xml:space="preserve">第四章   采购需求</w:t>
      </w:r>
      <w:bookmarkEnd w:id="634"/>
      <w:r/>
      <w:r/>
    </w:p>
    <w:p>
      <w:pPr>
        <w:spacing w:line="360" w:lineRule="auto"/>
        <w:rPr>
          <w:rFonts w:ascii="宋体" w:hAnsi="宋体"/>
          <w:b/>
          <w:bCs/>
          <w:color w:val="auto"/>
          <w:sz w:val="24"/>
          <w:highlight w:val="none"/>
        </w:rPr>
      </w:pPr>
      <w:r>
        <w:rPr>
          <w:rFonts w:hint="eastAsia" w:ascii="宋体" w:hAnsi="宋体"/>
          <w:b/>
          <w:bCs/>
          <w:color w:val="auto"/>
          <w:sz w:val="24"/>
          <w:highlight w:val="none"/>
        </w:rPr>
        <w:t xml:space="preserve">一、采购标的</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本项目是</w:t>
      </w:r>
      <w:r>
        <w:rPr>
          <w:rFonts w:hint="eastAsia" w:ascii="宋体" w:hAnsi="宋体" w:cs="宋体"/>
          <w:bCs/>
          <w:color w:val="auto"/>
          <w:sz w:val="24"/>
          <w:highlight w:val="none"/>
          <w:lang w:eastAsia="zh-CN"/>
        </w:rPr>
        <w:t xml:space="preserve">永武河（青龙西路-薛家浜桥）河道整治工程</w:t>
      </w:r>
      <w:r>
        <w:rPr>
          <w:rFonts w:hint="eastAsia" w:ascii="宋体" w:hAnsi="宋体" w:cs="宋体"/>
          <w:bCs/>
          <w:color w:val="auto"/>
          <w:sz w:val="24"/>
          <w:highlight w:val="none"/>
        </w:rPr>
        <w:t xml:space="preserve">，项目包括但不限于竞争性磋商文件及其基本技术要求范围内工程开工前的准备（包括现场踏勘、技术核对等）、技术资料、施工、技术服务、主管单位验收、质保期及维保服务和竞争性磋商文件所要求的相关服务等全部内容。</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1.项目预算金额：</w:t>
      </w:r>
      <w:r>
        <w:rPr>
          <w:rFonts w:hint="eastAsia" w:ascii="宋体" w:hAnsi="宋体" w:cs="宋体"/>
          <w:bCs/>
          <w:color w:val="auto"/>
          <w:sz w:val="24"/>
          <w:highlight w:val="none"/>
          <w:lang w:val="en-US" w:eastAsia="zh-CN"/>
        </w:rPr>
        <w:t xml:space="preserve">330</w:t>
      </w:r>
      <w:r>
        <w:rPr>
          <w:rFonts w:hint="eastAsia" w:ascii="宋体" w:hAnsi="宋体" w:cs="宋体"/>
          <w:bCs/>
          <w:color w:val="auto"/>
          <w:sz w:val="24"/>
          <w:highlight w:val="none"/>
        </w:rPr>
        <w:t xml:space="preserve">万元</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2.项目最高限价：</w:t>
      </w:r>
      <w:r>
        <w:rPr>
          <w:rFonts w:hint="eastAsia" w:ascii="宋体" w:hAnsi="宋体" w:cs="宋体"/>
          <w:bCs/>
          <w:color w:val="auto"/>
          <w:sz w:val="24"/>
          <w:highlight w:val="none"/>
          <w:lang w:eastAsia="zh-CN"/>
        </w:rPr>
        <w:t xml:space="preserve">2853314.62</w:t>
      </w:r>
      <w:r>
        <w:rPr>
          <w:rFonts w:hint="eastAsia" w:ascii="宋体" w:hAnsi="宋体" w:cs="宋体"/>
          <w:bCs/>
          <w:color w:val="auto"/>
          <w:sz w:val="24"/>
          <w:highlight w:val="none"/>
        </w:rPr>
        <w:t xml:space="preserve">元</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3.工程地点：</w:t>
      </w:r>
      <w:r>
        <w:rPr>
          <w:rFonts w:hint="eastAsia" w:ascii="宋体" w:hAnsi="宋体" w:cs="宋体"/>
          <w:bCs/>
          <w:color w:val="auto"/>
          <w:sz w:val="24"/>
          <w:highlight w:val="none"/>
          <w:lang w:val="en-US" w:eastAsia="zh-CN"/>
        </w:rPr>
        <w:t xml:space="preserve">常州市天宁区青龙街道</w:t>
      </w:r>
      <w:r>
        <w:rPr>
          <w:rFonts w:hint="eastAsia" w:ascii="宋体" w:hAnsi="宋体" w:cs="宋体"/>
          <w:bCs/>
          <w:color w:val="auto"/>
          <w:sz w:val="24"/>
          <w:highlight w:val="none"/>
        </w:rPr>
        <w:t xml:space="preserve">。</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4.质量等级要求：合格。</w:t>
      </w:r>
      <w:r/>
    </w:p>
    <w:p>
      <w:pPr>
        <w:contextualSpacing/>
        <w:ind w:firstLine="480"/>
        <w:keepLines w:val="0"/>
        <w:keepNext w:val="0"/>
        <w:pageBreakBefore w:val="0"/>
        <w:spacing w:line="312" w:lineRule="auto"/>
        <w:widowControl w:val="off"/>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5.本次采购范围：工程量清单范围</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含编制说明</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的全部工程</w:t>
      </w:r>
      <w:r>
        <w:rPr>
          <w:rFonts w:hint="eastAsia" w:ascii="宋体" w:hAnsi="宋体" w:cs="宋体"/>
          <w:bCs/>
          <w:color w:val="auto"/>
          <w:sz w:val="24"/>
          <w:highlight w:val="none"/>
          <w:lang w:eastAsia="zh-CN"/>
        </w:rPr>
        <w:t xml:space="preserve">。</w:t>
      </w:r>
      <w:r/>
    </w:p>
    <w:p>
      <w:pPr>
        <w:keepLines w:val="0"/>
        <w:keepNext w:val="0"/>
        <w:pageBreakBefore w:val="0"/>
        <w:spacing w:line="312" w:lineRule="auto"/>
        <w:widowControl w:val="off"/>
        <w:rPr>
          <w:rFonts w:ascii="宋体" w:hAnsi="宋体"/>
          <w:b/>
          <w:bCs/>
          <w:color w:val="auto"/>
          <w:sz w:val="24"/>
          <w:highlight w:val="none"/>
        </w:rPr>
      </w:pPr>
      <w:r>
        <w:rPr>
          <w:rFonts w:hint="eastAsia" w:ascii="宋体" w:hAnsi="宋体"/>
          <w:b/>
          <w:bCs/>
          <w:color w:val="auto"/>
          <w:sz w:val="24"/>
          <w:highlight w:val="none"/>
        </w:rPr>
        <w:t xml:space="preserve">二、商务要求</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1.工期</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自采购人发出开工令之日起90日历天</w:t>
      </w:r>
      <w:r>
        <w:rPr>
          <w:rFonts w:hint="eastAsia" w:ascii="宋体" w:hAnsi="宋体" w:cs="宋体"/>
          <w:bCs/>
          <w:color w:val="auto"/>
          <w:sz w:val="24"/>
          <w:highlight w:val="none"/>
        </w:rPr>
        <w:t xml:space="preserve">。</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2.付款条件</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项目开工前，提供预付款发票后支付合同总价10%的工程款作为预付工程款(供应商明确表示无需预付款或者主动要求降低预付款比例的，采购人可不适用前述规定)，项目完工验收合格60日内付至审定价的97%，两年质保期（缺陷责任期）结束后付至审定价的100%（无息）。</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3.质保期</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质保期2年（自验收合格之日起，开始进入质保期）。成交供应商对质保期内所发生的一切费用负责。</w:t>
      </w:r>
      <w:r/>
    </w:p>
    <w:p>
      <w:pPr>
        <w:contextualSpacing/>
        <w:ind w:firstLine="480"/>
        <w:keepLines w:val="0"/>
        <w:keepNext w:val="0"/>
        <w:pageBreakBefore w:val="0"/>
        <w:spacing w:line="312" w:lineRule="auto"/>
        <w:widowControl w:val="off"/>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本项目免收履约保证金</w:t>
      </w:r>
      <w:r>
        <w:rPr>
          <w:rFonts w:hint="eastAsia" w:ascii="宋体" w:hAnsi="宋体" w:cs="宋体"/>
          <w:bCs/>
          <w:color w:val="auto"/>
          <w:sz w:val="24"/>
          <w:highlight w:val="none"/>
          <w:lang w:eastAsia="zh-CN"/>
        </w:rPr>
        <w:t xml:space="preserve">。</w:t>
      </w:r>
      <w:r/>
    </w:p>
    <w:p>
      <w:pPr>
        <w:contextualSpacing/>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三、技术要求</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1.工程量清单、编制说明</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图纸</w:t>
      </w:r>
      <w:r>
        <w:rPr>
          <w:rFonts w:hint="eastAsia" w:ascii="宋体" w:hAnsi="宋体" w:cs="宋体"/>
          <w:b/>
          <w:color w:val="auto"/>
          <w:sz w:val="24"/>
          <w:highlight w:val="none"/>
        </w:rPr>
        <w:t xml:space="preserve">下载地址：</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链接: https://pan.baidu.com/s/1FO3BVq4SVDDv5GY4iwt11Q </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提取码: iwqc </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2.其他要求</w:t>
      </w:r>
      <w:r/>
    </w:p>
    <w:p>
      <w:pPr>
        <w:pStyle w:val="812"/>
        <w:contextualSpacing/>
        <w:ind w:firstLine="480"/>
        <w:jc w:val="left"/>
        <w:keepLines w:val="0"/>
        <w:keepNext w:val="0"/>
        <w:pageBreakBefore w:val="0"/>
        <w:spacing w:line="312" w:lineRule="auto"/>
        <w:widowControl w:val="off"/>
        <w:rPr>
          <w:rFonts w:ascii="宋体" w:hAnsi="宋体" w:cs="宋体"/>
          <w:color w:val="auto"/>
          <w:sz w:val="24"/>
          <w:szCs w:val="24"/>
          <w:highlight w:val="none"/>
        </w:rPr>
      </w:pPr>
      <w:r>
        <w:rPr>
          <w:rFonts w:hint="eastAsia" w:ascii="宋体" w:hAnsi="宋体" w:cs="宋体"/>
          <w:bCs/>
          <w:color w:val="auto"/>
          <w:sz w:val="24"/>
          <w:szCs w:val="24"/>
          <w:highlight w:val="none"/>
        </w:rPr>
        <w:t xml:space="preserve">按照《政府采购促进中小企业发展管理办法》（财库〔2020〕46号）的相关要求，采购人应当面向中小企业预留采购份额，本项目面向中小企业预留份额</w:t>
      </w:r>
      <w:r>
        <w:rPr>
          <w:rFonts w:hint="eastAsia" w:ascii="宋体" w:hAnsi="宋体" w:cs="宋体"/>
          <w:bCs/>
          <w:color w:val="auto"/>
          <w:sz w:val="24"/>
          <w:szCs w:val="24"/>
          <w:highlight w:val="none"/>
          <w:u w:val="single"/>
        </w:rPr>
        <w:t xml:space="preserve"> </w:t>
      </w:r>
      <w:r>
        <w:rPr>
          <w:rFonts w:hint="eastAsia" w:ascii="宋体" w:hAnsi="宋体" w:cs="宋体"/>
          <w:color w:val="auto"/>
          <w:sz w:val="24"/>
          <w:szCs w:val="24"/>
          <w:highlight w:val="none"/>
          <w:u w:val="single"/>
        </w:rPr>
        <w:t xml:space="preserve">100 </w:t>
      </w:r>
      <w:r>
        <w:rPr>
          <w:rFonts w:hint="eastAsia" w:ascii="宋体" w:hAnsi="宋体" w:cs="宋体"/>
          <w:color w:val="auto"/>
          <w:sz w:val="24"/>
          <w:szCs w:val="24"/>
          <w:highlight w:val="none"/>
        </w:rPr>
        <w:t xml:space="preserve">%。</w:t>
      </w:r>
      <w:r/>
    </w:p>
    <w:p>
      <w:pPr>
        <w:keepLines w:val="0"/>
        <w:keepNext w:val="0"/>
        <w:pageBreakBefore w:val="0"/>
        <w:spacing w:line="312"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四、磋商报价</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1.本工程磋商报价采用工程量清单报价。</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2.本项目磋商报价为</w:t>
      </w:r>
      <w:r>
        <w:rPr>
          <w:rFonts w:hint="eastAsia" w:ascii="宋体" w:hAnsi="宋体" w:cs="宋体"/>
          <w:b/>
          <w:color w:val="auto"/>
          <w:sz w:val="24"/>
          <w:highlight w:val="none"/>
        </w:rPr>
        <w:t xml:space="preserve">固定综合单价</w:t>
      </w:r>
      <w:r>
        <w:rPr>
          <w:rFonts w:hint="eastAsia" w:ascii="宋体" w:hAnsi="宋体" w:cs="宋体"/>
          <w:bCs/>
          <w:color w:val="auto"/>
          <w:sz w:val="24"/>
          <w:highlight w:val="none"/>
        </w:rPr>
        <w:t xml:space="preserve">，磋商报价为供应商在磋商响应文件中提出的各项支付金额的总和。</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.因设计变更引起工程项目、工程量变化的，变更合同价款详见合同条款。</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本项目</w:t>
      </w:r>
      <w:r>
        <w:rPr>
          <w:rFonts w:hint="eastAsia" w:ascii="宋体" w:hAnsi="宋体" w:cs="宋体"/>
          <w:bCs/>
          <w:color w:val="auto"/>
          <w:sz w:val="24"/>
          <w:highlight w:val="none"/>
        </w:rPr>
        <w:t xml:space="preserve">反对盲目压低报价。</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.磋商报价的编制要求：</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1）磋商报价应该是按磋商文件规定的招标范围内工程量清单所列项目的全部费用总和，是磋商文件、工程量清单及其附属资料所要求范围内的全部工作内容的价格的体现，其应包括按要求实施和完成本工程所需人工费、材料费、机械费、企业管理费、利润、措施项目费、</w:t>
      </w:r>
      <w:r>
        <w:rPr>
          <w:rFonts w:hint="eastAsia" w:ascii="宋体" w:hAnsi="宋体" w:cs="宋体"/>
          <w:bCs/>
          <w:color w:val="auto"/>
          <w:sz w:val="24"/>
          <w:highlight w:val="none"/>
          <w:lang w:val="en-US" w:eastAsia="zh-CN"/>
        </w:rPr>
        <w:t xml:space="preserve">增值税</w:t>
      </w:r>
      <w:r>
        <w:rPr>
          <w:rFonts w:hint="eastAsia" w:ascii="宋体" w:hAnsi="宋体" w:cs="宋体"/>
          <w:bCs/>
          <w:color w:val="auto"/>
          <w:sz w:val="24"/>
          <w:highlight w:val="none"/>
        </w:rPr>
        <w:t xml:space="preserve">等，同时应考虑承担合同所示责任、义务和一般风险，以及可能因工程量的调整及实施项目的变更而引起的价格调整风险。综合单价为完成一个规定计量单位的分部分项工程量清单项目或措施清单项目所需的人工费、材料费、施工机械使用费和企业管理费与利润，以及一定范围内的风险费用。</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供应商应根据磋商文件（含工程量清单）的有关要求，施工现场实际情况及拟定的施工方案或施工组织设计，依据企业定额和市场价格信息或参照建设行政主管部门发布的计价定额编制磋商报价，供应商的磋商总价应当与分部分项工程费、措施项目费、其他项目费和</w:t>
      </w:r>
      <w:r>
        <w:rPr>
          <w:rFonts w:hint="eastAsia" w:ascii="宋体" w:hAnsi="宋体" w:cs="宋体"/>
          <w:bCs/>
          <w:color w:val="auto"/>
          <w:sz w:val="24"/>
          <w:highlight w:val="none"/>
          <w:lang w:val="en-US" w:eastAsia="zh-CN"/>
        </w:rPr>
        <w:t xml:space="preserve">增值税</w:t>
      </w:r>
      <w:r>
        <w:rPr>
          <w:rFonts w:hint="eastAsia" w:ascii="宋体" w:hAnsi="宋体" w:cs="宋体"/>
          <w:bCs/>
          <w:color w:val="auto"/>
          <w:sz w:val="24"/>
          <w:highlight w:val="none"/>
        </w:rPr>
        <w:t xml:space="preserve">的合计金额一致。</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（3）其他项目清单中的暂列金额、专业工程暂估价均不能优惠，虽在开标时计入供应商的报价中，但不应视为供应商所有。</w:t>
      </w:r>
      <w:r/>
    </w:p>
    <w:p>
      <w:pPr>
        <w:contextualSpacing/>
        <w:ind w:firstLine="480"/>
        <w:keepLines w:val="0"/>
        <w:keepNext w:val="0"/>
        <w:pageBreakBefore w:val="0"/>
        <w:spacing w:line="312" w:lineRule="auto"/>
        <w:widowControl w:val="off"/>
        <w:rPr>
          <w:rFonts w:hint="default" w:ascii="宋体" w:hAnsi="宋体" w:eastAsia="宋体" w:cs="宋体"/>
          <w:bCs/>
          <w:color w:val="auto"/>
          <w:sz w:val="24"/>
          <w:highlight w:val="none"/>
          <w:lang w:val="en-US"/>
        </w:rPr>
      </w:pPr>
      <w:r>
        <w:rPr>
          <w:rFonts w:hint="eastAsia" w:ascii="宋体" w:hAnsi="宋体" w:eastAsia="宋体" w:cs="宋体"/>
          <w:bCs/>
          <w:color w:val="auto"/>
          <w:sz w:val="24"/>
          <w:highlight w:val="none"/>
        </w:rPr>
        <w:t xml:space="preserve">（4）工程量清单是按采购人提供的</w:t>
      </w:r>
      <w:r>
        <w:rPr>
          <w:rFonts w:hint="eastAsia" w:ascii="宋体" w:hAnsi="宋体" w:eastAsia="宋体" w:cs="宋体"/>
          <w:bCs/>
          <w:color w:val="auto"/>
          <w:sz w:val="24"/>
          <w:highlight w:val="none"/>
          <w:lang w:val="en-US" w:eastAsia="zh-CN"/>
        </w:rPr>
        <w:t xml:space="preserve">招标工程量清单</w:t>
      </w:r>
      <w:r>
        <w:rPr>
          <w:rFonts w:hint="eastAsia" w:ascii="宋体" w:hAnsi="宋体" w:eastAsia="宋体" w:cs="宋体"/>
          <w:bCs/>
          <w:color w:val="auto"/>
          <w:sz w:val="24"/>
          <w:highlight w:val="none"/>
        </w:rPr>
        <w:t xml:space="preserve">、答疑等相关说明；GB/T50500-2024《建设工程工程量清单计价标准》、GB</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T50854-2024 </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房屋建筑与装饰工程工程量计算标准</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、GB</w:t>
      </w:r>
      <w:r>
        <w:rPr>
          <w:rFonts w:hint="eastAsia" w:ascii="宋体" w:hAnsi="宋体" w:cs="宋体"/>
          <w:bCs/>
          <w:color w:val="auto"/>
          <w:sz w:val="24"/>
          <w:highlight w:val="none"/>
          <w:lang w:val="en-US" w:eastAsia="zh-CN"/>
        </w:rPr>
        <w:t xml:space="preserve">/</w:t>
      </w:r>
      <w:r>
        <w:rPr>
          <w:rFonts w:hint="eastAsia" w:ascii="宋体" w:hAnsi="宋体" w:eastAsia="宋体" w:cs="宋体"/>
          <w:bCs/>
          <w:color w:val="auto"/>
          <w:sz w:val="24"/>
          <w:highlight w:val="none"/>
        </w:rPr>
        <w:t xml:space="preserve">T50856-2024 </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通用安装工程工程量计算标准</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、GB/T50857-2024《市政工程工程量计算标准》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控制价人工工资按照苏建函价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2026</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27</w:t>
      </w:r>
      <w:r>
        <w:rPr>
          <w:rFonts w:hint="eastAsia" w:ascii="宋体" w:hAnsi="宋体" w:eastAsia="宋体" w:cs="宋体"/>
          <w:bCs/>
          <w:color w:val="auto"/>
          <w:sz w:val="24"/>
          <w:highlight w:val="none"/>
        </w:rPr>
        <w:t xml:space="preserve">号文；</w:t>
      </w:r>
      <w:r>
        <w:rPr>
          <w:rFonts w:hint="eastAsia" w:ascii="宋体" w:hAnsi="宋体" w:eastAsia="宋体" w:cs="宋体"/>
          <w:bCs/>
          <w:color w:val="auto"/>
          <w:sz w:val="24"/>
          <w:highlight w:val="none"/>
          <w:lang w:val="en-US" w:eastAsia="zh-CN"/>
        </w:rPr>
        <w:t xml:space="preserve">《企业安全生产费用提取和使用管理办法》</w:t>
      </w:r>
      <w:r>
        <w:rPr>
          <w:rFonts w:hint="default" w:ascii="宋体" w:hAnsi="宋体" w:eastAsia="宋体" w:cs="宋体"/>
          <w:bCs/>
          <w:color w:val="auto"/>
          <w:sz w:val="24"/>
          <w:highlight w:val="none"/>
          <w:lang w:val="en-US" w:eastAsia="zh-CN"/>
        </w:rPr>
        <w:t xml:space="preserve">(财资(2022)136 号)及有关文件规定、江苏省建设工程费用参考（2026）、江苏省建设工程施工机具台班费用、江苏省建筑与装饰消耗量（2026）、江苏省市政工程消耗量（2026）、常住建〔2026〕60 号</w:t>
      </w:r>
      <w:r>
        <w:rPr>
          <w:rFonts w:hint="eastAsia" w:ascii="宋体" w:hAnsi="宋体" w:eastAsia="宋体" w:cs="宋体"/>
          <w:bCs/>
          <w:color w:val="auto"/>
          <w:sz w:val="24"/>
          <w:highlight w:val="none"/>
          <w:lang w:val="en-US" w:eastAsia="zh-CN"/>
        </w:rPr>
        <w:t xml:space="preserve">等文编制。</w:t>
      </w:r>
      <w:r/>
    </w:p>
    <w:p>
      <w:pPr>
        <w:contextualSpacing/>
        <w:ind w:firstLine="480"/>
        <w:keepLines w:val="0"/>
        <w:keepNext w:val="0"/>
        <w:pageBreakBefore w:val="0"/>
        <w:spacing w:line="312" w:lineRule="auto"/>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（5）不可竞争费的计取按现行文件规定和清单、纪要的规定执行，具体为</w:t>
      </w:r>
      <w:r>
        <w:rPr>
          <w:rFonts w:hint="eastAsia" w:ascii="宋体" w:hAnsi="宋体" w:cs="宋体"/>
          <w:bCs/>
          <w:color w:val="auto"/>
          <w:sz w:val="24"/>
          <w:highlight w:val="none"/>
          <w:lang w:val="en-US" w:eastAsia="zh-CN"/>
        </w:rPr>
        <w:t xml:space="preserve">措施项目中的安全生产费费率</w:t>
      </w: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增值税费率</w:t>
      </w:r>
      <w:r>
        <w:rPr>
          <w:rFonts w:hint="eastAsia" w:ascii="宋体" w:hAnsi="宋体" w:cs="宋体"/>
          <w:bCs/>
          <w:color w:val="auto"/>
          <w:sz w:val="24"/>
          <w:highlight w:val="none"/>
        </w:rPr>
        <w:t xml:space="preserve">、暂列金额、暂估价，不得更改。</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（6）供应商应按采购人提供的工程量清单填报价格，填写的项目编码、项目名称、项目特征、计量单位、工程量必须与采购人提供的一致。</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7）分部分项工程费应依据最新计价规范综合单价组成内容，按分部分项工程量清单项目的特征描述确定综合单价。综合单价中应考虑磋商响应文件中要求供应商承担的风险费用。暂估单价的材料，按暂估的单价计入综合单价。</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（8）磋商报价需考虑正常深化设计所引起的基层或节点变化，今后因深化设计引起的费用增加由成交供应商承担；</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（9）分部分项工程量清单中项目特征描述及工作内容的描述未尽之处请详见技术规范要求；</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10</w:t>
      </w:r>
      <w:r>
        <w:rPr>
          <w:rFonts w:hint="eastAsia" w:ascii="宋体" w:hAnsi="宋体" w:cs="宋体"/>
          <w:bCs/>
          <w:color w:val="auto"/>
          <w:sz w:val="24"/>
          <w:highlight w:val="none"/>
        </w:rPr>
        <w:t xml:space="preserve">）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11</w:t>
      </w:r>
      <w:r>
        <w:rPr>
          <w:rFonts w:hint="eastAsia" w:ascii="宋体" w:hAnsi="宋体" w:cs="宋体"/>
          <w:bCs/>
          <w:color w:val="auto"/>
          <w:sz w:val="24"/>
          <w:highlight w:val="none"/>
        </w:rPr>
        <w:t xml:space="preserve">）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12</w:t>
      </w:r>
      <w:r>
        <w:rPr>
          <w:rFonts w:hint="eastAsia" w:ascii="宋体" w:hAnsi="宋体" w:cs="宋体"/>
          <w:bCs/>
          <w:color w:val="auto"/>
          <w:sz w:val="24"/>
          <w:highlight w:val="none"/>
        </w:rPr>
        <w:t xml:space="preserve">）供应商在磋商前应对现场进行认真踏勘，熟悉工程现场和周围环境，了解一切可能影响磋商方案、报价等编制磋商响应文件的资料，并承担考查现场的责任和风险以及踏勘现场所发生的自身费用。成交后，供应商不得以不完全了解施工现场及周围环境为由，提出额外款项增加、补偿或延长工期等要求。同时作为一个有经验的承包商，应充分考虑与施工现场周边居民的关系及外围矛盾的协调，磋商报价时应包含解决与当地居民、地方矛盾所产生的费用，并承担相应的责任。</w:t>
      </w:r>
      <w:r/>
    </w:p>
    <w:p>
      <w:pPr>
        <w:contextualSpacing/>
        <w:ind w:firstLine="480"/>
        <w:keepLines w:val="0"/>
        <w:keepNext w:val="0"/>
        <w:pageBreakBefore w:val="0"/>
        <w:spacing w:line="312" w:lineRule="auto"/>
        <w:widowControl w:val="off"/>
        <w:rPr>
          <w:rFonts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13</w:t>
      </w:r>
      <w:r>
        <w:rPr>
          <w:rFonts w:hint="eastAsia" w:ascii="宋体" w:hAnsi="宋体" w:cs="宋体"/>
          <w:bCs/>
          <w:color w:val="auto"/>
          <w:sz w:val="24"/>
          <w:highlight w:val="none"/>
        </w:rPr>
        <w:t xml:space="preserve">）用于本工程的所有材料、设备必须符合有关规范规定的质量要求。且所有材料及设备的品牌、规格型号、色号、产地、生产产家、参数、性能、价格等均须提前一周书面征求监理单位、审计单位、建设单位等同意后方能进行采购。所有材料及设备进场前也必须经监理单位、审计单位、建设单位等事先认可后才能用于本工程。即成交供应商对用于本工程的所有材料及设备的品牌、规格型号、色号、产地、生产产家、参数、性能、价格等负责。</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lang w:eastAsia="zh-CN"/>
        </w:rPr>
      </w:pPr>
      <w:r>
        <w:rPr>
          <w:rFonts w:hint="eastAsia" w:ascii="宋体" w:hAnsi="宋体" w:cs="宋体"/>
          <w:b/>
          <w:color w:val="auto"/>
          <w:sz w:val="24"/>
          <w:highlight w:val="none"/>
          <w:lang w:val="en-US" w:eastAsia="zh-CN"/>
        </w:rPr>
        <w:t xml:space="preserve">6</w:t>
      </w:r>
      <w:r>
        <w:rPr>
          <w:rFonts w:hint="eastAsia" w:ascii="宋体" w:hAnsi="宋体" w:cs="宋体"/>
          <w:b/>
          <w:color w:val="auto"/>
          <w:sz w:val="24"/>
          <w:highlight w:val="none"/>
        </w:rPr>
        <w:t xml:space="preserve">.供应商的最后报价作为评分依据，如最后报价与第一次报价不一致，则签订合同时单价</w:t>
      </w:r>
      <w:r>
        <w:rPr>
          <w:rFonts w:hint="eastAsia" w:ascii="宋体" w:hAnsi="宋体" w:cs="宋体"/>
          <w:b/>
          <w:color w:val="auto"/>
          <w:sz w:val="24"/>
          <w:highlight w:val="none"/>
          <w:lang w:val="en-US" w:eastAsia="zh-CN"/>
        </w:rPr>
        <w:t xml:space="preserve">按下浮率</w:t>
      </w:r>
      <w:r>
        <w:rPr>
          <w:rFonts w:hint="eastAsia" w:ascii="宋体" w:hAnsi="宋体" w:cs="宋体"/>
          <w:b/>
          <w:color w:val="auto"/>
          <w:sz w:val="24"/>
          <w:highlight w:val="none"/>
        </w:rPr>
        <w:t xml:space="preserve">同比例下浮</w:t>
      </w:r>
      <w:r>
        <w:rPr>
          <w:rFonts w:hint="eastAsia" w:ascii="宋体" w:hAnsi="宋体" w:cs="宋体"/>
          <w:b/>
          <w:color w:val="auto"/>
          <w:sz w:val="24"/>
          <w:highlight w:val="none"/>
          <w:lang w:eastAsia="zh-CN"/>
        </w:rPr>
        <w:t xml:space="preserve">；</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（1）下浮率=【磋商响应文件中的首次报价（扣除专业工程暂估价、暂列金额）-成交金额（扣除专业工程暂估价、暂列金额）】/【磋商响应文件中的首次报价（扣除专业工程暂估价、暂列金额）】</w:t>
      </w:r>
      <w:r/>
    </w:p>
    <w:p>
      <w:pPr>
        <w:contextualSpacing/>
        <w:ind w:firstLine="482"/>
        <w:keepLines w:val="0"/>
        <w:keepNext w:val="0"/>
        <w:pageBreakBefore w:val="0"/>
        <w:spacing w:line="312" w:lineRule="auto"/>
        <w:widowControl w:val="off"/>
        <w:rPr>
          <w:rFonts w:hint="default"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（2）本项目中的单价包括分部分项中的综合单价及措施项目费中的专业措施项目。</w:t>
      </w:r>
      <w:r/>
    </w:p>
    <w:p>
      <w:pPr>
        <w:contextualSpacing/>
        <w:ind w:firstLine="482"/>
        <w:keepLines w:val="0"/>
        <w:keepNext w:val="0"/>
        <w:pageBreakBefore w:val="0"/>
        <w:spacing w:line="312" w:lineRule="auto"/>
        <w:widowControl w:val="off"/>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.供应商必须按照工程量清单填报价格。项目编码、项目名称、项目特征、计量单位、工程量必须与工程量清单一致（供应商自行补充的措施项目除外），否则其响应将被视为无效</w:t>
      </w:r>
      <w:r>
        <w:rPr>
          <w:rFonts w:hint="eastAsia" w:ascii="宋体" w:hAnsi="宋体" w:cs="宋体"/>
          <w:b/>
          <w:color w:val="auto"/>
          <w:sz w:val="24"/>
          <w:highlight w:val="none"/>
          <w:lang w:eastAsia="zh-CN"/>
        </w:rPr>
        <w:t xml:space="preserve">；</w:t>
      </w:r>
      <w:r/>
    </w:p>
    <w:p>
      <w:pPr>
        <w:contextualSpacing/>
        <w:ind w:firstLine="482"/>
        <w:keepLines w:val="0"/>
        <w:keepNext w:val="0"/>
        <w:pageBreakBefore w:val="0"/>
        <w:spacing w:line="312" w:lineRule="auto"/>
        <w:widowControl w:val="off"/>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8</w:t>
      </w:r>
      <w:r>
        <w:rPr>
          <w:rFonts w:hint="eastAsia" w:ascii="宋体" w:hAnsi="宋体" w:cs="宋体"/>
          <w:b/>
          <w:color w:val="auto"/>
          <w:sz w:val="24"/>
          <w:highlight w:val="none"/>
        </w:rPr>
        <w:t xml:space="preserve">.其中</w:t>
      </w:r>
      <w:r>
        <w:rPr>
          <w:rFonts w:hint="eastAsia" w:ascii="宋体" w:hAnsi="宋体" w:eastAsia="宋体" w:cs="宋体"/>
          <w:b/>
          <w:color w:val="auto"/>
          <w:sz w:val="24"/>
          <w:highlight w:val="none"/>
          <w:lang w:val="en-US" w:eastAsia="zh-CN"/>
        </w:rPr>
        <w:t xml:space="preserve">措施项目清单构成明细分析表中</w:t>
      </w:r>
      <w:r>
        <w:rPr>
          <w:rFonts w:hint="eastAsia" w:ascii="宋体" w:hAnsi="宋体" w:eastAsia="宋体" w:cs="宋体"/>
          <w:b/>
          <w:color w:val="auto"/>
          <w:sz w:val="24"/>
          <w:highlight w:val="none"/>
        </w:rPr>
        <w:t xml:space="preserve">安全生产费率</w:t>
      </w:r>
      <w:r>
        <w:rPr>
          <w:rFonts w:hint="eastAsia" w:ascii="宋体" w:hAnsi="宋体" w:cs="宋体"/>
          <w:b/>
          <w:color w:val="auto"/>
          <w:sz w:val="24"/>
          <w:highlight w:val="none"/>
        </w:rPr>
        <w:t xml:space="preserve">与工程量清单费率一致，否则其响应将被视为无效</w:t>
      </w:r>
      <w:r>
        <w:rPr>
          <w:rFonts w:hint="eastAsia" w:ascii="宋体" w:hAnsi="宋体" w:cs="宋体"/>
          <w:b/>
          <w:color w:val="auto"/>
          <w:sz w:val="24"/>
          <w:highlight w:val="none"/>
          <w:lang w:eastAsia="zh-CN"/>
        </w:rPr>
        <w:t xml:space="preserve">；</w:t>
      </w:r>
      <w:r/>
    </w:p>
    <w:p>
      <w:pPr>
        <w:contextualSpacing/>
        <w:ind w:firstLine="482"/>
        <w:keepLines w:val="0"/>
        <w:keepNext w:val="0"/>
        <w:pageBreakBefore w:val="0"/>
        <w:spacing w:line="312" w:lineRule="auto"/>
        <w:widowControl w:val="off"/>
        <w:rPr>
          <w:rFonts w:ascii="宋体" w:hAnsi="宋体" w:cs="宋体"/>
          <w:b/>
          <w:color w:val="auto"/>
          <w:sz w:val="24"/>
          <w:highlight w:val="none"/>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9</w:t>
      </w:r>
      <w:r>
        <w:rPr>
          <w:rFonts w:hint="eastAsia" w:ascii="宋体" w:hAnsi="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暂列金额</w:t>
      </w:r>
      <w:r>
        <w:rPr>
          <w:rFonts w:hint="eastAsia" w:ascii="宋体" w:hAnsi="宋体" w:cs="宋体"/>
          <w:b/>
          <w:color w:val="auto"/>
          <w:sz w:val="24"/>
          <w:highlight w:val="none"/>
          <w:lang w:val="en-US" w:eastAsia="zh-CN"/>
        </w:rPr>
        <w:t xml:space="preserve">（如有）</w:t>
      </w:r>
      <w:r>
        <w:rPr>
          <w:rFonts w:hint="eastAsia" w:ascii="宋体" w:hAnsi="宋体" w:eastAsia="宋体" w:cs="宋体"/>
          <w:b/>
          <w:color w:val="auto"/>
          <w:sz w:val="24"/>
          <w:highlight w:val="none"/>
          <w:lang w:val="en-US" w:eastAsia="zh-CN"/>
        </w:rPr>
        <w:t xml:space="preserve">、暂估价</w:t>
      </w:r>
      <w:r>
        <w:rPr>
          <w:rFonts w:hint="eastAsia" w:ascii="宋体" w:hAnsi="宋体" w:cs="宋体"/>
          <w:b/>
          <w:color w:val="auto"/>
          <w:sz w:val="24"/>
          <w:highlight w:val="none"/>
          <w:lang w:val="en-US" w:eastAsia="zh-CN"/>
        </w:rPr>
        <w:t xml:space="preserve">（如有）</w:t>
      </w:r>
      <w:r>
        <w:rPr>
          <w:rFonts w:hint="eastAsia" w:ascii="宋体" w:hAnsi="宋体" w:cs="宋体"/>
          <w:b/>
          <w:color w:val="auto"/>
          <w:sz w:val="24"/>
          <w:highlight w:val="none"/>
        </w:rPr>
        <w:t xml:space="preserve">应按工程量清单中列出的金额填写，否则其响应将被视为无效</w:t>
      </w:r>
      <w:r>
        <w:rPr>
          <w:rFonts w:hint="eastAsia" w:ascii="宋体" w:hAnsi="宋体" w:cs="宋体"/>
          <w:b/>
          <w:color w:val="auto"/>
          <w:sz w:val="24"/>
          <w:highlight w:val="none"/>
          <w:lang w:eastAsia="zh-CN"/>
        </w:rPr>
        <w:t xml:space="preserve">；</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0</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增值税</w:t>
      </w:r>
      <w:r>
        <w:rPr>
          <w:rFonts w:hint="eastAsia" w:ascii="宋体" w:hAnsi="宋体" w:cs="宋体"/>
          <w:b/>
          <w:color w:val="auto"/>
          <w:sz w:val="24"/>
          <w:highlight w:val="none"/>
        </w:rPr>
        <w:t xml:space="preserve">费率必须与工程量清单一致，否则其响应将被视为无效。</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lang w:eastAsia="zh-CN"/>
        </w:rPr>
      </w:pPr>
      <w:r>
        <w:rPr>
          <w:rFonts w:hint="eastAsia" w:ascii="宋体" w:hAnsi="宋体" w:cs="宋体"/>
          <w:b/>
          <w:color w:val="auto"/>
          <w:sz w:val="24"/>
          <w:highlight w:val="none"/>
        </w:rPr>
        <w:t xml:space="preserve">★1</w:t>
      </w:r>
      <w:r>
        <w:rPr>
          <w:rFonts w:hint="eastAsia" w:ascii="宋体" w:hAnsi="宋体" w:cs="宋体"/>
          <w:b/>
          <w:color w:val="auto"/>
          <w:sz w:val="24"/>
          <w:highlight w:val="none"/>
          <w:lang w:val="en-US" w:eastAsia="zh-CN"/>
        </w:rPr>
        <w:t xml:space="preserve">1</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分项报价表中须包含：单位工程费汇总表、分部分项工程项目清单计价表、措施项目清单计价表、措施项目清单构成明细分析表、其他项目清单计价表、暂列金额明细表、专业工程暂估价表明细表、计日工表、总承包服务费计价表、增值税计价表，</w:t>
      </w:r>
      <w:r>
        <w:rPr>
          <w:rFonts w:hint="eastAsia" w:ascii="宋体" w:hAnsi="宋体" w:cs="宋体"/>
          <w:b/>
          <w:color w:val="auto"/>
          <w:sz w:val="24"/>
          <w:highlight w:val="none"/>
        </w:rPr>
        <w:t xml:space="preserve">否则其响应将被视为无效</w:t>
      </w:r>
      <w:r>
        <w:rPr>
          <w:rFonts w:hint="eastAsia" w:ascii="宋体" w:hAnsi="宋体" w:cs="宋体"/>
          <w:b/>
          <w:color w:val="auto"/>
          <w:sz w:val="24"/>
          <w:highlight w:val="none"/>
          <w:lang w:eastAsia="zh-CN"/>
        </w:rPr>
        <w:t xml:space="preserve">；</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★12.本项目采用二轮报价，电子响应文件中的书面报价为首轮报价，第二轮报价为最后报价(通过系统在线报价)。最后报价不得超过预算、最高限价及首轮报价，</w:t>
      </w:r>
      <w:r>
        <w:rPr>
          <w:rFonts w:hint="eastAsia" w:ascii="宋体" w:hAnsi="宋体" w:cs="宋体"/>
          <w:b/>
          <w:color w:val="auto"/>
          <w:sz w:val="24"/>
          <w:highlight w:val="none"/>
        </w:rPr>
        <w:t xml:space="preserve">否则其响应将被视为无效</w:t>
      </w:r>
      <w:r>
        <w:rPr>
          <w:rFonts w:hint="eastAsia" w:ascii="宋体" w:hAnsi="宋体" w:cs="宋体"/>
          <w:b/>
          <w:color w:val="auto"/>
          <w:sz w:val="24"/>
          <w:highlight w:val="none"/>
          <w:lang w:val="en-US" w:eastAsia="zh-CN"/>
        </w:rPr>
        <w:t xml:space="preserve">。</w:t>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ind w:firstLine="482"/>
        <w:keepLines w:val="0"/>
        <w:keepNext w:val="0"/>
        <w:pageBreakBefore w:val="0"/>
        <w:spacing w:line="312" w:lineRule="auto"/>
        <w:widowControl w:val="off"/>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contextualSpacing/>
        <w:jc w:val="center"/>
        <w:spacing w:line="360" w:lineRule="auto"/>
        <w:rPr>
          <w:b/>
          <w:color w:val="auto"/>
          <w:sz w:val="36"/>
          <w:szCs w:val="36"/>
          <w:highlight w:val="none"/>
        </w:rPr>
      </w:pPr>
      <w:r/>
      <w:bookmarkStart w:id="635" w:name="_Toc17556"/>
      <w:r>
        <w:rPr>
          <w:b/>
          <w:color w:val="auto"/>
          <w:sz w:val="36"/>
          <w:szCs w:val="36"/>
          <w:highlight w:val="none"/>
        </w:rPr>
        <w:t xml:space="preserve">第五章   合同草案条款</w:t>
      </w:r>
      <w:bookmarkEnd w:id="635"/>
      <w:r/>
      <w:r/>
    </w:p>
    <w:p>
      <w:pPr>
        <w:ind w:firstLine="482"/>
        <w:jc w:val="center"/>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bidi="ar"/>
        </w:rPr>
        <w:t xml:space="preserve">工程施工合同</w:t>
      </w:r>
      <w:r/>
    </w:p>
    <w:p>
      <w:pPr>
        <w:pStyle w:val="801"/>
        <w:ind w:firstLine="482"/>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r>
      <w:r/>
    </w:p>
    <w:p>
      <w:pPr>
        <w:pStyle w:val="801"/>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lang w:val="zh-CN"/>
        </w:rPr>
      </w:pPr>
      <w:r>
        <w:rPr>
          <w:rFonts w:hint="eastAsia" w:asciiTheme="minorEastAsia" w:hAnsiTheme="minorEastAsia" w:eastAsiaTheme="minorEastAsia" w:cstheme="minorEastAsia"/>
          <w:b/>
          <w:color w:val="auto"/>
          <w:sz w:val="24"/>
          <w:szCs w:val="24"/>
          <w:highlight w:val="none"/>
          <w:lang w:val="zh-CN"/>
        </w:rPr>
        <w:t xml:space="preserve">发包人（以下称甲方）:</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
          <w:color w:val="auto"/>
          <w:sz w:val="24"/>
          <w:szCs w:val="24"/>
          <w:highlight w:val="none"/>
          <w:u w:val="single"/>
        </w:rPr>
        <w:t xml:space="preserve">                              </w:t>
      </w:r>
      <w:r/>
    </w:p>
    <w:p>
      <w:pPr>
        <w:pStyle w:val="801"/>
        <w:keepLines w:val="0"/>
        <w:keepNext w:val="0"/>
        <w:pageBreakBefore w:val="0"/>
        <w:spacing w:line="360" w:lineRule="auto"/>
        <w:widowControl w:val="off"/>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zh-CN"/>
        </w:rPr>
        <w:t xml:space="preserve">承包人（以下称乙方）: </w:t>
      </w:r>
      <w:r>
        <w:rPr>
          <w:rFonts w:hint="eastAsia" w:asciiTheme="minorEastAsia" w:hAnsiTheme="minorEastAsia" w:eastAsiaTheme="minorEastAsia" w:cstheme="minorEastAsia"/>
          <w:b/>
          <w:color w:val="auto"/>
          <w:sz w:val="24"/>
          <w:szCs w:val="24"/>
          <w:highlight w:val="none"/>
          <w:u w:val="single"/>
          <w:lang w:val="zh-CN"/>
        </w:rPr>
        <w:t xml:space="preserve">                              </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按照《中华人民共和国民法典》及有关规定，结合本工程具体情况，双方达成如下协议。</w:t>
      </w:r>
      <w:r/>
    </w:p>
    <w:p>
      <w:pPr>
        <w:pStyle w:val="79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第1条  工程概况</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pacing w:val="-6"/>
          <w:sz w:val="24"/>
          <w:szCs w:val="24"/>
          <w:highlight w:val="none"/>
        </w:rPr>
      </w:pPr>
      <w:r>
        <w:rPr>
          <w:rFonts w:hint="eastAsia" w:asciiTheme="minorEastAsia" w:hAnsiTheme="minorEastAsia" w:eastAsiaTheme="minorEastAsia" w:cstheme="minorEastAsia"/>
          <w:color w:val="auto"/>
          <w:sz w:val="24"/>
          <w:szCs w:val="24"/>
          <w:highlight w:val="none"/>
        </w:rPr>
        <w:t xml:space="preserve">1.1  工程名称：</w:t>
      </w:r>
      <w:r>
        <w:rPr>
          <w:rFonts w:hint="eastAsia" w:asciiTheme="minorEastAsia" w:hAnsiTheme="minorEastAsia" w:eastAsiaTheme="minorEastAsia" w:cstheme="minorEastAsia"/>
          <w:bCs/>
          <w:color w:val="auto"/>
          <w:spacing w:val="-6"/>
          <w:sz w:val="24"/>
          <w:szCs w:val="24"/>
          <w:highlight w:val="none"/>
          <w:u w:val="single"/>
        </w:rPr>
        <w:t xml:space="preserve">                                                    </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  工程地点：</w:t>
      </w:r>
      <w:r>
        <w:rPr>
          <w:rFonts w:hint="eastAsia" w:asciiTheme="minorEastAsia" w:hAnsiTheme="minorEastAsia" w:eastAsiaTheme="minorEastAsia" w:cstheme="minorEastAsia"/>
          <w:color w:val="auto"/>
          <w:sz w:val="24"/>
          <w:szCs w:val="24"/>
          <w:highlight w:val="none"/>
          <w:u w:val="single"/>
        </w:rPr>
        <w:t xml:space="preserve">                                               </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1.3  承包范围: </w:t>
      </w:r>
      <w:r>
        <w:rPr>
          <w:rFonts w:hint="eastAsia" w:asciiTheme="minorEastAsia" w:hAnsiTheme="minorEastAsia" w:eastAsiaTheme="minorEastAsia" w:cstheme="minorEastAsia"/>
          <w:color w:val="auto"/>
          <w:sz w:val="24"/>
          <w:szCs w:val="24"/>
          <w:highlight w:val="none"/>
          <w:u w:val="single"/>
        </w:rPr>
        <w:t xml:space="preserve">                                               </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1.4  承包方式: </w:t>
      </w:r>
      <w:r>
        <w:rPr>
          <w:rFonts w:hint="eastAsia" w:asciiTheme="minorEastAsia" w:hAnsiTheme="minorEastAsia" w:eastAsiaTheme="minorEastAsia" w:cstheme="minorEastAsia"/>
          <w:color w:val="auto"/>
          <w:sz w:val="24"/>
          <w:szCs w:val="24"/>
          <w:highlight w:val="none"/>
          <w:u w:val="single"/>
        </w:rPr>
        <w:t xml:space="preserve">                                               </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1.5  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日历天。</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本工程初步拟自</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日开工,于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日竣工，若约定开工日期与甲方开工令项下日期不一致的，以甲方开工令项下日期为准。</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1.6  工程质量：合格。</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1.7  合同价款（含税价）暂定:(人民币大写)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元，(人民币小写)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元，最终以甲方审定价为准。</w:t>
      </w:r>
      <w:r/>
    </w:p>
    <w:p>
      <w:pPr>
        <w:pStyle w:val="79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第2条  甲方工作</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2.1  开工前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天,向乙方提供经确认的施工图纸或作法说明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份,并向乙方进行现场交底。向乙方提供施工所需的水、电、气及电讯等可接入设备，并说明使用注意事项。办理施工所涉及的各种申请、批件等手续。</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2.2  指派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为甲方驻工地代表，负责合同履行。对工程质量、进度进行监督检查，办理验收、变更、登记手续和其他事宜。</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2.3 如确实需要拆改原建筑物结构或设备管线，负责到有关部门办理相应审批手续。</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2.4  协调有关部门配合乙方做好现场保卫、消防、垃圾处理等工作，该类费用已包括在相关工程量清单费用内，结算时不另计费用。</w:t>
      </w:r>
      <w:r/>
    </w:p>
    <w:p>
      <w:pPr>
        <w:pStyle w:val="79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第3条  乙方工作</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3.1  参加甲方组织的施工图纸或作法说明的现场交底，拟定施工方案和进度计划，交甲方审定。</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3.2  指派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shd w:val="clear" w:color="auto" w:fill="ffffff"/>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为乙方驻工地代表，负责合同履行。按要求组织施工，保质、保量、按期完成施工任务，解决由乙方负责的各项事宜。</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  严格执行施工规范、安全操作规程、防火安全规定。严格按照图纸或作法说明进行施工，做好各项质量检查记录。参加竣工验收，编制工程结算。</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3.4  服从甲方合理合法管理，按甲方要求，配合甲方做好施工进度、施工质量监管及材料进场验收（不限于以上内容）等一切与施工有关的监管工作。</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3.5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3.6 乙方应当按工程管理规定派驻管理人员，特别是安全管理员。乙方对其施工人员应进行安全教育并做好安全防范措施，监督安全施工，避免发生或可能发生安全事故。若乙方人员发生安全事故或其他施工，乙方应当积极处理并承担责任，同时乙方有义务避免造成或可能造成甲方的不利影响或损失。</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3.7 施工中未经甲方同意或有关部门批准，不得随便拆改原建筑物结构及各种设备管线。</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3.8工程竣工未移交甲方之前，负责对现场的一切设施和工程成品进行保护。</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3.9 工程完工向甲方移交工程资料。  </w:t>
      </w:r>
      <w:r/>
    </w:p>
    <w:p>
      <w:pPr>
        <w:pStyle w:val="79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第4条  关于工期的约定</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4.1  甲方要求比合同约定的工期提前竣工时，应征得乙方同意，并支付乙方因赶工采取的措施费用。</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4.2  因甲方未按约定完成工作影响工期的，工期顺延。</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4.3  因乙方原因不能按期开工或中途无故停工，或乙方其他因素影响工期的，工期不得顺延。</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4.4  因设计变更或非乙方原因造成的停电、停水、停气及不可抗力因素，导致停工8小时以上（一周内累计计算），工期相应顺延。</w:t>
      </w:r>
      <w:r/>
    </w:p>
    <w:p>
      <w:pPr>
        <w:pStyle w:val="79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第5条  关于工程质量及验收的约定</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5.1  本工程以施工图纸、作法说明、设计变更和相关质量验收标准等国家制订的施工及验收规范为质量评定验收标准。</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5.2  甲方要求乙方的竣工工程质量必须达到一次性验收合格。</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5.3  甲、乙双方应及时办理隐蔽工程和中间工程的检查与验收手续。甲方应按时参加隐蔽工程和中间工程验收，双方签署隐蔽工程和中间工程验收文件。若甲方要求复验时，乙方应按要求办理复验。若复验合格，甲方应承担复验费用，由此造成停工，工期顺延；若复验不合格，其复验及返工费用由乙方承担，但工期也予顺延。</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5.4  乙方负责采购的材料，应严格按采购文件要求采购，并提供产品合格证明，对材料质量负责。乙方采购的材料在使用前，应按照甲方的要求进行检验或试验，不合格的不得使用，检验或试验费用由乙方承担。</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5.5  由于甲方提供的材料、设备质量不合格而影响工程质量，其返工费用由甲方承担，工期顺延。</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5.6  由于乙方原因造成质量事故，其损失及费用由乙方承担，工期不顺延。</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5.7  工程竣工后，乙方应书面通知甲方验收，甲方自接到书面验收通知【  】    日内组织验收，经验收合格的办理验收、移交手续。如甲方在规定时间内未能组织验收，需及时通知乙方，另定验收日期，经验收合格的甲方应承认竣工日期。</w:t>
      </w:r>
      <w:r/>
    </w:p>
    <w:p>
      <w:pPr>
        <w:pStyle w:val="79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第6条  关于工程价款及结算的约定</w:t>
      </w:r>
      <w:r>
        <w:rPr>
          <w:rFonts w:hint="eastAsia" w:asciiTheme="minorEastAsia" w:hAnsiTheme="minorEastAsia" w:eastAsiaTheme="minorEastAsia" w:cstheme="minorEastAsia"/>
          <w:b/>
          <w:bCs/>
          <w:color w:val="auto"/>
          <w:sz w:val="24"/>
          <w:szCs w:val="24"/>
          <w:highlight w:val="none"/>
        </w:rPr>
        <w:tab/>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6.1  双方商定本合同价款采用：</w:t>
      </w:r>
      <w:r>
        <w:rPr>
          <w:rFonts w:hint="eastAsia" w:asciiTheme="minorEastAsia" w:hAnsiTheme="minorEastAsia" w:eastAsiaTheme="minorEastAsia" w:cstheme="minorEastAsia"/>
          <w:b/>
          <w:bCs/>
          <w:color w:val="auto"/>
          <w:sz w:val="24"/>
          <w:szCs w:val="24"/>
          <w:highlight w:val="none"/>
        </w:rPr>
        <w:t xml:space="preserve">固定综合单价合同</w:t>
      </w:r>
      <w:r>
        <w:rPr>
          <w:rFonts w:hint="eastAsia" w:asciiTheme="minorEastAsia" w:hAnsiTheme="minorEastAsia" w:eastAsiaTheme="minorEastAsia" w:cstheme="minorEastAsia"/>
          <w:color w:val="auto"/>
          <w:sz w:val="24"/>
          <w:szCs w:val="24"/>
          <w:highlight w:val="none"/>
        </w:rPr>
        <w:t xml:space="preserve">。乙方在报价时已充分考虑人工、材料、机械等在施工期间的涨落风险，在施工过程中，合同约定不作调整。</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6.2因设计变更引起工程项目、工程量变化的，变更工程价款按下列方法进行：</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6.2.1合同中已有适用于变更工程的价格，按合同已有的价格确定变更工程价款；</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6.2.2合同中只有类似于变更工程的价格，可以参照类似价格确定变更工程价款；若报价（</w:t>
      </w:r>
      <w:r>
        <w:rPr>
          <w:rFonts w:hint="eastAsia" w:asciiTheme="minorEastAsia" w:hAnsiTheme="minorEastAsia" w:eastAsiaTheme="minorEastAsia" w:cstheme="minorEastAsia"/>
          <w:color w:val="auto"/>
          <w:sz w:val="24"/>
          <w:szCs w:val="24"/>
          <w:highlight w:val="none"/>
          <w:lang w:val="en-US" w:eastAsia="zh-CN"/>
        </w:rPr>
        <w:t xml:space="preserve">部分</w:t>
      </w:r>
      <w:r>
        <w:rPr>
          <w:rFonts w:hint="eastAsia" w:asciiTheme="minorEastAsia" w:hAnsiTheme="minorEastAsia" w:eastAsiaTheme="minorEastAsia" w:cstheme="minorEastAsia"/>
          <w:color w:val="auto"/>
          <w:sz w:val="24"/>
          <w:szCs w:val="24"/>
          <w:highlight w:val="none"/>
        </w:rPr>
        <w:t xml:space="preserve">单位工程）中存在若干适用的综合单价的执行最低的综合单价；</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6.2.3合同中没有适用或类似于变更工程的价格，结算原则为：由乙方按本工程预算价编制条件（缺项材料采用预算价编制时的信息价）编制报价后乘以下浮率（其中无信息价的由甲方批准定价，不再下浮），下浮率=1-（（合同总价-不可竞争费）/（预算价-不可竞争费）），经监理人、甲方、审计单位审核后进行结算。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6.3“总价措施项目清单”中措施费按投标时费率进行调整，其中文明施工费、按质论价费等按[2018]第24号《省住房城乡建设厅关于调整建设工程按质论价等费用计取方法的公告》、[2020]第11号《省住房城乡建设厅关于实施安全文明施工措施费动态计价管理的公告》等文件规定执行。</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6.4无工程变更时，“单价措施项目清单”按投标内容，不另新增项目。结算项目需根据实际发生情况，由乙方提出，经监理人、甲方、审计单位签证确认。</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6.5因非乙方原因的工程变更，造成施工方案或施工工法变更，引起措施项目发生变化的按实际发生变化的措施项目由乙方提出经监理人、甲方签证，甲方、审计单位确认后调整。调整办法参照6.2调整方法 。</w:t>
      </w:r>
      <w:r/>
    </w:p>
    <w:p>
      <w:pPr>
        <w:ind w:firstLine="480"/>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 xml:space="preserve">6.6 本合同生效后，甲方按以下</w:t>
      </w:r>
      <w:r>
        <w:rPr>
          <w:rFonts w:hint="eastAsia" w:asciiTheme="minorEastAsia" w:hAnsiTheme="minorEastAsia" w:eastAsiaTheme="minorEastAsia" w:cstheme="minorEastAsia"/>
          <w:bCs/>
          <w:color w:val="auto"/>
          <w:sz w:val="24"/>
          <w:szCs w:val="24"/>
          <w:highlight w:val="none"/>
        </w:rPr>
        <w:t xml:space="preserve">约定支付工程款：</w:t>
      </w:r>
      <w:r>
        <w:rPr>
          <w:rFonts w:hint="eastAsia" w:cs="宋体"/>
          <w:b/>
          <w:bCs/>
          <w:color w:val="auto"/>
          <w:sz w:val="24"/>
          <w:szCs w:val="24"/>
          <w:highlight w:val="none"/>
          <w:u w:val="single"/>
          <w:lang w:val="en-US" w:eastAsia="zh-CN"/>
        </w:rPr>
        <w:t xml:space="preserve"> 项目开工前，提供预付款发票后支付合同总价10%的工程款作为预付工程款(乙方明确表示无需预付款或者主动要求降低预付款比例的，甲方可不适用前述规定)，项目完工验收合格60日内付至审定价的97%，两年质保期（缺陷责任期）结束后付至审定价的100%（无息）。 </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6.6.5余款3%（审定价）作为质保金。甲方在工程竣工验收满</w:t>
      </w:r>
      <w:r>
        <w:rPr>
          <w:rFonts w:hint="eastAsia" w:asciiTheme="minorEastAsia" w:hAnsiTheme="minorEastAsia" w:eastAsiaTheme="minorEastAsia" w:cstheme="minorEastAsia"/>
          <w:color w:val="auto"/>
          <w:sz w:val="24"/>
          <w:szCs w:val="24"/>
          <w:highlight w:val="none"/>
          <w:u w:val="single"/>
        </w:rPr>
        <w:t xml:space="preserve">    年</w:t>
      </w:r>
      <w:r>
        <w:rPr>
          <w:rFonts w:hint="eastAsia" w:asciiTheme="minorEastAsia" w:hAnsiTheme="minorEastAsia" w:eastAsiaTheme="minorEastAsia" w:cstheme="minorEastAsia"/>
          <w:color w:val="auto"/>
          <w:sz w:val="24"/>
          <w:szCs w:val="24"/>
          <w:highlight w:val="none"/>
        </w:rPr>
        <w:t xml:space="preserve">后，无息退还审定价3%的质保金（其中应扣除</w:t>
      </w:r>
      <w:r>
        <w:rPr>
          <w:rFonts w:hint="eastAsia" w:asciiTheme="minorEastAsia" w:hAnsiTheme="minorEastAsia" w:eastAsiaTheme="minorEastAsia" w:cstheme="minorEastAsia"/>
          <w:color w:val="auto"/>
          <w:sz w:val="24"/>
          <w:szCs w:val="24"/>
          <w:highlight w:val="none"/>
          <w:u w:val="single"/>
        </w:rPr>
        <w:t xml:space="preserve">    年质保期</w:t>
      </w:r>
      <w:r>
        <w:rPr>
          <w:rFonts w:hint="eastAsia" w:asciiTheme="minorEastAsia" w:hAnsiTheme="minorEastAsia" w:eastAsiaTheme="minorEastAsia" w:cstheme="minorEastAsia"/>
          <w:color w:val="auto"/>
          <w:sz w:val="24"/>
          <w:szCs w:val="24"/>
          <w:highlight w:val="none"/>
        </w:rPr>
        <w:t xml:space="preserve">内发生的应由乙方承担的费用）。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6.6.6结算审计核减率6%以内，全部审计费用由甲方承担</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结算审计核减率超出6%但不超过10%(含10%)，超出6%部分的审计费用由乙方承担。</w:t>
      </w:r>
      <w:bookmarkStart w:id="710" w:name="_GoBack"/>
      <w:r/>
      <w:bookmarkEnd w:id="710"/>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6.6.7工程施工过程中所有需要在合同清单外另行增加项目的均须事先征得甲方的书面同意（且前提条件承诺总价不超过合同价的10%），事先办理书面确认手续或执行甲方的书面指令。否则一概不予结算，即使存有事实，也是作为乙方对甲方的让利。</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6.6.8付款前，乙方向甲方提供增值税发票，甲方按单位签票流程付款，具体到款时间以单位签票流程为准。</w:t>
      </w:r>
      <w:r/>
    </w:p>
    <w:p>
      <w:pPr>
        <w:pStyle w:val="79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第7条  关于材料供应的约定</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7.1  本工程甲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由于乙方保管不当造成损失，由乙方负责赔偿。</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7.2  凡由乙方采购的材料、设备，如不符合质量要求或规格差异，应禁止使用。若已使用，对工程造成的损失由乙方负责。</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7.3施工所需的水、电、电讯线路乙方自行解决，所产生的费用已包含在工程总价中，乙方应将施工所产生的水、电及其他费用按实支付甲方。</w:t>
      </w:r>
      <w:r/>
    </w:p>
    <w:p>
      <w:pPr>
        <w:pStyle w:val="79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第8条  有关安全生产和防火的约定</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8.1  甲方提供的施工图纸或作法说明，应符合《中华人民共和国消防法》和有关防火设计规范。</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8.2  乙方在施工期间应严格遵守《中华人民共和国建筑法》、《建设工程质量管理条例》、《建设工程安全生产管理条例》、《建筑安装工人安全技术操作规程》、《中华人民共和国消防法》和其他相关的法规、规范。</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8.3  由于甲方确认的图纸或作法说明，违反有关安全操作规程、消防条例和防火设计规范，乙方应在施工前及时书面提出。</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8.4  由于乙方在施工生产过程中违反有关安全操作规程、消防条例，导致发生安全或火灾事故，乙方应承担由此引发的一切经济损失及相关法律责任。</w:t>
      </w:r>
      <w:r/>
    </w:p>
    <w:p>
      <w:pPr>
        <w:pStyle w:val="79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第9条  违约责任</w:t>
      </w:r>
      <w:r/>
    </w:p>
    <w:p>
      <w:p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9.1  施工过程中甲方将对乙方招标使用的材料进行抽检，如检验结果材料不合格，严禁使用，检验或试验费用由乙方承担。未经甲方批准，乙方擅自使用品牌、规格、技术参数等与采购文件规定不相符的材料，该材料所涉及的分项目将不予验收结算；并做返工处理，工期不顺延；乙方承担因此对甲方造成的损失。</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9.2  由于甲方原因导致延期开工或中途停工，工期顺延。甲方不按合同的约定支付款项，每拖期一天，按应付款额的 0.2‰支付违约金，以合同金额的5%为限。</w:t>
      </w:r>
      <w:r/>
    </w:p>
    <w:p>
      <w:pPr>
        <w:ind w:firstLine="480"/>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9.3 工期延误处罚：乙方因自身原因未能在承诺工期内完成招标范围内的全部工程内容，则按延误合同工期的天数承担（分部分项工程费+单价措施项目费-工程设备费）的0.2‰/天的逾期竣工违约金，以合同金额的5%为限。</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9.4 如果乙方因自身原因未能达到承诺质量目标，乙方除返工合格外，还需承担（分部分项工程费+单价措施项目费-工程设备费）的2%违约金，由于乙方原因引起的验收不合格而引起的工期延误及其他返工等相应经济损失由乙方承担。</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9.5甲方未办理任何手续，擅自同意拆改原有建筑物结构或设备管线，由此发生的损失或事故（包括罚款），由甲方负责并承担损失。</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9.6 未经甲方同意，乙方擅自拆改原建筑物结构或设备管线，由此发生的损失或事故（包括罚款），由乙方负责并承担损失。</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9.7 未办理验收手续，甲方提前使用或擅自动用，造成损失由甲方负责。</w:t>
      </w:r>
      <w:r/>
    </w:p>
    <w:p>
      <w:pPr>
        <w:pStyle w:val="799"/>
        <w:ind w:firstLine="480"/>
        <w:keepLines w:val="0"/>
        <w:keepNext w:val="0"/>
        <w:pageBreakBefore w:val="0"/>
        <w:spacing w:before="0"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9.8 因一方原因致使本合同无法继续履行时，其应通知对方，办理合同终止协议，并由责任方赔偿对方由此造成的经济损失。</w:t>
      </w:r>
      <w:r/>
    </w:p>
    <w:p>
      <w:pPr>
        <w:pStyle w:val="79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第10条  争议的解决方式</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因履行本合同发生争议协商解决不成的，向甲方所在地人民法院提起诉讼。</w:t>
      </w:r>
      <w:r/>
    </w:p>
    <w:p>
      <w:pPr>
        <w:ind w:firstLine="482"/>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第11条  其它约定:</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11.1工程施工过程中所有需要在合同价外另行增加费用的内容均须事先征得甲方的书面同意，事先办理书面确认手续或执行甲方的书面指令。否则一概不予结算，即使存有事实，也是作为乙方对甲方的让利。</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11.2工程施工监督、竣工验收工作由甲方负责组织实施，甲方对工程施工的监督不减轻或免除乙方应承担的工程质量、工期、安全等责任。</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11.3乙方必须注意确保安全生产、文明施工；如发生违法乱纪及人身伤亡等事故，一切责任均由乙方负责。</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11.4补充图纸和指示：甲方有权向乙方发出任何图纸变更或指令，乙方应无条件遵照执行。</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11.5乙方应实事求是地递交工程结算资料，如工程结算经审计审核后累计核减率大于6%时，6%以外的核减由乙方承担审计服务酬金，在工程结算款中扣除。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11.6乙方在施工全过程中，必须有针对性措施做好成品保护、垃圾清运。该类费用已包括在相关工程量清单费用内，结算时不另计费用。</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11.7工程施工不得影响项目所在地的正常秩序，包括施工作业带来的噪音、烟雾、振动、扬尘等，该类费用已包括在相关工程量清单费用内，结算时不另计费用。</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11.8方案预先申报，同时有应急预案。</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11.9乙方必须安全、文明施工，乙方承担安全事故的一切责任。</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11.10施工过程中必须满足“政府令〔2021〕14号常州市扬尘污染防治管理办法”相关规定，相关费用在投标报价中考虑，结算时按投标费率不调整。</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11.11因疫情防控等影响造成的相关措施费用的投入，相关费用在投标报价中考虑，结算时按投标费率不调整。</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11.12如因施工过程中对本工程范围外设施造成损坏，必须原样恢复并承担相应的恢复费用。乙方必须将相应费用包含在投标报价中，结算时不另计算也不作任何调整。</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11.13乙方充分考虑本项目的实施地点，施工过程中的作业时间，对周边居民作息影响，土方材料外运难度，地下管网复杂等问题，规避就医人员的车辆通行高峰，医疗秩序高峰。该部分所涉及发生的费用在合同报价中综合考虑，结算时不另行计算。</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11.14其他未尽事宜详见采购文件。</w:t>
      </w:r>
      <w:r/>
    </w:p>
    <w:p>
      <w:pPr>
        <w:ind w:firstLine="482"/>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第12条  附则</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12.1  质保期：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年，自经甲方验收合格之日起算。保修方法参照国家及地方相关规定执行。质保期内，因工程质量问题造成的人身、财产损失的费用和责任由乙方承担。</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12.2  本合同一式柒份，甲方执肆份，乙方执贰份，见证方壹份。</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12.3  本合同履行完成后自动终止。</w:t>
      </w:r>
      <w:r/>
    </w:p>
    <w:p>
      <w:pPr>
        <w:pStyle w:val="79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第13条 诚实信用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乙方应诚实信用，严格按照文件要求和投标承诺履行合同，不向甲方进行商业贿赂或者提供不正当利益。</w:t>
      </w:r>
      <w:r/>
    </w:p>
    <w:p>
      <w:pPr>
        <w:pStyle w:val="799"/>
        <w:ind w:firstLine="482"/>
        <w:keepLines w:val="0"/>
        <w:keepNext w:val="0"/>
        <w:pageBreakBefore w:val="0"/>
        <w:spacing w:before="0" w:line="360" w:lineRule="auto"/>
        <w:widowControl w:val="off"/>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第14条 合同生效及其他</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本合同自经甲乙双方法定代表人或授权代表签字并加盖公章后，自签订之日起生效。</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                               乙方：</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单位名称（章）：                      单位名称（章）：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单位地址：                           单位地址：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                         法定代表人：</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授权代表人：                         授权代表人：</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电话：                               电话：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开户银行：                           开户银行：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帐号：                               帐号：</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             日期：    年    月    日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见证方：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代理机构（章）： </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经办人：                     电话：</w:t>
      </w:r>
      <w:r/>
    </w:p>
    <w:p>
      <w:pPr>
        <w:ind w:firstLine="480"/>
        <w:jc w:val="left"/>
        <w:keepLines w:val="0"/>
        <w:keepNext w:val="0"/>
        <w:pageBreakBefore w:val="0"/>
        <w:spacing w:line="360" w:lineRule="auto"/>
        <w:widowControl w:val="off"/>
        <w:tabs>
          <w:tab w:val="left" w:pos="993"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                        </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eastAsia="zh-CN"/>
        </w:rPr>
      </w:r>
      <w:r/>
    </w:p>
    <w:p>
      <w:pPr>
        <w:pStyle w:val="797"/>
        <w:rPr>
          <w:rFonts w:hint="eastAsia"/>
          <w:color w:val="auto"/>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highlight w:val="none"/>
          <w:lang w:eastAsia="zh-CN"/>
        </w:rPr>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bookmarkStart w:id="636" w:name="_Toc1831685531"/>
      <w:r/>
      <w:bookmarkStart w:id="637" w:name="_Toc732104650"/>
      <w:r/>
      <w:bookmarkStart w:id="638" w:name="_Toc298211660"/>
      <w:r>
        <w:rPr>
          <w:rFonts w:hint="eastAsia" w:ascii="宋体" w:hAnsi="宋体" w:eastAsia="宋体" w:cs="宋体"/>
          <w:color w:val="auto"/>
          <w:sz w:val="24"/>
          <w:szCs w:val="24"/>
          <w:highlight w:val="none"/>
        </w:rPr>
        <w:t xml:space="preserve">附件</w:t>
      </w:r>
      <w:bookmarkEnd w:id="636"/>
      <w:r/>
      <w:bookmarkEnd w:id="637"/>
      <w:r/>
      <w:bookmarkEnd w:id="638"/>
      <w:r>
        <w:rPr>
          <w:rFonts w:hint="eastAsia" w:ascii="宋体" w:hAnsi="宋体" w:eastAsia="宋体" w:cs="宋体"/>
          <w:color w:val="auto"/>
          <w:sz w:val="24"/>
          <w:szCs w:val="24"/>
          <w:highlight w:val="none"/>
          <w:lang w:val="en-US" w:eastAsia="zh-CN"/>
        </w:rPr>
        <w:t xml:space="preserve">1</w:t>
      </w:r>
      <w:r/>
    </w:p>
    <w:p>
      <w:pPr>
        <w:jc w:val="center"/>
        <w:spacing w:line="240" w:lineRule="atLeast"/>
        <w:rPr>
          <w:rFonts w:hint="eastAsia" w:ascii="宋体" w:hAnsi="宋体" w:cs="宋体"/>
          <w:b/>
          <w:color w:val="auto"/>
          <w:sz w:val="28"/>
          <w:szCs w:val="28"/>
          <w:highlight w:val="none"/>
          <w:shd w:val="clear" w:color="auto" w:fill="auto"/>
        </w:rPr>
      </w:pPr>
      <w:r>
        <w:rPr>
          <w:rFonts w:hint="eastAsia" w:ascii="宋体" w:hAnsi="宋体" w:cs="宋体"/>
          <w:b/>
          <w:color w:val="auto"/>
          <w:sz w:val="28"/>
          <w:szCs w:val="28"/>
          <w:highlight w:val="none"/>
          <w:shd w:val="clear" w:color="auto" w:fill="auto"/>
        </w:rPr>
        <w:t xml:space="preserve">工程质量保修书</w:t>
      </w:r>
      <w:r/>
    </w:p>
    <w:p>
      <w:pPr>
        <w:ind w:firstLine="420"/>
        <w:pageBreakBefore w:val="0"/>
        <w:spacing w:line="360" w:lineRule="auto"/>
        <w:widowControl w:val="off"/>
        <w:rPr>
          <w:rFonts w:hint="eastAsia" w:ascii="宋体" w:hAnsi="宋体" w:eastAsia="宋体" w:cs="宋体"/>
          <w:color w:val="auto"/>
          <w:sz w:val="24"/>
          <w:szCs w:val="24"/>
          <w:highlight w:val="none"/>
          <w:u w:val="single"/>
          <w:shd w:val="clear" w:color="auto" w:fill="auto"/>
          <w:lang w:val="en-US" w:eastAsia="zh-CN"/>
        </w:rPr>
      </w:pPr>
      <w:r>
        <w:rPr>
          <w:rFonts w:hint="eastAsia" w:ascii="宋体" w:hAnsi="宋体" w:eastAsia="宋体" w:cs="宋体"/>
          <w:color w:val="auto"/>
          <w:sz w:val="24"/>
          <w:szCs w:val="24"/>
          <w:highlight w:val="none"/>
          <w:shd w:val="clear" w:color="auto" w:fill="auto"/>
        </w:rPr>
        <w:t xml:space="preserve">发包人(全称)：</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single"/>
          <w:shd w:val="clear" w:color="auto" w:fill="auto"/>
          <w:lang w:val="en-US" w:eastAsia="zh-CN"/>
        </w:rPr>
        <w:t xml:space="preserve">常州市天宁区青龙街道办事处</w:t>
      </w:r>
      <w:r>
        <w:rPr>
          <w:rFonts w:hint="eastAsia" w:ascii="宋体" w:hAnsi="宋体" w:eastAsia="宋体" w:cs="宋体"/>
          <w:color w:val="auto"/>
          <w:sz w:val="24"/>
          <w:szCs w:val="24"/>
          <w:highlight w:val="none"/>
          <w:u w:val="single"/>
          <w:shd w:val="clear" w:color="auto" w:fill="auto"/>
          <w:lang w:val="en-US" w:eastAsia="zh-CN"/>
        </w:rPr>
        <w:t xml:space="preserve"> </w:t>
      </w:r>
      <w:r/>
    </w:p>
    <w:p>
      <w:pPr>
        <w:ind w:firstLine="480"/>
        <w:jc w:val="left"/>
        <w:pageBreakBefore w:val="0"/>
        <w:spacing w:line="360" w:lineRule="auto"/>
        <w:widowControl w:val="off"/>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承包人(全称)：</w:t>
      </w:r>
      <w:r>
        <w:rPr>
          <w:rFonts w:hint="eastAsia" w:ascii="宋体" w:hAnsi="宋体" w:eastAsia="宋体" w:cs="宋体"/>
          <w:b/>
          <w:bCs/>
          <w:color w:val="auto"/>
          <w:spacing w:val="5"/>
          <w:sz w:val="24"/>
          <w:szCs w:val="24"/>
          <w:highlight w:val="none"/>
          <w:u w:val="single"/>
          <w:shd w:val="clear" w:color="auto" w:fill="auto"/>
        </w:rPr>
        <w:t xml:space="preserve">             </w:t>
      </w:r>
      <w:r>
        <w:rPr>
          <w:rFonts w:hint="eastAsia" w:ascii="宋体" w:hAnsi="宋体" w:eastAsia="宋体" w:cs="宋体"/>
          <w:b/>
          <w:bCs/>
          <w:color w:val="auto"/>
          <w:spacing w:val="5"/>
          <w:sz w:val="24"/>
          <w:szCs w:val="24"/>
          <w:highlight w:val="none"/>
          <w:u w:val="single"/>
          <w:shd w:val="clear" w:color="auto" w:fill="auto"/>
          <w:lang w:val="en-US" w:eastAsia="zh-CN"/>
        </w:rPr>
        <w:t xml:space="preserve">    </w:t>
      </w:r>
      <w:r>
        <w:rPr>
          <w:rFonts w:hint="eastAsia" w:ascii="宋体" w:hAnsi="宋体" w:eastAsia="宋体" w:cs="宋体"/>
          <w:b/>
          <w:bCs/>
          <w:color w:val="auto"/>
          <w:spacing w:val="5"/>
          <w:sz w:val="24"/>
          <w:szCs w:val="24"/>
          <w:highlight w:val="none"/>
          <w:u w:val="single"/>
          <w:shd w:val="clear" w:color="auto" w:fill="auto"/>
        </w:rPr>
        <w:t xml:space="preserve">        </w:t>
      </w:r>
      <w:r/>
    </w:p>
    <w:p>
      <w:pPr>
        <w:ind w:firstLine="480"/>
        <w:jc w:val="left"/>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发包人和承包人根据《中华人民共和国建筑法》和《建设工程质量管理条例》，经协商一致就</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cs="宋体"/>
          <w:color w:val="auto"/>
          <w:sz w:val="24"/>
          <w:szCs w:val="24"/>
          <w:highlight w:val="none"/>
          <w:u w:val="single"/>
          <w:shd w:val="clear" w:color="auto" w:fill="auto"/>
          <w:lang w:val="en-US" w:eastAsia="zh-CN"/>
        </w:rPr>
        <w:t xml:space="preserve">永武河（青龙西路-薛家浜桥）河道整治工程</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签订工程质量保修书。</w:t>
      </w:r>
      <w:r/>
    </w:p>
    <w:p>
      <w:pPr>
        <w:jc w:val="left"/>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一、工程质量保修范围和内容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承包人在质量保修期内，按照有关法律规定和合同约定，承担工程质量保修责任。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4"/>
          <w:szCs w:val="24"/>
          <w:highlight w:val="none"/>
          <w:u w:val="single"/>
          <w:shd w:val="clear" w:color="auto" w:fill="auto"/>
        </w:rPr>
        <w:t xml:space="preserve">按合同承包范围内容。</w:t>
      </w:r>
      <w:r/>
    </w:p>
    <w:p>
      <w:pPr>
        <w:jc w:val="left"/>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二、质量保修期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根据《建设工程质量管理条例》及有关规定，工程的质量保修期如下：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1.地基基础工程和主体结构工程为设计文件规定的该工程合理使用年限；</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2.屋面防水工程、有防水要求的卫生间、房间和外墙面的防渗漏为</w:t>
      </w:r>
      <w:r>
        <w:rPr>
          <w:rFonts w:hint="eastAsia" w:ascii="宋体" w:hAnsi="宋体" w:eastAsia="宋体" w:cs="宋体"/>
          <w:color w:val="auto"/>
          <w:sz w:val="24"/>
          <w:szCs w:val="24"/>
          <w:highlight w:val="none"/>
          <w:u w:val="single"/>
          <w:shd w:val="clear" w:color="auto" w:fill="auto"/>
        </w:rPr>
        <w:t xml:space="preserve">  伍  </w:t>
      </w:r>
      <w:r>
        <w:rPr>
          <w:rFonts w:hint="eastAsia" w:ascii="宋体" w:hAnsi="宋体" w:eastAsia="宋体" w:cs="宋体"/>
          <w:color w:val="auto"/>
          <w:sz w:val="24"/>
          <w:szCs w:val="24"/>
          <w:highlight w:val="none"/>
          <w:shd w:val="clear" w:color="auto" w:fill="auto"/>
        </w:rPr>
        <w:t xml:space="preserve">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3.装修工程为</w:t>
      </w:r>
      <w:r>
        <w:rPr>
          <w:rFonts w:hint="eastAsia" w:ascii="宋体" w:hAnsi="宋体" w:eastAsia="宋体" w:cs="宋体"/>
          <w:color w:val="auto"/>
          <w:sz w:val="24"/>
          <w:szCs w:val="24"/>
          <w:highlight w:val="none"/>
          <w:u w:val="single"/>
          <w:shd w:val="clear" w:color="auto" w:fill="auto"/>
        </w:rPr>
        <w:t xml:space="preserve">   /   </w:t>
      </w:r>
      <w:r>
        <w:rPr>
          <w:rFonts w:hint="eastAsia" w:ascii="宋体" w:hAnsi="宋体" w:eastAsia="宋体" w:cs="宋体"/>
          <w:color w:val="auto"/>
          <w:sz w:val="24"/>
          <w:szCs w:val="24"/>
          <w:highlight w:val="none"/>
          <w:shd w:val="clear" w:color="auto" w:fill="auto"/>
        </w:rPr>
        <w:t xml:space="preserve">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4.电气管线、给排水管道、设备安装工程为</w:t>
      </w:r>
      <w:r>
        <w:rPr>
          <w:rFonts w:hint="eastAsia" w:ascii="宋体" w:hAnsi="宋体" w:eastAsia="宋体" w:cs="宋体"/>
          <w:color w:val="auto"/>
          <w:sz w:val="24"/>
          <w:szCs w:val="24"/>
          <w:highlight w:val="none"/>
          <w:u w:val="single"/>
          <w:shd w:val="clear" w:color="auto" w:fill="auto"/>
        </w:rPr>
        <w:t xml:space="preserve">   贰   </w:t>
      </w:r>
      <w:r>
        <w:rPr>
          <w:rFonts w:hint="eastAsia" w:ascii="宋体" w:hAnsi="宋体" w:eastAsia="宋体" w:cs="宋体"/>
          <w:color w:val="auto"/>
          <w:sz w:val="24"/>
          <w:szCs w:val="24"/>
          <w:highlight w:val="none"/>
          <w:shd w:val="clear" w:color="auto" w:fill="auto"/>
        </w:rPr>
        <w:t xml:space="preserve">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5.供热与供冷系统为</w:t>
      </w:r>
      <w:r>
        <w:rPr>
          <w:rFonts w:hint="eastAsia" w:ascii="宋体" w:hAnsi="宋体" w:eastAsia="宋体" w:cs="宋体"/>
          <w:color w:val="auto"/>
          <w:sz w:val="24"/>
          <w:szCs w:val="24"/>
          <w:highlight w:val="none"/>
          <w:u w:val="single"/>
          <w:shd w:val="clear" w:color="auto" w:fill="auto"/>
        </w:rPr>
        <w:t xml:space="preserve">   贰  </w:t>
      </w:r>
      <w:r>
        <w:rPr>
          <w:rFonts w:hint="eastAsia" w:ascii="宋体" w:hAnsi="宋体" w:eastAsia="宋体" w:cs="宋体"/>
          <w:color w:val="auto"/>
          <w:sz w:val="24"/>
          <w:szCs w:val="24"/>
          <w:highlight w:val="none"/>
          <w:shd w:val="clear" w:color="auto" w:fill="auto"/>
        </w:rPr>
        <w:t xml:space="preserve">个采暖期、供冷期；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6.住宅小区内的给排水设施、道路等配套工程为</w:t>
      </w:r>
      <w:r>
        <w:rPr>
          <w:rFonts w:hint="eastAsia" w:ascii="宋体" w:hAnsi="宋体" w:eastAsia="宋体" w:cs="宋体"/>
          <w:color w:val="auto"/>
          <w:sz w:val="24"/>
          <w:szCs w:val="24"/>
          <w:highlight w:val="none"/>
          <w:u w:val="single"/>
          <w:shd w:val="clear" w:color="auto" w:fill="auto"/>
        </w:rPr>
        <w:t xml:space="preserve">   /   </w:t>
      </w:r>
      <w:r>
        <w:rPr>
          <w:rFonts w:hint="eastAsia" w:ascii="宋体" w:hAnsi="宋体" w:eastAsia="宋体" w:cs="宋体"/>
          <w:color w:val="auto"/>
          <w:sz w:val="24"/>
          <w:szCs w:val="24"/>
          <w:highlight w:val="none"/>
          <w:shd w:val="clear" w:color="auto" w:fill="auto"/>
        </w:rPr>
        <w:t xml:space="preserve">年；</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u w:val="single"/>
          <w:shd w:val="clear" w:color="auto" w:fill="auto"/>
          <w:lang w:val="en-US" w:eastAsia="zh-CN"/>
        </w:rPr>
      </w:pPr>
      <w:r>
        <w:rPr>
          <w:rFonts w:hint="eastAsia" w:ascii="宋体" w:hAnsi="宋体" w:eastAsia="宋体" w:cs="宋体"/>
          <w:color w:val="auto"/>
          <w:sz w:val="24"/>
          <w:szCs w:val="24"/>
          <w:highlight w:val="none"/>
          <w:shd w:val="clear" w:color="auto" w:fill="auto"/>
        </w:rPr>
        <w:t xml:space="preserve">7.其他项目保修期限约定如下：</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u w:val="single"/>
          <w:shd w:val="clear" w:color="auto" w:fill="auto"/>
        </w:rPr>
        <w:t xml:space="preserve">/</w:t>
      </w:r>
      <w:r>
        <w:rPr>
          <w:rFonts w:hint="eastAsia" w:ascii="宋体" w:hAnsi="宋体" w:eastAsia="宋体" w:cs="宋体"/>
          <w:color w:val="auto"/>
          <w:sz w:val="24"/>
          <w:szCs w:val="24"/>
          <w:highlight w:val="none"/>
          <w:u w:val="single"/>
          <w:shd w:val="clear" w:color="auto" w:fill="auto"/>
          <w:lang w:val="en-US" w:eastAsia="zh-CN"/>
        </w:rPr>
        <w:t xml:space="preserve">  </w:t>
      </w:r>
      <w:r/>
    </w:p>
    <w:p>
      <w:pPr>
        <w:jc w:val="left"/>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三、缺陷责任期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工程缺陷责任期为</w:t>
      </w:r>
      <w:r>
        <w:rPr>
          <w:rFonts w:hint="eastAsia" w:ascii="宋体" w:hAnsi="宋体" w:eastAsia="宋体" w:cs="宋体"/>
          <w:color w:val="auto"/>
          <w:sz w:val="24"/>
          <w:szCs w:val="24"/>
          <w:highlight w:val="none"/>
          <w:u w:val="single"/>
          <w:shd w:val="clear" w:color="auto" w:fill="auto"/>
          <w:lang w:val="en-US" w:eastAsia="zh-CN"/>
        </w:rPr>
        <w:t xml:space="preserve"> 24</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个月，缺陷责任期自工程竣工验收合格之日起计算。单位工程先于全部工程进行验收，单位工程缺陷责任期自单位工程验收合格之日起算。</w:t>
      </w:r>
      <w:r/>
    </w:p>
    <w:p>
      <w:pPr>
        <w:jc w:val="left"/>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四、质量保修责任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属于保修范围、内容的项目，承包人应当在接到保修通知之日起7天内派人保修。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承包人不在约定期限内派人保修的，发包人可以委托他人修理。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发生紧急事故需抢修的，承包人在接到事故通知后，应当立即到达事故现场抢修。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质量保修完成后，由发包人组织验收。</w:t>
      </w:r>
      <w:r/>
    </w:p>
    <w:p>
      <w:pPr>
        <w:jc w:val="left"/>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五、保修费用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保修费用由造成质量缺陷的责任方承担。</w:t>
      </w:r>
      <w:r/>
    </w:p>
    <w:p>
      <w:pPr>
        <w:jc w:val="left"/>
        <w:pageBreakBefore w:val="0"/>
        <w:spacing w:line="360" w:lineRule="auto"/>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六、双方约定的其他工程质量保修事项：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shd w:val="clear" w:color="auto" w:fill="auto"/>
        </w:rPr>
      </w:pPr>
      <w:r>
        <w:rPr>
          <w:rFonts w:hint="eastAsia" w:ascii="宋体" w:hAnsi="宋体" w:eastAsia="宋体" w:cs="宋体"/>
          <w:color w:val="auto"/>
          <w:sz w:val="24"/>
          <w:szCs w:val="24"/>
          <w:highlight w:val="none"/>
          <w:u w:val="single"/>
          <w:shd w:val="clear" w:color="auto" w:fill="auto"/>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工程质量保修书由发包人、承包人在工程竣工验收前共同签署，作为施工合同附件，其有效期限至保修期满。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发包人(公章)： 　                            承包人(公章)：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地　　址：                                 　地　　址：</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法定代表人(签字)：                           法定代表人(签字)：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委托代理人(签字)：                           委托代理人(签字)：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电　　话：                                 　电　　话：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传　　真： 　                                传　　真：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开户银行： 　                                开户银行：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账　　号： 　                                账　　号：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邮政编码： 　                                邮政编码：　</w:t>
      </w:r>
      <w:r/>
    </w:p>
    <w:p>
      <w:pPr>
        <w:ind w:firstLine="0"/>
        <w:jc w:val="left"/>
        <w:spacing w:line="360" w:lineRule="auto"/>
        <w:widowControl w:val="off"/>
        <w:tabs>
          <w:tab w:val="left" w:pos="993" w:leader="none"/>
        </w:tabs>
        <w:rPr>
          <w:rFonts w:hint="eastAsia" w:ascii="Calibri" w:hAnsi="宋体" w:eastAsia="宋体" w:cs="Times New Roman"/>
          <w:color w:val="auto"/>
          <w:sz w:val="21"/>
          <w:szCs w:val="22"/>
          <w:highlight w:val="none"/>
          <w:lang w:val="en-US" w:eastAsia="zh-CN" w:bidi="ar-SA"/>
        </w:rPr>
      </w:pPr>
      <w:r>
        <w:rPr>
          <w:rFonts w:hint="eastAsia" w:ascii="Calibri" w:hAnsi="宋体" w:eastAsia="宋体" w:cs="Times New Roman"/>
          <w:color w:val="auto"/>
          <w:sz w:val="21"/>
          <w:szCs w:val="22"/>
          <w:highlight w:val="none"/>
          <w:lang w:val="en-US" w:eastAsia="zh-CN" w:bidi="ar-SA"/>
        </w:rPr>
      </w:r>
      <w:r/>
    </w:p>
    <w:p>
      <w:pPr>
        <w:pStyle w:val="797"/>
        <w:rPr>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rPr>
      </w:r>
      <w:r/>
    </w:p>
    <w:p>
      <w:pPr>
        <w:jc w:val="center"/>
        <w:widowControl/>
        <w:rPr>
          <w:b/>
          <w:color w:val="auto"/>
          <w:sz w:val="36"/>
          <w:szCs w:val="36"/>
          <w:highlight w:val="none"/>
        </w:rPr>
        <w:outlineLvl w:val="0"/>
      </w:pPr>
      <w:r/>
      <w:bookmarkStart w:id="639" w:name="_Toc11016"/>
      <w:r>
        <w:rPr>
          <w:b/>
          <w:color w:val="auto"/>
          <w:sz w:val="36"/>
          <w:szCs w:val="36"/>
          <w:highlight w:val="none"/>
        </w:rPr>
        <w:t xml:space="preserve">第六章   响应文件格式</w:t>
      </w:r>
      <w:bookmarkEnd w:id="639"/>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firstLine="480"/>
        <w:keepLines w:val="0"/>
        <w:keepNext w:val="0"/>
        <w:pageBreakBefore w:val="0"/>
        <w:spacing w:line="360" w:lineRule="auto"/>
        <w:widowControl w:val="off"/>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firstLine="480"/>
        <w:keepLines w:val="0"/>
        <w:keepNext w:val="0"/>
        <w:pageBreakBefore w:val="0"/>
        <w:spacing w:line="360" w:lineRule="auto"/>
        <w:widowControl w:val="off"/>
        <w:tabs>
          <w:tab w:val="left" w:pos="900" w:leader="none"/>
          <w:tab w:val="left" w:pos="1980" w:leader="none"/>
        </w:tabs>
        <w:rPr>
          <w:color w:val="auto"/>
          <w:sz w:val="24"/>
          <w:highlight w:val="none"/>
        </w:rPr>
      </w:pPr>
      <w:r>
        <w:rPr>
          <w:color w:val="auto"/>
          <w:sz w:val="24"/>
          <w:highlight w:val="none"/>
        </w:rPr>
        <w:t xml:space="preserve">2、</w:t>
      </w:r>
      <w:r>
        <w:rPr>
          <w:color w:val="auto"/>
          <w:sz w:val="24"/>
          <w:highlight w:val="none"/>
        </w:rPr>
        <w:t xml:space="preserve">对于竞争性磋商文件中标记了“实质性格式”文件的，供应商</w:t>
      </w:r>
      <w:r>
        <w:rPr>
          <w:color w:val="auto"/>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firstLine="480"/>
        <w:keepLines w:val="0"/>
        <w:keepNext w:val="0"/>
        <w:pageBreakBefore w:val="0"/>
        <w:spacing w:line="360" w:lineRule="auto"/>
        <w:widowControl w:val="off"/>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firstLine="480"/>
        <w:keepLines w:val="0"/>
        <w:keepNext w:val="0"/>
        <w:pageBreakBefore w:val="0"/>
        <w:spacing w:line="360" w:lineRule="auto"/>
        <w:widowControl w:val="off"/>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spacing w:line="480" w:lineRule="auto"/>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spacing w:line="480" w:lineRule="auto"/>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spacing w:line="480" w:lineRule="auto"/>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r/>
    </w:p>
    <w:p>
      <w:pPr>
        <w:spacing w:line="480" w:lineRule="auto"/>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b/>
          <w:color w:val="auto"/>
          <w:highlight w:val="none"/>
        </w:rPr>
      </w:pPr>
      <w:r>
        <w:rPr>
          <w:b/>
          <w:color w:val="auto"/>
          <w:spacing w:val="20"/>
          <w:sz w:val="32"/>
          <w:szCs w:val="32"/>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790"/>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供应商资格声明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供应商资格声明函</w:t>
      </w:r>
      <w:r/>
    </w:p>
    <w:p>
      <w:pPr>
        <w:pStyle w:val="796"/>
        <w:ind w:firstLine="480"/>
        <w:spacing w:line="460" w:lineRule="exact"/>
        <w:rPr>
          <w:color w:val="auto"/>
          <w:highlight w:val="none"/>
        </w:rPr>
      </w:pPr>
      <w:r>
        <w:rPr>
          <w:rFonts w:hint="eastAsia"/>
          <w:color w:val="auto"/>
          <w:highlight w:val="none"/>
        </w:rPr>
        <w:t xml:space="preserve">致：江苏尚阳工程管理有限公司</w:t>
      </w:r>
      <w:r/>
    </w:p>
    <w:p>
      <w:pPr>
        <w:pStyle w:val="796"/>
        <w:ind w:firstLine="960"/>
        <w:spacing w:line="460" w:lineRule="exact"/>
        <w:rPr>
          <w:color w:val="auto"/>
          <w:highlight w:val="none"/>
          <w:u w:val="single"/>
        </w:rPr>
      </w:pPr>
      <w:r>
        <w:rPr>
          <w:rFonts w:hint="eastAsia"/>
          <w:color w:val="auto"/>
          <w:highlight w:val="none"/>
          <w:u w:val="single"/>
        </w:rPr>
        <w:t xml:space="preserve">（采购人名称）</w:t>
      </w:r>
      <w:r/>
    </w:p>
    <w:p>
      <w:pPr>
        <w:pStyle w:val="796"/>
        <w:ind w:firstLine="480"/>
        <w:spacing w:line="460" w:lineRule="exact"/>
        <w:rPr>
          <w:rFonts w:hint="eastAsia"/>
          <w:color w:val="auto"/>
          <w:highlight w:val="none"/>
        </w:rPr>
      </w:pPr>
      <w:r>
        <w:rPr>
          <w:rFonts w:hint="eastAsia"/>
          <w:color w:val="auto"/>
          <w:highlight w:val="none"/>
        </w:rPr>
      </w:r>
      <w:r/>
    </w:p>
    <w:p>
      <w:pPr>
        <w:pStyle w:val="796"/>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796"/>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p>
    <w:p>
      <w:pPr>
        <w:pStyle w:val="796"/>
        <w:ind w:firstLine="480"/>
        <w:spacing w:line="460" w:lineRule="exact"/>
        <w:rPr>
          <w:color w:val="auto"/>
          <w:highlight w:val="none"/>
        </w:rPr>
      </w:pPr>
      <w:r>
        <w:rPr>
          <w:rFonts w:hint="eastAsia"/>
          <w:color w:val="auto"/>
          <w:highlight w:val="none"/>
        </w:rPr>
        <w:t xml:space="preserve">二、我单位未被“国家企业信用信息系统”列入经营异常名录或者严重违法企业名单。</w:t>
      </w:r>
      <w:r/>
    </w:p>
    <w:p>
      <w:pPr>
        <w:pStyle w:val="796"/>
        <w:ind w:firstLine="480"/>
        <w:spacing w:line="460" w:lineRule="exact"/>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p>
    <w:p>
      <w:pPr>
        <w:pStyle w:val="796"/>
        <w:ind w:firstLine="480"/>
        <w:spacing w:line="460" w:lineRule="exact"/>
        <w:rPr>
          <w:color w:val="auto"/>
          <w:highlight w:val="none"/>
        </w:rPr>
      </w:pPr>
      <w:r>
        <w:rPr>
          <w:rFonts w:hint="eastAsia"/>
          <w:color w:val="auto"/>
          <w:highlight w:val="none"/>
        </w:rPr>
        <w:t xml:space="preserve">四、我单位依法进行纳税和社会保险申报并实际履行了义务。</w:t>
      </w:r>
      <w:r/>
    </w:p>
    <w:p>
      <w:pPr>
        <w:pStyle w:val="796"/>
        <w:ind w:firstLine="480"/>
        <w:spacing w:line="460" w:lineRule="exact"/>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796"/>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796"/>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796"/>
        <w:ind w:firstLine="480"/>
        <w:spacing w:line="460" w:lineRule="exact"/>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96"/>
        <w:ind w:firstLine="480"/>
        <w:spacing w:line="460" w:lineRule="exact"/>
        <w:rPr>
          <w:color w:val="auto"/>
          <w:highlight w:val="none"/>
        </w:rPr>
      </w:pPr>
      <w:r>
        <w:rPr>
          <w:rFonts w:hint="eastAsia"/>
          <w:color w:val="auto"/>
          <w:highlight w:val="none"/>
        </w:rPr>
        <w:t xml:space="preserve">七、我单位具备法律、行政法规规定的其他条件。</w:t>
      </w:r>
      <w:r/>
    </w:p>
    <w:p>
      <w:pPr>
        <w:pStyle w:val="796"/>
        <w:ind w:firstLine="480"/>
        <w:spacing w:line="460" w:lineRule="exact"/>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796"/>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796"/>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796"/>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796"/>
        <w:ind w:firstLine="480"/>
        <w:spacing w:line="460" w:lineRule="exact"/>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pStyle w:val="796"/>
        <w:ind w:firstLine="480"/>
        <w:spacing w:line="460" w:lineRule="exact"/>
        <w:rPr>
          <w:color w:val="auto"/>
          <w:highlight w:val="none"/>
        </w:rPr>
      </w:pPr>
      <w:r>
        <w:rPr>
          <w:rFonts w:hint="eastAsia"/>
          <w:color w:val="auto"/>
          <w:highlight w:val="none"/>
        </w:rPr>
        <w:t xml:space="preserve">十、</w:t>
      </w:r>
      <w:r>
        <w:rPr>
          <w:color w:val="auto"/>
          <w:highlight w:val="none"/>
        </w:rPr>
        <w:t xml:space="preserve">我单位无以下不良信用记录情形：</w:t>
      </w:r>
      <w:r/>
    </w:p>
    <w:p>
      <w:pPr>
        <w:pStyle w:val="796"/>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796"/>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796"/>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796"/>
        <w:ind w:firstLine="480"/>
        <w:spacing w:line="460" w:lineRule="exact"/>
        <w:rPr>
          <w:color w:val="auto"/>
          <w:highlight w:val="none"/>
        </w:rPr>
      </w:pPr>
      <w:r>
        <w:rPr>
          <w:color w:val="auto"/>
          <w:highlight w:val="none"/>
        </w:rPr>
      </w:r>
      <w:r/>
    </w:p>
    <w:p>
      <w:pPr>
        <w:pStyle w:val="796"/>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796"/>
        <w:ind w:firstLine="480"/>
        <w:spacing w:line="460" w:lineRule="exact"/>
        <w:rPr>
          <w:color w:val="auto"/>
          <w:highlight w:val="none"/>
        </w:rPr>
      </w:pPr>
      <w:r>
        <w:rPr>
          <w:color w:val="auto"/>
          <w:highlight w:val="none"/>
        </w:rPr>
      </w:r>
      <w:r/>
    </w:p>
    <w:p>
      <w:pPr>
        <w:pStyle w:val="796"/>
        <w:ind w:firstLine="480"/>
        <w:spacing w:line="460" w:lineRule="exact"/>
        <w:rPr>
          <w:color w:val="auto"/>
          <w:highlight w:val="none"/>
        </w:rPr>
      </w:pPr>
      <w:r>
        <w:rPr>
          <w:color w:val="auto"/>
          <w:highlight w:val="none"/>
        </w:rPr>
      </w:r>
      <w:r/>
    </w:p>
    <w:p>
      <w:pPr>
        <w:pStyle w:val="796"/>
        <w:ind w:firstLine="480"/>
        <w:spacing w:line="460" w:lineRule="exact"/>
        <w:rPr>
          <w:color w:val="auto"/>
          <w:highlight w:val="none"/>
        </w:rPr>
      </w:pPr>
      <w:r>
        <w:rPr>
          <w:rFonts w:hint="eastAsia"/>
          <w:color w:val="auto"/>
          <w:highlight w:val="none"/>
        </w:rPr>
        <w:t xml:space="preserve">                                            供应商：（加盖公章）</w:t>
      </w:r>
      <w:r/>
    </w:p>
    <w:p>
      <w:pPr>
        <w:pStyle w:val="796"/>
        <w:ind w:firstLine="480"/>
        <w:spacing w:line="460" w:lineRule="exact"/>
        <w:rPr>
          <w:color w:val="auto"/>
          <w:highlight w:val="none"/>
        </w:rPr>
      </w:pPr>
      <w:r>
        <w:rPr>
          <w:rFonts w:hint="eastAsia"/>
          <w:color w:val="auto"/>
          <w:highlight w:val="none"/>
        </w:rPr>
        <w:t xml:space="preserve">                                           法定代表人（或单位负责人）签字或盖章：</w:t>
      </w:r>
      <w:r/>
    </w:p>
    <w:p>
      <w:pPr>
        <w:pStyle w:val="796"/>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p>
    <w:p>
      <w:pPr>
        <w:spacing w:line="360" w:lineRule="auto"/>
        <w:rPr>
          <w:color w:val="auto"/>
          <w:sz w:val="24"/>
          <w:szCs w:val="20"/>
          <w:highlight w:val="none"/>
        </w:rPr>
        <w:outlineLvl w:val="2"/>
      </w:pPr>
      <w:r>
        <w:rPr>
          <w:color w:val="auto"/>
          <w:sz w:val="24"/>
          <w:szCs w:val="20"/>
          <w:highlight w:val="none"/>
        </w:rPr>
        <w:t xml:space="preserve">2-1 中小企业声明函</w:t>
      </w:r>
      <w:r/>
    </w:p>
    <w:p>
      <w:pPr>
        <w:spacing w:line="360" w:lineRule="auto"/>
        <w:tabs>
          <w:tab w:val="left" w:pos="5580" w:leader="none"/>
        </w:tabs>
        <w:rPr>
          <w:color w:val="auto"/>
          <w:sz w:val="24"/>
          <w:highlight w:val="none"/>
        </w:rPr>
      </w:pPr>
      <w:r>
        <w:rPr>
          <w:rFonts w:hint="eastAsia"/>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（1）本项目专门面向中小企业采购，须提供《中小企业声明函》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（2）其它</w:t>
      </w:r>
      <w:r>
        <w:rPr>
          <w:rFonts w:hint="eastAsia"/>
          <w:color w:val="auto"/>
          <w:sz w:val="24"/>
          <w:highlight w:val="none"/>
        </w:rPr>
        <w:t xml:space="preserve">：</w:t>
      </w:r>
      <w:r>
        <w:rPr>
          <w:color w:val="auto"/>
          <w:sz w:val="24"/>
          <w:highlight w:val="none"/>
        </w:rPr>
        <w:t xml:space="preserve">中小企业参加政府采购活动，应当出具此格式文件。《中小企业声明函》由参加政府采购活动的供应商出具。</w:t>
      </w:r>
      <w:r/>
    </w:p>
    <w:p>
      <w:pPr>
        <w:spacing w:line="360" w:lineRule="auto"/>
        <w:tabs>
          <w:tab w:val="left" w:pos="5580" w:leader="none"/>
        </w:tabs>
        <w:rPr>
          <w:color w:val="auto"/>
          <w:sz w:val="24"/>
          <w:highlight w:val="none"/>
        </w:rPr>
      </w:pPr>
      <w:r>
        <w:rPr>
          <w:color w:val="auto"/>
          <w:sz w:val="24"/>
          <w:highlight w:val="none"/>
        </w:rPr>
        <w:t xml:space="preserve">（3）</w:t>
      </w:r>
      <w:r>
        <w:rPr>
          <w:rFonts w:hint="eastAsia"/>
          <w:color w:val="auto"/>
          <w:sz w:val="24"/>
          <w:highlight w:val="none"/>
        </w:rPr>
        <w:t xml:space="preserve">中小企业认定标准以《关于印发中小企业划型标准规定的通知》（工信部联企业{2011}300号）文件规定为准。</w:t>
      </w:r>
      <w:r/>
    </w:p>
    <w:p>
      <w:pPr>
        <w:spacing w:line="360" w:lineRule="auto"/>
        <w:tabs>
          <w:tab w:val="left" w:pos="5580" w:leader="none"/>
        </w:tabs>
        <w:rPr>
          <w:color w:val="auto"/>
          <w:sz w:val="24"/>
          <w:highlight w:val="none"/>
        </w:rPr>
      </w:pPr>
      <w:r>
        <w:rPr>
          <w:color w:val="auto"/>
          <w:sz w:val="24"/>
          <w:highlight w:val="none"/>
        </w:rPr>
        <w:t xml:space="preserve">（</w:t>
      </w:r>
      <w:r>
        <w:rPr>
          <w:rFonts w:hint="eastAsia"/>
          <w:color w:val="auto"/>
          <w:sz w:val="24"/>
          <w:highlight w:val="none"/>
        </w:rPr>
        <w:t xml:space="preserve">4</w:t>
      </w:r>
      <w:r>
        <w:rPr>
          <w:color w:val="auto"/>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color w:val="auto"/>
          <w:sz w:val="24"/>
          <w:highlight w:val="none"/>
        </w:rPr>
        <w:t xml:space="preserve">（工信部网址：https://baosong.miit.gov.cn/ScaleTest）</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jc w:val="center"/>
        <w:spacing w:before="240" w:after="240" w:line="360" w:lineRule="auto"/>
        <w:rPr>
          <w:b/>
          <w:bCs/>
          <w:color w:val="auto"/>
          <w:sz w:val="36"/>
          <w:szCs w:val="36"/>
          <w:highlight w:val="none"/>
        </w:rPr>
      </w:pPr>
      <w:r>
        <w:rPr>
          <w:color w:val="auto"/>
          <w:sz w:val="24"/>
          <w:highlight w:val="none"/>
        </w:rPr>
        <w:br w:type="page" w:clear="all"/>
      </w:r>
      <w:r>
        <w:rPr>
          <w:rFonts w:hint="eastAsia"/>
          <w:b/>
          <w:bCs/>
          <w:color w:val="auto"/>
          <w:sz w:val="36"/>
          <w:szCs w:val="36"/>
          <w:highlight w:val="none"/>
        </w:rPr>
        <w:t xml:space="preserve">中小企业声明函格式</w:t>
      </w:r>
      <w:r/>
    </w:p>
    <w:p>
      <w:pPr>
        <w:ind w:firstLine="360"/>
        <w:spacing w:line="570" w:lineRule="exact"/>
        <w:rPr>
          <w:rFonts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本公司郑重声明，根据《政府采购促进中小企业发展管理办法》(财库[2020]46号)的规定，本公司</w:t>
      </w:r>
      <w:r>
        <w:rPr>
          <w:rFonts w:hint="eastAsia" w:ascii="宋体" w:hAnsi="宋体" w:cs="宋体"/>
          <w:color w:val="auto"/>
          <w:sz w:val="24"/>
          <w:highlight w:val="none"/>
          <w:u w:val="single"/>
        </w:rPr>
        <w:t xml:space="preserve">（此处填供应商单位名称） </w:t>
      </w:r>
      <w:r>
        <w:rPr>
          <w:rFonts w:hint="eastAsia" w:ascii="宋体" w:hAnsi="宋体" w:cs="宋体"/>
          <w:color w:val="auto"/>
          <w:sz w:val="24"/>
          <w:highlight w:val="none"/>
        </w:rPr>
        <w:t xml:space="preserve">参加江苏尚阳工程管理有限公司组织的</w:t>
      </w:r>
      <w:r>
        <w:rPr>
          <w:rFonts w:hint="eastAsia" w:ascii="宋体" w:hAnsi="宋体" w:cs="宋体"/>
          <w:color w:val="auto"/>
          <w:sz w:val="24"/>
          <w:highlight w:val="none"/>
          <w:u w:val="single"/>
        </w:rPr>
        <w:t xml:space="preserve">（采购单位名称①）</w:t>
      </w:r>
      <w:r>
        <w:rPr>
          <w:rFonts w:hint="eastAsia" w:ascii="宋体" w:hAnsi="宋体" w:cs="宋体"/>
          <w:color w:val="auto"/>
          <w:sz w:val="24"/>
          <w:highlight w:val="none"/>
        </w:rPr>
        <w:t xml:space="preserve">采购编号为</w:t>
      </w:r>
      <w:r>
        <w:rPr>
          <w:rFonts w:hint="eastAsia" w:ascii="宋体" w:hAnsi="宋体" w:cs="宋体"/>
          <w:color w:val="auto"/>
          <w:sz w:val="24"/>
          <w:highlight w:val="none"/>
          <w:u w:val="single"/>
        </w:rPr>
        <w:t xml:space="preserve">②</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（项目名称③）（分包号：④）</w:t>
      </w:r>
      <w:r>
        <w:rPr>
          <w:rFonts w:hint="eastAsia" w:ascii="宋体" w:hAnsi="宋体" w:cs="宋体"/>
          <w:color w:val="auto"/>
          <w:sz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p>
    <w:p>
      <w:pPr>
        <w:ind w:firstLine="360"/>
        <w:spacing w:line="570" w:lineRule="exact"/>
        <w:rPr>
          <w:rFonts w:ascii="宋体" w:hAnsi="宋体" w:cs="宋体"/>
          <w:i/>
          <w:color w:val="auto"/>
          <w:sz w:val="24"/>
          <w:highlight w:val="none"/>
          <w:u w:val="single"/>
        </w:rPr>
      </w:pPr>
      <w:r>
        <w:rPr>
          <w:rFonts w:hint="eastAsia" w:ascii="宋体" w:hAnsi="宋体" w:cs="宋体"/>
          <w:color w:val="auto"/>
          <w:sz w:val="24"/>
          <w:highlight w:val="none"/>
          <w:u w:val="single"/>
        </w:rPr>
        <w:t xml:space="preserve">（标的名称⑤）</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（采购文件中明确的所属行业⑥）</w:t>
      </w:r>
      <w:r>
        <w:rPr>
          <w:rFonts w:hint="eastAsia" w:ascii="宋体" w:hAnsi="宋体" w:cs="宋体"/>
          <w:color w:val="auto"/>
          <w:sz w:val="24"/>
          <w:highlight w:val="none"/>
        </w:rPr>
        <w:t xml:space="preserve">行业；承建企业为</w:t>
      </w:r>
      <w:r>
        <w:rPr>
          <w:rFonts w:hint="eastAsia" w:ascii="宋体" w:hAnsi="宋体" w:cs="宋体"/>
          <w:color w:val="auto"/>
          <w:sz w:val="24"/>
          <w:highlight w:val="none"/>
          <w:u w:val="single"/>
        </w:rPr>
        <w:t xml:space="preserve">（企业名称⑦）</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⑧</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⑨</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⑩</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（中型企业、小型企业、微型企业⑪）；</w:t>
      </w:r>
      <w:r/>
    </w:p>
    <w:p>
      <w:pPr>
        <w:ind w:firstLine="360"/>
        <w:spacing w:line="570" w:lineRule="exact"/>
        <w:rPr>
          <w:rFonts w:ascii="宋体" w:hAnsi="宋体" w:cs="宋体"/>
          <w:color w:val="auto"/>
          <w:sz w:val="24"/>
          <w:highlight w:val="none"/>
        </w:rPr>
      </w:pPr>
      <w:r>
        <w:rPr>
          <w:rFonts w:hint="eastAsia" w:ascii="宋体" w:hAnsi="宋体" w:cs="宋体"/>
          <w:color w:val="auto"/>
          <w:sz w:val="24"/>
          <w:highlight w:val="none"/>
        </w:rPr>
        <w:t xml:space="preserve"> 以上企业，不属于大企业的分支机构，不存在控股股东为大企业的情形，也不存在与大企业的负责人为同一人的情形。</w:t>
      </w:r>
      <w:r/>
    </w:p>
    <w:p>
      <w:pPr>
        <w:ind w:firstLine="360"/>
        <w:spacing w:line="570" w:lineRule="exact"/>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right="180" w:firstLine="360"/>
        <w:jc w:val="right"/>
        <w:spacing w:line="570" w:lineRule="exact"/>
        <w:rPr>
          <w:rFonts w:ascii="宋体" w:hAnsi="宋体" w:cs="宋体"/>
          <w:color w:val="auto"/>
          <w:sz w:val="24"/>
          <w:highlight w:val="none"/>
        </w:rPr>
      </w:pPr>
      <w:r>
        <w:rPr>
          <w:rFonts w:hint="eastAsia" w:ascii="宋体" w:hAnsi="宋体" w:cs="宋体"/>
          <w:color w:val="auto"/>
          <w:sz w:val="24"/>
          <w:highlight w:val="none"/>
        </w:rPr>
        <w:t xml:space="preserve">企业名称（加盖CA电子公章）⑫：</w:t>
      </w:r>
      <w:r/>
    </w:p>
    <w:p>
      <w:pPr>
        <w:ind w:right="480" w:firstLine="5400"/>
        <w:spacing w:line="570" w:lineRule="exact"/>
        <w:rPr>
          <w:rFonts w:ascii="宋体" w:hAnsi="宋体" w:cs="宋体"/>
          <w:color w:val="auto"/>
          <w:sz w:val="24"/>
          <w:highlight w:val="none"/>
        </w:rPr>
      </w:pPr>
      <w:r>
        <w:rPr>
          <w:rFonts w:hint="eastAsia" w:ascii="宋体" w:hAnsi="宋体" w:cs="宋体"/>
          <w:color w:val="auto"/>
          <w:sz w:val="24"/>
          <w:highlight w:val="none"/>
        </w:rPr>
        <w:t xml:space="preserve">日  期：</w:t>
      </w:r>
      <w:r/>
    </w:p>
    <w:p>
      <w:pPr>
        <w:spacing w:line="570" w:lineRule="exact"/>
        <w:rPr>
          <w:rFonts w:ascii="宋体" w:hAnsi="宋体" w:cs="宋体"/>
          <w:color w:val="auto"/>
          <w:sz w:val="24"/>
          <w:highlight w:val="none"/>
        </w:rPr>
      </w:pPr>
      <w:r>
        <w:rPr>
          <w:rFonts w:ascii="宋体" w:hAnsi="宋体" w:cs="宋体"/>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b/>
          <w:color w:val="auto"/>
          <w:sz w:val="24"/>
          <w:highlight w:val="none"/>
        </w:rPr>
      </w:pPr>
      <w:r>
        <w:rPr>
          <w:rFonts w:ascii="宋体" w:hAnsi="宋体" w:cs="宋体"/>
          <w:b/>
          <w:color w:val="auto"/>
          <w:sz w:val="24"/>
          <w:highlight w:val="none"/>
        </w:rPr>
      </w:r>
      <w:r/>
    </w:p>
    <w:p>
      <w:pPr>
        <w:spacing w:line="570" w:lineRule="exact"/>
        <w:rPr>
          <w:rFonts w:ascii="宋体" w:hAnsi="宋体" w:cs="宋体"/>
          <w:color w:val="auto"/>
          <w:sz w:val="24"/>
          <w:highlight w:val="none"/>
        </w:rPr>
      </w:pPr>
      <w:r>
        <w:rPr>
          <w:rFonts w:hint="eastAsia" w:ascii="宋体" w:hAnsi="宋体" w:cs="宋体"/>
          <w:color w:val="auto"/>
          <w:sz w:val="24"/>
          <w:highlight w:val="none"/>
        </w:rPr>
        <w:t xml:space="preserve">填写说明：</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1.（采购单位名称①）：填写本项目采购人单位名称，如常州市XXX局。</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2.采购编号为②：填写本项目编号，如JSZC-3204XX-SYZB-C20XX-XX。 </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3.（项目名称③）：填写本项目名称，如常州市XXX项目。</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4.（分包号：④）：填写分包编号，如有分包的，分别填写分包号，没有的填“无”。</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5.（标的名称⑤）：填写本项目标的名称，详见采购文件“第一章 采购邀请”。</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6.（采购文件中明确的所属行业⑥）：填写本项目采购标的所属行业。须根据采购文件“第二章  供应商须知”表格中列明的所属行业进行填写。如：建筑业。</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7.（企业名称⑦）：填写</w:t>
      </w:r>
      <w:r>
        <w:rPr>
          <w:rFonts w:hint="eastAsia" w:ascii="宋体" w:hAnsi="宋体" w:cs="宋体"/>
          <w:b/>
          <w:bCs/>
          <w:color w:val="auto"/>
          <w:sz w:val="24"/>
          <w:highlight w:val="none"/>
        </w:rPr>
        <w:t xml:space="preserve">供应商的名称</w:t>
      </w:r>
      <w:r>
        <w:rPr>
          <w:rFonts w:hint="eastAsia" w:ascii="宋体" w:hAnsi="宋体" w:cs="宋体"/>
          <w:color w:val="auto"/>
          <w:sz w:val="24"/>
          <w:highlight w:val="none"/>
        </w:rPr>
        <w:t xml:space="preserve">，如XXX公司。</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8.从业人员⑧人，营业收入为⑨万元，资产总额为⑩万元：填报</w:t>
      </w:r>
      <w:r>
        <w:rPr>
          <w:rFonts w:hint="eastAsia" w:ascii="宋体" w:hAnsi="宋体" w:cs="宋体"/>
          <w:b/>
          <w:bCs/>
          <w:color w:val="auto"/>
          <w:sz w:val="24"/>
          <w:highlight w:val="none"/>
        </w:rPr>
        <w:t xml:space="preserve">供应商</w:t>
      </w:r>
      <w:r>
        <w:rPr>
          <w:rFonts w:hint="eastAsia" w:ascii="宋体" w:hAnsi="宋体" w:cs="宋体"/>
          <w:color w:val="auto"/>
          <w:sz w:val="24"/>
          <w:highlight w:val="none"/>
        </w:rPr>
        <w:t xml:space="preserve">的从业人员、营业收入、资产总额上一年度数据，无上一年度数据的新成立企业可不填报。</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9.（中型企业、小型企业、微型企业</w:t>
      </w:r>
      <w:r>
        <w:rPr>
          <w:rFonts w:hint="eastAsia" w:ascii="宋体" w:hAnsi="宋体" w:cs="宋体"/>
          <w:color w:val="auto"/>
          <w:sz w:val="24"/>
          <w:highlight w:val="none"/>
          <w:u w:val="single"/>
        </w:rPr>
        <w:t xml:space="preserve">⑪</w:t>
      </w:r>
      <w:r>
        <w:rPr>
          <w:rFonts w:hint="eastAsia" w:ascii="宋体" w:hAnsi="宋体" w:cs="宋体"/>
          <w:color w:val="auto"/>
          <w:sz w:val="24"/>
          <w:highlight w:val="none"/>
        </w:rPr>
        <w:t xml:space="preserve">）：根据</w:t>
      </w:r>
      <w:r>
        <w:rPr>
          <w:rFonts w:hint="eastAsia" w:ascii="宋体" w:hAnsi="宋体" w:cs="宋体"/>
          <w:b/>
          <w:bCs/>
          <w:color w:val="auto"/>
          <w:sz w:val="24"/>
          <w:highlight w:val="none"/>
        </w:rPr>
        <w:t xml:space="preserve">供应商</w:t>
      </w:r>
      <w:r>
        <w:rPr>
          <w:rFonts w:hint="eastAsia" w:ascii="宋体" w:hAnsi="宋体" w:cs="宋体"/>
          <w:color w:val="auto"/>
          <w:sz w:val="24"/>
          <w:highlight w:val="none"/>
        </w:rPr>
        <w:t xml:space="preserve">的企业规模情况填写中型企业、小型企业或微型企业</w:t>
      </w:r>
      <w:r>
        <w:rPr>
          <w:rFonts w:hint="eastAsia" w:ascii="宋体" w:hAnsi="宋体" w:cs="宋体"/>
          <w:b/>
          <w:bCs/>
          <w:color w:val="auto"/>
          <w:sz w:val="24"/>
          <w:highlight w:val="none"/>
        </w:rPr>
        <w:t xml:space="preserve">（只能填写三种其中的一种）</w:t>
      </w:r>
      <w:r>
        <w:rPr>
          <w:rFonts w:hint="eastAsia" w:ascii="宋体" w:hAnsi="宋体" w:cs="宋体"/>
          <w:color w:val="auto"/>
          <w:sz w:val="24"/>
          <w:highlight w:val="none"/>
        </w:rPr>
        <w:t xml:space="preserve">。中小企业划分见《关于印发中小企业划型标准规定的通知》（工信部联企业〔2011〕300号) 。</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10.企业名称（盖章）⑫：加盖</w:t>
      </w:r>
      <w:r>
        <w:rPr>
          <w:rFonts w:hint="eastAsia" w:ascii="宋体" w:hAnsi="宋体" w:cs="宋体"/>
          <w:b/>
          <w:bCs/>
          <w:color w:val="auto"/>
          <w:sz w:val="24"/>
          <w:highlight w:val="none"/>
        </w:rPr>
        <w:t xml:space="preserve">供应商</w:t>
      </w:r>
      <w:r>
        <w:rPr>
          <w:rFonts w:hint="eastAsia" w:ascii="宋体" w:hAnsi="宋体" w:cs="宋体"/>
          <w:color w:val="auto"/>
          <w:sz w:val="24"/>
          <w:highlight w:val="none"/>
        </w:rPr>
        <w:t xml:space="preserve">CA电子公章。</w:t>
      </w:r>
      <w:r/>
    </w:p>
    <w:p>
      <w:pPr>
        <w:ind w:firstLine="480"/>
        <w:spacing w:line="570" w:lineRule="exact"/>
        <w:rPr>
          <w:rFonts w:ascii="宋体" w:hAnsi="宋体" w:cs="宋体"/>
          <w:color w:val="auto"/>
          <w:sz w:val="24"/>
          <w:highlight w:val="none"/>
        </w:rPr>
      </w:pPr>
      <w:r>
        <w:rPr>
          <w:rFonts w:hint="eastAsia" w:ascii="宋体" w:hAnsi="宋体" w:cs="宋体"/>
          <w:color w:val="auto"/>
          <w:sz w:val="24"/>
          <w:highlight w:val="none"/>
        </w:rPr>
        <w:t xml:space="preserve">11.如是</w:t>
      </w:r>
      <w:r>
        <w:rPr>
          <w:rFonts w:hint="eastAsia" w:ascii="宋体" w:hAnsi="宋体" w:cs="宋体"/>
          <w:b/>
          <w:color w:val="auto"/>
          <w:sz w:val="24"/>
          <w:highlight w:val="none"/>
        </w:rPr>
        <w:t xml:space="preserve">专门面向中小企业预留份额</w:t>
      </w:r>
      <w:r>
        <w:rPr>
          <w:rFonts w:hint="eastAsia" w:ascii="宋体" w:hAnsi="宋体" w:cs="宋体"/>
          <w:color w:val="auto"/>
          <w:sz w:val="24"/>
          <w:highlight w:val="none"/>
        </w:rPr>
        <w:t xml:space="preserve">的采购项目，供应商未提供此声明函的，资格审查不予通过，作为</w:t>
      </w:r>
      <w:r>
        <w:rPr>
          <w:rFonts w:hint="eastAsia" w:ascii="宋体" w:hAnsi="宋体" w:cs="宋体"/>
          <w:b/>
          <w:color w:val="auto"/>
          <w:sz w:val="24"/>
          <w:highlight w:val="none"/>
        </w:rPr>
        <w:t xml:space="preserve">无效响应</w:t>
      </w:r>
      <w:r>
        <w:rPr>
          <w:rFonts w:hint="eastAsia" w:ascii="宋体" w:hAnsi="宋体" w:cs="宋体"/>
          <w:color w:val="auto"/>
          <w:sz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814"/>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12.温馨提示</w:t>
      </w:r>
      <w:r/>
    </w:p>
    <w:p>
      <w:pPr>
        <w:pStyle w:val="814"/>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（1）对于已纳入统计部门统计范围的企业，所属行业、从业人员、营业收入、资产总额、规模类型应与统计部门报表保持一致。</w:t>
      </w:r>
      <w:r/>
    </w:p>
    <w:p>
      <w:pPr>
        <w:pStyle w:val="814"/>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814"/>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814"/>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（4）对于采购文件确实允许非独立法人参与采购活动的，应按其所属集团公司合并财务报表数据情况予以填报。</w:t>
      </w:r>
      <w:r/>
    </w:p>
    <w:p>
      <w:pPr>
        <w:pStyle w:val="814"/>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814"/>
        <w:ind w:firstLine="480"/>
        <w:spacing w:line="570" w:lineRule="exact"/>
        <w:rPr>
          <w:rFonts w:hint="default" w:ascii="宋体" w:hAnsi="宋体" w:cs="宋体"/>
          <w:color w:val="auto"/>
          <w:sz w:val="24"/>
          <w:szCs w:val="24"/>
          <w:highlight w:val="none"/>
        </w:rPr>
      </w:pPr>
      <w:r>
        <w:rPr>
          <w:rFonts w:ascii="宋体" w:hAnsi="宋体" w:cs="宋体"/>
          <w:color w:val="auto"/>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pStyle w:val="814"/>
        <w:ind w:firstLine="480"/>
        <w:spacing w:line="570" w:lineRule="exact"/>
        <w:rPr>
          <w:rFonts w:hint="default"/>
          <w:color w:val="auto"/>
          <w:sz w:val="24"/>
          <w:highlight w:val="none"/>
        </w:rPr>
      </w:pPr>
      <w:r>
        <w:rPr>
          <w:rFonts w:ascii="宋体" w:hAnsi="宋体" w:cs="宋体"/>
          <w:color w:val="auto"/>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rPr>
          <w:b/>
          <w:color w:val="auto"/>
          <w:sz w:val="36"/>
          <w:szCs w:val="36"/>
          <w:highlight w:val="none"/>
        </w:rPr>
        <w:sectPr>
          <w:headerReference w:type="even" r:id="rId11"/>
          <w:headerReference w:type="first" r:id="rId12"/>
          <w:footerReference w:type="even" r:id="rId18"/>
          <w:footerReference w:type="first" r:id="rId19"/>
          <w:footnotePr/>
          <w:endnotePr/>
          <w:type w:val="nextPage"/>
          <w:pgSz w:w="11907" w:h="16840" w:orient="portrait"/>
          <w:pgMar w:top="1440" w:right="1304" w:bottom="1440" w:left="1304" w:header="851" w:footer="851" w:gutter="0"/>
          <w:cols w:num="1" w:sep="0" w:space="720" w:equalWidth="1"/>
          <w:docGrid w:linePitch="360"/>
        </w:sectPr>
      </w:pPr>
      <w:r>
        <w:rPr>
          <w:b/>
          <w:color w:val="auto"/>
          <w:sz w:val="36"/>
          <w:szCs w:val="36"/>
          <w:highlight w:val="none"/>
        </w:rPr>
      </w:r>
      <w:r/>
    </w:p>
    <w:p>
      <w:pPr>
        <w:jc w:val="center"/>
        <w:rPr>
          <w:b/>
          <w:color w:val="auto"/>
          <w:sz w:val="36"/>
          <w:szCs w:val="36"/>
          <w:highlight w:val="none"/>
        </w:rPr>
      </w:pPr>
      <w:r>
        <w:rPr>
          <w:rFonts w:hint="eastAsia"/>
          <w:b/>
          <w:color w:val="auto"/>
          <w:sz w:val="36"/>
          <w:szCs w:val="36"/>
          <w:highlight w:val="none"/>
        </w:rPr>
        <w:t xml:space="preserve">残疾人福利性单位声明函格式</w:t>
      </w:r>
      <w:r>
        <w:rPr>
          <w:b/>
          <w:color w:val="auto"/>
          <w:sz w:val="36"/>
          <w:szCs w:val="36"/>
          <w:highlight w:val="none"/>
        </w:rPr>
        <w:t xml:space="preserve">       </w:t>
      </w:r>
      <w:r/>
    </w:p>
    <w:p>
      <w:pPr>
        <w:jc w:val="center"/>
        <w:rPr>
          <w:color w:val="auto"/>
          <w:sz w:val="36"/>
          <w:szCs w:val="36"/>
          <w:highlight w:val="none"/>
        </w:rPr>
      </w:pPr>
      <w:r>
        <w:rPr>
          <w:color w:val="auto"/>
          <w:sz w:val="36"/>
          <w:szCs w:val="36"/>
          <w:highlight w:val="none"/>
        </w:rPr>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w:t>
      </w:r>
      <w:r>
        <w:rPr>
          <w:rFonts w:hint="eastAsia"/>
          <w:color w:val="auto"/>
          <w:spacing w:val="6"/>
          <w:sz w:val="24"/>
          <w:highlight w:val="none"/>
        </w:rPr>
        <w:t xml:space="preserve">，</w:t>
      </w:r>
      <w:r>
        <w:rPr>
          <w:color w:val="auto"/>
          <w:spacing w:val="6"/>
          <w:sz w:val="24"/>
          <w:highlight w:val="none"/>
        </w:rPr>
        <w:t xml:space="preserve">由本单位承担工程。</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jc w:val="left"/>
        <w:spacing w:line="360" w:lineRule="auto"/>
        <w:widowControl/>
        <w:rPr>
          <w:color w:val="auto"/>
          <w:sz w:val="24"/>
          <w:szCs w:val="20"/>
          <w:highlight w:val="none"/>
        </w:rPr>
      </w:pPr>
      <w:r>
        <w:rPr>
          <w:color w:val="auto"/>
          <w:sz w:val="24"/>
          <w:szCs w:val="20"/>
          <w:highlight w:val="none"/>
        </w:rPr>
        <w:br w:type="page" w:clear="all"/>
      </w:r>
      <w:r>
        <w:rPr>
          <w:color w:val="auto"/>
          <w:sz w:val="24"/>
          <w:szCs w:val="20"/>
          <w:highlight w:val="none"/>
        </w:rPr>
        <w:t xml:space="preserve">3 </w:t>
      </w:r>
      <w:r>
        <w:rPr>
          <w:color w:val="auto"/>
          <w:sz w:val="24"/>
          <w:highlight w:val="none"/>
        </w:rPr>
        <w:t xml:space="preserve">本项目的特定资格要求</w:t>
      </w:r>
      <w:r/>
    </w:p>
    <w:p>
      <w:pPr>
        <w:ind w:left="363" w:firstLine="72"/>
        <w:spacing w:line="360" w:lineRule="auto"/>
        <w:tabs>
          <w:tab w:val="left" w:pos="720" w:leader="none"/>
          <w:tab w:val="left" w:pos="900" w:leader="none"/>
        </w:tabs>
        <w:rPr>
          <w:rFonts w:hint="eastAsia"/>
          <w:color w:val="auto"/>
          <w:sz w:val="24"/>
          <w:szCs w:val="20"/>
          <w:highlight w:val="none"/>
        </w:rPr>
      </w:pPr>
      <w:r>
        <w:rPr>
          <w:rFonts w:hint="eastAsia"/>
          <w:color w:val="auto"/>
          <w:sz w:val="24"/>
          <w:szCs w:val="20"/>
          <w:highlight w:val="none"/>
        </w:rPr>
        <w:t xml:space="preserve">3.3.1供应商：</w:t>
      </w:r>
      <w:r/>
    </w:p>
    <w:p>
      <w:pPr>
        <w:ind w:left="363" w:firstLine="72"/>
        <w:spacing w:line="360" w:lineRule="auto"/>
        <w:tabs>
          <w:tab w:val="left" w:pos="720" w:leader="none"/>
          <w:tab w:val="left" w:pos="900" w:leader="none"/>
        </w:tabs>
        <w:rPr>
          <w:rFonts w:hint="eastAsia"/>
          <w:color w:val="auto"/>
          <w:sz w:val="24"/>
          <w:szCs w:val="20"/>
          <w:highlight w:val="none"/>
        </w:rPr>
      </w:pPr>
      <w:r>
        <w:rPr>
          <w:rFonts w:hint="eastAsia"/>
          <w:color w:val="auto"/>
          <w:sz w:val="24"/>
          <w:szCs w:val="20"/>
          <w:highlight w:val="none"/>
        </w:rPr>
        <w:t xml:space="preserve">（1）具备有效的环保工程专业承包三级及以上资质；具备安全生产条件，并取得有效的安全生产许可证；</w:t>
      </w:r>
      <w:r/>
    </w:p>
    <w:p>
      <w:pPr>
        <w:ind w:left="363" w:firstLine="72"/>
        <w:spacing w:line="360" w:lineRule="auto"/>
        <w:tabs>
          <w:tab w:val="left" w:pos="720" w:leader="none"/>
          <w:tab w:val="left" w:pos="900" w:leader="none"/>
        </w:tabs>
        <w:rPr>
          <w:rFonts w:hint="eastAsia"/>
          <w:color w:val="auto"/>
          <w:sz w:val="24"/>
          <w:szCs w:val="20"/>
          <w:highlight w:val="none"/>
        </w:rPr>
      </w:pPr>
      <w:r>
        <w:rPr>
          <w:rFonts w:hint="eastAsia"/>
          <w:color w:val="auto"/>
          <w:sz w:val="24"/>
          <w:szCs w:val="20"/>
          <w:highlight w:val="none"/>
        </w:rPr>
        <w:t xml:space="preserve">（2）供应商不得存在下列情形之一：①为本项目的监理人、代建人、项目管理人，以及为本项目提供招标代理、设计服务的；②与本项目的监理人、代建人、招标代理机构同为一个法定代表人的，或者相互控股、参股的；③与采购人存在利害关系可能影响公正性的；④处于被责令停业、财产被接管、冻结和破产状态，以及投标资格被取消或者被暂停且在暂停期内；⑤因拖欠工人工资或者因发生质量安全事故被有关部门限制在本项目所在地承接工程的；⑥不符合法律、法规规定的其他条件。</w:t>
      </w:r>
      <w:r/>
    </w:p>
    <w:p>
      <w:pPr>
        <w:ind w:left="363" w:firstLine="72"/>
        <w:spacing w:line="360" w:lineRule="auto"/>
        <w:tabs>
          <w:tab w:val="left" w:pos="720" w:leader="none"/>
          <w:tab w:val="left" w:pos="900" w:leader="none"/>
        </w:tabs>
        <w:rPr>
          <w:rFonts w:hint="eastAsia"/>
          <w:color w:val="auto"/>
          <w:sz w:val="24"/>
          <w:szCs w:val="20"/>
          <w:highlight w:val="none"/>
        </w:rPr>
      </w:pPr>
      <w:r>
        <w:rPr>
          <w:rFonts w:hint="eastAsia"/>
          <w:color w:val="auto"/>
          <w:sz w:val="24"/>
          <w:szCs w:val="20"/>
          <w:highlight w:val="none"/>
        </w:rPr>
        <w:t xml:space="preserve">3.3.2项目负责人：</w:t>
      </w:r>
      <w:r/>
    </w:p>
    <w:p>
      <w:pPr>
        <w:ind w:left="363" w:firstLine="72"/>
        <w:spacing w:line="360" w:lineRule="auto"/>
        <w:tabs>
          <w:tab w:val="left" w:pos="720" w:leader="none"/>
          <w:tab w:val="left" w:pos="900" w:leader="none"/>
        </w:tabs>
        <w:rPr>
          <w:rFonts w:hint="eastAsia"/>
          <w:color w:val="auto"/>
          <w:sz w:val="24"/>
          <w:szCs w:val="20"/>
          <w:highlight w:val="none"/>
        </w:rPr>
      </w:pPr>
      <w:r>
        <w:rPr>
          <w:rFonts w:hint="eastAsia"/>
          <w:color w:val="auto"/>
          <w:sz w:val="24"/>
          <w:szCs w:val="20"/>
          <w:highlight w:val="none"/>
        </w:rPr>
        <w:t xml:space="preserve">（1）具备市政公用工程二级及以上注册建造师；</w:t>
      </w:r>
      <w:r/>
    </w:p>
    <w:p>
      <w:pPr>
        <w:ind w:left="363" w:firstLine="72"/>
        <w:spacing w:line="360" w:lineRule="auto"/>
        <w:tabs>
          <w:tab w:val="left" w:pos="720" w:leader="none"/>
          <w:tab w:val="left" w:pos="900" w:leader="none"/>
        </w:tabs>
        <w:rPr>
          <w:rFonts w:hint="eastAsia"/>
          <w:color w:val="auto"/>
          <w:sz w:val="24"/>
          <w:szCs w:val="20"/>
          <w:highlight w:val="none"/>
        </w:rPr>
      </w:pPr>
      <w:r>
        <w:rPr>
          <w:rFonts w:hint="eastAsia"/>
          <w:color w:val="auto"/>
          <w:sz w:val="24"/>
          <w:szCs w:val="20"/>
          <w:highlight w:val="none"/>
        </w:rPr>
        <w:t xml:space="preserve">（2）注册建造师不得同时在两个或者两个以上单位受聘或者执业；</w:t>
      </w:r>
      <w:r/>
    </w:p>
    <w:p>
      <w:pPr>
        <w:ind w:left="363" w:firstLine="72"/>
        <w:spacing w:line="360" w:lineRule="auto"/>
        <w:tabs>
          <w:tab w:val="left" w:pos="720" w:leader="none"/>
          <w:tab w:val="left" w:pos="900" w:leader="none"/>
        </w:tabs>
        <w:rPr>
          <w:rFonts w:hint="eastAsia"/>
          <w:color w:val="auto"/>
          <w:sz w:val="24"/>
          <w:szCs w:val="20"/>
          <w:highlight w:val="none"/>
        </w:rPr>
      </w:pPr>
      <w:r>
        <w:rPr>
          <w:rFonts w:hint="eastAsia"/>
          <w:color w:val="auto"/>
          <w:sz w:val="24"/>
          <w:szCs w:val="20"/>
          <w:highlight w:val="none"/>
        </w:rPr>
        <w:t xml:space="preserve">（3）注册建造师具有有效的建设行政主管部门核发的安全生产考核合格证（B证）；</w:t>
      </w:r>
      <w:r/>
    </w:p>
    <w:p>
      <w:pPr>
        <w:ind w:left="363" w:firstLine="72"/>
        <w:spacing w:line="360" w:lineRule="auto"/>
        <w:tabs>
          <w:tab w:val="left" w:pos="720" w:leader="none"/>
          <w:tab w:val="left" w:pos="900" w:leader="none"/>
        </w:tabs>
        <w:rPr>
          <w:rFonts w:hint="eastAsia"/>
          <w:color w:val="auto"/>
          <w:sz w:val="24"/>
          <w:szCs w:val="20"/>
          <w:highlight w:val="none"/>
        </w:rPr>
      </w:pPr>
      <w:r>
        <w:rPr>
          <w:rFonts w:hint="eastAsia"/>
          <w:color w:val="auto"/>
          <w:sz w:val="24"/>
          <w:szCs w:val="20"/>
          <w:highlight w:val="none"/>
        </w:rPr>
        <w:t xml:space="preserve">（4）具有社保机构出具的供应商为项目负责人缴纳社会基本养老保险的2026年6月至2026年8月中任意一个月的缴纳凭证。</w:t>
      </w:r>
      <w:r/>
    </w:p>
    <w:p>
      <w:pPr>
        <w:ind w:firstLine="480"/>
        <w:keepLines w:val="0"/>
        <w:keepNext w:val="0"/>
        <w:pageBreakBefore w:val="0"/>
        <w:spacing w:line="360" w:lineRule="auto"/>
        <w:widowControl w:val="off"/>
        <w:rPr>
          <w:color w:val="auto"/>
          <w:sz w:val="24"/>
          <w:szCs w:val="20"/>
          <w:highlight w:val="none"/>
        </w:rPr>
        <w:outlineLvl w:val="2"/>
      </w:pPr>
      <w:r>
        <w:rPr>
          <w:color w:val="auto"/>
          <w:sz w:val="24"/>
          <w:szCs w:val="20"/>
          <w:highlight w:val="none"/>
        </w:rPr>
        <w:br w:type="page" w:clear="all"/>
      </w:r>
      <w:bookmarkStart w:id="640" w:name="_Toc150774762"/>
      <w:r/>
      <w:bookmarkStart w:id="641" w:name="_Toc305158825"/>
      <w:r/>
      <w:bookmarkStart w:id="642" w:name="_Toc305158899"/>
      <w:r/>
      <w:bookmarkStart w:id="643" w:name="_Toc265228395"/>
      <w:r/>
      <w:bookmarkStart w:id="644" w:name="_Toc226965747"/>
      <w:r/>
      <w:bookmarkStart w:id="645" w:name="_Toc226309801"/>
      <w:r/>
      <w:bookmarkStart w:id="646" w:name="_Toc127151557"/>
      <w:r/>
      <w:bookmarkStart w:id="647" w:name="_Toc264969247"/>
      <w:r/>
      <w:bookmarkStart w:id="648" w:name="_Toc150480795"/>
      <w:r/>
      <w:bookmarkStart w:id="649" w:name="_Toc520356218"/>
      <w:r/>
      <w:bookmarkStart w:id="650" w:name="_Toc195842922"/>
      <w:r/>
      <w:bookmarkStart w:id="651" w:name="_Toc480942350"/>
      <w:r/>
      <w:bookmarkStart w:id="652" w:name="_Ref467988705"/>
      <w:r/>
      <w:bookmarkStart w:id="653" w:name="_Toc226337253"/>
      <w:r/>
      <w:bookmarkStart w:id="654" w:name="_Toc142311059"/>
      <w:r/>
      <w:bookmarkStart w:id="655" w:name="_Toc226965830"/>
      <w:r>
        <w:rPr>
          <w:rFonts w:hint="eastAsia"/>
          <w:color w:val="auto"/>
          <w:sz w:val="24"/>
          <w:highlight w:val="none"/>
        </w:rPr>
        <w:t xml:space="preserve">4</w:t>
      </w:r>
      <w:r>
        <w:rPr>
          <w:color w:val="auto"/>
          <w:sz w:val="24"/>
          <w:szCs w:val="20"/>
          <w:highlight w:val="none"/>
        </w:rPr>
        <w:t xml:space="preserve">  </w:t>
      </w:r>
      <w:r>
        <w:rPr>
          <w:color w:val="auto"/>
          <w:sz w:val="24"/>
          <w:highlight w:val="none"/>
        </w:rPr>
        <w:t xml:space="preserve">响应</w:t>
      </w:r>
      <w:r>
        <w:rPr>
          <w:rFonts w:hint="eastAsia"/>
          <w:color w:val="auto"/>
          <w:sz w:val="24"/>
          <w:highlight w:val="none"/>
        </w:rPr>
        <w:t xml:space="preserve">函（实质性格式）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w:t>
      </w:r>
      <w:r>
        <w:rPr>
          <w:rFonts w:hint="eastAsia"/>
          <w:color w:val="auto"/>
          <w:sz w:val="24"/>
          <w:szCs w:val="20"/>
          <w:highlight w:val="none"/>
        </w:rPr>
        <w:t xml:space="preserve">日</w:t>
      </w:r>
      <w:r>
        <w:rPr>
          <w:color w:val="auto"/>
          <w:sz w:val="24"/>
          <w:szCs w:val="20"/>
          <w:highlight w:val="none"/>
        </w:rPr>
        <w:t xml:space="preserve">。</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w:t>
      </w:r>
      <w:r>
        <w:rPr>
          <w:rFonts w:hint="eastAsia"/>
          <w:color w:val="auto"/>
          <w:sz w:val="24"/>
          <w:szCs w:val="20"/>
          <w:highlight w:val="none"/>
        </w:rPr>
        <w:t xml:space="preserve">成交</w:t>
      </w:r>
      <w:r>
        <w:rPr>
          <w:color w:val="auto"/>
          <w:sz w:val="24"/>
          <w:szCs w:val="20"/>
          <w:highlight w:val="none"/>
        </w:rPr>
        <w:t xml:space="preserve">，我方将在法律规定的期限内与你方签订合同，并在合同约定的期限内完成合同规定的全部义务。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656" w:name="_Hlt520356243"/>
      <w:r/>
      <w:bookmarkEnd w:id="656"/>
      <w:r/>
      <w:bookmarkStart w:id="657" w:name="_Hlt520355938"/>
      <w:r/>
      <w:bookmarkEnd w:id="657"/>
      <w:r>
        <w:rPr>
          <w:color w:val="auto"/>
          <w:sz w:val="24"/>
          <w:highlight w:val="none"/>
        </w:rPr>
        <w:br w:type="page" w:clear="all"/>
      </w:r>
      <w:r>
        <w:rPr>
          <w:rFonts w:hint="eastAsia"/>
          <w:color w:val="auto"/>
          <w:sz w:val="24"/>
          <w:highlight w:val="none"/>
        </w:rPr>
        <w:t xml:space="preserve">5</w:t>
      </w:r>
      <w:r>
        <w:rPr>
          <w:color w:val="auto"/>
          <w:sz w:val="24"/>
          <w:highlight w:val="none"/>
        </w:rPr>
        <w:t xml:space="preserve">  </w:t>
      </w:r>
      <w:r>
        <w:rPr>
          <w:rFonts w:hint="eastAsia"/>
          <w:color w:val="auto"/>
          <w:sz w:val="24"/>
          <w:highlight w:val="none"/>
        </w:rPr>
        <w:t xml:space="preserve">法定代表人资格证明书（实质性格式）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上述项目的磋商响应文件、进行合同谈判、签署合同和处理与之有关的一切事务。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799"/>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电子件。</w:t>
      </w:r>
      <w:r/>
    </w:p>
    <w:tbl>
      <w:tblPr>
        <w:tblStyle w:val="79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供应商：（加盖公章）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或签章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若供应商为事业单位或其他组织或分支机构（仅当</w:t>
      </w:r>
      <w:r>
        <w:rPr>
          <w:rFonts w:hint="eastAsia" w:ascii="宋体" w:hAnsi="宋体"/>
          <w:color w:val="auto"/>
          <w:sz w:val="24"/>
          <w:szCs w:val="20"/>
          <w:highlight w:val="none"/>
        </w:rPr>
        <w:t xml:space="preserve">竞争性磋商</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磋商</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pStyle w:val="799"/>
        <w:rPr>
          <w:color w:val="auto"/>
          <w:highlight w:val="none"/>
        </w:rPr>
      </w:pPr>
      <w:r>
        <w:rPr>
          <w:color w:val="auto"/>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color w:val="auto"/>
          <w:sz w:val="24"/>
          <w:highlight w:val="none"/>
        </w:rPr>
      </w:r>
      <w:r/>
    </w:p>
    <w:p>
      <w:pPr>
        <w:jc w:val="left"/>
        <w:widowControl/>
        <w:rPr>
          <w:color w:val="auto"/>
          <w:sz w:val="24"/>
          <w:highlight w:val="none"/>
        </w:rPr>
      </w:pPr>
      <w:r>
        <w:rPr>
          <w:rFonts w:hint="eastAsia"/>
          <w:color w:val="auto"/>
          <w:sz w:val="24"/>
          <w:highlight w:val="none"/>
        </w:rPr>
        <w:t xml:space="preserve">6  政府采购供应商信用承诺书（实质性格式）</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813"/>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7</w:t>
      </w:r>
      <w:r>
        <w:rPr>
          <w:color w:val="auto"/>
          <w:sz w:val="24"/>
          <w:szCs w:val="20"/>
          <w:highlight w:val="none"/>
        </w:rPr>
        <w:t xml:space="preserve">  报价一览表</w:t>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r/>
    </w:p>
    <w:p>
      <w:pPr>
        <w:jc w:val="center"/>
        <w:rPr>
          <w:b/>
          <w:color w:val="auto"/>
          <w:sz w:val="36"/>
          <w:szCs w:val="36"/>
          <w:highlight w:val="none"/>
        </w:rPr>
      </w:pPr>
      <w:r/>
      <w:bookmarkStart w:id="658" w:name="_Toc265228396"/>
      <w:r/>
      <w:bookmarkStart w:id="659" w:name="_Toc164608672"/>
      <w:r/>
      <w:bookmarkStart w:id="660" w:name="_Toc305158900"/>
      <w:r/>
      <w:bookmarkStart w:id="661" w:name="_Toc195842923"/>
      <w:r/>
      <w:bookmarkStart w:id="662" w:name="_Toc226965748"/>
      <w:r/>
      <w:bookmarkStart w:id="663" w:name="_Toc264969248"/>
      <w:r/>
      <w:bookmarkStart w:id="664" w:name="_Toc226309802"/>
      <w:r/>
      <w:bookmarkStart w:id="665" w:name="_Toc226965831"/>
      <w:r/>
      <w:bookmarkStart w:id="666" w:name="_Toc226337254"/>
      <w:r/>
      <w:bookmarkStart w:id="667" w:name="_Toc305158826"/>
      <w:r/>
      <w:bookmarkStart w:id="668" w:name="_Toc164608827"/>
      <w:r>
        <w:rPr>
          <w:rFonts w:hint="eastAsia"/>
          <w:b/>
          <w:color w:val="auto"/>
          <w:sz w:val="36"/>
          <w:szCs w:val="36"/>
          <w:highlight w:val="none"/>
        </w:rPr>
        <w:t xml:space="preserve">报价一览表</w:t>
      </w:r>
      <w:bookmarkEnd w:id="658"/>
      <w:r/>
      <w:bookmarkEnd w:id="659"/>
      <w:r/>
      <w:bookmarkEnd w:id="660"/>
      <w:r/>
      <w:bookmarkEnd w:id="661"/>
      <w:r/>
      <w:bookmarkEnd w:id="662"/>
      <w:r/>
      <w:bookmarkEnd w:id="663"/>
      <w:r/>
      <w:bookmarkEnd w:id="664"/>
      <w:r/>
      <w:bookmarkEnd w:id="665"/>
      <w:r/>
      <w:bookmarkEnd w:id="666"/>
      <w:r/>
      <w:bookmarkEnd w:id="667"/>
      <w:r/>
      <w:bookmarkEnd w:id="668"/>
      <w:r/>
      <w:r/>
    </w:p>
    <w:p>
      <w:pPr>
        <w:jc w:val="left"/>
        <w:spacing w:line="360" w:lineRule="auto"/>
        <w:tabs>
          <w:tab w:val="left" w:pos="1800" w:leader="none"/>
          <w:tab w:val="left" w:pos="5580" w:leader="none"/>
        </w:tabs>
        <w:rPr>
          <w:color w:val="auto"/>
          <w:sz w:val="24"/>
          <w:highlight w:val="none"/>
        </w:rPr>
      </w:pPr>
      <w:r>
        <w:rPr>
          <w:color w:val="auto"/>
          <w:sz w:val="24"/>
          <w:highlight w:val="none"/>
        </w:rPr>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项目名称：_______________________</w:t>
      </w:r>
      <w:r/>
    </w:p>
    <w:tbl>
      <w:tblPr>
        <w:tblStyle w:val="7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jc w:val="center"/>
          <w:trHeight w:val="531"/>
        </w:trPr>
        <w:tc>
          <w:tcPr>
            <w:tcBorders>
              <w:top w:val="single" w:color="auto" w:sz="4" w:space="0"/>
              <w:left w:val="single" w:color="auto" w:sz="4" w:space="0"/>
              <w:bottom w:val="single" w:color="auto" w:sz="4" w:space="0"/>
              <w:right w:val="single" w:color="auto" w:sz="4" w:space="0"/>
            </w:tcBorders>
            <w:tcW w:w="812"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204"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供应商名称</w:t>
            </w:r>
            <w:r/>
          </w:p>
        </w:tc>
        <w:tc>
          <w:tcPr>
            <w:gridSpan w:val="2"/>
            <w:tcBorders>
              <w:top w:val="single" w:color="auto" w:sz="4" w:space="0"/>
              <w:left w:val="single" w:color="auto" w:sz="4" w:space="0"/>
              <w:bottom w:val="single" w:color="auto" w:sz="4" w:space="0"/>
              <w:right w:val="single" w:color="auto" w:sz="4" w:space="0"/>
            </w:tcBorders>
            <w:tcW w:w="4156"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报价（人民币：元）</w:t>
            </w:r>
            <w:r/>
          </w:p>
        </w:tc>
      </w:tr>
      <w:tr>
        <w:trPr>
          <w:jc w:val="center"/>
          <w:trHeight w:val="674"/>
        </w:trPr>
        <w:tc>
          <w:tcPr>
            <w:tcBorders>
              <w:top w:val="single" w:color="auto" w:sz="4" w:space="0"/>
              <w:left w:val="single" w:color="auto" w:sz="4" w:space="0"/>
              <w:bottom w:val="single" w:color="auto" w:sz="4" w:space="0"/>
              <w:right w:val="single" w:color="auto" w:sz="4" w:space="0"/>
            </w:tcBorders>
            <w:tcW w:w="812"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auto" w:sz="4" w:space="0"/>
              <w:left w:val="single" w:color="auto" w:sz="4" w:space="0"/>
              <w:bottom w:val="single" w:color="auto" w:sz="4" w:space="0"/>
              <w:right w:val="single" w:color="auto" w:sz="4" w:space="0"/>
            </w:tcBorders>
            <w:tcW w:w="3204"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大写</w:t>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812"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3204"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2025"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2131"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jc w:val="left"/>
        <w:rPr>
          <w:color w:val="auto"/>
          <w:sz w:val="24"/>
          <w:highlight w:val="none"/>
        </w:rPr>
      </w:pPr>
      <w:r>
        <w:rPr>
          <w:color w:val="auto"/>
          <w:sz w:val="24"/>
          <w:highlight w:val="none"/>
        </w:rPr>
      </w:r>
      <w:r/>
    </w:p>
    <w:p>
      <w:pPr>
        <w:jc w:val="left"/>
        <w:spacing w:line="400" w:lineRule="exact"/>
        <w:rPr>
          <w:color w:val="auto"/>
          <w:sz w:val="24"/>
          <w:szCs w:val="20"/>
          <w:highlight w:val="none"/>
        </w:rPr>
      </w:pPr>
      <w:r>
        <w:rPr>
          <w:color w:val="auto"/>
          <w:sz w:val="24"/>
          <w:highlight w:val="none"/>
        </w:rPr>
        <w:t xml:space="preserve">注：</w:t>
      </w:r>
      <w:r>
        <w:rPr>
          <w:rFonts w:hint="eastAsia" w:ascii="宋体" w:hAnsi="宋体" w:cs="宋体"/>
          <w:b/>
          <w:bCs/>
          <w:color w:val="auto"/>
          <w:sz w:val="24"/>
          <w:highlight w:val="none"/>
        </w:rPr>
        <w:t xml:space="preserve">1.此表中的报价应和《分项报价表》中的总价相一致。</w:t>
      </w:r>
      <w:r/>
    </w:p>
    <w:p>
      <w:pPr>
        <w:jc w:val="left"/>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二次报价即最终报价。</w:t>
      </w:r>
      <w:r/>
    </w:p>
    <w:p>
      <w:pPr>
        <w:spacing w:line="400" w:lineRule="exact"/>
        <w:rPr>
          <w:rFonts w:ascii="宋体" w:hAnsi="宋体" w:cs="宋体"/>
          <w:b/>
          <w:bCs/>
          <w:color w:val="auto"/>
          <w:sz w:val="24"/>
          <w:highlight w:val="none"/>
          <w:lang w:val="zh-CN"/>
        </w:rPr>
      </w:pPr>
      <w:r>
        <w:rPr>
          <w:rFonts w:ascii="宋体" w:hAnsi="宋体" w:cs="宋体"/>
          <w:b/>
          <w:bCs/>
          <w:color w:val="auto"/>
          <w:sz w:val="24"/>
          <w:highlight w:val="none"/>
          <w:lang w:val="zh-CN"/>
        </w:rPr>
      </w:r>
      <w:r/>
    </w:p>
    <w:p>
      <w:pPr>
        <w:ind w:firstLine="482"/>
        <w:spacing w:before="25" w:after="25" w:line="360" w:lineRule="auto"/>
        <w:rPr>
          <w:rFonts w:ascii="宋体" w:hAnsi="宋体" w:cs="宋体"/>
          <w:b/>
          <w:bCs/>
          <w:color w:val="auto"/>
          <w:sz w:val="24"/>
          <w:highlight w:val="none"/>
        </w:rPr>
      </w:pPr>
      <w:r>
        <w:rPr>
          <w:rFonts w:ascii="宋体" w:hAnsi="宋体" w:cs="宋体"/>
          <w:b/>
          <w:bCs/>
          <w:color w:val="auto"/>
          <w:sz w:val="24"/>
          <w:highlight w:val="none"/>
        </w:rPr>
      </w:r>
      <w:r/>
    </w:p>
    <w:p>
      <w:pPr>
        <w:spacing w:before="25" w:after="25" w:line="360" w:lineRule="auto"/>
        <w:rPr>
          <w:color w:val="auto"/>
          <w:sz w:val="24"/>
          <w:highlight w:val="none"/>
          <w:lang w:val="zh-CN"/>
        </w:rPr>
      </w:pPr>
      <w:r>
        <w:rPr>
          <w:color w:val="auto"/>
          <w:sz w:val="24"/>
          <w:highlight w:val="none"/>
          <w:lang w:val="zh-CN"/>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jc w:val="left"/>
        <w:widowControl/>
        <w:rPr>
          <w:color w:val="auto"/>
          <w:sz w:val="24"/>
          <w:szCs w:val="20"/>
          <w:highlight w:val="none"/>
        </w:rPr>
      </w:pPr>
      <w:r/>
      <w:bookmarkStart w:id="669" w:name="_Toc226965749"/>
      <w:r/>
      <w:bookmarkStart w:id="670" w:name="_Toc150774763"/>
      <w:r/>
      <w:bookmarkStart w:id="671" w:name="_Toc226337255"/>
      <w:r/>
      <w:bookmarkStart w:id="672" w:name="_Toc195842924"/>
      <w:r/>
      <w:bookmarkStart w:id="673" w:name="_Toc150480796"/>
      <w:r/>
      <w:bookmarkStart w:id="674" w:name="_Toc226965832"/>
      <w:r/>
      <w:bookmarkStart w:id="675" w:name="_Toc226309803"/>
      <w:r/>
      <w:bookmarkStart w:id="676" w:name="_Toc264969249"/>
      <w:r/>
      <w:bookmarkStart w:id="677" w:name="_Toc305158901"/>
      <w:r/>
      <w:bookmarkStart w:id="678" w:name="_Toc127151558"/>
      <w:r/>
      <w:bookmarkStart w:id="679" w:name="_Toc142311060"/>
      <w:r/>
      <w:bookmarkStart w:id="680" w:name="_Toc265228397"/>
      <w:r/>
      <w:bookmarkStart w:id="681" w:name="_Toc305158827"/>
      <w:r>
        <w:rPr>
          <w:color w:val="auto"/>
          <w:sz w:val="24"/>
          <w:szCs w:val="20"/>
          <w:highlight w:val="none"/>
        </w:rPr>
        <w:br w:type="page" w:clear="all"/>
      </w:r>
      <w:r>
        <w:rPr>
          <w:rFonts w:hint="eastAsia"/>
          <w:color w:val="auto"/>
          <w:sz w:val="24"/>
          <w:szCs w:val="20"/>
          <w:highlight w:val="none"/>
        </w:rPr>
        <w:t xml:space="preserve">8</w:t>
      </w:r>
      <w:r>
        <w:rPr>
          <w:color w:val="auto"/>
          <w:sz w:val="24"/>
          <w:szCs w:val="20"/>
          <w:highlight w:val="none"/>
        </w:rPr>
        <w:t xml:space="preserve"> 分项报价表</w:t>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r/>
    </w:p>
    <w:p>
      <w:pPr>
        <w:jc w:val="center"/>
        <w:spacing w:line="360" w:lineRule="exact"/>
        <w:rPr>
          <w:color w:val="auto"/>
          <w:sz w:val="36"/>
          <w:szCs w:val="36"/>
          <w:highlight w:val="none"/>
        </w:rPr>
      </w:pPr>
      <w:r>
        <w:rPr>
          <w:color w:val="auto"/>
          <w:sz w:val="36"/>
          <w:szCs w:val="36"/>
          <w:highlight w:val="none"/>
        </w:rPr>
      </w:r>
      <w:r/>
    </w:p>
    <w:p>
      <w:pPr>
        <w:jc w:val="center"/>
        <w:rPr>
          <w:b/>
          <w:color w:val="auto"/>
          <w:sz w:val="36"/>
          <w:szCs w:val="36"/>
          <w:highlight w:val="none"/>
        </w:rPr>
      </w:pPr>
      <w:r>
        <w:rPr>
          <w:rFonts w:hint="eastAsia"/>
          <w:b/>
          <w:color w:val="auto"/>
          <w:sz w:val="36"/>
          <w:szCs w:val="36"/>
          <w:highlight w:val="none"/>
        </w:rPr>
        <w:t xml:space="preserve">分项报价表</w:t>
      </w:r>
      <w:r/>
    </w:p>
    <w:p>
      <w:pPr>
        <w:jc w:val="center"/>
        <w:spacing w:line="260" w:lineRule="exact"/>
        <w:rPr>
          <w:color w:val="auto"/>
          <w:sz w:val="36"/>
          <w:szCs w:val="36"/>
          <w:highlight w:val="none"/>
        </w:rPr>
      </w:pPr>
      <w:r>
        <w:rPr>
          <w:color w:val="auto"/>
          <w:sz w:val="36"/>
          <w:szCs w:val="36"/>
          <w:highlight w:val="none"/>
        </w:rPr>
      </w:r>
      <w:r/>
    </w:p>
    <w:p>
      <w:pPr>
        <w:ind w:firstLine="480"/>
        <w:jc w:val="left"/>
        <w:tabs>
          <w:tab w:val="left" w:pos="1800" w:leader="none"/>
          <w:tab w:val="left" w:pos="5580" w:leader="none"/>
        </w:tabs>
        <w:rPr>
          <w:color w:val="auto"/>
          <w:sz w:val="24"/>
          <w:highlight w:val="none"/>
        </w:rPr>
      </w:pPr>
      <w:r>
        <w:rPr>
          <w:color w:val="auto"/>
          <w:sz w:val="24"/>
          <w:highlight w:val="none"/>
        </w:rPr>
      </w:r>
      <w:r/>
    </w:p>
    <w:p>
      <w:pPr>
        <w:jc w:val="center"/>
        <w:rPr>
          <w:rFonts w:ascii="宋体" w:hAnsi="宋体" w:cs="宋体"/>
          <w:b/>
          <w:color w:val="auto"/>
          <w:sz w:val="28"/>
          <w:szCs w:val="28"/>
          <w:highlight w:val="none"/>
        </w:rPr>
        <w:outlineLvl w:val="1"/>
      </w:pPr>
      <w:r/>
      <w:bookmarkStart w:id="682" w:name="_Toc226337258"/>
      <w:r/>
      <w:bookmarkStart w:id="683" w:name="_Toc265228400"/>
      <w:r/>
      <w:bookmarkStart w:id="684" w:name="_Toc195842927"/>
      <w:r/>
      <w:bookmarkStart w:id="685" w:name="_Toc226309806"/>
      <w:r/>
      <w:bookmarkStart w:id="686" w:name="_Toc127151562"/>
      <w:r/>
      <w:bookmarkStart w:id="687" w:name="_Toc226965752"/>
      <w:r/>
      <w:bookmarkStart w:id="688" w:name="_Toc142311062"/>
      <w:r/>
      <w:bookmarkStart w:id="689" w:name="_Toc226965835"/>
      <w:r/>
      <w:bookmarkStart w:id="690" w:name="_Toc150774765"/>
      <w:r/>
      <w:bookmarkStart w:id="691" w:name="_Toc264969252"/>
      <w:r/>
      <w:bookmarkStart w:id="692" w:name="_Toc305158904"/>
      <w:r/>
      <w:bookmarkStart w:id="693" w:name="_Toc150480798"/>
      <w:r/>
      <w:bookmarkStart w:id="694" w:name="_Toc305158830"/>
      <w:r/>
      <w:bookmarkStart w:id="695" w:name="_Toc150774764"/>
      <w:r/>
      <w:bookmarkStart w:id="696" w:name="_Toc142311061"/>
      <w:r/>
      <w:bookmarkStart w:id="697" w:name="_Toc226309805"/>
      <w:r/>
      <w:bookmarkStart w:id="698" w:name="_Toc226337257"/>
      <w:r/>
      <w:bookmarkStart w:id="699" w:name="_Toc150480797"/>
      <w:r/>
      <w:bookmarkStart w:id="700" w:name="_Toc305158903"/>
      <w:r/>
      <w:bookmarkStart w:id="701" w:name="_Toc195842926"/>
      <w:r/>
      <w:bookmarkStart w:id="702" w:name="_Toc226965834"/>
      <w:r/>
      <w:bookmarkStart w:id="703" w:name="_Toc127151561"/>
      <w:r/>
      <w:bookmarkStart w:id="704" w:name="_Toc226965751"/>
      <w:r/>
      <w:bookmarkStart w:id="705" w:name="_Toc305158829"/>
      <w:r/>
      <w:bookmarkStart w:id="706" w:name="_Toc264969251"/>
      <w:r/>
      <w:bookmarkStart w:id="707" w:name="_Toc265228399"/>
      <w:r>
        <w:rPr>
          <w:rFonts w:hint="eastAsia" w:ascii="宋体" w:hAnsi="宋体" w:cs="宋体"/>
          <w:b/>
          <w:color w:val="auto"/>
          <w:sz w:val="28"/>
          <w:szCs w:val="28"/>
          <w:highlight w:val="none"/>
        </w:rPr>
        <w:t xml:space="preserve">详见工程量清单</w:t>
      </w:r>
      <w:r/>
    </w:p>
    <w:p>
      <w:pPr>
        <w:spacing w:line="360" w:lineRule="exact"/>
        <w:rPr>
          <w:rFonts w:ascii="宋体" w:hAnsi="宋体" w:cs="宋体"/>
          <w:b/>
          <w:color w:val="auto"/>
          <w:sz w:val="28"/>
          <w:szCs w:val="28"/>
          <w:highlight w:val="none"/>
        </w:rPr>
        <w:outlineLvl w:val="1"/>
      </w:pPr>
      <w:r>
        <w:rPr>
          <w:rFonts w:ascii="宋体" w:hAnsi="宋体" w:cs="宋体"/>
          <w:b/>
          <w:color w:val="auto"/>
          <w:sz w:val="28"/>
          <w:szCs w:val="28"/>
          <w:highlight w:val="none"/>
        </w:rPr>
      </w:r>
      <w:r/>
    </w:p>
    <w:p>
      <w:pPr>
        <w:ind w:firstLine="480"/>
        <w:jc w:val="left"/>
        <w:tabs>
          <w:tab w:val="left" w:pos="1800" w:leader="none"/>
          <w:tab w:val="left" w:pos="5580" w:leader="none"/>
        </w:tabs>
        <w:rPr>
          <w:color w:val="auto"/>
          <w:sz w:val="24"/>
          <w:highlight w:val="none"/>
        </w:rPr>
      </w:pPr>
      <w:r>
        <w:rPr>
          <w:color w:val="auto"/>
          <w:sz w:val="24"/>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9</w:t>
      </w:r>
      <w:r>
        <w:rPr>
          <w:color w:val="auto"/>
          <w:sz w:val="24"/>
          <w:szCs w:val="20"/>
          <w:highlight w:val="none"/>
        </w:rPr>
        <w:t xml:space="preserve">  合同条款偏离表</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r/>
    </w:p>
    <w:p>
      <w:pPr>
        <w:spacing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合同条款偏离表</w:t>
      </w:r>
      <w:r/>
    </w:p>
    <w:p>
      <w:pPr>
        <w:jc w:val="center"/>
        <w:rPr>
          <w:color w:val="auto"/>
          <w:sz w:val="36"/>
          <w:szCs w:val="36"/>
          <w:highlight w:val="none"/>
        </w:rPr>
      </w:pPr>
      <w:r>
        <w:rPr>
          <w:color w:val="auto"/>
          <w:sz w:val="36"/>
          <w:szCs w:val="36"/>
          <w:highlight w:val="none"/>
        </w:rPr>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项目编号：_______________     项目名称：_____________________</w:t>
      </w:r>
      <w:r/>
    </w:p>
    <w:tbl>
      <w:tblPr>
        <w:tblStyle w:val="7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jc w:val="center"/>
          <w:trHeight w:val="930"/>
        </w:trPr>
        <w:tc>
          <w:tcPr>
            <w:gridSpan w:val="6"/>
            <w:tcW w:w="9288" w:type="dxa"/>
            <w:vAlign w:val="center"/>
            <w:textDirection w:val="lrTb"/>
            <w:noWrap w:val="false"/>
          </w:tcPr>
          <w:p>
            <w:pPr>
              <w:jc w:val="left"/>
              <w:rPr>
                <w:b/>
                <w:color w:val="auto"/>
                <w:sz w:val="24"/>
                <w:highlight w:val="none"/>
              </w:rPr>
            </w:pPr>
            <w:r>
              <w:rPr>
                <w:rFonts w:hint="eastAsia"/>
                <w:b/>
                <w:color w:val="auto"/>
                <w:sz w:val="24"/>
                <w:highlight w:val="none"/>
              </w:rPr>
              <w:t xml:space="preserve">对本项目合同条款的偏离情况（请进行勾选）：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930"/>
        </w:trPr>
        <w:tc>
          <w:tcPr>
            <w:tcW w:w="828"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290"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条目号（页码）</w:t>
            </w:r>
            <w:r/>
          </w:p>
        </w:tc>
        <w:tc>
          <w:tcPr>
            <w:tcW w:w="1980"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要求</w:t>
            </w:r>
            <w:r/>
          </w:p>
        </w:tc>
        <w:tc>
          <w:tcPr>
            <w:tcW w:w="1981" w:type="dxa"/>
            <w:vAlign w:val="center"/>
            <w:textDirection w:val="lrTb"/>
            <w:noWrap w:val="false"/>
          </w:tcPr>
          <w:p>
            <w:pPr>
              <w:jc w:val="center"/>
              <w:rPr>
                <w:color w:val="auto"/>
                <w:sz w:val="24"/>
                <w:highlight w:val="none"/>
              </w:rPr>
            </w:pPr>
            <w:r>
              <w:rPr>
                <w:color w:val="auto"/>
                <w:sz w:val="24"/>
                <w:highlight w:val="none"/>
              </w:rPr>
              <w:t xml:space="preserve">响应文件内容</w:t>
            </w:r>
            <w:r/>
          </w:p>
        </w:tc>
        <w:tc>
          <w:tcPr>
            <w:tcW w:w="2427"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highlight w:val="none"/>
              </w:rPr>
              <w:t xml:space="preserve">（据实填写）</w:t>
            </w:r>
            <w:r/>
          </w:p>
        </w:tc>
        <w:tc>
          <w:tcPr>
            <w:tcW w:w="782"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28"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7"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28"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7"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28"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7"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28" w:type="dxa"/>
            <w:vAlign w:val="center"/>
            <w:textDirection w:val="lrTb"/>
            <w:noWrap w:val="false"/>
          </w:tcPr>
          <w:p>
            <w:pPr>
              <w:jc w:val="center"/>
              <w:rPr>
                <w:color w:val="auto"/>
                <w:sz w:val="24"/>
                <w:highlight w:val="none"/>
              </w:rPr>
            </w:pPr>
            <w:r>
              <w:rPr>
                <w:color w:val="auto"/>
                <w:sz w:val="24"/>
                <w:highlight w:val="none"/>
              </w:rPr>
            </w:r>
            <w:r/>
          </w:p>
        </w:tc>
        <w:tc>
          <w:tcPr>
            <w:tcW w:w="1290" w:type="dxa"/>
            <w:vAlign w:val="center"/>
            <w:textDirection w:val="lrTb"/>
            <w:noWrap w:val="false"/>
          </w:tcPr>
          <w:p>
            <w:pPr>
              <w:jc w:val="center"/>
              <w:rPr>
                <w:color w:val="auto"/>
                <w:sz w:val="24"/>
                <w:highlight w:val="none"/>
              </w:rPr>
            </w:pPr>
            <w:r>
              <w:rPr>
                <w:color w:val="auto"/>
                <w:sz w:val="24"/>
                <w:highlight w:val="none"/>
              </w:rPr>
            </w:r>
            <w:r/>
          </w:p>
        </w:tc>
        <w:tc>
          <w:tcPr>
            <w:tcW w:w="1980" w:type="dxa"/>
            <w:vAlign w:val="center"/>
            <w:textDirection w:val="lrTb"/>
            <w:noWrap w:val="false"/>
          </w:tcPr>
          <w:p>
            <w:pPr>
              <w:jc w:val="center"/>
              <w:rPr>
                <w:color w:val="auto"/>
                <w:sz w:val="24"/>
                <w:highlight w:val="none"/>
              </w:rPr>
            </w:pPr>
            <w:r>
              <w:rPr>
                <w:color w:val="auto"/>
                <w:sz w:val="24"/>
                <w:highlight w:val="none"/>
              </w:rPr>
            </w:r>
            <w:r/>
          </w:p>
        </w:tc>
        <w:tc>
          <w:tcPr>
            <w:tcW w:w="1981" w:type="dxa"/>
            <w:vAlign w:val="center"/>
            <w:textDirection w:val="lrTb"/>
            <w:noWrap w:val="false"/>
          </w:tcPr>
          <w:p>
            <w:pPr>
              <w:jc w:val="center"/>
              <w:rPr>
                <w:color w:val="auto"/>
                <w:sz w:val="24"/>
                <w:highlight w:val="none"/>
              </w:rPr>
            </w:pPr>
            <w:r>
              <w:rPr>
                <w:color w:val="auto"/>
                <w:sz w:val="24"/>
                <w:highlight w:val="none"/>
              </w:rPr>
            </w:r>
            <w:r/>
          </w:p>
        </w:tc>
        <w:tc>
          <w:tcPr>
            <w:tcW w:w="2427" w:type="dxa"/>
            <w:vAlign w:val="center"/>
            <w:textDirection w:val="lrTb"/>
            <w:noWrap w:val="false"/>
          </w:tcPr>
          <w:p>
            <w:pPr>
              <w:jc w:val="center"/>
              <w:rPr>
                <w:color w:val="auto"/>
                <w:sz w:val="24"/>
                <w:highlight w:val="none"/>
              </w:rPr>
            </w:pPr>
            <w:r>
              <w:rPr>
                <w:color w:val="auto"/>
                <w:sz w:val="24"/>
                <w:highlight w:val="none"/>
              </w:rPr>
            </w:r>
            <w:r/>
          </w:p>
        </w:tc>
        <w:tc>
          <w:tcPr>
            <w:tcW w:w="782"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rFonts w:hint="eastAsia"/>
          <w:color w:val="auto"/>
          <w:sz w:val="24"/>
          <w:highlight w:val="none"/>
        </w:rPr>
        <w:t xml:space="preserve">注：</w:t>
      </w:r>
      <w:r/>
    </w:p>
    <w:p>
      <w:pPr>
        <w:jc w:val="left"/>
        <w:tabs>
          <w:tab w:val="left" w:pos="1800" w:leader="none"/>
          <w:tab w:val="left" w:pos="5580" w:leader="none"/>
        </w:tabs>
        <w:rPr>
          <w:color w:val="auto"/>
          <w:sz w:val="24"/>
          <w:highlight w:val="none"/>
        </w:rPr>
      </w:pPr>
      <w:r>
        <w:rPr>
          <w:color w:val="auto"/>
          <w:sz w:val="24"/>
          <w:highlight w:val="none"/>
        </w:rPr>
        <w:t xml:space="preserve">1. </w:t>
      </w:r>
      <w:r>
        <w:rPr>
          <w:rFonts w:hint="eastAsia"/>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auto"/>
          <w:sz w:val="24"/>
          <w:highlight w:val="none"/>
        </w:rPr>
      </w:pPr>
      <w:r>
        <w:rPr>
          <w:color w:val="auto"/>
          <w:sz w:val="24"/>
          <w:highlight w:val="none"/>
        </w:rPr>
        <w:t xml:space="preserve">2. </w:t>
      </w:r>
      <w:r>
        <w:rPr>
          <w:rFonts w:hint="eastAsia"/>
          <w:color w:val="auto"/>
          <w:sz w:val="24"/>
          <w:highlight w:val="none"/>
        </w:rPr>
        <w:t xml:space="preserve">“偏离情况”列应据实填写“正偏离”或“负偏离”。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10</w:t>
      </w:r>
      <w:r>
        <w:rPr>
          <w:color w:val="auto"/>
          <w:sz w:val="24"/>
          <w:szCs w:val="20"/>
          <w:highlight w:val="none"/>
        </w:rPr>
        <w:t xml:space="preserve"> </w:t>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rPr>
          <w:color w:val="auto"/>
          <w:sz w:val="24"/>
          <w:szCs w:val="20"/>
          <w:highlight w:val="none"/>
        </w:rPr>
        <w:t xml:space="preserve">采购需求偏离表</w:t>
      </w:r>
      <w:r/>
    </w:p>
    <w:p>
      <w:pPr>
        <w:jc w:val="center"/>
        <w:rPr>
          <w:b/>
          <w:color w:val="auto"/>
          <w:sz w:val="36"/>
          <w:szCs w:val="36"/>
          <w:highlight w:val="none"/>
        </w:rPr>
      </w:pPr>
      <w:r>
        <w:rPr>
          <w:rFonts w:hint="eastAsia"/>
          <w:b/>
          <w:color w:val="auto"/>
          <w:sz w:val="36"/>
          <w:szCs w:val="36"/>
          <w:highlight w:val="none"/>
        </w:rPr>
        <w:t xml:space="preserve">采购需求偏离表</w:t>
      </w:r>
      <w:r/>
    </w:p>
    <w:p>
      <w:pPr>
        <w:jc w:val="center"/>
        <w:rPr>
          <w:color w:val="auto"/>
          <w:sz w:val="36"/>
          <w:szCs w:val="36"/>
          <w:highlight w:val="none"/>
        </w:rPr>
      </w:pPr>
      <w:r>
        <w:rPr>
          <w:color w:val="auto"/>
          <w:sz w:val="36"/>
          <w:szCs w:val="36"/>
          <w:highlight w:val="non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项目名称：_______________________</w:t>
      </w:r>
      <w:r/>
    </w:p>
    <w:tbl>
      <w:tblPr>
        <w:tblStyle w:val="79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磋商文件条目号(页码)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磋商文件要求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szCs w:val="21"/>
                <w:highlight w:val="none"/>
              </w:rPr>
              <w:t xml:space="preserve">（据实填写）</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对磋商文件中的所有商务、技术要求，除本表所列明的所有偏离外，均视作供应商已对之理解和</w:t>
      </w:r>
      <w:r>
        <w:rPr>
          <w:rFonts w:hint="eastAsia"/>
          <w:color w:val="auto"/>
          <w:sz w:val="24"/>
          <w:highlight w:val="none"/>
        </w:rPr>
        <w:t xml:space="preserve">响应</w:t>
      </w:r>
      <w:r>
        <w:rPr>
          <w:color w:val="auto"/>
          <w:sz w:val="24"/>
          <w:highlight w:val="none"/>
        </w:rPr>
        <w:t xml:space="preserve">。此表中若无任何文字说明，内容为空白，则</w:t>
      </w:r>
      <w:r>
        <w:rPr>
          <w:b/>
          <w:color w:val="auto"/>
          <w:sz w:val="24"/>
          <w:highlight w:val="none"/>
        </w:rPr>
        <w:t xml:space="preserve">响应无效</w:t>
      </w:r>
      <w:r>
        <w:rPr>
          <w:color w:val="auto"/>
          <w:sz w:val="24"/>
          <w:highlight w:val="none"/>
        </w:rPr>
        <w:t xml:space="preserve">。</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“偏离情况”列应据实填写“正偏离”或“负偏离”。</w:t>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rFonts w:hint="eastAsia"/>
          <w:color w:val="auto"/>
          <w:sz w:val="24"/>
          <w:szCs w:val="20"/>
          <w:highlight w:val="none"/>
        </w:rPr>
      </w:pPr>
      <w:r>
        <w:rPr>
          <w:color w:val="auto"/>
          <w:sz w:val="24"/>
          <w:szCs w:val="20"/>
          <w:highlight w:val="none"/>
        </w:rPr>
        <w:br w:type="page" w:clear="all"/>
      </w:r>
      <w:r>
        <w:rPr>
          <w:rFonts w:hint="eastAsia"/>
          <w:color w:val="auto"/>
          <w:sz w:val="24"/>
          <w:szCs w:val="20"/>
          <w:highlight w:val="none"/>
        </w:rPr>
        <w:t xml:space="preserve">11 </w:t>
      </w:r>
      <w:r>
        <w:rPr>
          <w:color w:val="auto"/>
          <w:sz w:val="24"/>
          <w:szCs w:val="20"/>
          <w:highlight w:val="none"/>
        </w:rPr>
        <w:t xml:space="preserve"> </w:t>
      </w:r>
      <w:r>
        <w:rPr>
          <w:rFonts w:hint="eastAsia"/>
          <w:color w:val="auto"/>
          <w:sz w:val="24"/>
          <w:szCs w:val="20"/>
          <w:highlight w:val="none"/>
        </w:rPr>
        <w:t xml:space="preserve">项目实施方案等：</w:t>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（1）</w:t>
      </w:r>
      <w:r>
        <w:rPr>
          <w:rFonts w:hint="default" w:ascii="Times New Roman" w:hAnsi="Times New Roman" w:eastAsia="宋体" w:cs="Times New Roman"/>
          <w:color w:val="auto"/>
          <w:sz w:val="24"/>
          <w:highlight w:val="none"/>
          <w:lang w:val="en-US" w:eastAsia="zh-CN"/>
        </w:rPr>
        <w:t xml:space="preserve">项目总体概述</w:t>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（2）</w:t>
      </w:r>
      <w:r>
        <w:rPr>
          <w:rFonts w:hint="default" w:ascii="Times New Roman" w:hAnsi="Times New Roman" w:eastAsia="宋体" w:cs="Times New Roman"/>
          <w:color w:val="auto"/>
          <w:sz w:val="24"/>
          <w:highlight w:val="none"/>
          <w:lang w:val="en-US" w:eastAsia="zh-CN"/>
        </w:rPr>
        <w:t xml:space="preserve">整体施工方案</w:t>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（3）</w:t>
      </w:r>
      <w:r>
        <w:rPr>
          <w:rFonts w:hint="default" w:ascii="Times New Roman" w:hAnsi="Times New Roman" w:eastAsia="宋体" w:cs="Times New Roman"/>
          <w:color w:val="auto"/>
          <w:sz w:val="24"/>
          <w:highlight w:val="none"/>
          <w:lang w:val="en-US" w:eastAsia="zh-CN"/>
        </w:rPr>
        <w:t xml:space="preserve">质量保障措施</w:t>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（4）</w:t>
      </w:r>
      <w:r>
        <w:rPr>
          <w:rFonts w:hint="default" w:ascii="Times New Roman" w:hAnsi="Times New Roman" w:eastAsia="宋体" w:cs="Times New Roman"/>
          <w:color w:val="auto"/>
          <w:sz w:val="24"/>
          <w:highlight w:val="none"/>
          <w:lang w:val="en-US" w:eastAsia="zh-CN"/>
        </w:rPr>
        <w:t xml:space="preserve">施工进度计划及进度保障措施</w:t>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（5）</w:t>
      </w:r>
      <w:r>
        <w:rPr>
          <w:rFonts w:hint="default" w:ascii="Times New Roman" w:hAnsi="Times New Roman" w:eastAsia="宋体" w:cs="Times New Roman"/>
          <w:color w:val="auto"/>
          <w:sz w:val="24"/>
          <w:highlight w:val="none"/>
          <w:lang w:val="en-US" w:eastAsia="zh-CN"/>
        </w:rPr>
        <w:t xml:space="preserve">安全文明施工及环境保护措施</w:t>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（6）</w:t>
      </w:r>
      <w:r>
        <w:rPr>
          <w:rFonts w:hint="default" w:ascii="Times New Roman" w:hAnsi="Times New Roman" w:eastAsia="宋体" w:cs="Times New Roman"/>
          <w:color w:val="auto"/>
          <w:sz w:val="24"/>
          <w:highlight w:val="none"/>
          <w:lang w:val="en-US" w:eastAsia="zh-CN"/>
        </w:rPr>
        <w:t xml:space="preserve">关键施工技术、重难点分析及解决方案</w:t>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 xml:space="preserve">（7）施工资源配置、现场运维及质保服务保障方案</w:t>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auto"/>
          <w:sz w:val="24"/>
          <w:highlight w:val="none"/>
          <w:lang w:val="en-US" w:eastAsia="zh-CN"/>
        </w:rPr>
        <w:sectPr>
          <w:footnotePr/>
          <w:endnotePr/>
          <w:type w:val="nextPage"/>
          <w:pgSz w:w="11907" w:h="16840" w:orient="portrait"/>
          <w:pgMar w:top="1418" w:right="1134" w:bottom="1418" w:left="1701" w:header="851" w:footer="851" w:gutter="0"/>
          <w:cols w:num="1" w:sep="0" w:space="720" w:equalWidth="1"/>
          <w:docGrid w:linePitch="360"/>
        </w:sectPr>
      </w:pPr>
      <w:r>
        <w:rPr>
          <w:rFonts w:hint="default" w:ascii="Times New Roman" w:hAnsi="Times New Roman" w:eastAsia="宋体" w:cs="Times New Roman"/>
          <w:color w:val="auto"/>
          <w:sz w:val="24"/>
          <w:highlight w:val="none"/>
          <w:lang w:val="en-US" w:eastAsia="zh-CN"/>
        </w:rPr>
      </w:r>
      <w:r/>
    </w:p>
    <w:p>
      <w:pPr>
        <w:rPr>
          <w:color w:val="auto"/>
          <w:sz w:val="24"/>
          <w:szCs w:val="20"/>
          <w:highlight w:val="none"/>
        </w:rPr>
      </w:pPr>
      <w:r>
        <w:rPr>
          <w:rFonts w:hint="eastAsia"/>
          <w:color w:val="auto"/>
          <w:sz w:val="24"/>
          <w:szCs w:val="20"/>
          <w:highlight w:val="none"/>
        </w:rPr>
        <w:t xml:space="preserve"> 12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793"/>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sz w:val="24"/>
          <w:szCs w:val="20"/>
          <w:highlight w:val="none"/>
        </w:rPr>
      </w:pPr>
      <w:r>
        <w:rPr>
          <w:color w:val="auto"/>
          <w:sz w:val="22"/>
          <w:highlight w:val="none"/>
        </w:rPr>
        <w:br w:type="page" w:clear="all"/>
      </w:r>
      <w:bookmarkStart w:id="708" w:name="_Toc288738839"/>
      <w:r/>
      <w:bookmarkStart w:id="709" w:name="_Toc288738397"/>
      <w:r>
        <w:rPr>
          <w:rFonts w:hint="eastAsia"/>
          <w:color w:val="auto"/>
          <w:sz w:val="24"/>
          <w:szCs w:val="20"/>
          <w:highlight w:val="none"/>
        </w:rPr>
        <w:t xml:space="preserve">13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708"/>
      <w:r/>
      <w:bookmarkEnd w:id="709"/>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793"/>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highlight w:val="none"/>
        </w:rPr>
        <w:outlineLvl w:val="2"/>
      </w:pPr>
      <w:r>
        <w:rPr>
          <w:color w:val="auto"/>
          <w:sz w:val="24"/>
          <w:szCs w:val="20"/>
          <w:highlight w:val="none"/>
        </w:rPr>
        <w:br w:type="page" w:clear="all"/>
      </w:r>
      <w:r>
        <w:rPr>
          <w:color w:val="auto"/>
          <w:sz w:val="24"/>
          <w:szCs w:val="20"/>
          <w:highlight w:val="none"/>
        </w:rPr>
        <w:t xml:space="preserve">1</w:t>
      </w:r>
      <w:r>
        <w:rPr>
          <w:rFonts w:hint="eastAsia"/>
          <w:color w:val="auto"/>
          <w:sz w:val="24"/>
          <w:szCs w:val="20"/>
          <w:highlight w:val="none"/>
        </w:rPr>
        <w:t xml:space="preserve">4</w:t>
      </w:r>
      <w:r>
        <w:rPr>
          <w:color w:val="auto"/>
          <w:sz w:val="24"/>
          <w:szCs w:val="20"/>
          <w:highlight w:val="none"/>
        </w:rPr>
        <w:t xml:space="preserve">  磋商文件要求提供或供应商认为应附的其他材料</w:t>
      </w:r>
      <w:r/>
    </w:p>
    <w:p>
      <w:pPr>
        <w:rPr>
          <w:b/>
          <w:color w:val="auto"/>
          <w:sz w:val="36"/>
          <w:szCs w:val="36"/>
          <w:highlight w:val="none"/>
        </w:rPr>
      </w:pPr>
      <w:r>
        <w:rPr>
          <w:b/>
          <w:color w:val="auto"/>
          <w:sz w:val="36"/>
          <w:szCs w:val="36"/>
          <w:highlight w:val="none"/>
        </w:rPr>
      </w:r>
      <w:r/>
    </w:p>
    <w:p>
      <w:pPr>
        <w:rPr>
          <w:color w:val="auto"/>
          <w:sz w:val="24"/>
          <w:highlight w:val="none"/>
          <w:lang w:val="zh-CN"/>
        </w:rPr>
      </w:pPr>
      <w:r>
        <w:rPr>
          <w:color w:val="auto"/>
          <w:sz w:val="24"/>
          <w:szCs w:val="20"/>
          <w:highlight w:val="none"/>
        </w:rPr>
        <w:t xml:space="preserve"> </w:t>
      </w:r>
      <w:r/>
    </w:p>
    <w:p>
      <w:pPr>
        <w:jc w:val="left"/>
        <w:widowControl/>
        <w:rPr>
          <w:b/>
          <w:color w:val="auto"/>
          <w:sz w:val="36"/>
          <w:szCs w:val="36"/>
          <w:highlight w:val="none"/>
        </w:rPr>
      </w:pPr>
      <w:r>
        <w:rPr>
          <w:b/>
          <w:color w:val="auto"/>
          <w:sz w:val="36"/>
          <w:szCs w:val="36"/>
          <w:highlight w:val="none"/>
        </w:rPr>
      </w:r>
      <w:r/>
    </w:p>
    <w:p>
      <w:pPr>
        <w:rPr>
          <w:color w:val="auto"/>
          <w:highlight w:val="none"/>
        </w:rPr>
      </w:pPr>
      <w:r>
        <w:rPr>
          <w:color w:val="auto"/>
          <w:highlight w:val="none"/>
        </w:rPr>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rPr>
        <w:rStyle w:val="809"/>
      </w:rPr>
      <w:framePr w:wrap="around" w:vAnchor="text" w:hAnchor="margin" w:xAlign="center" w:y="1"/>
    </w:pPr>
    <w:r>
      <w:fldChar w:fldCharType="begin"/>
    </w:r>
    <w:r>
      <w:rPr>
        <w:rStyle w:val="809"/>
      </w:rPr>
      <w:instrText xml:space="preserve">PAGE  </w:instrText>
    </w:r>
    <w:r>
      <w:fldChar w:fldCharType="end"/>
    </w:r>
    <w:r/>
  </w:p>
  <w:p>
    <w:pPr>
      <w:pStyle w:val="80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rPr>
        <w:rStyle w:val="809"/>
      </w:rPr>
      <w:framePr w:wrap="around" w:vAnchor="text" w:hAnchor="margin" w:xAlign="right" w:y="1"/>
    </w:pPr>
    <w:r>
      <w:rPr>
        <w:rStyle w:val="809"/>
      </w:rPr>
      <w:fldChar w:fldCharType="begin"/>
    </w:r>
    <w:r>
      <w:rPr>
        <w:rStyle w:val="809"/>
      </w:rPr>
      <w:instrText xml:space="preserve">PAGE  </w:instrText>
    </w:r>
    <w:r>
      <w:rPr>
        <w:rStyle w:val="809"/>
      </w:rPr>
      <w:fldChar w:fldCharType="end"/>
    </w:r>
    <w:r/>
  </w:p>
  <w:p>
    <w:pPr>
      <w:pStyle w:val="803"/>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right"/>
    </w:pPr>
    <w:r>
      <w:rPr>
        <w:rFonts w:hint="eastAsia"/>
        <w:lang w:eastAsia="zh-CN"/>
      </w:rPr>
      <w:t xml:space="preserve">永武河（青龙西路-薛家浜桥）河道整治工程</w:t>
    </w:r>
    <w:r>
      <w:rPr>
        <w:rFonts w:hint="eastAsia"/>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right"/>
      <w:pBdr>
        <w:bottom w:val="single" w:color="auto" w:sz="4" w:space="1"/>
      </w:pBdr>
    </w:pPr>
    <w:r>
      <w:rPr>
        <w:rFonts w:hint="eastAsia"/>
        <w:lang w:eastAsia="zh-CN"/>
      </w:rPr>
      <w:t xml:space="preserve">永武河（青龙西路-薛家浜桥）河道整治工程</w:t>
    </w:r>
    <w:r>
      <w:rPr>
        <w:rFonts w:hint="eastAsia"/>
      </w:rPr>
      <w:t xml:space="preserve">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第%1章"/>
      <w:lvlJc w:val="left"/>
      <w:pPr/>
    </w:lvl>
    <w:lvl w:ilvl="1">
      <w:start w:val="1"/>
      <w:numFmt w:val="none"/>
      <w:isLgl w:val="false"/>
      <w:suff w:val="nothing"/>
      <w:lvlText w:val=""/>
      <w:lvlJc w:val="left"/>
      <w:pPr/>
    </w:lvl>
    <w:lvl w:ilvl="2">
      <w:start w:val="1"/>
      <w:numFmt w:val="none"/>
      <w:isLgl w:val="false"/>
      <w:suff w:val="nothing"/>
      <w:lvlText w:val=""/>
      <w:lvlJc w:val="left"/>
      <w:pPr/>
    </w:lvl>
    <w:lvl w:ilvl="3">
      <w:start w:val="1"/>
      <w:numFmt w:val="none"/>
      <w:pStyle w:val="791"/>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
    <w:multiLevelType w:val="hybridMultilevel"/>
    <w:lvl w:ilvl="0">
      <w:start w:val="2"/>
      <w:numFmt w:val="upperLetter"/>
      <w:pStyle w:val="789"/>
      <w:isLgl w:val="false"/>
      <w:suff w:val="tab"/>
      <w:lvlText w:val="%1、"/>
      <w:lvlJc w:val="left"/>
      <w:pPr>
        <w:ind w:left="1350" w:hanging="720"/>
        <w:tabs>
          <w:tab w:val="left" w:pos="135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92"/>
    <w:link w:val="789"/>
    <w:uiPriority w:val="9"/>
    <w:rPr>
      <w:rFonts w:ascii="Arial" w:hAnsi="Arial" w:eastAsia="Arial" w:cs="Arial"/>
      <w:sz w:val="40"/>
      <w:szCs w:val="40"/>
    </w:rPr>
  </w:style>
  <w:style w:type="paragraph" w:styleId="14">
    <w:name w:val="Heading 2"/>
    <w:basedOn w:val="788"/>
    <w:next w:val="78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92"/>
    <w:link w:val="14"/>
    <w:uiPriority w:val="9"/>
    <w:rPr>
      <w:rFonts w:ascii="Arial" w:hAnsi="Arial" w:eastAsia="Arial" w:cs="Arial"/>
      <w:sz w:val="34"/>
    </w:rPr>
  </w:style>
  <w:style w:type="character" w:styleId="17">
    <w:name w:val="Heading 3 Char"/>
    <w:basedOn w:val="792"/>
    <w:link w:val="790"/>
    <w:uiPriority w:val="9"/>
    <w:rPr>
      <w:rFonts w:ascii="Arial" w:hAnsi="Arial" w:eastAsia="Arial" w:cs="Arial"/>
      <w:sz w:val="30"/>
      <w:szCs w:val="30"/>
    </w:rPr>
  </w:style>
  <w:style w:type="character" w:styleId="19">
    <w:name w:val="Heading 4 Char"/>
    <w:basedOn w:val="792"/>
    <w:link w:val="791"/>
    <w:uiPriority w:val="9"/>
    <w:rPr>
      <w:rFonts w:ascii="Arial" w:hAnsi="Arial" w:eastAsia="Arial" w:cs="Arial"/>
      <w:b/>
      <w:bCs/>
      <w:sz w:val="26"/>
      <w:szCs w:val="26"/>
    </w:rPr>
  </w:style>
  <w:style w:type="paragraph" w:styleId="20">
    <w:name w:val="Heading 5"/>
    <w:basedOn w:val="788"/>
    <w:next w:val="78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92"/>
    <w:link w:val="20"/>
    <w:uiPriority w:val="9"/>
    <w:rPr>
      <w:rFonts w:ascii="Arial" w:hAnsi="Arial" w:eastAsia="Arial" w:cs="Arial"/>
      <w:b/>
      <w:bCs/>
      <w:sz w:val="24"/>
      <w:szCs w:val="24"/>
    </w:rPr>
  </w:style>
  <w:style w:type="paragraph" w:styleId="22">
    <w:name w:val="Heading 6"/>
    <w:basedOn w:val="788"/>
    <w:next w:val="78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92"/>
    <w:link w:val="22"/>
    <w:uiPriority w:val="9"/>
    <w:rPr>
      <w:rFonts w:ascii="Arial" w:hAnsi="Arial" w:eastAsia="Arial" w:cs="Arial"/>
      <w:b/>
      <w:bCs/>
      <w:sz w:val="22"/>
      <w:szCs w:val="22"/>
    </w:rPr>
  </w:style>
  <w:style w:type="paragraph" w:styleId="24">
    <w:name w:val="Heading 7"/>
    <w:basedOn w:val="788"/>
    <w:next w:val="78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92"/>
    <w:link w:val="24"/>
    <w:uiPriority w:val="9"/>
    <w:rPr>
      <w:rFonts w:ascii="Arial" w:hAnsi="Arial" w:eastAsia="Arial" w:cs="Arial"/>
      <w:b/>
      <w:bCs/>
      <w:i/>
      <w:iCs/>
      <w:sz w:val="22"/>
      <w:szCs w:val="22"/>
    </w:rPr>
  </w:style>
  <w:style w:type="paragraph" w:styleId="26">
    <w:name w:val="Heading 8"/>
    <w:basedOn w:val="788"/>
    <w:next w:val="78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92"/>
    <w:link w:val="26"/>
    <w:uiPriority w:val="9"/>
    <w:rPr>
      <w:rFonts w:ascii="Arial" w:hAnsi="Arial" w:eastAsia="Arial" w:cs="Arial"/>
      <w:i/>
      <w:iCs/>
      <w:sz w:val="22"/>
      <w:szCs w:val="22"/>
    </w:rPr>
  </w:style>
  <w:style w:type="paragraph" w:styleId="28">
    <w:name w:val="Heading 9"/>
    <w:basedOn w:val="788"/>
    <w:next w:val="78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92"/>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88"/>
    <w:next w:val="788"/>
    <w:link w:val="34"/>
    <w:uiPriority w:val="10"/>
    <w:qFormat/>
    <w:pPr>
      <w:contextualSpacing/>
      <w:spacing w:before="300" w:after="200"/>
    </w:pPr>
    <w:rPr>
      <w:sz w:val="48"/>
      <w:szCs w:val="48"/>
    </w:rPr>
  </w:style>
  <w:style w:type="character" w:styleId="34">
    <w:name w:val="Title Char"/>
    <w:basedOn w:val="792"/>
    <w:link w:val="33"/>
    <w:uiPriority w:val="10"/>
    <w:rPr>
      <w:sz w:val="48"/>
      <w:szCs w:val="48"/>
    </w:rPr>
  </w:style>
  <w:style w:type="paragraph" w:styleId="35">
    <w:name w:val="Subtitle"/>
    <w:basedOn w:val="788"/>
    <w:next w:val="788"/>
    <w:link w:val="36"/>
    <w:uiPriority w:val="11"/>
    <w:qFormat/>
    <w:pPr>
      <w:spacing w:before="200" w:after="200"/>
    </w:pPr>
    <w:rPr>
      <w:sz w:val="24"/>
      <w:szCs w:val="24"/>
    </w:rPr>
  </w:style>
  <w:style w:type="character" w:styleId="36">
    <w:name w:val="Subtitle Char"/>
    <w:basedOn w:val="792"/>
    <w:link w:val="35"/>
    <w:uiPriority w:val="11"/>
    <w:rPr>
      <w:sz w:val="24"/>
      <w:szCs w:val="24"/>
    </w:rPr>
  </w:style>
  <w:style w:type="paragraph" w:styleId="37">
    <w:name w:val="Quote"/>
    <w:basedOn w:val="788"/>
    <w:next w:val="788"/>
    <w:link w:val="38"/>
    <w:uiPriority w:val="29"/>
    <w:qFormat/>
    <w:pPr>
      <w:ind w:left="720" w:right="720"/>
    </w:pPr>
    <w:rPr>
      <w:i/>
    </w:rPr>
  </w:style>
  <w:style w:type="character" w:styleId="38">
    <w:name w:val="Quote Char"/>
    <w:link w:val="37"/>
    <w:uiPriority w:val="29"/>
    <w:rPr>
      <w:i/>
    </w:rPr>
  </w:style>
  <w:style w:type="paragraph" w:styleId="39">
    <w:name w:val="Intense Quote"/>
    <w:basedOn w:val="788"/>
    <w:next w:val="7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92"/>
    <w:link w:val="804"/>
    <w:uiPriority w:val="99"/>
  </w:style>
  <w:style w:type="character" w:styleId="44">
    <w:name w:val="Footer Char"/>
    <w:basedOn w:val="792"/>
    <w:link w:val="803"/>
    <w:uiPriority w:val="99"/>
  </w:style>
  <w:style w:type="paragraph" w:styleId="45">
    <w:name w:val="Caption"/>
    <w:basedOn w:val="788"/>
    <w:next w:val="788"/>
    <w:uiPriority w:val="35"/>
    <w:semiHidden/>
    <w:unhideWhenUsed/>
    <w:qFormat/>
    <w:pPr>
      <w:spacing w:line="276" w:lineRule="auto"/>
    </w:pPr>
    <w:rPr>
      <w:b/>
      <w:bCs/>
      <w:color w:val="4f81bd" w:themeColor="accent1"/>
      <w:sz w:val="18"/>
      <w:szCs w:val="18"/>
    </w:rPr>
  </w:style>
  <w:style w:type="character" w:styleId="46">
    <w:name w:val="Caption Char"/>
    <w:basedOn w:val="45"/>
    <w:link w:val="803"/>
    <w:uiPriority w:val="99"/>
  </w:style>
  <w:style w:type="table" w:styleId="47">
    <w:name w:val="Table Grid"/>
    <w:basedOn w:val="79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9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9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9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9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9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9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9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9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9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9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9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9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9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9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9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9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9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9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9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9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9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9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9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9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9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9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9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9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9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9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9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9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9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9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9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9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9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9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9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9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9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9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9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9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9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9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9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9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9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9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9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9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9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9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9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9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9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9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9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9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9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9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9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9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9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9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9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9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9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9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9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9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9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9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9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9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9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9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9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9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9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9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9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9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9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9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9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9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9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8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92"/>
    <w:uiPriority w:val="99"/>
    <w:unhideWhenUsed/>
    <w:rPr>
      <w:vertAlign w:val="superscript"/>
    </w:rPr>
  </w:style>
  <w:style w:type="paragraph" w:styleId="177">
    <w:name w:val="endnote text"/>
    <w:basedOn w:val="7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92"/>
    <w:uiPriority w:val="99"/>
    <w:semiHidden/>
    <w:unhideWhenUsed/>
    <w:rPr>
      <w:vertAlign w:val="superscript"/>
    </w:rPr>
  </w:style>
  <w:style w:type="paragraph" w:styleId="181">
    <w:name w:val="toc 2"/>
    <w:basedOn w:val="788"/>
    <w:next w:val="788"/>
    <w:uiPriority w:val="39"/>
    <w:unhideWhenUsed/>
    <w:pPr>
      <w:ind w:left="283" w:right="0" w:firstLine="0"/>
      <w:spacing w:after="57"/>
    </w:pPr>
  </w:style>
  <w:style w:type="paragraph" w:styleId="182">
    <w:name w:val="toc 3"/>
    <w:basedOn w:val="788"/>
    <w:next w:val="788"/>
    <w:uiPriority w:val="39"/>
    <w:unhideWhenUsed/>
    <w:pPr>
      <w:ind w:left="567" w:right="0" w:firstLine="0"/>
      <w:spacing w:after="57"/>
    </w:pPr>
  </w:style>
  <w:style w:type="paragraph" w:styleId="183">
    <w:name w:val="toc 4"/>
    <w:basedOn w:val="788"/>
    <w:next w:val="788"/>
    <w:uiPriority w:val="39"/>
    <w:unhideWhenUsed/>
    <w:pPr>
      <w:ind w:left="850" w:right="0" w:firstLine="0"/>
      <w:spacing w:after="57"/>
    </w:pPr>
  </w:style>
  <w:style w:type="paragraph" w:styleId="184">
    <w:name w:val="toc 5"/>
    <w:basedOn w:val="788"/>
    <w:next w:val="788"/>
    <w:uiPriority w:val="39"/>
    <w:unhideWhenUsed/>
    <w:pPr>
      <w:ind w:left="1134" w:right="0" w:firstLine="0"/>
      <w:spacing w:after="57"/>
    </w:pPr>
  </w:style>
  <w:style w:type="paragraph" w:styleId="185">
    <w:name w:val="toc 6"/>
    <w:basedOn w:val="788"/>
    <w:next w:val="788"/>
    <w:uiPriority w:val="39"/>
    <w:unhideWhenUsed/>
    <w:pPr>
      <w:ind w:left="1417" w:right="0" w:firstLine="0"/>
      <w:spacing w:after="57"/>
    </w:pPr>
  </w:style>
  <w:style w:type="paragraph" w:styleId="186">
    <w:name w:val="toc 7"/>
    <w:basedOn w:val="788"/>
    <w:next w:val="788"/>
    <w:uiPriority w:val="39"/>
    <w:unhideWhenUsed/>
    <w:pPr>
      <w:ind w:left="1701" w:right="0" w:firstLine="0"/>
      <w:spacing w:after="57"/>
    </w:pPr>
  </w:style>
  <w:style w:type="paragraph" w:styleId="187">
    <w:name w:val="toc 8"/>
    <w:basedOn w:val="788"/>
    <w:next w:val="788"/>
    <w:uiPriority w:val="39"/>
    <w:unhideWhenUsed/>
    <w:pPr>
      <w:ind w:left="1984" w:right="0" w:firstLine="0"/>
      <w:spacing w:after="57"/>
    </w:pPr>
  </w:style>
  <w:style w:type="paragraph" w:styleId="188">
    <w:name w:val="toc 9"/>
    <w:basedOn w:val="788"/>
    <w:next w:val="78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88"/>
    <w:next w:val="788"/>
    <w:uiPriority w:val="99"/>
    <w:unhideWhenUsed/>
    <w:pPr>
      <w:spacing w:after="0" w:afterAutospacing="0"/>
    </w:pPr>
  </w:style>
  <w:style w:type="paragraph" w:styleId="78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9">
    <w:name w:val="Heading 1"/>
    <w:next w:val="788"/>
    <w:uiPriority w:val="0"/>
    <w:qFormat/>
    <w:pPr>
      <w:numPr>
        <w:ilvl w:val="0"/>
        <w:numId w:val="1"/>
      </w:numPr>
      <w:jc w:val="left"/>
      <w:keepNext/>
      <w:widowControl/>
      <w:outlineLvl w:val="0"/>
    </w:pPr>
    <w:rPr>
      <w:rFonts w:ascii="仿宋_GB2312" w:hAnsi="Times New Roman" w:eastAsia="仿宋_GB2312" w:cs="Times New Roman"/>
      <w:sz w:val="24"/>
      <w:szCs w:val="20"/>
      <w:lang w:val="en-US" w:eastAsia="zh-CN" w:bidi="ar-SA"/>
    </w:rPr>
  </w:style>
  <w:style w:type="paragraph" w:styleId="790">
    <w:name w:val="Heading 3"/>
    <w:basedOn w:val="788"/>
    <w:next w:val="788"/>
    <w:uiPriority w:val="0"/>
    <w:qFormat/>
    <w:pPr>
      <w:jc w:val="left"/>
      <w:keepLines/>
      <w:keepNext/>
      <w:spacing w:before="360" w:after="120"/>
      <w:outlineLvl w:val="2"/>
    </w:pPr>
    <w:rPr>
      <w:rFonts w:ascii="宋体"/>
      <w:b/>
      <w:sz w:val="24"/>
      <w:szCs w:val="20"/>
      <w:u w:val="single"/>
    </w:rPr>
  </w:style>
  <w:style w:type="paragraph" w:styleId="791">
    <w:name w:val="Heading 4"/>
    <w:next w:val="788"/>
    <w:uiPriority w:val="0"/>
    <w:qFormat/>
    <w:pPr>
      <w:numPr>
        <w:ilvl w:val="3"/>
        <w:numId w:val="2"/>
      </w:numPr>
      <w:jc w:val="both"/>
      <w:keepLines/>
      <w:keepNext/>
      <w:spacing w:before="280" w:after="290" w:line="376" w:lineRule="atLeast"/>
      <w:widowControl w:val="off"/>
      <w:outlineLvl w:val="3"/>
    </w:pPr>
    <w:rPr>
      <w:rFonts w:ascii="Arial" w:hAnsi="Arial" w:eastAsia="黑体" w:cs="Times New Roman"/>
      <w:b/>
      <w:sz w:val="28"/>
      <w:szCs w:val="24"/>
      <w:lang w:val="en-US" w:eastAsia="zh-CN" w:bidi="ar-SA"/>
    </w:rPr>
  </w:style>
  <w:style w:type="character" w:styleId="792" w:default="1">
    <w:name w:val="Default Paragraph Font"/>
    <w:uiPriority w:val="1"/>
    <w:semiHidden/>
    <w:unhideWhenUsed/>
    <w:qFormat/>
  </w:style>
  <w:style w:type="table" w:styleId="793" w:default="1">
    <w:name w:val="Normal Table"/>
    <w:uiPriority w:val="99"/>
    <w:semiHidden/>
    <w:unhideWhenUsed/>
    <w:qFormat/>
    <w:tblPr>
      <w:tblCellMar>
        <w:left w:w="108" w:type="dxa"/>
        <w:top w:w="0" w:type="dxa"/>
        <w:right w:w="108" w:type="dxa"/>
        <w:bottom w:w="0" w:type="dxa"/>
      </w:tblCellMar>
    </w:tblPr>
  </w:style>
  <w:style w:type="paragraph" w:styleId="794">
    <w:name w:val="table of authorities"/>
    <w:next w:val="795"/>
    <w:uiPriority w:val="99"/>
    <w:unhideWhenUsed/>
    <w:qFormat/>
    <w:pPr>
      <w:ind w:left="420"/>
      <w:jc w:val="both"/>
      <w:widowControl w:val="off"/>
    </w:pPr>
    <w:rPr>
      <w:rFonts w:ascii="Calibri" w:hAnsi="Calibri" w:eastAsia="宋体" w:cs="Times New Roman"/>
      <w:sz w:val="21"/>
      <w:szCs w:val="24"/>
      <w:lang w:val="en-US" w:eastAsia="zh-CN" w:bidi="ar-SA"/>
    </w:rPr>
  </w:style>
  <w:style w:type="paragraph" w:styleId="795" w:customStyle="1">
    <w:name w:val="正文 A"/>
    <w:next w:val="794"/>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796">
    <w:name w:val="Normal Indent"/>
    <w:basedOn w:val="788"/>
    <w:next w:val="788"/>
    <w:uiPriority w:val="0"/>
    <w:qFormat/>
    <w:pPr>
      <w:ind w:firstLine="420"/>
      <w:jc w:val="left"/>
    </w:pPr>
    <w:rPr>
      <w:rFonts w:ascii="宋体"/>
      <w:sz w:val="24"/>
    </w:rPr>
  </w:style>
  <w:style w:type="paragraph" w:styleId="797">
    <w:name w:val="Document Map"/>
    <w:basedOn w:val="788"/>
    <w:next w:val="788"/>
    <w:uiPriority w:val="0"/>
    <w:qFormat/>
    <w:pPr>
      <w:shd w:val="clear" w:color="auto" w:fill="000080"/>
    </w:pPr>
  </w:style>
  <w:style w:type="paragraph" w:styleId="798">
    <w:name w:val="annotation text"/>
    <w:basedOn w:val="788"/>
    <w:link w:val="816"/>
    <w:uiPriority w:val="0"/>
    <w:qFormat/>
    <w:pPr>
      <w:jc w:val="left"/>
    </w:pPr>
  </w:style>
  <w:style w:type="paragraph" w:styleId="799">
    <w:name w:val="Body Text"/>
    <w:basedOn w:val="788"/>
    <w:next w:val="788"/>
    <w:uiPriority w:val="0"/>
    <w:qFormat/>
    <w:pPr>
      <w:spacing w:before="120" w:line="22" w:lineRule="atLeast"/>
      <w:tabs>
        <w:tab w:val="left" w:pos="567" w:leader="none"/>
      </w:tabs>
    </w:pPr>
    <w:rPr>
      <w:rFonts w:ascii="宋体" w:hAnsi="宋体"/>
      <w:sz w:val="24"/>
    </w:rPr>
  </w:style>
  <w:style w:type="paragraph" w:styleId="800">
    <w:name w:val="Body Text Indent"/>
    <w:basedOn w:val="788"/>
    <w:next w:val="788"/>
    <w:uiPriority w:val="0"/>
    <w:qFormat/>
    <w:pPr>
      <w:ind w:firstLine="570"/>
      <w:spacing w:line="360" w:lineRule="auto"/>
    </w:pPr>
    <w:rPr>
      <w:sz w:val="24"/>
    </w:rPr>
  </w:style>
  <w:style w:type="paragraph" w:styleId="801">
    <w:name w:val="Plain Text"/>
    <w:basedOn w:val="788"/>
    <w:next w:val="796"/>
    <w:uiPriority w:val="0"/>
    <w:qFormat/>
    <w:rPr>
      <w:rFonts w:hint="eastAsia" w:ascii="宋体" w:hAnsi="Courier New"/>
      <w:szCs w:val="20"/>
    </w:rPr>
  </w:style>
  <w:style w:type="paragraph" w:styleId="802">
    <w:name w:val="Balloon Text"/>
    <w:basedOn w:val="788"/>
    <w:link w:val="815"/>
    <w:uiPriority w:val="0"/>
    <w:qFormat/>
    <w:rPr>
      <w:sz w:val="18"/>
      <w:szCs w:val="18"/>
    </w:rPr>
  </w:style>
  <w:style w:type="paragraph" w:styleId="803">
    <w:name w:val="Footer"/>
    <w:basedOn w:val="788"/>
    <w:uiPriority w:val="99"/>
    <w:qFormat/>
    <w:pPr>
      <w:jc w:val="left"/>
      <w:tabs>
        <w:tab w:val="center" w:pos="4153" w:leader="none"/>
        <w:tab w:val="right" w:pos="8306" w:leader="none"/>
      </w:tabs>
    </w:pPr>
    <w:rPr>
      <w:rFonts w:ascii="宋体"/>
      <w:sz w:val="18"/>
      <w:szCs w:val="20"/>
    </w:rPr>
  </w:style>
  <w:style w:type="paragraph" w:styleId="804">
    <w:name w:val="Header"/>
    <w:basedOn w:val="788"/>
    <w:uiPriority w:val="0"/>
    <w:qFormat/>
    <w:pPr>
      <w:jc w:val="center"/>
      <w:tabs>
        <w:tab w:val="center" w:pos="4153" w:leader="none"/>
        <w:tab w:val="right" w:pos="8306" w:leader="none"/>
      </w:tabs>
      <w:pBdr>
        <w:bottom w:val="single" w:color="auto" w:sz="6" w:space="1"/>
      </w:pBdr>
    </w:pPr>
    <w:rPr>
      <w:sz w:val="18"/>
      <w:szCs w:val="18"/>
    </w:rPr>
  </w:style>
  <w:style w:type="paragraph" w:styleId="805">
    <w:name w:val="toc 1"/>
    <w:basedOn w:val="788"/>
    <w:next w:val="788"/>
    <w:uiPriority w:val="39"/>
    <w:qFormat/>
    <w:pPr>
      <w:spacing w:line="300" w:lineRule="auto"/>
      <w:tabs>
        <w:tab w:val="left" w:pos="1050" w:leader="none"/>
        <w:tab w:val="right" w:pos="8937" w:leader="dot"/>
      </w:tabs>
    </w:pPr>
    <w:rPr>
      <w:rFonts w:ascii="宋体" w:hAnsi="宋体"/>
      <w:b/>
      <w:sz w:val="24"/>
    </w:rPr>
  </w:style>
  <w:style w:type="paragraph" w:styleId="806">
    <w:name w:val="Normal (Web)"/>
    <w:basedOn w:val="788"/>
    <w:uiPriority w:val="0"/>
    <w:qFormat/>
    <w:rPr>
      <w:sz w:val="24"/>
    </w:rPr>
  </w:style>
  <w:style w:type="paragraph" w:styleId="807">
    <w:name w:val="annotation subject"/>
    <w:basedOn w:val="798"/>
    <w:next w:val="798"/>
    <w:link w:val="817"/>
    <w:uiPriority w:val="0"/>
    <w:qFormat/>
    <w:rPr>
      <w:b/>
      <w:bCs/>
    </w:rPr>
  </w:style>
  <w:style w:type="character" w:styleId="808">
    <w:name w:val="Strong"/>
    <w:basedOn w:val="792"/>
    <w:uiPriority w:val="0"/>
    <w:qFormat/>
    <w:rPr>
      <w:b/>
    </w:rPr>
  </w:style>
  <w:style w:type="character" w:styleId="809">
    <w:name w:val="page number"/>
    <w:basedOn w:val="792"/>
    <w:uiPriority w:val="0"/>
    <w:qFormat/>
  </w:style>
  <w:style w:type="character" w:styleId="810">
    <w:name w:val="Hyperlink"/>
    <w:uiPriority w:val="99"/>
    <w:qFormat/>
    <w:rPr>
      <w:color w:val="0000ff"/>
      <w:u w:val="single"/>
    </w:rPr>
  </w:style>
  <w:style w:type="character" w:styleId="811">
    <w:name w:val="annotation reference"/>
    <w:basedOn w:val="792"/>
    <w:uiPriority w:val="0"/>
    <w:qFormat/>
    <w:rPr>
      <w:sz w:val="21"/>
      <w:szCs w:val="21"/>
    </w:rPr>
  </w:style>
  <w:style w:type="paragraph" w:styleId="812">
    <w:name w:val="List Paragraph"/>
    <w:basedOn w:val="788"/>
    <w:uiPriority w:val="34"/>
    <w:qFormat/>
    <w:pPr>
      <w:ind w:firstLine="420"/>
    </w:pPr>
    <w:rPr>
      <w:rFonts w:ascii="Calibri" w:hAnsi="Calibri"/>
      <w:szCs w:val="22"/>
    </w:rPr>
  </w:style>
  <w:style w:type="paragraph" w:styleId="813" w:customStyle="1">
    <w:name w:val="成文日期"/>
    <w:basedOn w:val="788"/>
    <w:uiPriority w:val="0"/>
    <w:qFormat/>
    <w:pPr>
      <w:ind w:right="400" w:firstLine="200"/>
      <w:jc w:val="right"/>
      <w:spacing w:line="570" w:lineRule="exact"/>
    </w:pPr>
    <w:rPr>
      <w:rFonts w:ascii="仿宋_GB2312" w:eastAsia="仿宋_GB2312"/>
      <w:sz w:val="32"/>
      <w:szCs w:val="20"/>
    </w:rPr>
  </w:style>
  <w:style w:type="paragraph" w:styleId="814" w:customStyle="1">
    <w:name w:val="null3"/>
    <w:hidden/>
    <w:uiPriority w:val="0"/>
    <w:qFormat/>
    <w:rPr>
      <w:rFonts w:hint="eastAsia" w:ascii="Calibri" w:hAnsi="Calibri" w:eastAsia="宋体" w:cs="Times New Roman"/>
      <w:lang w:val="en-US" w:eastAsia="zh-CN" w:bidi="ar-SA"/>
    </w:rPr>
  </w:style>
  <w:style w:type="character" w:styleId="815" w:customStyle="1">
    <w:name w:val="批注框文本 Char"/>
    <w:basedOn w:val="792"/>
    <w:link w:val="802"/>
    <w:uiPriority w:val="0"/>
    <w:qFormat/>
    <w:rPr>
      <w:sz w:val="18"/>
      <w:szCs w:val="18"/>
    </w:rPr>
  </w:style>
  <w:style w:type="character" w:styleId="816" w:customStyle="1">
    <w:name w:val="批注文字 Char"/>
    <w:basedOn w:val="792"/>
    <w:link w:val="798"/>
    <w:uiPriority w:val="0"/>
    <w:qFormat/>
    <w:rPr>
      <w:sz w:val="21"/>
      <w:szCs w:val="24"/>
    </w:rPr>
  </w:style>
  <w:style w:type="character" w:styleId="817" w:customStyle="1">
    <w:name w:val="批注主题 Char"/>
    <w:basedOn w:val="816"/>
    <w:link w:val="807"/>
    <w:uiPriority w:val="0"/>
    <w:qFormat/>
    <w:rPr>
      <w:b/>
      <w:bCs/>
      <w:sz w:val="21"/>
      <w:szCs w:val="24"/>
    </w:rPr>
  </w:style>
  <w:style w:type="paragraph" w:styleId="818" w:customStyle="1">
    <w:name w:val="_Style 4"/>
    <w:next w:val="788"/>
    <w:uiPriority w:val="0"/>
    <w:qFormat/>
    <w:pPr>
      <w:numPr>
        <w:ilvl w:val="0"/>
        <w:numId w:val="0"/>
      </w:numPr>
      <w:jc w:val="both"/>
      <w:keepLines/>
      <w:keepNext/>
      <w:spacing w:before="340" w:after="330" w:line="576" w:lineRule="auto"/>
      <w:widowControl w:val="off"/>
      <w:outlineLvl w:val="9"/>
    </w:pPr>
    <w:rPr>
      <w:rFonts w:ascii="Calibri" w:hAnsi="Calibri" w:eastAsia="宋体" w:cs="Times New Roman"/>
      <w:b/>
      <w:bCs/>
      <w:sz w:val="44"/>
      <w:szCs w:val="44"/>
      <w:lang w:val="en-US" w:eastAsia="zh-CN" w:bidi="ar-SA"/>
    </w:rPr>
  </w:style>
  <w:style w:type="paragraph" w:styleId="819" w:customStyle="1">
    <w:name w:val="正文_0_1"/>
    <w:uiPriority w:val="0"/>
    <w:qFormat/>
    <w:pPr>
      <w:jc w:val="both"/>
      <w:widowControl w:val="off"/>
    </w:pPr>
    <w:rPr>
      <w:rFonts w:ascii="Calibri" w:hAnsi="Calibri" w:eastAsia="宋体" w:cs="Times New Roman"/>
      <w:sz w:val="21"/>
      <w:szCs w:val="22"/>
      <w:lang w:val="en-US" w:eastAsia="zh-CN" w:bidi="ar-SA"/>
    </w:rPr>
  </w:style>
  <w:style w:type="numbering" w:styleId="124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π</dc:creator>
  <cp:lastModifiedBy>嵇玲</cp:lastModifiedBy>
  <cp:revision>3</cp:revision>
  <dcterms:created xsi:type="dcterms:W3CDTF">2024-08-12T03:22:00Z</dcterms:created>
  <dcterms:modified xsi:type="dcterms:W3CDTF">2026-09-09T01:04:25Z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576D09BA8D074A44B6D2388C7D81AEFD_13</vt:lpwstr>
  </property>
  <property fmtid="{D5CDD505-2E9C-101B-9397-08002B2CF9AE}" pid="4" name="KSOTemplateDocerSaveRecord">
    <vt:lpwstr>eyJoZGlkIjoiZDI2OTIxZjNiZjQyM2RhZGE1NjdmY2MxYTljZDAzODciLCJ1c2VySWQiOiIyMzc3NDY1ODEifQ==</vt:lpwstr>
  </property>
</Properties>
</file>