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106C9">
      <w:pPr>
        <w:spacing w:line="360" w:lineRule="auto"/>
        <w:ind w:firstLine="420"/>
        <w:jc w:val="right"/>
        <w:rPr>
          <w:rFonts w:ascii="宋体" w:hAnsi="宋体" w:cs="宋体"/>
          <w:color w:val="auto"/>
          <w:szCs w:val="21"/>
        </w:rPr>
      </w:pPr>
      <w:bookmarkStart w:id="0" w:name="_GoBack"/>
      <w:bookmarkEnd w:id="0"/>
      <w:r>
        <w:rPr>
          <w:rFonts w:hint="eastAsia" w:ascii="宋体" w:hAnsi="宋体" w:cs="宋体"/>
          <w:color w:val="auto"/>
          <w:szCs w:val="21"/>
        </w:rPr>
        <w:t>（合同编号：</w:t>
      </w:r>
      <w:r>
        <w:rPr>
          <w:rFonts w:hint="eastAsia" w:ascii="宋体" w:hAnsi="宋体" w:cs="宋体"/>
          <w:color w:val="auto"/>
          <w:szCs w:val="21"/>
          <w:lang w:val="en-US" w:eastAsia="zh-CN"/>
        </w:rPr>
        <w:t>YDFYCGZX-药品2026024</w:t>
      </w:r>
      <w:r>
        <w:rPr>
          <w:rFonts w:hint="eastAsia" w:ascii="宋体" w:hAnsi="宋体" w:cs="宋体"/>
          <w:color w:val="auto"/>
          <w:szCs w:val="21"/>
        </w:rPr>
        <w:t xml:space="preserve">              ）</w:t>
      </w:r>
    </w:p>
    <w:p w14:paraId="19A5ED72">
      <w:pPr>
        <w:spacing w:line="360" w:lineRule="auto"/>
        <w:ind w:firstLine="560"/>
        <w:jc w:val="right"/>
        <w:rPr>
          <w:rFonts w:ascii="黑体" w:hAnsi="黑体" w:eastAsia="黑体" w:cs="黑体"/>
          <w:color w:val="auto"/>
          <w:sz w:val="28"/>
          <w:szCs w:val="28"/>
        </w:rPr>
      </w:pPr>
    </w:p>
    <w:p w14:paraId="29087F3B">
      <w:pPr>
        <w:spacing w:line="360" w:lineRule="auto"/>
        <w:ind w:firstLine="880"/>
        <w:jc w:val="center"/>
        <w:rPr>
          <w:rFonts w:ascii="华文中宋" w:hAnsi="华文中宋" w:eastAsia="华文中宋" w:cs="华文中宋"/>
          <w:color w:val="auto"/>
          <w:sz w:val="44"/>
          <w:szCs w:val="44"/>
        </w:rPr>
      </w:pPr>
      <w:r>
        <w:rPr>
          <w:rFonts w:hint="eastAsia" w:ascii="华文中宋" w:hAnsi="华文中宋" w:eastAsia="华文中宋" w:cs="华文中宋"/>
          <w:color w:val="auto"/>
          <w:sz w:val="44"/>
          <w:szCs w:val="44"/>
        </w:rPr>
        <w:t>中药饮片购销合同</w:t>
      </w:r>
    </w:p>
    <w:p w14:paraId="30D9D8DD">
      <w:pPr>
        <w:spacing w:line="360" w:lineRule="auto"/>
        <w:ind w:firstLine="422"/>
        <w:rPr>
          <w:rFonts w:ascii="宋体" w:hAnsi="宋体" w:cs="宋体"/>
          <w:color w:val="auto"/>
          <w:szCs w:val="21"/>
        </w:rPr>
      </w:pPr>
      <w:r>
        <w:rPr>
          <w:rFonts w:hint="eastAsia" w:ascii="宋体" w:hAnsi="宋体" w:cs="宋体"/>
          <w:b/>
          <w:bCs/>
          <w:color w:val="auto"/>
          <w:szCs w:val="21"/>
        </w:rPr>
        <w:t>甲方（买方）：</w:t>
      </w:r>
      <w:r>
        <w:rPr>
          <w:rFonts w:hint="eastAsia" w:ascii="宋体" w:hAnsi="宋体" w:cs="宋体"/>
          <w:b/>
          <w:bCs/>
          <w:color w:val="auto"/>
          <w:szCs w:val="21"/>
          <w:u w:val="single"/>
        </w:rPr>
        <w:t>扬州大学附属医院</w:t>
      </w:r>
    </w:p>
    <w:p w14:paraId="2D40FE1F">
      <w:pPr>
        <w:spacing w:line="360" w:lineRule="auto"/>
        <w:ind w:firstLine="422"/>
        <w:rPr>
          <w:rFonts w:hint="default" w:ascii="宋体" w:hAnsi="宋体" w:eastAsia="宋体" w:cs="宋体"/>
          <w:color w:val="auto"/>
          <w:szCs w:val="21"/>
          <w:lang w:val="en-US" w:eastAsia="zh-CN"/>
        </w:rPr>
      </w:pPr>
      <w:r>
        <w:rPr>
          <w:rFonts w:hint="eastAsia" w:ascii="宋体" w:hAnsi="宋体" w:cs="宋体"/>
          <w:b/>
          <w:bCs/>
          <w:color w:val="auto"/>
          <w:szCs w:val="21"/>
        </w:rPr>
        <w:t>乙方（卖方）：</w:t>
      </w:r>
      <w:r>
        <w:rPr>
          <w:rFonts w:hint="eastAsia" w:ascii="宋体" w:hAnsi="宋体" w:cs="宋体"/>
          <w:b/>
          <w:bCs/>
          <w:color w:val="auto"/>
          <w:szCs w:val="21"/>
          <w:lang w:val="en-US" w:eastAsia="zh-CN"/>
        </w:rPr>
        <w:t>国药控股扬州有限公司</w:t>
      </w:r>
    </w:p>
    <w:p w14:paraId="06EC3139">
      <w:pPr>
        <w:spacing w:line="360" w:lineRule="auto"/>
        <w:ind w:firstLine="420"/>
        <w:rPr>
          <w:rFonts w:ascii="宋体" w:hAnsi="宋体" w:cs="宋体"/>
          <w:color w:val="auto"/>
          <w:szCs w:val="21"/>
        </w:rPr>
      </w:pPr>
      <w:r>
        <w:rPr>
          <w:rFonts w:hint="eastAsia" w:ascii="宋体" w:hAnsi="宋体" w:cs="宋体"/>
          <w:color w:val="auto"/>
          <w:szCs w:val="21"/>
        </w:rPr>
        <w:t>根据《中华人民共和国民法典》《中华人民共和国药品管理法》《国务院办公厅关于完善公立医院药品集中采购工作的指导意见》《医院中药饮片管理规范》等规定，甲乙双方本着平等、诚信的原则并经协商一致，就中药饮片购销有关事项签订如下协议：</w:t>
      </w:r>
    </w:p>
    <w:p w14:paraId="184D1203">
      <w:pPr>
        <w:spacing w:line="360" w:lineRule="auto"/>
        <w:ind w:firstLine="422"/>
        <w:rPr>
          <w:rFonts w:ascii="黑体" w:hAnsi="黑体" w:eastAsia="黑体" w:cs="黑体"/>
          <w:color w:val="auto"/>
          <w:szCs w:val="21"/>
        </w:rPr>
      </w:pPr>
      <w:r>
        <w:rPr>
          <w:rFonts w:hint="eastAsia" w:ascii="宋体" w:hAnsi="宋体" w:cs="宋体"/>
          <w:b/>
          <w:bCs/>
          <w:color w:val="auto"/>
          <w:szCs w:val="21"/>
        </w:rPr>
        <w:t>一、中药饮片品种数量和价格</w:t>
      </w:r>
    </w:p>
    <w:p w14:paraId="734F9C55">
      <w:pPr>
        <w:spacing w:line="360" w:lineRule="auto"/>
        <w:ind w:firstLine="420"/>
        <w:rPr>
          <w:rFonts w:ascii="宋体" w:hAnsi="宋体" w:cs="宋体"/>
          <w:color w:val="auto"/>
          <w:szCs w:val="21"/>
        </w:rPr>
      </w:pPr>
      <w:r>
        <w:rPr>
          <w:rFonts w:hint="eastAsia" w:ascii="宋体" w:hAnsi="宋体" w:cs="宋体"/>
          <w:color w:val="auto"/>
          <w:szCs w:val="21"/>
        </w:rPr>
        <w:t>（一）本合同金额为（大写）：人民币壹佰</w:t>
      </w:r>
      <w:r>
        <w:rPr>
          <w:rFonts w:hint="eastAsia" w:ascii="宋体" w:hAnsi="宋体" w:cs="宋体"/>
          <w:color w:val="auto"/>
          <w:szCs w:val="21"/>
          <w:lang w:val="en-US" w:eastAsia="zh-CN"/>
        </w:rPr>
        <w:t>肆</w:t>
      </w:r>
      <w:r>
        <w:rPr>
          <w:rFonts w:hint="eastAsia" w:ascii="宋体" w:hAnsi="宋体" w:cs="宋体"/>
          <w:color w:val="auto"/>
          <w:szCs w:val="21"/>
        </w:rPr>
        <w:t>拾</w:t>
      </w:r>
      <w:r>
        <w:rPr>
          <w:rFonts w:hint="eastAsia" w:ascii="宋体" w:hAnsi="宋体" w:cs="宋体"/>
          <w:color w:val="auto"/>
          <w:szCs w:val="21"/>
          <w:lang w:val="en-US" w:eastAsia="zh-CN"/>
        </w:rPr>
        <w:t>玖</w:t>
      </w:r>
      <w:r>
        <w:rPr>
          <w:rFonts w:hint="eastAsia" w:ascii="宋体" w:hAnsi="宋体" w:cs="宋体"/>
          <w:color w:val="auto"/>
          <w:szCs w:val="21"/>
        </w:rPr>
        <w:t>万</w:t>
      </w:r>
      <w:r>
        <w:rPr>
          <w:rFonts w:hint="eastAsia" w:ascii="宋体" w:hAnsi="宋体" w:cs="宋体"/>
          <w:color w:val="auto"/>
          <w:szCs w:val="21"/>
          <w:lang w:val="en-US" w:eastAsia="zh-CN"/>
        </w:rPr>
        <w:t>肆</w:t>
      </w:r>
      <w:r>
        <w:rPr>
          <w:rFonts w:hint="eastAsia" w:ascii="宋体" w:hAnsi="宋体" w:cs="宋体"/>
          <w:color w:val="auto"/>
          <w:szCs w:val="21"/>
        </w:rPr>
        <w:t>仟</w:t>
      </w:r>
      <w:r>
        <w:rPr>
          <w:rFonts w:hint="eastAsia" w:ascii="宋体" w:hAnsi="宋体" w:cs="宋体"/>
          <w:color w:val="auto"/>
          <w:szCs w:val="21"/>
          <w:lang w:val="en-US" w:eastAsia="zh-CN"/>
        </w:rPr>
        <w:t>陆</w:t>
      </w:r>
      <w:r>
        <w:rPr>
          <w:rFonts w:hint="eastAsia" w:ascii="宋体" w:hAnsi="宋体" w:cs="宋体"/>
          <w:color w:val="auto"/>
          <w:szCs w:val="21"/>
        </w:rPr>
        <w:t>佰</w:t>
      </w:r>
      <w:r>
        <w:rPr>
          <w:rFonts w:hint="eastAsia" w:ascii="宋体" w:hAnsi="宋体" w:cs="宋体"/>
          <w:color w:val="auto"/>
          <w:szCs w:val="21"/>
          <w:lang w:val="en-US" w:eastAsia="zh-CN"/>
        </w:rPr>
        <w:t>贰</w:t>
      </w:r>
      <w:r>
        <w:rPr>
          <w:rFonts w:hint="eastAsia" w:ascii="宋体" w:hAnsi="宋体" w:cs="宋体"/>
          <w:color w:val="auto"/>
          <w:szCs w:val="21"/>
        </w:rPr>
        <w:t>拾玖元整（¥1,494,629</w:t>
      </w:r>
      <w:r>
        <w:rPr>
          <w:rFonts w:hint="eastAsia" w:ascii="宋体" w:hAnsi="宋体" w:cs="宋体"/>
          <w:color w:val="auto"/>
          <w:szCs w:val="21"/>
          <w:lang w:val="en-US" w:eastAsia="zh-CN"/>
        </w:rPr>
        <w:t>.00</w:t>
      </w:r>
      <w:r>
        <w:rPr>
          <w:rFonts w:hint="eastAsia" w:ascii="宋体" w:hAnsi="宋体" w:cs="宋体"/>
          <w:color w:val="auto"/>
          <w:szCs w:val="21"/>
        </w:rPr>
        <w:t>）。</w:t>
      </w:r>
    </w:p>
    <w:p w14:paraId="68E4BE83">
      <w:pPr>
        <w:spacing w:line="360" w:lineRule="auto"/>
        <w:ind w:firstLine="420"/>
        <w:rPr>
          <w:rFonts w:ascii="宋体" w:hAnsi="宋体" w:cs="宋体"/>
          <w:color w:val="auto"/>
          <w:szCs w:val="21"/>
        </w:rPr>
      </w:pPr>
      <w:r>
        <w:rPr>
          <w:rFonts w:hint="eastAsia" w:ascii="宋体" w:hAnsi="宋体" w:cs="宋体"/>
          <w:color w:val="auto"/>
          <w:szCs w:val="21"/>
        </w:rPr>
        <w:t>注：本合同金额为暂定价，具体按实际采购数量结算。</w:t>
      </w:r>
    </w:p>
    <w:p w14:paraId="58B5DE15">
      <w:pPr>
        <w:spacing w:line="360" w:lineRule="auto"/>
        <w:ind w:firstLine="420"/>
        <w:rPr>
          <w:rFonts w:ascii="宋体" w:hAnsi="宋体" w:cs="宋体"/>
          <w:color w:val="auto"/>
          <w:szCs w:val="21"/>
        </w:rPr>
      </w:pPr>
      <w:r>
        <w:rPr>
          <w:rFonts w:hint="eastAsia" w:ascii="宋体" w:hAnsi="宋体" w:cs="宋体"/>
          <w:color w:val="auto"/>
          <w:szCs w:val="21"/>
        </w:rPr>
        <w:t>（二）乙方根据甲方需求，提供中药饮片。</w:t>
      </w:r>
    </w:p>
    <w:p w14:paraId="456072FC">
      <w:pPr>
        <w:spacing w:line="360" w:lineRule="auto"/>
        <w:ind w:firstLine="420"/>
        <w:rPr>
          <w:rFonts w:ascii="宋体" w:hAnsi="宋体" w:cs="宋体"/>
          <w:color w:val="auto"/>
          <w:szCs w:val="21"/>
        </w:rPr>
      </w:pPr>
      <w:r>
        <w:rPr>
          <w:rFonts w:hint="eastAsia" w:ascii="宋体" w:hAnsi="宋体" w:cs="宋体"/>
          <w:color w:val="auto"/>
          <w:szCs w:val="21"/>
        </w:rPr>
        <w:t>（三）中药饮片品种数量：甲方根据临床实际用药需求，分批次向乙方采购中药饮片，本合同所采购中药饮片的品种及数量见中药饮片品种买卖清单（详见附件），该数量、金额等为年度初步预估数量。因临床业务增长或合理用药管控因素（包括但不限于管理需要限制或停止采购、落实中药饮片集中带量采购政策、药事会讨论通过新品、课题研究或特殊病例临时用药等因素），甲方可适当调整中药饮片品种、数量和金额。本合同最终执行时结算金额以实际采购需求来确定。</w:t>
      </w:r>
    </w:p>
    <w:p w14:paraId="539D60BB">
      <w:pPr>
        <w:spacing w:line="360" w:lineRule="auto"/>
        <w:ind w:firstLine="420"/>
        <w:rPr>
          <w:rFonts w:ascii="宋体" w:hAnsi="宋体" w:cs="宋体"/>
          <w:color w:val="auto"/>
          <w:szCs w:val="21"/>
        </w:rPr>
      </w:pPr>
      <w:r>
        <w:rPr>
          <w:rFonts w:hint="eastAsia" w:ascii="宋体" w:hAnsi="宋体" w:cs="宋体"/>
          <w:color w:val="auto"/>
          <w:szCs w:val="21"/>
        </w:rPr>
        <w:t>（四）中药饮片价格：除政策性调价外，在合同有效期内乙方提供中药饮片的价格必须是合同价格。该价格包含成本、运输、包装、伴随服务、税费及其他一切附加费用。</w:t>
      </w:r>
    </w:p>
    <w:p w14:paraId="7406B598">
      <w:pPr>
        <w:spacing w:line="360" w:lineRule="auto"/>
        <w:ind w:firstLine="420"/>
        <w:rPr>
          <w:rFonts w:ascii="宋体" w:hAnsi="宋体" w:cs="宋体"/>
          <w:color w:val="auto"/>
          <w:szCs w:val="21"/>
        </w:rPr>
      </w:pPr>
      <w:r>
        <w:rPr>
          <w:rFonts w:hint="eastAsia" w:ascii="宋体" w:hAnsi="宋体" w:cs="宋体"/>
          <w:color w:val="auto"/>
          <w:szCs w:val="21"/>
        </w:rPr>
        <w:t>（五）付款方式：合同签订后，按季度结算，每季度开始月份的10日前，统计上季度的实际配送品种、数量及金额，经双方核对无误后10个工作日内支付相应货款。每次结算(结算金额以甲方验收入库的数量*中标单价计算），乙方必须提供甲方的验收单及开具的正规增值税发票等材料交甲方办理付款手续，甲方凭手续齐全的单据付款。（以上均不计息）</w:t>
      </w:r>
    </w:p>
    <w:p w14:paraId="5960971A">
      <w:pPr>
        <w:spacing w:line="360" w:lineRule="auto"/>
        <w:ind w:firstLine="422"/>
        <w:rPr>
          <w:rFonts w:ascii="宋体" w:hAnsi="宋体" w:cs="宋体"/>
          <w:b/>
          <w:bCs/>
          <w:color w:val="auto"/>
          <w:szCs w:val="21"/>
        </w:rPr>
      </w:pPr>
      <w:r>
        <w:rPr>
          <w:rFonts w:hint="eastAsia" w:ascii="宋体" w:hAnsi="宋体" w:cs="宋体"/>
          <w:b/>
          <w:bCs/>
          <w:color w:val="auto"/>
          <w:szCs w:val="21"/>
        </w:rPr>
        <w:t>二、质量标准</w:t>
      </w:r>
    </w:p>
    <w:p w14:paraId="3721D8D7">
      <w:pPr>
        <w:spacing w:line="360" w:lineRule="auto"/>
        <w:ind w:firstLine="420"/>
        <w:rPr>
          <w:rFonts w:ascii="宋体" w:hAnsi="宋体" w:cs="宋体"/>
          <w:color w:val="auto"/>
          <w:szCs w:val="21"/>
        </w:rPr>
      </w:pPr>
      <w:r>
        <w:rPr>
          <w:rFonts w:hint="eastAsia" w:ascii="宋体" w:hAnsi="宋体" w:cs="宋体"/>
          <w:color w:val="auto"/>
          <w:szCs w:val="21"/>
        </w:rPr>
        <w:t>乙方交付的中药饮片必须符合《中华人民共和国药典》《江苏省中药饮片炮制规范》等质量标准，</w:t>
      </w:r>
      <w:r>
        <w:rPr>
          <w:rFonts w:ascii="宋体" w:hAnsi="宋体" w:cs="宋体"/>
          <w:color w:val="auto"/>
          <w:szCs w:val="21"/>
        </w:rPr>
        <w:t>并与投标时承诺的质量相一致</w:t>
      </w:r>
      <w:r>
        <w:rPr>
          <w:rFonts w:hint="eastAsia" w:ascii="宋体" w:hAnsi="宋体" w:cs="宋体"/>
          <w:color w:val="auto"/>
          <w:szCs w:val="21"/>
        </w:rPr>
        <w:t>，附有该中药饮片生产企业同批号的出厂中药饮片批检验记录或合格证，以备验收检查。</w:t>
      </w:r>
    </w:p>
    <w:p w14:paraId="6FB8059C">
      <w:pPr>
        <w:spacing w:line="360" w:lineRule="auto"/>
        <w:ind w:firstLine="422"/>
        <w:rPr>
          <w:rFonts w:ascii="宋体" w:hAnsi="宋体" w:cs="宋体"/>
          <w:b/>
          <w:bCs/>
          <w:color w:val="auto"/>
          <w:szCs w:val="21"/>
        </w:rPr>
      </w:pPr>
      <w:r>
        <w:rPr>
          <w:rFonts w:hint="eastAsia" w:ascii="宋体" w:hAnsi="宋体" w:cs="宋体"/>
          <w:b/>
          <w:bCs/>
          <w:color w:val="auto"/>
          <w:szCs w:val="21"/>
        </w:rPr>
        <w:t>三、中药饮片有效期</w:t>
      </w:r>
    </w:p>
    <w:p w14:paraId="3BA3C665">
      <w:pPr>
        <w:spacing w:line="360" w:lineRule="auto"/>
        <w:ind w:firstLine="420"/>
        <w:rPr>
          <w:rFonts w:ascii="宋体" w:hAnsi="宋体" w:cs="宋体"/>
          <w:color w:val="auto"/>
          <w:szCs w:val="21"/>
        </w:rPr>
      </w:pPr>
      <w:r>
        <w:rPr>
          <w:rFonts w:hint="eastAsia" w:ascii="宋体" w:hAnsi="宋体" w:cs="宋体"/>
          <w:color w:val="auto"/>
          <w:szCs w:val="21"/>
        </w:rPr>
        <w:t>乙方所提供的中药饮片有效期</w:t>
      </w:r>
      <w:r>
        <w:rPr>
          <w:rFonts w:ascii="宋体" w:hAnsi="宋体" w:cs="宋体"/>
          <w:color w:val="auto"/>
          <w:szCs w:val="21"/>
        </w:rPr>
        <w:t>为一年的，剩余有效期至少为六个月；有效期为一年半至两年的，剩余有效期至少为九个月；有效期超过二年的，剩余有效期至少为十二个月。</w:t>
      </w:r>
      <w:r>
        <w:rPr>
          <w:rFonts w:hint="eastAsia" w:ascii="宋体" w:hAnsi="宋体" w:cs="宋体"/>
          <w:color w:val="auto"/>
          <w:szCs w:val="21"/>
        </w:rPr>
        <w:t>特殊品种双方可另行协商。</w:t>
      </w:r>
    </w:p>
    <w:p w14:paraId="7714F69A">
      <w:pPr>
        <w:spacing w:line="360" w:lineRule="auto"/>
        <w:ind w:firstLine="422"/>
        <w:rPr>
          <w:rFonts w:ascii="宋体" w:hAnsi="宋体" w:cs="宋体"/>
          <w:b/>
          <w:bCs/>
          <w:color w:val="auto"/>
          <w:szCs w:val="21"/>
        </w:rPr>
      </w:pPr>
      <w:r>
        <w:rPr>
          <w:rFonts w:hint="eastAsia" w:ascii="宋体" w:hAnsi="宋体" w:cs="宋体"/>
          <w:b/>
          <w:bCs/>
          <w:color w:val="auto"/>
          <w:szCs w:val="21"/>
        </w:rPr>
        <w:t>四、包装标准</w:t>
      </w:r>
    </w:p>
    <w:p w14:paraId="5CA8DEE6">
      <w:pPr>
        <w:spacing w:line="360" w:lineRule="auto"/>
        <w:ind w:firstLine="420"/>
        <w:rPr>
          <w:rFonts w:ascii="宋体" w:hAnsi="宋体" w:cs="宋体"/>
          <w:color w:val="auto"/>
          <w:szCs w:val="21"/>
        </w:rPr>
      </w:pPr>
      <w:r>
        <w:rPr>
          <w:rFonts w:hint="eastAsia" w:ascii="宋体" w:hAnsi="宋体" w:cs="宋体"/>
          <w:color w:val="auto"/>
          <w:szCs w:val="21"/>
        </w:rPr>
        <w:t>（一）乙方提供的全部中药饮片均应按国家规定的标准保护措施进行包装，每一个包装箱内应附有一份详细装箱数量单和该中药饮片生产企业同批号的出厂中药饮片批检验记录或合格证。如为拼装箱件，箱内应按前述要求附有各种中药饮片数量单和中药饮片质量证明材料复印件。</w:t>
      </w:r>
    </w:p>
    <w:p w14:paraId="0A13D904">
      <w:pPr>
        <w:spacing w:line="360" w:lineRule="auto"/>
        <w:ind w:firstLine="420"/>
        <w:rPr>
          <w:rFonts w:ascii="宋体" w:hAnsi="宋体" w:cs="宋体"/>
          <w:color w:val="auto"/>
          <w:szCs w:val="21"/>
        </w:rPr>
      </w:pPr>
      <w:r>
        <w:rPr>
          <w:rFonts w:hint="eastAsia" w:ascii="宋体" w:hAnsi="宋体" w:cs="宋体"/>
          <w:color w:val="auto"/>
          <w:szCs w:val="21"/>
        </w:rPr>
        <w:t>（二）特殊要求：</w:t>
      </w:r>
      <w:r>
        <w:rPr>
          <w:rFonts w:hint="eastAsia" w:ascii="宋体" w:hAnsi="宋体" w:cs="宋体"/>
          <w:color w:val="auto"/>
          <w:szCs w:val="21"/>
          <w:lang w:val="en-US" w:eastAsia="zh-CN"/>
        </w:rPr>
        <w:t>无</w:t>
      </w:r>
      <w:r>
        <w:rPr>
          <w:rFonts w:hint="eastAsia" w:ascii="宋体" w:hAnsi="宋体" w:cs="宋体"/>
          <w:color w:val="auto"/>
          <w:szCs w:val="21"/>
        </w:rPr>
        <w:t>。</w:t>
      </w:r>
    </w:p>
    <w:p w14:paraId="7520FF75">
      <w:pPr>
        <w:spacing w:line="360" w:lineRule="auto"/>
        <w:ind w:firstLine="422"/>
        <w:rPr>
          <w:rFonts w:ascii="宋体" w:hAnsi="宋体" w:cs="宋体"/>
          <w:b/>
          <w:bCs/>
          <w:color w:val="auto"/>
          <w:szCs w:val="21"/>
        </w:rPr>
      </w:pPr>
      <w:r>
        <w:rPr>
          <w:rFonts w:hint="eastAsia" w:ascii="宋体" w:hAnsi="宋体" w:cs="宋体"/>
          <w:b/>
          <w:bCs/>
          <w:color w:val="auto"/>
          <w:szCs w:val="21"/>
        </w:rPr>
        <w:t>五、配送服务</w:t>
      </w:r>
    </w:p>
    <w:p w14:paraId="614EDF01">
      <w:pPr>
        <w:spacing w:line="360" w:lineRule="auto"/>
        <w:ind w:firstLine="420"/>
        <w:rPr>
          <w:rFonts w:ascii="宋体" w:hAnsi="宋体" w:cs="宋体"/>
          <w:color w:val="auto"/>
          <w:szCs w:val="21"/>
        </w:rPr>
      </w:pPr>
      <w:r>
        <w:rPr>
          <w:rFonts w:hint="eastAsia" w:ascii="宋体" w:hAnsi="宋体" w:cs="宋体"/>
          <w:color w:val="auto"/>
          <w:szCs w:val="21"/>
        </w:rPr>
        <w:t>乙方负责为甲方提供中药饮片配送服务。在收到甲方供货通知后，乙方原则上应在24小时内将中药饮片送达至甲方医疗服务范围内，急（抢）救类中药饮片应在4小时内送达。</w:t>
      </w:r>
    </w:p>
    <w:p w14:paraId="410C6B3B">
      <w:pPr>
        <w:spacing w:line="360" w:lineRule="auto"/>
        <w:ind w:firstLine="422"/>
        <w:rPr>
          <w:rFonts w:ascii="宋体" w:hAnsi="宋体" w:cs="宋体"/>
          <w:b/>
          <w:bCs/>
          <w:color w:val="auto"/>
          <w:szCs w:val="21"/>
        </w:rPr>
      </w:pPr>
      <w:r>
        <w:rPr>
          <w:rFonts w:hint="eastAsia" w:ascii="宋体" w:hAnsi="宋体" w:cs="宋体"/>
          <w:b/>
          <w:bCs/>
          <w:color w:val="auto"/>
          <w:szCs w:val="21"/>
        </w:rPr>
        <w:t>六、伴随服务</w:t>
      </w:r>
    </w:p>
    <w:p w14:paraId="1F4D5A16">
      <w:pPr>
        <w:spacing w:line="360" w:lineRule="auto"/>
        <w:ind w:firstLine="420"/>
        <w:rPr>
          <w:rFonts w:ascii="宋体" w:hAnsi="宋体" w:cs="宋体"/>
          <w:color w:val="auto"/>
          <w:szCs w:val="21"/>
        </w:rPr>
      </w:pPr>
      <w:r>
        <w:rPr>
          <w:rFonts w:hint="eastAsia" w:ascii="宋体" w:hAnsi="宋体" w:cs="宋体"/>
          <w:color w:val="auto"/>
          <w:szCs w:val="21"/>
        </w:rPr>
        <w:t>乙方应甲方要求提供下列免费伴随服务：对进货验收时发现的破损、中药饮片有效期内的实际可使用时间少于约定期限的中药饮片及其他不合格包装的中药饮片应在24小时内予以更换；提供中药饮片搬运、拆卸、入库以及讲解或培训等服务。</w:t>
      </w:r>
    </w:p>
    <w:p w14:paraId="1279694E">
      <w:pPr>
        <w:spacing w:line="360" w:lineRule="auto"/>
        <w:ind w:firstLine="420"/>
        <w:rPr>
          <w:rFonts w:hint="eastAsia" w:ascii="宋体" w:hAnsi="宋体" w:cs="宋体"/>
          <w:color w:val="auto"/>
          <w:szCs w:val="21"/>
        </w:rPr>
      </w:pPr>
      <w:r>
        <w:rPr>
          <w:rFonts w:hint="eastAsia" w:ascii="宋体" w:hAnsi="宋体" w:cs="宋体"/>
          <w:color w:val="auto"/>
          <w:szCs w:val="21"/>
        </w:rPr>
        <w:t>其他：。</w:t>
      </w:r>
    </w:p>
    <w:p w14:paraId="66E0C310">
      <w:pPr>
        <w:spacing w:line="360" w:lineRule="auto"/>
        <w:ind w:firstLine="420"/>
      </w:pPr>
      <w:r>
        <w:rPr>
          <w:rFonts w:hint="eastAsia" w:ascii="宋体" w:hAnsi="宋体" w:cs="宋体"/>
          <w:color w:val="auto"/>
          <w:szCs w:val="21"/>
          <w:lang w:val="en-US" w:eastAsia="zh-CN"/>
        </w:rPr>
        <w:t>增值附付详见投标文件。</w:t>
      </w:r>
    </w:p>
    <w:p w14:paraId="64B7148A">
      <w:pPr>
        <w:spacing w:line="360" w:lineRule="auto"/>
        <w:ind w:firstLine="422"/>
        <w:rPr>
          <w:rFonts w:ascii="宋体" w:hAnsi="宋体" w:cs="宋体"/>
          <w:b/>
          <w:bCs/>
          <w:color w:val="auto"/>
          <w:szCs w:val="21"/>
        </w:rPr>
      </w:pPr>
      <w:r>
        <w:rPr>
          <w:rFonts w:hint="eastAsia" w:ascii="宋体" w:hAnsi="宋体" w:cs="宋体"/>
          <w:b/>
          <w:bCs/>
          <w:color w:val="auto"/>
          <w:szCs w:val="21"/>
        </w:rPr>
        <w:t>七、双方的权利义务</w:t>
      </w:r>
    </w:p>
    <w:p w14:paraId="4C7C7D4D">
      <w:pPr>
        <w:spacing w:line="360" w:lineRule="auto"/>
        <w:ind w:firstLine="420"/>
        <w:rPr>
          <w:rFonts w:ascii="宋体" w:hAnsi="宋体" w:cs="宋体"/>
          <w:color w:val="auto"/>
          <w:szCs w:val="21"/>
        </w:rPr>
      </w:pPr>
      <w:r>
        <w:rPr>
          <w:rFonts w:hint="eastAsia" w:ascii="宋体" w:hAnsi="宋体" w:cs="宋体"/>
          <w:color w:val="auto"/>
          <w:szCs w:val="21"/>
        </w:rPr>
        <w:t>（一）甲方按合同约定采购乙方品种。</w:t>
      </w:r>
    </w:p>
    <w:p w14:paraId="4D619FC2">
      <w:pPr>
        <w:spacing w:line="360" w:lineRule="auto"/>
        <w:ind w:firstLine="420"/>
        <w:rPr>
          <w:rFonts w:ascii="宋体" w:hAnsi="宋体" w:cs="宋体"/>
          <w:color w:val="auto"/>
          <w:szCs w:val="21"/>
          <w:shd w:val="clear" w:color="auto" w:fill="FFFF00"/>
        </w:rPr>
      </w:pPr>
      <w:r>
        <w:rPr>
          <w:rFonts w:hint="eastAsia" w:ascii="宋体" w:hAnsi="宋体" w:cs="宋体"/>
          <w:color w:val="auto"/>
          <w:szCs w:val="21"/>
        </w:rPr>
        <w:t>（二）甲方在合同规定的时间内，按实际入库的中药饮片数量在货物验收入库后按照合同约定结清货款。集中带量采购中药饮片按相关要求结清货款。</w:t>
      </w:r>
    </w:p>
    <w:p w14:paraId="7972EA89">
      <w:pPr>
        <w:spacing w:line="360" w:lineRule="auto"/>
        <w:ind w:firstLine="420"/>
        <w:rPr>
          <w:rFonts w:ascii="宋体" w:hAnsi="宋体" w:cs="宋体"/>
          <w:color w:val="auto"/>
          <w:szCs w:val="21"/>
        </w:rPr>
      </w:pPr>
      <w:r>
        <w:rPr>
          <w:rFonts w:hint="eastAsia" w:ascii="宋体" w:hAnsi="宋体" w:cs="宋体"/>
          <w:color w:val="auto"/>
          <w:szCs w:val="21"/>
        </w:rPr>
        <w:t>（三）甲方应及时将中药饮片验收入库，对乙方提供的中药饮片中不符合合同约定的品种、数量和质量要求的，甲方有权拒绝接收。</w:t>
      </w:r>
    </w:p>
    <w:p w14:paraId="525E6F8F">
      <w:pPr>
        <w:spacing w:line="360" w:lineRule="auto"/>
        <w:ind w:firstLine="420"/>
        <w:rPr>
          <w:rFonts w:ascii="宋体" w:hAnsi="宋体" w:cs="宋体"/>
          <w:color w:val="auto"/>
          <w:szCs w:val="21"/>
        </w:rPr>
      </w:pPr>
      <w:r>
        <w:rPr>
          <w:rFonts w:hint="eastAsia" w:ascii="宋体" w:hAnsi="宋体" w:cs="宋体"/>
          <w:color w:val="auto"/>
          <w:szCs w:val="21"/>
        </w:rPr>
        <w:t>（四）甲方有证据证明乙方交付的中药饮片不符合质量标准（以省、设区市药监部门的检验结果为准）、延期交货（无特殊原因供货时间超出24小时）或部分交货（供货数量低于甲方计划采购量30%）等不按合同约定交货的，甲方有权通知乙方终止该中药饮片供货，并另行采购替代中药饮片。</w:t>
      </w:r>
    </w:p>
    <w:p w14:paraId="3E1AD646">
      <w:pPr>
        <w:spacing w:line="360" w:lineRule="auto"/>
        <w:ind w:firstLine="420"/>
        <w:rPr>
          <w:rFonts w:ascii="宋体" w:hAnsi="宋体" w:cs="宋体"/>
          <w:color w:val="auto"/>
          <w:szCs w:val="21"/>
        </w:rPr>
      </w:pPr>
      <w:r>
        <w:rPr>
          <w:rFonts w:hint="eastAsia" w:ascii="宋体" w:hAnsi="宋体" w:cs="宋体"/>
          <w:color w:val="auto"/>
          <w:szCs w:val="21"/>
        </w:rPr>
        <w:t>（五）乙方必须按照合同约定的中药饮片品种、数量、质量要求和期限，配送中药饮片并提供伴随服务。</w:t>
      </w:r>
    </w:p>
    <w:p w14:paraId="68588E4D">
      <w:pPr>
        <w:spacing w:line="360" w:lineRule="auto"/>
        <w:ind w:firstLine="420"/>
        <w:rPr>
          <w:rFonts w:ascii="宋体" w:hAnsi="宋体" w:cs="宋体"/>
          <w:color w:val="auto"/>
          <w:szCs w:val="21"/>
        </w:rPr>
      </w:pPr>
      <w:r>
        <w:rPr>
          <w:rFonts w:hint="eastAsia" w:ascii="宋体" w:hAnsi="宋体" w:cs="宋体"/>
          <w:color w:val="auto"/>
          <w:szCs w:val="21"/>
        </w:rPr>
        <w:t>（六）乙方应保证配送中药饮片不存在专利权、商标权或保护期等知识产权方面的争议。如产生争议，由乙方自行处理并承担责任。甲方因前述争议而支出费用等相关损失，由乙方承担。</w:t>
      </w:r>
    </w:p>
    <w:p w14:paraId="1CBD82D9">
      <w:pPr>
        <w:spacing w:line="360" w:lineRule="auto"/>
        <w:ind w:firstLine="420"/>
        <w:rPr>
          <w:rFonts w:ascii="宋体" w:hAnsi="宋体" w:cs="宋体"/>
          <w:color w:val="auto"/>
          <w:szCs w:val="21"/>
        </w:rPr>
      </w:pPr>
      <w:r>
        <w:rPr>
          <w:rFonts w:hint="eastAsia" w:ascii="宋体" w:hAnsi="宋体" w:cs="宋体"/>
          <w:color w:val="auto"/>
          <w:szCs w:val="21"/>
        </w:rPr>
        <w:t>（七）乙方供应中药饮片在甲方使用过程中，因受举报、抽检等检查出现质量问题，甲方被中药饮片监督管理部门处罚的后果（主要指经济损失）由乙方承担。</w:t>
      </w:r>
    </w:p>
    <w:p w14:paraId="101924F8">
      <w:pPr>
        <w:spacing w:line="360" w:lineRule="auto"/>
        <w:ind w:firstLine="420"/>
        <w:rPr>
          <w:rFonts w:ascii="宋体" w:hAnsi="宋体" w:cs="宋体"/>
          <w:color w:val="auto"/>
          <w:szCs w:val="21"/>
        </w:rPr>
      </w:pPr>
      <w:r>
        <w:rPr>
          <w:rFonts w:hint="eastAsia" w:ascii="宋体" w:hAnsi="宋体" w:cs="宋体"/>
          <w:color w:val="auto"/>
          <w:szCs w:val="21"/>
        </w:rPr>
        <w:t>（八）乙方合同签订后需派驻</w:t>
      </w:r>
      <w:r>
        <w:rPr>
          <w:rFonts w:hint="eastAsia" w:ascii="宋体" w:hAnsi="宋体" w:cs="宋体"/>
          <w:color w:val="auto"/>
          <w:szCs w:val="21"/>
          <w:lang w:val="en-US" w:eastAsia="zh-CN"/>
        </w:rPr>
        <w:t>3</w:t>
      </w:r>
      <w:r>
        <w:rPr>
          <w:rFonts w:hint="eastAsia" w:ascii="宋体" w:hAnsi="宋体" w:cs="宋体"/>
          <w:color w:val="auto"/>
          <w:szCs w:val="21"/>
        </w:rPr>
        <w:t>名人员在采购人工作地驻点服务，负责上药、补药、煎药等工作（具体工作分配按照甲方安排为准）。人员要求：3名中药专业工作者（大专学历以上），年龄不超过35周岁，身体健康、男女不限、工作相对稳定。入场前需报甲方审核。</w:t>
      </w:r>
    </w:p>
    <w:p w14:paraId="1BF0A4DD">
      <w:pPr>
        <w:spacing w:line="360" w:lineRule="auto"/>
        <w:ind w:firstLine="422"/>
        <w:rPr>
          <w:rFonts w:ascii="宋体" w:hAnsi="宋体" w:cs="宋体"/>
          <w:b/>
          <w:bCs/>
          <w:color w:val="auto"/>
          <w:szCs w:val="21"/>
        </w:rPr>
      </w:pPr>
      <w:r>
        <w:rPr>
          <w:rFonts w:hint="eastAsia" w:ascii="宋体" w:hAnsi="宋体" w:cs="宋体"/>
          <w:b/>
          <w:bCs/>
          <w:color w:val="auto"/>
          <w:szCs w:val="21"/>
        </w:rPr>
        <w:t>八、违约责任</w:t>
      </w:r>
    </w:p>
    <w:p w14:paraId="4C522C3F">
      <w:pPr>
        <w:spacing w:line="360" w:lineRule="auto"/>
        <w:ind w:firstLine="420"/>
        <w:rPr>
          <w:rFonts w:ascii="宋体" w:hAnsi="宋体" w:cs="宋体"/>
          <w:color w:val="auto"/>
          <w:szCs w:val="21"/>
        </w:rPr>
      </w:pPr>
      <w:r>
        <w:rPr>
          <w:rFonts w:hint="eastAsia" w:ascii="宋体" w:hAnsi="宋体" w:cs="宋体"/>
          <w:color w:val="auto"/>
          <w:szCs w:val="21"/>
        </w:rPr>
        <w:t>（一）乙方提供的中药饮片不符合合同约定质量、期限等要求，给甲方造成损失的，乙方应当赔偿损失。</w:t>
      </w:r>
    </w:p>
    <w:p w14:paraId="3A1F1AF2">
      <w:pPr>
        <w:spacing w:line="360" w:lineRule="auto"/>
        <w:ind w:firstLine="420"/>
        <w:rPr>
          <w:rFonts w:ascii="宋体" w:hAnsi="宋体" w:cs="宋体"/>
          <w:color w:val="auto"/>
          <w:szCs w:val="21"/>
        </w:rPr>
      </w:pPr>
      <w:r>
        <w:rPr>
          <w:rFonts w:hint="eastAsia" w:ascii="宋体" w:hAnsi="宋体" w:cs="宋体"/>
          <w:color w:val="auto"/>
          <w:szCs w:val="21"/>
        </w:rPr>
        <w:t>（二）乙方不履行本合同或未按合同约定的时间、地点配送中药饮片或提供免费伴随服务，甲方可要求乙方支付违约金。乙方每延误7日，违约金为迟交中药饮片货款的5%，直至交货或提供服务为止，但违约金最高不得超过迟交中药饮片货款的50%。只要出现供应不及时（供货延迟72小时及以上），甲方有权选择终止本合同或本品种后续供货资格。乙方在支付违约金后，如甲方要求继续履行合同义务的，乙方还应当履行应尽义务。违约金不足以弥补甲方损失的，乙方应另行赔偿（包括但不限于甲方因替代采购超支费用等）。</w:t>
      </w:r>
    </w:p>
    <w:p w14:paraId="016DC9F5">
      <w:pPr>
        <w:spacing w:line="360" w:lineRule="auto"/>
        <w:ind w:firstLine="420"/>
        <w:rPr>
          <w:rFonts w:ascii="宋体" w:hAnsi="宋体" w:cs="宋体"/>
          <w:color w:val="auto"/>
          <w:szCs w:val="21"/>
        </w:rPr>
      </w:pPr>
      <w:r>
        <w:rPr>
          <w:rFonts w:hint="eastAsia" w:ascii="宋体" w:hAnsi="宋体" w:cs="宋体"/>
          <w:color w:val="auto"/>
          <w:szCs w:val="21"/>
        </w:rPr>
        <w:t>（三）甲方组建中药饮片质量联合监督组，负责对中药饮片进行全面质量检查，重点抽查易霉变、虫蛀、结串、走油的品种，对质量不符合《中华人民共和国药典》（最新版）、《中华人民共和国药典临床用药须知（中药饮片卷）》（最新版）、《江苏省中药饮片炮制规范》（最新版）要求的，甲方有权拒绝接受，并要求对产品立即退、换、补，乙方应在 3 天内进行更换、补充、并不得影响甲方的临床用药。发现相同饮片品种不符合要求2次，甲方有权对该供应商所供品种进行调整，否则，甲方有权终止合同并要求乙方对其所造成的损失进行赔偿。</w:t>
      </w:r>
    </w:p>
    <w:p w14:paraId="64223002">
      <w:pPr>
        <w:spacing w:line="360" w:lineRule="auto"/>
        <w:ind w:firstLine="420"/>
        <w:rPr>
          <w:rFonts w:ascii="宋体" w:hAnsi="宋体" w:cs="宋体"/>
          <w:color w:val="auto"/>
          <w:szCs w:val="21"/>
        </w:rPr>
      </w:pPr>
      <w:r>
        <w:rPr>
          <w:rFonts w:hint="eastAsia" w:ascii="宋体" w:hAnsi="宋体" w:cs="宋体"/>
          <w:color w:val="auto"/>
          <w:szCs w:val="21"/>
        </w:rPr>
        <w:t>（四）甲方每个季度随机选择乙方供应的最高不超过10种中药饮片送第三方进行质量检测，凡出现一个单品检测不合格时需增加另外5个品种送检，检测费用由乙方承担。如果检测结果为合格产品，则乙方补足送检数量。如果检测结果为不合格产品，则乙方应按批号数量（包括送检部分）更换成合格产品，同时接受这批产品采购价格10倍金额的罚款，乙方应在接到甲方通知48小时内补齐。</w:t>
      </w:r>
    </w:p>
    <w:p w14:paraId="65FEFB9F">
      <w:pPr>
        <w:spacing w:line="360" w:lineRule="auto"/>
        <w:ind w:firstLine="420"/>
        <w:rPr>
          <w:rFonts w:ascii="宋体" w:hAnsi="宋体" w:cs="宋体"/>
          <w:color w:val="auto"/>
          <w:szCs w:val="21"/>
        </w:rPr>
      </w:pPr>
      <w:r>
        <w:rPr>
          <w:rFonts w:hint="eastAsia" w:ascii="宋体" w:hAnsi="宋体" w:cs="宋体"/>
          <w:color w:val="auto"/>
          <w:szCs w:val="21"/>
        </w:rPr>
        <w:t xml:space="preserve">（五）甲方如在临床使用中发现药品不符合质量要求（含出现严重的临床反应时），需要进行药品质量检验，应及时以书面形式把质量检验要求及检验结果通知乙方。如果检验证明药品存在质量问题，则检验费用由乙方承担，乙方应在 3 天内进行更换、补充、并不得影响甲方的临床用药。否则，甲方有权终止合同并要求乙方对其所造成的损失进行赔偿。药品质量检验在甲方所在地药检部门进行。  </w:t>
      </w:r>
    </w:p>
    <w:p w14:paraId="3A664C89">
      <w:pPr>
        <w:spacing w:line="360" w:lineRule="auto"/>
        <w:ind w:firstLine="420"/>
        <w:rPr>
          <w:rFonts w:hint="eastAsia" w:ascii="宋体" w:hAnsi="宋体" w:cs="宋体"/>
          <w:color w:val="auto"/>
          <w:szCs w:val="21"/>
        </w:rPr>
      </w:pPr>
      <w:r>
        <w:rPr>
          <w:rFonts w:hint="eastAsia" w:ascii="宋体" w:hAnsi="宋体" w:cs="宋体"/>
          <w:color w:val="auto"/>
          <w:szCs w:val="21"/>
        </w:rPr>
        <w:t>（六）药品出现质量问题（包装、标签、等级、内在质量问题），乙方必须收回并更换合格药品；由于药检部门抽检出现药品不合格的，乙方必须负经济和法律责任；如因药品质量问题引起药政管理方面的问题，由乙方负连带责任；由于药品质量引起医疗纠纷，乙方必须负连带责任并赔偿。</w:t>
      </w:r>
    </w:p>
    <w:p w14:paraId="5AA1062C">
      <w:pPr>
        <w:spacing w:line="360" w:lineRule="auto"/>
        <w:ind w:firstLine="420"/>
        <w:rPr>
          <w:rFonts w:ascii="宋体" w:hAnsi="宋体" w:cs="宋体"/>
          <w:color w:val="auto"/>
          <w:szCs w:val="21"/>
        </w:rPr>
      </w:pPr>
      <w:r>
        <w:rPr>
          <w:rFonts w:hint="eastAsia"/>
          <w:lang w:eastAsia="zh-CN"/>
        </w:rPr>
        <w:t>（</w:t>
      </w:r>
      <w:r>
        <w:rPr>
          <w:rFonts w:hint="eastAsia"/>
          <w:lang w:val="en-US" w:eastAsia="zh-CN"/>
        </w:rPr>
        <w:t>七</w:t>
      </w:r>
      <w:r>
        <w:rPr>
          <w:rFonts w:hint="eastAsia"/>
          <w:lang w:eastAsia="zh-CN"/>
        </w:rPr>
        <w:t>）乙方应加强工作人员的管理，禁止乙方以各种手段腐蚀、贿赂甲方单位工作人员，并将诚信档案记录的工作人员违规不良行为纳入违约行为,如有违反，甲方将停止履行合同，并追究乙方违约责任。</w:t>
      </w:r>
    </w:p>
    <w:p w14:paraId="67BE5D19">
      <w:pPr>
        <w:spacing w:line="360" w:lineRule="auto"/>
        <w:ind w:firstLine="422"/>
        <w:rPr>
          <w:rFonts w:ascii="宋体" w:hAnsi="宋体" w:cs="宋体"/>
          <w:b/>
          <w:bCs/>
          <w:color w:val="auto"/>
          <w:szCs w:val="21"/>
        </w:rPr>
      </w:pPr>
      <w:r>
        <w:rPr>
          <w:rFonts w:hint="eastAsia" w:ascii="宋体" w:hAnsi="宋体" w:cs="宋体"/>
          <w:b/>
          <w:bCs/>
          <w:color w:val="auto"/>
          <w:szCs w:val="21"/>
        </w:rPr>
        <w:t>九、合同生效及合同有效期</w:t>
      </w:r>
    </w:p>
    <w:p w14:paraId="674671BB">
      <w:pPr>
        <w:spacing w:line="360" w:lineRule="auto"/>
        <w:ind w:firstLine="420"/>
        <w:rPr>
          <w:rFonts w:ascii="宋体" w:hAnsi="宋体" w:cs="宋体"/>
          <w:color w:val="auto"/>
          <w:szCs w:val="21"/>
        </w:rPr>
      </w:pPr>
      <w:r>
        <w:rPr>
          <w:rFonts w:hint="eastAsia" w:ascii="宋体" w:hAnsi="宋体" w:cs="宋体"/>
          <w:color w:val="auto"/>
          <w:szCs w:val="21"/>
        </w:rPr>
        <w:t>本合同自双方签字盖章后生效。本次合同有效期为</w:t>
      </w:r>
      <w:r>
        <w:rPr>
          <w:rFonts w:hint="eastAsia" w:ascii="宋体" w:hAnsi="宋体" w:cs="宋体"/>
          <w:color w:val="auto"/>
          <w:szCs w:val="21"/>
          <w:u w:val="single"/>
        </w:rPr>
        <w:t>202</w:t>
      </w:r>
      <w:r>
        <w:rPr>
          <w:rFonts w:hint="eastAsia" w:ascii="宋体" w:hAnsi="宋体" w:cs="宋体"/>
          <w:color w:val="auto"/>
          <w:szCs w:val="21"/>
          <w:u w:val="single"/>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2</w:t>
      </w:r>
      <w:r>
        <w:rPr>
          <w:rFonts w:hint="eastAsia" w:ascii="宋体" w:hAnsi="宋体" w:cs="宋体"/>
          <w:color w:val="auto"/>
          <w:szCs w:val="21"/>
        </w:rPr>
        <w:t>月</w:t>
      </w:r>
      <w:r>
        <w:rPr>
          <w:rFonts w:hint="eastAsia" w:ascii="宋体" w:hAnsi="宋体" w:cs="宋体"/>
          <w:color w:val="auto"/>
          <w:szCs w:val="21"/>
          <w:lang w:val="en-US" w:eastAsia="zh-CN"/>
        </w:rPr>
        <w:t>10</w:t>
      </w:r>
      <w:r>
        <w:rPr>
          <w:rFonts w:hint="eastAsia" w:ascii="宋体" w:hAnsi="宋体" w:cs="宋体"/>
          <w:color w:val="auto"/>
          <w:szCs w:val="21"/>
        </w:rPr>
        <w:t>日－</w:t>
      </w:r>
      <w:r>
        <w:rPr>
          <w:rFonts w:hint="eastAsia" w:ascii="宋体" w:hAnsi="宋体" w:cs="宋体"/>
          <w:color w:val="auto"/>
          <w:szCs w:val="21"/>
          <w:u w:val="single"/>
        </w:rPr>
        <w:t>202</w:t>
      </w:r>
      <w:r>
        <w:rPr>
          <w:rFonts w:hint="eastAsia" w:ascii="宋体" w:hAnsi="宋体" w:cs="宋体"/>
          <w:color w:val="auto"/>
          <w:szCs w:val="21"/>
          <w:u w:val="single"/>
          <w:lang w:val="en-US" w:eastAsia="zh-CN"/>
        </w:rPr>
        <w:t>7</w:t>
      </w:r>
      <w:r>
        <w:rPr>
          <w:rFonts w:hint="eastAsia" w:ascii="宋体" w:hAnsi="宋体" w:cs="宋体"/>
          <w:color w:val="auto"/>
          <w:szCs w:val="21"/>
        </w:rPr>
        <w:t>年</w:t>
      </w:r>
      <w:r>
        <w:rPr>
          <w:rFonts w:hint="eastAsia" w:ascii="宋体" w:hAnsi="宋体" w:cs="宋体"/>
          <w:color w:val="auto"/>
          <w:szCs w:val="21"/>
          <w:lang w:val="en-US" w:eastAsia="zh-CN"/>
        </w:rPr>
        <w:t>2</w:t>
      </w:r>
      <w:r>
        <w:rPr>
          <w:rFonts w:hint="eastAsia" w:ascii="宋体" w:hAnsi="宋体" w:cs="宋体"/>
          <w:color w:val="auto"/>
          <w:szCs w:val="21"/>
        </w:rPr>
        <w:t>月</w:t>
      </w:r>
      <w:r>
        <w:rPr>
          <w:rFonts w:hint="eastAsia" w:ascii="宋体" w:hAnsi="宋体" w:cs="宋体"/>
          <w:color w:val="auto"/>
          <w:szCs w:val="21"/>
          <w:lang w:val="en-US" w:eastAsia="zh-CN"/>
        </w:rPr>
        <w:t>9</w:t>
      </w:r>
      <w:r>
        <w:rPr>
          <w:rFonts w:hint="eastAsia" w:ascii="宋体" w:hAnsi="宋体" w:cs="宋体"/>
          <w:color w:val="auto"/>
          <w:szCs w:val="21"/>
        </w:rPr>
        <w:t>日。</w:t>
      </w:r>
    </w:p>
    <w:p w14:paraId="25D7AA78">
      <w:pPr>
        <w:spacing w:line="360" w:lineRule="auto"/>
        <w:ind w:firstLine="422"/>
        <w:rPr>
          <w:rFonts w:ascii="宋体" w:hAnsi="宋体" w:cs="宋体"/>
          <w:b/>
          <w:bCs/>
          <w:color w:val="auto"/>
          <w:szCs w:val="21"/>
        </w:rPr>
      </w:pPr>
      <w:r>
        <w:rPr>
          <w:rFonts w:hint="eastAsia" w:ascii="宋体" w:hAnsi="宋体" w:cs="宋体"/>
          <w:b/>
          <w:bCs/>
          <w:color w:val="auto"/>
          <w:szCs w:val="21"/>
        </w:rPr>
        <w:t>十、合同争议解决方式</w:t>
      </w:r>
    </w:p>
    <w:p w14:paraId="5FBC70DA">
      <w:pPr>
        <w:spacing w:line="360" w:lineRule="auto"/>
        <w:ind w:firstLine="420"/>
        <w:rPr>
          <w:rFonts w:ascii="宋体" w:hAnsi="宋体" w:cs="宋体"/>
          <w:color w:val="auto"/>
          <w:szCs w:val="21"/>
        </w:rPr>
      </w:pPr>
      <w:r>
        <w:rPr>
          <w:rFonts w:hint="eastAsia" w:ascii="宋体" w:hAnsi="宋体" w:cs="宋体"/>
          <w:color w:val="auto"/>
          <w:szCs w:val="21"/>
        </w:rPr>
        <w:t>本合同在履行过程中发生争议，由双方协商解决，也可以向所在设区市工商行政管理部门合同调解组织申请调解。协商或调解不成的，双方同意提交</w:t>
      </w:r>
      <w:r>
        <w:rPr>
          <w:rFonts w:hint="eastAsia" w:ascii="宋体" w:hAnsi="宋体" w:cs="宋体"/>
          <w:color w:val="auto"/>
          <w:szCs w:val="21"/>
          <w:u w:val="single"/>
        </w:rPr>
        <w:t xml:space="preserve"> 扬州 </w:t>
      </w:r>
      <w:r>
        <w:rPr>
          <w:rFonts w:hint="eastAsia" w:ascii="宋体" w:hAnsi="宋体" w:cs="宋体"/>
          <w:color w:val="auto"/>
          <w:szCs w:val="21"/>
        </w:rPr>
        <w:t>仲裁委员会仲裁（双方未在本合同约定仲裁机构，事后又未达成书面仲裁协议的，可向人民法院起诉）。</w:t>
      </w:r>
    </w:p>
    <w:p w14:paraId="7D738686">
      <w:pPr>
        <w:spacing w:line="360" w:lineRule="auto"/>
        <w:ind w:firstLine="422"/>
        <w:rPr>
          <w:rFonts w:ascii="宋体" w:hAnsi="宋体" w:cs="宋体"/>
          <w:b/>
          <w:bCs/>
          <w:color w:val="auto"/>
          <w:szCs w:val="21"/>
        </w:rPr>
      </w:pPr>
      <w:r>
        <w:rPr>
          <w:rFonts w:hint="eastAsia" w:ascii="宋体" w:hAnsi="宋体" w:cs="宋体"/>
          <w:b/>
          <w:bCs/>
          <w:color w:val="auto"/>
          <w:szCs w:val="21"/>
        </w:rPr>
        <w:t>十一、其他约定事项：</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959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jc w:val="center"/>
        </w:trPr>
        <w:tc>
          <w:tcPr>
            <w:tcW w:w="8522" w:type="dxa"/>
            <w:shd w:val="clear" w:color="auto" w:fill="auto"/>
            <w:noWrap/>
          </w:tcPr>
          <w:p w14:paraId="376CDF9E">
            <w:pPr>
              <w:spacing w:line="360" w:lineRule="auto"/>
              <w:ind w:firstLine="420"/>
              <w:rPr>
                <w:rFonts w:hint="eastAsia" w:ascii="宋体" w:hAnsi="宋体" w:eastAsia="宋体" w:cs="宋体"/>
                <w:color w:val="auto"/>
                <w:szCs w:val="21"/>
                <w:lang w:val="en-US" w:eastAsia="zh-CN"/>
              </w:rPr>
            </w:pPr>
            <w:r>
              <w:rPr>
                <w:rFonts w:hint="eastAsia" w:ascii="宋体" w:hAnsi="宋体" w:cs="宋体"/>
                <w:color w:val="auto"/>
                <w:szCs w:val="21"/>
                <w:lang w:val="en-US" w:eastAsia="zh-CN"/>
              </w:rPr>
              <w:t>无</w:t>
            </w:r>
          </w:p>
        </w:tc>
      </w:tr>
    </w:tbl>
    <w:p w14:paraId="03FB0CD8">
      <w:pPr>
        <w:spacing w:line="360" w:lineRule="auto"/>
        <w:ind w:firstLine="422"/>
        <w:rPr>
          <w:rFonts w:ascii="宋体" w:hAnsi="宋体" w:cs="宋体"/>
          <w:b/>
          <w:bCs/>
          <w:color w:val="auto"/>
          <w:szCs w:val="21"/>
        </w:rPr>
      </w:pPr>
      <w:r>
        <w:rPr>
          <w:rFonts w:hint="eastAsia" w:ascii="宋体" w:hAnsi="宋体" w:cs="宋体"/>
          <w:b/>
          <w:bCs/>
          <w:color w:val="auto"/>
          <w:szCs w:val="21"/>
        </w:rPr>
        <w:t>十二、附则</w:t>
      </w:r>
    </w:p>
    <w:p w14:paraId="48632610">
      <w:pPr>
        <w:spacing w:line="360" w:lineRule="auto"/>
        <w:ind w:firstLine="420"/>
        <w:rPr>
          <w:rFonts w:ascii="宋体" w:hAnsi="宋体" w:cs="宋体"/>
          <w:color w:val="auto"/>
          <w:szCs w:val="21"/>
        </w:rPr>
      </w:pPr>
      <w:r>
        <w:rPr>
          <w:rFonts w:hint="eastAsia" w:ascii="宋体" w:hAnsi="宋体" w:cs="宋体"/>
          <w:color w:val="auto"/>
          <w:szCs w:val="21"/>
        </w:rPr>
        <w:t>（一）本合同一式陆份，甲方执肆份，乙方执贰份。</w:t>
      </w:r>
    </w:p>
    <w:p w14:paraId="11DEF07A">
      <w:pPr>
        <w:spacing w:line="360" w:lineRule="auto"/>
        <w:ind w:firstLine="420"/>
        <w:rPr>
          <w:rFonts w:ascii="宋体" w:hAnsi="宋体" w:cs="宋体"/>
          <w:color w:val="auto"/>
          <w:szCs w:val="21"/>
        </w:rPr>
      </w:pPr>
      <w:r>
        <w:rPr>
          <w:rFonts w:hint="eastAsia" w:ascii="宋体" w:hAnsi="宋体" w:cs="宋体"/>
          <w:color w:val="auto"/>
          <w:szCs w:val="21"/>
        </w:rPr>
        <w:t>（二）甲乙双方在购销中药饮片过程中，必须遵循国家和江苏省相关规定，如遇国家或江苏省政策调整，按新的政策执行。集中带量采购中药饮片严格执行集中带量采购政策。</w:t>
      </w:r>
    </w:p>
    <w:p w14:paraId="1C5EF09A">
      <w:pPr>
        <w:spacing w:line="360" w:lineRule="auto"/>
        <w:ind w:firstLine="420"/>
        <w:rPr>
          <w:rFonts w:ascii="宋体" w:hAnsi="宋体" w:cs="宋体"/>
          <w:color w:val="auto"/>
          <w:szCs w:val="21"/>
        </w:rPr>
      </w:pPr>
      <w:r>
        <w:rPr>
          <w:rFonts w:hint="eastAsia" w:ascii="宋体" w:hAnsi="宋体" w:cs="宋体"/>
          <w:color w:val="auto"/>
          <w:szCs w:val="21"/>
        </w:rPr>
        <w:t>（三）甲乙双方须严格执行国家和江苏省廉政建设有关条款，一方如有违反，另一方有权制止，直至向纪委或监察委举报查处。</w:t>
      </w:r>
    </w:p>
    <w:p w14:paraId="05C7EC44">
      <w:pPr>
        <w:spacing w:line="360" w:lineRule="auto"/>
        <w:ind w:firstLine="420"/>
        <w:rPr>
          <w:rFonts w:ascii="宋体" w:hAnsi="宋体" w:cs="宋体"/>
          <w:color w:val="auto"/>
          <w:szCs w:val="21"/>
        </w:rPr>
      </w:pPr>
      <w:r>
        <w:rPr>
          <w:rFonts w:hint="eastAsia" w:ascii="宋体" w:hAnsi="宋体" w:cs="宋体"/>
          <w:color w:val="auto"/>
          <w:szCs w:val="21"/>
        </w:rPr>
        <w:t>（四）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14:paraId="4F03AC80">
      <w:pPr>
        <w:spacing w:line="360" w:lineRule="auto"/>
        <w:ind w:firstLine="420"/>
        <w:rPr>
          <w:rFonts w:ascii="宋体" w:hAnsi="宋体" w:cs="宋体"/>
          <w:color w:val="auto"/>
          <w:szCs w:val="21"/>
        </w:rPr>
      </w:pPr>
      <w:r>
        <w:rPr>
          <w:rFonts w:hint="eastAsia" w:ascii="宋体" w:hAnsi="宋体" w:cs="宋体"/>
          <w:color w:val="auto"/>
          <w:szCs w:val="21"/>
        </w:rPr>
        <w:t>（五）本合同如有未尽事宜，经双方协商可在不违背本合同实质性内容的前提下签署补充协议。补充协议与本合同具有同等法律效力。</w:t>
      </w:r>
    </w:p>
    <w:p w14:paraId="52B3ED17">
      <w:pPr>
        <w:spacing w:line="360" w:lineRule="auto"/>
        <w:ind w:firstLine="420"/>
        <w:rPr>
          <w:rFonts w:ascii="宋体" w:hAnsi="宋体" w:cs="宋体"/>
          <w:color w:val="auto"/>
          <w:szCs w:val="21"/>
        </w:rPr>
      </w:pPr>
      <w:r>
        <w:rPr>
          <w:rFonts w:hint="eastAsia" w:ascii="宋体" w:hAnsi="宋体" w:cs="宋体"/>
          <w:color w:val="auto"/>
          <w:szCs w:val="21"/>
        </w:rPr>
        <w:t>以下为盖章页</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D2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0" w:hRule="atLeast"/>
          <w:jc w:val="center"/>
        </w:trPr>
        <w:tc>
          <w:tcPr>
            <w:tcW w:w="8522" w:type="dxa"/>
            <w:shd w:val="clear" w:color="auto" w:fill="auto"/>
            <w:noWrap/>
          </w:tcPr>
          <w:p w14:paraId="2144F99F">
            <w:pPr>
              <w:spacing w:line="560" w:lineRule="exact"/>
              <w:rPr>
                <w:rFonts w:ascii="宋体" w:hAnsi="宋体" w:cs="宋体"/>
                <w:color w:val="auto"/>
                <w:szCs w:val="21"/>
              </w:rPr>
            </w:pPr>
          </w:p>
          <w:p w14:paraId="36079500">
            <w:pPr>
              <w:spacing w:line="560" w:lineRule="exact"/>
              <w:rPr>
                <w:rFonts w:ascii="宋体" w:hAnsi="宋体" w:cs="宋体"/>
                <w:color w:val="auto"/>
                <w:szCs w:val="21"/>
              </w:rPr>
            </w:pPr>
            <w:r>
              <w:rPr>
                <w:rFonts w:hint="eastAsia" w:ascii="宋体" w:hAnsi="宋体" w:cs="宋体"/>
                <w:color w:val="auto"/>
                <w:szCs w:val="21"/>
              </w:rPr>
              <w:t>甲方：（盖章）                     乙方：（盖章）</w:t>
            </w:r>
          </w:p>
          <w:p w14:paraId="32C7A0D4">
            <w:pPr>
              <w:spacing w:line="560" w:lineRule="exact"/>
              <w:rPr>
                <w:rFonts w:ascii="宋体" w:hAnsi="宋体" w:cs="宋体"/>
                <w:color w:val="auto"/>
                <w:szCs w:val="21"/>
                <w:u w:val="single"/>
              </w:rPr>
            </w:pPr>
            <w:r>
              <w:rPr>
                <w:rFonts w:hint="eastAsia" w:ascii="宋体" w:hAnsi="宋体" w:cs="宋体"/>
                <w:color w:val="auto"/>
                <w:szCs w:val="21"/>
                <w:u w:val="single"/>
              </w:rPr>
              <w:t xml:space="preserve">扬州大学附属医院 </w:t>
            </w:r>
          </w:p>
          <w:p w14:paraId="60FA676B">
            <w:pPr>
              <w:spacing w:line="560" w:lineRule="exact"/>
              <w:rPr>
                <w:rFonts w:ascii="宋体" w:hAnsi="宋体" w:cs="宋体"/>
                <w:color w:val="auto"/>
                <w:szCs w:val="21"/>
              </w:rPr>
            </w:pPr>
          </w:p>
          <w:p w14:paraId="47223EAE">
            <w:pPr>
              <w:spacing w:line="560" w:lineRule="exact"/>
              <w:rPr>
                <w:rFonts w:ascii="宋体" w:hAnsi="宋体" w:cs="宋体"/>
                <w:color w:val="auto"/>
                <w:szCs w:val="21"/>
              </w:rPr>
            </w:pPr>
            <w:r>
              <w:rPr>
                <w:rFonts w:hint="eastAsia" w:ascii="宋体" w:hAnsi="宋体" w:cs="宋体"/>
                <w:color w:val="auto"/>
                <w:szCs w:val="21"/>
              </w:rPr>
              <w:t>地址：                            地址：</w:t>
            </w:r>
          </w:p>
          <w:p w14:paraId="1A9D523B">
            <w:pPr>
              <w:spacing w:line="560" w:lineRule="exact"/>
              <w:rPr>
                <w:rFonts w:ascii="宋体" w:hAnsi="宋体" w:cs="宋体"/>
                <w:color w:val="auto"/>
                <w:szCs w:val="21"/>
              </w:rPr>
            </w:pPr>
            <w:r>
              <w:rPr>
                <w:rFonts w:hint="eastAsia" w:ascii="宋体" w:hAnsi="宋体" w:cs="宋体"/>
                <w:color w:val="auto"/>
                <w:szCs w:val="21"/>
              </w:rPr>
              <w:t>法定代表人：                      法定代表人：</w:t>
            </w:r>
          </w:p>
          <w:p w14:paraId="18945867">
            <w:pPr>
              <w:spacing w:line="560" w:lineRule="exact"/>
              <w:rPr>
                <w:rFonts w:ascii="宋体" w:hAnsi="宋体" w:cs="宋体"/>
                <w:color w:val="auto"/>
                <w:szCs w:val="21"/>
              </w:rPr>
            </w:pPr>
            <w:r>
              <w:rPr>
                <w:rFonts w:hint="eastAsia" w:ascii="宋体" w:hAnsi="宋体" w:cs="宋体"/>
                <w:color w:val="auto"/>
                <w:szCs w:val="21"/>
              </w:rPr>
              <w:t>委托代理人：                      委托代理人：</w:t>
            </w:r>
          </w:p>
          <w:p w14:paraId="4652BE2C">
            <w:pPr>
              <w:spacing w:line="560" w:lineRule="exact"/>
              <w:rPr>
                <w:rFonts w:ascii="宋体" w:hAnsi="宋体" w:cs="宋体"/>
                <w:color w:val="auto"/>
                <w:szCs w:val="21"/>
              </w:rPr>
            </w:pPr>
            <w:r>
              <w:rPr>
                <w:rFonts w:hint="eastAsia" w:ascii="宋体" w:hAnsi="宋体" w:cs="宋体"/>
                <w:color w:val="auto"/>
                <w:szCs w:val="21"/>
              </w:rPr>
              <w:t xml:space="preserve">签名人居民身份证号码：            签名人居民身份证号码： </w:t>
            </w:r>
          </w:p>
          <w:p w14:paraId="6FE21E07">
            <w:pPr>
              <w:spacing w:line="560" w:lineRule="exact"/>
              <w:rPr>
                <w:rFonts w:ascii="宋体" w:hAnsi="宋体" w:cs="宋体"/>
                <w:color w:val="auto"/>
                <w:szCs w:val="21"/>
              </w:rPr>
            </w:pPr>
            <w:r>
              <w:rPr>
                <w:rFonts w:hint="eastAsia" w:ascii="宋体" w:hAnsi="宋体" w:cs="宋体"/>
                <w:color w:val="auto"/>
                <w:szCs w:val="21"/>
              </w:rPr>
              <w:t>电话：                            电话：</w:t>
            </w:r>
          </w:p>
          <w:p w14:paraId="3775E5D9">
            <w:pPr>
              <w:spacing w:line="560" w:lineRule="exact"/>
              <w:rPr>
                <w:rFonts w:ascii="宋体" w:hAnsi="宋体" w:cs="宋体"/>
                <w:color w:val="auto"/>
                <w:szCs w:val="21"/>
              </w:rPr>
            </w:pPr>
            <w:r>
              <w:rPr>
                <w:rFonts w:hint="eastAsia" w:ascii="宋体" w:hAnsi="宋体" w:cs="宋体"/>
                <w:color w:val="auto"/>
                <w:szCs w:val="21"/>
              </w:rPr>
              <w:t>传真：                            传真：</w:t>
            </w:r>
          </w:p>
          <w:p w14:paraId="07BE8A8A">
            <w:pPr>
              <w:spacing w:line="560" w:lineRule="exact"/>
              <w:rPr>
                <w:rFonts w:ascii="宋体" w:hAnsi="宋体" w:cs="宋体"/>
                <w:color w:val="auto"/>
                <w:szCs w:val="21"/>
              </w:rPr>
            </w:pPr>
            <w:r>
              <w:rPr>
                <w:rFonts w:hint="eastAsia" w:ascii="宋体" w:hAnsi="宋体" w:cs="宋体"/>
                <w:color w:val="auto"/>
                <w:szCs w:val="21"/>
              </w:rPr>
              <w:t>开户银行：                        开户银行：</w:t>
            </w:r>
          </w:p>
          <w:p w14:paraId="361E9B64">
            <w:pPr>
              <w:spacing w:line="560" w:lineRule="exact"/>
              <w:rPr>
                <w:rFonts w:ascii="宋体" w:hAnsi="宋体" w:cs="宋体"/>
                <w:color w:val="auto"/>
                <w:szCs w:val="21"/>
              </w:rPr>
            </w:pPr>
            <w:r>
              <w:rPr>
                <w:rFonts w:hint="eastAsia" w:ascii="宋体" w:hAnsi="宋体" w:cs="宋体"/>
                <w:color w:val="auto"/>
                <w:szCs w:val="21"/>
              </w:rPr>
              <w:t>帐号：                            帐号：</w:t>
            </w:r>
          </w:p>
          <w:p w14:paraId="63F1E1F7">
            <w:pPr>
              <w:spacing w:line="560" w:lineRule="exact"/>
              <w:rPr>
                <w:rFonts w:ascii="宋体" w:hAnsi="宋体" w:cs="宋体"/>
                <w:color w:val="auto"/>
                <w:szCs w:val="21"/>
              </w:rPr>
            </w:pPr>
            <w:r>
              <w:rPr>
                <w:rFonts w:hint="eastAsia" w:ascii="宋体" w:hAnsi="宋体" w:cs="宋体"/>
                <w:color w:val="auto"/>
                <w:szCs w:val="21"/>
              </w:rPr>
              <w:t>邮政编码：                        邮政编码：</w:t>
            </w:r>
          </w:p>
          <w:p w14:paraId="4066ABB9">
            <w:pPr>
              <w:spacing w:line="560" w:lineRule="exact"/>
              <w:rPr>
                <w:rFonts w:ascii="宋体" w:hAnsi="宋体" w:cs="宋体"/>
                <w:color w:val="auto"/>
                <w:szCs w:val="21"/>
              </w:rPr>
            </w:pPr>
            <w:r>
              <w:rPr>
                <w:rFonts w:hint="eastAsia" w:ascii="宋体" w:hAnsi="宋体" w:cs="宋体"/>
                <w:color w:val="auto"/>
                <w:szCs w:val="21"/>
              </w:rPr>
              <w:t>日期：  年   月   日</w:t>
            </w:r>
          </w:p>
        </w:tc>
      </w:tr>
    </w:tbl>
    <w:p w14:paraId="1301FFEC">
      <w:pPr>
        <w:spacing w:line="560" w:lineRule="exact"/>
        <w:ind w:firstLine="560"/>
        <w:rPr>
          <w:rFonts w:ascii="宋体" w:hAnsi="宋体" w:cs="宋体"/>
          <w:color w:val="auto"/>
          <w:sz w:val="28"/>
          <w:szCs w:val="28"/>
        </w:rPr>
      </w:pPr>
    </w:p>
    <w:p w14:paraId="79509FA5">
      <w:pPr>
        <w:pStyle w:val="14"/>
        <w:rPr>
          <w:rFonts w:ascii="宋体" w:hAnsi="宋体" w:cs="宋体"/>
          <w:color w:val="auto"/>
          <w:sz w:val="28"/>
          <w:szCs w:val="28"/>
        </w:rPr>
      </w:pPr>
    </w:p>
    <w:p w14:paraId="2842619E">
      <w:pPr>
        <w:ind w:firstLine="560"/>
        <w:rPr>
          <w:rFonts w:ascii="宋体" w:hAnsi="宋体" w:cs="宋体"/>
          <w:color w:val="auto"/>
          <w:sz w:val="28"/>
          <w:szCs w:val="28"/>
        </w:rPr>
      </w:pPr>
    </w:p>
    <w:p w14:paraId="5F7DA9D5">
      <w:pPr>
        <w:spacing w:line="560" w:lineRule="exact"/>
        <w:rPr>
          <w:rFonts w:hint="eastAsia" w:ascii="宋体" w:hAnsi="宋体" w:cs="宋体"/>
          <w:color w:val="auto"/>
          <w:szCs w:val="21"/>
        </w:rPr>
      </w:pPr>
    </w:p>
    <w:p w14:paraId="72D01A82">
      <w:pPr>
        <w:spacing w:line="560" w:lineRule="exact"/>
        <w:rPr>
          <w:rFonts w:ascii="宋体" w:hAnsi="宋体" w:cs="宋体"/>
          <w:color w:val="auto"/>
        </w:rPr>
      </w:pPr>
      <w:r>
        <w:rPr>
          <w:rFonts w:hint="eastAsia" w:ascii="宋体" w:hAnsi="宋体" w:cs="宋体"/>
          <w:color w:val="auto"/>
          <w:szCs w:val="21"/>
        </w:rPr>
        <w:t>附件：中药饮片品种买卖清单（含价格和数量）</w:t>
      </w:r>
    </w:p>
    <w:p w14:paraId="6A8B0162">
      <w:pPr>
        <w:spacing w:line="560" w:lineRule="exact"/>
        <w:ind w:firstLine="560"/>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复方饮片</w:t>
      </w:r>
    </w:p>
    <w:tbl>
      <w:tblPr>
        <w:tblStyle w:val="8"/>
        <w:tblW w:w="93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9"/>
        <w:gridCol w:w="880"/>
        <w:gridCol w:w="776"/>
        <w:gridCol w:w="1161"/>
        <w:gridCol w:w="756"/>
        <w:gridCol w:w="880"/>
        <w:gridCol w:w="985"/>
        <w:gridCol w:w="926"/>
        <w:gridCol w:w="2317"/>
      </w:tblGrid>
      <w:tr w14:paraId="097E9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87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25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中药饮片名称</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59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质量要求</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26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国药准字Z字批准文号</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15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预估采购量</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5E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单位（kg）</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57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   （kg/元）</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B84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总价（元）</w:t>
            </w:r>
          </w:p>
        </w:tc>
        <w:tc>
          <w:tcPr>
            <w:tcW w:w="2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27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生产企业</w:t>
            </w:r>
          </w:p>
        </w:tc>
      </w:tr>
      <w:tr w14:paraId="5F1FA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73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9C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半夏曲</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12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54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国药准字Z51022535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0D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8A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6D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27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346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四川百胜药业有限公司</w:t>
            </w:r>
          </w:p>
        </w:tc>
      </w:tr>
      <w:tr w14:paraId="67F4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62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C0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沉香曲</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6F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EB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国药准字Z33020781</w:t>
            </w:r>
            <w:r>
              <w:rPr>
                <w:rStyle w:val="16"/>
                <w:rFonts w:eastAsia="宋体"/>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5A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C2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48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1A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225351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08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台州南峰药业有限公司</w:t>
            </w:r>
          </w:p>
        </w:tc>
      </w:tr>
      <w:tr w14:paraId="24ABB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069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2F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建曲</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17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04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国药准字Z51022536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112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1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53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DC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02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四川百胜药业有限公司</w:t>
            </w:r>
          </w:p>
        </w:tc>
      </w:tr>
      <w:tr w14:paraId="5086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662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0A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六神曲</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2B260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4D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国药准字Z51022534</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73708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1DA7BD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24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5D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00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四川百胜药业有限公司</w:t>
            </w:r>
          </w:p>
        </w:tc>
      </w:tr>
      <w:tr w14:paraId="32F85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gridSpan w:val="9"/>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151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金额合计：  大写：</w:t>
            </w:r>
            <w:r>
              <w:rPr>
                <w:rFonts w:hint="eastAsia" w:ascii="宋体" w:hAnsi="宋体" w:cs="宋体"/>
                <w:i w:val="0"/>
                <w:iCs w:val="0"/>
                <w:color w:val="000000"/>
                <w:kern w:val="0"/>
                <w:sz w:val="21"/>
                <w:szCs w:val="21"/>
                <w:u w:val="none"/>
                <w:lang w:val="en-US" w:eastAsia="zh-CN" w:bidi="ar"/>
              </w:rPr>
              <w:t>人民币</w:t>
            </w:r>
            <w:r>
              <w:rPr>
                <w:rFonts w:hint="eastAsia" w:ascii="宋体" w:hAnsi="宋体" w:eastAsia="宋体" w:cs="宋体"/>
                <w:i w:val="0"/>
                <w:iCs w:val="0"/>
                <w:color w:val="000000"/>
                <w:kern w:val="0"/>
                <w:sz w:val="21"/>
                <w:szCs w:val="21"/>
                <w:u w:val="none"/>
                <w:lang w:val="en-US" w:eastAsia="zh-CN" w:bidi="ar"/>
              </w:rPr>
              <w:t>叁拾贰万捌仟零伍拾壹元整             小写：￥328051</w:t>
            </w:r>
            <w:r>
              <w:rPr>
                <w:rFonts w:hint="eastAsia" w:ascii="宋体" w:hAnsi="宋体" w:cs="宋体"/>
                <w:i w:val="0"/>
                <w:iCs w:val="0"/>
                <w:color w:val="000000"/>
                <w:kern w:val="0"/>
                <w:sz w:val="21"/>
                <w:szCs w:val="21"/>
                <w:u w:val="none"/>
                <w:lang w:val="en-US" w:eastAsia="zh-CN" w:bidi="ar"/>
              </w:rPr>
              <w:t>.00</w:t>
            </w:r>
          </w:p>
        </w:tc>
      </w:tr>
      <w:tr w14:paraId="4F2D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99DA">
            <w:pPr>
              <w:jc w:val="center"/>
              <w:rPr>
                <w:rFonts w:hint="eastAsia" w:ascii="宋体" w:hAnsi="宋体" w:eastAsia="宋体" w:cs="宋体"/>
                <w:i w:val="0"/>
                <w:iCs w:val="0"/>
                <w:color w:val="000000"/>
                <w:sz w:val="21"/>
                <w:szCs w:val="21"/>
                <w:u w:val="none"/>
              </w:rPr>
            </w:pPr>
          </w:p>
        </w:tc>
      </w:tr>
    </w:tbl>
    <w:p w14:paraId="0F2B7114">
      <w:pPr>
        <w:spacing w:line="560" w:lineRule="exact"/>
        <w:ind w:firstLine="560"/>
        <w:rPr>
          <w:rFonts w:hint="eastAsia" w:ascii="宋体" w:hAnsi="宋体" w:cs="宋体"/>
          <w:color w:val="auto"/>
          <w:sz w:val="28"/>
          <w:szCs w:val="28"/>
          <w:lang w:val="en-US" w:eastAsia="zh-CN"/>
        </w:rPr>
      </w:pPr>
    </w:p>
    <w:p w14:paraId="26110E35">
      <w:pPr>
        <w:spacing w:line="560" w:lineRule="exact"/>
        <w:ind w:firstLine="560"/>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胶类饮片分项报价表</w:t>
      </w:r>
    </w:p>
    <w:tbl>
      <w:tblPr>
        <w:tblStyle w:val="8"/>
        <w:tblW w:w="96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3"/>
        <w:gridCol w:w="1031"/>
        <w:gridCol w:w="785"/>
        <w:gridCol w:w="1215"/>
        <w:gridCol w:w="935"/>
        <w:gridCol w:w="1284"/>
        <w:gridCol w:w="1131"/>
        <w:gridCol w:w="917"/>
        <w:gridCol w:w="1817"/>
      </w:tblGrid>
      <w:tr w14:paraId="7D7F6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BB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A9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中药饮片名称</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C6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质量要求</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2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国药准字Z字批准文号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C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预估采购量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2F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单位（kg）</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06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     （kg/元）</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01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总价（元）</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B7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生产企业</w:t>
            </w:r>
          </w:p>
        </w:tc>
      </w:tr>
      <w:tr w14:paraId="11147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4B3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A8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阿胶</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02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28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国药准字Z43020568</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C4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328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D7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3700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0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18500</w:t>
            </w: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A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湖南东健药业有限公司</w:t>
            </w:r>
          </w:p>
        </w:tc>
      </w:tr>
      <w:tr w14:paraId="13064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AD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90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鳖甲胶</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12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318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国药准字Z41020699</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4ED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E7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0B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4280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F24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21400</w:t>
            </w: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7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河南省四方药业集团有限公司</w:t>
            </w:r>
          </w:p>
        </w:tc>
      </w:tr>
      <w:tr w14:paraId="18BF3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67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BE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龟甲胶</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70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47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国药准字Z43020570</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48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F6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82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4580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6C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22900</w:t>
            </w: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3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湖南东健药业有限公司</w:t>
            </w:r>
          </w:p>
        </w:tc>
      </w:tr>
      <w:tr w14:paraId="3CBF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4F7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8E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鹿角胶</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35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94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国药准字Z43020572</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A2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BE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75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4580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E7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22900</w:t>
            </w: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E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湖南东健药业有限公司</w:t>
            </w:r>
          </w:p>
        </w:tc>
      </w:tr>
      <w:tr w14:paraId="36FF5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658" w:type="dxa"/>
            <w:gridSpan w:val="9"/>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377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金额合计：  大写：</w:t>
            </w:r>
            <w:r>
              <w:rPr>
                <w:rFonts w:hint="eastAsia" w:ascii="宋体" w:hAnsi="宋体" w:cs="宋体"/>
                <w:i w:val="0"/>
                <w:iCs w:val="0"/>
                <w:color w:val="000000"/>
                <w:kern w:val="0"/>
                <w:sz w:val="21"/>
                <w:szCs w:val="21"/>
                <w:u w:val="none"/>
                <w:lang w:val="en-US" w:eastAsia="zh-CN" w:bidi="ar"/>
              </w:rPr>
              <w:t>人民币</w:t>
            </w:r>
            <w:r>
              <w:rPr>
                <w:rFonts w:hint="eastAsia" w:ascii="宋体" w:hAnsi="宋体" w:eastAsia="宋体" w:cs="宋体"/>
                <w:i w:val="0"/>
                <w:iCs w:val="0"/>
                <w:color w:val="000000"/>
                <w:kern w:val="0"/>
                <w:sz w:val="21"/>
                <w:szCs w:val="21"/>
                <w:u w:val="none"/>
                <w:lang w:val="en-US" w:eastAsia="zh-CN" w:bidi="ar"/>
              </w:rPr>
              <w:t>捌仟伍佰柒拾元整            小写：￥85700</w:t>
            </w:r>
            <w:r>
              <w:rPr>
                <w:rFonts w:hint="eastAsia" w:ascii="宋体" w:hAnsi="宋体" w:cs="宋体"/>
                <w:i w:val="0"/>
                <w:iCs w:val="0"/>
                <w:color w:val="000000"/>
                <w:kern w:val="0"/>
                <w:sz w:val="21"/>
                <w:szCs w:val="21"/>
                <w:u w:val="none"/>
                <w:lang w:val="en-US" w:eastAsia="zh-CN" w:bidi="ar"/>
              </w:rPr>
              <w:t>.00</w:t>
            </w:r>
          </w:p>
        </w:tc>
      </w:tr>
      <w:tr w14:paraId="3F1C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658"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DCAF">
            <w:pPr>
              <w:jc w:val="center"/>
              <w:rPr>
                <w:rFonts w:hint="eastAsia" w:ascii="宋体" w:hAnsi="宋体" w:eastAsia="宋体" w:cs="宋体"/>
                <w:i w:val="0"/>
                <w:iCs w:val="0"/>
                <w:color w:val="000000"/>
                <w:sz w:val="21"/>
                <w:szCs w:val="21"/>
                <w:u w:val="none"/>
              </w:rPr>
            </w:pPr>
          </w:p>
        </w:tc>
      </w:tr>
    </w:tbl>
    <w:p w14:paraId="728559C2">
      <w:pPr>
        <w:rPr>
          <w:rFonts w:hint="default"/>
          <w:lang w:val="en-US" w:eastAsia="zh-CN"/>
        </w:rPr>
      </w:pPr>
    </w:p>
    <w:p w14:paraId="6F03D3B6">
      <w:pPr>
        <w:spacing w:line="560" w:lineRule="exact"/>
        <w:ind w:firstLine="560"/>
        <w:rPr>
          <w:rFonts w:hint="eastAsia" w:ascii="宋体" w:hAnsi="宋体" w:cs="宋体"/>
          <w:color w:val="auto"/>
          <w:sz w:val="28"/>
          <w:szCs w:val="28"/>
        </w:rPr>
      </w:pPr>
      <w:r>
        <w:rPr>
          <w:rFonts w:hint="eastAsia" w:ascii="宋体" w:hAnsi="宋体" w:cs="宋体"/>
          <w:color w:val="auto"/>
          <w:sz w:val="28"/>
          <w:szCs w:val="28"/>
        </w:rPr>
        <w:t>特殊规格饮片分项报价表</w:t>
      </w:r>
    </w:p>
    <w:tbl>
      <w:tblPr>
        <w:tblStyle w:val="8"/>
        <w:tblW w:w="95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2204"/>
        <w:gridCol w:w="894"/>
        <w:gridCol w:w="895"/>
        <w:gridCol w:w="862"/>
        <w:gridCol w:w="1237"/>
        <w:gridCol w:w="931"/>
        <w:gridCol w:w="1989"/>
      </w:tblGrid>
      <w:tr w14:paraId="507C6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2C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3F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中药饮片名称</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07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质量要求</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39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预估采购量</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38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28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   （kg/元）</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7E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总价（元）</w:t>
            </w:r>
          </w:p>
        </w:tc>
        <w:tc>
          <w:tcPr>
            <w:tcW w:w="1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B5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生产企业</w:t>
            </w:r>
          </w:p>
        </w:tc>
      </w:tr>
      <w:tr w14:paraId="0C97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97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CE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蟾酥粉（细粉）</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B2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17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03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A6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8466666</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1E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12700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1D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洪雅县瓦屋山药业有限公司</w:t>
            </w:r>
          </w:p>
        </w:tc>
      </w:tr>
      <w:tr w14:paraId="5DD97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E7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69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酒制蜂胶</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16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0B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45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6E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AD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100000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9D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40233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84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D8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花生衣（花生红衣细粉）</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F5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EF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4E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A5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5760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6E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115200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96C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济南三源药业有限公司</w:t>
            </w:r>
          </w:p>
        </w:tc>
      </w:tr>
      <w:tr w14:paraId="1E0BA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B8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F9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三七粉（细粉）</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54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5E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81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83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5040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61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136080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FB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1BC2E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F3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AC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松花粉（细粉）</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0C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01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A6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F9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10668</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38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96012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F4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412A6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69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0C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鲜竹沥</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E9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76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C6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9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794</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43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26996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78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济南三源药业有限公司</w:t>
            </w:r>
          </w:p>
        </w:tc>
      </w:tr>
      <w:tr w14:paraId="4E52C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A6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BA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象皮（细粉）</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FB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69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11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E3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218000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81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21800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9F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79CC6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AF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25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饴糖</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1D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3B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3F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3B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1C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790</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D9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74A83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00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0E7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冬虫夏草（2000条/kg）</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9E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F3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C1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2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205000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C9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205000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234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2453B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7D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45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冬虫夏草（3000条/kg）</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5C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40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12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B8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170000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EE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170000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89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18A5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8B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39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冬虫夏草（4000条/kg）</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75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8E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12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85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99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150000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E1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北京春风中药股份有限公司</w:t>
            </w:r>
          </w:p>
        </w:tc>
      </w:tr>
      <w:tr w14:paraId="5AA05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F1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47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西洋参（15g/支）</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6B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C7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90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2D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C9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3000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18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安徽宏信药业发展有限公司</w:t>
            </w:r>
          </w:p>
        </w:tc>
      </w:tr>
      <w:tr w14:paraId="64AC7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5D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5A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西洋参（6g/支）</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01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B4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8F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70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74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2000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BD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安徽宏信药业发展有限公司</w:t>
            </w:r>
          </w:p>
        </w:tc>
      </w:tr>
      <w:tr w14:paraId="21D7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C2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0E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西洋参（3g/支）</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EE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F0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B5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12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00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1500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64A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安徽宏信药业发展有限公司</w:t>
            </w:r>
          </w:p>
        </w:tc>
      </w:tr>
      <w:tr w14:paraId="00307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76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10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海马（大）</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97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9A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6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6C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94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7700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95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安徽宏信药业发展有限公司</w:t>
            </w:r>
          </w:p>
        </w:tc>
      </w:tr>
      <w:tr w14:paraId="179F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25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2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089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蜈蚣（大）</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21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选货</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2B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5B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1kg</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C6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2140</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6C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32100 </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F0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安徽宏信药业发展有限公司</w:t>
            </w:r>
          </w:p>
        </w:tc>
      </w:tr>
      <w:tr w14:paraId="34B8E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558" w:type="dxa"/>
            <w:gridSpan w:val="8"/>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FF6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金额合计：  大写：</w:t>
            </w:r>
            <w:r>
              <w:rPr>
                <w:rFonts w:hint="eastAsia" w:ascii="宋体" w:hAnsi="宋体" w:cs="宋体"/>
                <w:i w:val="0"/>
                <w:iCs w:val="0"/>
                <w:color w:val="000000"/>
                <w:kern w:val="0"/>
                <w:sz w:val="21"/>
                <w:szCs w:val="21"/>
                <w:u w:val="none"/>
                <w:lang w:val="en-US" w:eastAsia="zh-CN" w:bidi="ar"/>
              </w:rPr>
              <w:t>人民币</w:t>
            </w:r>
            <w:r>
              <w:rPr>
                <w:rFonts w:hint="eastAsia" w:ascii="宋体" w:hAnsi="宋体" w:eastAsia="宋体" w:cs="宋体"/>
                <w:i w:val="0"/>
                <w:iCs w:val="0"/>
                <w:color w:val="000000"/>
                <w:kern w:val="0"/>
                <w:sz w:val="21"/>
                <w:szCs w:val="21"/>
                <w:u w:val="none"/>
                <w:lang w:val="en-US" w:eastAsia="zh-CN" w:bidi="ar"/>
              </w:rPr>
              <w:t>壹佰零捌万柒仟玖佰捌拾捌元整            小写：￥1087988</w:t>
            </w:r>
            <w:r>
              <w:rPr>
                <w:rFonts w:hint="eastAsia" w:ascii="宋体" w:hAnsi="宋体" w:cs="宋体"/>
                <w:i w:val="0"/>
                <w:iCs w:val="0"/>
                <w:color w:val="000000"/>
                <w:kern w:val="0"/>
                <w:sz w:val="21"/>
                <w:szCs w:val="21"/>
                <w:u w:val="none"/>
                <w:lang w:val="en-US" w:eastAsia="zh-CN" w:bidi="ar"/>
              </w:rPr>
              <w:t>.00</w:t>
            </w:r>
          </w:p>
        </w:tc>
      </w:tr>
      <w:tr w14:paraId="53EC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558"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13237">
            <w:pPr>
              <w:jc w:val="center"/>
              <w:rPr>
                <w:rFonts w:hint="eastAsia" w:ascii="宋体" w:hAnsi="宋体" w:eastAsia="宋体" w:cs="宋体"/>
                <w:i w:val="0"/>
                <w:iCs w:val="0"/>
                <w:color w:val="000000"/>
                <w:sz w:val="21"/>
                <w:szCs w:val="21"/>
                <w:u w:val="none"/>
              </w:rPr>
            </w:pPr>
          </w:p>
        </w:tc>
      </w:tr>
    </w:tbl>
    <w:p w14:paraId="60873AA5"/>
    <w:p w14:paraId="5AB0D338">
      <w:pPr>
        <w:spacing w:line="560" w:lineRule="exact"/>
        <w:ind w:firstLine="560"/>
        <w:rPr>
          <w:rFonts w:ascii="宋体" w:hAnsi="宋体" w:cs="宋体"/>
          <w:color w:val="auto"/>
          <w:sz w:val="28"/>
          <w:szCs w:val="28"/>
        </w:rPr>
      </w:pPr>
    </w:p>
    <w:p w14:paraId="2CE383AC">
      <w:pPr>
        <w:spacing w:line="560" w:lineRule="exact"/>
        <w:ind w:firstLine="560"/>
        <w:rPr>
          <w:rFonts w:ascii="宋体" w:hAnsi="宋体" w:cs="宋体"/>
          <w:color w:val="auto"/>
          <w:sz w:val="28"/>
          <w:szCs w:val="28"/>
        </w:rPr>
      </w:pPr>
    </w:p>
    <w:p w14:paraId="7BEECA3A">
      <w:pPr>
        <w:pStyle w:val="3"/>
        <w:jc w:val="center"/>
        <w:rPr>
          <w:rFonts w:hint="eastAsia"/>
          <w:b/>
          <w:bCs/>
          <w:sz w:val="44"/>
          <w:szCs w:val="44"/>
        </w:rPr>
      </w:pPr>
    </w:p>
    <w:p w14:paraId="7D99B4B4">
      <w:pPr>
        <w:pStyle w:val="3"/>
        <w:jc w:val="center"/>
        <w:rPr>
          <w:rFonts w:hint="eastAsia"/>
          <w:b/>
          <w:bCs/>
          <w:sz w:val="44"/>
          <w:szCs w:val="44"/>
        </w:rPr>
      </w:pPr>
    </w:p>
    <w:p w14:paraId="400F3D4B">
      <w:pPr>
        <w:pStyle w:val="3"/>
        <w:jc w:val="center"/>
        <w:rPr>
          <w:rFonts w:hint="eastAsia"/>
          <w:b/>
          <w:bCs/>
          <w:sz w:val="44"/>
          <w:szCs w:val="44"/>
        </w:rPr>
      </w:pPr>
    </w:p>
    <w:p w14:paraId="3E930190">
      <w:pPr>
        <w:pStyle w:val="3"/>
        <w:jc w:val="center"/>
        <w:rPr>
          <w:rFonts w:hint="eastAsia"/>
          <w:b/>
          <w:bCs/>
          <w:sz w:val="44"/>
          <w:szCs w:val="44"/>
        </w:rPr>
      </w:pPr>
    </w:p>
    <w:p w14:paraId="1EA07B5A">
      <w:pPr>
        <w:pStyle w:val="3"/>
        <w:jc w:val="both"/>
        <w:rPr>
          <w:rFonts w:hint="eastAsia"/>
          <w:b/>
          <w:bCs/>
          <w:sz w:val="44"/>
          <w:szCs w:val="44"/>
        </w:rPr>
      </w:pPr>
    </w:p>
    <w:p w14:paraId="2F43AAF7">
      <w:pPr>
        <w:pStyle w:val="3"/>
        <w:jc w:val="center"/>
        <w:rPr>
          <w:rFonts w:hint="eastAsia"/>
          <w:b/>
          <w:bCs/>
          <w:sz w:val="44"/>
          <w:szCs w:val="44"/>
        </w:rPr>
      </w:pPr>
      <w:r>
        <w:rPr>
          <w:rFonts w:hint="eastAsia"/>
          <w:b/>
          <w:bCs/>
          <w:sz w:val="44"/>
          <w:szCs w:val="44"/>
        </w:rPr>
        <w:t>廉洁合作协议</w:t>
      </w:r>
    </w:p>
    <w:p w14:paraId="0426D4E1">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ascii="宋体" w:hAnsi="宋体" w:cs="宋体"/>
          <w:b w:val="0"/>
          <w:bCs w:val="0"/>
          <w:color w:val="auto"/>
          <w:szCs w:val="21"/>
          <w:u w:val="none"/>
        </w:rPr>
        <w:t>扬州大学附属医院</w:t>
      </w:r>
      <w:r>
        <w:rPr>
          <w:rFonts w:hint="eastAsia" w:hAnsi="宋体" w:cs="宋体"/>
          <w:color w:val="auto"/>
          <w:sz w:val="21"/>
          <w:szCs w:val="21"/>
          <w:u w:val="none"/>
          <w:lang w:val="en-US" w:eastAsia="zh-CN"/>
        </w:rPr>
        <w:t xml:space="preserve"> </w:t>
      </w:r>
    </w:p>
    <w:p w14:paraId="33BD9779">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ascii="宋体" w:hAnsi="宋体" w:cs="宋体"/>
          <w:b w:val="0"/>
          <w:bCs w:val="0"/>
          <w:color w:val="auto"/>
          <w:szCs w:val="21"/>
          <w:u w:val="none"/>
          <w:lang w:val="en-US" w:eastAsia="zh-CN"/>
        </w:rPr>
        <w:t>国药控股扬州有限公司</w:t>
      </w:r>
      <w:r>
        <w:rPr>
          <w:rFonts w:hint="eastAsia"/>
          <w:sz w:val="24"/>
          <w:szCs w:val="24"/>
          <w:lang w:val="en-US" w:eastAsia="zh-CN"/>
        </w:rPr>
        <w:t xml:space="preserve"> </w:t>
      </w:r>
    </w:p>
    <w:p w14:paraId="131225EE">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14:paraId="348AF64A">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14:paraId="19C06230">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14:paraId="62E33786">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14:paraId="5D772EF0">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14:paraId="286E21EB">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14:paraId="67D77F62">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14:paraId="16601AD1">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14:paraId="1D003EF3">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14:paraId="66DDC785">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14:paraId="01928556">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14:paraId="458E7549">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14:paraId="34700C50">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53D500A6">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val="0"/>
          <w:bCs w:val="0"/>
          <w:color w:val="auto"/>
          <w:szCs w:val="21"/>
          <w:u w:val="none"/>
          <w:lang w:val="en-US" w:eastAsia="zh-CN"/>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ascii="宋体" w:hAnsi="宋体" w:cs="宋体"/>
          <w:b w:val="0"/>
          <w:bCs w:val="0"/>
          <w:color w:val="auto"/>
          <w:szCs w:val="21"/>
          <w:u w:val="none"/>
        </w:rPr>
        <w:t>扬州大学附属医院</w:t>
      </w:r>
      <w:r>
        <w:rPr>
          <w:rFonts w:hint="eastAsia"/>
          <w:sz w:val="24"/>
          <w:szCs w:val="24"/>
          <w:lang w:val="en-US" w:eastAsia="zh-CN"/>
        </w:rPr>
        <w:t xml:space="preserve">              </w:t>
      </w:r>
      <w:r>
        <w:rPr>
          <w:rFonts w:hint="eastAsia"/>
          <w:sz w:val="24"/>
          <w:szCs w:val="24"/>
        </w:rPr>
        <w:t>乙方：(盖章)</w:t>
      </w:r>
      <w:r>
        <w:rPr>
          <w:rFonts w:hint="eastAsia" w:ascii="宋体" w:hAnsi="宋体" w:cs="宋体"/>
          <w:b w:val="0"/>
          <w:bCs w:val="0"/>
          <w:color w:val="auto"/>
          <w:szCs w:val="21"/>
          <w:u w:val="none"/>
          <w:lang w:val="en-US" w:eastAsia="zh-CN"/>
        </w:rPr>
        <w:t>国药控股扬州有限公司</w:t>
      </w:r>
    </w:p>
    <w:p w14:paraId="4EDDD72A">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val="0"/>
          <w:bCs w:val="0"/>
          <w:color w:val="auto"/>
          <w:szCs w:val="21"/>
          <w:u w:val="none"/>
          <w:lang w:val="en-US" w:eastAsia="zh-CN"/>
        </w:rPr>
      </w:pPr>
    </w:p>
    <w:p w14:paraId="232D6262">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14:paraId="74843C04">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752521C5">
      <w:pPr>
        <w:pStyle w:val="3"/>
        <w:spacing w:line="240" w:lineRule="auto"/>
        <w:jc w:val="left"/>
      </w:pPr>
      <w:r>
        <w:rPr>
          <w:rFonts w:hint="eastAsia"/>
          <w:sz w:val="24"/>
          <w:szCs w:val="24"/>
        </w:rPr>
        <w:t>日期：</w:t>
      </w:r>
      <w:r>
        <w:rPr>
          <w:rFonts w:hint="eastAsia"/>
          <w:sz w:val="24"/>
          <w:szCs w:val="24"/>
          <w:lang w:val="en-US" w:eastAsia="zh-CN"/>
        </w:rPr>
        <w:t xml:space="preserve">2026年  月  日                   </w:t>
      </w:r>
      <w:r>
        <w:rPr>
          <w:rFonts w:hint="eastAsia"/>
          <w:sz w:val="24"/>
          <w:szCs w:val="24"/>
        </w:rPr>
        <w:t>日期：</w:t>
      </w:r>
      <w:r>
        <w:rPr>
          <w:rFonts w:hint="eastAsia"/>
          <w:sz w:val="24"/>
          <w:szCs w:val="24"/>
          <w:lang w:val="en-US" w:eastAsia="zh-CN"/>
        </w:rPr>
        <w:t>2026年  月  日</w:t>
      </w:r>
    </w:p>
    <w:p w14:paraId="0A71BC1B">
      <w:pPr>
        <w:rPr>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3E125">
    <w:pPr>
      <w:pStyle w:val="6"/>
    </w:pPr>
    <w:r>
      <w:rPr>
        <w:sz w:val="18"/>
      </w:rPr>
      <w:pict>
        <v:shape id="_x0000_s4100" o:spid="_x0000_s4100"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09ACDCD0">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pict>
        <v:shape id="WordPictureWatermark4600752" o:spid="_x0000_s4101" o:spt="75" type="#_x0000_t75" style="position:absolute;left:0pt;margin-left:-36.25pt;margin-top:374.9pt;height:79.6pt;width:251.15pt;mso-position-horizontal-relative:margin;mso-position-vertical-relative:margin;rotation:-1680064f;z-index:-251655168;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102" o:spid="_x0000_s4102" o:spt="75" type="#_x0000_t75" style="position:absolute;left:0pt;margin-left:174.15pt;margin-top:458.4pt;height:79.4pt;width:250.65pt;mso-position-horizontal-relative:margin;mso-position-vertical-relative:margin;rotation:-1822309f;z-index:-25165312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3A60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90B2A">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115C5">
    <w:r>
      <w:pict>
        <v:shape id="_x0000_s4098" o:spid="_x0000_s4098" o:spt="75" type="#_x0000_t75" style="position:absolute;left:0pt;margin-left:177.9pt;margin-top:151.9pt;height:78.1pt;width:246.5pt;mso-position-horizontal-relative:margin;mso-position-vertical-relative:margin;rotation:-1600287f;z-index:-25165209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099" o:spid="_x0000_s4099" o:spt="75" type="#_x0000_t75" style="position:absolute;left:0pt;margin-left:-59.3pt;margin-top:86.1pt;height:81.1pt;width:256pt;mso-position-horizontal-relative:margin;mso-position-vertical-relative:margin;rotation:-1600287f;z-index:-251654144;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19949">
    <w:pPr>
      <w:pStyle w:val="7"/>
    </w:pPr>
    <w:r>
      <w:pict>
        <v:shape id="WordPictureWatermark4600751" o:spid="_x0000_s4103" o:spt="75" type="#_x0000_t75" style="position:absolute;left:0pt;height:131.55pt;width:415.2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EA84D">
    <w:pPr>
      <w:pStyle w:val="7"/>
    </w:pPr>
    <w:r>
      <w:pict>
        <v:shape id="WordPictureWatermark4600750" o:spid="_x0000_s4097"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Thousand"/>
      <w:lvlText w:val="%1、"/>
      <w:lvlJc w:val="left"/>
      <w:pPr>
        <w:ind w:left="431" w:hanging="431"/>
      </w:pPr>
      <w:rPr>
        <w:rFonts w:hint="default" w:cs="Times New Roman"/>
        <w:b/>
        <w:i w:val="0"/>
        <w:iCs w:val="0"/>
        <w:caps w:val="0"/>
        <w:strike w:val="0"/>
        <w:vanish w:val="0"/>
        <w:color w:val="000000"/>
        <w:spacing w:val="0"/>
        <w:position w:val="0"/>
        <w:sz w:val="21"/>
        <w:szCs w:val="32"/>
        <w:u w:val="none"/>
        <w:vertAlign w:val="baseline"/>
      </w:rPr>
    </w:lvl>
    <w:lvl w:ilvl="1" w:tentative="0">
      <w:start w:val="1"/>
      <w:numFmt w:val="decimal"/>
      <w:suff w:val="space"/>
      <w:lvlText w:val="%1.%2"/>
      <w:lvlJc w:val="left"/>
      <w:pPr>
        <w:ind w:left="851" w:hanging="567"/>
      </w:pPr>
      <w:rPr>
        <w:rFonts w:hint="default" w:ascii="Arial" w:hAnsi="Arial" w:eastAsia="黑体"/>
        <w:b/>
        <w:i w:val="0"/>
        <w:sz w:val="28"/>
        <w:szCs w:val="28"/>
      </w:rPr>
    </w:lvl>
    <w:lvl w:ilvl="2" w:tentative="0">
      <w:start w:val="1"/>
      <w:numFmt w:val="decimal"/>
      <w:pStyle w:val="2"/>
      <w:suff w:val="space"/>
      <w:lvlText w:val="%1.%2.%3"/>
      <w:lvlJc w:val="left"/>
      <w:pPr>
        <w:ind w:left="720" w:hanging="720"/>
      </w:pPr>
      <w:rPr>
        <w:rFonts w:hint="default" w:ascii="Arial" w:hAnsi="Arial" w:eastAsia="黑体"/>
        <w:b/>
        <w:i w:val="0"/>
        <w:sz w:val="28"/>
        <w:szCs w:val="28"/>
      </w:rPr>
    </w:lvl>
    <w:lvl w:ilvl="3" w:tentative="0">
      <w:start w:val="1"/>
      <w:numFmt w:val="decimal"/>
      <w:suff w:val="space"/>
      <w:lvlText w:val="%1.%2.%3.%4"/>
      <w:lvlJc w:val="left"/>
      <w:pPr>
        <w:ind w:left="864" w:hanging="864"/>
      </w:pPr>
      <w:rPr>
        <w:rFonts w:hint="default" w:ascii="Arial" w:hAnsi="Arial" w:eastAsia="黑体"/>
        <w:b/>
        <w:i w:val="0"/>
        <w:sz w:val="30"/>
        <w:szCs w:val="30"/>
      </w:rPr>
    </w:lvl>
    <w:lvl w:ilvl="4" w:tentative="0">
      <w:start w:val="1"/>
      <w:numFmt w:val="decimal"/>
      <w:suff w:val="space"/>
      <w:lvlText w:val="%1.%2.%3.%4.%5"/>
      <w:lvlJc w:val="left"/>
      <w:pPr>
        <w:ind w:left="1008" w:hanging="1008"/>
      </w:pPr>
      <w:rPr>
        <w:rFonts w:hint="default" w:ascii="Arial" w:hAnsi="Arial" w:eastAsia="黑体"/>
        <w:b/>
        <w:i w:val="0"/>
        <w:sz w:val="28"/>
        <w:szCs w:val="28"/>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forms" w:formatting="1" w:enforcement="1" w:cryptProviderType="rsaFull" w:cryptAlgorithmClass="hash" w:cryptAlgorithmType="typeAny" w:cryptAlgorithmSid="4" w:cryptSpinCount="0" w:hash="E931zPzGzBQpL89MrP/cdPqgU1o=" w:salt="g8u/nF3yYvsdBLGFAIKxtg=="/>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3CB81C03"/>
    <w:rsid w:val="41E35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3"/>
    <w:basedOn w:val="1"/>
    <w:next w:val="1"/>
    <w:qFormat/>
    <w:uiPriority w:val="0"/>
    <w:pPr>
      <w:keepNext/>
      <w:keepLines/>
      <w:numPr>
        <w:ilvl w:val="2"/>
        <w:numId w:val="1"/>
      </w:numPr>
      <w:spacing w:before="312" w:after="312"/>
      <w:jc w:val="left"/>
      <w:outlineLvl w:val="2"/>
    </w:pPr>
    <w:rPr>
      <w:rFonts w:ascii="Arial" w:hAnsi="Arial" w:eastAsia="黑体"/>
      <w:b/>
      <w:bCs/>
      <w:sz w:val="30"/>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rPr>
  </w:style>
  <w:style w:type="paragraph" w:styleId="4">
    <w:name w:val="Body Text Indent 2"/>
    <w:basedOn w:val="1"/>
    <w:link w:val="12"/>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5">
    <w:name w:val="Balloon Text"/>
    <w:basedOn w:val="1"/>
    <w:link w:val="13"/>
    <w:semiHidden/>
    <w:unhideWhenUsed/>
    <w:qFormat/>
    <w:uiPriority w:val="99"/>
    <w:rPr>
      <w:sz w:val="18"/>
      <w:szCs w:val="18"/>
    </w:rPr>
  </w:style>
  <w:style w:type="paragraph" w:styleId="6">
    <w:name w:val="footer"/>
    <w:basedOn w:val="1"/>
    <w:link w:val="11"/>
    <w:unhideWhenUsed/>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正文文本缩进 2 Char"/>
    <w:basedOn w:val="9"/>
    <w:link w:val="4"/>
    <w:qFormat/>
    <w:uiPriority w:val="0"/>
    <w:rPr>
      <w:rFonts w:ascii="Times New Roman" w:hAnsi="Calibri" w:eastAsia="仿宋_GB2312" w:cs="Times New Roman"/>
      <w:kern w:val="0"/>
      <w:sz w:val="32"/>
      <w:szCs w:val="32"/>
    </w:rPr>
  </w:style>
  <w:style w:type="character" w:customStyle="1" w:styleId="13">
    <w:name w:val="批注框文本 Char"/>
    <w:basedOn w:val="9"/>
    <w:link w:val="5"/>
    <w:semiHidden/>
    <w:uiPriority w:val="99"/>
    <w:rPr>
      <w:sz w:val="18"/>
      <w:szCs w:val="18"/>
    </w:rPr>
  </w:style>
  <w:style w:type="paragraph" w:customStyle="1" w:styleId="14">
    <w:name w:val="Default"/>
    <w:next w:val="1"/>
    <w:qFormat/>
    <w:uiPriority w:val="0"/>
    <w:pPr>
      <w:widowControl w:val="0"/>
    </w:pPr>
    <w:rPr>
      <w:rFonts w:hint="default" w:ascii="微软雅黑" w:hAnsi="Times New Roman" w:eastAsia="微软雅黑" w:cs="微软雅黑"/>
      <w:color w:val="000000"/>
      <w:sz w:val="24"/>
      <w:szCs w:val="24"/>
      <w:lang w:val="en-US" w:eastAsia="zh-CN" w:bidi="ar-SA"/>
    </w:rPr>
  </w:style>
  <w:style w:type="character" w:customStyle="1" w:styleId="15">
    <w:name w:val="font11"/>
    <w:basedOn w:val="9"/>
    <w:qFormat/>
    <w:uiPriority w:val="0"/>
    <w:rPr>
      <w:rFonts w:hint="eastAsia" w:ascii="宋体" w:hAnsi="宋体" w:eastAsia="宋体" w:cs="宋体"/>
      <w:color w:val="000000"/>
      <w:sz w:val="21"/>
      <w:szCs w:val="21"/>
      <w:u w:val="none"/>
    </w:rPr>
  </w:style>
  <w:style w:type="character" w:customStyle="1" w:styleId="16">
    <w:name w:val="font31"/>
    <w:basedOn w:val="9"/>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103"/>
    <customShpInfo spid="_x0000_s4097"/>
    <customShpInfo spid="_x0000_s4100" textRotate="1"/>
    <customShpInfo spid="_x0000_s410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Administrator</cp:lastModifiedBy>
  <dcterms:modified xsi:type="dcterms:W3CDTF">2026-03-10T01:30:07Z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eyJoZGlkIjoiNzIwOTdlODFhOWQ4YmJlMzU2ZTdkMjQ1NzBmNzk3N2EifQ==</vt:lpwstr>
  </property>
  <property fmtid="{D5CDD505-2E9C-101B-9397-08002B2CF9AE}" pid="4" name="ICV">
    <vt:lpwstr>48F5EBC69ADC4417B2202F74155F0288_12</vt:lpwstr>
  </property>
</Properties>
</file>