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9"/>
      </w:pPr>
      <w:r/>
      <w:r/>
    </w:p>
    <w:p>
      <w:pPr>
        <w:pStyle w:val="999"/>
      </w:pPr>
      <w:r/>
      <w:r/>
    </w:p>
    <w:p>
      <w:pPr>
        <w:jc w:val="center"/>
        <w:spacing w:line="360" w:lineRule="auto"/>
        <w:shd w:val="clear" w:color="auto" w:fill="ffffff"/>
        <w:widowControl/>
        <w:rPr>
          <w:b/>
          <w:sz w:val="52"/>
          <w:szCs w:val="52"/>
        </w:rPr>
      </w:pPr>
      <w:r>
        <w:rPr>
          <w:b/>
          <w:sz w:val="52"/>
          <w:szCs w:val="52"/>
        </w:rPr>
      </w:r>
      <w:r/>
    </w:p>
    <w:p>
      <w:pPr>
        <w:jc w:val="center"/>
        <w:spacing w:line="360" w:lineRule="auto"/>
        <w:shd w:val="clear" w:color="auto" w:fill="ffffff"/>
        <w:widowControl/>
        <w:rPr>
          <w:b/>
          <w:sz w:val="56"/>
          <w:szCs w:val="56"/>
        </w:rPr>
      </w:pPr>
      <w:r>
        <w:rPr>
          <w:rFonts w:hint="eastAsia"/>
          <w:b/>
          <w:sz w:val="56"/>
          <w:szCs w:val="56"/>
        </w:rPr>
        <w:t xml:space="preserve">南通市食品药品监督检验中心智汇园新址实验室设备采购项目五</w:t>
      </w:r>
      <w:r/>
    </w:p>
    <w:p>
      <w:pPr>
        <w:spacing w:line="360" w:lineRule="auto"/>
        <w:widowControl/>
        <w:rPr>
          <w:b/>
          <w:sz w:val="72"/>
          <w:szCs w:val="72"/>
        </w:rPr>
      </w:pPr>
      <w:r>
        <w:rPr>
          <w:b/>
          <w:sz w:val="72"/>
          <w:szCs w:val="72"/>
        </w:rPr>
      </w:r>
      <w:r/>
    </w:p>
    <w:p>
      <w:pPr>
        <w:pStyle w:val="800"/>
      </w:pPr>
      <w:r/>
      <w:r/>
    </w:p>
    <w:p>
      <w:pPr>
        <w:pStyle w:val="800"/>
      </w:pPr>
      <w:r/>
      <w:r/>
    </w:p>
    <w:p>
      <w:pPr>
        <w:pStyle w:val="808"/>
      </w:pPr>
      <w:r/>
      <w:r/>
    </w:p>
    <w:p>
      <w:pPr>
        <w:pStyle w:val="832"/>
        <w:rPr>
          <w:rFonts w:ascii="Times New Roman" w:hAnsi="Times New Roman"/>
        </w:rPr>
      </w:pPr>
      <w:r>
        <w:rPr>
          <w:rFonts w:ascii="Times New Roman" w:hAnsi="Times New Roman"/>
        </w:rPr>
      </w:r>
      <w:r/>
    </w:p>
    <w:p>
      <w:pPr>
        <w:jc w:val="center"/>
        <w:spacing w:line="360" w:lineRule="auto"/>
        <w:widowControl/>
        <w:rPr>
          <w:b/>
          <w:sz w:val="72"/>
          <w:szCs w:val="72"/>
        </w:rPr>
      </w:pPr>
      <w:r>
        <w:rPr>
          <w:rFonts w:hint="eastAsia"/>
          <w:b/>
          <w:sz w:val="72"/>
          <w:szCs w:val="72"/>
        </w:rPr>
        <w:t xml:space="preserve">招标文件</w:t>
      </w:r>
      <w:r/>
    </w:p>
    <w:p>
      <w:pPr>
        <w:jc w:val="center"/>
        <w:spacing w:line="360" w:lineRule="auto"/>
        <w:widowControl/>
        <w:rPr>
          <w:rFonts w:hint="eastAsia" w:eastAsia="宋体"/>
          <w:b/>
          <w:sz w:val="28"/>
          <w:szCs w:val="28"/>
          <w:lang w:eastAsia="zh-CN"/>
        </w:rPr>
      </w:pPr>
      <w:r>
        <w:rPr>
          <w:rFonts w:hint="eastAsia"/>
          <w:b/>
          <w:sz w:val="28"/>
          <w:szCs w:val="28"/>
        </w:rPr>
        <w:t xml:space="preserve">项目编号：JSZC-320600-JCEC-G2026-0162</w:t>
      </w:r>
      <w:r>
        <w:rPr>
          <w:rFonts w:hint="eastAsia"/>
          <w:b/>
          <w:sz w:val="28"/>
          <w:szCs w:val="28"/>
          <w:lang w:eastAsia="zh-CN"/>
        </w:rPr>
        <w:t xml:space="preserve">（ZZ06602658ZC01024）</w:t>
      </w:r>
      <w:r/>
    </w:p>
    <w:p>
      <w:pPr>
        <w:pStyle w:val="808"/>
      </w:pPr>
      <w:r/>
      <w:r/>
    </w:p>
    <w:p>
      <w:pPr>
        <w:pStyle w:val="994"/>
        <w:ind w:left="907" w:hanging="907"/>
        <w:keepLines w:val="0"/>
        <w:keepNext w:val="0"/>
        <w:pageBreakBefore w:val="0"/>
        <w:widowControl/>
        <w:rPr>
          <w:rFonts w:ascii="Times New Roman" w:hAnsi="Times New Roman" w:cs="Times New Roman"/>
          <w:lang w:eastAsia="zh-CN" w:bidi="ar-SA"/>
        </w:rPr>
        <w:outlineLvl w:val="9"/>
      </w:pPr>
      <w:r>
        <w:rPr>
          <w:rFonts w:ascii="Times New Roman" w:hAnsi="Times New Roman" w:cs="Times New Roman"/>
          <w:lang w:eastAsia="zh-CN" w:bidi="ar-SA"/>
        </w:rPr>
      </w:r>
      <w:r/>
    </w:p>
    <w:p>
      <w:pPr>
        <w:pStyle w:val="996"/>
        <w:ind w:firstLine="480"/>
        <w:rPr>
          <w:rFonts w:hint="default" w:ascii="Times New Roman" w:hAnsi="Times New Roman" w:cs="Times New Roman"/>
        </w:rPr>
      </w:pPr>
      <w:r>
        <w:rPr>
          <w:rFonts w:hint="default" w:ascii="Times New Roman" w:hAnsi="Times New Roman" w:cs="Times New Roman"/>
        </w:rPr>
      </w:r>
      <w:r/>
    </w:p>
    <w:p>
      <w:r/>
      <w:r/>
    </w:p>
    <w:p>
      <w:pPr>
        <w:pStyle w:val="808"/>
        <w:jc w:val="both"/>
      </w:pPr>
      <w:r/>
      <w:r/>
    </w:p>
    <w:p>
      <w:pPr>
        <w:jc w:val="center"/>
        <w:spacing w:line="360" w:lineRule="auto"/>
        <w:widowControl/>
        <w:rPr>
          <w:b/>
          <w:sz w:val="36"/>
          <w:szCs w:val="36"/>
        </w:rPr>
      </w:pPr>
      <w:r>
        <w:rPr>
          <w:rFonts w:hint="eastAsia"/>
          <w:b/>
          <w:sz w:val="36"/>
          <w:szCs w:val="36"/>
        </w:rPr>
        <w:t xml:space="preserve">采购人：南通市食品药品监督检验中心</w:t>
      </w:r>
      <w:r/>
    </w:p>
    <w:p>
      <w:pPr>
        <w:jc w:val="center"/>
        <w:spacing w:line="360" w:lineRule="auto"/>
        <w:widowControl/>
        <w:rPr>
          <w:b/>
          <w:sz w:val="36"/>
          <w:szCs w:val="36"/>
        </w:rPr>
      </w:pPr>
      <w:r>
        <w:rPr>
          <w:rFonts w:hint="eastAsia"/>
          <w:b/>
          <w:sz w:val="36"/>
          <w:szCs w:val="36"/>
        </w:rPr>
        <w:t xml:space="preserve">采购代理机构：江苏省设备成套股份有限公司</w:t>
      </w:r>
      <w:r/>
    </w:p>
    <w:p>
      <w:pPr>
        <w:jc w:val="center"/>
        <w:spacing w:line="360" w:lineRule="auto"/>
        <w:shd w:val="clear" w:color="auto" w:fill="ffffff"/>
        <w:widowControl/>
        <w:rPr>
          <w:b/>
          <w:sz w:val="36"/>
          <w:szCs w:val="36"/>
        </w:rPr>
      </w:pPr>
      <w:r>
        <w:rPr>
          <w:rFonts w:hint="eastAsia"/>
          <w:b/>
          <w:sz w:val="36"/>
          <w:szCs w:val="36"/>
        </w:rPr>
        <w:t xml:space="preserve">2026年</w:t>
      </w:r>
      <w:r>
        <w:rPr>
          <w:rFonts w:hint="eastAsia"/>
          <w:b/>
          <w:sz w:val="36"/>
          <w:szCs w:val="36"/>
          <w:lang w:val="en-US" w:eastAsia="zh-CN"/>
        </w:rPr>
        <w:t xml:space="preserve">9</w:t>
      </w:r>
      <w:r>
        <w:rPr>
          <w:rFonts w:hint="eastAsia"/>
          <w:b/>
          <w:sz w:val="36"/>
          <w:szCs w:val="36"/>
        </w:rPr>
        <w:t xml:space="preserve">月</w:t>
      </w:r>
      <w:r/>
    </w:p>
    <w:p>
      <w:pPr>
        <w:pStyle w:val="1103"/>
        <w:jc w:val="center"/>
        <w:rPr>
          <w:rFonts w:ascii="Times New Roman" w:hAnsi="Times New Roman"/>
          <w:color w:val="auto"/>
          <w:sz w:val="36"/>
          <w:szCs w:val="36"/>
          <w:lang w:val="zh-CN"/>
        </w:rPr>
        <w:sectPr>
          <w:footerReference w:type="default" r:id="rId10"/>
          <w:footnotePr/>
          <w:endnotePr>
            <w:numFmt w:val="decimal"/>
          </w:endnotePr>
          <w:type w:val="nextPage"/>
          <w:pgSz w:w="11906" w:h="16838" w:orient="portrait"/>
          <w:pgMar w:top="1134" w:right="1134" w:bottom="1134" w:left="1134" w:header="227" w:footer="720" w:gutter="0"/>
          <w:cols w:num="1" w:sep="0" w:space="720" w:equalWidth="1"/>
          <w:docGrid w:linePitch="360"/>
        </w:sectPr>
      </w:pPr>
      <w:r/>
      <w:bookmarkStart w:id="76" w:name="_GoBack"/>
      <w:r/>
      <w:bookmarkEnd w:id="76"/>
      <w:r/>
      <w:r/>
    </w:p>
    <w:p>
      <w:pPr>
        <w:pStyle w:val="1103"/>
        <w:jc w:val="center"/>
        <w:rPr>
          <w:rFonts w:ascii="Times New Roman" w:hAnsi="Times New Roman"/>
          <w:color w:val="auto"/>
          <w:sz w:val="36"/>
          <w:szCs w:val="36"/>
        </w:rPr>
      </w:pPr>
      <w:r>
        <w:rPr>
          <w:rFonts w:hint="eastAsia" w:ascii="Times New Roman" w:hAnsi="Times New Roman"/>
          <w:color w:val="auto"/>
          <w:sz w:val="36"/>
          <w:szCs w:val="36"/>
          <w:lang w:val="zh-CN"/>
        </w:rPr>
        <w:t xml:space="preserve">目</w:t>
      </w:r>
      <w:r>
        <w:rPr>
          <w:rFonts w:ascii="Times New Roman" w:hAnsi="Times New Roman"/>
          <w:color w:val="auto"/>
          <w:sz w:val="36"/>
          <w:szCs w:val="36"/>
        </w:rPr>
        <w:t xml:space="preserve">  </w:t>
      </w:r>
      <w:r>
        <w:rPr>
          <w:rFonts w:hint="eastAsia" w:ascii="Times New Roman" w:hAnsi="Times New Roman"/>
          <w:color w:val="auto"/>
          <w:sz w:val="36"/>
          <w:szCs w:val="36"/>
          <w:lang w:val="zh-CN"/>
        </w:rPr>
        <w:t xml:space="preserve">录</w:t>
      </w:r>
      <w:r/>
    </w:p>
    <w:p>
      <w:pPr>
        <w:pStyle w:val="821"/>
        <w:spacing w:line="360" w:lineRule="auto"/>
        <w:tabs>
          <w:tab w:val="right" w:pos="8296" w:leader="dot"/>
        </w:tabs>
        <w:rPr>
          <w:sz w:val="28"/>
          <w:szCs w:val="28"/>
        </w:rPr>
      </w:pPr>
      <w:r>
        <w:rPr>
          <w:sz w:val="28"/>
          <w:szCs w:val="28"/>
        </w:rPr>
      </w:r>
      <w:r/>
    </w:p>
    <w:p>
      <w:pPr>
        <w:pStyle w:val="821"/>
        <w:spacing w:line="360" w:lineRule="auto"/>
        <w:tabs>
          <w:tab w:val="right" w:pos="9628" w:leader="dot"/>
        </w:tabs>
        <w:rPr>
          <w:rFonts w:hint="eastAsia" w:asciiTheme="minorHAnsi" w:hAnsiTheme="minorHAnsi" w:eastAsiaTheme="minorEastAsia" w:cstheme="minorBidi"/>
          <w:sz w:val="28"/>
          <w:szCs w:val="28"/>
          <w14:ligatures w14:val="standardContextual"/>
        </w:rPr>
      </w:pPr>
      <w:r>
        <w:rPr>
          <w:sz w:val="28"/>
          <w:szCs w:val="28"/>
        </w:rPr>
        <w:fldChar w:fldCharType="begin"/>
      </w:r>
      <w:r>
        <w:rPr>
          <w:sz w:val="28"/>
          <w:szCs w:val="28"/>
        </w:rPr>
        <w:instrText xml:space="preserve">TOC \o "1-1" \h \u </w:instrText>
      </w:r>
      <w:r>
        <w:rPr>
          <w:sz w:val="28"/>
          <w:szCs w:val="28"/>
        </w:rPr>
        <w:fldChar w:fldCharType="separate"/>
      </w:r>
      <w:r>
        <w:fldChar w:fldCharType="begin"/>
      </w:r>
      <w:r>
        <w:instrText xml:space="preserve"> HYPERLINK \l "_Toc227144762" </w:instrText>
      </w:r>
      <w:r>
        <w:fldChar w:fldCharType="separate"/>
      </w:r>
      <w:r>
        <w:rPr>
          <w:rStyle w:val="844"/>
          <w:rFonts w:hint="eastAsia"/>
          <w:color w:val="auto"/>
          <w:sz w:val="28"/>
          <w:szCs w:val="28"/>
        </w:rPr>
        <w:t xml:space="preserve">第一章 招标公告</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_Toc227144762 \h</w:instrText>
      </w:r>
      <w:r>
        <w:rPr>
          <w:rFonts w:hint="eastAsia"/>
          <w:sz w:val="28"/>
          <w:szCs w:val="28"/>
        </w:rPr>
        <w:instrText xml:space="preserve"> </w:instrText>
      </w:r>
      <w:r>
        <w:rPr>
          <w:rFonts w:hint="eastAsia"/>
          <w:sz w:val="28"/>
          <w:szCs w:val="28"/>
        </w:rPr>
        <w:fldChar w:fldCharType="separate"/>
      </w:r>
      <w:r>
        <w:rPr>
          <w:sz w:val="28"/>
          <w:szCs w:val="28"/>
        </w:rPr>
        <w:t xml:space="preserve">1</w:t>
      </w:r>
      <w:r>
        <w:rPr>
          <w:rFonts w:hint="eastAsia"/>
          <w:sz w:val="28"/>
          <w:szCs w:val="28"/>
        </w:rPr>
        <w:fldChar w:fldCharType="end"/>
      </w:r>
      <w:r>
        <w:rPr>
          <w:rFonts w:hint="eastAsia"/>
          <w:sz w:val="28"/>
          <w:szCs w:val="28"/>
        </w:rPr>
        <w:fldChar w:fldCharType="end"/>
      </w:r>
      <w:r/>
    </w:p>
    <w:p>
      <w:pPr>
        <w:pStyle w:val="821"/>
        <w:spacing w:line="360" w:lineRule="auto"/>
        <w:tabs>
          <w:tab w:val="right" w:pos="9628" w:leader="dot"/>
        </w:tabs>
        <w:rPr>
          <w:rFonts w:hint="eastAsia" w:asciiTheme="minorHAnsi" w:hAnsiTheme="minorHAnsi" w:eastAsiaTheme="minorEastAsia" w:cstheme="minorBidi"/>
          <w:sz w:val="28"/>
          <w:szCs w:val="28"/>
          <w14:ligatures w14:val="standardContextual"/>
        </w:rPr>
      </w:pPr>
      <w:r>
        <w:fldChar w:fldCharType="begin"/>
      </w:r>
      <w:r>
        <w:instrText xml:space="preserve"> HYPERLINK \l "_Toc227144763" </w:instrText>
      </w:r>
      <w:r>
        <w:fldChar w:fldCharType="separate"/>
      </w:r>
      <w:r>
        <w:rPr>
          <w:rStyle w:val="844"/>
          <w:rFonts w:hint="eastAsia"/>
          <w:color w:val="auto"/>
          <w:sz w:val="28"/>
          <w:szCs w:val="28"/>
        </w:rPr>
        <w:t xml:space="preserve">第二章 投标人须知</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_Toc227144763 \h</w:instrText>
      </w:r>
      <w:r>
        <w:rPr>
          <w:rFonts w:hint="eastAsia"/>
          <w:sz w:val="28"/>
          <w:szCs w:val="28"/>
        </w:rPr>
        <w:instrText xml:space="preserve"> </w:instrText>
      </w:r>
      <w:r>
        <w:rPr>
          <w:rFonts w:hint="eastAsia"/>
          <w:sz w:val="28"/>
          <w:szCs w:val="28"/>
        </w:rPr>
        <w:fldChar w:fldCharType="separate"/>
      </w:r>
      <w:r>
        <w:rPr>
          <w:sz w:val="28"/>
          <w:szCs w:val="28"/>
        </w:rPr>
        <w:t xml:space="preserve">4</w:t>
      </w:r>
      <w:r>
        <w:rPr>
          <w:rFonts w:hint="eastAsia"/>
          <w:sz w:val="28"/>
          <w:szCs w:val="28"/>
        </w:rPr>
        <w:fldChar w:fldCharType="end"/>
      </w:r>
      <w:r>
        <w:rPr>
          <w:rFonts w:hint="eastAsia"/>
          <w:sz w:val="28"/>
          <w:szCs w:val="28"/>
        </w:rPr>
        <w:fldChar w:fldCharType="end"/>
      </w:r>
      <w:r/>
    </w:p>
    <w:p>
      <w:pPr>
        <w:pStyle w:val="821"/>
        <w:spacing w:line="360" w:lineRule="auto"/>
        <w:tabs>
          <w:tab w:val="right" w:pos="9628" w:leader="dot"/>
        </w:tabs>
        <w:rPr>
          <w:rFonts w:hint="eastAsia" w:asciiTheme="minorHAnsi" w:hAnsiTheme="minorHAnsi" w:eastAsiaTheme="minorEastAsia" w:cstheme="minorBidi"/>
          <w:sz w:val="28"/>
          <w:szCs w:val="28"/>
          <w14:ligatures w14:val="standardContextual"/>
        </w:rPr>
      </w:pPr>
      <w:r>
        <w:fldChar w:fldCharType="begin"/>
      </w:r>
      <w:r>
        <w:instrText xml:space="preserve"> HYPERLINK \l "_Toc227144764" </w:instrText>
      </w:r>
      <w:r>
        <w:fldChar w:fldCharType="separate"/>
      </w:r>
      <w:r>
        <w:rPr>
          <w:rStyle w:val="844"/>
          <w:rFonts w:hint="eastAsia"/>
          <w:color w:val="auto"/>
          <w:sz w:val="28"/>
          <w:szCs w:val="28"/>
        </w:rPr>
        <w:t xml:space="preserve">第三章 评标标准</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_Toc227144764 \h</w:instrText>
      </w:r>
      <w:r>
        <w:rPr>
          <w:rFonts w:hint="eastAsia"/>
          <w:sz w:val="28"/>
          <w:szCs w:val="28"/>
        </w:rPr>
        <w:instrText xml:space="preserve"> </w:instrText>
      </w:r>
      <w:r>
        <w:rPr>
          <w:rFonts w:hint="eastAsia"/>
          <w:sz w:val="28"/>
          <w:szCs w:val="28"/>
        </w:rPr>
        <w:fldChar w:fldCharType="separate"/>
      </w:r>
      <w:r>
        <w:rPr>
          <w:sz w:val="28"/>
          <w:szCs w:val="28"/>
        </w:rPr>
        <w:t xml:space="preserve">16</w:t>
      </w:r>
      <w:r>
        <w:rPr>
          <w:rFonts w:hint="eastAsia"/>
          <w:sz w:val="28"/>
          <w:szCs w:val="28"/>
        </w:rPr>
        <w:fldChar w:fldCharType="end"/>
      </w:r>
      <w:r>
        <w:rPr>
          <w:rFonts w:hint="eastAsia"/>
          <w:sz w:val="28"/>
          <w:szCs w:val="28"/>
        </w:rPr>
        <w:fldChar w:fldCharType="end"/>
      </w:r>
      <w:r/>
    </w:p>
    <w:p>
      <w:pPr>
        <w:pStyle w:val="821"/>
        <w:spacing w:line="360" w:lineRule="auto"/>
        <w:tabs>
          <w:tab w:val="right" w:pos="9628" w:leader="dot"/>
        </w:tabs>
        <w:rPr>
          <w:rFonts w:hint="eastAsia" w:asciiTheme="minorHAnsi" w:hAnsiTheme="minorHAnsi" w:eastAsiaTheme="minorEastAsia" w:cstheme="minorBidi"/>
          <w:sz w:val="28"/>
          <w:szCs w:val="28"/>
          <w14:ligatures w14:val="standardContextual"/>
        </w:rPr>
      </w:pPr>
      <w:r>
        <w:fldChar w:fldCharType="begin"/>
      </w:r>
      <w:r>
        <w:instrText xml:space="preserve"> HYPERLINK \l "_Toc227144765" </w:instrText>
      </w:r>
      <w:r>
        <w:fldChar w:fldCharType="separate"/>
      </w:r>
      <w:r>
        <w:rPr>
          <w:rStyle w:val="844"/>
          <w:rFonts w:hint="eastAsia"/>
          <w:color w:val="auto"/>
          <w:sz w:val="28"/>
          <w:szCs w:val="28"/>
        </w:rPr>
        <w:t xml:space="preserve">第四章 采购需求</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_Toc227144765 \h</w:instrText>
      </w:r>
      <w:r>
        <w:rPr>
          <w:rFonts w:hint="eastAsia"/>
          <w:sz w:val="28"/>
          <w:szCs w:val="28"/>
        </w:rPr>
        <w:instrText xml:space="preserve"> </w:instrText>
      </w:r>
      <w:r>
        <w:rPr>
          <w:rFonts w:hint="eastAsia"/>
          <w:sz w:val="28"/>
          <w:szCs w:val="28"/>
        </w:rPr>
        <w:fldChar w:fldCharType="separate"/>
      </w:r>
      <w:r>
        <w:rPr>
          <w:sz w:val="28"/>
          <w:szCs w:val="28"/>
        </w:rPr>
        <w:t xml:space="preserve">20</w:t>
      </w:r>
      <w:r>
        <w:rPr>
          <w:rFonts w:hint="eastAsia"/>
          <w:sz w:val="28"/>
          <w:szCs w:val="28"/>
        </w:rPr>
        <w:fldChar w:fldCharType="end"/>
      </w:r>
      <w:r>
        <w:rPr>
          <w:rFonts w:hint="eastAsia"/>
          <w:sz w:val="28"/>
          <w:szCs w:val="28"/>
        </w:rPr>
        <w:fldChar w:fldCharType="end"/>
      </w:r>
      <w:r/>
    </w:p>
    <w:p>
      <w:pPr>
        <w:pStyle w:val="821"/>
        <w:spacing w:line="360" w:lineRule="auto"/>
        <w:tabs>
          <w:tab w:val="right" w:pos="9628" w:leader="dot"/>
        </w:tabs>
        <w:rPr>
          <w:rFonts w:hint="eastAsia" w:asciiTheme="minorHAnsi" w:hAnsiTheme="minorHAnsi" w:eastAsiaTheme="minorEastAsia" w:cstheme="minorBidi"/>
          <w:sz w:val="28"/>
          <w:szCs w:val="28"/>
          <w14:ligatures w14:val="standardContextual"/>
        </w:rPr>
      </w:pPr>
      <w:r>
        <w:fldChar w:fldCharType="begin"/>
      </w:r>
      <w:r>
        <w:instrText xml:space="preserve"> HYPERLINK \l "_Toc227144770" </w:instrText>
      </w:r>
      <w:r>
        <w:fldChar w:fldCharType="separate"/>
      </w:r>
      <w:r>
        <w:rPr>
          <w:rStyle w:val="844"/>
          <w:rFonts w:hint="eastAsia"/>
          <w:color w:val="auto"/>
          <w:sz w:val="28"/>
          <w:szCs w:val="28"/>
        </w:rPr>
        <w:t xml:space="preserve">第五章 合同主要条款及格式</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_Toc227144770 \h</w:instrText>
      </w:r>
      <w:r>
        <w:rPr>
          <w:rFonts w:hint="eastAsia"/>
          <w:sz w:val="28"/>
          <w:szCs w:val="28"/>
        </w:rPr>
        <w:instrText xml:space="preserve"> </w:instrText>
      </w:r>
      <w:r>
        <w:rPr>
          <w:rFonts w:hint="eastAsia"/>
          <w:sz w:val="28"/>
          <w:szCs w:val="28"/>
        </w:rPr>
        <w:fldChar w:fldCharType="separate"/>
      </w:r>
      <w:r>
        <w:rPr>
          <w:sz w:val="28"/>
          <w:szCs w:val="28"/>
        </w:rPr>
        <w:t xml:space="preserve">28</w:t>
      </w:r>
      <w:r>
        <w:rPr>
          <w:rFonts w:hint="eastAsia"/>
          <w:sz w:val="28"/>
          <w:szCs w:val="28"/>
        </w:rPr>
        <w:fldChar w:fldCharType="end"/>
      </w:r>
      <w:r>
        <w:rPr>
          <w:rFonts w:hint="eastAsia"/>
          <w:sz w:val="28"/>
          <w:szCs w:val="28"/>
        </w:rPr>
        <w:fldChar w:fldCharType="end"/>
      </w:r>
      <w:r/>
    </w:p>
    <w:p>
      <w:pPr>
        <w:pStyle w:val="821"/>
        <w:spacing w:line="360" w:lineRule="auto"/>
        <w:tabs>
          <w:tab w:val="right" w:pos="9628" w:leader="dot"/>
        </w:tabs>
        <w:rPr>
          <w:rFonts w:hint="eastAsia" w:asciiTheme="minorHAnsi" w:hAnsiTheme="minorHAnsi" w:eastAsiaTheme="minorEastAsia" w:cstheme="minorBidi"/>
          <w:sz w:val="28"/>
          <w:szCs w:val="28"/>
          <w14:ligatures w14:val="standardContextual"/>
        </w:rPr>
      </w:pPr>
      <w:r>
        <w:fldChar w:fldCharType="begin"/>
      </w:r>
      <w:r>
        <w:instrText xml:space="preserve"> HYPERLINK \l "_Toc227144771" </w:instrText>
      </w:r>
      <w:r>
        <w:fldChar w:fldCharType="separate"/>
      </w:r>
      <w:r>
        <w:rPr>
          <w:rStyle w:val="844"/>
          <w:rFonts w:hint="eastAsia"/>
          <w:color w:val="auto"/>
          <w:sz w:val="28"/>
          <w:szCs w:val="28"/>
        </w:rPr>
        <w:t xml:space="preserve">第六章 投标文件格式及附件</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_Toc227144771 \h</w:instrText>
      </w:r>
      <w:r>
        <w:rPr>
          <w:rFonts w:hint="eastAsia"/>
          <w:sz w:val="28"/>
          <w:szCs w:val="28"/>
        </w:rPr>
        <w:instrText xml:space="preserve"> </w:instrText>
      </w:r>
      <w:r>
        <w:rPr>
          <w:rFonts w:hint="eastAsia"/>
          <w:sz w:val="28"/>
          <w:szCs w:val="28"/>
        </w:rPr>
        <w:fldChar w:fldCharType="separate"/>
      </w:r>
      <w:r>
        <w:rPr>
          <w:sz w:val="28"/>
          <w:szCs w:val="28"/>
        </w:rPr>
        <w:t xml:space="preserve">45</w:t>
      </w:r>
      <w:r>
        <w:rPr>
          <w:rFonts w:hint="eastAsia"/>
          <w:sz w:val="28"/>
          <w:szCs w:val="28"/>
        </w:rPr>
        <w:fldChar w:fldCharType="end"/>
      </w:r>
      <w:r>
        <w:rPr>
          <w:rFonts w:hint="eastAsia"/>
          <w:sz w:val="28"/>
          <w:szCs w:val="28"/>
        </w:rPr>
        <w:fldChar w:fldCharType="end"/>
      </w:r>
      <w:r/>
    </w:p>
    <w:p>
      <w:pPr>
        <w:spacing w:line="360" w:lineRule="auto"/>
        <w:rPr>
          <w:sz w:val="28"/>
          <w:szCs w:val="28"/>
        </w:rPr>
      </w:pPr>
      <w:r>
        <w:rPr>
          <w:sz w:val="28"/>
          <w:szCs w:val="28"/>
        </w:rPr>
        <w:fldChar w:fldCharType="end"/>
      </w:r>
      <w:r/>
    </w:p>
    <w:p>
      <w:pPr>
        <w:jc w:val="center"/>
        <w:spacing w:line="360" w:lineRule="auto"/>
        <w:shd w:val="clear" w:color="auto" w:fill="ffffff"/>
        <w:widowControl/>
        <w:rPr>
          <w:b/>
          <w:sz w:val="36"/>
          <w:szCs w:val="36"/>
        </w:rPr>
      </w:pPr>
      <w:r>
        <w:rPr>
          <w:b/>
          <w:sz w:val="36"/>
          <w:szCs w:val="36"/>
        </w:rPr>
      </w:r>
      <w:r/>
    </w:p>
    <w:p>
      <w:pPr>
        <w:pStyle w:val="789"/>
        <w:rPr>
          <w:szCs w:val="21"/>
        </w:rPr>
        <w:sectPr>
          <w:footerReference w:type="default" r:id="rId11"/>
          <w:footnotePr/>
          <w:endnotePr>
            <w:numFmt w:val="decimal"/>
          </w:endnotePr>
          <w:type w:val="nextPage"/>
          <w:pgSz w:w="11906" w:h="16838" w:orient="portrait"/>
          <w:pgMar w:top="1134" w:right="1134" w:bottom="1134" w:left="1134" w:header="227" w:footer="720" w:gutter="0"/>
          <w:pgNumType w:start="1"/>
          <w:cols w:num="1" w:sep="0" w:space="720" w:equalWidth="1"/>
          <w:docGrid w:linePitch="360"/>
        </w:sectPr>
      </w:pPr>
      <w:r/>
      <w:bookmarkStart w:id="0" w:name="_Toc481057143"/>
      <w:r/>
      <w:bookmarkStart w:id="1" w:name="_Hlk52290185"/>
      <w:r/>
      <w:bookmarkStart w:id="2" w:name="_Hlk54715254"/>
      <w:r/>
      <w:r/>
    </w:p>
    <w:p>
      <w:pPr>
        <w:pStyle w:val="789"/>
        <w:spacing w:line="360" w:lineRule="auto"/>
        <w:rPr>
          <w:szCs w:val="21"/>
        </w:rPr>
      </w:pPr>
      <w:r/>
      <w:bookmarkStart w:id="3" w:name="_Toc227144762"/>
      <w:r>
        <w:rPr>
          <w:rFonts w:hint="eastAsia"/>
        </w:rPr>
        <w:t xml:space="preserve">招标公告</w:t>
      </w:r>
      <w:bookmarkEnd w:id="0"/>
      <w:r/>
      <w:bookmarkEnd w:id="3"/>
      <w:r/>
      <w:r/>
    </w:p>
    <w:p>
      <w:pPr>
        <w:ind w:firstLine="369"/>
        <w:spacing w:line="360" w:lineRule="auto"/>
        <w:widowControl/>
        <w:rPr>
          <w:b/>
          <w:bCs/>
          <w:spacing w:val="8"/>
          <w:szCs w:val="21"/>
        </w:rPr>
        <w:pBdr>
          <w:top w:val="single" w:color="auto" w:sz="4" w:space="1"/>
          <w:left w:val="single" w:color="auto" w:sz="4" w:space="4"/>
          <w:bottom w:val="single" w:color="auto" w:sz="4" w:space="1"/>
          <w:right w:val="single" w:color="auto" w:sz="4" w:space="4"/>
        </w:pBdr>
      </w:pPr>
      <w:r>
        <w:rPr>
          <w:rFonts w:hint="eastAsia"/>
          <w:b/>
          <w:bCs/>
          <w:spacing w:val="8"/>
          <w:szCs w:val="21"/>
        </w:rPr>
        <w:t xml:space="preserve">项目概况</w:t>
      </w:r>
      <w:r/>
    </w:p>
    <w:p>
      <w:pPr>
        <w:ind w:firstLine="369"/>
        <w:spacing w:line="360" w:lineRule="auto"/>
        <w:widowControl/>
        <w:rPr>
          <w:spacing w:val="8"/>
          <w:szCs w:val="21"/>
        </w:rPr>
        <w:pBdr>
          <w:top w:val="single" w:color="auto" w:sz="4" w:space="1"/>
          <w:left w:val="single" w:color="auto" w:sz="4" w:space="4"/>
          <w:bottom w:val="single" w:color="auto" w:sz="4" w:space="1"/>
          <w:right w:val="single" w:color="auto" w:sz="4" w:space="4"/>
        </w:pBdr>
      </w:pPr>
      <w:r>
        <w:rPr>
          <w:rFonts w:hint="eastAsia"/>
          <w:spacing w:val="8"/>
          <w:szCs w:val="21"/>
        </w:rPr>
        <w:t xml:space="preserve">南通市食品药品监督检验中心智汇园新址实验室设备采购项目五招标项目的潜在投标人应在江苏政府采购网（http://www.ccgp-jiangsu.gov.cn/）获取招标文件，并于2026年</w:t>
      </w:r>
      <w:r>
        <w:rPr>
          <w:rFonts w:hint="eastAsia"/>
          <w:spacing w:val="8"/>
          <w:szCs w:val="21"/>
          <w:lang w:val="en-US" w:eastAsia="zh-CN"/>
        </w:rPr>
        <w:t xml:space="preserve">9</w:t>
      </w:r>
      <w:r>
        <w:rPr>
          <w:rFonts w:hint="eastAsia"/>
          <w:spacing w:val="8"/>
          <w:szCs w:val="21"/>
        </w:rPr>
        <w:t xml:space="preserve">月</w:t>
      </w:r>
      <w:r>
        <w:rPr>
          <w:rFonts w:hint="eastAsia"/>
          <w:spacing w:val="8"/>
          <w:szCs w:val="21"/>
          <w:lang w:val="en-US" w:eastAsia="zh-CN"/>
        </w:rPr>
        <w:t xml:space="preserve">23</w:t>
      </w:r>
      <w:r>
        <w:rPr>
          <w:rFonts w:hint="eastAsia"/>
          <w:spacing w:val="8"/>
          <w:szCs w:val="21"/>
        </w:rPr>
        <w:t xml:space="preserve">日14时00分（北京时间）前递交投标文件。</w:t>
      </w:r>
      <w:r/>
    </w:p>
    <w:p>
      <w:pPr>
        <w:ind w:firstLine="452"/>
        <w:jc w:val="left"/>
        <w:spacing w:line="360" w:lineRule="auto"/>
        <w:rPr>
          <w:spacing w:val="8"/>
          <w:szCs w:val="21"/>
        </w:rPr>
      </w:pPr>
      <w:r>
        <w:rPr>
          <w:spacing w:val="8"/>
          <w:szCs w:val="21"/>
        </w:rPr>
      </w:r>
      <w:r/>
    </w:p>
    <w:p>
      <w:pPr>
        <w:jc w:val="left"/>
        <w:spacing w:line="360" w:lineRule="auto"/>
        <w:rPr>
          <w:b/>
          <w:bCs/>
          <w:sz w:val="24"/>
        </w:rPr>
      </w:pPr>
      <w:r>
        <w:rPr>
          <w:rFonts w:hint="eastAsia"/>
          <w:b/>
          <w:bCs/>
          <w:sz w:val="24"/>
        </w:rPr>
        <w:t xml:space="preserve">一、项目基本情况</w:t>
      </w:r>
      <w:bookmarkEnd w:id="1"/>
      <w:r/>
      <w:bookmarkEnd w:id="2"/>
      <w:r/>
      <w:r/>
    </w:p>
    <w:p>
      <w:pPr>
        <w:ind w:firstLine="424"/>
        <w:spacing w:line="360" w:lineRule="auto"/>
        <w:rPr>
          <w:bCs/>
          <w:szCs w:val="21"/>
        </w:rPr>
      </w:pPr>
      <w:r>
        <w:rPr>
          <w:rFonts w:hint="eastAsia"/>
          <w:bCs/>
          <w:szCs w:val="21"/>
        </w:rPr>
        <w:t xml:space="preserve">1.1项目编号：JSZC-320600-JCEC-G2026-0162</w:t>
      </w:r>
      <w:r>
        <w:rPr>
          <w:rFonts w:hint="eastAsia"/>
          <w:bCs/>
          <w:szCs w:val="21"/>
          <w:lang w:eastAsia="zh-CN"/>
        </w:rPr>
        <w:t xml:space="preserve">（ZZ06602658ZC01024）</w:t>
      </w:r>
      <w:r/>
    </w:p>
    <w:p>
      <w:pPr>
        <w:ind w:firstLine="424"/>
        <w:spacing w:line="360" w:lineRule="auto"/>
        <w:rPr>
          <w:bCs/>
          <w:szCs w:val="21"/>
        </w:rPr>
      </w:pPr>
      <w:r>
        <w:rPr>
          <w:rFonts w:hint="eastAsia"/>
          <w:bCs/>
          <w:szCs w:val="21"/>
        </w:rPr>
        <w:t xml:space="preserve">1.2项目名称：南通市食品药品监督检验中心智汇园新址实验室设备采购项目五</w:t>
      </w:r>
      <w:r/>
    </w:p>
    <w:p>
      <w:pPr>
        <w:ind w:firstLine="420"/>
        <w:spacing w:line="360" w:lineRule="auto"/>
        <w:rPr>
          <w:bCs/>
          <w:szCs w:val="21"/>
        </w:rPr>
      </w:pPr>
      <w:r>
        <w:rPr>
          <w:rFonts w:hint="eastAsia"/>
          <w:bCs/>
          <w:szCs w:val="21"/>
        </w:rPr>
        <w:t xml:space="preserve">1.3预算金额：</w:t>
      </w:r>
      <w:r>
        <w:rPr>
          <w:rFonts w:hint="eastAsia"/>
          <w:spacing w:val="8"/>
          <w:szCs w:val="21"/>
        </w:rPr>
        <w:t xml:space="preserve">人民币360万元。</w:t>
      </w:r>
      <w:r/>
    </w:p>
    <w:p>
      <w:pPr>
        <w:ind w:firstLine="420"/>
        <w:spacing w:line="360" w:lineRule="auto"/>
        <w:widowControl/>
        <w:rPr>
          <w:bCs/>
          <w:szCs w:val="21"/>
        </w:rPr>
      </w:pPr>
      <w:r>
        <w:rPr>
          <w:rFonts w:hint="eastAsia"/>
          <w:bCs/>
          <w:szCs w:val="21"/>
        </w:rPr>
        <w:t xml:space="preserve">1.4最高限价：人民币360万元，超过预算或最高限价，作无效投标处理。</w:t>
      </w:r>
      <w:r/>
    </w:p>
    <w:p>
      <w:pPr>
        <w:ind w:firstLine="420"/>
        <w:spacing w:line="360" w:lineRule="auto"/>
        <w:widowControl/>
        <w:rPr>
          <w:bCs/>
          <w:szCs w:val="21"/>
        </w:rPr>
      </w:pPr>
      <w:r>
        <w:rPr>
          <w:rFonts w:hint="eastAsia"/>
          <w:bCs/>
          <w:szCs w:val="21"/>
        </w:rPr>
        <w:t xml:space="preserve">1.5采购需求：采购三重四级杆液质联用仪一套，具体详见招标文件第四章采购需求。</w:t>
      </w:r>
      <w:r/>
    </w:p>
    <w:p>
      <w:pPr>
        <w:ind w:firstLine="424"/>
        <w:spacing w:line="360" w:lineRule="auto"/>
        <w:rPr>
          <w:bCs/>
          <w:szCs w:val="21"/>
        </w:rPr>
      </w:pPr>
      <w:r>
        <w:rPr>
          <w:rFonts w:hint="eastAsia"/>
          <w:bCs/>
          <w:szCs w:val="21"/>
        </w:rPr>
        <w:t xml:space="preserve">1.6合同履行期限</w:t>
      </w:r>
      <w:r>
        <w:rPr>
          <w:rFonts w:hint="eastAsia"/>
          <w:bCs/>
          <w:szCs w:val="21"/>
          <w:lang w:eastAsia="zh-CN"/>
        </w:rPr>
        <w:t xml:space="preserve">：合</w:t>
      </w:r>
      <w:r>
        <w:rPr>
          <w:rFonts w:hint="eastAsia"/>
          <w:bCs/>
          <w:szCs w:val="21"/>
        </w:rPr>
        <w:t xml:space="preserve">同签订后30天。</w:t>
      </w:r>
      <w:r/>
    </w:p>
    <w:p>
      <w:pPr>
        <w:ind w:firstLine="424"/>
        <w:spacing w:line="360" w:lineRule="auto"/>
        <w:rPr>
          <w:b/>
          <w:szCs w:val="21"/>
        </w:rPr>
      </w:pPr>
      <w:r>
        <w:rPr>
          <w:rFonts w:hint="eastAsia"/>
          <w:b/>
          <w:szCs w:val="21"/>
        </w:rPr>
        <w:t xml:space="preserve">1.7本项目非专门面向中小企业（或监狱企业或残疾人福利性单位）采购。</w:t>
      </w:r>
      <w:r/>
    </w:p>
    <w:p>
      <w:pPr>
        <w:ind w:firstLine="424"/>
        <w:spacing w:line="360" w:lineRule="auto"/>
        <w:rPr>
          <w:bCs/>
          <w:szCs w:val="21"/>
        </w:rPr>
      </w:pPr>
      <w:r>
        <w:rPr>
          <w:rFonts w:hint="eastAsia"/>
          <w:bCs/>
          <w:szCs w:val="21"/>
        </w:rPr>
        <w:t xml:space="preserve">1.8本项目不接受联合体投标，中标后不允许转包、分包。</w:t>
      </w:r>
      <w:r/>
    </w:p>
    <w:p>
      <w:pPr>
        <w:ind w:firstLine="424"/>
        <w:spacing w:line="360" w:lineRule="auto"/>
        <w:rPr>
          <w:b/>
          <w:szCs w:val="21"/>
        </w:rPr>
      </w:pPr>
      <w:r>
        <w:rPr>
          <w:rFonts w:hint="eastAsia"/>
          <w:b/>
          <w:szCs w:val="21"/>
        </w:rPr>
        <w:t xml:space="preserve">1.9本项目不接受进口产品投标</w:t>
      </w:r>
      <w:r/>
    </w:p>
    <w:p>
      <w:pPr>
        <w:ind w:firstLine="424"/>
        <w:spacing w:line="360" w:lineRule="auto"/>
        <w:rPr>
          <w:b/>
          <w:szCs w:val="21"/>
        </w:rPr>
      </w:pPr>
      <w:r>
        <w:rPr>
          <w:rFonts w:hint="eastAsia"/>
          <w:b/>
          <w:szCs w:val="21"/>
        </w:rPr>
        <w:t xml:space="preserve">1.10本项目标的所属行业：工业。</w:t>
      </w:r>
      <w:r/>
    </w:p>
    <w:p>
      <w:pPr>
        <w:ind w:firstLine="452"/>
        <w:jc w:val="left"/>
        <w:spacing w:line="360" w:lineRule="auto"/>
        <w:rPr>
          <w:spacing w:val="8"/>
          <w:szCs w:val="21"/>
        </w:rPr>
      </w:pPr>
      <w:r>
        <w:rPr>
          <w:spacing w:val="8"/>
          <w:szCs w:val="21"/>
        </w:rPr>
      </w:r>
      <w:r/>
    </w:p>
    <w:p>
      <w:pPr>
        <w:jc w:val="left"/>
        <w:spacing w:line="360" w:lineRule="auto"/>
        <w:rPr>
          <w:b/>
          <w:bCs/>
          <w:sz w:val="24"/>
        </w:rPr>
      </w:pPr>
      <w:r>
        <w:rPr>
          <w:rFonts w:hint="eastAsia"/>
          <w:b/>
          <w:bCs/>
          <w:sz w:val="24"/>
        </w:rPr>
        <w:t xml:space="preserve">二、申请人的资格要求：</w:t>
      </w:r>
      <w:r/>
    </w:p>
    <w:p>
      <w:pPr>
        <w:ind w:firstLine="454"/>
        <w:spacing w:line="360" w:lineRule="auto"/>
        <w:rPr>
          <w:b/>
          <w:spacing w:val="8"/>
          <w:szCs w:val="21"/>
        </w:rPr>
      </w:pPr>
      <w:r>
        <w:rPr>
          <w:rFonts w:hint="eastAsia"/>
          <w:b/>
          <w:spacing w:val="8"/>
          <w:szCs w:val="21"/>
        </w:rPr>
        <w:t xml:space="preserve">2.1满足《中华人民共和国政府采购法》第二十二条规定；</w:t>
      </w:r>
      <w:r/>
    </w:p>
    <w:p>
      <w:pPr>
        <w:ind w:firstLine="454"/>
        <w:spacing w:line="360" w:lineRule="auto"/>
        <w:rPr>
          <w:bCs/>
          <w:spacing w:val="8"/>
          <w:szCs w:val="21"/>
        </w:rPr>
      </w:pPr>
      <w:r>
        <w:rPr>
          <w:rFonts w:hint="eastAsia"/>
          <w:bCs/>
          <w:spacing w:val="8"/>
          <w:szCs w:val="21"/>
        </w:rPr>
        <w:t xml:space="preserve">（1）具有独立承担民事责任的能力（提供法人或者其他组织的营业执照；供应商为自然人的，提供其身份证）；</w:t>
      </w:r>
      <w:r/>
    </w:p>
    <w:p>
      <w:pPr>
        <w:ind w:firstLine="454"/>
        <w:spacing w:line="360" w:lineRule="auto"/>
        <w:rPr>
          <w:bCs/>
          <w:spacing w:val="8"/>
          <w:szCs w:val="21"/>
        </w:rPr>
      </w:pPr>
      <w:r>
        <w:rPr>
          <w:rFonts w:hint="eastAsia"/>
          <w:bCs/>
          <w:spacing w:val="8"/>
          <w:szCs w:val="21"/>
        </w:rPr>
        <w:t xml:space="preserve">（2）具有良好的商业信誉和健全的财务会计制度（提供</w:t>
      </w:r>
      <w:r>
        <w:rPr>
          <w:rFonts w:hint="eastAsia"/>
          <w:bCs/>
          <w:spacing w:val="8"/>
          <w:szCs w:val="21"/>
          <w:lang w:val="en-US" w:eastAsia="zh-CN"/>
        </w:rPr>
        <w:t xml:space="preserve">上一</w:t>
      </w:r>
      <w:r>
        <w:rPr>
          <w:rFonts w:hint="eastAsia"/>
          <w:bCs/>
          <w:spacing w:val="8"/>
          <w:szCs w:val="21"/>
        </w:rPr>
        <w:t xml:space="preserve">年度财务报</w:t>
      </w:r>
      <w:r>
        <w:rPr>
          <w:rFonts w:hint="eastAsia"/>
          <w:bCs/>
          <w:spacing w:val="8"/>
          <w:szCs w:val="21"/>
          <w:lang w:val="en-US" w:eastAsia="zh-CN"/>
        </w:rPr>
        <w:t xml:space="preserve">表（公司成立不满一年，至少提供投标截止时间前近一个月的财务报表）</w:t>
      </w:r>
      <w:r>
        <w:rPr>
          <w:rFonts w:hint="eastAsia"/>
          <w:bCs/>
          <w:spacing w:val="8"/>
          <w:szCs w:val="21"/>
        </w:rPr>
        <w:t xml:space="preserve">，或投标截止时间前六个月内银行出具的资信证明）；</w:t>
      </w:r>
      <w:r/>
    </w:p>
    <w:p>
      <w:pPr>
        <w:ind w:firstLine="454"/>
        <w:spacing w:line="360" w:lineRule="auto"/>
        <w:rPr>
          <w:bCs/>
          <w:spacing w:val="8"/>
          <w:szCs w:val="21"/>
        </w:rPr>
      </w:pPr>
      <w:r>
        <w:rPr>
          <w:rFonts w:hint="eastAsia"/>
          <w:bCs/>
          <w:spacing w:val="8"/>
          <w:szCs w:val="21"/>
        </w:rPr>
        <w:t xml:space="preserve">（3）具有履行合同所必需的设备和专业技术能力（供应商根据履行采购项目合同需要，提供履行合同所必需的设备和专业技术能力的证明材料）；</w:t>
      </w:r>
      <w:r/>
    </w:p>
    <w:p>
      <w:pPr>
        <w:ind w:firstLine="454"/>
        <w:spacing w:line="360" w:lineRule="auto"/>
        <w:rPr>
          <w:bCs/>
          <w:spacing w:val="8"/>
          <w:szCs w:val="21"/>
        </w:rPr>
      </w:pPr>
      <w:r>
        <w:rPr>
          <w:rFonts w:hint="eastAsia"/>
          <w:bCs/>
          <w:spacing w:val="8"/>
          <w:szCs w:val="21"/>
        </w:rPr>
        <w:t xml:space="preserve">（4）有依法缴纳税收和社会保障资金的良好记录（提供参加本次政府采购活动前半年内至少一个月：①提供缴纳税收的凭证；②提供缴纳社会保险的凭据，依法享受免缴、缓缴的，提供证明材料）；</w:t>
      </w:r>
      <w:r/>
    </w:p>
    <w:p>
      <w:pPr>
        <w:ind w:firstLine="454"/>
        <w:spacing w:line="360" w:lineRule="auto"/>
        <w:rPr>
          <w:bCs/>
          <w:spacing w:val="8"/>
          <w:szCs w:val="21"/>
        </w:rPr>
      </w:pPr>
      <w:r>
        <w:rPr>
          <w:rFonts w:hint="eastAsia"/>
          <w:bCs/>
          <w:spacing w:val="8"/>
          <w:szCs w:val="21"/>
        </w:rPr>
        <w:t xml:space="preserve">（5）参加政府采购活动前三年内，在经营活动中没有重大违法记录（提供承诺书）；</w:t>
      </w:r>
      <w:r/>
    </w:p>
    <w:p>
      <w:pPr>
        <w:ind w:firstLine="454"/>
        <w:spacing w:line="360" w:lineRule="auto"/>
        <w:rPr>
          <w:bCs/>
          <w:spacing w:val="8"/>
          <w:szCs w:val="21"/>
        </w:rPr>
      </w:pPr>
      <w:r>
        <w:rPr>
          <w:rFonts w:hint="eastAsia"/>
          <w:bCs/>
          <w:spacing w:val="8"/>
          <w:szCs w:val="21"/>
        </w:rPr>
        <w:t xml:space="preserve">（6）法律、行政法规规定的其他条件。</w:t>
      </w:r>
      <w:r/>
    </w:p>
    <w:p>
      <w:pPr>
        <w:ind w:firstLine="454"/>
        <w:spacing w:line="360" w:lineRule="auto"/>
        <w:rPr>
          <w:bCs/>
          <w:spacing w:val="8"/>
          <w:szCs w:val="21"/>
        </w:rPr>
      </w:pPr>
      <w:r>
        <w:rPr>
          <w:rFonts w:hint="eastAsia"/>
          <w:bCs/>
          <w:spacing w:val="8"/>
          <w:szCs w:val="21"/>
        </w:rPr>
        <w:t xml:space="preserve">2.2落实政府采购政策需满足的资格要求：无。</w:t>
      </w:r>
      <w:r/>
    </w:p>
    <w:p>
      <w:pPr>
        <w:ind w:firstLine="454"/>
        <w:spacing w:line="360" w:lineRule="auto"/>
        <w:rPr>
          <w:bCs/>
          <w:spacing w:val="8"/>
          <w:szCs w:val="21"/>
        </w:rPr>
      </w:pPr>
      <w:r>
        <w:rPr>
          <w:rFonts w:hint="eastAsia"/>
          <w:bCs/>
          <w:spacing w:val="8"/>
          <w:szCs w:val="21"/>
        </w:rPr>
        <w:t xml:space="preserve">2.3采购人根据采购项目的特殊要求规定的特殊条件，并提供符合特殊要求的证明材料或者情况说明：无。</w:t>
      </w:r>
      <w:r/>
    </w:p>
    <w:p>
      <w:pPr>
        <w:ind w:firstLine="426"/>
        <w:spacing w:line="360" w:lineRule="auto"/>
        <w:rPr>
          <w:bCs/>
          <w:szCs w:val="21"/>
        </w:rPr>
      </w:pPr>
      <w:r>
        <w:rPr>
          <w:bCs/>
          <w:szCs w:val="21"/>
        </w:rPr>
        <w:t xml:space="preserve">2.4</w:t>
      </w:r>
      <w:r>
        <w:rPr>
          <w:rFonts w:hint="eastAsia"/>
          <w:bCs/>
          <w:szCs w:val="21"/>
        </w:rPr>
        <w:t xml:space="preserve">第2.1（5）条所称重大违法记录，是指供应商因违法经营受到刑事处罚或者责令停产停业、吊销许可证或者执照、较大数额罚款等行政处罚。</w:t>
      </w:r>
      <w:r/>
    </w:p>
    <w:p>
      <w:pPr>
        <w:ind w:firstLine="426"/>
        <w:spacing w:line="360" w:lineRule="auto"/>
        <w:rPr>
          <w:bCs/>
          <w:szCs w:val="21"/>
        </w:rPr>
      </w:pPr>
      <w:r>
        <w:rPr>
          <w:rFonts w:hint="eastAsia"/>
          <w:bCs/>
          <w:szCs w:val="21"/>
        </w:rPr>
        <w:t xml:space="preserve">2.5供应商在参加政府采购活动前3年内因违法经营被禁止在一定期限内参加政府采购活动，期限届满的，可以参加政府采购活动。</w:t>
      </w:r>
      <w:r/>
    </w:p>
    <w:p>
      <w:pPr>
        <w:ind w:firstLine="426"/>
        <w:spacing w:line="360" w:lineRule="auto"/>
        <w:rPr>
          <w:bCs/>
          <w:szCs w:val="21"/>
        </w:rPr>
      </w:pPr>
      <w:r>
        <w:rPr>
          <w:rFonts w:hint="eastAsia"/>
          <w:bCs/>
          <w:szCs w:val="21"/>
        </w:rPr>
        <w:t xml:space="preserve">2.6单位负责人为同一人或者存在直接控股、管理关系的不同供应商，不得参加同一合同项下的政府采购活动。</w:t>
      </w:r>
      <w:r/>
    </w:p>
    <w:p>
      <w:pPr>
        <w:ind w:firstLine="426"/>
        <w:spacing w:line="360" w:lineRule="auto"/>
        <w:rPr>
          <w:bCs/>
          <w:szCs w:val="21"/>
        </w:rPr>
      </w:pPr>
      <w:r>
        <w:rPr>
          <w:rFonts w:hint="eastAsia"/>
          <w:bCs/>
          <w:szCs w:val="21"/>
        </w:rPr>
        <w:t xml:space="preserve">为采购项目提供整体设计、规范编制或者项目管理、监理、检测等服务的供应商，不得再参加该采购项目的其他采购活动。</w:t>
      </w:r>
      <w:r/>
    </w:p>
    <w:p>
      <w:pPr>
        <w:ind w:firstLine="426"/>
        <w:spacing w:line="360" w:lineRule="auto"/>
        <w:rPr>
          <w:bCs/>
          <w:szCs w:val="21"/>
        </w:rPr>
      </w:pPr>
      <w:r>
        <w:rPr>
          <w:rFonts w:hint="eastAsia"/>
          <w:bCs/>
          <w:szCs w:val="21"/>
        </w:rPr>
        <w:t xml:space="preserve">2.7拒绝列入失信被执行人、重大税收违法案件当事人名单、政府采购严重违法失信行为记录名单及其他不符合《中华人民共和国政府采购法》第二十二条规定条件的供应商参与政府采购活动。采购人或者采购代理机构在进行资格审查的同时，依法通过“中国政府采购网”“信用中国”网站等渠道查询投标人信用记录并保存。</w:t>
      </w:r>
      <w:r/>
    </w:p>
    <w:p>
      <w:pPr>
        <w:ind w:firstLine="420"/>
        <w:spacing w:line="360" w:lineRule="auto"/>
        <w:rPr>
          <w:bCs/>
          <w:szCs w:val="21"/>
        </w:rPr>
      </w:pPr>
      <w:r>
        <w:rPr>
          <w:bCs/>
          <w:szCs w:val="21"/>
        </w:rPr>
      </w:r>
      <w:r/>
    </w:p>
    <w:p>
      <w:pPr>
        <w:spacing w:line="360" w:lineRule="auto"/>
        <w:widowControl/>
        <w:rPr>
          <w:b/>
          <w:spacing w:val="8"/>
          <w:sz w:val="24"/>
        </w:rPr>
      </w:pPr>
      <w:r>
        <w:rPr>
          <w:rFonts w:hint="eastAsia"/>
          <w:b/>
          <w:spacing w:val="8"/>
          <w:sz w:val="24"/>
        </w:rPr>
        <w:t xml:space="preserve">三、获取招标文件</w:t>
      </w:r>
      <w:r/>
    </w:p>
    <w:p>
      <w:pPr>
        <w:ind w:firstLine="452"/>
        <w:jc w:val="left"/>
        <w:spacing w:line="360" w:lineRule="auto"/>
        <w:shd w:val="clear" w:color="auto" w:fill="ffffff"/>
        <w:widowControl/>
        <w:rPr>
          <w:spacing w:val="8"/>
          <w:szCs w:val="21"/>
        </w:rPr>
      </w:pPr>
      <w:r>
        <w:rPr>
          <w:rFonts w:hint="eastAsia"/>
          <w:spacing w:val="8"/>
          <w:szCs w:val="21"/>
        </w:rPr>
        <w:t xml:space="preserve">3.1时间：自本项目招标公告发布之日起5个工作日（北京时间）</w:t>
      </w:r>
      <w:r/>
    </w:p>
    <w:p>
      <w:pPr>
        <w:ind w:firstLine="452"/>
        <w:jc w:val="left"/>
        <w:spacing w:line="360" w:lineRule="auto"/>
        <w:shd w:val="clear" w:color="auto" w:fill="ffffff"/>
        <w:widowControl/>
        <w:rPr>
          <w:spacing w:val="8"/>
          <w:szCs w:val="21"/>
        </w:rPr>
      </w:pPr>
      <w:r>
        <w:rPr>
          <w:rFonts w:hint="eastAsia"/>
          <w:spacing w:val="8"/>
          <w:szCs w:val="21"/>
        </w:rPr>
        <w:t xml:space="preserve">3.2地点：江苏政府采购网（http://www.ccgp-jiangsu.gov.cn/）</w:t>
      </w:r>
      <w:r/>
    </w:p>
    <w:p>
      <w:pPr>
        <w:ind w:firstLine="452"/>
        <w:jc w:val="left"/>
        <w:spacing w:line="360" w:lineRule="auto"/>
        <w:shd w:val="clear" w:color="auto" w:fill="ffffff"/>
        <w:widowControl/>
        <w:rPr>
          <w:spacing w:val="8"/>
          <w:szCs w:val="21"/>
        </w:rPr>
      </w:pPr>
      <w:r>
        <w:rPr>
          <w:rFonts w:hint="eastAsia"/>
          <w:spacing w:val="8"/>
          <w:szCs w:val="21"/>
        </w:rPr>
        <w:t xml:space="preserve">3.3获取方式：本项目采用网上注册登记方式：</w:t>
      </w:r>
      <w:r/>
    </w:p>
    <w:p>
      <w:pPr>
        <w:ind w:firstLine="452"/>
        <w:jc w:val="left"/>
        <w:spacing w:line="360" w:lineRule="auto"/>
        <w:shd w:val="clear" w:color="auto" w:fill="ffffff"/>
        <w:widowControl/>
        <w:rPr>
          <w:spacing w:val="8"/>
          <w:szCs w:val="21"/>
        </w:rPr>
      </w:pPr>
      <w:r>
        <w:rPr>
          <w:rFonts w:hint="eastAsia"/>
          <w:spacing w:val="8"/>
          <w:szCs w:val="21"/>
        </w:rPr>
        <w:t xml:space="preserve">投标人应在招标文件提供的时间内，打开江苏政府采购网（http://www.ccgp-jiangsu.gov.cn/）首页通过点击“苏采云”系统（网址：http://jszfcg.jsczt.cn/），使用CA锁进入系统从“项目参与”--“采购项目”菜单中，找到本项目获取采购文件（后缀名为“.kedt”）。</w:t>
      </w:r>
      <w:r/>
    </w:p>
    <w:p>
      <w:pPr>
        <w:ind w:firstLine="452"/>
        <w:jc w:val="left"/>
        <w:spacing w:line="360" w:lineRule="auto"/>
        <w:shd w:val="clear" w:color="auto" w:fill="ffffff"/>
        <w:widowControl/>
        <w:rPr>
          <w:spacing w:val="8"/>
          <w:szCs w:val="21"/>
        </w:rPr>
      </w:pPr>
      <w:r>
        <w:rPr>
          <w:rFonts w:hint="eastAsia"/>
          <w:spacing w:val="8"/>
          <w:szCs w:val="21"/>
        </w:rPr>
        <w:t xml:space="preserve">3.4售价：0.00元。</w:t>
      </w:r>
      <w:r/>
    </w:p>
    <w:p>
      <w:pPr>
        <w:ind w:firstLine="360"/>
        <w:spacing w:line="360" w:lineRule="auto"/>
        <w:widowControl/>
        <w:rPr>
          <w:szCs w:val="21"/>
        </w:rPr>
      </w:pPr>
      <w:r>
        <w:rPr>
          <w:szCs w:val="21"/>
        </w:rPr>
      </w:r>
      <w:r/>
    </w:p>
    <w:p>
      <w:pPr>
        <w:spacing w:line="360" w:lineRule="auto"/>
        <w:widowControl/>
        <w:rPr>
          <w:b/>
          <w:spacing w:val="8"/>
          <w:sz w:val="24"/>
        </w:rPr>
      </w:pPr>
      <w:r>
        <w:rPr>
          <w:rFonts w:hint="eastAsia"/>
          <w:b/>
          <w:spacing w:val="8"/>
          <w:sz w:val="24"/>
        </w:rPr>
        <w:t xml:space="preserve">四、提交投标文件截止时间、开标时间和地点</w:t>
      </w:r>
      <w:r/>
    </w:p>
    <w:p>
      <w:pPr>
        <w:ind w:firstLine="370"/>
        <w:spacing w:line="360" w:lineRule="auto"/>
        <w:widowControl/>
        <w:rPr>
          <w:spacing w:val="8"/>
          <w:szCs w:val="21"/>
        </w:rPr>
      </w:pPr>
      <w:r>
        <w:rPr>
          <w:spacing w:val="8"/>
          <w:szCs w:val="21"/>
        </w:rPr>
        <w:t xml:space="preserve">4.1</w:t>
      </w:r>
      <w:r>
        <w:rPr>
          <w:rFonts w:hint="eastAsia"/>
          <w:spacing w:val="15"/>
          <w:szCs w:val="21"/>
          <w:shd w:val="clear" w:color="auto" w:fill="ffffff"/>
        </w:rPr>
        <w:t xml:space="preserve">提交投标文件截止时间、开标时间：2026年</w:t>
      </w:r>
      <w:r>
        <w:rPr>
          <w:rFonts w:hint="eastAsia"/>
          <w:spacing w:val="15"/>
          <w:szCs w:val="21"/>
          <w:shd w:val="clear" w:color="auto" w:fill="ffffff"/>
          <w:lang w:val="en-US" w:eastAsia="zh-CN"/>
        </w:rPr>
        <w:t xml:space="preserve">9</w:t>
      </w:r>
      <w:r>
        <w:rPr>
          <w:rFonts w:hint="eastAsia"/>
          <w:spacing w:val="8"/>
          <w:szCs w:val="21"/>
        </w:rPr>
        <w:t xml:space="preserve">月</w:t>
      </w:r>
      <w:r>
        <w:rPr>
          <w:rFonts w:hint="eastAsia"/>
          <w:spacing w:val="8"/>
          <w:szCs w:val="21"/>
          <w:lang w:val="en-US" w:eastAsia="zh-CN"/>
        </w:rPr>
        <w:t xml:space="preserve">23</w:t>
      </w:r>
      <w:r>
        <w:rPr>
          <w:rFonts w:hint="eastAsia"/>
          <w:spacing w:val="8"/>
          <w:szCs w:val="21"/>
        </w:rPr>
        <w:t xml:space="preserve">日</w:t>
      </w:r>
      <w:r>
        <w:rPr>
          <w:spacing w:val="8"/>
          <w:szCs w:val="21"/>
        </w:rPr>
        <w:t xml:space="preserve">14</w:t>
      </w:r>
      <w:r>
        <w:rPr>
          <w:rFonts w:hint="eastAsia"/>
          <w:spacing w:val="8"/>
          <w:szCs w:val="21"/>
        </w:rPr>
        <w:t xml:space="preserve">点</w:t>
      </w:r>
      <w:r>
        <w:rPr>
          <w:spacing w:val="8"/>
          <w:szCs w:val="21"/>
        </w:rPr>
        <w:t xml:space="preserve">00</w:t>
      </w:r>
      <w:r>
        <w:rPr>
          <w:rFonts w:hint="eastAsia"/>
          <w:spacing w:val="8"/>
          <w:szCs w:val="21"/>
        </w:rPr>
        <w:t xml:space="preserve">分（北京时间）</w:t>
      </w:r>
      <w:r/>
    </w:p>
    <w:p>
      <w:pPr>
        <w:pStyle w:val="833"/>
        <w:ind w:firstLine="375"/>
        <w:spacing w:before="0" w:beforeAutospacing="0" w:after="0" w:afterAutospacing="0" w:line="360" w:lineRule="auto"/>
        <w:rPr>
          <w:rFonts w:ascii="Times New Roman" w:hAnsi="Times New Roman" w:cs="Times New Roman"/>
          <w:spacing w:val="15"/>
          <w:sz w:val="21"/>
          <w:szCs w:val="21"/>
          <w:shd w:val="clear" w:color="auto" w:fill="ffffff"/>
        </w:rPr>
      </w:pPr>
      <w:r>
        <w:rPr>
          <w:rFonts w:hint="eastAsia" w:ascii="Times New Roman" w:hAnsi="Times New Roman" w:cs="Times New Roman"/>
          <w:spacing w:val="15"/>
          <w:sz w:val="21"/>
          <w:szCs w:val="21"/>
          <w:shd w:val="clear" w:color="auto" w:fill="ffffff"/>
        </w:rPr>
        <w:t xml:space="preserve">4.2提交投标文件地点：江苏省政府采购管理交易系统（苏采云）（以下简称“苏采云”）（网址：http：//jszfcg.jsczt.cn/）</w:t>
      </w:r>
      <w:r/>
    </w:p>
    <w:p>
      <w:pPr>
        <w:pStyle w:val="833"/>
        <w:ind w:firstLine="375"/>
        <w:spacing w:before="0" w:beforeAutospacing="0" w:after="0" w:afterAutospacing="0" w:line="360" w:lineRule="auto"/>
        <w:rPr>
          <w:rFonts w:ascii="Times New Roman" w:hAnsi="Times New Roman" w:cs="Times New Roman"/>
          <w:spacing w:val="15"/>
          <w:sz w:val="21"/>
          <w:szCs w:val="21"/>
          <w:shd w:val="clear" w:color="auto" w:fill="ffffff"/>
        </w:rPr>
      </w:pPr>
      <w:r>
        <w:rPr>
          <w:rFonts w:hint="eastAsia" w:ascii="Times New Roman" w:hAnsi="Times New Roman" w:cs="Times New Roman"/>
          <w:spacing w:val="15"/>
          <w:sz w:val="21"/>
          <w:szCs w:val="21"/>
          <w:shd w:val="clear" w:color="auto" w:fill="ffffff"/>
        </w:rPr>
        <w:t xml:space="preserve">4.3开标地点：“苏采云”开标大厅</w:t>
      </w:r>
      <w:r/>
    </w:p>
    <w:p>
      <w:pPr>
        <w:ind w:firstLine="370"/>
        <w:spacing w:line="360" w:lineRule="auto"/>
        <w:widowControl/>
      </w:pPr>
      <w:r>
        <w:rPr>
          <w:rFonts w:hint="eastAsia"/>
        </w:rPr>
        <w:t xml:space="preserve">注：各供应商请关注开标大厅交流区，在开标结束后，请勿离开开标大厅</w:t>
      </w:r>
      <w:r>
        <w:rPr>
          <w:rFonts w:hint="eastAsia"/>
        </w:rPr>
        <w:t xml:space="preserve">。</w:t>
      </w:r>
      <w:r>
        <w:rPr>
          <w:rFonts w:hint="eastAsia"/>
        </w:rPr>
      </w:r>
      <w:r/>
    </w:p>
    <w:p>
      <w:pPr>
        <w:ind w:firstLine="370"/>
        <w:spacing w:line="360" w:lineRule="auto"/>
        <w:widowControl/>
        <w:rPr>
          <w:spacing w:val="8"/>
          <w:szCs w:val="21"/>
        </w:rPr>
      </w:pPr>
      <w:r>
        <w:rPr>
          <w:rFonts w:hint="eastAsia"/>
        </w:rPr>
        <w:t xml:space="preserve">4.4投标文件的解密：开标当天各供应商及时登录“苏采云”开标大厅，投标文件递交截止时间后，系统将自动公</w:t>
      </w:r>
      <w:r>
        <w:rPr>
          <w:rFonts w:hint="eastAsia"/>
        </w:rPr>
        <w:t xml:space="preserve">布投标人名单，然后通过开标会议区发出投标文件解密的指令，投标人应在开标大厅按规定时间自行实施远程解密，投标人解密时间限定在开标后30分钟之内完成。因投标人网络与电源不稳定、未按操作手册要求配置软硬件、解密锁发生故障或用错、故意不在要求时限内完成解密等自身原因，导致投标文件未能在规定时间内解密、解密失败或解密超时，视为投标人撤销其投标文件，系统内投标文件将被退回；因采购人原因或“苏采云”平台发生故障，导致无法按时完成投标文件解密或开、评标工作无法进行的，采购人可根据实际情况相应延迟解密时间或调整开、评标时间。</w:t>
      </w:r>
      <w:r/>
    </w:p>
    <w:p>
      <w:pPr>
        <w:spacing w:line="360" w:lineRule="auto"/>
        <w:widowControl/>
        <w:rPr>
          <w:b/>
          <w:spacing w:val="8"/>
          <w:sz w:val="24"/>
        </w:rPr>
      </w:pPr>
      <w:r>
        <w:rPr>
          <w:rFonts w:hint="eastAsia"/>
          <w:b/>
          <w:spacing w:val="8"/>
          <w:sz w:val="24"/>
        </w:rPr>
        <w:t xml:space="preserve">五、公告期限</w:t>
      </w:r>
      <w:r/>
    </w:p>
    <w:p>
      <w:pPr>
        <w:ind w:firstLine="370"/>
        <w:spacing w:line="360" w:lineRule="auto"/>
        <w:widowControl/>
        <w:rPr>
          <w:spacing w:val="8"/>
          <w:szCs w:val="21"/>
        </w:rPr>
      </w:pPr>
      <w:r>
        <w:rPr>
          <w:rFonts w:hint="eastAsia"/>
          <w:spacing w:val="8"/>
          <w:szCs w:val="21"/>
        </w:rPr>
        <w:t xml:space="preserve">自本公告发布之日起5个工作日。</w:t>
      </w:r>
      <w:r/>
    </w:p>
    <w:p>
      <w:pPr>
        <w:ind w:firstLine="370"/>
        <w:spacing w:line="360" w:lineRule="auto"/>
        <w:widowControl/>
        <w:rPr>
          <w:spacing w:val="8"/>
          <w:szCs w:val="21"/>
        </w:rPr>
      </w:pPr>
      <w:r>
        <w:rPr>
          <w:spacing w:val="8"/>
          <w:szCs w:val="21"/>
        </w:rPr>
      </w:r>
      <w:r/>
    </w:p>
    <w:p>
      <w:pPr>
        <w:spacing w:line="360" w:lineRule="auto"/>
        <w:widowControl/>
        <w:rPr>
          <w:b/>
          <w:spacing w:val="8"/>
          <w:sz w:val="24"/>
        </w:rPr>
      </w:pPr>
      <w:r>
        <w:rPr>
          <w:rFonts w:hint="eastAsia"/>
          <w:b/>
          <w:spacing w:val="8"/>
          <w:sz w:val="24"/>
        </w:rPr>
        <w:t xml:space="preserve">六、其他补充事宜</w:t>
      </w:r>
      <w:r/>
    </w:p>
    <w:p>
      <w:pPr>
        <w:ind w:firstLine="363"/>
        <w:spacing w:line="360" w:lineRule="auto"/>
        <w:shd w:val="clear" w:color="auto" w:fill="ffffff" w:themeFill="background1"/>
        <w:widowControl/>
        <w:rPr>
          <w:szCs w:val="21"/>
          <w:lang w:val="zh-CN"/>
        </w:rPr>
      </w:pPr>
      <w:r>
        <w:rPr>
          <w:rFonts w:hint="eastAsia"/>
          <w:szCs w:val="21"/>
          <w:lang w:val="zh-CN"/>
        </w:rPr>
        <w:t xml:space="preserve">6.1本项目在</w:t>
      </w:r>
      <w:r>
        <w:rPr>
          <w:rFonts w:hint="eastAsia"/>
          <w:b/>
          <w:bCs/>
          <w:szCs w:val="21"/>
          <w:lang w:val="zh-CN"/>
        </w:rPr>
        <w:t xml:space="preserve">“江苏政府采购网”</w:t>
      </w:r>
      <w:r>
        <w:rPr>
          <w:rFonts w:hint="eastAsia"/>
          <w:szCs w:val="21"/>
          <w:lang w:val="zh-CN"/>
        </w:rPr>
        <w:t xml:space="preserve">网站发布公告。</w:t>
      </w:r>
      <w:r/>
    </w:p>
    <w:p>
      <w:pPr>
        <w:ind w:firstLine="363"/>
        <w:spacing w:line="360" w:lineRule="auto"/>
        <w:shd w:val="clear" w:color="auto" w:fill="ffffff" w:themeFill="background1"/>
        <w:widowControl/>
        <w:rPr>
          <w:bCs/>
          <w:szCs w:val="21"/>
        </w:rPr>
      </w:pPr>
      <w:r>
        <w:rPr>
          <w:szCs w:val="21"/>
          <w:lang w:val="zh-CN"/>
        </w:rPr>
        <w:t xml:space="preserve">6.</w:t>
      </w:r>
      <w:r>
        <w:rPr>
          <w:szCs w:val="21"/>
        </w:rPr>
        <w:t xml:space="preserve">2</w:t>
      </w:r>
      <w:r>
        <w:rPr>
          <w:rFonts w:hint="eastAsia"/>
          <w:bCs/>
          <w:szCs w:val="21"/>
        </w:rPr>
        <w:t xml:space="preserve">勘察现场或答疑：不集中组织。</w:t>
      </w:r>
      <w:r/>
    </w:p>
    <w:p>
      <w:pPr>
        <w:ind w:firstLine="363"/>
        <w:spacing w:line="360" w:lineRule="auto"/>
        <w:shd w:val="clear" w:color="auto" w:fill="ffffff" w:themeFill="background1"/>
        <w:widowControl/>
        <w:rPr>
          <w:bCs/>
          <w:szCs w:val="21"/>
        </w:rPr>
      </w:pPr>
      <w:r>
        <w:rPr>
          <w:rFonts w:hint="eastAsia"/>
          <w:bCs/>
          <w:szCs w:val="21"/>
        </w:rPr>
        <w:t xml:space="preserve">6.3投标人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pStyle w:val="999"/>
        <w:spacing w:line="360" w:lineRule="auto"/>
        <w:rPr>
          <w:bCs/>
          <w:szCs w:val="21"/>
          <w:u w:val="single"/>
        </w:rPr>
      </w:pPr>
      <w:r>
        <w:rPr>
          <w:rFonts w:hint="eastAsia"/>
          <w:bCs/>
          <w:szCs w:val="21"/>
        </w:rPr>
        <w:t xml:space="preserve">操作手册下载地址：</w:t>
      </w:r>
      <w:r>
        <w:rPr>
          <w:bCs/>
          <w:szCs w:val="21"/>
          <w:u w:val="single"/>
        </w:rPr>
        <w:t xml:space="preserve">http://www.ccgp-jiangsu.gov.cn/jiangsu/zlxz/ee/ee3a4bc5a3454aa2b0d9312230633ce9.html</w:t>
      </w:r>
      <w:r/>
    </w:p>
    <w:p>
      <w:pPr>
        <w:pStyle w:val="999"/>
        <w:spacing w:line="360" w:lineRule="auto"/>
        <w:rPr>
          <w:bCs/>
          <w:szCs w:val="21"/>
        </w:rPr>
      </w:pPr>
      <w:r>
        <w:rPr>
          <w:rFonts w:hint="eastAsia"/>
          <w:bCs/>
          <w:szCs w:val="21"/>
        </w:rPr>
        <w:t xml:space="preserve">首次登录“苏采云”系统的新用户，登录网址后，点击“用户注册”</w:t>
      </w:r>
      <w:r>
        <w:rPr>
          <w:bCs/>
          <w:szCs w:val="21"/>
        </w:rPr>
        <w:t xml:space="preserve">—</w:t>
      </w:r>
      <w:r>
        <w:rPr>
          <w:rFonts w:hint="eastAsia"/>
          <w:bCs/>
          <w:szCs w:val="21"/>
        </w:rPr>
        <w:t xml:space="preserve">“新CA办理指南”--获取CA后绑定、登录系统--采购项目参与--下载采购文件（文件后缀名为“</w:t>
      </w:r>
      <w:r>
        <w:rPr>
          <w:bCs/>
          <w:szCs w:val="21"/>
        </w:rPr>
        <w:t xml:space="preserve">.kedt</w:t>
      </w:r>
      <w:r>
        <w:rPr>
          <w:rFonts w:hint="eastAsia"/>
          <w:bCs/>
          <w:szCs w:val="21"/>
        </w:rPr>
        <w:t xml:space="preserve">”）。</w:t>
      </w:r>
      <w:r/>
    </w:p>
    <w:p>
      <w:pPr>
        <w:pStyle w:val="999"/>
        <w:spacing w:line="360" w:lineRule="auto"/>
        <w:rPr>
          <w:bCs/>
          <w:szCs w:val="21"/>
        </w:rPr>
      </w:pPr>
      <w:r>
        <w:rPr>
          <w:rFonts w:hint="eastAsia"/>
          <w:bCs/>
          <w:szCs w:val="21"/>
        </w:rPr>
        <w:t xml:space="preserve">“苏采云”南通市及区县客服热线0519-86722801、0519-86722806、0513-59001950。</w:t>
      </w:r>
      <w:r/>
    </w:p>
    <w:p>
      <w:pPr>
        <w:pStyle w:val="999"/>
        <w:spacing w:line="360" w:lineRule="auto"/>
      </w:pPr>
      <w:r>
        <w:rPr>
          <w:rFonts w:hint="eastAsia"/>
        </w:rPr>
        <w:t xml:space="preserve">注：如潜在供应商未按上述要求操作，将自行承担所产生的风险。</w:t>
      </w:r>
      <w:r/>
    </w:p>
    <w:p>
      <w:pPr>
        <w:pStyle w:val="999"/>
        <w:spacing w:line="360" w:lineRule="auto"/>
      </w:pPr>
      <w:r>
        <w:rPr>
          <w:rFonts w:hint="eastAsia"/>
        </w:rPr>
        <w:t xml:space="preserve">6.4有关本次采购的事项若存在变动或修改，请及时关注“江苏政府采购网”（www.ccgp-jiangsu.gov.cn）更正公告。</w:t>
      </w:r>
      <w:r/>
    </w:p>
    <w:p>
      <w:pPr>
        <w:pStyle w:val="800"/>
      </w:pPr>
      <w:r/>
      <w:r/>
    </w:p>
    <w:p>
      <w:pPr>
        <w:spacing w:line="360" w:lineRule="auto"/>
        <w:widowControl/>
        <w:rPr>
          <w:b/>
          <w:spacing w:val="8"/>
          <w:sz w:val="24"/>
        </w:rPr>
      </w:pPr>
      <w:r>
        <w:rPr>
          <w:rFonts w:hint="eastAsia"/>
          <w:b/>
          <w:spacing w:val="8"/>
          <w:sz w:val="24"/>
        </w:rPr>
        <w:t xml:space="preserve">七、对本次招标提出询问，请按以下方式联系</w:t>
      </w:r>
      <w:r/>
    </w:p>
    <w:p>
      <w:pPr>
        <w:ind w:firstLine="334"/>
        <w:jc w:val="left"/>
        <w:spacing w:line="360" w:lineRule="auto"/>
        <w:widowControl/>
        <w:rPr>
          <w:spacing w:val="8"/>
          <w:szCs w:val="21"/>
        </w:rPr>
      </w:pPr>
      <w:r>
        <w:rPr>
          <w:rFonts w:hint="eastAsia"/>
          <w:spacing w:val="8"/>
          <w:szCs w:val="21"/>
        </w:rPr>
        <w:t xml:space="preserve">7.1采购人信息</w:t>
      </w:r>
      <w:r/>
    </w:p>
    <w:p>
      <w:pPr>
        <w:ind w:firstLine="334"/>
        <w:jc w:val="left"/>
        <w:spacing w:line="360" w:lineRule="auto"/>
        <w:widowControl/>
        <w:rPr>
          <w:spacing w:val="8"/>
          <w:szCs w:val="21"/>
        </w:rPr>
      </w:pPr>
      <w:r>
        <w:rPr>
          <w:rFonts w:hint="eastAsia"/>
          <w:spacing w:val="8"/>
          <w:szCs w:val="21"/>
        </w:rPr>
        <w:t xml:space="preserve">名称：南通市食品药品监督检验中心</w:t>
      </w:r>
      <w:r/>
    </w:p>
    <w:p>
      <w:pPr>
        <w:ind w:firstLine="334"/>
        <w:jc w:val="left"/>
        <w:spacing w:line="360" w:lineRule="auto"/>
        <w:widowControl/>
        <w:rPr>
          <w:spacing w:val="8"/>
          <w:szCs w:val="21"/>
        </w:rPr>
      </w:pPr>
      <w:r>
        <w:rPr>
          <w:rFonts w:hint="eastAsia"/>
          <w:spacing w:val="8"/>
          <w:szCs w:val="21"/>
        </w:rPr>
        <w:t xml:space="preserve">地址：南通市胜利路168号4幢</w:t>
      </w:r>
      <w:r/>
    </w:p>
    <w:p>
      <w:pPr>
        <w:ind w:firstLine="334"/>
        <w:jc w:val="left"/>
        <w:spacing w:line="360" w:lineRule="auto"/>
        <w:widowControl/>
        <w:rPr>
          <w:spacing w:val="8"/>
          <w:szCs w:val="21"/>
        </w:rPr>
      </w:pPr>
      <w:r>
        <w:rPr>
          <w:rFonts w:hint="eastAsia"/>
          <w:spacing w:val="8"/>
          <w:szCs w:val="21"/>
        </w:rPr>
        <w:t xml:space="preserve">联系人：葛先生</w:t>
      </w:r>
      <w:r/>
    </w:p>
    <w:p>
      <w:pPr>
        <w:ind w:firstLine="334"/>
        <w:jc w:val="left"/>
        <w:spacing w:line="360" w:lineRule="auto"/>
        <w:widowControl/>
        <w:rPr>
          <w:spacing w:val="8"/>
          <w:szCs w:val="21"/>
        </w:rPr>
      </w:pPr>
      <w:r>
        <w:rPr>
          <w:rFonts w:hint="eastAsia"/>
          <w:spacing w:val="8"/>
          <w:szCs w:val="21"/>
        </w:rPr>
        <w:t xml:space="preserve">联系电话：</w:t>
      </w:r>
      <w:r>
        <w:rPr>
          <w:spacing w:val="8"/>
          <w:szCs w:val="21"/>
        </w:rPr>
        <w:t xml:space="preserve">0513-51001918</w:t>
      </w:r>
      <w:r/>
    </w:p>
    <w:p>
      <w:pPr>
        <w:ind w:firstLine="334"/>
        <w:jc w:val="left"/>
        <w:spacing w:line="360" w:lineRule="auto"/>
        <w:widowControl/>
        <w:rPr>
          <w:spacing w:val="8"/>
          <w:szCs w:val="21"/>
        </w:rPr>
      </w:pPr>
      <w:r>
        <w:rPr>
          <w:spacing w:val="8"/>
          <w:szCs w:val="21"/>
        </w:rPr>
        <w:t xml:space="preserve">7.2</w:t>
      </w:r>
      <w:r>
        <w:rPr>
          <w:rFonts w:hint="eastAsia"/>
          <w:spacing w:val="8"/>
          <w:szCs w:val="21"/>
        </w:rPr>
        <w:t xml:space="preserve">采购代理机构信息</w:t>
      </w:r>
      <w:r/>
    </w:p>
    <w:p>
      <w:pPr>
        <w:ind w:firstLine="334"/>
        <w:jc w:val="left"/>
        <w:spacing w:line="360" w:lineRule="auto"/>
        <w:widowControl/>
        <w:rPr>
          <w:spacing w:val="8"/>
          <w:szCs w:val="21"/>
        </w:rPr>
      </w:pPr>
      <w:r>
        <w:rPr>
          <w:rFonts w:hint="eastAsia"/>
          <w:spacing w:val="8"/>
          <w:szCs w:val="21"/>
        </w:rPr>
        <w:t xml:space="preserve">名 称：江苏省设备成套股份有限公司</w:t>
      </w:r>
      <w:r/>
    </w:p>
    <w:p>
      <w:pPr>
        <w:ind w:firstLine="334"/>
        <w:jc w:val="left"/>
        <w:spacing w:line="360" w:lineRule="auto"/>
        <w:widowControl/>
        <w:rPr>
          <w:spacing w:val="8"/>
          <w:szCs w:val="21"/>
        </w:rPr>
      </w:pPr>
      <w:r>
        <w:rPr>
          <w:rFonts w:hint="eastAsia"/>
          <w:spacing w:val="8"/>
          <w:szCs w:val="21"/>
        </w:rPr>
        <w:t xml:space="preserve">地　址：南京市鼓楼区清江南路18号鼓楼创新广场D座10楼1002室</w:t>
      </w:r>
      <w:r/>
    </w:p>
    <w:p>
      <w:pPr>
        <w:ind w:firstLine="334"/>
        <w:jc w:val="left"/>
        <w:spacing w:line="360" w:lineRule="auto"/>
        <w:widowControl/>
        <w:rPr>
          <w:rFonts w:hint="eastAsia" w:eastAsia="宋体"/>
          <w:spacing w:val="8"/>
          <w:szCs w:val="21"/>
          <w:lang w:eastAsia="zh-CN"/>
        </w:rPr>
      </w:pPr>
      <w:r>
        <w:rPr>
          <w:rFonts w:hint="eastAsia"/>
          <w:spacing w:val="8"/>
          <w:szCs w:val="21"/>
        </w:rPr>
        <w:t xml:space="preserve">联系人：</w:t>
      </w:r>
      <w:r>
        <w:rPr>
          <w:rFonts w:hint="eastAsia"/>
          <w:spacing w:val="8"/>
          <w:szCs w:val="21"/>
          <w:lang w:eastAsia="zh-CN"/>
        </w:rPr>
        <w:t xml:space="preserve">路紫明</w:t>
      </w:r>
      <w:r/>
    </w:p>
    <w:p>
      <w:pPr>
        <w:ind w:firstLine="334"/>
        <w:jc w:val="left"/>
        <w:spacing w:line="360" w:lineRule="auto"/>
        <w:widowControl/>
        <w:rPr>
          <w:rFonts w:hint="eastAsia" w:eastAsia="宋体"/>
          <w:spacing w:val="8"/>
          <w:szCs w:val="21"/>
          <w:lang w:eastAsia="zh-CN"/>
        </w:rPr>
      </w:pPr>
      <w:r>
        <w:rPr>
          <w:rFonts w:hint="eastAsia"/>
          <w:spacing w:val="8"/>
          <w:szCs w:val="21"/>
        </w:rPr>
        <w:t xml:space="preserve">联系方式：</w:t>
      </w:r>
      <w:r>
        <w:rPr>
          <w:rFonts w:hint="eastAsia"/>
          <w:spacing w:val="8"/>
          <w:szCs w:val="21"/>
          <w:lang w:eastAsia="zh-CN"/>
        </w:rPr>
        <w:t xml:space="preserve">025-86633685</w:t>
      </w:r>
      <w:r/>
    </w:p>
    <w:p>
      <w:pPr>
        <w:ind w:firstLine="334"/>
        <w:jc w:val="left"/>
        <w:spacing w:line="360" w:lineRule="auto"/>
        <w:widowControl/>
        <w:rPr>
          <w:rFonts w:hint="eastAsia" w:eastAsia="宋体"/>
          <w:spacing w:val="8"/>
          <w:szCs w:val="21"/>
          <w:lang w:eastAsia="zh-CN"/>
        </w:rPr>
      </w:pPr>
      <w:r>
        <w:rPr>
          <w:rFonts w:hint="eastAsia"/>
          <w:spacing w:val="8"/>
          <w:szCs w:val="21"/>
        </w:rPr>
        <w:t xml:space="preserve">邮箱：</w:t>
      </w:r>
      <w:r>
        <w:rPr>
          <w:rFonts w:hint="eastAsia"/>
          <w:spacing w:val="8"/>
          <w:szCs w:val="21"/>
          <w:lang w:eastAsia="zh-CN"/>
        </w:rPr>
        <w:t xml:space="preserve">luzm@jcec.cn</w:t>
      </w:r>
      <w:r/>
    </w:p>
    <w:p>
      <w:pPr>
        <w:ind w:firstLine="334"/>
        <w:jc w:val="left"/>
        <w:spacing w:line="360" w:lineRule="auto"/>
        <w:widowControl/>
        <w:rPr>
          <w:spacing w:val="8"/>
          <w:szCs w:val="21"/>
        </w:rPr>
      </w:pPr>
      <w:r>
        <w:rPr>
          <w:rFonts w:hint="eastAsia"/>
          <w:spacing w:val="8"/>
          <w:szCs w:val="21"/>
        </w:rPr>
        <w:t xml:space="preserve">7.3项目联系方式</w:t>
      </w:r>
      <w:r/>
    </w:p>
    <w:p>
      <w:pPr>
        <w:ind w:firstLine="334"/>
        <w:jc w:val="left"/>
        <w:spacing w:line="360" w:lineRule="auto"/>
        <w:widowControl/>
        <w:rPr>
          <w:rFonts w:hint="eastAsia" w:eastAsia="宋体"/>
          <w:spacing w:val="8"/>
          <w:szCs w:val="21"/>
          <w:lang w:eastAsia="zh-CN"/>
        </w:rPr>
      </w:pPr>
      <w:r>
        <w:rPr>
          <w:rFonts w:hint="eastAsia"/>
          <w:spacing w:val="8"/>
          <w:szCs w:val="21"/>
        </w:rPr>
        <w:t xml:space="preserve">项目联系人：</w:t>
      </w:r>
      <w:r>
        <w:rPr>
          <w:rFonts w:hint="eastAsia"/>
          <w:spacing w:val="8"/>
          <w:szCs w:val="21"/>
          <w:lang w:eastAsia="zh-CN"/>
        </w:rPr>
        <w:t xml:space="preserve">路紫明</w:t>
      </w:r>
      <w:r/>
    </w:p>
    <w:p>
      <w:pPr>
        <w:ind w:firstLine="334"/>
        <w:jc w:val="left"/>
        <w:spacing w:line="360" w:lineRule="auto"/>
        <w:widowControl/>
        <w:rPr>
          <w:rFonts w:hint="eastAsia" w:eastAsia="宋体"/>
          <w:spacing w:val="8"/>
          <w:szCs w:val="21"/>
          <w:lang w:eastAsia="zh-CN"/>
        </w:rPr>
      </w:pPr>
      <w:r>
        <w:rPr>
          <w:rFonts w:hint="eastAsia"/>
          <w:spacing w:val="8"/>
          <w:szCs w:val="21"/>
        </w:rPr>
        <w:t xml:space="preserve">电话：</w:t>
      </w:r>
      <w:r>
        <w:rPr>
          <w:rFonts w:hint="eastAsia"/>
          <w:spacing w:val="8"/>
          <w:szCs w:val="21"/>
          <w:lang w:eastAsia="zh-CN"/>
        </w:rPr>
        <w:t xml:space="preserve">025-86633685</w:t>
      </w:r>
      <w:r/>
    </w:p>
    <w:p>
      <w:pPr>
        <w:pStyle w:val="789"/>
        <w:numPr>
          <w:ilvl w:val="0"/>
          <w:numId w:val="0"/>
        </w:numPr>
        <w:spacing w:line="360" w:lineRule="auto"/>
      </w:pPr>
      <w:r>
        <w:br w:type="page" w:clear="all"/>
      </w:r>
      <w:bookmarkStart w:id="4" w:name="_Toc227144763"/>
      <w:r>
        <w:rPr>
          <w:rFonts w:hint="eastAsia"/>
        </w:rPr>
        <w:t xml:space="preserve">第二章</w:t>
      </w:r>
      <w:bookmarkStart w:id="5" w:name="_Toc452625218"/>
      <w:r>
        <w:rPr>
          <w:rFonts w:hint="eastAsia"/>
        </w:rPr>
        <w:t xml:space="preserve"> 投标人须知</w:t>
      </w:r>
      <w:bookmarkEnd w:id="4"/>
      <w:r/>
      <w:bookmarkEnd w:id="5"/>
      <w:r/>
      <w:r/>
    </w:p>
    <w:p>
      <w:pPr>
        <w:ind w:firstLine="424"/>
        <w:spacing w:line="360" w:lineRule="auto"/>
        <w:shd w:val="clear" w:color="auto" w:fill="ffffff"/>
        <w:widowControl/>
        <w:rPr>
          <w:szCs w:val="21"/>
        </w:rPr>
      </w:pPr>
      <w:r>
        <w:rPr>
          <w:rFonts w:hint="eastAsia"/>
          <w:b/>
          <w:bCs/>
          <w:szCs w:val="21"/>
        </w:rPr>
        <w:t xml:space="preserve">一、总 则</w:t>
      </w:r>
      <w:r/>
    </w:p>
    <w:p>
      <w:pPr>
        <w:ind w:firstLine="420"/>
        <w:spacing w:line="360" w:lineRule="auto"/>
        <w:shd w:val="clear" w:color="auto" w:fill="ffffff"/>
        <w:widowControl/>
        <w:rPr>
          <w:szCs w:val="21"/>
        </w:rPr>
      </w:pPr>
      <w:r>
        <w:rPr>
          <w:rFonts w:hint="eastAsia"/>
          <w:b/>
          <w:bCs/>
          <w:szCs w:val="21"/>
        </w:rPr>
        <w:t xml:space="preserve">1、适用法律</w:t>
      </w:r>
      <w:r/>
    </w:p>
    <w:p>
      <w:pPr>
        <w:ind w:firstLine="420"/>
        <w:spacing w:line="360" w:lineRule="auto"/>
        <w:shd w:val="clear" w:color="auto" w:fill="ffffff"/>
        <w:widowControl/>
        <w:rPr>
          <w:szCs w:val="21"/>
        </w:rPr>
      </w:pPr>
      <w:r>
        <w:rPr>
          <w:rFonts w:hint="eastAsia"/>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szCs w:val="21"/>
        </w:rPr>
      </w:pPr>
      <w:r>
        <w:rPr>
          <w:rFonts w:hint="eastAsia"/>
          <w:b/>
          <w:bCs/>
          <w:szCs w:val="21"/>
        </w:rPr>
        <w:t xml:space="preserve">2、定义</w:t>
      </w:r>
      <w:r/>
    </w:p>
    <w:p>
      <w:pPr>
        <w:ind w:firstLine="420"/>
        <w:spacing w:line="360" w:lineRule="auto"/>
        <w:shd w:val="clear" w:color="auto" w:fill="ffffff"/>
        <w:widowControl/>
        <w:rPr>
          <w:szCs w:val="21"/>
        </w:rPr>
      </w:pPr>
      <w:r>
        <w:rPr>
          <w:szCs w:val="21"/>
        </w:rPr>
        <w:t xml:space="preserve">2.1</w:t>
      </w:r>
      <w:r>
        <w:rPr>
          <w:rFonts w:hint="eastAsia"/>
          <w:szCs w:val="21"/>
        </w:rPr>
        <w:t xml:space="preserve">“采购人”是指依法进行政府采购的国家机关、事业单位、团体组织。</w:t>
      </w:r>
      <w:r/>
    </w:p>
    <w:p>
      <w:pPr>
        <w:ind w:firstLine="420"/>
        <w:spacing w:line="360" w:lineRule="auto"/>
        <w:shd w:val="clear" w:color="auto" w:fill="ffffff"/>
        <w:widowControl/>
        <w:rPr>
          <w:szCs w:val="21"/>
        </w:rPr>
      </w:pPr>
      <w:r>
        <w:rPr>
          <w:szCs w:val="21"/>
        </w:rPr>
        <w:t xml:space="preserve">2.2</w:t>
      </w:r>
      <w:r>
        <w:rPr>
          <w:rFonts w:hint="eastAsia"/>
          <w:szCs w:val="21"/>
        </w:rPr>
        <w:t xml:space="preserve">“投标人（供应商）”是指参加投标竞争，并符合招标文件规定资格条件的法人、其他组织或者自然人。</w:t>
      </w:r>
      <w:r/>
    </w:p>
    <w:p>
      <w:pPr>
        <w:ind w:firstLine="420"/>
        <w:spacing w:line="360" w:lineRule="auto"/>
        <w:shd w:val="clear" w:color="auto" w:fill="ffffff"/>
        <w:widowControl/>
        <w:rPr>
          <w:szCs w:val="21"/>
        </w:rPr>
      </w:pPr>
      <w:r>
        <w:rPr>
          <w:szCs w:val="21"/>
        </w:rPr>
        <w:t xml:space="preserve">2.3</w:t>
      </w:r>
      <w:r>
        <w:rPr>
          <w:rFonts w:hint="eastAsia"/>
          <w:szCs w:val="21"/>
        </w:rPr>
        <w:t xml:space="preserve">“采购代理机构”是指集中采购机构和集中采购机构以外的采购代理机构，集中采购机构以外的采购代理机构，是从事采购代理业务的社会中介机构。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szCs w:val="21"/>
        </w:rPr>
      </w:pPr>
      <w:r>
        <w:rPr>
          <w:szCs w:val="21"/>
        </w:rPr>
        <w:t xml:space="preserve">2.4</w:t>
      </w:r>
      <w:r>
        <w:rPr>
          <w:rFonts w:hint="eastAsia"/>
          <w:szCs w:val="21"/>
        </w:rPr>
        <w:t xml:space="preserve">“货物和服务”指本招标文件中所述</w:t>
      </w:r>
      <w:r>
        <w:rPr>
          <w:rFonts w:hint="eastAsia"/>
          <w:bCs/>
          <w:szCs w:val="21"/>
        </w:rPr>
        <w:t xml:space="preserve">产品</w:t>
      </w:r>
      <w:r>
        <w:rPr>
          <w:rFonts w:hint="eastAsia"/>
          <w:szCs w:val="21"/>
        </w:rPr>
        <w:t xml:space="preserve">及相关服务。</w:t>
      </w:r>
      <w:r/>
    </w:p>
    <w:p>
      <w:pPr>
        <w:ind w:firstLine="420"/>
        <w:spacing w:line="360" w:lineRule="auto"/>
        <w:shd w:val="clear" w:color="auto" w:fill="ffffff"/>
        <w:widowControl/>
        <w:rPr>
          <w:szCs w:val="21"/>
        </w:rPr>
      </w:pPr>
      <w:r>
        <w:rPr>
          <w:szCs w:val="21"/>
        </w:rPr>
        <w:t xml:space="preserve">2.5</w:t>
      </w:r>
      <w:r>
        <w:rPr>
          <w:rFonts w:hint="eastAsia"/>
          <w:szCs w:val="21"/>
        </w:rPr>
        <w:t xml:space="preserve">“用户或使用单位”是指使用货物，接受服务的单位。</w:t>
      </w:r>
      <w:r/>
    </w:p>
    <w:p>
      <w:pPr>
        <w:ind w:firstLine="420"/>
        <w:spacing w:line="360" w:lineRule="auto"/>
        <w:shd w:val="clear" w:color="auto" w:fill="ffffff"/>
        <w:widowControl/>
        <w:rPr>
          <w:szCs w:val="21"/>
        </w:rPr>
      </w:pPr>
      <w:r>
        <w:rPr>
          <w:rFonts w:hint="eastAsia"/>
          <w:b/>
          <w:bCs/>
          <w:szCs w:val="21"/>
        </w:rPr>
        <w:t xml:space="preserve">3、政策功能</w:t>
      </w:r>
      <w:r/>
    </w:p>
    <w:p>
      <w:pPr>
        <w:ind w:firstLine="420"/>
        <w:spacing w:line="360" w:lineRule="auto"/>
        <w:shd w:val="clear" w:color="auto" w:fill="ffffff"/>
        <w:widowControl/>
        <w:rPr>
          <w:szCs w:val="21"/>
        </w:rPr>
      </w:pPr>
      <w:r>
        <w:rPr>
          <w:rFonts w:hint="eastAsia"/>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shd w:val="clear" w:color="auto" w:fill="ffffff"/>
        <w:widowControl/>
        <w:rPr>
          <w:szCs w:val="21"/>
        </w:rPr>
      </w:pPr>
      <w:r>
        <w:rPr>
          <w:rFonts w:hint="eastAsia"/>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szCs w:val="21"/>
        </w:rPr>
      </w:pPr>
      <w:r>
        <w:rPr>
          <w:rFonts w:hint="eastAsia"/>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szCs w:val="21"/>
        </w:rPr>
      </w:pPr>
      <w:r>
        <w:rPr>
          <w:rFonts w:hint="eastAsia"/>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szCs w:val="21"/>
        </w:rPr>
      </w:pPr>
      <w:r>
        <w:rPr>
          <w:rFonts w:hint="eastAsia"/>
          <w:szCs w:val="21"/>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szCs w:val="21"/>
        </w:rPr>
      </w:pPr>
      <w:r>
        <w:rPr>
          <w:rFonts w:hint="eastAsia"/>
          <w:szCs w:val="21"/>
        </w:rPr>
        <w:t xml:space="preserve">3.6进口产品政策</w:t>
      </w:r>
      <w:r/>
    </w:p>
    <w:p>
      <w:pPr>
        <w:ind w:firstLine="420"/>
        <w:spacing w:line="360" w:lineRule="auto"/>
        <w:shd w:val="clear" w:color="auto" w:fill="ffffff"/>
        <w:widowControl/>
        <w:rPr>
          <w:szCs w:val="21"/>
        </w:rPr>
      </w:pPr>
      <w:r>
        <w:rPr>
          <w:rFonts w:hint="eastAsia"/>
          <w:szCs w:val="21"/>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szCs w:val="21"/>
        </w:rPr>
      </w:pPr>
      <w:r>
        <w:rPr>
          <w:rFonts w:hint="eastAsia"/>
          <w:szCs w:val="21"/>
        </w:rPr>
        <w:t xml:space="preserve">（2）允许进口产品参加的，满足需求的国内产品可以参加。</w:t>
      </w:r>
      <w:r/>
    </w:p>
    <w:p>
      <w:pPr>
        <w:ind w:firstLine="420"/>
        <w:spacing w:line="360" w:lineRule="auto"/>
        <w:shd w:val="clear" w:color="auto" w:fill="ffffff"/>
        <w:widowControl/>
        <w:rPr>
          <w:szCs w:val="21"/>
        </w:rPr>
      </w:pPr>
      <w:r>
        <w:rPr>
          <w:rFonts w:hint="eastAsia"/>
          <w:szCs w:val="21"/>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szCs w:val="21"/>
        </w:rPr>
      </w:pPr>
      <w:r>
        <w:rPr>
          <w:rFonts w:hint="eastAsia"/>
          <w:szCs w:val="21"/>
        </w:rPr>
        <w:t xml:space="preserve">3.7 本国产品支持政策</w:t>
      </w:r>
      <w:r/>
    </w:p>
    <w:p>
      <w:pPr>
        <w:ind w:firstLine="420"/>
        <w:spacing w:line="360" w:lineRule="auto"/>
        <w:shd w:val="clear" w:color="auto" w:fill="ffffff"/>
        <w:widowControl/>
        <w:rPr>
          <w:szCs w:val="21"/>
        </w:rPr>
      </w:pPr>
      <w:r>
        <w:rPr>
          <w:rFonts w:hint="eastAsia"/>
          <w:szCs w:val="21"/>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szCs w:val="21"/>
        </w:rPr>
      </w:pPr>
      <w:r>
        <w:rPr>
          <w:rFonts w:hint="eastAsia"/>
          <w:szCs w:val="21"/>
        </w:rPr>
        <w:t xml:space="preserve">3.8未按要求提供相关材料的，不享受相关政策。</w:t>
      </w:r>
      <w:r/>
    </w:p>
    <w:p>
      <w:pPr>
        <w:ind w:firstLine="412"/>
        <w:spacing w:line="360" w:lineRule="auto"/>
        <w:shd w:val="clear" w:color="auto" w:fill="ffffff"/>
        <w:widowControl/>
        <w:rPr>
          <w:szCs w:val="21"/>
        </w:rPr>
      </w:pPr>
      <w:r>
        <w:rPr>
          <w:rFonts w:hint="eastAsia"/>
          <w:b/>
          <w:bCs/>
          <w:szCs w:val="21"/>
        </w:rPr>
        <w:t xml:space="preserve">二、招标文件构成</w:t>
      </w:r>
      <w:r/>
    </w:p>
    <w:p>
      <w:pPr>
        <w:ind w:firstLine="420"/>
        <w:spacing w:line="360" w:lineRule="auto"/>
        <w:shd w:val="clear" w:color="auto" w:fill="ffffff"/>
        <w:widowControl/>
        <w:rPr>
          <w:szCs w:val="21"/>
        </w:rPr>
      </w:pPr>
      <w:r>
        <w:rPr>
          <w:rFonts w:hint="eastAsia"/>
          <w:b/>
          <w:bCs/>
          <w:szCs w:val="21"/>
        </w:rPr>
        <w:t xml:space="preserve">4、招标文件组成</w:t>
      </w:r>
      <w:r/>
    </w:p>
    <w:p>
      <w:pPr>
        <w:ind w:firstLine="420"/>
        <w:spacing w:line="360" w:lineRule="auto"/>
        <w:shd w:val="clear" w:color="auto" w:fill="ffffff"/>
        <w:widowControl/>
        <w:rPr>
          <w:szCs w:val="21"/>
        </w:rPr>
      </w:pPr>
      <w:r>
        <w:rPr>
          <w:rFonts w:hint="eastAsia"/>
          <w:szCs w:val="21"/>
        </w:rPr>
        <w:t xml:space="preserve">4.1招标文件包括以下主要内容：</w:t>
      </w:r>
      <w:r/>
    </w:p>
    <w:p>
      <w:pPr>
        <w:ind w:firstLine="420"/>
        <w:spacing w:line="360" w:lineRule="auto"/>
        <w:shd w:val="clear" w:color="auto" w:fill="ffffff"/>
        <w:widowControl/>
        <w:rPr>
          <w:szCs w:val="21"/>
        </w:rPr>
      </w:pPr>
      <w:r>
        <w:rPr>
          <w:rFonts w:hint="eastAsia"/>
          <w:szCs w:val="21"/>
        </w:rPr>
        <w:t xml:space="preserve">（1）招标公告；</w:t>
      </w:r>
      <w:r/>
    </w:p>
    <w:p>
      <w:pPr>
        <w:ind w:firstLine="420"/>
        <w:spacing w:line="360" w:lineRule="auto"/>
        <w:shd w:val="clear" w:color="auto" w:fill="ffffff"/>
        <w:widowControl/>
        <w:rPr>
          <w:szCs w:val="21"/>
        </w:rPr>
      </w:pPr>
      <w:r>
        <w:rPr>
          <w:rFonts w:hint="eastAsia"/>
          <w:szCs w:val="21"/>
        </w:rPr>
        <w:t xml:space="preserve">（2）投标人须知；</w:t>
      </w:r>
      <w:r/>
    </w:p>
    <w:p>
      <w:pPr>
        <w:ind w:firstLine="420"/>
        <w:spacing w:line="360" w:lineRule="auto"/>
        <w:shd w:val="clear" w:color="auto" w:fill="ffffff"/>
        <w:widowControl/>
        <w:rPr>
          <w:szCs w:val="21"/>
        </w:rPr>
      </w:pPr>
      <w:r>
        <w:rPr>
          <w:rFonts w:hint="eastAsia"/>
          <w:szCs w:val="21"/>
        </w:rPr>
        <w:t xml:space="preserve">（3）评标标准；</w:t>
      </w:r>
      <w:r/>
    </w:p>
    <w:p>
      <w:pPr>
        <w:ind w:firstLine="420"/>
        <w:spacing w:line="360" w:lineRule="auto"/>
        <w:shd w:val="clear" w:color="auto" w:fill="ffffff"/>
        <w:widowControl/>
        <w:rPr>
          <w:szCs w:val="21"/>
        </w:rPr>
      </w:pPr>
      <w:r>
        <w:rPr>
          <w:rFonts w:hint="eastAsia"/>
          <w:szCs w:val="21"/>
        </w:rPr>
        <w:t xml:space="preserve">（4）采购需求；</w:t>
      </w:r>
      <w:r/>
    </w:p>
    <w:p>
      <w:pPr>
        <w:ind w:firstLine="420"/>
        <w:spacing w:line="360" w:lineRule="auto"/>
        <w:shd w:val="clear" w:color="auto" w:fill="ffffff"/>
        <w:widowControl/>
        <w:rPr>
          <w:szCs w:val="21"/>
        </w:rPr>
      </w:pPr>
      <w:r>
        <w:rPr>
          <w:rFonts w:hint="eastAsia"/>
          <w:szCs w:val="21"/>
        </w:rPr>
        <w:t xml:space="preserve">（5）合同主要条款及格式；</w:t>
      </w:r>
      <w:r/>
    </w:p>
    <w:p>
      <w:pPr>
        <w:ind w:firstLine="420"/>
        <w:spacing w:line="360" w:lineRule="auto"/>
        <w:shd w:val="clear" w:color="auto" w:fill="ffffff"/>
        <w:widowControl/>
        <w:rPr>
          <w:szCs w:val="21"/>
        </w:rPr>
      </w:pPr>
      <w:r>
        <w:rPr>
          <w:rFonts w:hint="eastAsia"/>
          <w:szCs w:val="21"/>
        </w:rPr>
        <w:t xml:space="preserve">（6）投标文件格式及附件。</w:t>
      </w:r>
      <w:r/>
    </w:p>
    <w:p>
      <w:pPr>
        <w:ind w:firstLine="420"/>
        <w:spacing w:line="360" w:lineRule="auto"/>
        <w:shd w:val="clear" w:color="auto" w:fill="ffffff"/>
        <w:widowControl/>
        <w:rPr>
          <w:szCs w:val="21"/>
        </w:rPr>
      </w:pPr>
      <w:r>
        <w:rPr>
          <w:rFonts w:hint="eastAsia"/>
          <w:szCs w:val="21"/>
        </w:rPr>
        <w:t xml:space="preserve">如标书制作工具中格式和内容与“江苏政府采购网”发布的招标文件不一致的，以上述网站发布的招标文件为准。</w:t>
      </w:r>
      <w:r/>
    </w:p>
    <w:p>
      <w:pPr>
        <w:ind w:firstLine="420"/>
        <w:spacing w:line="360" w:lineRule="auto"/>
        <w:shd w:val="clear" w:color="auto" w:fill="ffffff"/>
        <w:widowControl/>
        <w:rPr>
          <w:szCs w:val="21"/>
        </w:rPr>
      </w:pPr>
      <w:r>
        <w:rPr>
          <w:rFonts w:hint="eastAsia"/>
          <w:szCs w:val="21"/>
        </w:rPr>
        <w:t xml:space="preserve">4.2 招标的最小单位是标段。招标货物数量及技术要求中未分标段的，投标人对要求提供的货物和服务不得部分投标；招标货物数量及技术要求中已经分标段的，可以以标段为单位投标。</w:t>
      </w:r>
      <w:r/>
    </w:p>
    <w:p>
      <w:pPr>
        <w:ind w:firstLine="420"/>
        <w:spacing w:line="360" w:lineRule="auto"/>
        <w:shd w:val="clear" w:color="auto" w:fill="ffffff"/>
        <w:widowControl/>
        <w:rPr>
          <w:szCs w:val="21"/>
        </w:rPr>
      </w:pPr>
      <w:r>
        <w:rPr>
          <w:rFonts w:hint="eastAsia"/>
          <w:szCs w:val="21"/>
        </w:rPr>
        <w:t xml:space="preserve">4.3 采购代理机构如果要求投标人按照招标文件规定提交备选投标方案的，投标人可以提交备选方案；否则，备选方案将被拒绝。</w:t>
      </w:r>
      <w:r/>
    </w:p>
    <w:p>
      <w:pPr>
        <w:ind w:firstLine="420"/>
        <w:spacing w:line="360" w:lineRule="auto"/>
        <w:shd w:val="clear" w:color="auto" w:fill="ffffff"/>
        <w:widowControl/>
        <w:rPr>
          <w:szCs w:val="21"/>
        </w:rPr>
      </w:pPr>
      <w:r>
        <w:rPr>
          <w:rFonts w:hint="eastAsia"/>
          <w:szCs w:val="21"/>
        </w:rPr>
        <w:t xml:space="preserve">4.4招标文件中要求的产品品牌或型号，是采购人根据项目所要实现的功能推荐的品牌或型号，仅供投标人参考，并不是限制条件。</w:t>
      </w:r>
      <w:r/>
    </w:p>
    <w:p>
      <w:pPr>
        <w:ind w:firstLine="420"/>
        <w:spacing w:line="360" w:lineRule="auto"/>
        <w:shd w:val="clear" w:color="auto" w:fill="ffffff"/>
        <w:widowControl/>
        <w:rPr>
          <w:szCs w:val="21"/>
        </w:rPr>
      </w:pPr>
      <w:r>
        <w:rPr>
          <w:rFonts w:hint="eastAsia"/>
          <w:b/>
          <w:bCs/>
          <w:szCs w:val="21"/>
        </w:rPr>
        <w:t xml:space="preserve">5、招标文件的澄清或者修改</w:t>
      </w:r>
      <w:r/>
    </w:p>
    <w:p>
      <w:pPr>
        <w:ind w:firstLine="420"/>
        <w:spacing w:line="360" w:lineRule="auto"/>
        <w:shd w:val="clear" w:color="auto" w:fill="ffffff"/>
        <w:widowControl/>
        <w:rPr>
          <w:szCs w:val="21"/>
        </w:rPr>
      </w:pPr>
      <w:r>
        <w:rPr>
          <w:rFonts w:hint="eastAsia"/>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szCs w:val="21"/>
        </w:rPr>
      </w:pPr>
      <w:r>
        <w:rPr>
          <w:rFonts w:hint="eastAsia"/>
          <w:szCs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szCs w:val="21"/>
        </w:rPr>
      </w:pPr>
      <w:r>
        <w:rPr>
          <w:rFonts w:hint="eastAsia"/>
          <w:szCs w:val="21"/>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szCs w:val="21"/>
        </w:rPr>
      </w:pPr>
      <w:r>
        <w:rPr>
          <w:rFonts w:hint="eastAsia"/>
          <w:b/>
          <w:bCs/>
          <w:szCs w:val="21"/>
        </w:rPr>
        <w:t xml:space="preserve">三、投标文件的编制</w:t>
      </w:r>
      <w:r/>
    </w:p>
    <w:p>
      <w:pPr>
        <w:ind w:firstLine="420"/>
        <w:spacing w:line="360" w:lineRule="auto"/>
        <w:shd w:val="clear" w:color="auto" w:fill="ffffff"/>
        <w:widowControl/>
        <w:rPr>
          <w:szCs w:val="21"/>
        </w:rPr>
      </w:pPr>
      <w:r>
        <w:rPr>
          <w:rFonts w:hint="eastAsia"/>
          <w:b/>
          <w:bCs/>
          <w:szCs w:val="21"/>
        </w:rPr>
        <w:t xml:space="preserve">6、投标文件的语言、计量单位、货币和编制</w:t>
      </w:r>
      <w:r/>
    </w:p>
    <w:p>
      <w:pPr>
        <w:ind w:firstLine="420"/>
        <w:spacing w:line="360" w:lineRule="auto"/>
        <w:shd w:val="clear" w:color="auto" w:fill="ffffff"/>
        <w:widowControl/>
        <w:rPr>
          <w:szCs w:val="21"/>
        </w:rPr>
      </w:pPr>
      <w:r>
        <w:rPr>
          <w:rFonts w:hint="eastAsia"/>
          <w:szCs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szCs w:val="21"/>
        </w:rPr>
      </w:pPr>
      <w:r>
        <w:rPr>
          <w:rFonts w:hint="eastAsia"/>
          <w:szCs w:val="21"/>
        </w:rPr>
        <w:t xml:space="preserve">6.2投标人所使用的计量单位应为国家法定计量单位。</w:t>
      </w:r>
      <w:r/>
    </w:p>
    <w:p>
      <w:pPr>
        <w:ind w:firstLine="420"/>
        <w:spacing w:line="360" w:lineRule="auto"/>
        <w:shd w:val="clear" w:color="auto" w:fill="ffffff"/>
        <w:widowControl/>
        <w:rPr>
          <w:szCs w:val="21"/>
        </w:rPr>
      </w:pPr>
      <w:r>
        <w:rPr>
          <w:rFonts w:hint="eastAsia"/>
          <w:szCs w:val="21"/>
        </w:rPr>
        <w:t xml:space="preserve">6.3投标人应用人民币报价。投标产品如果是进口产品的，应提供人民币与</w:t>
      </w:r>
      <w:r>
        <w:rPr>
          <w:rFonts w:hint="eastAsia"/>
          <w:b/>
          <w:bCs/>
          <w:szCs w:val="21"/>
        </w:rPr>
        <w:t xml:space="preserve">外币之间的汇率。</w:t>
      </w:r>
      <w:r/>
    </w:p>
    <w:p>
      <w:pPr>
        <w:ind w:firstLine="420"/>
        <w:spacing w:line="360" w:lineRule="auto"/>
        <w:shd w:val="clear" w:color="auto" w:fill="ffffff"/>
        <w:widowControl/>
        <w:rPr>
          <w:szCs w:val="21"/>
        </w:rPr>
      </w:pPr>
      <w:r>
        <w:rPr>
          <w:rFonts w:hint="eastAsia"/>
          <w:szCs w:val="21"/>
        </w:rPr>
        <w:t xml:space="preserve">6.4投标文件应按照招标文件的规定编写并制作目录。</w:t>
      </w:r>
      <w:r/>
    </w:p>
    <w:p>
      <w:pPr>
        <w:ind w:firstLine="420"/>
        <w:spacing w:line="360" w:lineRule="auto"/>
        <w:shd w:val="clear" w:color="auto" w:fill="ffffff"/>
        <w:widowControl/>
        <w:rPr>
          <w:szCs w:val="21"/>
        </w:rPr>
      </w:pPr>
      <w:r>
        <w:rPr>
          <w:rFonts w:hint="eastAsia"/>
          <w:szCs w:val="21"/>
        </w:rPr>
        <w:t xml:space="preserve">6.5投标人应在投标文件中写清相应的项目编号、项目名称、投标人全称、地址、电话、传真等。</w:t>
      </w:r>
      <w:r/>
    </w:p>
    <w:p>
      <w:pPr>
        <w:ind w:firstLine="412"/>
        <w:spacing w:line="360" w:lineRule="auto"/>
        <w:shd w:val="clear" w:color="auto" w:fill="ffffff"/>
        <w:widowControl/>
        <w:rPr>
          <w:szCs w:val="21"/>
        </w:rPr>
      </w:pPr>
      <w:r>
        <w:rPr>
          <w:bCs/>
          <w:szCs w:val="21"/>
        </w:rPr>
        <w:t xml:space="preserve">6.6</w:t>
      </w:r>
      <w:r>
        <w:rPr>
          <w:rFonts w:hint="eastAsia"/>
          <w:szCs w:val="21"/>
        </w:rPr>
        <w:t xml:space="preserve">投标人根据招标文件载明的标的采购项目实际情况，拟在中标后将中标项目的非主体、非关键性工作交由他人完成的，应当在投标文件中载明。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b/>
          <w:bCs/>
          <w:szCs w:val="21"/>
        </w:rPr>
      </w:pPr>
      <w:r>
        <w:rPr>
          <w:rFonts w:hint="eastAsia"/>
          <w:b/>
          <w:bCs/>
          <w:szCs w:val="21"/>
        </w:rPr>
        <w:t xml:space="preserve">7、联合体投标：本项目不接受联合体投标。</w:t>
      </w:r>
      <w:r/>
    </w:p>
    <w:p>
      <w:pPr>
        <w:ind w:firstLine="420"/>
        <w:spacing w:line="360" w:lineRule="auto"/>
        <w:shd w:val="clear" w:color="auto" w:fill="ffffff"/>
        <w:widowControl/>
        <w:rPr>
          <w:szCs w:val="21"/>
        </w:rPr>
      </w:pPr>
      <w:r>
        <w:rPr>
          <w:rFonts w:hint="eastAsia"/>
          <w:b/>
          <w:bCs/>
          <w:szCs w:val="21"/>
        </w:rPr>
        <w:t xml:space="preserve">8、投标文件的组成</w:t>
      </w:r>
      <w:r/>
    </w:p>
    <w:p>
      <w:pPr>
        <w:ind w:firstLine="420"/>
        <w:jc w:val="left"/>
        <w:spacing w:line="360" w:lineRule="auto"/>
        <w:shd w:val="clear" w:color="auto" w:fill="ffffff"/>
        <w:widowControl/>
        <w:rPr>
          <w:b/>
          <w:szCs w:val="21"/>
        </w:rPr>
      </w:pPr>
      <w:r>
        <w:rPr>
          <w:rFonts w:hint="eastAsia"/>
          <w:szCs w:val="21"/>
        </w:rPr>
        <w:t xml:space="preserve">8.1投标人应当根据招标文件要求编制投标文件，投标文件应对招标文件提出的要求和条件作出实质性响应，并在《商务条款偏离表》和《采购需求偏离表》等处逐条标明满足与否。</w:t>
      </w:r>
      <w:r>
        <w:rPr>
          <w:rFonts w:hint="eastAsia"/>
          <w:b/>
          <w:szCs w:val="21"/>
        </w:rPr>
        <w:t xml:space="preserve">对带</w:t>
      </w:r>
      <w:r>
        <w:rPr>
          <w:rFonts w:hint="eastAsia"/>
          <w:b/>
          <w:bCs/>
          <w:szCs w:val="21"/>
        </w:rPr>
        <w:t xml:space="preserve">星号（“</w:t>
      </w:r>
      <w:r>
        <w:rPr>
          <w:rFonts w:hint="eastAsia"/>
          <w:b/>
          <w:bCs/>
        </w:rPr>
        <w:t xml:space="preserve">★</w:t>
      </w:r>
      <w:r>
        <w:rPr>
          <w:rFonts w:hint="eastAsia"/>
          <w:b/>
          <w:bCs/>
          <w:szCs w:val="21"/>
        </w:rPr>
        <w:t xml:space="preserve">”）的技术条款必须在投标文件中提供技术支持资料（如白皮书、彩页、手册、检测报告等），未提供技术支持资料的，视为未对招标文件实质性要求作出响应，评审时不予认可。</w:t>
      </w:r>
      <w:r/>
    </w:p>
    <w:p>
      <w:pPr>
        <w:ind w:firstLine="420"/>
        <w:jc w:val="left"/>
        <w:spacing w:line="360" w:lineRule="auto"/>
        <w:shd w:val="clear" w:color="auto" w:fill="ffffff"/>
        <w:widowControl/>
        <w:rPr>
          <w:szCs w:val="21"/>
        </w:rPr>
      </w:pPr>
      <w:r>
        <w:rPr>
          <w:rFonts w:hint="eastAsia"/>
          <w:szCs w:val="21"/>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szCs w:val="21"/>
        </w:rPr>
      </w:pPr>
      <w:r>
        <w:rPr>
          <w:rFonts w:hint="eastAsia"/>
          <w:b/>
          <w:bCs/>
          <w:szCs w:val="21"/>
        </w:rPr>
        <w:t xml:space="preserve">9、投标文件的商务内容</w:t>
      </w:r>
      <w:r/>
    </w:p>
    <w:p>
      <w:pPr>
        <w:ind w:firstLine="420"/>
        <w:spacing w:line="360" w:lineRule="auto"/>
        <w:shd w:val="clear" w:color="auto" w:fill="ffffff"/>
        <w:widowControl/>
        <w:rPr>
          <w:szCs w:val="21"/>
        </w:rPr>
      </w:pPr>
      <w:r>
        <w:rPr>
          <w:rFonts w:hint="eastAsia"/>
          <w:szCs w:val="21"/>
        </w:rPr>
        <w:t xml:space="preserve">9.1商务部分内容是证明投标人有资格参加投标和中标后有能力履行合同的文件，这些文件应能满足招标的要求，包括但不限于下列文件（</w:t>
      </w:r>
      <w:r>
        <w:rPr>
          <w:rFonts w:hint="eastAsia"/>
          <w:b/>
          <w:szCs w:val="21"/>
        </w:rPr>
        <w:t xml:space="preserve">（1）-（4）所述材料不得有缺失或提供不全或不满足招标文件的实质性要求</w:t>
      </w:r>
      <w:r>
        <w:rPr>
          <w:rFonts w:hint="eastAsia"/>
          <w:szCs w:val="21"/>
        </w:rPr>
        <w:t xml:space="preserve">）：</w:t>
      </w:r>
      <w:r/>
    </w:p>
    <w:p>
      <w:pPr>
        <w:ind w:firstLine="420"/>
        <w:jc w:val="left"/>
        <w:spacing w:line="360" w:lineRule="auto"/>
        <w:shd w:val="clear" w:color="auto" w:fill="ffffff"/>
        <w:widowControl/>
        <w:rPr>
          <w:szCs w:val="21"/>
        </w:rPr>
      </w:pPr>
      <w:r>
        <w:rPr>
          <w:rFonts w:hint="eastAsia"/>
          <w:szCs w:val="21"/>
        </w:rPr>
        <w:t xml:space="preserve">（1）投标函（投标申请及声明）</w:t>
      </w:r>
      <w:r>
        <w:rPr>
          <w:rFonts w:hint="eastAsia"/>
          <w:bCs/>
          <w:szCs w:val="21"/>
        </w:rPr>
        <w:t xml:space="preserve">（</w:t>
      </w:r>
      <w:r>
        <w:rPr>
          <w:rFonts w:hint="eastAsia"/>
          <w:b/>
          <w:bCs/>
          <w:szCs w:val="21"/>
        </w:rPr>
        <w:t xml:space="preserve">格式见第六章</w:t>
      </w:r>
      <w:r>
        <w:rPr>
          <w:rFonts w:hint="eastAsia"/>
          <w:bCs/>
          <w:szCs w:val="21"/>
        </w:rPr>
        <w:t xml:space="preserve">）</w:t>
      </w:r>
      <w:r>
        <w:rPr>
          <w:rFonts w:hint="eastAsia"/>
          <w:szCs w:val="21"/>
        </w:rPr>
        <w:t xml:space="preserve">；</w:t>
      </w:r>
      <w:r/>
    </w:p>
    <w:p>
      <w:pPr>
        <w:ind w:firstLine="420"/>
        <w:jc w:val="left"/>
        <w:spacing w:line="360" w:lineRule="auto"/>
        <w:shd w:val="clear" w:color="auto" w:fill="ffffff"/>
        <w:widowControl/>
        <w:rPr>
          <w:szCs w:val="21"/>
        </w:rPr>
      </w:pPr>
      <w:r>
        <w:rPr>
          <w:rFonts w:hint="eastAsia"/>
          <w:szCs w:val="21"/>
        </w:rPr>
        <w:t xml:space="preserve">（2）法人授权书</w:t>
      </w:r>
      <w:r>
        <w:rPr>
          <w:rFonts w:hint="eastAsia"/>
          <w:bCs/>
          <w:szCs w:val="21"/>
        </w:rPr>
        <w:t xml:space="preserve">（</w:t>
      </w:r>
      <w:r>
        <w:rPr>
          <w:rFonts w:hint="eastAsia"/>
          <w:b/>
          <w:bCs/>
          <w:szCs w:val="21"/>
        </w:rPr>
        <w:t xml:space="preserve">格式见第六章</w:t>
      </w:r>
      <w:r>
        <w:rPr>
          <w:rFonts w:hint="eastAsia"/>
          <w:bCs/>
          <w:szCs w:val="21"/>
        </w:rPr>
        <w:t xml:space="preserve">）</w:t>
      </w:r>
      <w:r>
        <w:rPr>
          <w:rFonts w:hint="eastAsia"/>
          <w:szCs w:val="21"/>
        </w:rPr>
        <w:t xml:space="preserve">；</w:t>
      </w:r>
      <w:r/>
    </w:p>
    <w:p>
      <w:pPr>
        <w:ind w:firstLine="420"/>
        <w:spacing w:line="360" w:lineRule="auto"/>
        <w:shd w:val="clear" w:color="auto" w:fill="ffffff"/>
        <w:widowControl/>
        <w:rPr>
          <w:szCs w:val="21"/>
        </w:rPr>
      </w:pPr>
      <w:r>
        <w:rPr>
          <w:rFonts w:hint="eastAsia"/>
          <w:szCs w:val="21"/>
        </w:rPr>
        <w:t xml:space="preserve">（3）投标人资格资信证明文件：</w:t>
      </w:r>
      <w:r/>
    </w:p>
    <w:p>
      <w:pPr>
        <w:numPr>
          <w:ilvl w:val="1"/>
          <w:numId w:val="3"/>
        </w:numPr>
        <w:ind w:left="0" w:firstLine="367"/>
        <w:spacing w:line="360" w:lineRule="auto"/>
        <w:tabs>
          <w:tab w:val="left" w:pos="840" w:leader="none"/>
        </w:tabs>
        <w:rPr>
          <w:bCs/>
          <w:szCs w:val="21"/>
        </w:rPr>
      </w:pPr>
      <w:r>
        <w:rPr>
          <w:rFonts w:hint="eastAsia"/>
          <w:bCs/>
          <w:szCs w:val="21"/>
        </w:rPr>
        <w:t xml:space="preserve">第一章招标公告中 2.1《中华人民共和国政府采购法》规定的资格条件证明文件；</w:t>
      </w:r>
      <w:r/>
    </w:p>
    <w:p>
      <w:pPr>
        <w:numPr>
          <w:ilvl w:val="1"/>
          <w:numId w:val="3"/>
        </w:numPr>
        <w:ind w:left="0" w:firstLine="367"/>
        <w:spacing w:line="360" w:lineRule="auto"/>
        <w:tabs>
          <w:tab w:val="left" w:pos="840" w:leader="none"/>
        </w:tabs>
        <w:rPr>
          <w:bCs/>
          <w:szCs w:val="21"/>
        </w:rPr>
      </w:pPr>
      <w:r>
        <w:rPr>
          <w:rFonts w:hint="eastAsia"/>
          <w:bCs/>
          <w:szCs w:val="21"/>
        </w:rPr>
        <w:t xml:space="preserve">第一章招标公告中 2.2</w:t>
      </w:r>
      <w:r>
        <w:rPr>
          <w:rFonts w:hint="eastAsia"/>
          <w:spacing w:val="8"/>
          <w:szCs w:val="21"/>
        </w:rPr>
        <w:t xml:space="preserve">落实政府采购政策需满足的资格要求；</w:t>
      </w:r>
      <w:r/>
    </w:p>
    <w:p>
      <w:pPr>
        <w:numPr>
          <w:ilvl w:val="1"/>
          <w:numId w:val="3"/>
        </w:numPr>
        <w:ind w:left="0" w:firstLine="367"/>
        <w:spacing w:line="360" w:lineRule="auto"/>
        <w:tabs>
          <w:tab w:val="left" w:pos="840" w:leader="none"/>
        </w:tabs>
        <w:rPr>
          <w:bCs/>
          <w:szCs w:val="21"/>
        </w:rPr>
      </w:pPr>
      <w:r>
        <w:rPr>
          <w:rFonts w:hint="eastAsia"/>
          <w:bCs/>
          <w:szCs w:val="21"/>
        </w:rPr>
        <w:t xml:space="preserve">第一章招标公告中 2.3 采购人根据采购项目的特殊要求规定的特定条件证明文件。</w:t>
      </w:r>
      <w:r/>
    </w:p>
    <w:p>
      <w:pPr>
        <w:ind w:firstLine="420"/>
        <w:jc w:val="left"/>
        <w:spacing w:line="360" w:lineRule="auto"/>
        <w:shd w:val="clear" w:color="auto" w:fill="ffffff"/>
        <w:widowControl/>
        <w:rPr>
          <w:szCs w:val="21"/>
        </w:rPr>
      </w:pPr>
      <w:r>
        <w:rPr>
          <w:rFonts w:hint="eastAsia"/>
          <w:szCs w:val="21"/>
        </w:rPr>
        <w:t xml:space="preserve">（4）开标一览表及附表</w:t>
      </w:r>
      <w:r>
        <w:rPr>
          <w:rFonts w:hint="eastAsia"/>
          <w:bCs/>
          <w:szCs w:val="21"/>
        </w:rPr>
        <w:t xml:space="preserve">（</w:t>
      </w:r>
      <w:r>
        <w:rPr>
          <w:rFonts w:hint="eastAsia"/>
          <w:b/>
          <w:bCs/>
          <w:szCs w:val="21"/>
        </w:rPr>
        <w:t xml:space="preserve">格式见第六章</w:t>
      </w:r>
      <w:r>
        <w:rPr>
          <w:rFonts w:hint="eastAsia"/>
          <w:bCs/>
          <w:szCs w:val="21"/>
        </w:rPr>
        <w:t xml:space="preserve">）；</w:t>
      </w:r>
      <w:r/>
    </w:p>
    <w:p>
      <w:pPr>
        <w:ind w:firstLine="420"/>
        <w:jc w:val="left"/>
        <w:spacing w:line="360" w:lineRule="auto"/>
        <w:shd w:val="clear" w:color="auto" w:fill="ffffff"/>
        <w:widowControl/>
        <w:rPr>
          <w:szCs w:val="21"/>
        </w:rPr>
      </w:pPr>
      <w:r>
        <w:rPr>
          <w:rFonts w:hint="eastAsia"/>
          <w:szCs w:val="21"/>
        </w:rPr>
        <w:t xml:space="preserve">（5）《商务条款偏离表》；</w:t>
      </w:r>
      <w:r/>
    </w:p>
    <w:p>
      <w:pPr>
        <w:ind w:firstLine="420"/>
        <w:jc w:val="left"/>
        <w:spacing w:line="360" w:lineRule="auto"/>
        <w:shd w:val="clear" w:color="auto" w:fill="ffffff"/>
        <w:widowControl/>
        <w:rPr>
          <w:szCs w:val="21"/>
        </w:rPr>
      </w:pPr>
      <w:r>
        <w:rPr>
          <w:rFonts w:hint="eastAsia"/>
          <w:szCs w:val="21"/>
        </w:rPr>
        <w:t xml:space="preserve">（6）第三章评标标准中对应的所需证明材料（如有自行添加）；</w:t>
      </w:r>
      <w:r/>
    </w:p>
    <w:p>
      <w:pPr>
        <w:ind w:firstLine="420"/>
        <w:jc w:val="left"/>
        <w:spacing w:line="360" w:lineRule="auto"/>
        <w:shd w:val="clear" w:color="auto" w:fill="ffffff"/>
        <w:widowControl/>
        <w:rPr>
          <w:szCs w:val="21"/>
        </w:rPr>
      </w:pPr>
      <w:r>
        <w:rPr>
          <w:rFonts w:hint="eastAsia"/>
          <w:szCs w:val="21"/>
        </w:rPr>
        <w:t xml:space="preserve">（7）要求采购人提供的配合（如有自拟并自行添加）；</w:t>
      </w:r>
      <w:r/>
    </w:p>
    <w:p>
      <w:pPr>
        <w:ind w:firstLine="420"/>
        <w:jc w:val="left"/>
        <w:spacing w:line="360" w:lineRule="auto"/>
        <w:shd w:val="clear" w:color="auto" w:fill="ffffff"/>
        <w:widowControl/>
        <w:rPr>
          <w:szCs w:val="21"/>
        </w:rPr>
      </w:pPr>
      <w:r>
        <w:rPr>
          <w:rFonts w:hint="eastAsia"/>
          <w:szCs w:val="21"/>
        </w:rPr>
        <w:t xml:space="preserve">（8）其他（投标人认为有必要提供的声明和文件，如有，自行拟定并添加）。</w:t>
      </w:r>
      <w:r/>
    </w:p>
    <w:p>
      <w:pPr>
        <w:ind w:firstLine="420"/>
        <w:jc w:val="left"/>
        <w:spacing w:line="360" w:lineRule="auto"/>
        <w:shd w:val="clear" w:color="auto" w:fill="ffffff"/>
        <w:widowControl/>
        <w:rPr>
          <w:szCs w:val="21"/>
        </w:rPr>
      </w:pPr>
      <w:r>
        <w:rPr>
          <w:rFonts w:hint="eastAsia"/>
          <w:b/>
          <w:bCs/>
          <w:szCs w:val="21"/>
        </w:rPr>
        <w:t xml:space="preserve">10、投标文件的技术内容</w:t>
      </w:r>
      <w:r/>
    </w:p>
    <w:p>
      <w:pPr>
        <w:ind w:firstLine="420"/>
        <w:jc w:val="left"/>
        <w:spacing w:line="360" w:lineRule="auto"/>
        <w:widowControl/>
        <w:rPr>
          <w:szCs w:val="21"/>
          <w:lang w:val="zh-CN"/>
        </w:rPr>
      </w:pPr>
      <w:r>
        <w:rPr>
          <w:rFonts w:hint="eastAsia"/>
          <w:szCs w:val="21"/>
          <w:lang w:val="zh-CN"/>
        </w:rPr>
        <w:t xml:space="preserve">技术部分</w:t>
      </w:r>
      <w:r>
        <w:rPr>
          <w:rFonts w:hint="eastAsia"/>
          <w:szCs w:val="21"/>
        </w:rPr>
        <w:t xml:space="preserve">内容</w:t>
      </w:r>
      <w:r>
        <w:rPr>
          <w:rFonts w:hint="eastAsia"/>
          <w:szCs w:val="21"/>
          <w:lang w:val="zh-CN"/>
        </w:rPr>
        <w:t xml:space="preserve">是证明</w:t>
      </w:r>
      <w:r>
        <w:rPr>
          <w:rFonts w:hint="eastAsia"/>
          <w:szCs w:val="21"/>
        </w:rPr>
        <w:t xml:space="preserve">投标人提供的货物和服务是合格的、并符合招标文件要求的证明文件，以及</w:t>
      </w:r>
      <w:r>
        <w:rPr>
          <w:rFonts w:hint="eastAsia"/>
          <w:szCs w:val="21"/>
          <w:lang w:val="zh-CN"/>
        </w:rPr>
        <w:t xml:space="preserve">对货物和服务的详细说明，这些文件可以是文字资料、图纸、数据</w:t>
      </w:r>
      <w:r>
        <w:rPr>
          <w:rFonts w:hint="eastAsia"/>
          <w:szCs w:val="21"/>
        </w:rPr>
        <w:t xml:space="preserve">或其他证明文件</w:t>
      </w:r>
      <w:r>
        <w:rPr>
          <w:rFonts w:hint="eastAsia"/>
          <w:szCs w:val="21"/>
          <w:lang w:val="zh-CN"/>
        </w:rPr>
        <w:t xml:space="preserve">等。提供的货物和服务如与招标文件要求有不符之处，应说明其差别之所在。包括但不限于下列文件：</w:t>
      </w:r>
      <w:r/>
    </w:p>
    <w:p>
      <w:pPr>
        <w:ind w:firstLine="420"/>
        <w:jc w:val="left"/>
        <w:spacing w:line="360" w:lineRule="auto"/>
        <w:widowControl/>
        <w:rPr>
          <w:szCs w:val="21"/>
          <w:lang w:val="zh-CN"/>
        </w:rPr>
      </w:pPr>
      <w:r>
        <w:rPr>
          <w:rFonts w:hint="eastAsia"/>
          <w:szCs w:val="21"/>
          <w:lang w:val="zh-CN"/>
        </w:rPr>
        <w:t xml:space="preserve">（1）技术说明或服务方案；</w:t>
      </w:r>
      <w:r/>
    </w:p>
    <w:p>
      <w:pPr>
        <w:ind w:firstLine="420"/>
        <w:jc w:val="left"/>
        <w:spacing w:line="360" w:lineRule="auto"/>
        <w:widowControl/>
        <w:rPr>
          <w:szCs w:val="21"/>
          <w:lang w:val="zh-CN"/>
        </w:rPr>
      </w:pPr>
      <w:r>
        <w:rPr>
          <w:rFonts w:hint="eastAsia"/>
          <w:szCs w:val="21"/>
          <w:lang w:val="zh-CN"/>
        </w:rPr>
        <w:t xml:space="preserve">（2）《采购需求偏离表》；</w:t>
      </w:r>
      <w:r/>
    </w:p>
    <w:p>
      <w:pPr>
        <w:ind w:firstLine="420"/>
        <w:jc w:val="left"/>
        <w:spacing w:line="360" w:lineRule="auto"/>
        <w:widowControl/>
        <w:rPr>
          <w:szCs w:val="21"/>
          <w:lang w:val="zh-CN"/>
        </w:rPr>
      </w:pPr>
      <w:r>
        <w:rPr>
          <w:rFonts w:hint="eastAsia"/>
          <w:szCs w:val="21"/>
          <w:lang w:val="zh-CN"/>
        </w:rPr>
        <w:t xml:space="preserve">（3）服务承诺；</w:t>
      </w:r>
      <w:r/>
    </w:p>
    <w:p>
      <w:pPr>
        <w:ind w:firstLine="420"/>
        <w:jc w:val="left"/>
        <w:spacing w:line="360" w:lineRule="auto"/>
        <w:widowControl/>
        <w:rPr>
          <w:szCs w:val="21"/>
          <w:lang w:val="zh-CN"/>
        </w:rPr>
      </w:pPr>
      <w:r>
        <w:rPr>
          <w:rFonts w:hint="eastAsia"/>
          <w:szCs w:val="21"/>
          <w:lang w:val="zh-CN"/>
        </w:rPr>
        <w:t xml:space="preserve">（4）投标人拟投入本项目的设备、人员情况一览表；</w:t>
      </w:r>
      <w:r/>
    </w:p>
    <w:p>
      <w:pPr>
        <w:ind w:firstLine="420"/>
        <w:jc w:val="left"/>
        <w:spacing w:line="360" w:lineRule="auto"/>
        <w:widowControl/>
        <w:rPr>
          <w:szCs w:val="21"/>
          <w:lang w:val="zh-CN"/>
        </w:rPr>
      </w:pPr>
      <w:r>
        <w:rPr>
          <w:rFonts w:hint="eastAsia"/>
          <w:szCs w:val="21"/>
          <w:lang w:val="zh-CN"/>
        </w:rPr>
        <w:t xml:space="preserve">（5）投标人认为需要提供的其他技术资料。</w:t>
      </w:r>
      <w:r/>
    </w:p>
    <w:p>
      <w:pPr>
        <w:ind w:firstLine="420"/>
        <w:spacing w:line="360" w:lineRule="auto"/>
        <w:shd w:val="clear" w:color="auto" w:fill="ffffff"/>
        <w:widowControl/>
        <w:rPr>
          <w:szCs w:val="21"/>
        </w:rPr>
      </w:pPr>
      <w:r>
        <w:rPr>
          <w:rFonts w:hint="eastAsia"/>
          <w:b/>
          <w:bCs/>
          <w:szCs w:val="21"/>
        </w:rPr>
        <w:t xml:space="preserve">11、投标文件的价格内容</w:t>
      </w:r>
      <w:r/>
    </w:p>
    <w:p>
      <w:pPr>
        <w:ind w:firstLine="420"/>
        <w:jc w:val="left"/>
        <w:spacing w:line="360" w:lineRule="auto"/>
        <w:shd w:val="clear" w:color="auto" w:fill="ffffff"/>
        <w:widowControl/>
        <w:rPr>
          <w:szCs w:val="21"/>
        </w:rPr>
      </w:pPr>
      <w:r>
        <w:rPr>
          <w:rFonts w:hint="eastAsia"/>
          <w:szCs w:val="21"/>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szCs w:val="21"/>
        </w:rPr>
      </w:pPr>
      <w:r>
        <w:rPr>
          <w:rFonts w:hint="eastAsia"/>
          <w:szCs w:val="21"/>
        </w:rPr>
        <w:t xml:space="preserve">11.2报价应包含为履行本项目合同项下所有义务的全部含税费用（包括但不限于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eastAsia"/>
          <w:szCs w:val="21"/>
          <w:lang w:val="zh-CN"/>
        </w:rPr>
        <w:t xml:space="preserve">，</w:t>
      </w:r>
      <w:r>
        <w:rPr>
          <w:rFonts w:hint="eastAsia"/>
          <w:bCs/>
          <w:szCs w:val="21"/>
        </w:rPr>
        <w:t xml:space="preserve">以</w:t>
      </w:r>
      <w:r>
        <w:rPr>
          <w:rFonts w:hint="eastAsia"/>
          <w:szCs w:val="21"/>
        </w:rPr>
        <w:t xml:space="preserve">及投标人认为需要的其他费用等</w:t>
      </w:r>
      <w:r>
        <w:rPr>
          <w:rFonts w:hint="eastAsia"/>
          <w:b/>
          <w:szCs w:val="21"/>
        </w:rPr>
        <w:t xml:space="preserve">。</w:t>
      </w:r>
      <w:r/>
    </w:p>
    <w:p>
      <w:pPr>
        <w:ind w:firstLine="420"/>
        <w:spacing w:line="360" w:lineRule="auto"/>
        <w:shd w:val="clear" w:color="auto" w:fill="ffffff"/>
        <w:widowControl/>
        <w:rPr>
          <w:szCs w:val="21"/>
        </w:rPr>
      </w:pPr>
      <w:r>
        <w:rPr>
          <w:rFonts w:hint="eastAsia"/>
          <w:szCs w:val="21"/>
        </w:rPr>
        <w:t xml:space="preserve">11.3投标人的任何错漏、优惠、竞争性报价不得作为减轻责任、减少服务、增加收费、降低质量的理由。</w:t>
      </w:r>
      <w:r/>
    </w:p>
    <w:p>
      <w:pPr>
        <w:ind w:firstLine="420"/>
        <w:spacing w:line="360" w:lineRule="auto"/>
        <w:shd w:val="clear" w:color="auto" w:fill="ffffff"/>
        <w:widowControl/>
        <w:rPr>
          <w:szCs w:val="21"/>
        </w:rPr>
      </w:pPr>
      <w:r>
        <w:rPr>
          <w:rFonts w:hint="eastAsia"/>
          <w:szCs w:val="21"/>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b/>
          <w:bCs/>
          <w:szCs w:val="21"/>
        </w:rPr>
        <w:t xml:space="preserve">无效投标处理</w:t>
      </w:r>
      <w:r>
        <w:rPr>
          <w:rFonts w:hint="eastAsia"/>
          <w:szCs w:val="21"/>
        </w:rPr>
        <w:t xml:space="preserve">。</w:t>
      </w:r>
      <w:r/>
    </w:p>
    <w:p>
      <w:pPr>
        <w:ind w:firstLine="420"/>
        <w:spacing w:line="360" w:lineRule="auto"/>
        <w:shd w:val="clear" w:color="auto" w:fill="ffffff"/>
        <w:widowControl/>
        <w:rPr>
          <w:szCs w:val="21"/>
        </w:rPr>
      </w:pPr>
      <w:r>
        <w:rPr>
          <w:rFonts w:hint="eastAsia"/>
          <w:szCs w:val="21"/>
        </w:rPr>
        <w:t xml:space="preserve">11.5 投标人应在《开标一览表》《分项报价表》等标明投标货物和服务的单价、总价以及分项报价等。</w:t>
      </w:r>
      <w:r/>
    </w:p>
    <w:p>
      <w:pPr>
        <w:ind w:firstLine="420"/>
        <w:spacing w:line="360" w:lineRule="auto"/>
        <w:shd w:val="clear" w:color="auto" w:fill="ffffff"/>
        <w:widowControl/>
        <w:rPr>
          <w:b/>
          <w:bCs/>
          <w:szCs w:val="21"/>
        </w:rPr>
      </w:pPr>
      <w:r>
        <w:rPr>
          <w:rFonts w:hint="eastAsia"/>
          <w:szCs w:val="21"/>
        </w:rPr>
        <w:t xml:space="preserve">11.6 对于采用货币报价的项目，开标一览表中的投标总报价应与投标报价明细表中的投标总报价一致，如不一致不作为无效投标处理，评标时以开标一览表中价格为准。</w:t>
      </w:r>
      <w:r/>
    </w:p>
    <w:p>
      <w:pPr>
        <w:ind w:firstLine="420"/>
        <w:spacing w:line="360" w:lineRule="auto"/>
        <w:widowControl/>
        <w:rPr>
          <w:szCs w:val="21"/>
        </w:rPr>
      </w:pPr>
      <w:r>
        <w:rPr>
          <w:rFonts w:hint="eastAsia"/>
          <w:b/>
          <w:bCs/>
          <w:szCs w:val="21"/>
        </w:rPr>
        <w:t xml:space="preserve">11.7本项目预算为：详见第一章</w:t>
      </w:r>
      <w:r>
        <w:rPr>
          <w:rFonts w:hint="eastAsia"/>
          <w:bCs/>
          <w:szCs w:val="21"/>
        </w:rPr>
        <w:t xml:space="preserve">。</w:t>
      </w:r>
      <w:r/>
    </w:p>
    <w:p>
      <w:pPr>
        <w:ind w:firstLine="420"/>
        <w:spacing w:line="360" w:lineRule="auto"/>
        <w:shd w:val="clear" w:color="auto" w:fill="ffffff"/>
        <w:widowControl/>
        <w:rPr>
          <w:szCs w:val="21"/>
        </w:rPr>
      </w:pPr>
      <w:r>
        <w:rPr>
          <w:rFonts w:hint="eastAsia"/>
          <w:b/>
          <w:bCs/>
          <w:szCs w:val="21"/>
        </w:rPr>
        <w:t xml:space="preserve">12、投标文件的其他部分</w:t>
      </w:r>
      <w:r/>
    </w:p>
    <w:p>
      <w:pPr>
        <w:ind w:firstLine="420"/>
        <w:spacing w:line="360" w:lineRule="auto"/>
        <w:shd w:val="clear" w:color="auto" w:fill="ffffff"/>
        <w:widowControl/>
        <w:rPr>
          <w:szCs w:val="21"/>
        </w:rPr>
      </w:pPr>
      <w:r>
        <w:rPr>
          <w:rFonts w:hint="eastAsia"/>
          <w:szCs w:val="21"/>
        </w:rPr>
        <w:t xml:space="preserve">12.1 其他部分由投标人根据编制投标文件需要提供的其他相关文件组成。</w:t>
      </w:r>
      <w:r/>
    </w:p>
    <w:p>
      <w:pPr>
        <w:ind w:firstLine="420"/>
        <w:spacing w:line="360" w:lineRule="auto"/>
        <w:rPr>
          <w:szCs w:val="21"/>
        </w:rPr>
      </w:pPr>
      <w:r>
        <w:rPr>
          <w:szCs w:val="21"/>
        </w:rPr>
        <w:t xml:space="preserve">12.2</w:t>
      </w:r>
      <w:r>
        <w:rPr>
          <w:rFonts w:hint="eastAsia"/>
          <w:szCs w:val="21"/>
          <w:lang w:val="zh-CN"/>
        </w:rPr>
        <w:t xml:space="preserve">如标书制作工具中格式和内容与“江苏政府采购网”发布的采购文件不一致，以</w:t>
      </w:r>
      <w:r>
        <w:rPr>
          <w:rFonts w:hint="eastAsia"/>
          <w:szCs w:val="21"/>
        </w:rPr>
        <w:t xml:space="preserve">上述网站</w:t>
      </w:r>
      <w:r>
        <w:rPr>
          <w:rFonts w:hint="eastAsia"/>
          <w:szCs w:val="21"/>
          <w:lang w:val="zh-CN"/>
        </w:rPr>
        <w:t xml:space="preserve">发布的采购文件为准。</w:t>
      </w:r>
      <w:r/>
    </w:p>
    <w:p>
      <w:pPr>
        <w:ind w:firstLine="420"/>
        <w:spacing w:line="360" w:lineRule="auto"/>
        <w:shd w:val="clear" w:color="auto" w:fill="ffffff"/>
        <w:widowControl/>
        <w:rPr>
          <w:b/>
          <w:bCs/>
          <w:szCs w:val="21"/>
        </w:rPr>
      </w:pPr>
      <w:r>
        <w:rPr>
          <w:rFonts w:hint="eastAsia"/>
          <w:b/>
          <w:bCs/>
          <w:szCs w:val="21"/>
        </w:rPr>
        <w:t xml:space="preserve">13、投标保证金（本项目无需缴纳投标保证金）</w:t>
      </w:r>
      <w:r/>
    </w:p>
    <w:p>
      <w:pPr>
        <w:ind w:firstLine="420"/>
        <w:spacing w:line="360" w:lineRule="auto"/>
        <w:shd w:val="clear" w:color="auto" w:fill="ffffff"/>
        <w:widowControl/>
        <w:rPr>
          <w:b/>
          <w:bCs/>
          <w:szCs w:val="21"/>
        </w:rPr>
      </w:pPr>
      <w:r>
        <w:rPr>
          <w:rFonts w:hint="eastAsia"/>
          <w:b/>
          <w:bCs/>
          <w:szCs w:val="21"/>
        </w:rPr>
        <w:t xml:space="preserve">14、投标有效期</w:t>
      </w:r>
      <w:r/>
    </w:p>
    <w:p>
      <w:pPr>
        <w:ind w:firstLine="420"/>
        <w:spacing w:line="360" w:lineRule="auto"/>
        <w:shd w:val="clear" w:color="auto" w:fill="ffffff"/>
        <w:widowControl/>
        <w:rPr>
          <w:szCs w:val="21"/>
        </w:rPr>
      </w:pPr>
      <w:r>
        <w:rPr>
          <w:rFonts w:hint="eastAsia"/>
          <w:szCs w:val="21"/>
        </w:rPr>
        <w:t xml:space="preserve">14.1 自开标之日起</w:t>
      </w:r>
      <w:r>
        <w:rPr>
          <w:b/>
          <w:szCs w:val="21"/>
        </w:rPr>
        <w:t xml:space="preserve">90</w:t>
      </w:r>
      <w:r>
        <w:rPr>
          <w:rFonts w:hint="eastAsia"/>
          <w:szCs w:val="21"/>
        </w:rPr>
        <w:t xml:space="preserve">天内投标有效</w:t>
      </w:r>
      <w:r>
        <w:rPr>
          <w:rFonts w:hint="eastAsia"/>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szCs w:val="21"/>
        </w:rPr>
      </w:pPr>
      <w:r>
        <w:rPr>
          <w:rFonts w:hint="eastAsia"/>
          <w:szCs w:val="21"/>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szCs w:val="21"/>
        </w:rPr>
      </w:pPr>
      <w:r>
        <w:rPr>
          <w:rFonts w:hint="eastAsia"/>
          <w:b/>
          <w:bCs/>
          <w:szCs w:val="21"/>
        </w:rPr>
        <w:t xml:space="preserve">15、投标文件签署</w:t>
      </w:r>
      <w:r/>
    </w:p>
    <w:p>
      <w:pPr>
        <w:ind w:firstLine="420"/>
        <w:spacing w:line="360" w:lineRule="auto"/>
        <w:shd w:val="clear" w:color="auto" w:fill="ffffff"/>
        <w:widowControl/>
        <w:rPr>
          <w:szCs w:val="21"/>
        </w:rPr>
      </w:pPr>
      <w:r>
        <w:rPr>
          <w:rFonts w:hint="eastAsia"/>
          <w:szCs w:val="21"/>
        </w:rPr>
        <w:t xml:space="preserve">15.1 投标文件应按照招标文件要求加盖电子公章，否则视为无效投标。</w:t>
      </w:r>
      <w:r/>
    </w:p>
    <w:p>
      <w:pPr>
        <w:ind w:firstLine="420"/>
        <w:spacing w:line="360" w:lineRule="auto"/>
        <w:shd w:val="clear" w:color="auto" w:fill="ffffff"/>
        <w:widowControl/>
        <w:rPr>
          <w:szCs w:val="21"/>
        </w:rPr>
      </w:pPr>
      <w:r>
        <w:rPr>
          <w:rFonts w:hint="eastAsia"/>
          <w:b/>
          <w:bCs/>
          <w:szCs w:val="21"/>
        </w:rPr>
        <w:t xml:space="preserve">16、投标费用</w:t>
      </w:r>
      <w:r/>
    </w:p>
    <w:p>
      <w:pPr>
        <w:ind w:firstLine="420"/>
        <w:spacing w:line="360" w:lineRule="auto"/>
        <w:shd w:val="clear" w:color="auto" w:fill="ffffff"/>
        <w:widowControl/>
        <w:rPr>
          <w:szCs w:val="21"/>
        </w:rPr>
      </w:pPr>
      <w:r>
        <w:rPr>
          <w:rFonts w:hint="eastAsia"/>
          <w:szCs w:val="21"/>
        </w:rPr>
        <w:t xml:space="preserve">16.1 投标人应承担所有与准备和参加投标有关的费用，无论招标结果如何，采购代理机构和采购人在任何情况下均无义务和责任承担这些费用。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b/>
          <w:szCs w:val="21"/>
        </w:rPr>
      </w:pPr>
      <w:r>
        <w:rPr>
          <w:rFonts w:hint="eastAsia"/>
          <w:b/>
          <w:szCs w:val="21"/>
        </w:rPr>
        <w:t xml:space="preserve">16.2 招标代理服务费：本次招标，招标代理服务费以中标金额为基准，依据下表标准按差额定率累进法计算：</w:t>
      </w:r>
      <w:r/>
    </w:p>
    <w:tbl>
      <w:tblPr>
        <w:tblStyle w:val="83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60"/>
        <w:gridCol w:w="3260"/>
        <w:gridCol w:w="3934"/>
      </w:tblGrid>
      <w:tr>
        <w:trPr>
          <w:trHeight w:val="397"/>
        </w:trPr>
        <w:tc>
          <w:tcPr>
            <w:tcW w:w="2660" w:type="dxa"/>
            <w:vAlign w:val="center"/>
            <w:textDirection w:val="lrTb"/>
            <w:noWrap w:val="false"/>
          </w:tcPr>
          <w:p>
            <w:pPr>
              <w:jc w:val="center"/>
              <w:widowControl/>
              <w:rPr>
                <w:b/>
                <w:szCs w:val="21"/>
              </w:rPr>
            </w:pPr>
            <w:r>
              <w:rPr>
                <w:rFonts w:hint="eastAsia"/>
                <w:b/>
                <w:szCs w:val="21"/>
              </w:rPr>
              <w:t xml:space="preserve">中标金额（万元）</w:t>
            </w:r>
            <w:r/>
          </w:p>
        </w:tc>
        <w:tc>
          <w:tcPr>
            <w:tcW w:w="3260" w:type="dxa"/>
            <w:vAlign w:val="center"/>
            <w:textDirection w:val="lrTb"/>
            <w:noWrap w:val="false"/>
          </w:tcPr>
          <w:p>
            <w:pPr>
              <w:jc w:val="center"/>
              <w:widowControl/>
              <w:rPr>
                <w:b/>
                <w:szCs w:val="21"/>
              </w:rPr>
            </w:pPr>
            <w:r>
              <w:rPr>
                <w:rFonts w:hint="eastAsia"/>
                <w:b/>
                <w:szCs w:val="21"/>
              </w:rPr>
              <w:t xml:space="preserve">货物类（%）</w:t>
            </w:r>
            <w:r/>
          </w:p>
        </w:tc>
        <w:tc>
          <w:tcPr>
            <w:tcW w:w="3934" w:type="dxa"/>
            <w:vAlign w:val="center"/>
            <w:textDirection w:val="lrTb"/>
            <w:noWrap w:val="false"/>
          </w:tcPr>
          <w:p>
            <w:pPr>
              <w:jc w:val="center"/>
              <w:widowControl/>
              <w:rPr>
                <w:b/>
                <w:szCs w:val="21"/>
              </w:rPr>
            </w:pPr>
            <w:r>
              <w:rPr>
                <w:rFonts w:hint="eastAsia"/>
                <w:b/>
                <w:szCs w:val="21"/>
              </w:rPr>
              <w:t xml:space="preserve">单项保底价</w:t>
            </w:r>
            <w:r/>
          </w:p>
        </w:tc>
      </w:tr>
      <w:tr>
        <w:trPr>
          <w:trHeight w:val="397"/>
        </w:trPr>
        <w:tc>
          <w:tcPr>
            <w:tcW w:w="2660" w:type="dxa"/>
            <w:vAlign w:val="center"/>
            <w:textDirection w:val="lrTb"/>
            <w:noWrap w:val="false"/>
          </w:tcPr>
          <w:p>
            <w:pPr>
              <w:jc w:val="center"/>
              <w:widowControl/>
              <w:rPr>
                <w:b/>
                <w:szCs w:val="21"/>
              </w:rPr>
            </w:pPr>
            <w:r>
              <w:rPr>
                <w:rFonts w:hint="eastAsia"/>
                <w:b/>
                <w:szCs w:val="21"/>
              </w:rPr>
              <w:t xml:space="preserve">100以下</w:t>
            </w:r>
            <w:r/>
          </w:p>
        </w:tc>
        <w:tc>
          <w:tcPr>
            <w:tcW w:w="3260" w:type="dxa"/>
            <w:vAlign w:val="center"/>
            <w:textDirection w:val="lrTb"/>
            <w:noWrap w:val="false"/>
          </w:tcPr>
          <w:p>
            <w:pPr>
              <w:jc w:val="center"/>
              <w:widowControl/>
              <w:rPr>
                <w:b/>
                <w:szCs w:val="21"/>
              </w:rPr>
            </w:pPr>
            <w:r>
              <w:rPr>
                <w:b/>
                <w:szCs w:val="21"/>
              </w:rPr>
              <w:t xml:space="preserve">1.125</w:t>
            </w:r>
            <w:r/>
          </w:p>
        </w:tc>
        <w:tc>
          <w:tcPr>
            <w:tcW w:w="3934" w:type="dxa"/>
            <w:vAlign w:val="center"/>
            <w:vMerge w:val="restart"/>
            <w:textDirection w:val="lrTb"/>
            <w:noWrap w:val="false"/>
          </w:tcPr>
          <w:p>
            <w:pPr>
              <w:jc w:val="center"/>
              <w:widowControl/>
              <w:rPr>
                <w:b/>
                <w:szCs w:val="21"/>
              </w:rPr>
            </w:pPr>
            <w:r>
              <w:rPr>
                <w:rFonts w:hint="eastAsia"/>
                <w:b/>
                <w:szCs w:val="21"/>
              </w:rPr>
              <w:t xml:space="preserve">单项委托的中标服务费保底价：5000元</w:t>
            </w:r>
            <w:r/>
          </w:p>
        </w:tc>
      </w:tr>
      <w:tr>
        <w:trPr>
          <w:trHeight w:val="397"/>
        </w:trPr>
        <w:tc>
          <w:tcPr>
            <w:tcW w:w="2660" w:type="dxa"/>
            <w:vAlign w:val="center"/>
            <w:textDirection w:val="lrTb"/>
            <w:noWrap w:val="false"/>
          </w:tcPr>
          <w:p>
            <w:pPr>
              <w:jc w:val="center"/>
              <w:widowControl/>
              <w:rPr>
                <w:b/>
                <w:szCs w:val="21"/>
              </w:rPr>
            </w:pPr>
            <w:r>
              <w:rPr>
                <w:b/>
                <w:szCs w:val="21"/>
              </w:rPr>
              <w:t xml:space="preserve">100-500</w:t>
            </w:r>
            <w:r/>
          </w:p>
        </w:tc>
        <w:tc>
          <w:tcPr>
            <w:tcW w:w="3260" w:type="dxa"/>
            <w:vAlign w:val="center"/>
            <w:textDirection w:val="lrTb"/>
            <w:noWrap w:val="false"/>
          </w:tcPr>
          <w:p>
            <w:pPr>
              <w:jc w:val="center"/>
              <w:widowControl/>
              <w:rPr>
                <w:b/>
                <w:szCs w:val="21"/>
              </w:rPr>
            </w:pPr>
            <w:r>
              <w:rPr>
                <w:b/>
                <w:szCs w:val="21"/>
              </w:rPr>
              <w:t xml:space="preserve">0.825</w:t>
            </w:r>
            <w:r/>
          </w:p>
        </w:tc>
        <w:tc>
          <w:tcPr>
            <w:tcW w:w="3934" w:type="dxa"/>
            <w:vAlign w:val="center"/>
            <w:vMerge w:val="continue"/>
            <w:textDirection w:val="lrTb"/>
            <w:noWrap w:val="false"/>
          </w:tcPr>
          <w:p>
            <w:pPr>
              <w:jc w:val="center"/>
              <w:spacing w:line="360" w:lineRule="auto"/>
              <w:widowControl/>
              <w:rPr>
                <w:b/>
                <w:szCs w:val="21"/>
              </w:rPr>
            </w:pPr>
            <w:r>
              <w:rPr>
                <w:b/>
                <w:szCs w:val="21"/>
              </w:rPr>
            </w:r>
            <w:r/>
          </w:p>
        </w:tc>
      </w:tr>
      <w:tr>
        <w:trPr>
          <w:trHeight w:val="397"/>
        </w:trPr>
        <w:tc>
          <w:tcPr>
            <w:tcW w:w="2660" w:type="dxa"/>
            <w:vAlign w:val="center"/>
            <w:textDirection w:val="lrTb"/>
            <w:noWrap w:val="false"/>
          </w:tcPr>
          <w:p>
            <w:pPr>
              <w:jc w:val="center"/>
              <w:widowControl/>
              <w:rPr>
                <w:b/>
                <w:szCs w:val="21"/>
              </w:rPr>
            </w:pPr>
            <w:r>
              <w:rPr>
                <w:b/>
                <w:szCs w:val="21"/>
              </w:rPr>
              <w:t xml:space="preserve">500-1000</w:t>
            </w:r>
            <w:r/>
          </w:p>
        </w:tc>
        <w:tc>
          <w:tcPr>
            <w:tcW w:w="3260" w:type="dxa"/>
            <w:vAlign w:val="center"/>
            <w:textDirection w:val="lrTb"/>
            <w:noWrap w:val="false"/>
          </w:tcPr>
          <w:p>
            <w:pPr>
              <w:jc w:val="center"/>
              <w:widowControl/>
              <w:rPr>
                <w:b/>
                <w:szCs w:val="21"/>
              </w:rPr>
            </w:pPr>
            <w:r>
              <w:rPr>
                <w:b/>
                <w:szCs w:val="21"/>
              </w:rPr>
              <w:t xml:space="preserve">0.6</w:t>
            </w:r>
            <w:r/>
          </w:p>
        </w:tc>
        <w:tc>
          <w:tcPr>
            <w:tcW w:w="3934" w:type="dxa"/>
            <w:vAlign w:val="center"/>
            <w:vMerge w:val="continue"/>
            <w:textDirection w:val="lrTb"/>
            <w:noWrap w:val="false"/>
          </w:tcPr>
          <w:p>
            <w:pPr>
              <w:jc w:val="center"/>
              <w:spacing w:line="360" w:lineRule="auto"/>
              <w:widowControl/>
              <w:rPr>
                <w:b/>
                <w:szCs w:val="21"/>
              </w:rPr>
            </w:pPr>
            <w:r>
              <w:rPr>
                <w:b/>
                <w:szCs w:val="21"/>
              </w:rPr>
            </w:r>
            <w:r/>
          </w:p>
        </w:tc>
      </w:tr>
      <w:tr>
        <w:trPr>
          <w:trHeight w:val="397"/>
        </w:trPr>
        <w:tc>
          <w:tcPr>
            <w:tcW w:w="2660" w:type="dxa"/>
            <w:vAlign w:val="center"/>
            <w:textDirection w:val="lrTb"/>
            <w:noWrap w:val="false"/>
          </w:tcPr>
          <w:p>
            <w:pPr>
              <w:jc w:val="center"/>
              <w:widowControl/>
              <w:rPr>
                <w:b/>
                <w:szCs w:val="21"/>
              </w:rPr>
            </w:pPr>
            <w:r>
              <w:rPr>
                <w:rFonts w:hint="eastAsia"/>
                <w:b/>
                <w:szCs w:val="21"/>
              </w:rPr>
              <w:t xml:space="preserve">1000以上</w:t>
            </w:r>
            <w:r/>
          </w:p>
        </w:tc>
        <w:tc>
          <w:tcPr>
            <w:tcW w:w="3260" w:type="dxa"/>
            <w:vAlign w:val="center"/>
            <w:textDirection w:val="lrTb"/>
            <w:noWrap w:val="false"/>
          </w:tcPr>
          <w:p>
            <w:pPr>
              <w:jc w:val="center"/>
              <w:widowControl/>
              <w:rPr>
                <w:b/>
                <w:szCs w:val="21"/>
              </w:rPr>
            </w:pPr>
            <w:r>
              <w:rPr>
                <w:b/>
                <w:szCs w:val="21"/>
              </w:rPr>
              <w:t xml:space="preserve">0.375</w:t>
            </w:r>
            <w:r/>
          </w:p>
        </w:tc>
        <w:tc>
          <w:tcPr>
            <w:tcW w:w="3934" w:type="dxa"/>
            <w:vAlign w:val="center"/>
            <w:vMerge w:val="continue"/>
            <w:textDirection w:val="lrTb"/>
            <w:noWrap w:val="false"/>
          </w:tcPr>
          <w:p>
            <w:pPr>
              <w:jc w:val="center"/>
              <w:spacing w:line="360" w:lineRule="auto"/>
              <w:widowControl/>
              <w:rPr>
                <w:b/>
                <w:szCs w:val="21"/>
              </w:rPr>
            </w:pPr>
            <w:r>
              <w:rPr>
                <w:b/>
                <w:szCs w:val="21"/>
              </w:rPr>
            </w:r>
            <w:r/>
          </w:p>
        </w:tc>
      </w:tr>
    </w:tbl>
    <w:p>
      <w:pPr>
        <w:ind w:firstLine="420"/>
        <w:spacing w:line="360" w:lineRule="auto"/>
        <w:shd w:val="clear" w:color="auto" w:fill="ffffff"/>
        <w:widowControl/>
        <w:rPr>
          <w:b/>
          <w:szCs w:val="21"/>
        </w:rPr>
      </w:pPr>
      <w:r>
        <w:rPr>
          <w:rFonts w:hint="eastAsia"/>
          <w:b/>
          <w:szCs w:val="21"/>
        </w:rPr>
        <w:t xml:space="preserve">中标人应在领取中标通知书前向采购代理机构支付招标服务费。本项费用无需在投标报价表中列。</w:t>
      </w:r>
      <w:r/>
    </w:p>
    <w:p>
      <w:pPr>
        <w:ind w:firstLine="420"/>
        <w:spacing w:line="360" w:lineRule="auto"/>
        <w:shd w:val="clear" w:color="auto" w:fill="ffffff"/>
        <w:widowControl/>
        <w:rPr>
          <w:szCs w:val="21"/>
        </w:rPr>
      </w:pPr>
      <w:r>
        <w:rPr>
          <w:rFonts w:hint="eastAsia"/>
          <w:b/>
          <w:bCs/>
          <w:szCs w:val="21"/>
        </w:rPr>
        <w:t xml:space="preserve">四、投标文件的递交</w:t>
      </w:r>
      <w:r/>
    </w:p>
    <w:p>
      <w:pPr>
        <w:ind w:firstLine="420"/>
        <w:spacing w:line="360" w:lineRule="auto"/>
        <w:shd w:val="clear" w:color="auto" w:fill="ffffff"/>
        <w:widowControl/>
        <w:rPr>
          <w:b/>
          <w:bCs/>
          <w:szCs w:val="21"/>
        </w:rPr>
      </w:pPr>
      <w:r>
        <w:rPr>
          <w:rFonts w:hint="eastAsia"/>
          <w:b/>
          <w:bCs/>
          <w:szCs w:val="21"/>
        </w:rPr>
        <w:t xml:space="preserve">17、投标文件的递交</w:t>
      </w:r>
      <w:r/>
    </w:p>
    <w:p>
      <w:pPr>
        <w:ind w:firstLine="420"/>
        <w:spacing w:line="360" w:lineRule="auto"/>
        <w:shd w:val="clear" w:color="auto" w:fill="ffffff"/>
        <w:widowControl/>
        <w:rPr>
          <w:szCs w:val="21"/>
        </w:rPr>
      </w:pPr>
      <w:r>
        <w:rPr>
          <w:rFonts w:hint="eastAsia"/>
          <w:szCs w:val="21"/>
        </w:rPr>
        <w:t xml:space="preserve">17.1 投标人应当按照《苏采云系统供应商操作手册》规定，在招标公告规定的投标截止时间前制作并上传电子投标文件。招标代理机构拒绝接收提交投标文件截止时间后上传的任何电子投标文件。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b/>
          <w:bCs/>
          <w:szCs w:val="21"/>
        </w:rPr>
      </w:pPr>
      <w:r>
        <w:rPr>
          <w:rFonts w:hint="eastAsia"/>
          <w:b/>
          <w:bCs/>
          <w:szCs w:val="21"/>
        </w:rPr>
        <w:t xml:space="preserve">18、投标文件的解密</w:t>
      </w:r>
      <w:r/>
    </w:p>
    <w:p>
      <w:pPr>
        <w:ind w:firstLine="420"/>
        <w:spacing w:line="360" w:lineRule="auto"/>
        <w:shd w:val="clear" w:color="auto" w:fill="ffffff"/>
        <w:widowControl/>
        <w:rPr>
          <w:szCs w:val="21"/>
        </w:rPr>
      </w:pPr>
      <w:r>
        <w:rPr>
          <w:rFonts w:hint="eastAsia"/>
          <w:szCs w:val="21"/>
        </w:rPr>
        <w:t xml:space="preserve">18.1 投标人应当按照《苏采云系统供应商操作手册》规定，在“苏采云”系统规定的时间内对投标文件进行解密。</w:t>
      </w:r>
      <w:r/>
    </w:p>
    <w:p>
      <w:pPr>
        <w:ind w:firstLine="420"/>
        <w:spacing w:line="360" w:lineRule="auto"/>
        <w:shd w:val="clear" w:color="auto" w:fill="ffffff"/>
        <w:widowControl/>
        <w:rPr>
          <w:szCs w:val="21"/>
        </w:rPr>
      </w:pPr>
      <w:r>
        <w:rPr>
          <w:rFonts w:hint="eastAsia"/>
          <w:szCs w:val="21"/>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szCs w:val="21"/>
        </w:rPr>
      </w:pPr>
      <w:r>
        <w:rPr>
          <w:rFonts w:hint="eastAsia"/>
          <w:b/>
          <w:bCs/>
          <w:szCs w:val="21"/>
        </w:rPr>
        <w:t xml:space="preserve">19、投标文件的修改和撤回</w:t>
      </w:r>
      <w:r/>
    </w:p>
    <w:p>
      <w:pPr>
        <w:ind w:firstLine="420"/>
        <w:spacing w:line="360" w:lineRule="auto"/>
        <w:shd w:val="clear" w:color="auto" w:fill="ffffff"/>
        <w:widowControl/>
        <w:rPr>
          <w:szCs w:val="21"/>
        </w:rPr>
      </w:pPr>
      <w:r>
        <w:rPr>
          <w:rFonts w:hint="eastAsia"/>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szCs w:val="21"/>
        </w:rPr>
      </w:pPr>
      <w:r>
        <w:rPr>
          <w:rFonts w:hint="eastAsia"/>
          <w:szCs w:val="21"/>
        </w:rPr>
        <w:t xml:space="preserve">19.2 投标截止时间之后，投标文件不得撤回；如撤回，投标保证金不予退还。</w:t>
      </w:r>
      <w:r/>
    </w:p>
    <w:p>
      <w:pPr>
        <w:ind w:firstLine="420"/>
        <w:spacing w:line="360" w:lineRule="auto"/>
        <w:shd w:val="clear" w:color="auto" w:fill="ffffff"/>
        <w:widowControl/>
        <w:rPr>
          <w:szCs w:val="21"/>
        </w:rPr>
      </w:pPr>
      <w:r>
        <w:rPr>
          <w:rFonts w:hint="eastAsia"/>
          <w:b/>
          <w:bCs/>
          <w:szCs w:val="21"/>
        </w:rPr>
        <w:t xml:space="preserve">20、诚实信用</w:t>
      </w:r>
      <w:r/>
    </w:p>
    <w:p>
      <w:pPr>
        <w:ind w:firstLine="420"/>
        <w:spacing w:line="360" w:lineRule="auto"/>
        <w:shd w:val="clear" w:color="auto" w:fill="ffffff"/>
        <w:widowControl/>
        <w:rPr>
          <w:szCs w:val="21"/>
        </w:rPr>
      </w:pPr>
      <w:r>
        <w:rPr>
          <w:rFonts w:hint="eastAsia"/>
          <w:szCs w:val="21"/>
        </w:rPr>
        <w:t xml:space="preserve">20.1投标人应当遵循公平竞争的原则，不得恶意串通，不得妨碍其他投标人的竞争行为，不得损害采购人或者其他投标人的合法权益。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szCs w:val="21"/>
        </w:rPr>
      </w:pPr>
      <w:r>
        <w:rPr>
          <w:rFonts w:hint="eastAsia"/>
          <w:szCs w:val="21"/>
        </w:rPr>
        <w:t xml:space="preserve">20.2在评标过程中发现投标人有上述情形的，评标委员会应当认定其投标无效，并书面报告本级财政部门。</w:t>
      </w:r>
      <w:r/>
    </w:p>
    <w:p>
      <w:pPr>
        <w:ind w:firstLine="420"/>
        <w:spacing w:line="360" w:lineRule="auto"/>
        <w:shd w:val="clear" w:color="auto" w:fill="ffffff"/>
        <w:widowControl/>
        <w:rPr>
          <w:szCs w:val="21"/>
        </w:rPr>
      </w:pPr>
      <w:r>
        <w:rPr>
          <w:rFonts w:hint="eastAsia"/>
          <w:b/>
          <w:bCs/>
          <w:szCs w:val="21"/>
        </w:rPr>
        <w:t xml:space="preserve">五、开标、评标与定标</w:t>
      </w:r>
      <w:r/>
    </w:p>
    <w:p>
      <w:pPr>
        <w:ind w:firstLine="420"/>
        <w:spacing w:line="360" w:lineRule="auto"/>
        <w:shd w:val="clear" w:color="auto" w:fill="ffffff"/>
        <w:widowControl/>
        <w:rPr>
          <w:szCs w:val="21"/>
        </w:rPr>
      </w:pPr>
      <w:r>
        <w:rPr>
          <w:rFonts w:hint="eastAsia"/>
          <w:b/>
          <w:bCs/>
          <w:szCs w:val="21"/>
        </w:rPr>
        <w:t xml:space="preserve">21、开标</w:t>
      </w:r>
      <w:r/>
    </w:p>
    <w:p>
      <w:pPr>
        <w:ind w:firstLine="420"/>
        <w:spacing w:line="360" w:lineRule="auto"/>
      </w:pPr>
      <w:r>
        <w:rPr>
          <w:rFonts w:hint="eastAsia"/>
        </w:rPr>
        <w:t xml:space="preserve">21.1 代理机构在招标公告中规定的时间和地点组织公开开标。投标人按照《苏采云系统供应商操作手册》规定参加开标活动，并在“苏采云”系统规定的时间内对投标文件进行解密。“苏采云”系统公布各投标人名称和投标价格。</w:t>
      </w:r>
      <w:r/>
    </w:p>
    <w:p>
      <w:pPr>
        <w:ind w:firstLine="420"/>
        <w:spacing w:line="360" w:lineRule="auto"/>
      </w:pPr>
      <w:r>
        <w:rPr>
          <w:rFonts w:hint="eastAsia"/>
        </w:rPr>
        <w:t xml:space="preserve">21.2 投标人在开标过程中涉及到的投标文件解密、开标结果确认等工作，应按照《苏采云系统供应商操作手册》规定执行。</w:t>
      </w:r>
      <w:r/>
    </w:p>
    <w:p>
      <w:pPr>
        <w:ind w:firstLine="420"/>
        <w:spacing w:line="360" w:lineRule="auto"/>
      </w:pPr>
      <w:r>
        <w:rPr>
          <w:rFonts w:hint="eastAsia"/>
        </w:rPr>
        <w:t xml:space="preserve">21.3投标人不足3家的，不得开标。</w:t>
      </w:r>
      <w:r/>
    </w:p>
    <w:p>
      <w:pPr>
        <w:ind w:firstLine="420"/>
        <w:spacing w:line="360" w:lineRule="auto"/>
      </w:pPr>
      <w:r>
        <w:rPr>
          <w:rFonts w:hint="eastAsia"/>
        </w:rPr>
        <w:t xml:space="preserve">21.4 投标人如果对开标过程和开标结果有疑义，应当根据《苏采云系统供应商操作手册》规定提出，“苏采云”系统中《开标记录表》公布后5分钟内未提出的，视同认可开标结果。</w:t>
      </w:r>
      <w:r/>
    </w:p>
    <w:p>
      <w:pPr>
        <w:ind w:firstLine="420"/>
        <w:spacing w:line="360" w:lineRule="auto"/>
      </w:pPr>
      <w:r>
        <w:rPr>
          <w:rFonts w:hint="eastAsia"/>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pPr>
      <w:r>
        <w:rPr>
          <w:rFonts w:hint="eastAsia"/>
        </w:rPr>
        <w:t xml:space="preserve">（1）招标文件存在不合理条款或者招标程序不符合规定的，采购人、采购代理机构改正后依法重新招标；</w:t>
      </w:r>
      <w:r/>
    </w:p>
    <w:p>
      <w:pPr>
        <w:ind w:firstLine="420"/>
        <w:spacing w:line="360" w:lineRule="auto"/>
      </w:pPr>
      <w:r>
        <w:rPr>
          <w:rFonts w:hint="eastAsia"/>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szCs w:val="21"/>
        </w:rPr>
      </w:pPr>
      <w:r>
        <w:rPr>
          <w:rFonts w:hint="eastAsia"/>
          <w:b/>
          <w:bCs/>
          <w:szCs w:val="21"/>
        </w:rPr>
        <w:t xml:space="preserve">22、评标</w:t>
      </w:r>
      <w:r/>
    </w:p>
    <w:p>
      <w:pPr>
        <w:ind w:firstLine="420"/>
        <w:spacing w:line="360" w:lineRule="auto"/>
        <w:shd w:val="clear" w:color="auto" w:fill="ffffff"/>
        <w:widowControl/>
        <w:rPr>
          <w:szCs w:val="21"/>
        </w:rPr>
      </w:pPr>
      <w:r>
        <w:rPr>
          <w:rFonts w:hint="eastAsia"/>
          <w:b/>
          <w:bCs/>
          <w:szCs w:val="21"/>
        </w:rPr>
        <w:t xml:space="preserve">22.1 评标委员会</w:t>
      </w:r>
      <w:r/>
    </w:p>
    <w:p>
      <w:pPr>
        <w:ind w:firstLine="420"/>
        <w:spacing w:line="360" w:lineRule="auto"/>
        <w:shd w:val="clear" w:color="auto" w:fill="ffffff"/>
        <w:widowControl/>
        <w:rPr>
          <w:bCs/>
          <w:szCs w:val="21"/>
        </w:rPr>
      </w:pPr>
      <w:r>
        <w:rPr>
          <w:b/>
          <w:bCs/>
          <w:szCs w:val="21"/>
        </w:rPr>
        <w:t xml:space="preserve">22.1.1</w:t>
      </w:r>
      <w:r>
        <w:rPr>
          <w:rFonts w:hint="eastAsia"/>
          <w:bCs/>
          <w:szCs w:val="21"/>
        </w:rPr>
        <w:t xml:space="preserve">评标委员会负责具体评标事务，并独立履行下列职责：</w:t>
      </w:r>
      <w:r/>
    </w:p>
    <w:p>
      <w:pPr>
        <w:ind w:firstLine="420"/>
        <w:spacing w:line="360" w:lineRule="auto"/>
        <w:shd w:val="clear" w:color="auto" w:fill="ffffff"/>
        <w:widowControl/>
        <w:rPr>
          <w:bCs/>
          <w:szCs w:val="21"/>
        </w:rPr>
      </w:pPr>
      <w:r>
        <w:rPr>
          <w:rFonts w:hint="eastAsia"/>
          <w:bCs/>
          <w:szCs w:val="21"/>
        </w:rPr>
        <w:t xml:space="preserve">（一）审查、评价投标文件是否符合招标文件的商务、技术等实质性要求；</w:t>
      </w:r>
      <w:r/>
    </w:p>
    <w:p>
      <w:pPr>
        <w:ind w:firstLine="420"/>
        <w:spacing w:line="360" w:lineRule="auto"/>
        <w:shd w:val="clear" w:color="auto" w:fill="ffffff"/>
        <w:widowControl/>
        <w:rPr>
          <w:bCs/>
          <w:szCs w:val="21"/>
        </w:rPr>
      </w:pPr>
      <w:r>
        <w:rPr>
          <w:rFonts w:hint="eastAsia"/>
          <w:bCs/>
          <w:szCs w:val="21"/>
        </w:rPr>
        <w:t xml:space="preserve">（二）要求投标人对投标文件有关事项作出澄清或者说明；</w:t>
      </w:r>
      <w:r/>
    </w:p>
    <w:p>
      <w:pPr>
        <w:ind w:firstLine="420"/>
        <w:spacing w:line="360" w:lineRule="auto"/>
        <w:shd w:val="clear" w:color="auto" w:fill="ffffff"/>
        <w:widowControl/>
        <w:rPr>
          <w:bCs/>
          <w:szCs w:val="21"/>
        </w:rPr>
      </w:pPr>
      <w:r>
        <w:rPr>
          <w:rFonts w:hint="eastAsia"/>
          <w:bCs/>
          <w:szCs w:val="21"/>
        </w:rPr>
        <w:t xml:space="preserve">（三）对投标文件进行比较和评价；</w:t>
      </w:r>
      <w:r/>
    </w:p>
    <w:p>
      <w:pPr>
        <w:ind w:firstLine="420"/>
        <w:spacing w:line="360" w:lineRule="auto"/>
        <w:shd w:val="clear" w:color="auto" w:fill="ffffff"/>
        <w:widowControl/>
        <w:rPr>
          <w:bCs/>
          <w:szCs w:val="21"/>
        </w:rPr>
      </w:pPr>
      <w:r>
        <w:rPr>
          <w:rFonts w:hint="eastAsia"/>
          <w:bCs/>
          <w:szCs w:val="21"/>
        </w:rPr>
        <w:t xml:space="preserve">（四）确定中标候选人名单，以及根据采购人委托直接确定中标人；</w:t>
      </w:r>
      <w:r/>
    </w:p>
    <w:p>
      <w:pPr>
        <w:ind w:firstLine="420"/>
        <w:spacing w:line="360" w:lineRule="auto"/>
        <w:shd w:val="clear" w:color="auto" w:fill="ffffff"/>
        <w:widowControl/>
        <w:rPr>
          <w:szCs w:val="21"/>
        </w:rPr>
      </w:pPr>
      <w:r>
        <w:rPr>
          <w:rFonts w:hint="eastAsia"/>
          <w:bCs/>
          <w:szCs w:val="21"/>
        </w:rPr>
        <w:t xml:space="preserve">（五）向采购人、采购代理机构或者有关部门报告评标中发现的违法行为。</w:t>
      </w:r>
      <w:r/>
    </w:p>
    <w:p>
      <w:pPr>
        <w:ind w:firstLine="420"/>
        <w:spacing w:line="360" w:lineRule="auto"/>
        <w:shd w:val="clear" w:color="auto" w:fill="ffffff"/>
        <w:widowControl/>
        <w:rPr>
          <w:szCs w:val="21"/>
        </w:rPr>
      </w:pPr>
      <w:r>
        <w:rPr>
          <w:b/>
          <w:bCs/>
          <w:szCs w:val="21"/>
        </w:rPr>
        <w:t xml:space="preserve">22.1.2 </w:t>
      </w:r>
      <w:r>
        <w:rPr>
          <w:rFonts w:hint="eastAsia"/>
          <w:szCs w:val="21"/>
        </w:rPr>
        <w:t xml:space="preserve">评标委员会由</w:t>
      </w:r>
      <w:r>
        <w:rPr>
          <w:rFonts w:hint="eastAsia"/>
          <w:bCs/>
          <w:szCs w:val="21"/>
        </w:rPr>
        <w:t xml:space="preserve">采购人</w:t>
      </w:r>
      <w:r>
        <w:rPr>
          <w:rFonts w:hint="eastAsia"/>
          <w:szCs w:val="21"/>
        </w:rPr>
        <w:t xml:space="preserve">代表和有关技术、经济等方面的专家组成，独立开展评审工作。</w:t>
      </w:r>
      <w:r/>
    </w:p>
    <w:p>
      <w:pPr>
        <w:ind w:firstLine="420"/>
        <w:jc w:val="left"/>
        <w:spacing w:line="360" w:lineRule="auto"/>
        <w:shd w:val="clear" w:color="auto" w:fill="ffffff"/>
        <w:widowControl/>
        <w:rPr>
          <w:szCs w:val="21"/>
        </w:rPr>
      </w:pPr>
      <w:r>
        <w:rPr>
          <w:rFonts w:hint="eastAsia"/>
          <w:b/>
          <w:bCs/>
          <w:szCs w:val="21"/>
        </w:rPr>
        <w:t xml:space="preserve">22.2  评标程序</w:t>
      </w:r>
      <w:r/>
    </w:p>
    <w:p>
      <w:pPr>
        <w:ind w:firstLine="420"/>
        <w:jc w:val="left"/>
        <w:spacing w:line="360" w:lineRule="auto"/>
        <w:shd w:val="clear" w:color="auto" w:fill="ffffff"/>
        <w:widowControl/>
        <w:rPr>
          <w:b/>
          <w:szCs w:val="21"/>
        </w:rPr>
      </w:pPr>
      <w:r>
        <w:rPr>
          <w:b/>
          <w:szCs w:val="21"/>
        </w:rPr>
        <w:t xml:space="preserve">22.2.1 </w:t>
      </w:r>
      <w:r>
        <w:rPr>
          <w:rFonts w:hint="eastAsia"/>
          <w:b/>
          <w:bCs/>
          <w:szCs w:val="21"/>
        </w:rPr>
        <w:t xml:space="preserve">投标文件的资格性检查。</w:t>
      </w:r>
      <w:r>
        <w:rPr>
          <w:rFonts w:hint="eastAsia"/>
          <w:szCs w:val="21"/>
        </w:rPr>
        <w:t xml:space="preserve">公开招标采购项目开标结束后，</w:t>
      </w:r>
      <w:r>
        <w:rPr>
          <w:rFonts w:hint="eastAsia"/>
        </w:rPr>
        <w:t xml:space="preserve">采购人</w:t>
      </w:r>
      <w:r>
        <w:rPr>
          <w:rFonts w:hint="eastAsia"/>
          <w:szCs w:val="21"/>
        </w:rPr>
        <w:t xml:space="preserve">或者</w:t>
      </w:r>
      <w:r>
        <w:rPr>
          <w:rFonts w:hint="eastAsia"/>
        </w:rPr>
        <w:t xml:space="preserve">采购代理机构</w:t>
      </w:r>
      <w:r>
        <w:rPr>
          <w:rFonts w:hint="eastAsia"/>
          <w:szCs w:val="21"/>
        </w:rPr>
        <w:t xml:space="preserve">应当依法对投标人的资格进行审查。合格投标人不足3家的，不得评标。</w:t>
      </w:r>
      <w:r/>
    </w:p>
    <w:p>
      <w:pPr>
        <w:ind w:firstLine="420"/>
        <w:jc w:val="left"/>
        <w:spacing w:line="360" w:lineRule="auto"/>
        <w:shd w:val="clear" w:color="auto" w:fill="ffffff"/>
        <w:widowControl/>
        <w:rPr>
          <w:szCs w:val="21"/>
        </w:rPr>
      </w:pPr>
      <w:r>
        <w:rPr>
          <w:rFonts w:hint="eastAsia"/>
          <w:b/>
          <w:bCs/>
          <w:szCs w:val="21"/>
        </w:rPr>
        <w:t xml:space="preserve">22.2.2投标文件的符合性审查</w:t>
      </w:r>
      <w:r>
        <w:rPr>
          <w:rFonts w:hint="eastAsia"/>
          <w:szCs w:val="21"/>
        </w:rPr>
        <w:t xml:space="preserve">。</w:t>
      </w:r>
      <w:r>
        <w:rPr>
          <w:rFonts w:hint="eastAsia"/>
          <w:b/>
          <w:bCs/>
          <w:szCs w:val="21"/>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b/>
          <w:szCs w:val="21"/>
        </w:rPr>
      </w:pPr>
      <w:r>
        <w:rPr>
          <w:rFonts w:hint="eastAsia"/>
          <w:b/>
          <w:szCs w:val="21"/>
        </w:rPr>
        <w:t xml:space="preserve">（1）投标人在“苏采云”系统规定的时间内未成功解密电子投标文件的；</w:t>
      </w:r>
      <w:r/>
    </w:p>
    <w:p>
      <w:pPr>
        <w:ind w:firstLine="420"/>
        <w:spacing w:line="360" w:lineRule="auto"/>
        <w:shd w:val="clear" w:color="auto" w:fill="ffffff"/>
        <w:widowControl/>
        <w:rPr>
          <w:b/>
          <w:szCs w:val="21"/>
        </w:rPr>
      </w:pPr>
      <w:r>
        <w:rPr>
          <w:rFonts w:hint="eastAsia"/>
          <w:b/>
          <w:szCs w:val="21"/>
        </w:rPr>
        <w:t xml:space="preserve">（2）投标人未按照招标文件要求上传电子投标文件的；</w:t>
      </w:r>
      <w:r/>
    </w:p>
    <w:p>
      <w:pPr>
        <w:ind w:firstLine="420"/>
        <w:spacing w:line="360" w:lineRule="auto"/>
        <w:shd w:val="clear" w:color="auto" w:fill="ffffff"/>
        <w:widowControl/>
        <w:rPr>
          <w:b/>
          <w:szCs w:val="21"/>
        </w:rPr>
      </w:pPr>
      <w:r>
        <w:rPr>
          <w:rFonts w:hint="eastAsia"/>
          <w:b/>
          <w:szCs w:val="21"/>
        </w:rPr>
        <w:t xml:space="preserve">（3）同一投标人提交两个（含两个）以上不同的投标报价的；</w:t>
      </w:r>
      <w:r/>
    </w:p>
    <w:p>
      <w:pPr>
        <w:ind w:firstLine="420"/>
        <w:spacing w:line="360" w:lineRule="auto"/>
        <w:shd w:val="clear" w:color="auto" w:fill="ffffff"/>
        <w:widowControl/>
        <w:rPr>
          <w:b/>
          <w:szCs w:val="21"/>
        </w:rPr>
      </w:pPr>
      <w:r>
        <w:rPr>
          <w:rFonts w:hint="eastAsia"/>
          <w:b/>
          <w:szCs w:val="21"/>
        </w:rPr>
        <w:t xml:space="preserve">（4）投标文件未按照招标文件要求加盖电子公章的；</w:t>
      </w:r>
      <w:r/>
    </w:p>
    <w:p>
      <w:pPr>
        <w:ind w:firstLine="420"/>
        <w:spacing w:line="360" w:lineRule="auto"/>
        <w:shd w:val="clear" w:color="auto" w:fill="ffffff"/>
        <w:widowControl/>
        <w:rPr>
          <w:b/>
          <w:szCs w:val="21"/>
        </w:rPr>
      </w:pPr>
      <w:r>
        <w:rPr>
          <w:rFonts w:hint="eastAsia"/>
          <w:b/>
          <w:szCs w:val="21"/>
        </w:rPr>
        <w:t xml:space="preserve">（5）报价超过招标文件中规定的预算金额或者最高限价的；</w:t>
      </w:r>
      <w:r/>
    </w:p>
    <w:p>
      <w:pPr>
        <w:ind w:firstLine="420"/>
        <w:spacing w:line="360" w:lineRule="auto"/>
        <w:shd w:val="clear" w:color="auto" w:fill="ffffff"/>
        <w:widowControl/>
        <w:rPr>
          <w:b/>
          <w:szCs w:val="21"/>
        </w:rPr>
      </w:pPr>
      <w:r>
        <w:rPr>
          <w:rFonts w:hint="eastAsia"/>
          <w:b/>
          <w:szCs w:val="21"/>
        </w:rPr>
        <w:t xml:space="preserve">（6）投标文件含有采购人不能接受的附加条件的；</w:t>
      </w:r>
      <w:r/>
    </w:p>
    <w:p>
      <w:pPr>
        <w:ind w:firstLine="420"/>
        <w:spacing w:line="360" w:lineRule="auto"/>
        <w:shd w:val="clear" w:color="auto" w:fill="ffffff"/>
        <w:widowControl/>
        <w:rPr>
          <w:b/>
          <w:szCs w:val="21"/>
        </w:rPr>
      </w:pPr>
      <w:r>
        <w:rPr>
          <w:rFonts w:hint="eastAsia"/>
          <w:b/>
          <w:szCs w:val="21"/>
        </w:rPr>
        <w:t xml:space="preserve">（7）投标文件内容不全或不符合招标文件中规定的其他实质性要求的；</w:t>
      </w:r>
      <w:r/>
    </w:p>
    <w:p>
      <w:pPr>
        <w:ind w:firstLine="420"/>
        <w:spacing w:line="360" w:lineRule="auto"/>
        <w:shd w:val="clear" w:color="auto" w:fill="ffffff"/>
        <w:widowControl/>
        <w:rPr>
          <w:b/>
          <w:szCs w:val="21"/>
        </w:rPr>
      </w:pPr>
      <w:r>
        <w:rPr>
          <w:rFonts w:hint="eastAsia"/>
          <w:b/>
          <w:szCs w:val="21"/>
        </w:rPr>
        <w:t xml:space="preserve">（8）现行法律、法规、规章和招标文件规定的其他无效情形。</w:t>
      </w:r>
      <w:r/>
    </w:p>
    <w:p>
      <w:pPr>
        <w:ind w:firstLine="420"/>
        <w:spacing w:line="360" w:lineRule="auto"/>
        <w:shd w:val="clear" w:color="auto" w:fill="ffffff"/>
        <w:widowControl/>
        <w:rPr>
          <w:b/>
          <w:bCs/>
          <w:szCs w:val="21"/>
        </w:rPr>
      </w:pPr>
      <w:r>
        <w:rPr>
          <w:rFonts w:hint="eastAsia"/>
          <w:b/>
          <w:bCs/>
          <w:szCs w:val="21"/>
        </w:rPr>
        <w:t xml:space="preserve">22.2.2.1 实质性要求是指本招标文件中用带星号（“</w:t>
      </w:r>
      <w:r>
        <w:rPr>
          <w:rFonts w:hint="eastAsia"/>
          <w:b/>
          <w:bCs/>
        </w:rPr>
        <w:t xml:space="preserve">★</w:t>
      </w:r>
      <w:r>
        <w:rPr>
          <w:rFonts w:hint="eastAsia"/>
          <w:b/>
          <w:bCs/>
          <w:szCs w:val="21"/>
        </w:rPr>
        <w:t xml:space="preserve">”）、“必须”或“应（应当）”等其他文字说明的商务和技术要求。</w:t>
      </w:r>
      <w:r/>
    </w:p>
    <w:p>
      <w:pPr>
        <w:ind w:firstLine="420"/>
        <w:spacing w:line="360" w:lineRule="auto"/>
        <w:shd w:val="clear" w:color="auto" w:fill="ffffff"/>
        <w:widowControl/>
        <w:rPr>
          <w:b/>
          <w:bCs/>
          <w:szCs w:val="21"/>
        </w:rPr>
      </w:pPr>
      <w:r>
        <w:rPr>
          <w:rFonts w:hint="eastAsia"/>
          <w:b/>
          <w:bCs/>
          <w:szCs w:val="21"/>
        </w:rPr>
        <w:t xml:space="preserve">22.2.2.2未通过资格审查或符合性审查的投标人，代理机构将通过“苏采云”系统告知其具体原因，评标结束后不再接受有关询问。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szCs w:val="21"/>
        </w:rPr>
      </w:pPr>
      <w:r>
        <w:rPr>
          <w:rFonts w:hint="eastAsia"/>
          <w:szCs w:val="21"/>
        </w:rPr>
        <w:t xml:space="preserve">22.2.2.3有下列情形之一的予以废标：</w:t>
      </w:r>
      <w:r/>
    </w:p>
    <w:p>
      <w:pPr>
        <w:ind w:firstLine="420"/>
        <w:jc w:val="left"/>
        <w:spacing w:line="360" w:lineRule="auto"/>
        <w:shd w:val="clear" w:color="auto" w:fill="ffffff"/>
        <w:widowControl/>
        <w:rPr>
          <w:szCs w:val="21"/>
        </w:rPr>
      </w:pPr>
      <w:r>
        <w:rPr>
          <w:rFonts w:hint="eastAsia"/>
          <w:szCs w:val="21"/>
        </w:rPr>
        <w:t xml:space="preserve">（1）符合专业条件的投标人或者对招标文件作实质性响应的投标人不足三家的；</w:t>
      </w:r>
      <w:r/>
    </w:p>
    <w:p>
      <w:pPr>
        <w:ind w:firstLine="420"/>
        <w:jc w:val="left"/>
        <w:spacing w:line="360" w:lineRule="auto"/>
        <w:shd w:val="clear" w:color="auto" w:fill="ffffff"/>
        <w:widowControl/>
        <w:rPr>
          <w:szCs w:val="21"/>
        </w:rPr>
      </w:pPr>
      <w:r>
        <w:rPr>
          <w:rFonts w:hint="eastAsia"/>
          <w:szCs w:val="21"/>
        </w:rPr>
        <w:t xml:space="preserve">（2）出现影响采购公正的违法、违规行为的；</w:t>
      </w:r>
      <w:r/>
    </w:p>
    <w:p>
      <w:pPr>
        <w:ind w:firstLine="420"/>
        <w:jc w:val="left"/>
        <w:spacing w:line="360" w:lineRule="auto"/>
        <w:shd w:val="clear" w:color="auto" w:fill="ffffff"/>
        <w:widowControl/>
        <w:rPr>
          <w:szCs w:val="21"/>
        </w:rPr>
      </w:pPr>
      <w:r>
        <w:rPr>
          <w:rFonts w:hint="eastAsia"/>
          <w:szCs w:val="21"/>
        </w:rPr>
        <w:t xml:space="preserve">（3）投标人的报价均超过了采购预算，采购人不能支付的；</w:t>
      </w:r>
      <w:r/>
    </w:p>
    <w:p>
      <w:pPr>
        <w:ind w:firstLine="420"/>
        <w:jc w:val="left"/>
        <w:spacing w:line="360" w:lineRule="auto"/>
        <w:shd w:val="clear" w:color="auto" w:fill="ffffff"/>
        <w:widowControl/>
        <w:rPr>
          <w:szCs w:val="21"/>
        </w:rPr>
      </w:pPr>
      <w:r>
        <w:rPr>
          <w:rFonts w:hint="eastAsia"/>
          <w:szCs w:val="21"/>
        </w:rPr>
        <w:t xml:space="preserve">（4）因苏采云系统故障造成开标不成功的；</w:t>
      </w:r>
      <w:r/>
    </w:p>
    <w:p>
      <w:pPr>
        <w:ind w:firstLine="420"/>
        <w:jc w:val="left"/>
        <w:spacing w:line="360" w:lineRule="auto"/>
        <w:shd w:val="clear" w:color="auto" w:fill="ffffff"/>
        <w:widowControl/>
        <w:rPr>
          <w:szCs w:val="21"/>
        </w:rPr>
      </w:pPr>
      <w:r>
        <w:rPr>
          <w:rFonts w:hint="eastAsia"/>
          <w:szCs w:val="21"/>
        </w:rPr>
        <w:t xml:space="preserve">（5）因重大变故，采购任务取消的。</w:t>
      </w:r>
      <w:r/>
    </w:p>
    <w:p>
      <w:pPr>
        <w:ind w:firstLine="420"/>
        <w:jc w:val="left"/>
        <w:spacing w:line="360" w:lineRule="auto"/>
        <w:shd w:val="clear" w:color="auto" w:fill="ffffff"/>
        <w:widowControl/>
        <w:rPr>
          <w:szCs w:val="21"/>
        </w:rPr>
      </w:pPr>
      <w:r>
        <w:rPr>
          <w:rFonts w:hint="eastAsia"/>
          <w:szCs w:val="21"/>
        </w:rPr>
        <w:t xml:space="preserve">（6）投标人以明显低于其他通过符合性审查投标人的报价，有可能影响产品质量或者不能诚信履约的，且不能证明其报价合理性的，作无效投标处理，导致实质性响应的投标人不足三家的。</w:t>
      </w:r>
      <w:r/>
    </w:p>
    <w:p>
      <w:pPr>
        <w:ind w:firstLine="420"/>
        <w:jc w:val="left"/>
        <w:spacing w:line="360" w:lineRule="auto"/>
        <w:shd w:val="clear" w:color="auto" w:fill="ffffff"/>
        <w:widowControl/>
        <w:rPr>
          <w:szCs w:val="21"/>
        </w:rPr>
      </w:pPr>
      <w:r>
        <w:rPr>
          <w:szCs w:val="21"/>
        </w:rPr>
        <w:t xml:space="preserve">22.2.3</w:t>
      </w:r>
      <w:r>
        <w:rPr>
          <w:rFonts w:hint="eastAsia"/>
          <w:b/>
          <w:bCs/>
          <w:szCs w:val="21"/>
        </w:rPr>
        <w:t xml:space="preserve">澄清有关问题</w:t>
      </w:r>
      <w:r>
        <w:rPr>
          <w:rFonts w:hint="eastAsia"/>
          <w:szCs w:val="21"/>
        </w:rPr>
        <w:t xml:space="preserve">。</w:t>
      </w:r>
      <w:r/>
    </w:p>
    <w:p>
      <w:pPr>
        <w:ind w:firstLine="420"/>
        <w:jc w:val="left"/>
        <w:spacing w:line="360" w:lineRule="auto"/>
        <w:shd w:val="clear" w:color="auto" w:fill="ffffff"/>
        <w:widowControl/>
        <w:rPr>
          <w:szCs w:val="21"/>
        </w:rPr>
      </w:pPr>
      <w:r>
        <w:rPr>
          <w:rFonts w:hint="eastAsia"/>
          <w:szCs w:val="21"/>
        </w:rPr>
        <w:t xml:space="preserve">22.2.3.1 评标期间，评委会对投标文件中含义不明确、同类问题表述不一致或者有明显文字和计算错误的内容，有权要求投标人作出必要的澄清、说明或者补正。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szCs w:val="21"/>
        </w:rPr>
      </w:pPr>
      <w:r>
        <w:rPr>
          <w:rFonts w:hint="eastAsia"/>
          <w:szCs w:val="21"/>
        </w:rPr>
        <w:t xml:space="preserve">投标人的澄清、说明或者补正不得超出投标文件的范围或者改变投标文件的实质性内容。</w:t>
      </w:r>
      <w:r/>
    </w:p>
    <w:p>
      <w:pPr>
        <w:ind w:firstLine="420"/>
        <w:jc w:val="left"/>
        <w:spacing w:line="360" w:lineRule="auto"/>
        <w:shd w:val="clear" w:color="auto" w:fill="ffffff"/>
        <w:widowControl/>
        <w:rPr>
          <w:szCs w:val="21"/>
        </w:rPr>
      </w:pPr>
      <w:r>
        <w:rPr>
          <w:rFonts w:hint="eastAsia"/>
          <w:szCs w:val="21"/>
        </w:rPr>
        <w:t xml:space="preserve">评委会并非对每个投标人都做澄清要求。</w:t>
      </w:r>
      <w:r/>
    </w:p>
    <w:p>
      <w:pPr>
        <w:ind w:firstLine="420"/>
        <w:jc w:val="left"/>
        <w:spacing w:line="360" w:lineRule="auto"/>
        <w:shd w:val="clear" w:color="auto" w:fill="ffffff"/>
        <w:widowControl/>
        <w:rPr>
          <w:szCs w:val="21"/>
        </w:rPr>
      </w:pPr>
      <w:r>
        <w:rPr>
          <w:rFonts w:hint="eastAsia"/>
          <w:szCs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苏采云系统供应商操作手册》。</w:t>
      </w:r>
      <w:r/>
    </w:p>
    <w:p>
      <w:pPr>
        <w:ind w:firstLine="420"/>
        <w:jc w:val="left"/>
        <w:spacing w:line="360" w:lineRule="auto"/>
        <w:shd w:val="clear" w:color="auto" w:fill="ffffff"/>
        <w:widowControl/>
        <w:rPr>
          <w:szCs w:val="21"/>
        </w:rPr>
      </w:pPr>
      <w:r>
        <w:rPr>
          <w:rFonts w:hint="eastAsia"/>
          <w:szCs w:val="21"/>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szCs w:val="21"/>
        </w:rPr>
      </w:pPr>
      <w:r>
        <w:rPr>
          <w:rFonts w:hint="eastAsia"/>
          <w:szCs w:val="21"/>
        </w:rPr>
        <w:t xml:space="preserve">22.2.3.4投标文件报价出现前后不一致的，除招标文件另有规定外，按照下列规定修正：</w:t>
      </w:r>
      <w:r/>
    </w:p>
    <w:p>
      <w:pPr>
        <w:ind w:firstLine="420"/>
        <w:spacing w:line="360" w:lineRule="auto"/>
        <w:shd w:val="clear" w:color="auto" w:fill="ffffff"/>
        <w:widowControl/>
        <w:rPr>
          <w:szCs w:val="21"/>
        </w:rPr>
      </w:pPr>
      <w:r>
        <w:rPr>
          <w:rFonts w:hint="eastAsia"/>
          <w:szCs w:val="21"/>
        </w:rPr>
        <w:t xml:space="preserve">（1）投标文件中开标一览表（报价表）内容与投标文件中相应内容不一致的，以开标一览表（报价表）为准；</w:t>
      </w:r>
      <w:r/>
    </w:p>
    <w:p>
      <w:pPr>
        <w:ind w:firstLine="420"/>
        <w:spacing w:line="360" w:lineRule="auto"/>
        <w:shd w:val="clear" w:color="auto" w:fill="ffffff"/>
        <w:widowControl/>
        <w:rPr>
          <w:szCs w:val="21"/>
        </w:rPr>
      </w:pPr>
      <w:r>
        <w:rPr>
          <w:rFonts w:hint="eastAsia"/>
          <w:szCs w:val="21"/>
        </w:rPr>
        <w:t xml:space="preserve">（2）大写金额和小写金额不一致的，以大写金额为准；</w:t>
      </w:r>
      <w:r/>
    </w:p>
    <w:p>
      <w:pPr>
        <w:ind w:firstLine="420"/>
        <w:spacing w:line="360" w:lineRule="auto"/>
        <w:shd w:val="clear" w:color="auto" w:fill="ffffff"/>
        <w:widowControl/>
        <w:rPr>
          <w:szCs w:val="21"/>
        </w:rPr>
      </w:pPr>
      <w:r>
        <w:rPr>
          <w:rFonts w:hint="eastAsia"/>
          <w:szCs w:val="21"/>
        </w:rPr>
        <w:t xml:space="preserve">（3）单价金额小数点或者百分比有明显错位的，以开标一览表的总价为准，并修改单价；</w:t>
      </w:r>
      <w:r/>
    </w:p>
    <w:p>
      <w:pPr>
        <w:ind w:firstLine="420"/>
        <w:spacing w:line="360" w:lineRule="auto"/>
        <w:shd w:val="clear" w:color="auto" w:fill="ffffff"/>
        <w:widowControl/>
        <w:rPr>
          <w:szCs w:val="21"/>
        </w:rPr>
      </w:pPr>
      <w:r>
        <w:rPr>
          <w:rFonts w:hint="eastAsia"/>
          <w:szCs w:val="21"/>
        </w:rPr>
        <w:t xml:space="preserve">（4）总价金额与按单价汇总金额不一致的，以单价金额计算结果为准。</w:t>
      </w:r>
      <w:r/>
    </w:p>
    <w:p>
      <w:pPr>
        <w:ind w:firstLine="420"/>
        <w:spacing w:line="360" w:lineRule="auto"/>
        <w:shd w:val="clear" w:color="auto" w:fill="ffffff"/>
        <w:widowControl/>
        <w:rPr>
          <w:szCs w:val="21"/>
        </w:rPr>
      </w:pPr>
      <w:r>
        <w:rPr>
          <w:rFonts w:hint="eastAsia"/>
          <w:szCs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b/>
          <w:szCs w:val="21"/>
        </w:rPr>
      </w:pPr>
      <w:r>
        <w:rPr>
          <w:rFonts w:hint="eastAsia"/>
          <w:szCs w:val="21"/>
        </w:rPr>
        <w:t xml:space="preserve">2.2.3.5投标人在开、评标全过程中应保持通讯畅通，及时登录苏采云系统查阅、答复相关信息，并安排专人与代理机构及评委会联系。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szCs w:val="21"/>
        </w:rPr>
      </w:pPr>
      <w:r>
        <w:rPr>
          <w:szCs w:val="21"/>
        </w:rPr>
        <w:t xml:space="preserve">22.2.3.6</w:t>
      </w:r>
      <w:r>
        <w:rPr>
          <w:rFonts w:hint="eastAsia"/>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b/>
        </w:rPr>
        <w:t xml:space="preserve">投标人不能证明其报价合理性的，评标委员会将其作为无效投标处理。</w:t>
      </w:r>
      <w:r/>
    </w:p>
    <w:p>
      <w:pPr>
        <w:ind w:firstLine="420"/>
        <w:jc w:val="left"/>
        <w:spacing w:line="360" w:lineRule="auto"/>
        <w:shd w:val="clear" w:color="auto" w:fill="ffffff"/>
        <w:widowControl/>
        <w:rPr>
          <w:szCs w:val="21"/>
        </w:rPr>
      </w:pPr>
      <w:r>
        <w:rPr>
          <w:szCs w:val="21"/>
        </w:rPr>
        <w:t xml:space="preserve">22.2.4</w:t>
      </w:r>
      <w:r>
        <w:rPr>
          <w:rFonts w:hint="eastAsia"/>
          <w:bCs/>
          <w:szCs w:val="21"/>
        </w:rPr>
        <w:t xml:space="preserve">比较与评价。</w:t>
      </w:r>
      <w:r>
        <w:rPr>
          <w:rFonts w:hint="eastAsia"/>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szCs w:val="21"/>
        </w:rPr>
      </w:pPr>
      <w:r>
        <w:rPr>
          <w:rFonts w:hint="eastAsia"/>
          <w:szCs w:val="21"/>
        </w:rPr>
        <w:t xml:space="preserve">22.2.5相同品牌产品的投标</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firstLine="420"/>
        <w:jc w:val="left"/>
        <w:spacing w:line="360" w:lineRule="auto"/>
        <w:widowControl/>
        <w:rPr>
          <w:rFonts w:hint="eastAsia" w:ascii="宋体" w:hAnsi="宋体" w:cs="宋体"/>
          <w:b/>
          <w:bCs/>
          <w:szCs w:val="21"/>
        </w:rPr>
      </w:pPr>
      <w:r>
        <w:rPr>
          <w:rFonts w:hint="eastAsia" w:ascii="宋体" w:hAnsi="宋体" w:cs="宋体"/>
          <w:b/>
          <w:bCs/>
          <w:szCs w:val="21"/>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shd w:val="clear" w:color="auto" w:fill="ffffff"/>
        <w:widowControl/>
        <w:rPr>
          <w:szCs w:val="21"/>
        </w:rPr>
      </w:pPr>
      <w:r>
        <w:rPr>
          <w:rFonts w:hint="eastAsia" w:ascii="宋体" w:hAnsi="宋体" w:cs="宋体"/>
          <w:szCs w:val="21"/>
        </w:rPr>
        <w:t xml:space="preserve">非单一产品采购项目，确定核心产品的方法在招标文件技术需求中载明。多家投标人提供的核心产品品牌相同的，按前两款规定处理。</w:t>
      </w:r>
      <w:r/>
    </w:p>
    <w:p>
      <w:pPr>
        <w:ind w:firstLine="420"/>
        <w:jc w:val="left"/>
        <w:spacing w:line="360" w:lineRule="auto"/>
        <w:shd w:val="clear" w:color="auto" w:fill="ffffff"/>
        <w:widowControl/>
        <w:rPr>
          <w:szCs w:val="21"/>
        </w:rPr>
      </w:pPr>
      <w:r>
        <w:rPr>
          <w:rFonts w:hint="eastAsia"/>
          <w:b/>
          <w:bCs/>
          <w:szCs w:val="21"/>
        </w:rPr>
        <w:t xml:space="preserve">22.3 评标方法和标准</w:t>
      </w:r>
      <w:r/>
    </w:p>
    <w:p>
      <w:pPr>
        <w:ind w:firstLine="420"/>
        <w:jc w:val="left"/>
        <w:spacing w:line="360" w:lineRule="auto"/>
        <w:shd w:val="clear" w:color="auto" w:fill="ffffff"/>
        <w:widowControl/>
        <w:rPr>
          <w:szCs w:val="21"/>
        </w:rPr>
      </w:pPr>
      <w:r>
        <w:rPr>
          <w:rFonts w:hint="eastAsia"/>
          <w:szCs w:val="21"/>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szCs w:val="21"/>
        </w:rPr>
      </w:pPr>
      <w:r>
        <w:rPr>
          <w:rFonts w:hint="eastAsia"/>
          <w:szCs w:val="21"/>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szCs w:val="21"/>
        </w:rPr>
      </w:pPr>
      <w:r>
        <w:rPr>
          <w:rFonts w:hint="eastAsia"/>
          <w:szCs w:val="21"/>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szCs w:val="21"/>
        </w:rPr>
      </w:pPr>
      <w:r>
        <w:rPr>
          <w:rFonts w:hint="eastAsia"/>
          <w:szCs w:val="21"/>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szCs w:val="21"/>
        </w:rPr>
      </w:pPr>
      <w:r>
        <w:rPr>
          <w:rFonts w:hint="eastAsia"/>
          <w:szCs w:val="21"/>
        </w:rPr>
        <w:t xml:space="preserve">评审因素，包括价格、技术、商务等。</w:t>
      </w:r>
      <w:r/>
    </w:p>
    <w:p>
      <w:pPr>
        <w:ind w:firstLine="420"/>
        <w:jc w:val="left"/>
        <w:spacing w:line="360" w:lineRule="auto"/>
        <w:shd w:val="clear" w:color="auto" w:fill="ffffff"/>
        <w:widowControl/>
        <w:rPr>
          <w:szCs w:val="21"/>
        </w:rPr>
      </w:pPr>
      <w:r>
        <w:rPr>
          <w:rFonts w:hint="eastAsia"/>
          <w:szCs w:val="21"/>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szCs w:val="21"/>
        </w:rPr>
      </w:pPr>
      <w:r>
        <w:rPr>
          <w:rFonts w:hint="eastAsia"/>
          <w:szCs w:val="21"/>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szCs w:val="21"/>
        </w:rPr>
      </w:pPr>
      <w:r>
        <w:rPr>
          <w:rFonts w:hint="eastAsia"/>
          <w:szCs w:val="21"/>
        </w:rPr>
        <w:t xml:space="preserve">评标总得分＝F1×A1＋F2×A2＋……＋Fn×An</w:t>
      </w:r>
      <w:r/>
    </w:p>
    <w:p>
      <w:pPr>
        <w:ind w:firstLine="420"/>
        <w:jc w:val="left"/>
        <w:spacing w:line="360" w:lineRule="auto"/>
        <w:shd w:val="clear" w:color="auto" w:fill="ffffff"/>
        <w:widowControl/>
        <w:rPr>
          <w:szCs w:val="21"/>
        </w:rPr>
      </w:pPr>
      <w:r>
        <w:rPr>
          <w:rFonts w:hint="eastAsia"/>
          <w:szCs w:val="21"/>
        </w:rPr>
        <w:t xml:space="preserve">F1、F2……Fn分别为各项评审因素的得分；</w:t>
      </w:r>
      <w:r/>
    </w:p>
    <w:p>
      <w:pPr>
        <w:ind w:firstLine="420"/>
        <w:jc w:val="left"/>
        <w:spacing w:line="360" w:lineRule="auto"/>
        <w:shd w:val="clear" w:color="auto" w:fill="ffffff"/>
        <w:widowControl/>
        <w:rPr>
          <w:szCs w:val="21"/>
        </w:rPr>
      </w:pPr>
      <w:r>
        <w:rPr>
          <w:rFonts w:hint="eastAsia"/>
          <w:szCs w:val="21"/>
        </w:rPr>
        <w:t xml:space="preserve">A1、A2、……An 分别为各项评审因素所占的权重(A1＋A2＋……＋An＝1)。</w:t>
      </w:r>
      <w:r/>
    </w:p>
    <w:p>
      <w:pPr>
        <w:ind w:firstLine="420"/>
        <w:jc w:val="left"/>
        <w:spacing w:line="360" w:lineRule="auto"/>
        <w:shd w:val="clear" w:color="auto" w:fill="ffffff"/>
        <w:widowControl/>
        <w:rPr>
          <w:szCs w:val="21"/>
        </w:rPr>
      </w:pPr>
      <w:r>
        <w:rPr>
          <w:rFonts w:hint="eastAsia"/>
          <w:szCs w:val="21"/>
        </w:rPr>
        <w:t xml:space="preserve">因落实政府采购政策进行价格调整的，以调整后的价格计算评标基准价和投标报价。</w:t>
      </w:r>
      <w:r/>
    </w:p>
    <w:p>
      <w:pPr>
        <w:ind w:firstLine="420"/>
        <w:jc w:val="left"/>
        <w:spacing w:line="360" w:lineRule="auto"/>
        <w:shd w:val="clear" w:color="auto" w:fill="ffffff"/>
        <w:widowControl/>
        <w:rPr>
          <w:b/>
          <w:bCs/>
          <w:szCs w:val="21"/>
        </w:rPr>
      </w:pPr>
      <w:r>
        <w:rPr>
          <w:rFonts w:hint="eastAsia"/>
          <w:b/>
          <w:bCs/>
          <w:szCs w:val="21"/>
        </w:rPr>
        <w:t xml:space="preserve">22.4 评标委员会启动异常低价投标审查的情形和具体要求</w:t>
      </w:r>
      <w:r/>
    </w:p>
    <w:p>
      <w:pPr>
        <w:ind w:firstLine="420"/>
        <w:jc w:val="left"/>
        <w:spacing w:line="360" w:lineRule="auto"/>
        <w:shd w:val="clear" w:color="auto" w:fill="ffffff"/>
        <w:widowControl/>
        <w:rPr>
          <w:szCs w:val="21"/>
        </w:rPr>
      </w:pPr>
      <w:r>
        <w:rPr>
          <w:rFonts w:hint="eastAsia"/>
          <w:szCs w:val="21"/>
        </w:rPr>
        <w:t xml:space="preserve">22.4.1评标过程中出现下列情形之一的，评标委员会应当启动异常低价投标审查程序： </w:t>
      </w:r>
      <w:r/>
    </w:p>
    <w:p>
      <w:pPr>
        <w:numPr>
          <w:ilvl w:val="255"/>
          <w:numId w:val="0"/>
        </w:numPr>
        <w:ind w:firstLine="420"/>
        <w:jc w:val="left"/>
        <w:spacing w:line="360" w:lineRule="auto"/>
        <w:shd w:val="clear" w:color="auto" w:fill="ffffff"/>
        <w:widowControl/>
        <w:rPr>
          <w:szCs w:val="21"/>
        </w:rPr>
      </w:pPr>
      <w:r>
        <w:rPr>
          <w:rFonts w:hint="eastAsia"/>
          <w:szCs w:val="21"/>
        </w:rPr>
        <w:t xml:space="preserve">（1）投标报价低于全部通过符合性审查供应商投标报价平均值50%的，即投标报价&lt;全部通过符合性审查供应商投标报价平均值×50%；</w:t>
      </w:r>
      <w:r/>
    </w:p>
    <w:p>
      <w:pPr>
        <w:numPr>
          <w:ilvl w:val="255"/>
          <w:numId w:val="0"/>
        </w:numPr>
        <w:ind w:firstLine="420"/>
        <w:jc w:val="left"/>
        <w:spacing w:line="360" w:lineRule="auto"/>
        <w:shd w:val="clear" w:color="auto" w:fill="ffffff"/>
        <w:widowControl/>
        <w:rPr>
          <w:szCs w:val="21"/>
        </w:rPr>
      </w:pPr>
      <w:r>
        <w:rPr>
          <w:rFonts w:hint="eastAsia"/>
          <w:szCs w:val="21"/>
        </w:rPr>
        <w:t xml:space="preserve">（2）投标报价低于通过符合性审查的次低报价供应商投标报价50%的，即投标报价&lt;通过符合性审查的次低报价供应商投标报价×50%；</w:t>
      </w:r>
      <w:r/>
    </w:p>
    <w:p>
      <w:pPr>
        <w:numPr>
          <w:ilvl w:val="255"/>
          <w:numId w:val="0"/>
        </w:numPr>
        <w:ind w:firstLine="420"/>
        <w:jc w:val="left"/>
        <w:spacing w:line="360" w:lineRule="auto"/>
        <w:shd w:val="clear" w:color="auto" w:fill="ffffff"/>
        <w:widowControl/>
        <w:rPr>
          <w:szCs w:val="21"/>
        </w:rPr>
      </w:pPr>
      <w:r>
        <w:rPr>
          <w:rFonts w:hint="eastAsia"/>
          <w:szCs w:val="21"/>
        </w:rPr>
        <w:t xml:space="preserve">（3）投标报价低于采购项目最高限价45%的，即投标报价&lt;采购项目最高限价×45%；</w:t>
      </w:r>
      <w:r/>
    </w:p>
    <w:p>
      <w:pPr>
        <w:numPr>
          <w:ilvl w:val="255"/>
          <w:numId w:val="0"/>
        </w:numPr>
        <w:ind w:firstLine="420"/>
        <w:jc w:val="left"/>
        <w:spacing w:line="360" w:lineRule="auto"/>
        <w:shd w:val="clear" w:color="auto" w:fill="ffffff"/>
        <w:widowControl/>
        <w:rPr>
          <w:szCs w:val="21"/>
        </w:rPr>
      </w:pPr>
      <w:r>
        <w:rPr>
          <w:rFonts w:hint="eastAsia"/>
          <w:szCs w:val="21"/>
        </w:rPr>
        <w:t xml:space="preserve">（4）评标委员会基于专业判断，认为供应商报价过低，有可能影响产品质量或者不能诚信履约的其他情形。</w:t>
      </w:r>
      <w:r/>
    </w:p>
    <w:p>
      <w:pPr>
        <w:ind w:firstLine="420"/>
        <w:spacing w:line="360" w:lineRule="auto"/>
        <w:shd w:val="clear" w:color="auto" w:fill="ffffff"/>
        <w:widowControl/>
        <w:rPr>
          <w:szCs w:val="21"/>
        </w:rPr>
      </w:pPr>
      <w:r>
        <w:rPr>
          <w:szCs w:val="21"/>
        </w:rPr>
        <w:t xml:space="preserve">22.4.2 </w:t>
      </w:r>
      <w:r>
        <w:rPr>
          <w:rFonts w:hint="eastAsia"/>
          <w:szCs w:val="21"/>
        </w:rPr>
        <w:t xml:space="preserve">评标委员会启动异常低价投标审查后，属于</w:t>
      </w:r>
      <w:r>
        <w:rPr>
          <w:szCs w:val="21"/>
        </w:rPr>
        <w:t xml:space="preserve">22.4.1</w:t>
      </w:r>
      <w:r>
        <w:rPr>
          <w:rFonts w:hint="eastAsia"/>
          <w:szCs w:val="21"/>
        </w:rPr>
        <w:t xml:space="preserve">第（1）项至第（4）项情形的，应当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22.4.1第（3）项情形，供应商已随投标文件一并提交相关书面说明及必要的证明材料的，在评审现场可不再重复提交。</w:t>
      </w:r>
      <w:r/>
    </w:p>
    <w:p>
      <w:pPr>
        <w:ind w:firstLine="420"/>
        <w:spacing w:line="360" w:lineRule="auto"/>
        <w:shd w:val="clear" w:color="auto" w:fill="ffffff"/>
        <w:widowControl/>
        <w:rPr>
          <w:szCs w:val="21"/>
        </w:rPr>
      </w:pPr>
      <w:r>
        <w:rPr>
          <w:szCs w:val="21"/>
        </w:rPr>
        <w:t xml:space="preserve">22.4.3 </w:t>
      </w:r>
      <w:r>
        <w:rPr>
          <w:rFonts w:hint="eastAsia"/>
          <w:szCs w:val="21"/>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20"/>
        <w:spacing w:line="360" w:lineRule="auto"/>
        <w:shd w:val="clear" w:color="auto" w:fill="ffffff"/>
        <w:widowControl/>
        <w:rPr>
          <w:b/>
          <w:bCs/>
          <w:szCs w:val="21"/>
        </w:rPr>
      </w:pPr>
      <w:r>
        <w:rPr>
          <w:szCs w:val="21"/>
        </w:rPr>
        <w:t xml:space="preserve">22.4.4 </w:t>
      </w:r>
      <w:r>
        <w:rPr>
          <w:rFonts w:hint="eastAsia"/>
          <w:szCs w:val="21"/>
        </w:rPr>
        <w:t xml:space="preserve">异常低价投标审查的启动原因、审查意见和审查结果应当在评审报告中记录，并随供应商提供的相关书面说明及证明材料，以及评标委员会有关互联网浏览、查询历史一并归档。</w:t>
      </w:r>
      <w:r/>
    </w:p>
    <w:p>
      <w:pPr>
        <w:ind w:firstLine="420"/>
        <w:spacing w:line="360" w:lineRule="auto"/>
        <w:shd w:val="clear" w:color="auto" w:fill="ffffff"/>
        <w:widowControl/>
        <w:rPr>
          <w:b/>
          <w:szCs w:val="21"/>
        </w:rPr>
      </w:pPr>
      <w:r>
        <w:rPr>
          <w:rFonts w:hint="eastAsia"/>
          <w:b/>
          <w:bCs/>
          <w:szCs w:val="21"/>
        </w:rPr>
        <w:t xml:space="preserve">23、</w:t>
      </w:r>
      <w:r>
        <w:rPr>
          <w:rFonts w:hint="eastAsia"/>
          <w:b/>
          <w:szCs w:val="21"/>
        </w:rPr>
        <w:t xml:space="preserve">确定中标人</w:t>
      </w:r>
      <w:r/>
    </w:p>
    <w:p>
      <w:pPr>
        <w:ind w:firstLine="420"/>
        <w:spacing w:line="360" w:lineRule="auto"/>
        <w:shd w:val="clear" w:color="auto" w:fill="ffffff"/>
        <w:widowControl/>
        <w:rPr>
          <w:szCs w:val="21"/>
        </w:rPr>
      </w:pPr>
      <w:r>
        <w:rPr>
          <w:rFonts w:hint="eastAsia"/>
          <w:szCs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szCs w:val="21"/>
        </w:rPr>
      </w:pPr>
      <w:r>
        <w:rPr>
          <w:rFonts w:hint="eastAsia"/>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b/>
          <w:bCs/>
          <w:szCs w:val="21"/>
        </w:rPr>
        <w:t xml:space="preserve">（投标报价相同且均排名第一的，按技术指标优劣顺序排列，由评标委员会确定中标人。）</w:t>
      </w:r>
      <w:r/>
    </w:p>
    <w:p>
      <w:pPr>
        <w:ind w:firstLine="420"/>
        <w:spacing w:line="360" w:lineRule="auto"/>
        <w:shd w:val="clear" w:color="auto" w:fill="ffffff"/>
        <w:widowControl/>
        <w:rPr>
          <w:szCs w:val="21"/>
        </w:rPr>
      </w:pPr>
      <w:r>
        <w:rPr>
          <w:rFonts w:hint="eastAsia"/>
          <w:szCs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szCs w:val="21"/>
        </w:rPr>
      </w:pPr>
      <w:r>
        <w:rPr>
          <w:rFonts w:hint="eastAsia"/>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b/>
          <w:szCs w:val="21"/>
        </w:rPr>
      </w:pPr>
      <w:r>
        <w:rPr>
          <w:rFonts w:hint="eastAsia"/>
          <w:b/>
          <w:bCs/>
          <w:szCs w:val="21"/>
        </w:rPr>
        <w:t xml:space="preserve">23.4 中标通知书对采购人和中标人具有同等法律效力。中标通知书发出后，采购人不得</w:t>
      </w:r>
      <w:r>
        <w:rPr>
          <w:rFonts w:hint="eastAsia"/>
          <w:b/>
          <w:szCs w:val="21"/>
        </w:rPr>
        <w:t xml:space="preserve">违法改变中标结果，中标人无正当理由不得放弃中标。</w:t>
      </w:r>
      <w:r/>
    </w:p>
    <w:p>
      <w:pPr>
        <w:ind w:firstLine="420"/>
        <w:spacing w:line="360" w:lineRule="auto"/>
        <w:shd w:val="clear" w:color="auto" w:fill="ffffff"/>
        <w:widowControl/>
        <w:rPr>
          <w:szCs w:val="21"/>
        </w:rPr>
      </w:pPr>
      <w:r>
        <w:rPr>
          <w:rFonts w:hint="eastAsia"/>
          <w:szCs w:val="21"/>
        </w:rPr>
        <w:t xml:space="preserve">23.5 所有投标文件不论中标与否，均不退回。</w:t>
      </w:r>
      <w:r/>
    </w:p>
    <w:p>
      <w:pPr>
        <w:ind w:firstLine="412"/>
        <w:spacing w:line="360" w:lineRule="auto"/>
        <w:shd w:val="clear" w:color="auto" w:fill="ffffff"/>
        <w:widowControl/>
        <w:rPr>
          <w:szCs w:val="21"/>
        </w:rPr>
      </w:pPr>
      <w:r>
        <w:rPr>
          <w:rFonts w:hint="eastAsia"/>
          <w:b/>
          <w:bCs/>
          <w:szCs w:val="21"/>
        </w:rPr>
        <w:t xml:space="preserve">24、编写评标报告</w:t>
      </w:r>
      <w:r/>
    </w:p>
    <w:p>
      <w:pPr>
        <w:ind w:firstLine="420"/>
        <w:spacing w:line="360" w:lineRule="auto"/>
        <w:shd w:val="clear" w:color="auto" w:fill="ffffff"/>
        <w:widowControl/>
        <w:rPr>
          <w:szCs w:val="21"/>
        </w:rPr>
      </w:pPr>
      <w:r>
        <w:rPr>
          <w:rFonts w:hint="eastAsia"/>
          <w:szCs w:val="21"/>
        </w:rPr>
        <w:t xml:space="preserve">24.1评标委员会根据全体评标成员签字的原始评标记录和评标结果编写评标报告。</w:t>
      </w:r>
      <w:r/>
    </w:p>
    <w:p>
      <w:pPr>
        <w:ind w:firstLine="420"/>
        <w:spacing w:line="360" w:lineRule="auto"/>
        <w:shd w:val="clear" w:color="auto" w:fill="ffffff"/>
        <w:widowControl/>
        <w:rPr>
          <w:szCs w:val="21"/>
        </w:rPr>
      </w:pPr>
      <w:r>
        <w:rPr>
          <w:rFonts w:hint="eastAsia"/>
          <w:b/>
          <w:bCs/>
          <w:szCs w:val="21"/>
        </w:rPr>
        <w:t xml:space="preserve">25、评标过程的保密性</w:t>
      </w:r>
      <w:r/>
    </w:p>
    <w:p>
      <w:pPr>
        <w:ind w:firstLine="420"/>
        <w:spacing w:line="360" w:lineRule="auto"/>
        <w:shd w:val="clear" w:color="auto" w:fill="ffffff"/>
        <w:widowControl/>
        <w:rPr>
          <w:szCs w:val="21"/>
        </w:rPr>
      </w:pPr>
      <w:r>
        <w:rPr>
          <w:rFonts w:hint="eastAsia"/>
          <w:szCs w:val="21"/>
        </w:rPr>
        <w:t xml:space="preserve">25.1 采购人和采购代理机构将采取必要措施，保证评标在严格保密的情况下进行。</w:t>
      </w:r>
      <w:r/>
    </w:p>
    <w:p>
      <w:pPr>
        <w:ind w:firstLine="420"/>
        <w:spacing w:line="360" w:lineRule="auto"/>
        <w:shd w:val="clear" w:color="auto" w:fill="ffffff"/>
        <w:widowControl/>
        <w:rPr>
          <w:szCs w:val="21"/>
        </w:rPr>
      </w:pPr>
      <w:r>
        <w:rPr>
          <w:rFonts w:hint="eastAsia"/>
          <w:szCs w:val="21"/>
        </w:rPr>
        <w:t xml:space="preserve">25.2 任何单位和个人不得非法干预、影响评标办法的确定，以及评标过程和结果。</w:t>
      </w:r>
      <w:r/>
    </w:p>
    <w:p>
      <w:pPr>
        <w:ind w:firstLine="420"/>
        <w:spacing w:line="360" w:lineRule="auto"/>
        <w:shd w:val="clear" w:color="auto" w:fill="ffffff"/>
        <w:widowControl/>
        <w:rPr>
          <w:szCs w:val="21"/>
        </w:rPr>
      </w:pPr>
      <w:r>
        <w:rPr>
          <w:rFonts w:hint="eastAsia"/>
          <w:szCs w:val="21"/>
        </w:rPr>
        <w:t xml:space="preserve">25.3 凡是与审查、澄清、评价和比较投标的有关资料等，均不向投标人及与评标无关的其他人员透露。</w:t>
      </w:r>
      <w:r/>
    </w:p>
    <w:p>
      <w:pPr>
        <w:ind w:firstLine="420"/>
        <w:spacing w:line="360" w:lineRule="auto"/>
        <w:shd w:val="clear" w:color="auto" w:fill="ffffff"/>
        <w:widowControl/>
        <w:rPr>
          <w:szCs w:val="21"/>
        </w:rPr>
      </w:pPr>
      <w:r>
        <w:rPr>
          <w:rFonts w:hint="eastAsia"/>
          <w:b/>
          <w:bCs/>
          <w:szCs w:val="21"/>
        </w:rPr>
        <w:t xml:space="preserve">六、签订合同</w:t>
      </w:r>
      <w:r/>
    </w:p>
    <w:p>
      <w:pPr>
        <w:ind w:firstLine="420"/>
        <w:spacing w:line="360" w:lineRule="auto"/>
        <w:shd w:val="clear" w:color="auto" w:fill="ffffff"/>
        <w:widowControl/>
        <w:rPr>
          <w:szCs w:val="21"/>
        </w:rPr>
      </w:pPr>
      <w:r>
        <w:rPr>
          <w:rFonts w:hint="eastAsia"/>
          <w:b/>
          <w:bCs/>
          <w:szCs w:val="21"/>
        </w:rPr>
        <w:t xml:space="preserve">26、签订合同</w:t>
      </w:r>
      <w:r/>
    </w:p>
    <w:p>
      <w:pPr>
        <w:ind w:firstLine="420"/>
        <w:spacing w:line="360" w:lineRule="auto"/>
        <w:shd w:val="clear" w:color="auto" w:fill="ffffff"/>
        <w:widowControl/>
        <w:rPr>
          <w:szCs w:val="21"/>
        </w:rPr>
      </w:pPr>
      <w:r>
        <w:rPr>
          <w:rFonts w:hint="eastAsia"/>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b/>
          <w:bCs/>
          <w:szCs w:val="21"/>
        </w:rPr>
      </w:pPr>
      <w:r>
        <w:rPr>
          <w:b/>
          <w:szCs w:val="21"/>
        </w:rPr>
        <w:t xml:space="preserve">26.2</w:t>
      </w:r>
      <w:r>
        <w:rPr>
          <w:rFonts w:hint="eastAsia"/>
          <w:szCs w:val="21"/>
        </w:rPr>
        <w:t xml:space="preserve">除继续履行将损害国家利益和社会公众利益的，政府采购合同的双方当事人不得擅自变更、中止或者终止合同。</w:t>
      </w:r>
      <w:r>
        <w:rPr>
          <w:rFonts w:hint="eastAsia"/>
          <w:b/>
          <w:bCs/>
          <w:szCs w:val="21"/>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widowControl/>
        <w:rPr>
          <w:szCs w:val="21"/>
        </w:rPr>
      </w:pPr>
      <w:r>
        <w:rPr>
          <w:rFonts w:hint="eastAsia"/>
          <w:szCs w:val="21"/>
        </w:rPr>
        <w:t xml:space="preserve">26.3采购人不得向中标人提出任何不合理的要求作为签订合同的条件。</w:t>
      </w:r>
      <w:r/>
    </w:p>
    <w:p>
      <w:pPr>
        <w:ind w:firstLine="420"/>
        <w:spacing w:line="360" w:lineRule="auto"/>
        <w:shd w:val="clear" w:color="auto" w:fill="ffffff"/>
        <w:widowControl/>
        <w:rPr>
          <w:szCs w:val="21"/>
        </w:rPr>
      </w:pPr>
      <w:r>
        <w:rPr>
          <w:rFonts w:hint="eastAsia"/>
          <w:szCs w:val="21"/>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szCs w:val="21"/>
        </w:rPr>
      </w:pPr>
      <w:r>
        <w:rPr>
          <w:rFonts w:hint="eastAsia"/>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szCs w:val="21"/>
        </w:rPr>
      </w:pPr>
      <w:r>
        <w:rPr>
          <w:rFonts w:hint="eastAsia"/>
          <w:szCs w:val="21"/>
        </w:rPr>
        <w:t xml:space="preserve">26.6 采购人与中标人应当根据合同的约定依法履行合同义务。</w:t>
      </w:r>
      <w:r/>
    </w:p>
    <w:p>
      <w:pPr>
        <w:ind w:firstLine="420"/>
        <w:spacing w:line="360" w:lineRule="auto"/>
        <w:shd w:val="clear" w:color="auto" w:fill="ffffff"/>
        <w:widowControl/>
        <w:rPr>
          <w:szCs w:val="21"/>
        </w:rPr>
      </w:pPr>
      <w:r>
        <w:rPr>
          <w:rFonts w:hint="eastAsia"/>
          <w:b/>
          <w:bCs/>
          <w:szCs w:val="21"/>
        </w:rPr>
        <w:t xml:space="preserve">七、质疑和投诉</w:t>
      </w:r>
      <w:r/>
    </w:p>
    <w:p>
      <w:pPr>
        <w:ind w:firstLine="420"/>
        <w:spacing w:line="360" w:lineRule="auto"/>
        <w:shd w:val="clear" w:color="auto" w:fill="ffffff"/>
        <w:widowControl/>
        <w:rPr>
          <w:szCs w:val="21"/>
        </w:rPr>
      </w:pPr>
      <w:r>
        <w:rPr>
          <w:rFonts w:hint="eastAsia"/>
          <w:b/>
          <w:bCs/>
          <w:szCs w:val="21"/>
        </w:rPr>
        <w:t xml:space="preserve">27、质疑</w:t>
      </w:r>
      <w:r/>
    </w:p>
    <w:p>
      <w:pPr>
        <w:ind w:firstLine="420"/>
        <w:spacing w:line="360" w:lineRule="auto"/>
        <w:shd w:val="clear" w:color="auto" w:fill="ffffff"/>
        <w:widowControl/>
        <w:rPr>
          <w:szCs w:val="21"/>
        </w:rPr>
      </w:pPr>
      <w:r>
        <w:rPr>
          <w:rFonts w:hint="eastAsia"/>
          <w:szCs w:val="21"/>
        </w:rPr>
        <w:t xml:space="preserve">27.1供应商对招标活动事项有疑问的，可以向采购代理机构提出询问，采购代理机构将依法作出答复，但答复的内容不涉及商业秘密</w:t>
      </w:r>
      <w:r>
        <w:rPr>
          <w:rFonts w:hint="eastAsia"/>
          <w:b/>
          <w:bCs/>
          <w:szCs w:val="21"/>
        </w:rPr>
        <w:t xml:space="preserve">。</w:t>
      </w:r>
      <w:r/>
    </w:p>
    <w:p>
      <w:pPr>
        <w:ind w:firstLine="420"/>
        <w:spacing w:line="360" w:lineRule="auto"/>
        <w:shd w:val="clear" w:color="auto" w:fill="ffffff"/>
        <w:widowControl/>
        <w:rPr>
          <w:szCs w:val="21"/>
        </w:rPr>
      </w:pPr>
      <w:r>
        <w:rPr>
          <w:rFonts w:hint="eastAsia"/>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szCs w:val="21"/>
        </w:rPr>
      </w:pPr>
      <w:r>
        <w:rPr>
          <w:rFonts w:hint="eastAsia"/>
          <w:szCs w:val="21"/>
        </w:rPr>
        <w:t xml:space="preserve">27.3</w:t>
      </w:r>
      <w:r>
        <w:rPr>
          <w:rFonts w:hint="eastAsia" w:ascii="宋体" w:hAnsi="宋体" w:cs="宋体"/>
          <w:szCs w:val="21"/>
        </w:rPr>
        <w:t xml:space="preserve">供应商认为采购文件、采购过程和中标结果使自己的合法权益受到损害的，可以在知道或者应知其权益受到损害之日起七个工作日内，</w:t>
      </w:r>
      <w:r>
        <w:rPr>
          <w:rFonts w:hint="eastAsia" w:ascii="宋体" w:hAnsi="宋体" w:cs="宋体"/>
          <w:b/>
          <w:bCs/>
          <w:szCs w:val="21"/>
          <w:lang w:val="en-US" w:eastAsia="zh-CN"/>
        </w:rPr>
        <w:t xml:space="preserve">以</w:t>
      </w:r>
      <w:r>
        <w:rPr>
          <w:rFonts w:hint="eastAsia" w:ascii="宋体" w:hAnsi="宋体" w:cs="宋体"/>
          <w:b/>
          <w:bCs/>
          <w:szCs w:val="21"/>
          <w:highlight w:val="none"/>
          <w:lang w:val="en-US" w:eastAsia="zh-CN"/>
        </w:rPr>
        <w:t xml:space="preserve">书面形式向</w:t>
      </w:r>
      <w:r>
        <w:rPr>
          <w:rFonts w:hint="eastAsia" w:ascii="宋体" w:hAnsi="宋体" w:cs="宋体"/>
          <w:b/>
          <w:bCs/>
          <w:szCs w:val="21"/>
        </w:rPr>
        <w:t xml:space="preserve">采购人或采购代理机构</w:t>
      </w:r>
      <w:r>
        <w:rPr>
          <w:rFonts w:hint="eastAsia" w:ascii="宋体" w:hAnsi="宋体" w:cs="宋体"/>
          <w:b/>
          <w:bCs/>
          <w:szCs w:val="21"/>
          <w:lang w:val="en-US" w:eastAsia="zh-CN"/>
        </w:rPr>
        <w:t xml:space="preserve">提出质疑</w:t>
      </w:r>
      <w:r>
        <w:rPr>
          <w:rFonts w:hint="eastAsia" w:ascii="宋体" w:hAnsi="宋体" w:cs="宋体"/>
          <w:b/>
          <w:bCs/>
          <w:szCs w:val="21"/>
        </w:rPr>
        <w:t xml:space="preserve">。</w:t>
      </w:r>
      <w:r/>
    </w:p>
    <w:p>
      <w:pPr>
        <w:ind w:firstLine="420"/>
        <w:spacing w:line="360" w:lineRule="auto"/>
        <w:shd w:val="clear" w:color="auto" w:fill="ffffff"/>
        <w:widowControl/>
        <w:rPr>
          <w:szCs w:val="21"/>
        </w:rPr>
      </w:pPr>
      <w:r>
        <w:rPr>
          <w:rFonts w:hint="eastAsia"/>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b/>
          <w:bCs/>
          <w:szCs w:val="21"/>
        </w:rPr>
      </w:pPr>
      <w:r>
        <w:rPr>
          <w:rFonts w:hint="eastAsia"/>
          <w:b/>
          <w:bCs/>
        </w:rPr>
        <w:t xml:space="preserve">供应商必须在法定质疑期内一次性提出针对同一采购程序环节的质疑。</w:t>
      </w:r>
      <w:r/>
    </w:p>
    <w:p>
      <w:pPr>
        <w:ind w:firstLine="420"/>
        <w:spacing w:line="360" w:lineRule="auto"/>
        <w:shd w:val="clear" w:color="auto" w:fill="ffffff"/>
        <w:widowControl/>
        <w:rPr>
          <w:szCs w:val="21"/>
        </w:rPr>
      </w:pPr>
      <w:r>
        <w:rPr>
          <w:rFonts w:hint="eastAsia"/>
          <w:szCs w:val="21"/>
        </w:rPr>
        <w:t xml:space="preserve">27.4 供应商提出质疑应当提交质疑函和必要的证明材料。质疑函应当包括下列内容：</w:t>
      </w:r>
      <w:r/>
    </w:p>
    <w:p>
      <w:pPr>
        <w:ind w:firstLine="420"/>
        <w:spacing w:line="360" w:lineRule="auto"/>
        <w:shd w:val="clear" w:color="auto" w:fill="ffffff"/>
        <w:widowControl/>
        <w:rPr>
          <w:szCs w:val="21"/>
        </w:rPr>
      </w:pPr>
      <w:r>
        <w:rPr>
          <w:rFonts w:hint="eastAsia"/>
          <w:szCs w:val="21"/>
        </w:rPr>
        <w:t xml:space="preserve">（一）供应商的姓名或者名称、地址、邮编、联系人及联系电话；</w:t>
      </w:r>
      <w:r/>
    </w:p>
    <w:p>
      <w:pPr>
        <w:ind w:firstLine="420"/>
        <w:spacing w:line="360" w:lineRule="auto"/>
        <w:shd w:val="clear" w:color="auto" w:fill="ffffff"/>
        <w:widowControl/>
        <w:rPr>
          <w:szCs w:val="21"/>
        </w:rPr>
      </w:pPr>
      <w:r>
        <w:rPr>
          <w:rFonts w:hint="eastAsia"/>
          <w:szCs w:val="21"/>
        </w:rPr>
        <w:t xml:space="preserve">（二）质疑项目的名称、编号；</w:t>
      </w:r>
      <w:r/>
    </w:p>
    <w:p>
      <w:pPr>
        <w:ind w:firstLine="420"/>
        <w:spacing w:line="360" w:lineRule="auto"/>
        <w:shd w:val="clear" w:color="auto" w:fill="ffffff"/>
        <w:widowControl/>
        <w:rPr>
          <w:szCs w:val="21"/>
        </w:rPr>
      </w:pPr>
      <w:r>
        <w:rPr>
          <w:rFonts w:hint="eastAsia"/>
          <w:szCs w:val="21"/>
        </w:rPr>
        <w:t xml:space="preserve">（三）具体、明确的质疑事项和与质疑事项相关的请求（具体条款）；</w:t>
      </w:r>
      <w:r/>
    </w:p>
    <w:p>
      <w:pPr>
        <w:ind w:firstLine="420"/>
        <w:spacing w:line="360" w:lineRule="auto"/>
        <w:shd w:val="clear" w:color="auto" w:fill="ffffff"/>
        <w:widowControl/>
        <w:rPr>
          <w:szCs w:val="21"/>
        </w:rPr>
      </w:pPr>
      <w:r>
        <w:rPr>
          <w:rFonts w:hint="eastAsia"/>
          <w:szCs w:val="21"/>
        </w:rPr>
        <w:t xml:space="preserve">（四）事实依据（具体条款）；</w:t>
      </w:r>
      <w:r/>
    </w:p>
    <w:p>
      <w:pPr>
        <w:ind w:firstLine="420"/>
        <w:spacing w:line="360" w:lineRule="auto"/>
        <w:shd w:val="clear" w:color="auto" w:fill="ffffff"/>
        <w:widowControl/>
        <w:rPr>
          <w:szCs w:val="21"/>
        </w:rPr>
      </w:pPr>
      <w:r>
        <w:rPr>
          <w:rFonts w:hint="eastAsia"/>
          <w:szCs w:val="21"/>
        </w:rPr>
        <w:t xml:space="preserve">（五）必要的法律依据（具体条款）；</w:t>
      </w:r>
      <w:r/>
    </w:p>
    <w:p>
      <w:pPr>
        <w:ind w:firstLine="420"/>
        <w:spacing w:line="360" w:lineRule="auto"/>
        <w:shd w:val="clear" w:color="auto" w:fill="ffffff"/>
        <w:widowControl/>
        <w:rPr>
          <w:szCs w:val="21"/>
        </w:rPr>
      </w:pPr>
      <w:r>
        <w:rPr>
          <w:rFonts w:hint="eastAsia"/>
          <w:szCs w:val="21"/>
        </w:rPr>
        <w:t xml:space="preserve">（六）提出质疑的日期。</w:t>
      </w:r>
      <w:r/>
    </w:p>
    <w:p>
      <w:pPr>
        <w:ind w:firstLine="420"/>
        <w:spacing w:line="360" w:lineRule="auto"/>
        <w:shd w:val="clear" w:color="auto" w:fill="ffffff"/>
        <w:widowControl/>
        <w:rPr>
          <w:szCs w:val="21"/>
        </w:rPr>
      </w:pPr>
      <w:r>
        <w:rPr>
          <w:rFonts w:hint="eastAsia"/>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szCs w:val="21"/>
        </w:rPr>
      </w:pPr>
      <w:r>
        <w:rPr>
          <w:rFonts w:hint="eastAsia"/>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szCs w:val="21"/>
          <w:lang w:val="en-US" w:eastAsia="zh-CN"/>
        </w:rPr>
      </w:pPr>
      <w:r>
        <w:rPr>
          <w:rFonts w:hint="eastAsia"/>
          <w:szCs w:val="21"/>
        </w:rPr>
        <w:t xml:space="preserve">27.</w:t>
      </w:r>
      <w:r>
        <w:rPr>
          <w:rFonts w:hint="eastAsia"/>
          <w:szCs w:val="21"/>
          <w:lang w:val="en-US" w:eastAsia="zh-CN"/>
        </w:rPr>
        <w:t xml:space="preserve">5</w:t>
      </w:r>
      <w:r>
        <w:rPr>
          <w:rFonts w:hint="eastAsia"/>
          <w:szCs w:val="21"/>
        </w:rPr>
        <w:t xml:space="preserve"> 投标人不得虚假质疑和恶意质疑，并对质疑内容的真实性承担责任。投标人或者其他利害关系人通过捏造事实、伪造证明材料等方式提出异议或投诉，阻碍招投标活动正常进行的，属于严重不良行为，财政部门将依法予以处罚。</w:t>
      </w:r>
      <w:r/>
    </w:p>
    <w:p>
      <w:pPr>
        <w:ind w:firstLine="420"/>
        <w:spacing w:line="360" w:lineRule="auto"/>
        <w:shd w:val="clear" w:color="auto" w:fill="ffffff"/>
        <w:widowControl/>
        <w:rPr>
          <w:szCs w:val="21"/>
        </w:rPr>
      </w:pPr>
      <w:r>
        <w:rPr>
          <w:rFonts w:hint="eastAsia"/>
          <w:szCs w:val="21"/>
        </w:rPr>
        <w:t xml:space="preserve">27.</w:t>
      </w:r>
      <w:r>
        <w:rPr>
          <w:rFonts w:hint="eastAsia"/>
          <w:szCs w:val="21"/>
          <w:lang w:val="en-US" w:eastAsia="zh-CN"/>
        </w:rPr>
        <w:t xml:space="preserve">6</w:t>
      </w:r>
      <w:r>
        <w:rPr>
          <w:rFonts w:hint="eastAsia"/>
          <w:szCs w:val="21"/>
        </w:rPr>
        <w:t xml:space="preserve">采购代理机构在收到投标人的书面质疑后将及时组织调查核实，在</w:t>
      </w:r>
      <w:r>
        <w:rPr>
          <w:rFonts w:hint="eastAsia"/>
          <w:b/>
          <w:bCs/>
          <w:szCs w:val="21"/>
        </w:rPr>
        <w:t xml:space="preserve">七个工作日内</w:t>
      </w:r>
      <w:r>
        <w:rPr>
          <w:rFonts w:hint="eastAsia"/>
          <w:szCs w:val="21"/>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szCs w:val="21"/>
        </w:rPr>
      </w:pPr>
      <w:r>
        <w:rPr>
          <w:rFonts w:hint="eastAsia"/>
          <w:b/>
          <w:bCs/>
          <w:szCs w:val="21"/>
        </w:rPr>
        <w:t xml:space="preserve">28、投诉</w:t>
      </w:r>
      <w:r/>
    </w:p>
    <w:p>
      <w:pPr>
        <w:ind w:firstLine="420"/>
        <w:spacing w:line="420" w:lineRule="exact"/>
      </w:pPr>
      <w:r>
        <w:rPr>
          <w:rFonts w:hint="eastAsia"/>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pPr>
      <w:r>
        <w:rPr>
          <w:rFonts w:hint="eastAsia"/>
          <w:szCs w:val="21"/>
        </w:rPr>
        <w:t xml:space="preserve">28.2供应商投诉应当有明确的请求和必要的证明材料。供应商投诉的事项不得超出已质疑事项的范围。</w:t>
      </w:r>
      <w:r/>
    </w:p>
    <w:p>
      <w:pPr>
        <w:ind w:firstLine="420"/>
        <w:spacing w:line="420" w:lineRule="exact"/>
      </w:pPr>
      <w:r>
        <w:rPr>
          <w:rFonts w:hint="eastAsia"/>
          <w:szCs w:val="21"/>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szCs w:val="21"/>
        </w:rPr>
      </w:pPr>
      <w:r>
        <w:rPr>
          <w:rFonts w:hint="eastAsia"/>
        </w:rPr>
        <w:t xml:space="preserve">28.4 投诉人有下列行为之一的，属于严重失信行为，</w:t>
      </w:r>
      <w:r>
        <w:rPr>
          <w:rFonts w:hint="eastAsia"/>
          <w:szCs w:val="21"/>
        </w:rPr>
        <w:t xml:space="preserve">由财政部门列入不良行为记录名单，禁止其一至三年内参加政府采购活动。</w:t>
      </w:r>
      <w:r/>
    </w:p>
    <w:p>
      <w:pPr>
        <w:ind w:firstLine="420"/>
        <w:spacing w:line="420" w:lineRule="exact"/>
      </w:pPr>
      <w:r>
        <w:rPr>
          <w:rFonts w:hint="eastAsia"/>
        </w:rPr>
        <w:t xml:space="preserve">（1）投诉人在全国范围12个月内三次以上投诉查无实据的；</w:t>
      </w:r>
      <w:r/>
    </w:p>
    <w:p>
      <w:pPr>
        <w:ind w:firstLine="420"/>
        <w:spacing w:line="420" w:lineRule="exact"/>
      </w:pPr>
      <w:r>
        <w:rPr>
          <w:rFonts w:hint="eastAsia"/>
        </w:rPr>
        <w:t xml:space="preserve">（2）采用捏造事实、提供虚假材料或者以非法手段取得证明材料等方式进行虚假、恶意投诉。</w:t>
      </w:r>
      <w:r/>
    </w:p>
    <w:p>
      <w:pPr>
        <w:ind w:firstLine="420"/>
        <w:spacing w:line="420" w:lineRule="exact"/>
      </w:pPr>
      <w:r>
        <w:rPr>
          <w:rFonts w:hint="eastAsia"/>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b/>
          <w:bCs/>
          <w:szCs w:val="21"/>
        </w:rPr>
      </w:pPr>
      <w:r>
        <w:rPr>
          <w:rFonts w:hint="eastAsia"/>
          <w:b/>
          <w:bCs/>
          <w:szCs w:val="21"/>
        </w:rPr>
        <w:t xml:space="preserve">29、其他</w:t>
      </w:r>
      <w:r/>
    </w:p>
    <w:p>
      <w:pPr>
        <w:ind w:firstLine="420"/>
        <w:spacing w:line="360" w:lineRule="auto"/>
        <w:rPr>
          <w:szCs w:val="20"/>
        </w:rPr>
      </w:pPr>
      <w:r>
        <w:rPr>
          <w:rFonts w:hint="eastAsia"/>
          <w:szCs w:val="20"/>
        </w:rPr>
        <w:t xml:space="preserve">29.1本项目根据江苏省财政厅关于加强政府绿色采购有关事项的通知（苏财购</w:t>
      </w:r>
      <w:r>
        <w:rPr>
          <w:rFonts w:hint="eastAsia"/>
          <w:szCs w:val="21"/>
        </w:rPr>
        <w:t xml:space="preserve">〔2023〕65号</w:t>
      </w:r>
      <w:r>
        <w:rPr>
          <w:rFonts w:hint="eastAsia"/>
          <w:szCs w:val="20"/>
        </w:rPr>
        <w:t xml:space="preserve">）规定，执行绿色采购需求标准。</w:t>
      </w:r>
      <w:r/>
    </w:p>
    <w:p>
      <w:r>
        <w:br w:type="page" w:clear="all"/>
      </w:r>
      <w:r/>
    </w:p>
    <w:p>
      <w:pPr>
        <w:pStyle w:val="789"/>
        <w:numPr>
          <w:ilvl w:val="0"/>
          <w:numId w:val="0"/>
        </w:numPr>
        <w:spacing w:line="360" w:lineRule="auto"/>
      </w:pPr>
      <w:r/>
      <w:bookmarkStart w:id="6" w:name="_Toc481057145"/>
      <w:r/>
      <w:bookmarkStart w:id="7" w:name="_Toc227144764"/>
      <w:r>
        <w:rPr>
          <w:rFonts w:hint="eastAsia"/>
        </w:rPr>
        <w:t xml:space="preserve">第三章 评标标准</w:t>
      </w:r>
      <w:bookmarkEnd w:id="6"/>
      <w:r/>
      <w:bookmarkEnd w:id="7"/>
      <w:r/>
      <w:r/>
    </w:p>
    <w:p>
      <w:pPr>
        <w:pStyle w:val="800"/>
        <w:spacing w:line="360" w:lineRule="auto"/>
      </w:pPr>
      <w:r>
        <w:rPr>
          <w:rFonts w:hint="eastAsia"/>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tbl>
      <w:tblPr>
        <w:tblStyle w:val="79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6"/>
        <w:gridCol w:w="1143"/>
        <w:gridCol w:w="6916"/>
        <w:gridCol w:w="989"/>
      </w:tblGrid>
      <w:tr>
        <w:trPr>
          <w:jc w:val="center"/>
          <w:tblHeader/>
        </w:trPr>
        <w:tc>
          <w:tcPr>
            <w:tcW w:w="409" w:type="pct"/>
            <w:vAlign w:val="center"/>
            <w:textDirection w:val="lrTb"/>
            <w:noWrap w:val="false"/>
          </w:tcPr>
          <w:p>
            <w:pPr>
              <w:jc w:val="center"/>
              <w:keepLines w:val="0"/>
              <w:keepNext w:val="0"/>
              <w:pageBreakBefore w:val="0"/>
              <w:spacing w:beforeAutospacing="0" w:afterAutospacing="0"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序号</w:t>
            </w:r>
            <w:r/>
          </w:p>
        </w:tc>
        <w:tc>
          <w:tcPr>
            <w:tcW w:w="580" w:type="pct"/>
            <w:vAlign w:val="center"/>
            <w:textDirection w:val="lrTb"/>
            <w:noWrap w:val="false"/>
          </w:tcPr>
          <w:p>
            <w:pPr>
              <w:jc w:val="center"/>
              <w:keepLines w:val="0"/>
              <w:keepNext w:val="0"/>
              <w:pageBreakBefore w:val="0"/>
              <w:spacing w:beforeAutospacing="0" w:afterAutospacing="0"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评分因素</w:t>
            </w:r>
            <w:r/>
          </w:p>
        </w:tc>
        <w:tc>
          <w:tcPr>
            <w:tcW w:w="3509" w:type="pct"/>
            <w:vAlign w:val="center"/>
            <w:textDirection w:val="lrTb"/>
            <w:noWrap w:val="false"/>
          </w:tcPr>
          <w:p>
            <w:pPr>
              <w:jc w:val="center"/>
              <w:keepLines w:val="0"/>
              <w:keepNext w:val="0"/>
              <w:pageBreakBefore w:val="0"/>
              <w:spacing w:beforeAutospacing="0" w:afterAutospacing="0"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评审细则</w:t>
            </w:r>
            <w:r/>
          </w:p>
        </w:tc>
        <w:tc>
          <w:tcPr>
            <w:tcW w:w="502" w:type="pct"/>
            <w:vAlign w:val="center"/>
            <w:textDirection w:val="lrTb"/>
            <w:noWrap w:val="false"/>
          </w:tcPr>
          <w:p>
            <w:pPr>
              <w:jc w:val="center"/>
              <w:keepLines w:val="0"/>
              <w:keepNext w:val="0"/>
              <w:pageBreakBefore w:val="0"/>
              <w:spacing w:beforeAutospacing="0" w:afterAutospacing="0"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分值</w:t>
            </w:r>
            <w:r/>
          </w:p>
        </w:tc>
      </w:tr>
      <w:tr>
        <w:trPr>
          <w:jc w:val="center"/>
        </w:trPr>
        <w:tc>
          <w:tcPr>
            <w:tcW w:w="409" w:type="pct"/>
            <w:vAlign w:val="center"/>
            <w:textDirection w:val="lrTb"/>
            <w:noWrap w:val="false"/>
          </w:tcPr>
          <w:p>
            <w:pPr>
              <w:jc w:val="center"/>
              <w:keepLines w:val="0"/>
              <w:keepNext w:val="0"/>
              <w:pageBreakBefore w:val="0"/>
              <w:spacing w:beforeAutospacing="0" w:afterAutospacing="0"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1</w:t>
            </w:r>
            <w:r/>
          </w:p>
        </w:tc>
        <w:tc>
          <w:tcPr>
            <w:tcW w:w="580" w:type="pct"/>
            <w:vAlign w:val="center"/>
            <w:textDirection w:val="lrTb"/>
            <w:noWrap w:val="false"/>
          </w:tcPr>
          <w:p>
            <w:pPr>
              <w:jc w:val="center"/>
              <w:keepLines w:val="0"/>
              <w:keepNext w:val="0"/>
              <w:pageBreakBefore w:val="0"/>
              <w:spacing w:beforeAutospacing="0" w:afterAutospacing="0"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价格</w:t>
            </w:r>
            <w:r/>
          </w:p>
          <w:p>
            <w:pPr>
              <w:jc w:val="center"/>
              <w:keepLines w:val="0"/>
              <w:keepNext w:val="0"/>
              <w:pageBreakBefore w:val="0"/>
              <w:spacing w:beforeAutospacing="0" w:afterAutospacing="0"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（30分）</w:t>
            </w:r>
            <w:r/>
          </w:p>
        </w:tc>
        <w:tc>
          <w:tcPr>
            <w:tcW w:w="3509" w:type="pct"/>
            <w:vAlign w:val="center"/>
            <w:textDirection w:val="lrTb"/>
            <w:noWrap w:val="false"/>
          </w:tcPr>
          <w:p>
            <w:pPr>
              <w:keepLines w:val="0"/>
              <w:keepNext w:val="0"/>
              <w:pageBreakBefore w:val="0"/>
              <w:spacing w:beforeAutospacing="0" w:afterAutospacing="0"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本次招标，以进入详细评审的各投标人评标价的最低值为评标基准价，评标基准价的价格分的满分，即30分。其他投标人的价格分统一按照以下公式计算：投标人评标价得分=（评标基准价／该投标人评标价）×30（小数点保留两位）。</w:t>
            </w:r>
            <w:r/>
          </w:p>
        </w:tc>
        <w:tc>
          <w:tcPr>
            <w:tcW w:w="502" w:type="pct"/>
            <w:vAlign w:val="center"/>
            <w:textDirection w:val="lrTb"/>
            <w:noWrap w:val="false"/>
          </w:tcPr>
          <w:p>
            <w:pPr>
              <w:jc w:val="center"/>
              <w:keepLines w:val="0"/>
              <w:keepNext w:val="0"/>
              <w:pageBreakBefore w:val="0"/>
              <w:spacing w:beforeAutospacing="0" w:afterAutospacing="0"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30</w:t>
            </w:r>
            <w:r/>
          </w:p>
        </w:tc>
      </w:tr>
      <w:tr>
        <w:trPr>
          <w:jc w:val="center"/>
        </w:trPr>
        <w:tc>
          <w:tcPr>
            <w:tcW w:w="409" w:type="pct"/>
            <w:vAlign w:val="center"/>
            <w:textDirection w:val="lrTb"/>
            <w:noWrap w:val="false"/>
          </w:tcPr>
          <w:p>
            <w:pPr>
              <w:jc w:val="center"/>
              <w:keepLines w:val="0"/>
              <w:keepNext w:val="0"/>
              <w:pageBreakBefore w:val="0"/>
              <w:spacing w:beforeAutospacing="0" w:afterAutospacing="0"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2</w:t>
            </w:r>
            <w:r/>
          </w:p>
        </w:tc>
        <w:tc>
          <w:tcPr>
            <w:tcW w:w="580" w:type="pct"/>
            <w:vAlign w:val="center"/>
            <w:textDirection w:val="lrTb"/>
            <w:noWrap w:val="false"/>
          </w:tcPr>
          <w:p>
            <w:pPr>
              <w:jc w:val="center"/>
              <w:keepLines w:val="0"/>
              <w:keepNext w:val="0"/>
              <w:pageBreakBefore w:val="0"/>
              <w:spacing w:beforeAutospacing="0" w:afterAutospacing="0"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技术响应</w:t>
            </w:r>
            <w:r/>
          </w:p>
          <w:p>
            <w:pPr>
              <w:jc w:val="center"/>
              <w:keepLines w:val="0"/>
              <w:keepNext w:val="0"/>
              <w:pageBreakBefore w:val="0"/>
              <w:spacing w:beforeAutospacing="0" w:afterAutospacing="0"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（44分）</w:t>
            </w:r>
            <w:r/>
          </w:p>
        </w:tc>
        <w:tc>
          <w:tcPr>
            <w:tcW w:w="3509" w:type="pct"/>
            <w:vAlign w:val="center"/>
            <w:textDirection w:val="lrTb"/>
            <w:noWrap w:val="false"/>
          </w:tcPr>
          <w:p>
            <w:pPr>
              <w:keepLines w:val="0"/>
              <w:keepNext w:val="0"/>
              <w:pageBreakBefore w:val="0"/>
              <w:spacing w:beforeAutospacing="0" w:afterAutospacing="0" w:line="360" w:lineRule="auto"/>
              <w:shd w:val="clear" w:color="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评委根据招标文件第四章《采购需求》，对投标文件中技术偏离情况和相关佐证材料进行打分，全部响应即满足采购文件功能技术参数及项目实施要求的得44分。非▲号参数每有一项负偏离扣0.</w:t>
            </w:r>
            <w:r>
              <w:rPr>
                <w:rFonts w:hint="eastAsia" w:cs="宋体" w:asciiTheme="minorEastAsia" w:hAnsiTheme="minorEastAsia" w:eastAsiaTheme="minorEastAsia"/>
                <w:szCs w:val="21"/>
                <w:highlight w:val="none"/>
                <w:lang w:val="en-US" w:eastAsia="zh-CN"/>
              </w:rPr>
              <w:t xml:space="preserve">6</w:t>
            </w:r>
            <w:r>
              <w:rPr>
                <w:rFonts w:hint="eastAsia" w:cs="宋体" w:asciiTheme="minorEastAsia" w:hAnsiTheme="minorEastAsia" w:eastAsiaTheme="minorEastAsia"/>
                <w:szCs w:val="21"/>
                <w:highlight w:val="none"/>
              </w:rPr>
              <w:t xml:space="preserve">分，▲号参数每有一项负偏离扣</w:t>
            </w:r>
            <w:r>
              <w:rPr>
                <w:rFonts w:hint="eastAsia" w:cs="宋体" w:asciiTheme="minorEastAsia" w:hAnsiTheme="minorEastAsia" w:eastAsiaTheme="minorEastAsia"/>
                <w:szCs w:val="21"/>
                <w:highlight w:val="none"/>
                <w:lang w:val="en-US" w:eastAsia="zh-CN"/>
              </w:rPr>
              <w:t xml:space="preserve">3.5</w:t>
            </w:r>
            <w:r>
              <w:rPr>
                <w:rFonts w:hint="eastAsia" w:cs="宋体" w:asciiTheme="minorEastAsia" w:hAnsiTheme="minorEastAsia" w:eastAsiaTheme="minorEastAsia"/>
                <w:szCs w:val="21"/>
                <w:highlight w:val="none"/>
              </w:rPr>
              <w:t xml:space="preserve">分，扣完为止。★号参数为不可负偏离项，如不符合，作无效投标处理。</w:t>
            </w:r>
            <w:r/>
          </w:p>
          <w:p>
            <w:pPr>
              <w:keepLines w:val="0"/>
              <w:keepNext w:val="0"/>
              <w:pageBreakBefore w:val="0"/>
              <w:spacing w:beforeAutospacing="0" w:afterAutospacing="0" w:line="360" w:lineRule="auto"/>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注：所有对招标文件标注“★”“▲”的具体要求、参数、数值指标的响应，要求投标供应商必须在投标文件中提供技术支持资料（技术支持材料包括产品注册登记表、厂家技术说明书、使用手册、屏幕截图、检测报告、彩页及技术参数中要求提供的其他材料等任意一种能够证明的材料均可），简单复制招标文件并标注响应或无偏离而又无相关完整技术支持资料证实，评审时评标委员会成员有权不予认可。对招标文件明确的需主观判定的功能性描述要求未做任何情况说明或响应承诺的，评标委员会有权将其作负偏离处理。</w:t>
            </w:r>
            <w:r/>
          </w:p>
        </w:tc>
        <w:tc>
          <w:tcPr>
            <w:tcW w:w="502" w:type="pct"/>
            <w:vAlign w:val="center"/>
            <w:textDirection w:val="lrTb"/>
            <w:noWrap w:val="false"/>
          </w:tcPr>
          <w:p>
            <w:pPr>
              <w:jc w:val="center"/>
              <w:keepLines w:val="0"/>
              <w:keepNext w:val="0"/>
              <w:pageBreakBefore w:val="0"/>
              <w:spacing w:beforeAutospacing="0" w:afterAutospacing="0"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44</w:t>
            </w:r>
            <w:r/>
          </w:p>
        </w:tc>
      </w:tr>
      <w:tr>
        <w:trPr>
          <w:jc w:val="center"/>
        </w:trPr>
        <w:tc>
          <w:tcPr>
            <w:tcW w:w="409" w:type="pct"/>
            <w:vAlign w:val="center"/>
            <w:textDirection w:val="lrTb"/>
            <w:noWrap w:val="false"/>
          </w:tcPr>
          <w:p>
            <w:pPr>
              <w:jc w:val="center"/>
              <w:keepLines w:val="0"/>
              <w:keepNext w:val="0"/>
              <w:pageBreakBefore w:val="0"/>
              <w:spacing w:beforeAutospacing="0" w:afterAutospacing="0"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3</w:t>
            </w:r>
            <w:r/>
          </w:p>
        </w:tc>
        <w:tc>
          <w:tcPr>
            <w:tcW w:w="580" w:type="pct"/>
            <w:vAlign w:val="center"/>
            <w:textDirection w:val="lrTb"/>
            <w:noWrap w:val="false"/>
          </w:tcPr>
          <w:p>
            <w:pPr>
              <w:jc w:val="center"/>
              <w:keepLines w:val="0"/>
              <w:keepNext w:val="0"/>
              <w:pageBreakBefore w:val="0"/>
              <w:spacing w:beforeAutospacing="0" w:afterAutospacing="0"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产品业绩</w:t>
            </w:r>
            <w:r/>
          </w:p>
          <w:p>
            <w:pPr>
              <w:jc w:val="center"/>
              <w:keepLines w:val="0"/>
              <w:keepNext w:val="0"/>
              <w:pageBreakBefore w:val="0"/>
              <w:spacing w:beforeAutospacing="0" w:afterAutospacing="0"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（6分）</w:t>
            </w:r>
            <w:r/>
          </w:p>
        </w:tc>
        <w:tc>
          <w:tcPr>
            <w:tcW w:w="3509" w:type="pct"/>
            <w:vAlign w:val="center"/>
            <w:textDirection w:val="lrTb"/>
            <w:noWrap w:val="false"/>
          </w:tcPr>
          <w:p>
            <w:pPr>
              <w:keepLines w:val="0"/>
              <w:keepNext w:val="0"/>
              <w:pageBreakBefore w:val="0"/>
              <w:spacing w:beforeAutospacing="0" w:afterAutospacing="0" w:line="360" w:lineRule="auto"/>
              <w:rPr>
                <w:rFonts w:hint="eastAsia" w:cs="宋体" w:asciiTheme="minorEastAsia" w:hAnsiTheme="minorEastAsia" w:eastAsiaTheme="minorEastAsia"/>
                <w:szCs w:val="21"/>
              </w:rPr>
            </w:pPr>
            <w:r>
              <w:rPr>
                <w:rFonts w:hint="eastAsia" w:asciiTheme="minorEastAsia" w:hAnsiTheme="minorEastAsia" w:eastAsiaTheme="minorEastAsia"/>
                <w:color w:val="auto"/>
                <w:szCs w:val="21"/>
              </w:rPr>
              <w:t xml:space="preserve">提供</w:t>
            </w:r>
            <w:r>
              <w:rPr>
                <w:rFonts w:hint="eastAsia" w:asciiTheme="minorEastAsia" w:hAnsiTheme="minorEastAsia" w:eastAsiaTheme="minorEastAsia"/>
                <w:color w:val="auto"/>
                <w:szCs w:val="21"/>
                <w:lang w:val="en-US" w:eastAsia="zh-CN"/>
              </w:rPr>
              <w:t xml:space="preserve">制造商</w:t>
            </w:r>
            <w:r>
              <w:rPr>
                <w:rFonts w:hint="eastAsia" w:asciiTheme="minorEastAsia" w:hAnsiTheme="minorEastAsia" w:eastAsiaTheme="minorEastAsia"/>
                <w:color w:val="auto"/>
                <w:szCs w:val="21"/>
              </w:rPr>
              <w:t xml:space="preserve">近三年（自2023年1月1日至今，以合同签订时间为准）</w:t>
            </w:r>
            <w:r>
              <w:rPr>
                <w:rFonts w:hint="eastAsia" w:asciiTheme="minorEastAsia" w:hAnsiTheme="minorEastAsia" w:eastAsiaTheme="minorEastAsia"/>
                <w:color w:val="auto"/>
                <w:szCs w:val="21"/>
                <w:highlight w:val="none"/>
                <w:lang w:val="en-US" w:eastAsia="zh-CN"/>
              </w:rPr>
              <w:t xml:space="preserve">投</w:t>
            </w:r>
            <w:r>
              <w:rPr>
                <w:rFonts w:hint="eastAsia" w:asciiTheme="minorEastAsia" w:hAnsiTheme="minorEastAsia" w:eastAsiaTheme="minorEastAsia"/>
                <w:color w:val="auto"/>
                <w:szCs w:val="21"/>
                <w:highlight w:val="none"/>
              </w:rPr>
              <w:t xml:space="preserve">标</w:t>
            </w:r>
            <w:r>
              <w:rPr>
                <w:rFonts w:hint="eastAsia" w:asciiTheme="minorEastAsia" w:hAnsiTheme="minorEastAsia" w:eastAsiaTheme="minorEastAsia"/>
                <w:b/>
                <w:bCs/>
                <w:color w:val="auto"/>
                <w:szCs w:val="21"/>
                <w:highlight w:val="none"/>
                <w:lang w:val="en-US" w:eastAsia="zh-CN"/>
              </w:rPr>
              <w:t xml:space="preserve">质谱仪（</w:t>
            </w:r>
            <w:r>
              <w:rPr>
                <w:rFonts w:hint="eastAsia" w:asciiTheme="minorEastAsia" w:hAnsiTheme="minorEastAsia" w:eastAsiaTheme="minorEastAsia"/>
                <w:b/>
                <w:bCs/>
                <w:color w:val="auto"/>
                <w:szCs w:val="21"/>
                <w:highlight w:val="none"/>
              </w:rPr>
              <w:t xml:space="preserve">同品牌、同型号</w:t>
            </w:r>
            <w:r>
              <w:rPr>
                <w:rFonts w:hint="eastAsia" w:asciiTheme="minorEastAsia" w:hAnsiTheme="minorEastAsia" w:eastAsiaTheme="minorEastAsia"/>
                <w:b/>
                <w:bCs/>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的供货业绩。</w:t>
            </w:r>
            <w:r>
              <w:rPr>
                <w:rFonts w:hint="eastAsia" w:asciiTheme="minorEastAsia" w:hAnsiTheme="minorEastAsia" w:eastAsiaTheme="minorEastAsia"/>
                <w:color w:val="auto"/>
                <w:szCs w:val="21"/>
              </w:rPr>
              <w:t xml:space="preserve">每提供一份合同复印件并加盖电子签章得</w:t>
            </w:r>
            <w:r>
              <w:rPr>
                <w:rFonts w:hint="eastAsia" w:asciiTheme="minorEastAsia" w:hAnsiTheme="minorEastAsia" w:eastAsiaTheme="minorEastAsia"/>
                <w:color w:val="auto"/>
                <w:szCs w:val="21"/>
                <w:lang w:val="en-US" w:eastAsia="zh-CN"/>
              </w:rPr>
              <w:t xml:space="preserve">1</w:t>
            </w:r>
            <w:r>
              <w:rPr>
                <w:rFonts w:hint="eastAsia" w:asciiTheme="minorEastAsia" w:hAnsiTheme="minorEastAsia" w:eastAsiaTheme="minorEastAsia"/>
                <w:color w:val="auto"/>
                <w:szCs w:val="21"/>
              </w:rPr>
              <w:t xml:space="preserve">分，最多得6分。</w:t>
            </w:r>
            <w:r/>
          </w:p>
        </w:tc>
        <w:tc>
          <w:tcPr>
            <w:tcW w:w="502" w:type="pct"/>
            <w:vAlign w:val="center"/>
            <w:textDirection w:val="lrTb"/>
            <w:noWrap w:val="false"/>
          </w:tcPr>
          <w:p>
            <w:pPr>
              <w:jc w:val="center"/>
              <w:keepLines w:val="0"/>
              <w:keepNext w:val="0"/>
              <w:pageBreakBefore w:val="0"/>
              <w:spacing w:beforeAutospacing="0" w:afterAutospacing="0"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6</w:t>
            </w:r>
            <w:r/>
          </w:p>
        </w:tc>
      </w:tr>
      <w:tr>
        <w:trPr>
          <w:jc w:val="center"/>
        </w:trPr>
        <w:tc>
          <w:tcPr>
            <w:tcW w:w="409" w:type="pct"/>
            <w:vAlign w:val="center"/>
            <w:textDirection w:val="lrTb"/>
            <w:noWrap w:val="false"/>
          </w:tcPr>
          <w:p>
            <w:pPr>
              <w:jc w:val="center"/>
              <w:keepLines w:val="0"/>
              <w:keepNext w:val="0"/>
              <w:pageBreakBefore w:val="0"/>
              <w:spacing w:beforeAutospacing="0" w:afterAutospacing="0"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4</w:t>
            </w:r>
            <w:r/>
          </w:p>
        </w:tc>
        <w:tc>
          <w:tcPr>
            <w:tcW w:w="580" w:type="pct"/>
            <w:vAlign w:val="center"/>
            <w:textDirection w:val="lrTb"/>
            <w:noWrap w:val="false"/>
          </w:tcPr>
          <w:p>
            <w:pPr>
              <w:jc w:val="center"/>
              <w:keepLines w:val="0"/>
              <w:keepNext w:val="0"/>
              <w:pageBreakBefore w:val="0"/>
              <w:spacing w:beforeAutospacing="0" w:afterAutospacing="0" w:line="360" w:lineRule="auto"/>
              <w:rPr>
                <w:rFonts w:hint="eastAsia" w:cs="宋体"/>
              </w:rPr>
            </w:pPr>
            <w:r>
              <w:rPr>
                <w:rFonts w:hint="eastAsia" w:cs="宋体"/>
              </w:rPr>
              <w:t xml:space="preserve">安装调试方案</w:t>
            </w:r>
            <w:r/>
          </w:p>
          <w:p>
            <w:pPr>
              <w:jc w:val="center"/>
              <w:keepLines w:val="0"/>
              <w:keepNext w:val="0"/>
              <w:pageBreakBefore w:val="0"/>
              <w:spacing w:beforeAutospacing="0" w:afterAutospacing="0" w:line="360" w:lineRule="auto"/>
              <w:rPr>
                <w:rFonts w:hint="eastAsia" w:eastAsia="宋体" w:cs="宋体"/>
                <w:lang w:eastAsia="zh-CN"/>
              </w:rPr>
            </w:pPr>
            <w:r>
              <w:rPr>
                <w:rFonts w:hint="eastAsia" w:cs="宋体"/>
                <w:lang w:eastAsia="zh-CN"/>
              </w:rPr>
              <w:t xml:space="preserve">（</w:t>
            </w:r>
            <w:r>
              <w:rPr>
                <w:rFonts w:hint="eastAsia" w:cs="宋体"/>
                <w:lang w:val="en-US" w:eastAsia="zh-CN"/>
              </w:rPr>
              <w:t xml:space="preserve">6分</w:t>
            </w:r>
            <w:r>
              <w:rPr>
                <w:rFonts w:hint="eastAsia" w:cs="宋体"/>
                <w:lang w:eastAsia="zh-CN"/>
              </w:rPr>
              <w:t xml:space="preserve">）</w:t>
            </w:r>
            <w:r/>
          </w:p>
        </w:tc>
        <w:tc>
          <w:tcPr>
            <w:tcW w:w="3509" w:type="pct"/>
            <w:textDirection w:val="lrTb"/>
            <w:noWrap w:val="false"/>
          </w:tcPr>
          <w:p>
            <w:pPr>
              <w:keepLines w:val="0"/>
              <w:keepNext w:val="0"/>
              <w:pageBreakBefore w:val="0"/>
              <w:spacing w:beforeAutospacing="0" w:afterAutospacing="0" w:line="360" w:lineRule="auto"/>
              <w:rPr>
                <w:highlight w:val="none"/>
              </w:rPr>
            </w:pPr>
            <w:r>
              <w:rPr>
                <w:rFonts w:hint="eastAsia"/>
                <w:highlight w:val="none"/>
              </w:rPr>
              <w:t xml:space="preserve">安装调试方案针对下列内容进行综合考评：①工作目标（1分）；②程序和步骤（1分）；③人员构架（1分）；④管理和协调（1分）；⑤时间进度（1分）；⑥关键要点（1分）。</w:t>
            </w:r>
            <w:r/>
          </w:p>
          <w:p>
            <w:pPr>
              <w:keepLines w:val="0"/>
              <w:keepNext w:val="0"/>
              <w:pageBreakBefore w:val="0"/>
              <w:spacing w:beforeAutospacing="0" w:afterAutospacing="0" w:line="360" w:lineRule="auto"/>
              <w:rPr>
                <w:rFonts w:hint="eastAsia" w:asciiTheme="minorEastAsia" w:hAnsiTheme="minorEastAsia" w:eastAsiaTheme="minorEastAsia"/>
                <w:szCs w:val="21"/>
                <w:highlight w:val="none"/>
              </w:rPr>
            </w:pPr>
            <w:r>
              <w:rPr>
                <w:rFonts w:hint="eastAsia"/>
                <w:highlight w:val="none"/>
              </w:rPr>
              <w:t xml:space="preserve">上述内容要求阐述到位，方案各步骤均经过设计，以确保安装目标顺利实现，同时方案还充分预见到各种情况并提出具体应对措施以保证整体可行性，每有一条内容进行了描述且满足采购需求的得1分；以上每条内容中存在1处不满足要求的扣0.5分，扣完为止。本项最高得</w:t>
            </w:r>
            <w:r>
              <w:rPr>
                <w:rFonts w:hint="eastAsia"/>
                <w:highlight w:val="none"/>
                <w:lang w:val="en-US" w:eastAsia="zh-CN"/>
              </w:rPr>
              <w:t xml:space="preserve">6</w:t>
            </w:r>
            <w:r>
              <w:rPr>
                <w:rFonts w:hint="eastAsia"/>
                <w:highlight w:val="none"/>
              </w:rPr>
              <w:t xml:space="preserve">分。</w:t>
            </w:r>
            <w:r/>
          </w:p>
        </w:tc>
        <w:tc>
          <w:tcPr>
            <w:tcW w:w="502" w:type="pct"/>
            <w:vAlign w:val="center"/>
            <w:textDirection w:val="lrTb"/>
            <w:noWrap w:val="false"/>
          </w:tcPr>
          <w:p>
            <w:pPr>
              <w:jc w:val="center"/>
              <w:keepLines w:val="0"/>
              <w:keepNext w:val="0"/>
              <w:pageBreakBefore w:val="0"/>
              <w:spacing w:beforeAutospacing="0" w:afterAutospacing="0"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6</w:t>
            </w:r>
            <w:r/>
          </w:p>
        </w:tc>
      </w:tr>
      <w:tr>
        <w:trPr>
          <w:jc w:val="center"/>
        </w:trPr>
        <w:tc>
          <w:tcPr>
            <w:tcW w:w="409" w:type="pct"/>
            <w:vAlign w:val="center"/>
            <w:textDirection w:val="lrTb"/>
            <w:noWrap w:val="false"/>
          </w:tcPr>
          <w:p>
            <w:pPr>
              <w:jc w:val="center"/>
              <w:keepLines w:val="0"/>
              <w:keepNext w:val="0"/>
              <w:pageBreakBefore w:val="0"/>
              <w:spacing w:beforeAutospacing="0" w:afterAutospacing="0"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5</w:t>
            </w:r>
            <w:r/>
          </w:p>
        </w:tc>
        <w:tc>
          <w:tcPr>
            <w:tcW w:w="580" w:type="pct"/>
            <w:vAlign w:val="center"/>
            <w:textDirection w:val="lrTb"/>
            <w:noWrap w:val="false"/>
          </w:tcPr>
          <w:p>
            <w:pPr>
              <w:jc w:val="center"/>
              <w:keepLines w:val="0"/>
              <w:keepNext w:val="0"/>
              <w:pageBreakBefore w:val="0"/>
              <w:spacing w:beforeAutospacing="0" w:afterAutospacing="0" w:line="360" w:lineRule="auto"/>
              <w:rPr>
                <w:rFonts w:hint="eastAsia"/>
              </w:rPr>
            </w:pPr>
            <w:r>
              <w:rPr>
                <w:rFonts w:hint="eastAsia"/>
              </w:rPr>
              <w:t xml:space="preserve">技术方案</w:t>
            </w:r>
            <w:r/>
          </w:p>
          <w:p>
            <w:pPr>
              <w:jc w:val="center"/>
              <w:keepLines w:val="0"/>
              <w:keepNext w:val="0"/>
              <w:pageBreakBefore w:val="0"/>
              <w:spacing w:beforeAutospacing="0" w:afterAutospacing="0" w:line="360" w:lineRule="auto"/>
              <w:rPr>
                <w:rFonts w:hint="eastAsia" w:eastAsia="宋体"/>
                <w:lang w:eastAsia="zh-CN"/>
              </w:rPr>
            </w:pPr>
            <w:r>
              <w:rPr>
                <w:rFonts w:hint="eastAsia"/>
                <w:lang w:eastAsia="zh-CN"/>
              </w:rPr>
              <w:t xml:space="preserve">（</w:t>
            </w:r>
            <w:r>
              <w:rPr>
                <w:rFonts w:hint="eastAsia"/>
                <w:lang w:val="en-US" w:eastAsia="zh-CN"/>
              </w:rPr>
              <w:t xml:space="preserve">4分</w:t>
            </w:r>
            <w:r>
              <w:rPr>
                <w:rFonts w:hint="eastAsia"/>
                <w:lang w:eastAsia="zh-CN"/>
              </w:rPr>
              <w:t xml:space="preserve">）</w:t>
            </w:r>
            <w:r/>
          </w:p>
        </w:tc>
        <w:tc>
          <w:tcPr>
            <w:tcW w:w="3509" w:type="pct"/>
            <w:textDirection w:val="lrTb"/>
            <w:noWrap w:val="false"/>
          </w:tcPr>
          <w:p>
            <w:pPr>
              <w:keepLines w:val="0"/>
              <w:keepNext w:val="0"/>
              <w:pageBreakBefore w:val="0"/>
              <w:spacing w:beforeAutospacing="0" w:afterAutospacing="0" w:line="360" w:lineRule="auto"/>
              <w:rPr>
                <w:highlight w:val="none"/>
              </w:rPr>
            </w:pPr>
            <w:r>
              <w:rPr>
                <w:rFonts w:hint="eastAsia"/>
                <w:highlight w:val="none"/>
              </w:rPr>
              <w:t xml:space="preserve">技术方案针对下列内容进行综合考评：</w:t>
            </w:r>
            <w:r/>
          </w:p>
          <w:p>
            <w:pPr>
              <w:keepLines w:val="0"/>
              <w:keepNext w:val="0"/>
              <w:pageBreakBefore w:val="0"/>
              <w:spacing w:beforeAutospacing="0" w:afterAutospacing="0" w:line="360" w:lineRule="auto"/>
              <w:rPr>
                <w:highlight w:val="none"/>
              </w:rPr>
            </w:pPr>
            <w:r>
              <w:rPr>
                <w:rFonts w:hint="eastAsia"/>
                <w:highlight w:val="none"/>
              </w:rPr>
              <w:t xml:space="preserve">①方案设计理念先进，设计、制造技术</w:t>
            </w:r>
            <w:r>
              <w:rPr>
                <w:rFonts w:hint="eastAsia"/>
                <w:highlight w:val="none"/>
                <w:lang w:val="en-US" w:eastAsia="zh-CN"/>
              </w:rPr>
              <w:t xml:space="preserve">成熟</w:t>
            </w:r>
            <w:r>
              <w:rPr>
                <w:rFonts w:hint="eastAsia"/>
                <w:highlight w:val="none"/>
              </w:rPr>
              <w:t xml:space="preserve">；（1分）</w:t>
            </w:r>
            <w:r/>
          </w:p>
          <w:p>
            <w:pPr>
              <w:keepLines w:val="0"/>
              <w:keepNext w:val="0"/>
              <w:pageBreakBefore w:val="0"/>
              <w:spacing w:beforeAutospacing="0" w:afterAutospacing="0" w:line="360" w:lineRule="auto"/>
              <w:rPr>
                <w:highlight w:val="none"/>
              </w:rPr>
            </w:pPr>
            <w:r>
              <w:rPr>
                <w:rFonts w:hint="eastAsia"/>
                <w:highlight w:val="none"/>
              </w:rPr>
              <w:t xml:space="preserve">②提供的工艺流程图、图纸详细且科学合理；（1分）</w:t>
            </w:r>
            <w:r/>
          </w:p>
          <w:p>
            <w:pPr>
              <w:keepLines w:val="0"/>
              <w:keepNext w:val="0"/>
              <w:pageBreakBefore w:val="0"/>
              <w:spacing w:beforeAutospacing="0" w:afterAutospacing="0" w:line="360" w:lineRule="auto"/>
              <w:rPr>
                <w:highlight w:val="none"/>
              </w:rPr>
            </w:pPr>
            <w:r>
              <w:rPr>
                <w:rFonts w:hint="eastAsia"/>
                <w:highlight w:val="none"/>
              </w:rPr>
              <w:t xml:space="preserve">③项目的各项需求</w:t>
            </w:r>
            <w:r>
              <w:rPr>
                <w:rFonts w:hint="eastAsia"/>
                <w:highlight w:val="none"/>
                <w:lang w:val="en-US" w:eastAsia="zh-CN"/>
              </w:rPr>
              <w:t xml:space="preserve">分析精准</w:t>
            </w:r>
            <w:r>
              <w:rPr>
                <w:rFonts w:hint="eastAsia"/>
                <w:highlight w:val="none"/>
              </w:rPr>
              <w:t xml:space="preserve">、功能齐全、结构完整；（1分）</w:t>
            </w:r>
            <w:r/>
          </w:p>
          <w:p>
            <w:pPr>
              <w:keepLines w:val="0"/>
              <w:keepNext w:val="0"/>
              <w:pageBreakBefore w:val="0"/>
              <w:spacing w:beforeAutospacing="0" w:afterAutospacing="0" w:line="360" w:lineRule="auto"/>
              <w:rPr>
                <w:highlight w:val="none"/>
              </w:rPr>
            </w:pPr>
            <w:r>
              <w:rPr>
                <w:rFonts w:hint="eastAsia"/>
                <w:highlight w:val="none"/>
              </w:rPr>
              <w:t xml:space="preserve">④对采购技术要求做出优化完善，技术方案</w:t>
            </w:r>
            <w:r>
              <w:rPr>
                <w:rFonts w:hint="eastAsia"/>
                <w:highlight w:val="none"/>
                <w:lang w:val="en-US" w:eastAsia="zh-CN"/>
              </w:rPr>
              <w:t xml:space="preserve">具有针对性</w:t>
            </w:r>
            <w:r>
              <w:rPr>
                <w:rFonts w:hint="eastAsia"/>
                <w:highlight w:val="none"/>
              </w:rPr>
              <w:t xml:space="preserve">。（1分）</w:t>
            </w:r>
            <w:r/>
          </w:p>
          <w:p>
            <w:pPr>
              <w:keepLines w:val="0"/>
              <w:keepNext w:val="0"/>
              <w:pageBreakBefore w:val="0"/>
              <w:spacing w:beforeAutospacing="0" w:afterAutospacing="0" w:line="360" w:lineRule="auto"/>
              <w:rPr>
                <w:highlight w:val="none"/>
              </w:rPr>
            </w:pPr>
            <w:r>
              <w:rPr>
                <w:rFonts w:hint="eastAsia"/>
                <w:highlight w:val="none"/>
              </w:rPr>
              <w:t xml:space="preserve">上述内容阐述合理、条理清晰、针对性强、切实可行有效。每有一条内容进行了描述且满足采购需求的得1分；以上每条内容中存在1处不满足要求的扣0.5分，扣完为止。本项最高得4分。</w:t>
            </w:r>
            <w:r/>
          </w:p>
        </w:tc>
        <w:tc>
          <w:tcPr>
            <w:tcW w:w="502" w:type="pct"/>
            <w:vAlign w:val="center"/>
            <w:textDirection w:val="lrTb"/>
            <w:noWrap w:val="false"/>
          </w:tcPr>
          <w:p>
            <w:pPr>
              <w:jc w:val="center"/>
              <w:keepLines w:val="0"/>
              <w:keepNext w:val="0"/>
              <w:pageBreakBefore w:val="0"/>
              <w:spacing w:beforeAutospacing="0" w:afterAutospacing="0" w:line="360" w:lineRule="auto"/>
              <w:rPr>
                <w:rFonts w:hint="eastAsia" w:asciiTheme="minorEastAsia" w:hAnsiTheme="minorEastAsia" w:eastAsiaTheme="minorEastAsia"/>
                <w:b/>
                <w:szCs w:val="21"/>
              </w:rPr>
            </w:pPr>
            <w:r>
              <w:rPr>
                <w:rFonts w:cs="宋体"/>
              </w:rPr>
              <w:t xml:space="preserve">4</w:t>
            </w:r>
            <w:r/>
          </w:p>
        </w:tc>
      </w:tr>
      <w:tr>
        <w:trPr>
          <w:jc w:val="center"/>
        </w:trPr>
        <w:tc>
          <w:tcPr>
            <w:tcW w:w="409" w:type="pct"/>
            <w:vAlign w:val="center"/>
            <w:textDirection w:val="lrTb"/>
            <w:noWrap w:val="false"/>
          </w:tcPr>
          <w:p>
            <w:pPr>
              <w:jc w:val="center"/>
              <w:keepLines w:val="0"/>
              <w:keepNext w:val="0"/>
              <w:pageBreakBefore w:val="0"/>
              <w:spacing w:beforeAutospacing="0" w:afterAutospacing="0"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6</w:t>
            </w:r>
            <w:r/>
          </w:p>
        </w:tc>
        <w:tc>
          <w:tcPr>
            <w:tcW w:w="580" w:type="pct"/>
            <w:vAlign w:val="center"/>
            <w:textDirection w:val="lrTb"/>
            <w:noWrap w:val="false"/>
          </w:tcPr>
          <w:p>
            <w:pPr>
              <w:jc w:val="center"/>
              <w:keepLines w:val="0"/>
              <w:keepNext w:val="0"/>
              <w:pageBreakBefore w:val="0"/>
              <w:spacing w:beforeAutospacing="0" w:afterAutospacing="0" w:line="360" w:lineRule="auto"/>
              <w:rPr>
                <w:rFonts w:hint="eastAsia"/>
              </w:rPr>
            </w:pPr>
            <w:r>
              <w:rPr>
                <w:rFonts w:hint="eastAsia"/>
              </w:rPr>
              <w:t xml:space="preserve">培训方案</w:t>
            </w:r>
            <w:r/>
          </w:p>
          <w:p>
            <w:pPr>
              <w:jc w:val="center"/>
              <w:keepLines w:val="0"/>
              <w:keepNext w:val="0"/>
              <w:pageBreakBefore w:val="0"/>
              <w:spacing w:beforeAutospacing="0" w:afterAutospacing="0" w:line="360" w:lineRule="auto"/>
              <w:rPr>
                <w:rFonts w:hint="eastAsia" w:eastAsia="宋体"/>
                <w:lang w:eastAsia="zh-CN"/>
              </w:rPr>
            </w:pPr>
            <w:r>
              <w:rPr>
                <w:rFonts w:hint="eastAsia"/>
                <w:lang w:eastAsia="zh-CN"/>
              </w:rPr>
              <w:t xml:space="preserve">（</w:t>
            </w:r>
            <w:r>
              <w:rPr>
                <w:rFonts w:hint="eastAsia"/>
                <w:lang w:val="en-US" w:eastAsia="zh-CN"/>
              </w:rPr>
              <w:t xml:space="preserve">4分</w:t>
            </w:r>
            <w:r>
              <w:rPr>
                <w:rFonts w:hint="eastAsia"/>
                <w:lang w:eastAsia="zh-CN"/>
              </w:rPr>
              <w:t xml:space="preserve">）</w:t>
            </w:r>
            <w:r/>
          </w:p>
        </w:tc>
        <w:tc>
          <w:tcPr>
            <w:tcW w:w="3509" w:type="pct"/>
            <w:textDirection w:val="lrTb"/>
            <w:noWrap w:val="false"/>
          </w:tcPr>
          <w:p>
            <w:pPr>
              <w:keepLines w:val="0"/>
              <w:keepNext w:val="0"/>
              <w:pageBreakBefore w:val="0"/>
              <w:spacing w:beforeAutospacing="0" w:afterAutospacing="0" w:line="360" w:lineRule="auto"/>
              <w:rPr>
                <w:highlight w:val="none"/>
              </w:rPr>
            </w:pPr>
            <w:r>
              <w:rPr>
                <w:rFonts w:hint="eastAsia"/>
                <w:highlight w:val="none"/>
              </w:rPr>
              <w:t xml:space="preserve">培训方案针对下列内容进行综合考评：①培训内容和目标（1分）；②时间地点安排和方法要点（1分）；③师资管理和人员协调（1分）；④培训效果评价（1分）。</w:t>
            </w:r>
            <w:r/>
          </w:p>
          <w:p>
            <w:pPr>
              <w:keepLines w:val="0"/>
              <w:keepNext w:val="0"/>
              <w:pageBreakBefore w:val="0"/>
              <w:spacing w:beforeAutospacing="0" w:afterAutospacing="0" w:line="360" w:lineRule="auto"/>
              <w:rPr>
                <w:rFonts w:hint="eastAsia" w:asciiTheme="minorEastAsia" w:hAnsiTheme="minorEastAsia" w:eastAsiaTheme="minorEastAsia"/>
                <w:szCs w:val="21"/>
                <w:highlight w:val="none"/>
              </w:rPr>
            </w:pPr>
            <w:r>
              <w:rPr>
                <w:rFonts w:hint="eastAsia"/>
                <w:highlight w:val="none"/>
              </w:rPr>
              <w:t xml:space="preserve">上述内容要求包含上述要点，能够根据货物特点安排有针对性并符合业主要求的培训内容，由</w:t>
            </w:r>
            <w:r>
              <w:rPr>
                <w:rFonts w:hint="eastAsia"/>
                <w:highlight w:val="none"/>
                <w:lang w:val="en-US" w:eastAsia="zh-CN"/>
              </w:rPr>
              <w:t xml:space="preserve">经验丰富</w:t>
            </w:r>
            <w:r>
              <w:rPr>
                <w:rFonts w:hint="eastAsia"/>
                <w:highlight w:val="none"/>
              </w:rPr>
              <w:t xml:space="preserve">的师资力量开展培训活动，具有详细培训课程安排和培训效果评价计划，每有一条内容进行了描述且满足采购需求的得1分；以上每条内容中存在1处不满足要求的扣0.5分，扣完为止。本项最高得4分。</w:t>
            </w:r>
            <w:r/>
          </w:p>
        </w:tc>
        <w:tc>
          <w:tcPr>
            <w:tcW w:w="502" w:type="pct"/>
            <w:vAlign w:val="center"/>
            <w:textDirection w:val="lrTb"/>
            <w:noWrap w:val="false"/>
          </w:tcPr>
          <w:p>
            <w:pPr>
              <w:jc w:val="center"/>
              <w:keepLines w:val="0"/>
              <w:keepNext w:val="0"/>
              <w:pageBreakBefore w:val="0"/>
              <w:spacing w:beforeAutospacing="0" w:afterAutospacing="0" w:line="360" w:lineRule="auto"/>
              <w:rPr>
                <w:rFonts w:hint="eastAsia" w:asciiTheme="minorEastAsia" w:hAnsiTheme="minorEastAsia" w:eastAsiaTheme="minorEastAsia"/>
                <w:b/>
                <w:szCs w:val="21"/>
              </w:rPr>
            </w:pPr>
            <w:r>
              <w:rPr>
                <w:rFonts w:cs="宋体"/>
              </w:rPr>
              <w:t xml:space="preserve">4</w:t>
            </w:r>
            <w:r/>
          </w:p>
        </w:tc>
      </w:tr>
      <w:tr>
        <w:trPr>
          <w:jc w:val="center"/>
        </w:trPr>
        <w:tc>
          <w:tcPr>
            <w:tcW w:w="409" w:type="pct"/>
            <w:vAlign w:val="center"/>
            <w:textDirection w:val="lrTb"/>
            <w:noWrap w:val="false"/>
          </w:tcPr>
          <w:p>
            <w:pPr>
              <w:jc w:val="center"/>
              <w:keepLines w:val="0"/>
              <w:keepNext w:val="0"/>
              <w:pageBreakBefore w:val="0"/>
              <w:spacing w:beforeAutospacing="0" w:afterAutospacing="0"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7</w:t>
            </w:r>
            <w:r/>
          </w:p>
        </w:tc>
        <w:tc>
          <w:tcPr>
            <w:tcW w:w="580" w:type="pct"/>
            <w:vAlign w:val="center"/>
            <w:textDirection w:val="lrTb"/>
            <w:noWrap w:val="false"/>
          </w:tcPr>
          <w:p>
            <w:pPr>
              <w:jc w:val="center"/>
              <w:keepLines w:val="0"/>
              <w:keepNext w:val="0"/>
              <w:pageBreakBefore w:val="0"/>
              <w:spacing w:beforeAutospacing="0" w:afterAutospacing="0" w:line="360" w:lineRule="auto"/>
              <w:rPr>
                <w:rFonts w:hint="eastAsia"/>
              </w:rPr>
            </w:pPr>
            <w:r>
              <w:rPr>
                <w:rFonts w:hint="eastAsia"/>
              </w:rPr>
              <w:t xml:space="preserve">售后服务方案</w:t>
            </w:r>
            <w:r/>
          </w:p>
          <w:p>
            <w:pPr>
              <w:jc w:val="center"/>
              <w:keepLines w:val="0"/>
              <w:keepNext w:val="0"/>
              <w:pageBreakBefore w:val="0"/>
              <w:spacing w:beforeAutospacing="0" w:afterAutospacing="0" w:line="360" w:lineRule="auto"/>
              <w:rPr>
                <w:rFonts w:hint="eastAsia" w:eastAsia="宋体"/>
                <w:lang w:eastAsia="zh-CN"/>
              </w:rPr>
            </w:pPr>
            <w:r>
              <w:rPr>
                <w:rFonts w:hint="eastAsia"/>
                <w:lang w:eastAsia="zh-CN"/>
              </w:rPr>
              <w:t xml:space="preserve">（</w:t>
            </w:r>
            <w:r>
              <w:rPr>
                <w:rFonts w:hint="eastAsia"/>
                <w:lang w:val="en-US" w:eastAsia="zh-CN"/>
              </w:rPr>
              <w:t xml:space="preserve">4分</w:t>
            </w:r>
            <w:r>
              <w:rPr>
                <w:rFonts w:hint="eastAsia"/>
                <w:lang w:eastAsia="zh-CN"/>
              </w:rPr>
              <w:t xml:space="preserve">）</w:t>
            </w:r>
            <w:r/>
          </w:p>
        </w:tc>
        <w:tc>
          <w:tcPr>
            <w:tcW w:w="3509" w:type="pct"/>
            <w:textDirection w:val="lrTb"/>
            <w:noWrap w:val="false"/>
          </w:tcPr>
          <w:p>
            <w:pPr>
              <w:keepLines w:val="0"/>
              <w:keepNext w:val="0"/>
              <w:pageBreakBefore w:val="0"/>
              <w:spacing w:beforeAutospacing="0" w:afterAutospacing="0" w:line="360" w:lineRule="auto"/>
              <w:rPr>
                <w:highlight w:val="none"/>
              </w:rPr>
            </w:pPr>
            <w:r>
              <w:rPr>
                <w:rFonts w:hint="eastAsia"/>
                <w:highlight w:val="none"/>
              </w:rPr>
              <w:t xml:space="preserve">售后服务方案针对下列内容进行综合考评：①保修时间响应和服务响应速度（1分）；②应急处理方式及日常维护和保养（1分）；③零配件、维修备品备件的供应保障和服务人员专业素养（1分）；④软件免费升级保障和客户反馈处理机制（1分）。</w:t>
            </w:r>
            <w:r/>
          </w:p>
          <w:p>
            <w:pPr>
              <w:keepLines w:val="0"/>
              <w:keepNext w:val="0"/>
              <w:pageBreakBefore w:val="0"/>
              <w:spacing w:beforeAutospacing="0" w:afterAutospacing="0" w:line="360" w:lineRule="auto"/>
              <w:rPr>
                <w:highlight w:val="none"/>
              </w:rPr>
            </w:pPr>
            <w:r>
              <w:rPr>
                <w:rFonts w:hint="eastAsia"/>
                <w:highlight w:val="none"/>
              </w:rPr>
              <w:t xml:space="preserve">上述内容要求</w:t>
            </w:r>
            <w:r>
              <w:rPr>
                <w:rFonts w:hint="eastAsia"/>
                <w:highlight w:val="none"/>
                <w:lang w:val="en-US" w:eastAsia="zh-CN"/>
              </w:rPr>
              <w:t xml:space="preserve">包含上述要点</w:t>
            </w:r>
            <w:r>
              <w:rPr>
                <w:rFonts w:hint="eastAsia"/>
                <w:highlight w:val="none"/>
              </w:rPr>
              <w:t xml:space="preserve">，能够根据业主要求提供</w:t>
            </w:r>
            <w:r>
              <w:rPr>
                <w:rFonts w:hint="eastAsia"/>
                <w:highlight w:val="none"/>
                <w:lang w:val="en-US" w:eastAsia="zh-CN"/>
              </w:rPr>
              <w:t xml:space="preserve">售后</w:t>
            </w:r>
            <w:r>
              <w:rPr>
                <w:rFonts w:hint="eastAsia"/>
                <w:highlight w:val="none"/>
              </w:rPr>
              <w:t xml:space="preserve">服务，每有一条内容进行了描述且满足采购需求的得1分；以上每条内容中存在1处不满足要求的扣0.5分，扣完为止。本项最高得4分。</w:t>
            </w:r>
            <w:r/>
          </w:p>
        </w:tc>
        <w:tc>
          <w:tcPr>
            <w:tcW w:w="502" w:type="pct"/>
            <w:vAlign w:val="center"/>
            <w:textDirection w:val="lrTb"/>
            <w:noWrap w:val="false"/>
          </w:tcPr>
          <w:p>
            <w:pPr>
              <w:jc w:val="center"/>
              <w:keepLines w:val="0"/>
              <w:keepNext w:val="0"/>
              <w:pageBreakBefore w:val="0"/>
              <w:spacing w:beforeAutospacing="0" w:afterAutospacing="0" w:line="360" w:lineRule="auto"/>
              <w:rPr>
                <w:rFonts w:hint="eastAsia" w:asciiTheme="minorEastAsia" w:hAnsiTheme="minorEastAsia" w:eastAsiaTheme="minorEastAsia"/>
                <w:b/>
                <w:szCs w:val="21"/>
              </w:rPr>
            </w:pPr>
            <w:r>
              <w:rPr>
                <w:rFonts w:cs="宋体"/>
              </w:rPr>
              <w:t xml:space="preserve">4</w:t>
            </w:r>
            <w:r/>
          </w:p>
        </w:tc>
      </w:tr>
      <w:tr>
        <w:trPr>
          <w:jc w:val="center"/>
        </w:trPr>
        <w:tc>
          <w:tcPr>
            <w:tcW w:w="409" w:type="pct"/>
            <w:vAlign w:val="center"/>
            <w:vMerge w:val="restart"/>
            <w:textDirection w:val="lrTb"/>
            <w:noWrap w:val="false"/>
          </w:tcPr>
          <w:p>
            <w:pPr>
              <w:jc w:val="center"/>
              <w:keepLines w:val="0"/>
              <w:keepNext w:val="0"/>
              <w:pageBreakBefore w:val="0"/>
              <w:spacing w:beforeAutospacing="0" w:afterAutospacing="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8</w:t>
            </w:r>
            <w:r/>
          </w:p>
        </w:tc>
        <w:tc>
          <w:tcPr>
            <w:tcW w:w="580" w:type="pct"/>
            <w:vAlign w:val="center"/>
            <w:vMerge w:val="restart"/>
            <w:textDirection w:val="lrTb"/>
            <w:noWrap w:val="false"/>
          </w:tcPr>
          <w:p>
            <w:pPr>
              <w:jc w:val="center"/>
              <w:keepLines w:val="0"/>
              <w:keepNext w:val="0"/>
              <w:pageBreakBefore w:val="0"/>
              <w:spacing w:beforeAutospacing="0" w:afterAutospacing="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国家政策导向</w:t>
            </w:r>
            <w:r/>
          </w:p>
          <w:p>
            <w:pPr>
              <w:jc w:val="center"/>
              <w:keepLines w:val="0"/>
              <w:keepNext w:val="0"/>
              <w:pageBreakBefore w:val="0"/>
              <w:spacing w:beforeAutospacing="0" w:afterAutospacing="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（2分）</w:t>
            </w:r>
            <w:r/>
          </w:p>
        </w:tc>
        <w:tc>
          <w:tcPr>
            <w:tcW w:w="3509" w:type="pct"/>
            <w:vAlign w:val="center"/>
            <w:textDirection w:val="lrTb"/>
            <w:noWrap w:val="false"/>
          </w:tcPr>
          <w:p>
            <w:pPr>
              <w:keepLines w:val="0"/>
              <w:keepNext w:val="0"/>
              <w:pageBreakBefore w:val="0"/>
              <w:spacing w:beforeAutospacing="0" w:afterAutospacing="0" w:line="360" w:lineRule="auto"/>
              <w:rPr>
                <w:rFonts w:hint="eastAsia" w:cs="宋体" w:asciiTheme="minorEastAsia" w:hAnsiTheme="minorEastAsia" w:eastAsiaTheme="minorEastAsia"/>
                <w:szCs w:val="21"/>
                <w:lang w:bidi="ar"/>
              </w:rPr>
            </w:pPr>
            <w:r>
              <w:rPr>
                <w:rFonts w:hint="eastAsia" w:cs="宋体" w:asciiTheme="minorEastAsia" w:hAnsiTheme="minorEastAsia" w:eastAsiaTheme="minorEastAsia"/>
                <w:szCs w:val="21"/>
                <w:lang w:bidi="ar"/>
              </w:rPr>
              <w:t xml:space="preserve">（1）投标供应商所投产品属于节能产品政府采购品目清单（政府强制采购节能产品除外）、环境标志产品政府采购品目清单范围内的，提供由国家确定的认证机构（目前仅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认证证书、环境标志产品认证证书。有1项得0.5分，最高得1分。</w:t>
            </w:r>
            <w:r/>
          </w:p>
          <w:p>
            <w:pPr>
              <w:keepLines w:val="0"/>
              <w:keepNext w:val="0"/>
              <w:pageBreakBefore w:val="0"/>
              <w:spacing w:beforeAutospacing="0" w:afterAutospacing="0"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注：投标时提供认证证书复印件。</w:t>
            </w:r>
            <w:r/>
          </w:p>
        </w:tc>
        <w:tc>
          <w:tcPr>
            <w:tcW w:w="502" w:type="pct"/>
            <w:vAlign w:val="center"/>
            <w:textDirection w:val="lrTb"/>
            <w:noWrap w:val="false"/>
          </w:tcPr>
          <w:p>
            <w:pPr>
              <w:jc w:val="center"/>
              <w:keepLines w:val="0"/>
              <w:keepNext w:val="0"/>
              <w:pageBreakBefore w:val="0"/>
              <w:spacing w:beforeAutospacing="0" w:afterAutospacing="0"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1</w:t>
            </w:r>
            <w:r/>
          </w:p>
        </w:tc>
      </w:tr>
      <w:tr>
        <w:trPr>
          <w:jc w:val="center"/>
          <w:trHeight w:val="3195"/>
        </w:trPr>
        <w:tc>
          <w:tcPr>
            <w:tcW w:w="409" w:type="pct"/>
            <w:vAlign w:val="center"/>
            <w:vMerge w:val="continue"/>
            <w:textDirection w:val="lrTb"/>
            <w:noWrap w:val="false"/>
          </w:tcPr>
          <w:p>
            <w:pPr>
              <w:jc w:val="center"/>
              <w:keepLines w:val="0"/>
              <w:keepNext w:val="0"/>
              <w:pageBreakBefore w:val="0"/>
              <w:spacing w:beforeAutospacing="0" w:afterAutospacing="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580" w:type="pct"/>
            <w:vAlign w:val="center"/>
            <w:vMerge w:val="continue"/>
            <w:textDirection w:val="lrTb"/>
            <w:noWrap w:val="false"/>
          </w:tcPr>
          <w:p>
            <w:pPr>
              <w:jc w:val="center"/>
              <w:keepLines w:val="0"/>
              <w:keepNext w:val="0"/>
              <w:pageBreakBefore w:val="0"/>
              <w:spacing w:beforeAutospacing="0" w:afterAutospacing="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3509" w:type="pct"/>
            <w:vAlign w:val="center"/>
            <w:textDirection w:val="lrTb"/>
            <w:noWrap w:val="false"/>
          </w:tcPr>
          <w:p>
            <w:pPr>
              <w:keepLines w:val="0"/>
              <w:keepNext w:val="0"/>
              <w:pageBreakBefore w:val="0"/>
              <w:spacing w:beforeAutospacing="0" w:afterAutospacing="0" w:line="360" w:lineRule="auto"/>
              <w:rPr>
                <w:rFonts w:hint="eastAsia"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bidi="ar"/>
              </w:rPr>
              <w:t xml:space="preserve">（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w:t>
            </w:r>
            <w:r>
              <w:rPr>
                <w:rFonts w:hint="eastAsia" w:cs="宋体" w:asciiTheme="minorEastAsia" w:hAnsiTheme="minorEastAsia" w:eastAsiaTheme="minorEastAsia"/>
                <w:b/>
                <w:bCs/>
                <w:szCs w:val="21"/>
                <w:highlight w:val="none"/>
                <w:lang w:bidi="ar"/>
              </w:rPr>
              <w:t xml:space="preserve">（投标时须提供相应使用低VOCs含量的有效证明材料，否则不得分）</w:t>
            </w:r>
            <w:r/>
          </w:p>
        </w:tc>
        <w:tc>
          <w:tcPr>
            <w:tcW w:w="502" w:type="pct"/>
            <w:vAlign w:val="center"/>
            <w:textDirection w:val="lrTb"/>
            <w:noWrap w:val="false"/>
          </w:tcPr>
          <w:p>
            <w:pPr>
              <w:jc w:val="center"/>
              <w:keepLines w:val="0"/>
              <w:keepNext w:val="0"/>
              <w:pageBreakBefore w:val="0"/>
              <w:spacing w:beforeAutospacing="0" w:afterAutospacing="0"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1</w:t>
            </w:r>
            <w:r/>
          </w:p>
        </w:tc>
      </w:tr>
      <w:tr>
        <w:trPr>
          <w:jc w:val="center"/>
        </w:trPr>
        <w:tc>
          <w:tcPr>
            <w:tcW w:w="409" w:type="pct"/>
            <w:vAlign w:val="center"/>
            <w:vMerge w:val="continue"/>
            <w:textDirection w:val="lrTb"/>
            <w:noWrap w:val="false"/>
          </w:tcPr>
          <w:p>
            <w:pPr>
              <w:jc w:val="center"/>
              <w:keepLines w:val="0"/>
              <w:keepNext w:val="0"/>
              <w:pageBreakBefore w:val="0"/>
              <w:spacing w:beforeAutospacing="0" w:afterAutospacing="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580" w:type="pct"/>
            <w:vAlign w:val="center"/>
            <w:vMerge w:val="continue"/>
            <w:textDirection w:val="lrTb"/>
            <w:noWrap w:val="false"/>
          </w:tcPr>
          <w:p>
            <w:pPr>
              <w:jc w:val="center"/>
              <w:keepLines w:val="0"/>
              <w:keepNext w:val="0"/>
              <w:pageBreakBefore w:val="0"/>
              <w:spacing w:beforeAutospacing="0" w:afterAutospacing="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gridSpan w:val="2"/>
            <w:tcW w:w="4011" w:type="pct"/>
            <w:vAlign w:val="center"/>
            <w:textDirection w:val="lrTb"/>
            <w:noWrap w:val="false"/>
          </w:tcPr>
          <w:p>
            <w:pPr>
              <w:keepLines w:val="0"/>
              <w:keepNext w:val="0"/>
              <w:pageBreakBefore w:val="0"/>
              <w:spacing w:beforeAutospacing="0" w:afterAutospacing="0"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特别说明：供应商需提供产品及型号所在清单页的复印件并用标识标明，如未提供，将不予认可。</w:t>
            </w:r>
            <w:r/>
          </w:p>
        </w:tc>
      </w:tr>
    </w:tbl>
    <w:p>
      <w:pPr>
        <w:spacing w:line="360" w:lineRule="auto"/>
        <w:rPr>
          <w:b/>
          <w:szCs w:val="21"/>
        </w:rPr>
      </w:pPr>
      <w:r>
        <w:rPr>
          <w:rFonts w:hint="eastAsia"/>
          <w:b/>
          <w:szCs w:val="21"/>
        </w:rPr>
        <w:t xml:space="preserve">说明：</w:t>
      </w:r>
      <w:r/>
    </w:p>
    <w:p>
      <w:pPr>
        <w:ind w:firstLine="422"/>
        <w:spacing w:line="360" w:lineRule="auto"/>
        <w:widowControl/>
        <w:rPr>
          <w:rFonts w:ascii="Arial" w:hAnsi="Arial" w:cs="Arial"/>
          <w:b/>
          <w:bCs/>
          <w:szCs w:val="21"/>
        </w:rPr>
      </w:pPr>
      <w:r>
        <w:rPr>
          <w:rFonts w:hint="eastAsia" w:ascii="Arial" w:hAnsi="Arial" w:cs="Arial"/>
          <w:b/>
          <w:bCs/>
          <w:szCs w:val="21"/>
        </w:rPr>
        <w:t xml:space="preserve">1.所有认证、证明和业绩均以有效清晰的证明文件的复印件为依据，原件备查。</w:t>
      </w:r>
      <w:r/>
    </w:p>
    <w:p>
      <w:pPr>
        <w:ind w:firstLine="422"/>
        <w:spacing w:line="360" w:lineRule="auto"/>
        <w:widowControl/>
        <w:rPr>
          <w:rFonts w:ascii="Arial" w:hAnsi="Arial" w:cs="Arial"/>
          <w:b/>
          <w:bCs/>
          <w:szCs w:val="21"/>
        </w:rPr>
      </w:pPr>
      <w:r>
        <w:rPr>
          <w:rFonts w:hint="eastAsia" w:ascii="Arial" w:hAnsi="Arial" w:cs="Arial"/>
          <w:b/>
          <w:bCs/>
          <w:szCs w:val="21"/>
        </w:rPr>
        <w:t xml:space="preserve">2.以上所称“不满足要求”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22"/>
        <w:spacing w:line="360" w:lineRule="auto"/>
        <w:widowControl/>
        <w:rPr>
          <w:rFonts w:ascii="Arial" w:hAnsi="Arial" w:cs="Arial"/>
          <w:b/>
          <w:bCs/>
          <w:szCs w:val="21"/>
        </w:rPr>
      </w:pPr>
      <w:r>
        <w:rPr>
          <w:rFonts w:hint="eastAsia" w:ascii="Arial" w:hAnsi="Arial" w:cs="Arial"/>
          <w:b/>
          <w:bCs/>
          <w:szCs w:val="21"/>
        </w:rPr>
        <w:t xml:space="preserve">3.小微企业价格扣除</w:t>
      </w:r>
      <w:r/>
    </w:p>
    <w:p>
      <w:pPr>
        <w:ind w:firstLine="422"/>
        <w:spacing w:line="360" w:lineRule="auto"/>
        <w:widowControl/>
        <w:rPr>
          <w:rFonts w:ascii="Arial" w:hAnsi="Arial" w:cs="Arial"/>
          <w:b/>
          <w:bCs/>
          <w:szCs w:val="21"/>
        </w:rPr>
      </w:pPr>
      <w:r>
        <w:rPr>
          <w:rFonts w:hint="eastAsia" w:ascii="Arial" w:hAnsi="Arial" w:cs="Arial"/>
          <w:b/>
          <w:bCs/>
          <w:szCs w:val="21"/>
        </w:rPr>
        <w:t xml:space="preserve">3.1对于专门面向中小企业或小型、微型企业的项目，只面向中小企业或小型、微型企业采购。对于非专门面向中小企业的项目，对小型和微型企业的价格给予10%的扣除，用扣除后的价格参与评审。</w:t>
      </w:r>
      <w:r/>
    </w:p>
    <w:p>
      <w:pPr>
        <w:ind w:firstLine="422"/>
        <w:spacing w:line="360" w:lineRule="auto"/>
        <w:widowControl/>
        <w:rPr>
          <w:rFonts w:ascii="Arial" w:hAnsi="Arial" w:cs="Arial"/>
          <w:b/>
          <w:bCs/>
          <w:szCs w:val="21"/>
        </w:rPr>
      </w:pPr>
      <w:r>
        <w:rPr>
          <w:rFonts w:hint="eastAsia" w:ascii="Arial" w:hAnsi="Arial" w:cs="Arial"/>
          <w:b/>
          <w:bCs/>
          <w:szCs w:val="21"/>
        </w:rPr>
        <w:t xml:space="preserve">3.2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2"/>
        <w:spacing w:line="360" w:lineRule="auto"/>
        <w:widowControl/>
        <w:rPr>
          <w:rFonts w:ascii="Arial" w:hAnsi="Arial" w:cs="Arial"/>
          <w:b/>
          <w:bCs/>
          <w:szCs w:val="21"/>
        </w:rPr>
      </w:pPr>
      <w:r>
        <w:rPr>
          <w:rFonts w:hint="eastAsia" w:ascii="Arial" w:hAnsi="Arial" w:cs="Arial"/>
          <w:b/>
          <w:bCs/>
          <w:szCs w:val="21"/>
        </w:rPr>
        <w:t xml:space="preserve">3.3 小企业（含小型、微型企业）应当提供《中小企业声明函》，且符合《政府采购促进中小企业发展管理办法》（财库〔2020〕46号）的相关规定。</w:t>
      </w:r>
      <w:r/>
    </w:p>
    <w:p>
      <w:pPr>
        <w:ind w:firstLine="422"/>
        <w:spacing w:line="360" w:lineRule="auto"/>
        <w:widowControl/>
        <w:rPr>
          <w:rFonts w:ascii="Arial" w:hAnsi="Arial" w:cs="Arial"/>
          <w:b/>
          <w:bCs/>
          <w:szCs w:val="21"/>
        </w:rPr>
      </w:pPr>
      <w:r>
        <w:rPr>
          <w:rFonts w:hint="eastAsia" w:ascii="Arial" w:hAnsi="Arial" w:cs="Arial"/>
          <w:b/>
          <w:bCs/>
          <w:szCs w:val="21"/>
        </w:rPr>
        <w:t xml:space="preserve">4.监狱和戒毒企业的价格扣除</w:t>
      </w:r>
      <w:r/>
    </w:p>
    <w:p>
      <w:pPr>
        <w:ind w:firstLine="422"/>
        <w:spacing w:line="360" w:lineRule="auto"/>
        <w:widowControl/>
        <w:rPr>
          <w:rFonts w:ascii="Arial" w:hAnsi="Arial" w:cs="Arial"/>
          <w:b/>
          <w:bCs/>
          <w:szCs w:val="21"/>
        </w:rPr>
      </w:pPr>
      <w:r>
        <w:rPr>
          <w:rFonts w:hint="eastAsia" w:ascii="Arial" w:hAnsi="Arial" w:cs="Arial"/>
          <w:b/>
          <w:bCs/>
          <w:szCs w:val="21"/>
        </w:rPr>
        <w:t xml:space="preserve">4.1 本项目对监狱和戒毒企业，给予10%的价格扣除，用扣除后的价格参与评审。</w:t>
      </w:r>
      <w:r/>
    </w:p>
    <w:p>
      <w:pPr>
        <w:ind w:firstLine="422"/>
        <w:spacing w:line="360" w:lineRule="auto"/>
        <w:widowControl/>
        <w:rPr>
          <w:rFonts w:ascii="Arial" w:hAnsi="Arial" w:cs="Arial"/>
          <w:b/>
          <w:bCs/>
          <w:szCs w:val="21"/>
        </w:rPr>
      </w:pPr>
      <w:r>
        <w:rPr>
          <w:rFonts w:hint="eastAsia" w:ascii="Arial" w:hAnsi="Arial" w:cs="Arial"/>
          <w:b/>
          <w:bCs/>
          <w:szCs w:val="21"/>
        </w:rPr>
        <w:t xml:space="preserve">4.2 监狱企业需提供由省级以上监狱管理局、戒毒管理局（含新疆生产建设兵团）出具的属于监狱企业的证明文件。</w:t>
      </w:r>
      <w:r/>
    </w:p>
    <w:p>
      <w:pPr>
        <w:ind w:firstLine="422"/>
        <w:spacing w:line="360" w:lineRule="auto"/>
        <w:widowControl/>
        <w:rPr>
          <w:rFonts w:ascii="Arial" w:hAnsi="Arial" w:cs="Arial"/>
          <w:b/>
          <w:bCs/>
          <w:szCs w:val="21"/>
        </w:rPr>
      </w:pPr>
      <w:r>
        <w:rPr>
          <w:rFonts w:hint="eastAsia" w:ascii="Arial" w:hAnsi="Arial" w:cs="Arial"/>
          <w:b/>
          <w:bCs/>
          <w:szCs w:val="21"/>
        </w:rPr>
        <w:t xml:space="preserve">4.3 监狱企业标准请参照《关于政府采购支持监狱企业发展有关问题的通知》（财库〔2014〕68号）。</w:t>
      </w:r>
      <w:r/>
    </w:p>
    <w:p>
      <w:pPr>
        <w:ind w:firstLine="422"/>
        <w:spacing w:line="360" w:lineRule="auto"/>
        <w:widowControl/>
        <w:rPr>
          <w:rFonts w:ascii="Arial" w:hAnsi="Arial" w:cs="Arial"/>
          <w:b/>
          <w:bCs/>
          <w:szCs w:val="21"/>
        </w:rPr>
      </w:pPr>
      <w:r>
        <w:rPr>
          <w:rFonts w:hint="eastAsia" w:ascii="Arial" w:hAnsi="Arial" w:cs="Arial"/>
          <w:b/>
          <w:bCs/>
          <w:szCs w:val="21"/>
        </w:rPr>
        <w:t xml:space="preserve">5.残疾人福利性单位的价格扣除</w:t>
      </w:r>
      <w:r/>
    </w:p>
    <w:p>
      <w:pPr>
        <w:ind w:firstLine="422"/>
        <w:spacing w:line="360" w:lineRule="auto"/>
        <w:widowControl/>
        <w:rPr>
          <w:rFonts w:ascii="Arial" w:hAnsi="Arial" w:cs="Arial"/>
          <w:b/>
          <w:bCs/>
          <w:szCs w:val="21"/>
        </w:rPr>
      </w:pPr>
      <w:r>
        <w:rPr>
          <w:rFonts w:hint="eastAsia" w:ascii="Arial" w:hAnsi="Arial" w:cs="Arial"/>
          <w:b/>
          <w:bCs/>
          <w:szCs w:val="21"/>
        </w:rPr>
        <w:t xml:space="preserve">5.1 本项目对残疾人福利性单位，给予10%的价格扣除，用扣除后的价格参与评审。</w:t>
      </w:r>
      <w:r/>
    </w:p>
    <w:p>
      <w:pPr>
        <w:ind w:firstLine="422"/>
        <w:spacing w:line="360" w:lineRule="auto"/>
        <w:widowControl/>
        <w:rPr>
          <w:rFonts w:ascii="Arial" w:hAnsi="Arial" w:cs="Arial"/>
          <w:b/>
          <w:bCs/>
          <w:szCs w:val="21"/>
        </w:rPr>
      </w:pPr>
      <w:r>
        <w:rPr>
          <w:rFonts w:hint="eastAsia" w:ascii="Arial" w:hAnsi="Arial" w:cs="Arial"/>
          <w:b/>
          <w:bCs/>
          <w:szCs w:val="21"/>
        </w:rPr>
        <w:t xml:space="preserve">5.2 残疾人福利性单位需提供《残疾人福利性单位声明函》</w:t>
      </w:r>
      <w:r/>
    </w:p>
    <w:p>
      <w:pPr>
        <w:ind w:firstLine="422"/>
        <w:spacing w:line="360" w:lineRule="auto"/>
        <w:widowControl/>
        <w:rPr>
          <w:rFonts w:ascii="Arial" w:hAnsi="Arial" w:cs="Arial"/>
          <w:b/>
          <w:bCs/>
          <w:szCs w:val="21"/>
        </w:rPr>
      </w:pPr>
      <w:r>
        <w:rPr>
          <w:rFonts w:hint="eastAsia" w:ascii="Arial" w:hAnsi="Arial" w:cs="Arial"/>
          <w:b/>
          <w:bCs/>
          <w:szCs w:val="21"/>
        </w:rPr>
        <w:t xml:space="preserve">5.3 残疾人福利性单位标准请参照《关于促进残疾人就业政府采购政策的通知》（财库〔2017〕141号）。</w:t>
      </w:r>
      <w:r/>
    </w:p>
    <w:p>
      <w:pPr>
        <w:ind w:firstLine="422"/>
        <w:spacing w:line="360" w:lineRule="auto"/>
        <w:widowControl/>
        <w:rPr>
          <w:rFonts w:ascii="Arial" w:hAnsi="Arial" w:cs="Arial"/>
          <w:b/>
          <w:bCs/>
          <w:szCs w:val="21"/>
        </w:rPr>
      </w:pPr>
      <w:r>
        <w:rPr>
          <w:rFonts w:hint="eastAsia" w:ascii="Arial" w:hAnsi="Arial" w:cs="Arial"/>
          <w:b/>
          <w:bCs/>
          <w:szCs w:val="21"/>
        </w:rPr>
        <w:t xml:space="preserve">6. 监狱企业、残疾人福利性单位属于小型、微型企业的，不重复享受政策。</w:t>
      </w:r>
      <w:r/>
    </w:p>
    <w:p>
      <w:pPr>
        <w:ind w:firstLine="422"/>
        <w:spacing w:line="360" w:lineRule="auto"/>
        <w:widowControl/>
        <w:rPr>
          <w:rFonts w:ascii="Arial" w:hAnsi="Arial" w:cs="Arial"/>
          <w:b/>
          <w:bCs/>
          <w:szCs w:val="21"/>
        </w:rPr>
      </w:pPr>
      <w:r>
        <w:rPr>
          <w:rFonts w:hint="eastAsia" w:ascii="Arial" w:hAnsi="Arial" w:cs="Arial"/>
          <w:b/>
          <w:bCs/>
          <w:szCs w:val="21"/>
        </w:rPr>
        <w:t xml:space="preserve">7.本国产品的价格扣除</w:t>
      </w:r>
      <w:r/>
    </w:p>
    <w:p>
      <w:pPr>
        <w:ind w:firstLine="422"/>
        <w:spacing w:line="360" w:lineRule="auto"/>
        <w:widowControl/>
        <w:rPr>
          <w:rFonts w:ascii="Arial" w:hAnsi="Arial" w:cs="Arial"/>
          <w:b/>
          <w:bCs/>
          <w:szCs w:val="21"/>
        </w:rPr>
      </w:pPr>
      <w:r>
        <w:rPr>
          <w:rFonts w:hint="eastAsia" w:ascii="Arial" w:hAnsi="Arial" w:cs="Arial"/>
          <w:b/>
          <w:bCs/>
          <w:szCs w:val="21"/>
        </w:rPr>
        <w:t xml:space="preserve">7.1本项目依法对本国产品给予价格评审优惠，对本国产品的报价给予20%的价格扣除，用扣除后的价格参与评审。</w:t>
      </w:r>
      <w:r/>
    </w:p>
    <w:p>
      <w:pPr>
        <w:ind w:firstLine="422"/>
        <w:spacing w:line="360" w:lineRule="auto"/>
        <w:widowControl/>
        <w:rPr>
          <w:rFonts w:ascii="Arial" w:hAnsi="Arial" w:cs="Arial"/>
          <w:b/>
          <w:bCs/>
          <w:szCs w:val="21"/>
        </w:rPr>
      </w:pPr>
      <w:r>
        <w:rPr>
          <w:rFonts w:hint="eastAsia" w:ascii="Arial" w:hAnsi="Arial" w:cs="Arial"/>
          <w:b/>
          <w:bCs/>
          <w:szCs w:val="21"/>
        </w:rPr>
        <w:t xml:space="preserve">7.2本国产品标准、本国产品标准的适用范围、对本国产品的支持政策等详见《国务院办公厅关于在政府采购中实施本国产品标准及相关政策的通知》（国办发〔2025〕34号）。</w:t>
      </w:r>
      <w:r/>
    </w:p>
    <w:p>
      <w:pPr>
        <w:spacing w:line="360" w:lineRule="auto"/>
        <w:rPr>
          <w:b/>
          <w:bCs/>
          <w:szCs w:val="21"/>
        </w:rPr>
      </w:pPr>
      <w:r>
        <w:rPr>
          <w:szCs w:val="21"/>
        </w:rPr>
        <w:br w:type="page" w:clear="all"/>
      </w:r>
      <w:r/>
    </w:p>
    <w:p>
      <w:pPr>
        <w:pStyle w:val="789"/>
        <w:numPr>
          <w:ilvl w:val="0"/>
          <w:numId w:val="0"/>
        </w:numPr>
        <w:spacing w:line="360" w:lineRule="auto"/>
        <w:rPr>
          <w:szCs w:val="32"/>
        </w:rPr>
      </w:pPr>
      <w:r/>
      <w:bookmarkStart w:id="8" w:name="_Toc227144765"/>
      <w:r/>
      <w:bookmarkStart w:id="9" w:name="_Hlk96071152"/>
      <w:r>
        <w:rPr>
          <w:rFonts w:hint="eastAsia"/>
        </w:rPr>
        <w:t xml:space="preserve">第四章 采购需求</w:t>
      </w:r>
      <w:bookmarkEnd w:id="8"/>
      <w:r/>
      <w:bookmarkStart w:id="10" w:name="_Toc481057147"/>
      <w:r/>
      <w:r/>
    </w:p>
    <w:p>
      <w:pPr>
        <w:spacing w:line="360" w:lineRule="auto"/>
        <w:rPr>
          <w:b/>
          <w:szCs w:val="21"/>
        </w:rPr>
        <w:outlineLvl w:val="0"/>
      </w:pPr>
      <w:r/>
      <w:bookmarkStart w:id="11" w:name="_Toc5023"/>
      <w:r/>
      <w:bookmarkStart w:id="12" w:name="_Toc18223"/>
      <w:r/>
      <w:bookmarkStart w:id="13" w:name="_Toc25528"/>
      <w:r/>
      <w:bookmarkStart w:id="14" w:name="_Toc27195"/>
      <w:r/>
      <w:bookmarkStart w:id="15" w:name="_Toc227144766"/>
      <w:r/>
      <w:bookmarkStart w:id="16" w:name="_Toc28801"/>
      <w:r>
        <w:rPr>
          <w:rFonts w:hint="eastAsia"/>
          <w:b/>
          <w:szCs w:val="21"/>
        </w:rPr>
        <w:t xml:space="preserve">一、采购标的清单</w:t>
      </w:r>
      <w:bookmarkEnd w:id="11"/>
      <w:r/>
      <w:bookmarkEnd w:id="12"/>
      <w:r/>
      <w:bookmarkEnd w:id="13"/>
      <w:r/>
      <w:bookmarkEnd w:id="14"/>
      <w:r/>
      <w:bookmarkEnd w:id="15"/>
      <w:r/>
      <w:bookmarkEnd w:id="16"/>
      <w:r/>
      <w:r/>
    </w:p>
    <w:tbl>
      <w:tblPr>
        <w:tblStyle w:val="79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2316"/>
        <w:gridCol w:w="3168"/>
        <w:gridCol w:w="638"/>
        <w:gridCol w:w="2746"/>
      </w:tblGrid>
      <w:tr>
        <w:trPr>
          <w:jc w:val="center"/>
          <w:trHeight w:val="603"/>
        </w:trPr>
        <w:tc>
          <w:tcPr>
            <w:tcW w:w="0" w:type="auto"/>
            <w:vAlign w:val="center"/>
            <w:textDirection w:val="lrTb"/>
            <w:noWrap w:val="false"/>
          </w:tcPr>
          <w:p>
            <w:pPr>
              <w:jc w:val="center"/>
              <w:spacing w:line="300" w:lineRule="exact"/>
              <w:widowControl/>
              <w:rPr>
                <w:rFonts w:hint="eastAsia" w:ascii="宋体" w:hAnsi="宋体"/>
                <w:szCs w:val="21"/>
              </w:rPr>
            </w:pPr>
            <w:r/>
            <w:bookmarkStart w:id="17" w:name="_Toc31441"/>
            <w:r/>
            <w:bookmarkStart w:id="18" w:name="_Toc25875"/>
            <w:r/>
            <w:bookmarkStart w:id="19" w:name="_Toc13453"/>
            <w:r/>
            <w:bookmarkStart w:id="20" w:name="_Toc9677"/>
            <w:r/>
            <w:bookmarkStart w:id="21" w:name="_Toc20869"/>
            <w:r>
              <w:rPr>
                <w:rFonts w:hint="eastAsia" w:ascii="宋体" w:hAnsi="宋体"/>
                <w:szCs w:val="21"/>
              </w:rPr>
              <w:t xml:space="preserve">序号</w:t>
            </w:r>
            <w:r/>
          </w:p>
        </w:tc>
        <w:tc>
          <w:tcPr>
            <w:tcW w:w="0" w:type="auto"/>
            <w:vAlign w:val="center"/>
            <w:textDirection w:val="lrTb"/>
            <w:noWrap w:val="false"/>
          </w:tcPr>
          <w:p>
            <w:pPr>
              <w:jc w:val="center"/>
              <w:spacing w:line="300" w:lineRule="exact"/>
              <w:widowControl/>
              <w:rPr>
                <w:rFonts w:hint="eastAsia" w:ascii="宋体" w:hAnsi="宋体"/>
                <w:szCs w:val="21"/>
              </w:rPr>
            </w:pPr>
            <w:r>
              <w:rPr>
                <w:rFonts w:hint="eastAsia" w:ascii="宋体" w:hAnsi="宋体" w:cs="仿宋"/>
                <w:b/>
                <w:bCs/>
                <w:szCs w:val="21"/>
              </w:rPr>
              <w:t xml:space="preserve">采购标的</w:t>
            </w:r>
            <w:r/>
          </w:p>
        </w:tc>
        <w:tc>
          <w:tcPr>
            <w:tcW w:w="0" w:type="auto"/>
            <w:vAlign w:val="center"/>
            <w:textDirection w:val="lrTb"/>
            <w:noWrap w:val="false"/>
          </w:tcPr>
          <w:p>
            <w:pPr>
              <w:jc w:val="center"/>
              <w:spacing w:line="300" w:lineRule="exact"/>
              <w:widowControl/>
              <w:rPr>
                <w:rFonts w:hint="eastAsia" w:ascii="宋体" w:hAnsi="宋体"/>
                <w:szCs w:val="21"/>
              </w:rPr>
            </w:pPr>
            <w:r>
              <w:rPr>
                <w:rFonts w:hint="eastAsia" w:ascii="宋体" w:hAnsi="宋体" w:cs="仿宋"/>
                <w:b/>
                <w:bCs/>
                <w:szCs w:val="21"/>
              </w:rPr>
              <w:t xml:space="preserve">对应中小企业划分标准所属行业</w:t>
            </w:r>
            <w:r/>
          </w:p>
        </w:tc>
        <w:tc>
          <w:tcPr>
            <w:tcW w:w="0" w:type="auto"/>
            <w:vAlign w:val="center"/>
            <w:textDirection w:val="lrTb"/>
            <w:noWrap w:val="false"/>
          </w:tcPr>
          <w:p>
            <w:pPr>
              <w:jc w:val="center"/>
              <w:spacing w:line="300" w:lineRule="exact"/>
              <w:widowControl/>
              <w:rPr>
                <w:rFonts w:hint="eastAsia" w:ascii="宋体" w:hAnsi="宋体"/>
                <w:szCs w:val="21"/>
              </w:rPr>
            </w:pPr>
            <w:r>
              <w:rPr>
                <w:rFonts w:hint="eastAsia" w:ascii="宋体" w:hAnsi="宋体" w:cs="仿宋"/>
                <w:b/>
                <w:bCs/>
                <w:szCs w:val="21"/>
              </w:rPr>
              <w:t xml:space="preserve">数量</w:t>
            </w:r>
            <w:r/>
          </w:p>
        </w:tc>
        <w:tc>
          <w:tcPr>
            <w:tcW w:w="0" w:type="auto"/>
            <w:vAlign w:val="center"/>
            <w:textDirection w:val="lrTb"/>
            <w:noWrap w:val="false"/>
          </w:tcPr>
          <w:p>
            <w:pPr>
              <w:jc w:val="center"/>
              <w:spacing w:line="300" w:lineRule="exact"/>
              <w:widowControl/>
              <w:rPr>
                <w:rFonts w:hint="eastAsia" w:ascii="宋体" w:hAnsi="宋体"/>
                <w:szCs w:val="21"/>
              </w:rPr>
            </w:pPr>
            <w:r>
              <w:rPr>
                <w:rFonts w:hint="eastAsia" w:ascii="宋体" w:hAnsi="宋体" w:cs="仿宋"/>
                <w:b/>
                <w:bCs/>
                <w:szCs w:val="21"/>
              </w:rPr>
              <w:t xml:space="preserve">是否属于强制环保节能产品</w:t>
            </w:r>
            <w:r/>
          </w:p>
        </w:tc>
      </w:tr>
      <w:tr>
        <w:trPr>
          <w:jc w:val="center"/>
          <w:trHeight w:val="569"/>
        </w:trPr>
        <w:tc>
          <w:tcPr>
            <w:tcW w:w="0" w:type="auto"/>
            <w:vAlign w:val="center"/>
            <w:textDirection w:val="lrTb"/>
            <w:noWrap/>
          </w:tcPr>
          <w:p>
            <w:pPr>
              <w:jc w:val="center"/>
              <w:spacing w:line="300" w:lineRule="exact"/>
              <w:widowControl/>
              <w:rPr>
                <w:rFonts w:hint="eastAsia" w:ascii="宋体" w:hAnsi="宋体"/>
                <w:szCs w:val="21"/>
              </w:rPr>
            </w:pPr>
            <w:r>
              <w:rPr>
                <w:rFonts w:hint="eastAsia" w:ascii="宋体" w:hAnsi="宋体"/>
                <w:szCs w:val="21"/>
              </w:rPr>
              <w:t xml:space="preserve">1</w:t>
            </w:r>
            <w:r/>
          </w:p>
        </w:tc>
        <w:tc>
          <w:tcPr>
            <w:tcW w:w="0" w:type="auto"/>
            <w:vAlign w:val="center"/>
            <w:textDirection w:val="lrTb"/>
            <w:noWrap w:val="false"/>
          </w:tcPr>
          <w:p>
            <w:pPr>
              <w:jc w:val="center"/>
              <w:spacing w:line="300" w:lineRule="exact"/>
              <w:widowControl/>
              <w:rPr>
                <w:rFonts w:hint="eastAsia" w:ascii="宋体" w:hAnsi="宋体"/>
                <w:szCs w:val="21"/>
                <w:lang w:bidi="ar"/>
              </w:rPr>
            </w:pPr>
            <w:r>
              <w:rPr>
                <w:rFonts w:hint="eastAsia" w:ascii="宋体" w:hAnsi="宋体" w:cs="仿宋"/>
                <w:szCs w:val="21"/>
              </w:rPr>
              <w:t xml:space="preserve">三重四级杆液质联用仪</w:t>
            </w:r>
            <w:r/>
          </w:p>
        </w:tc>
        <w:tc>
          <w:tcPr>
            <w:tcW w:w="0" w:type="auto"/>
            <w:vAlign w:val="center"/>
            <w:textDirection w:val="lrTb"/>
            <w:noWrap w:val="false"/>
          </w:tcPr>
          <w:p>
            <w:pPr>
              <w:jc w:val="center"/>
              <w:spacing w:line="300" w:lineRule="exact"/>
              <w:widowControl/>
              <w:rPr>
                <w:rFonts w:hint="eastAsia" w:ascii="宋体" w:hAnsi="宋体"/>
                <w:szCs w:val="21"/>
              </w:rPr>
            </w:pPr>
            <w:r>
              <w:rPr>
                <w:rFonts w:hint="eastAsia" w:ascii="宋体" w:hAnsi="宋体" w:cs="仿宋"/>
                <w:szCs w:val="21"/>
              </w:rPr>
              <w:t xml:space="preserve">工业</w:t>
            </w:r>
            <w:r/>
          </w:p>
        </w:tc>
        <w:tc>
          <w:tcPr>
            <w:tcW w:w="0" w:type="auto"/>
            <w:vAlign w:val="center"/>
            <w:textDirection w:val="lrTb"/>
            <w:noWrap w:val="false"/>
          </w:tcPr>
          <w:p>
            <w:pPr>
              <w:jc w:val="center"/>
              <w:spacing w:line="300" w:lineRule="exact"/>
              <w:widowControl/>
              <w:rPr>
                <w:rFonts w:hint="eastAsia" w:ascii="宋体" w:hAnsi="宋体" w:eastAsia="宋体"/>
                <w:szCs w:val="21"/>
                <w:lang w:val="en-US" w:eastAsia="zh-CN"/>
              </w:rPr>
            </w:pPr>
            <w:r>
              <w:rPr>
                <w:rFonts w:hint="eastAsia" w:ascii="宋体" w:hAnsi="宋体" w:cs="仿宋"/>
                <w:szCs w:val="21"/>
              </w:rPr>
              <w:t xml:space="preserve">1</w:t>
            </w:r>
            <w:r>
              <w:rPr>
                <w:rFonts w:hint="eastAsia" w:ascii="宋体" w:hAnsi="宋体" w:cs="仿宋"/>
                <w:szCs w:val="21"/>
                <w:lang w:val="en-US" w:eastAsia="zh-CN"/>
              </w:rPr>
              <w:t xml:space="preserve">套</w:t>
            </w:r>
            <w:r/>
          </w:p>
        </w:tc>
        <w:tc>
          <w:tcPr>
            <w:tcW w:w="0" w:type="auto"/>
            <w:vAlign w:val="center"/>
            <w:textDirection w:val="lrTb"/>
            <w:noWrap w:val="false"/>
          </w:tcPr>
          <w:p>
            <w:pPr>
              <w:jc w:val="center"/>
              <w:spacing w:line="300" w:lineRule="exact"/>
              <w:widowControl/>
              <w:rPr>
                <w:rFonts w:hint="eastAsia" w:ascii="宋体" w:hAnsi="宋体"/>
                <w:szCs w:val="21"/>
              </w:rPr>
            </w:pPr>
            <w:r>
              <w:rPr>
                <w:rFonts w:hint="eastAsia" w:ascii="宋体" w:hAnsi="宋体" w:cs="仿宋"/>
                <w:szCs w:val="21"/>
              </w:rPr>
              <w:t xml:space="preserve">否</w:t>
            </w:r>
            <w:r/>
          </w:p>
        </w:tc>
      </w:tr>
    </w:tbl>
    <w:p>
      <w:pPr>
        <w:jc w:val="left"/>
        <w:spacing w:line="480" w:lineRule="exact"/>
        <w:rPr>
          <w:b/>
          <w:szCs w:val="21"/>
        </w:rPr>
        <w:outlineLvl w:val="0"/>
      </w:pPr>
      <w:r/>
      <w:bookmarkStart w:id="22" w:name="_Toc227144767"/>
      <w:r>
        <w:rPr>
          <w:rFonts w:hint="eastAsia"/>
          <w:b/>
          <w:szCs w:val="21"/>
        </w:rPr>
        <w:t xml:space="preserve">二、技术要求</w:t>
      </w:r>
      <w:bookmarkEnd w:id="17"/>
      <w:r/>
      <w:bookmarkEnd w:id="18"/>
      <w:r/>
      <w:bookmarkEnd w:id="19"/>
      <w:r/>
      <w:bookmarkEnd w:id="20"/>
      <w:r/>
      <w:bookmarkEnd w:id="21"/>
      <w:r/>
      <w:bookmarkEnd w:id="22"/>
      <w:r/>
      <w:r/>
    </w:p>
    <w:p>
      <w:pPr>
        <w:ind w:firstLine="420"/>
        <w:spacing w:line="480" w:lineRule="exact"/>
        <w:rPr>
          <w:bCs/>
          <w:szCs w:val="21"/>
        </w:rPr>
      </w:pPr>
      <w:r>
        <w:rPr>
          <w:rFonts w:hint="eastAsia"/>
          <w:bCs/>
          <w:szCs w:val="21"/>
        </w:rPr>
        <w:t xml:space="preserve">技术要求是指对采购标的功能和质量要求，包括性能、材料、结构、外观、安全，或者服务内容和标准等。</w:t>
      </w:r>
      <w:r/>
    </w:p>
    <w:p>
      <w:pPr>
        <w:ind w:firstLine="420"/>
        <w:spacing w:line="480" w:lineRule="exact"/>
        <w:rPr>
          <w:bCs/>
          <w:szCs w:val="21"/>
        </w:rPr>
      </w:pPr>
      <w:r>
        <w:rPr>
          <w:rFonts w:hint="eastAsia"/>
          <w:bCs/>
          <w:szCs w:val="21"/>
        </w:rPr>
        <w:t xml:space="preserve">本次采购需切实履行绿色采购，参照《</w:t>
      </w:r>
      <w:bookmarkStart w:id="23" w:name="OLE_LINK18"/>
      <w:r>
        <w:rPr>
          <w:rFonts w:hint="eastAsia"/>
          <w:bCs/>
          <w:szCs w:val="21"/>
        </w:rPr>
        <w:t xml:space="preserve">江苏省财政厅关于加强政府绿色采购有关事项的通知</w:t>
      </w:r>
      <w:bookmarkEnd w:id="23"/>
      <w:r>
        <w:rPr>
          <w:rFonts w:hint="eastAsia"/>
          <w:bCs/>
          <w:szCs w:val="21"/>
        </w:rPr>
        <w:t xml:space="preserve">》（苏财购〔2023〕65号），严格落实节能环保产品采购政策，严格执行绿色采购需求标准，推广使用低挥发性有机化合物产品，确保绿色采购落实到位。</w:t>
      </w:r>
      <w:r/>
    </w:p>
    <w:p>
      <w:pPr>
        <w:ind w:firstLine="420"/>
        <w:spacing w:line="480" w:lineRule="exact"/>
        <w:rPr>
          <w:bCs/>
          <w:szCs w:val="21"/>
        </w:rPr>
      </w:pPr>
      <w:r>
        <w:rPr>
          <w:rFonts w:hint="eastAsia"/>
          <w:bCs/>
          <w:szCs w:val="21"/>
        </w:rPr>
        <w:t xml:space="preserve">品目清单见《关于印发环境标志产品政府采购品目清单的通知》（</w:t>
      </w:r>
      <w:bookmarkStart w:id="24" w:name="OLE_LINK15"/>
      <w:r>
        <w:rPr>
          <w:rFonts w:hint="eastAsia"/>
          <w:bCs/>
          <w:szCs w:val="21"/>
        </w:rPr>
        <w:t xml:space="preserve">财库〔2019〕18号</w:t>
      </w:r>
      <w:bookmarkEnd w:id="24"/>
      <w:r>
        <w:rPr>
          <w:rFonts w:hint="eastAsia"/>
          <w:bCs/>
          <w:szCs w:val="21"/>
        </w:rPr>
        <w:t xml:space="preserve">）、《</w:t>
      </w:r>
      <w:bookmarkStart w:id="25" w:name="OLE_LINK16"/>
      <w:r>
        <w:rPr>
          <w:rFonts w:hint="eastAsia"/>
          <w:bCs/>
          <w:szCs w:val="21"/>
        </w:rPr>
        <w:t xml:space="preserve">关于印发节能产品政府采购品目清单的通知</w:t>
      </w:r>
      <w:bookmarkEnd w:id="25"/>
      <w:r>
        <w:rPr>
          <w:rFonts w:hint="eastAsia"/>
          <w:bCs/>
          <w:szCs w:val="21"/>
        </w:rPr>
        <w:t xml:space="preserve">》（</w:t>
      </w:r>
      <w:bookmarkStart w:id="26" w:name="OLE_LINK17"/>
      <w:r>
        <w:rPr>
          <w:rFonts w:hint="eastAsia"/>
          <w:bCs/>
          <w:szCs w:val="21"/>
        </w:rPr>
        <w:t xml:space="preserve">财库〔2019〕19号</w:t>
      </w:r>
      <w:bookmarkEnd w:id="26"/>
      <w:r>
        <w:rPr>
          <w:rFonts w:hint="eastAsia"/>
          <w:bCs/>
          <w:szCs w:val="21"/>
        </w:rPr>
        <w:t xml:space="preserve">）。</w:t>
      </w:r>
      <w:r/>
    </w:p>
    <w:p>
      <w:pPr>
        <w:ind w:firstLine="420"/>
        <w:spacing w:line="480" w:lineRule="exact"/>
        <w:rPr>
          <w:bCs/>
          <w:szCs w:val="21"/>
        </w:rPr>
      </w:pPr>
      <w:r>
        <w:rPr>
          <w:rFonts w:hint="eastAsia"/>
          <w:bCs/>
          <w:szCs w:val="21"/>
        </w:rPr>
        <w:t xml:space="preserve">需求标准见《商品包装政府采购需求标准（试行）》《快递包装政府采购需求标准（试行）》（财办库〔2020〕123号）、《绿色数据中心政府采购需求标准（试行）》（财库〔2023〕7号）。</w:t>
      </w:r>
      <w:r/>
    </w:p>
    <w:p>
      <w:pPr>
        <w:ind w:firstLine="420"/>
        <w:jc w:val="left"/>
        <w:spacing w:line="480" w:lineRule="exact"/>
        <w:rPr>
          <w:bCs/>
          <w:szCs w:val="21"/>
        </w:rPr>
      </w:pPr>
      <w:r>
        <w:rPr>
          <w:bCs/>
          <w:szCs w:val="21"/>
        </w:rPr>
      </w:r>
      <w:r/>
    </w:p>
    <w:p>
      <w:pPr>
        <w:ind w:firstLine="422"/>
        <w:jc w:val="left"/>
        <w:spacing w:line="360" w:lineRule="auto"/>
        <w:rPr>
          <w:rFonts w:hint="eastAsia" w:ascii="宋体" w:hAnsi="宋体" w:cs="宋体"/>
          <w:b/>
          <w:bCs/>
          <w:szCs w:val="21"/>
        </w:rPr>
      </w:pPr>
      <w:r>
        <w:rPr>
          <w:rFonts w:hint="eastAsia" w:ascii="宋体" w:hAnsi="宋体" w:cs="宋体"/>
          <w:b/>
          <w:bCs/>
          <w:szCs w:val="21"/>
          <w:lang w:val="en-US" w:eastAsia="zh-CN"/>
        </w:rPr>
        <w:t xml:space="preserve">1.</w:t>
      </w:r>
      <w:r>
        <w:rPr>
          <w:rFonts w:hint="eastAsia" w:ascii="宋体" w:hAnsi="宋体" w:cs="宋体"/>
          <w:b/>
          <w:bCs/>
          <w:szCs w:val="21"/>
        </w:rPr>
        <w:t xml:space="preserve">质谱仪</w:t>
      </w:r>
      <w:r/>
    </w:p>
    <w:p>
      <w:pPr>
        <w:ind w:left="420" w:firstLine="0"/>
        <w:jc w:val="left"/>
        <w:spacing w:line="360" w:lineRule="auto"/>
        <w:rPr>
          <w:rFonts w:hint="eastAsia"/>
          <w:szCs w:val="21"/>
          <w14:ligatures w14:val="standardContextual"/>
        </w:rPr>
      </w:pPr>
      <w:r>
        <w:rPr>
          <w:rFonts w:hint="eastAsia"/>
          <w:szCs w:val="21"/>
          <w14:ligatures w14:val="standardContextual"/>
        </w:rPr>
        <w:t xml:space="preserve">1.1离子源技术</w:t>
      </w:r>
      <w:r>
        <w:rPr>
          <w:rFonts w:hint="eastAsia"/>
          <w:szCs w:val="21"/>
          <w14:ligatures w14:val="standardContextual"/>
        </w:rPr>
        <w:br/>
      </w:r>
      <w:r>
        <w:rPr>
          <w:rFonts w:hint="eastAsia"/>
          <w:szCs w:val="21"/>
          <w14:ligatures w14:val="standardContextual"/>
        </w:rPr>
        <w:t xml:space="preserve">1.1.1离子源类型：标配独立电喷雾离子源（ESI源）和独立大气压化学电离源（APCI源）。</w:t>
      </w:r>
      <w:r/>
    </w:p>
    <w:p>
      <w:pPr>
        <w:ind w:firstLine="420"/>
        <w:jc w:val="left"/>
        <w:spacing w:line="360" w:lineRule="auto"/>
        <w:rPr>
          <w:rFonts w:hint="eastAsia"/>
          <w:szCs w:val="21"/>
          <w14:ligatures w14:val="standardContextual"/>
        </w:rPr>
      </w:pPr>
      <w:r>
        <w:rPr>
          <w:rFonts w:hint="eastAsia"/>
          <w:szCs w:val="21"/>
          <w14:ligatures w14:val="standardContextual"/>
        </w:rPr>
        <w:t xml:space="preserve">▲1.1.2 ESI源最大耐流速2.8mL/min，且确保灵敏度不损失的前提下，实现高流速，无需分流。{提供官网离子源耐流速范围截图，以及投标产品设置流速≥2.8mL/min时离子源端液体完全雾化无液体出现的视频，以及农药多菌灵在不同流速：0.4，0.8，1，2，2.8mL/min下，灵敏度不损失（即农药多菌灵在不同流速下得到的各个色谱峰峰高差在5%以内）的谱图数据作为证明材料，以上材料缺一不可}</w:t>
      </w:r>
      <w:r>
        <w:rPr>
          <w:rFonts w:hint="eastAsia"/>
          <w:szCs w:val="21"/>
          <w14:ligatures w14:val="standardContextual"/>
        </w:rPr>
        <w:tab/>
      </w:r>
      <w:r/>
    </w:p>
    <w:p>
      <w:pPr>
        <w:ind w:firstLine="420"/>
        <w:jc w:val="left"/>
        <w:spacing w:line="360" w:lineRule="auto"/>
        <w:rPr>
          <w:rFonts w:hint="eastAsia"/>
          <w:szCs w:val="21"/>
          <w14:ligatures w14:val="standardContextual"/>
        </w:rPr>
      </w:pPr>
      <w:r>
        <w:rPr>
          <w:rFonts w:hint="eastAsia"/>
          <w:szCs w:val="21"/>
          <w14:ligatures w14:val="standardContextual"/>
        </w:rPr>
        <w:t xml:space="preserve">1.1.3离子源内辅助加热气温度至少达到720℃。{提供官网数据截图及软件截图作为证明材料}</w:t>
      </w:r>
      <w:r/>
    </w:p>
    <w:p>
      <w:pPr>
        <w:ind w:firstLine="420"/>
        <w:jc w:val="left"/>
        <w:spacing w:line="360" w:lineRule="auto"/>
        <w:rPr>
          <w:rFonts w:hint="eastAsia"/>
          <w:szCs w:val="21"/>
          <w14:ligatures w14:val="standardContextual"/>
        </w:rPr>
      </w:pPr>
      <w:r>
        <w:rPr>
          <w:rFonts w:hint="eastAsia"/>
          <w:szCs w:val="21"/>
          <w14:ligatures w14:val="standardContextual"/>
        </w:rPr>
        <w:t xml:space="preserve">▲1.1.4离子源接口须采用锥孔真空结构，非毛细管引流等有实体管路的离子通道设计（毛细管组件如加热毛细管、非加热毛细管、DL管等均视为毛细管），无需作为耗材更换。（提供离子源接口硬件结构图及彩页截图作为证明材料）</w:t>
      </w:r>
      <w:r/>
    </w:p>
    <w:p>
      <w:pPr>
        <w:ind w:firstLine="420"/>
        <w:jc w:val="left"/>
        <w:spacing w:line="360" w:lineRule="auto"/>
        <w:rPr>
          <w:rFonts w:hint="eastAsia"/>
          <w:szCs w:val="21"/>
          <w14:ligatures w14:val="standardContextual"/>
        </w:rPr>
      </w:pPr>
      <w:r>
        <w:rPr>
          <w:rFonts w:hint="eastAsia"/>
          <w:szCs w:val="21"/>
          <w14:ligatures w14:val="standardContextual"/>
        </w:rPr>
        <w:t xml:space="preserve">1.1.5离子源具有废气主动排放功能，可有效降低离子源的记忆效应和污染，降低机械泵的负荷延长机械泵泵油使用时间，维护试验环境，保障工作人员健康。（提供离子源负压装置结构图作为证明材料）</w:t>
      </w:r>
      <w:r/>
    </w:p>
    <w:p>
      <w:pPr>
        <w:ind w:left="420" w:firstLine="0"/>
        <w:jc w:val="left"/>
        <w:spacing w:line="360" w:lineRule="auto"/>
        <w:rPr>
          <w:rFonts w:hint="eastAsia"/>
          <w:szCs w:val="21"/>
          <w14:ligatures w14:val="standardContextual"/>
        </w:rPr>
      </w:pPr>
      <w:r>
        <w:rPr>
          <w:rFonts w:hint="eastAsia"/>
          <w:szCs w:val="21"/>
          <w14:ligatures w14:val="standardContextual"/>
        </w:rPr>
        <w:t xml:space="preserve">1.2质量分析系统</w:t>
      </w:r>
      <w:r>
        <w:rPr>
          <w:rFonts w:hint="eastAsia"/>
          <w:szCs w:val="21"/>
          <w14:ligatures w14:val="standardContextual"/>
        </w:rPr>
        <w:br/>
      </w:r>
      <w:r>
        <w:rPr>
          <w:rFonts w:hint="eastAsia"/>
          <w:szCs w:val="21"/>
          <w14:ligatures w14:val="standardContextual"/>
        </w:rPr>
        <w:t xml:space="preserve">1.2.1质量分析器：三重四级杆质谱质量分析系统。</w:t>
      </w:r>
      <w:r>
        <w:rPr>
          <w:rFonts w:hint="eastAsia"/>
          <w:szCs w:val="21"/>
          <w14:ligatures w14:val="standardContextual"/>
        </w:rPr>
        <w:br/>
      </w:r>
      <w:r>
        <w:rPr>
          <w:rFonts w:hint="eastAsia"/>
          <w:szCs w:val="21"/>
          <w14:ligatures w14:val="standardContextual"/>
        </w:rPr>
        <w:t xml:space="preserve">▲1.2.2碰撞室：为有效消除“交叉污染”、保证高通量分析能力的同时灵敏度不损失，碰撞室物理结构需为弯曲非直线碰撞室。{提供所投产品彩页碰撞室结构截图，及所投产品拆机视频（视频内容无剪辑至少展现出仪器型号、碰撞室结构等内容），同时提供农药多菌灵在2ms和10ms的驻留时间时，灵敏度不损失（即农药多菌灵在2ms和10ms的驻留时间时得到的色谱峰峰高差在5%以内）的谱图及数据证明，以上材料缺一不可}</w:t>
      </w:r>
      <w:r/>
    </w:p>
    <w:p>
      <w:pPr>
        <w:ind w:firstLine="420"/>
        <w:jc w:val="left"/>
        <w:spacing w:line="360" w:lineRule="auto"/>
        <w:rPr>
          <w:rFonts w:hint="eastAsia"/>
          <w:szCs w:val="21"/>
          <w14:ligatures w14:val="standardContextual"/>
        </w:rPr>
      </w:pPr>
      <w:r>
        <w:rPr>
          <w:rFonts w:hint="eastAsia"/>
          <w:szCs w:val="21"/>
          <w14:ligatures w14:val="standardContextual"/>
        </w:rPr>
        <w:t xml:space="preserve">▲1.2.3气源要求：为节约成本，方便用户管理气体，一台氮气发生器即可满足所投产品所有气源（包括雾化气、辅助加热气、碰撞气等）要求，无需高压钢瓶、液氮罐及额外发生器等其他辅助设备再提供气源。（需提供制造厂家盖章的安装说明书）。</w:t>
      </w:r>
      <w:r/>
    </w:p>
    <w:p>
      <w:pPr>
        <w:ind w:firstLine="420"/>
        <w:jc w:val="left"/>
        <w:spacing w:line="360" w:lineRule="auto"/>
        <w:rPr>
          <w:rFonts w:hint="eastAsia"/>
          <w:szCs w:val="21"/>
          <w14:ligatures w14:val="standardContextual"/>
        </w:rPr>
      </w:pPr>
      <w:r>
        <w:rPr>
          <w:rFonts w:hint="eastAsia"/>
          <w:szCs w:val="21"/>
          <w14:ligatures w14:val="standardContextual"/>
        </w:rPr>
        <w:t xml:space="preserve">★1.2.4质量范围m/z：至少覆盖5-2000amu。</w:t>
      </w:r>
      <w:r/>
    </w:p>
    <w:p>
      <w:pPr>
        <w:ind w:firstLine="420"/>
        <w:jc w:val="left"/>
        <w:spacing w:line="360" w:lineRule="auto"/>
        <w:rPr>
          <w:rFonts w:hint="eastAsia"/>
          <w:szCs w:val="21"/>
          <w14:ligatures w14:val="standardContextual"/>
        </w:rPr>
      </w:pPr>
      <w:r>
        <w:rPr>
          <w:rFonts w:hint="eastAsia"/>
          <w:szCs w:val="21"/>
          <w14:ligatures w14:val="standardContextual"/>
        </w:rPr>
        <w:t xml:space="preserve">1.2.</w:t>
      </w:r>
      <w:bookmarkStart w:id="27" w:name="_Hlk223352423"/>
      <w:r>
        <w:rPr>
          <w:rFonts w:hint="eastAsia"/>
          <w:szCs w:val="21"/>
          <w14:ligatures w14:val="standardContextual"/>
        </w:rPr>
        <w:t xml:space="preserve">5正负离子极性切换速度</w:t>
      </w:r>
      <w:bookmarkEnd w:id="27"/>
      <w:r>
        <w:rPr>
          <w:rFonts w:hint="eastAsia"/>
          <w:szCs w:val="21"/>
          <w14:ligatures w14:val="standardContextual"/>
        </w:rPr>
        <w:t xml:space="preserve">：≤5ms（提供软件截图）</w:t>
      </w:r>
      <w:r>
        <w:rPr>
          <w:rFonts w:hint="eastAsia"/>
          <w:szCs w:val="21"/>
          <w14:ligatures w14:val="standardContextual"/>
        </w:rPr>
        <w:tab/>
      </w:r>
      <w:r/>
    </w:p>
    <w:p>
      <w:pPr>
        <w:ind w:left="420" w:firstLine="0"/>
        <w:jc w:val="left"/>
        <w:spacing w:line="360" w:lineRule="auto"/>
        <w:rPr>
          <w:rFonts w:hint="eastAsia"/>
          <w:szCs w:val="21"/>
          <w14:ligatures w14:val="standardContextual"/>
        </w:rPr>
      </w:pPr>
      <w:r>
        <w:rPr>
          <w:rFonts w:hint="eastAsia"/>
          <w:szCs w:val="21"/>
          <w14:ligatures w14:val="standardContextual"/>
        </w:rPr>
        <w:t xml:space="preserve">1.2.6定量范围：至少6个数量级</w:t>
      </w:r>
      <w:r>
        <w:rPr>
          <w:rFonts w:hint="eastAsia"/>
          <w:szCs w:val="21"/>
          <w14:ligatures w14:val="standardContextual"/>
        </w:rPr>
        <w:br/>
      </w:r>
      <w:r>
        <w:rPr>
          <w:rFonts w:hint="eastAsia"/>
          <w:szCs w:val="21"/>
          <w14:ligatures w14:val="standardContextual"/>
        </w:rPr>
        <w:t xml:space="preserve">1.2.7灵敏度和重现性：</w:t>
      </w:r>
      <w:r/>
    </w:p>
    <w:p>
      <w:pPr>
        <w:ind w:firstLine="420"/>
        <w:jc w:val="left"/>
        <w:spacing w:line="360" w:lineRule="auto"/>
        <w:rPr>
          <w:rFonts w:hint="eastAsia"/>
          <w:szCs w:val="21"/>
          <w14:ligatures w14:val="standardContextual"/>
        </w:rPr>
      </w:pPr>
      <w:r>
        <w:rPr>
          <w:rFonts w:hint="eastAsia"/>
          <w:szCs w:val="21"/>
          <w14:ligatures w14:val="standardContextual"/>
        </w:rPr>
        <w:t xml:space="preserve">▲1.2.7.1标准品1fg利血平(609/195)柱上进样，仪器检出限IDL＜0.28fg。（提供完整实验谱图、数据结果、IDL计算过程及计量院检测报告作为证明材料）</w:t>
      </w:r>
      <w:r/>
    </w:p>
    <w:p>
      <w:pPr>
        <w:ind w:firstLine="420"/>
        <w:jc w:val="left"/>
        <w:spacing w:line="360" w:lineRule="auto"/>
        <w:rPr>
          <w:rFonts w:hint="eastAsia"/>
          <w:szCs w:val="21"/>
          <w14:ligatures w14:val="standardContextual"/>
        </w:rPr>
      </w:pPr>
      <w:r>
        <w:rPr>
          <w:rFonts w:hint="eastAsia"/>
          <w:szCs w:val="21"/>
          <w14:ligatures w14:val="standardContextual"/>
        </w:rPr>
        <w:t xml:space="preserve">★1.2.7.2 ESI+: 实际柱上进样1pg利血平，流速0.8mL/min，m/z 609.3&gt;195.1，peak to peak（非RMS模式），信噪比≥3,500,000:1，基线噪声采集区间不低于0.3min。重现性实验：1pg氯霉素分别连续进样10次，峰面积CV小于3%。（提供完整的实验谱图及实验结果等证明文件）</w:t>
      </w:r>
      <w:r/>
    </w:p>
    <w:p>
      <w:pPr>
        <w:ind w:firstLine="420"/>
        <w:jc w:val="left"/>
        <w:spacing w:line="360" w:lineRule="auto"/>
        <w:rPr>
          <w:rFonts w:hint="eastAsia"/>
          <w:szCs w:val="21"/>
          <w14:ligatures w14:val="standardContextual"/>
        </w:rPr>
      </w:pPr>
      <w:r>
        <w:rPr>
          <w:rFonts w:hint="eastAsia"/>
          <w:szCs w:val="21"/>
          <w14:ligatures w14:val="standardContextual"/>
        </w:rPr>
        <w:t xml:space="preserve">▲1.2.7.3草甘膦灵敏度与重复性验证实验：按照 GB 23200.122-2026 规定的色谱条件进行分析，采用色谱柱季铵化聚乙烯</w:t>
      </w:r>
      <w:r>
        <w:rPr>
          <w:rFonts w:hint="eastAsia"/>
          <w:szCs w:val="21"/>
          <w14:ligatures w14:val="standardContextual"/>
        </w:rPr>
        <w:t xml:space="preserve">醇阴离子分析柱（4.0mm×150 mm×5μm）或者相当者。流动相 A 为水，流动相 B 为含 200 mmol/L 碳酸氢铵及 0.05% 氨水的水溶液。在柱上进样量为 1pg的条件下，对草甘膦进行检测。结果表明，在未进行数据平滑且基于 peak-to-peak 方式计算信噪比的情况下，目标峰信噪比（S/N）大于10，满足痕量检测要求。此外，在柱上进样量为 1pg的条件下连续进样至少8针的峰面积相对标准偏差（RSD）小于 3%，表明仪器具有良好的重复性与稳定性。（提供完整的实验谱图及实验结果等证明文件）</w:t>
      </w:r>
      <w:r/>
    </w:p>
    <w:p>
      <w:pPr>
        <w:ind w:firstLine="420"/>
        <w:jc w:val="left"/>
        <w:spacing w:line="360" w:lineRule="auto"/>
        <w:rPr>
          <w:rFonts w:hint="eastAsia"/>
          <w:szCs w:val="21"/>
          <w14:ligatures w14:val="standardContextual"/>
        </w:rPr>
      </w:pPr>
      <w:r>
        <w:rPr>
          <w:rFonts w:hint="eastAsia"/>
          <w:szCs w:val="21"/>
          <w:highlight w:val="none"/>
          <w14:ligatures w14:val="standardContextual"/>
        </w:rPr>
        <w:t xml:space="preserve">▲1.2.7.4萘乙酸、调环酸、14-羟基芸苔素甾醇灵敏度与重复性验证实验：2025版药典植物生长调节剂残留量测定法中第一法给</w:t>
      </w:r>
      <w:r>
        <w:rPr>
          <w:rFonts w:hint="eastAsia"/>
          <w:szCs w:val="21"/>
          <w14:ligatures w14:val="standardContextual"/>
        </w:rPr>
        <w:t xml:space="preserve">出的流动相条件和离子对，采用色谱柱 C</w:t>
      </w:r>
      <w:r>
        <w:rPr>
          <w:rFonts w:hint="eastAsia"/>
          <w:szCs w:val="21"/>
          <w:vertAlign w:val="subscript"/>
          <w14:ligatures w14:val="standardContextual"/>
        </w:rPr>
        <w:t xml:space="preserve">18</w:t>
      </w:r>
      <w:r>
        <w:rPr>
          <w:rFonts w:hint="eastAsia"/>
          <w:szCs w:val="21"/>
          <w14:ligatures w14:val="standardContextual"/>
        </w:rPr>
        <w:t xml:space="preserve">（2.7μm 150×2.1mm）。流动相 A 为水（含0.05%甲酸， 10mmol/L甲酸铵），流动相 B 为甲醇（含0.05%甲酸， 10mmol/L甲酸铵）。党参的基质加标溶液,对萘乙酸、调</w:t>
      </w:r>
      <w:r>
        <w:rPr>
          <w:rFonts w:hint="eastAsia"/>
          <w:szCs w:val="21"/>
          <w14:ligatures w14:val="standardContextual"/>
        </w:rPr>
        <w:t xml:space="preserve">环酸在柱上进样量为 10 pg和14-羟基芸苔素甾醇柱上进样量为 20 pg的条件下进行检测。结果表明，在未进行数据平滑且基于 peak-to-peak 方式计算信噪比的情况下，萘乙酸、调环酸、14-羟基芸苔素甾醇目标峰信噪比（S/N）大于 10，满足痕量检测要求。此外，在以上柱上进样量（萘乙酸、调环酸10 pg, 14-羟基芸苔素甾醇20 pg）的条件下连续进样至少 6 针, 以上3个化合物峰面积相对标准偏差（RSD）小于 5%，表明仪器具有良好的重复性与稳定性。（提供完整的实验谱图及实验结果等证明文件）</w:t>
      </w:r>
      <w:r/>
    </w:p>
    <w:p>
      <w:pPr>
        <w:ind w:firstLine="420"/>
        <w:jc w:val="left"/>
        <w:spacing w:line="360" w:lineRule="auto"/>
        <w:rPr>
          <w:rFonts w:hint="eastAsia"/>
          <w:szCs w:val="21"/>
          <w14:ligatures w14:val="standardContextual"/>
        </w:rPr>
      </w:pPr>
      <w:r>
        <w:rPr>
          <w:rFonts w:hint="eastAsia"/>
          <w:szCs w:val="21"/>
          <w14:ligatures w14:val="standardContextual"/>
        </w:rPr>
        <w:t xml:space="preserve">1.2.7.5实际样品ESI+灵敏度 ：2pg二氢睾丸酮MRM分析测量m/z159（子离子）、m/z291（母离子），柱上进样，信噪比≥20:1,CV小于6%，n=3（连续进样）。分别测量500fg、2pg、10pg柱上量的二氢睾丸酮（每个浓度下连续进样3次），要求其回归系数R＞0.99，浓度准确度偏差小于15%，每个浓度下的重现性CV小于15%。（要求提供完整的谱图支持文件）</w:t>
      </w:r>
      <w:r>
        <w:rPr>
          <w:rFonts w:hint="eastAsia"/>
          <w:szCs w:val="21"/>
          <w14:ligatures w14:val="standardContextual"/>
        </w:rPr>
        <w:tab/>
      </w:r>
      <w:r/>
    </w:p>
    <w:p>
      <w:pPr>
        <w:ind w:firstLine="420"/>
        <w:jc w:val="left"/>
        <w:spacing w:line="360" w:lineRule="auto"/>
        <w:rPr>
          <w:rFonts w:hint="eastAsia"/>
          <w:szCs w:val="21"/>
          <w14:ligatures w14:val="standardContextual"/>
        </w:rPr>
      </w:pPr>
      <w:r>
        <w:rPr>
          <w:rFonts w:hint="eastAsia"/>
          <w:szCs w:val="21"/>
          <w14:ligatures w14:val="standardContextual"/>
        </w:rPr>
        <w:t xml:space="preserve">▲1.2.7.6 灵敏度稳定性：多菌灵 (carbendazim)甲醇溶液，不接色谱柱仅接二通的情况下，使用80%的乙腈水溶液作为流动相，不同流速0.4、0.8、1、2mL/min下分别进样1µL，分别测定峰高值（多重反应监测 192/160），计算{（最高值峰高值-最低值峰高值）/最高值峰高值}≤5%。（提供软件界面全屏的截图，要求界面上显示多重反应监测离子对及峰高信息并提供具备CMA或CNAS资质的第三方认证机构出具的投标型号质谱的检测报告证明）</w:t>
      </w:r>
      <w:r/>
    </w:p>
    <w:p>
      <w:pPr>
        <w:ind w:firstLine="420"/>
        <w:jc w:val="left"/>
        <w:spacing w:line="360" w:lineRule="auto"/>
        <w:rPr>
          <w:rFonts w:hint="eastAsia"/>
          <w:szCs w:val="21"/>
          <w14:ligatures w14:val="standardContextual"/>
        </w:rPr>
      </w:pPr>
      <w:r>
        <w:rPr>
          <w:rFonts w:hint="eastAsia"/>
          <w:szCs w:val="21"/>
          <w14:ligatures w14:val="standardContextual"/>
        </w:rPr>
        <w:t xml:space="preserve">1.2.8一针进样正负切换检测GB 316583.25-2022中6种利尿剂不损失灵敏度，化合物浓度10ppb，正离子包括氨苯蝶啶、螺内酯、坎利酮，负离子包括氢氯噻嗪、4-氨基-6-氯苯-1,3-二磺酰胺、氯噻嗪。 (提供制造商盖章图谱证明材料，至少包括单独正离子检测或单独负离子检测，与正负切换一针检测色谱峰峰高偏差≤5%)</w:t>
      </w:r>
      <w:r/>
    </w:p>
    <w:p>
      <w:pPr>
        <w:ind w:firstLine="420"/>
        <w:jc w:val="left"/>
        <w:spacing w:line="360" w:lineRule="auto"/>
        <w:rPr>
          <w:rFonts w:hint="eastAsia"/>
          <w:szCs w:val="21"/>
          <w14:ligatures w14:val="standardContextual"/>
        </w:rPr>
      </w:pPr>
      <w:r>
        <w:rPr>
          <w:rFonts w:hint="eastAsia"/>
          <w:szCs w:val="21"/>
          <w14:ligatures w14:val="standardContextual"/>
        </w:rPr>
        <w:t xml:space="preserve">▲</w:t>
      </w:r>
      <w:bookmarkStart w:id="28" w:name="_Hlk223354540"/>
      <w:r>
        <w:rPr>
          <w:rFonts w:hint="eastAsia"/>
          <w:szCs w:val="21"/>
          <w14:ligatures w14:val="standardContextual"/>
        </w:rPr>
        <w:t xml:space="preserve">1.2.</w:t>
      </w:r>
      <w:bookmarkEnd w:id="28"/>
      <w:r>
        <w:rPr>
          <w:rFonts w:hint="eastAsia"/>
          <w:szCs w:val="21"/>
          <w14:ligatures w14:val="standardContextual"/>
        </w:rPr>
        <w:t xml:space="preserve">9在数据采集过程中具有动态背景扣除功能（非手动扣除背景），保证低含量化合物也能采集到有效的二级谱图{须提供软件截图及视频（视频无剪辑须体现出动态背景扣除功能、二级谱图等信息）等证明材料，以上材料缺一不可} </w:t>
      </w:r>
      <w:r/>
    </w:p>
    <w:p>
      <w:pPr>
        <w:ind w:firstLine="420"/>
        <w:jc w:val="left"/>
        <w:spacing w:line="360" w:lineRule="auto"/>
        <w:rPr>
          <w:rFonts w:hint="eastAsia"/>
          <w:szCs w:val="21"/>
          <w14:ligatures w14:val="standardContextual"/>
        </w:rPr>
      </w:pPr>
      <w:r>
        <w:rPr>
          <w:rFonts w:hint="eastAsia"/>
          <w:szCs w:val="21"/>
          <w14:ligatures w14:val="standardContextual"/>
        </w:rPr>
        <w:t xml:space="preserve">▲1.2.10提供原厂开发（非第三方开发）完整、标准化的实验方法</w:t>
      </w:r>
      <w:r>
        <w:rPr>
          <w:rFonts w:hint="eastAsia"/>
          <w:szCs w:val="21"/>
          <w14:ligatures w14:val="standardContextual"/>
        </w:rPr>
        <w:t xml:space="preserve">包：≥1750种化合物（其中：农药≥750种（覆盖GB 23200.121-2026、GB 2763-2026），兽药≥600种（覆盖GB 31650系列），新污染物≥400种（覆盖《重点管控新污染物清单（2023年版）》），方法涵盖MRM离子对及其保留时间信息、离子源参数、色谱柱配置、液相梯度及流动相条件等关键要素，实现真正意义上的“开箱即用”。（提供公开发布的技术应用文章及所投产品实机软件演示视频，视频无剪辑，需体现出仪器型号，化合物数量，MRM离子对及其保留时间信息、离子源参数等关键信息作为证明材料）</w:t>
      </w:r>
      <w:r/>
    </w:p>
    <w:p>
      <w:pPr>
        <w:ind w:firstLine="420"/>
        <w:jc w:val="left"/>
        <w:spacing w:line="360" w:lineRule="auto"/>
        <w:rPr>
          <w:rFonts w:hint="eastAsia"/>
          <w:szCs w:val="21"/>
          <w14:ligatures w14:val="standardContextual"/>
        </w:rPr>
      </w:pPr>
      <w:r>
        <w:rPr>
          <w:rFonts w:hint="eastAsia"/>
          <w:szCs w:val="21"/>
          <w14:ligatures w14:val="standardContextual"/>
        </w:rPr>
        <w:t xml:space="preserve">1.2.11 MRM离子对数据库收录不少于5300种化合物。其中：正离子模式不少于3900种、负离子模式不少于1300种。数据库信息至少包含化合物CAS号、分子式、MRM离子对参数、中英文名称、加和方式、源内裂解信息以及正/负离子模式等关键信息。数据库至少覆盖农药、兽药、非法添加物、食品添加剂、包装材料迁移物、治疗药物、天然产物、毒物及环境污染物等多个类别。该数据库支持直接调用，可快速导入化合物参数生成检测方法，适用于日常检测与风险评估等多种应用场景。（提供软件数据库截图）</w:t>
      </w:r>
      <w:r/>
    </w:p>
    <w:p>
      <w:pPr>
        <w:ind w:firstLine="420"/>
        <w:jc w:val="left"/>
        <w:spacing w:line="360" w:lineRule="auto"/>
        <w:rPr>
          <w:rFonts w:hint="eastAsia"/>
          <w:szCs w:val="21"/>
          <w14:ligatures w14:val="standardContextual"/>
        </w:rPr>
      </w:pPr>
      <w:r>
        <w:rPr>
          <w:rFonts w:hint="eastAsia"/>
          <w:szCs w:val="21"/>
          <w14:ligatures w14:val="standardContextual"/>
        </w:rPr>
        <w:t xml:space="preserve">1.3检测器技术：电子脉冲计数检测器技术，非光电倍增管技术，无正负离子歧视效应，保障长期数据稳定性。</w:t>
      </w:r>
      <w:r/>
    </w:p>
    <w:p>
      <w:pPr>
        <w:ind w:firstLine="420"/>
        <w:jc w:val="left"/>
        <w:spacing w:line="360" w:lineRule="auto"/>
        <w:rPr>
          <w:rFonts w:hint="eastAsia"/>
          <w:szCs w:val="21"/>
          <w14:ligatures w14:val="standardContextual"/>
        </w:rPr>
      </w:pPr>
      <w:r>
        <w:rPr>
          <w:rFonts w:hint="eastAsia"/>
          <w:szCs w:val="21"/>
          <w14:ligatures w14:val="standardContextual"/>
        </w:rPr>
        <w:t xml:space="preserve">1.4 数据处理系统：操作软件符合21 CFR Part 11电子稽查的要求，具有数据追踪和电子签名，符合FDA、CFDA认证的各项要求。（提供软件截图作为证明文件）  </w:t>
      </w:r>
      <w:r/>
    </w:p>
    <w:p>
      <w:pPr>
        <w:ind w:firstLine="420"/>
        <w:jc w:val="left"/>
        <w:spacing w:line="360" w:lineRule="auto"/>
        <w:rPr>
          <w:rFonts w:hint="eastAsia"/>
          <w:szCs w:val="21"/>
          <w14:ligatures w14:val="standardContextual"/>
        </w:rPr>
      </w:pPr>
      <w:r>
        <w:rPr>
          <w:rFonts w:hint="eastAsia"/>
          <w:szCs w:val="21"/>
          <w14:ligatures w14:val="standardContextual"/>
        </w:rPr>
        <w:t xml:space="preserve">1.5 拓展升级能力：可兼容毛细管电泳作为CE-MS/MS检测大分子蛋白多肽分析；可兼容离子色谱质谱联用方法 IC-MS/MS 检测强极性化合物如卤代乙酸/溴酸盐高氯酸盐等；可拓展离子淌度模块提高同分异构体区分能力（提供文献等证明文件）</w:t>
      </w:r>
      <w:r/>
    </w:p>
    <w:p>
      <w:pPr>
        <w:ind w:firstLine="422"/>
        <w:jc w:val="left"/>
        <w:spacing w:line="360" w:lineRule="auto"/>
        <w:rPr>
          <w:rFonts w:hint="eastAsia" w:ascii="宋体" w:hAnsi="宋体" w:cs="宋体"/>
          <w:b/>
          <w:bCs/>
          <w:szCs w:val="21"/>
        </w:rPr>
      </w:pPr>
      <w:r>
        <w:rPr>
          <w:rFonts w:hint="eastAsia" w:ascii="宋体" w:hAnsi="宋体" w:cs="宋体"/>
          <w:b/>
          <w:bCs/>
          <w:szCs w:val="21"/>
          <w:lang w:val="en-US" w:eastAsia="zh-CN"/>
        </w:rPr>
        <w:t xml:space="preserve">2.</w:t>
      </w:r>
      <w:r>
        <w:rPr>
          <w:rFonts w:hint="eastAsia" w:ascii="宋体" w:hAnsi="宋体" w:cs="宋体"/>
          <w:b/>
          <w:bCs/>
          <w:szCs w:val="21"/>
        </w:rPr>
        <w:t xml:space="preserve">超高效液相色谱仪</w:t>
      </w:r>
      <w:r/>
    </w:p>
    <w:p>
      <w:pPr>
        <w:ind w:firstLine="420"/>
        <w:jc w:val="left"/>
        <w:spacing w:line="360" w:lineRule="auto"/>
        <w:rPr>
          <w:rFonts w:hint="eastAsia"/>
          <w:szCs w:val="21"/>
          <w14:ligatures w14:val="standardContextual"/>
        </w:rPr>
      </w:pPr>
      <w:r>
        <w:rPr>
          <w:rFonts w:hint="eastAsia"/>
          <w:szCs w:val="21"/>
          <w14:ligatures w14:val="standardContextual"/>
        </w:rPr>
        <w:t xml:space="preserve">2.1二元超高压输液泵： 最高操作压力≥15000psi；最高流速可达2.0mL/min；流量精度：≤0.075%RSD；在线脱气机：≥4路在线真空脱气</w:t>
      </w:r>
      <w:r/>
    </w:p>
    <w:p>
      <w:pPr>
        <w:ind w:firstLine="420"/>
        <w:jc w:val="left"/>
        <w:spacing w:line="360" w:lineRule="auto"/>
        <w:rPr>
          <w:rFonts w:hint="eastAsia"/>
          <w:szCs w:val="21"/>
          <w14:ligatures w14:val="standardContextual"/>
        </w:rPr>
      </w:pPr>
      <w:r>
        <w:rPr>
          <w:rFonts w:hint="eastAsia"/>
          <w:szCs w:val="21"/>
          <w14:ligatures w14:val="standardContextual"/>
        </w:rPr>
        <w:t xml:space="preserve">2.2柱温箱：温度设定范围：</w:t>
      </w:r>
      <w:r>
        <w:rPr>
          <w:rFonts w:hint="eastAsia"/>
          <w:szCs w:val="21"/>
          <w:lang w:val="en-US" w:eastAsia="zh-CN"/>
          <w14:ligatures w14:val="standardContextual"/>
        </w:rPr>
        <w:t xml:space="preserve">5</w:t>
      </w:r>
      <w:r>
        <w:rPr>
          <w:rFonts w:hint="eastAsia"/>
          <w:szCs w:val="21"/>
          <w14:ligatures w14:val="standardContextual"/>
        </w:rPr>
        <w:t xml:space="preserve">～</w:t>
      </w:r>
      <w:r>
        <w:rPr>
          <w:rFonts w:hint="eastAsia"/>
          <w:szCs w:val="21"/>
          <w:lang w:val="en-US" w:eastAsia="zh-CN"/>
          <w14:ligatures w14:val="standardContextual"/>
        </w:rPr>
        <w:t xml:space="preserve">95</w:t>
      </w:r>
      <w:r>
        <w:rPr>
          <w:rFonts w:hint="eastAsia"/>
          <w:szCs w:val="21"/>
          <w14:ligatures w14:val="standardContextual"/>
        </w:rPr>
        <w:t xml:space="preserve">℃（提供柱温箱温度设置截图）；</w:t>
      </w:r>
      <w:r/>
    </w:p>
    <w:p>
      <w:pPr>
        <w:ind w:firstLine="420"/>
        <w:jc w:val="left"/>
        <w:spacing w:line="360" w:lineRule="auto"/>
        <w:rPr>
          <w:rFonts w:hint="eastAsia"/>
          <w:szCs w:val="21"/>
          <w14:ligatures w14:val="standardContextual"/>
        </w:rPr>
      </w:pPr>
      <w:r>
        <w:rPr>
          <w:rFonts w:hint="eastAsia"/>
          <w:szCs w:val="21"/>
          <w14:ligatures w14:val="standardContextual"/>
        </w:rPr>
        <w:t xml:space="preserve">2.3自动进样器系统：可制冷自动进样器（温控范围：4～40℃）；进样范围：</w:t>
      </w:r>
      <w:r>
        <w:rPr>
          <w:rFonts w:hint="eastAsia"/>
          <w:szCs w:val="21"/>
          <w:lang w:val="en-US" w:eastAsia="zh-CN"/>
          <w14:ligatures w14:val="standardContextual"/>
        </w:rPr>
        <w:t xml:space="preserve">0.1</w:t>
      </w:r>
      <w:r>
        <w:rPr>
          <w:rFonts w:hint="eastAsia"/>
          <w:szCs w:val="21"/>
          <w14:ligatures w14:val="standardContextual"/>
        </w:rPr>
        <w:t xml:space="preserve">～10μL；交叉污染：≤0.002%；样品位数：≥108位2ml样品瓶（提供实物截图）</w:t>
      </w:r>
      <w:r/>
    </w:p>
    <w:p>
      <w:pPr>
        <w:ind w:firstLine="420"/>
        <w:jc w:val="left"/>
        <w:spacing w:line="360" w:lineRule="auto"/>
        <w:rPr>
          <w:rFonts w:hint="eastAsia"/>
          <w:szCs w:val="21"/>
          <w14:ligatures w14:val="standardContextual"/>
        </w:rPr>
      </w:pPr>
      <w:r>
        <w:rPr>
          <w:rFonts w:hint="eastAsia"/>
          <w:szCs w:val="21"/>
          <w14:ligatures w14:val="standardContextual"/>
        </w:rPr>
      </w:r>
      <w:r/>
    </w:p>
    <w:p>
      <w:pPr>
        <w:spacing w:line="360" w:lineRule="auto"/>
        <w:rPr>
          <w:b/>
          <w:bCs/>
          <w:szCs w:val="21"/>
        </w:rPr>
        <w:outlineLvl w:val="0"/>
      </w:pPr>
      <w:r/>
      <w:bookmarkStart w:id="29" w:name="_Toc12273"/>
      <w:r/>
      <w:bookmarkStart w:id="30" w:name="_Toc25207"/>
      <w:r/>
      <w:bookmarkStart w:id="31" w:name="_Toc227144768"/>
      <w:r/>
      <w:bookmarkStart w:id="32" w:name="_Toc13011"/>
      <w:r/>
      <w:bookmarkStart w:id="33" w:name="_Toc8509"/>
      <w:r/>
      <w:bookmarkStart w:id="34" w:name="_Toc11201"/>
      <w:r>
        <w:rPr>
          <w:rFonts w:hint="eastAsia"/>
          <w:b/>
          <w:bCs/>
          <w:szCs w:val="21"/>
        </w:rPr>
        <w:t xml:space="preserve">三、商务要求</w:t>
      </w:r>
      <w:bookmarkEnd w:id="29"/>
      <w:r/>
      <w:bookmarkEnd w:id="30"/>
      <w:r/>
      <w:bookmarkEnd w:id="31"/>
      <w:r/>
      <w:bookmarkEnd w:id="32"/>
      <w:r/>
      <w:bookmarkEnd w:id="33"/>
      <w:r/>
      <w:bookmarkEnd w:id="34"/>
      <w:r/>
      <w:r/>
    </w:p>
    <w:p>
      <w:pPr>
        <w:spacing w:line="360" w:lineRule="auto"/>
        <w:rPr>
          <w:b/>
          <w:bCs/>
          <w:szCs w:val="21"/>
        </w:rPr>
      </w:pPr>
      <w:r>
        <w:rPr>
          <w:rFonts w:hint="eastAsia"/>
          <w:b/>
          <w:bCs/>
          <w:szCs w:val="21"/>
        </w:rPr>
        <w:t xml:space="preserve">1．采购标的需实现的功能或者目标，以及为落实政府采购政策需满足的要求：</w:t>
      </w:r>
      <w:r/>
    </w:p>
    <w:p>
      <w:pPr>
        <w:ind w:firstLine="420"/>
        <w:spacing w:line="360" w:lineRule="auto"/>
        <w:rPr>
          <w:szCs w:val="21"/>
        </w:rPr>
      </w:pPr>
      <w:r>
        <w:rPr>
          <w:rFonts w:hint="eastAsia"/>
          <w:szCs w:val="21"/>
        </w:rPr>
        <w:t xml:space="preserve">投标产品能够充分满足采购人开展药品监督检验工作的应用需求。</w:t>
      </w:r>
      <w:r/>
    </w:p>
    <w:p>
      <w:pPr>
        <w:spacing w:line="360" w:lineRule="auto"/>
        <w:rPr>
          <w:b/>
          <w:bCs/>
          <w:szCs w:val="21"/>
        </w:rPr>
      </w:pPr>
      <w:r>
        <w:rPr>
          <w:rFonts w:hint="eastAsia"/>
          <w:b/>
          <w:bCs/>
          <w:szCs w:val="21"/>
        </w:rPr>
        <w:t xml:space="preserve">2．采购标的需执行的国家相关标准、行业标准、地方标准或者其他标准、规范：</w:t>
      </w:r>
      <w:r/>
    </w:p>
    <w:p>
      <w:pPr>
        <w:ind w:firstLine="420"/>
        <w:spacing w:line="360" w:lineRule="auto"/>
        <w:rPr>
          <w:szCs w:val="21"/>
        </w:rPr>
      </w:pPr>
      <w:r>
        <w:rPr>
          <w:rFonts w:hint="eastAsia"/>
          <w:szCs w:val="21"/>
        </w:rPr>
        <w:t xml:space="preserve">质量要求不明确的，执行强制性国家标准；没有强制性国家标准的，执行推荐性国家标准；没有强制性、推荐性国家标准的，执行行业标准；没有国家标准、行业标准的，执行通常标准或者符合合同目的的特定标准。</w:t>
      </w:r>
      <w:r/>
    </w:p>
    <w:p>
      <w:pPr>
        <w:spacing w:line="360" w:lineRule="auto"/>
        <w:rPr>
          <w:b/>
          <w:bCs/>
          <w:szCs w:val="21"/>
        </w:rPr>
      </w:pPr>
      <w:r>
        <w:rPr>
          <w:rFonts w:hint="eastAsia"/>
          <w:b/>
          <w:bCs/>
          <w:szCs w:val="21"/>
        </w:rPr>
        <w:t xml:space="preserve">3．采购标的需满足的质量、安全、技术规格、物理特性等要求：</w:t>
      </w:r>
      <w:r/>
    </w:p>
    <w:p>
      <w:pPr>
        <w:ind w:firstLine="420"/>
        <w:spacing w:line="360" w:lineRule="auto"/>
        <w:rPr>
          <w:szCs w:val="21"/>
        </w:rPr>
      </w:pPr>
      <w:r>
        <w:rPr>
          <w:rFonts w:hint="eastAsia" w:ascii="Segoe UI Symbol" w:hAnsi="Segoe UI Symbol" w:cs="Segoe UI Symbol"/>
          <w:szCs w:val="21"/>
        </w:rPr>
        <w:t xml:space="preserve">★</w:t>
      </w:r>
      <w:r>
        <w:rPr>
          <w:rFonts w:hint="eastAsia"/>
          <w:szCs w:val="21"/>
        </w:rPr>
        <w:t xml:space="preserve">3.1质保期≥</w:t>
      </w:r>
      <w:r>
        <w:rPr>
          <w:rFonts w:hint="eastAsia"/>
          <w:szCs w:val="21"/>
          <w:lang w:val="en-US" w:eastAsia="zh-CN"/>
        </w:rPr>
        <w:t xml:space="preserve">3</w:t>
      </w:r>
      <w:r>
        <w:rPr>
          <w:rFonts w:hint="eastAsia"/>
          <w:szCs w:val="21"/>
        </w:rPr>
        <w:t xml:space="preserve">年（从所有设备安装验收合格之日起算），在质保期内发现货物质量缺陷的，中标人应于15日内更换有缺陷的货物或部件。质保期内维修、零配件更换、维修用到的耗材、人工、差旅等所有费用由中标人承担。质保期内中标人每年提供一次原厂技术维护，提供设备终身维修保养服务。</w:t>
      </w:r>
      <w:r>
        <w:rPr>
          <w:rFonts w:hint="eastAsia"/>
          <w:b/>
          <w:bCs/>
          <w:szCs w:val="21"/>
        </w:rPr>
        <w:t xml:space="preserve">（提供针对本项要求的承诺函，承诺函应明确具体质保时间）</w:t>
      </w:r>
      <w:r/>
    </w:p>
    <w:p>
      <w:pPr>
        <w:ind w:firstLine="420"/>
        <w:spacing w:line="360" w:lineRule="auto"/>
        <w:rPr>
          <w:szCs w:val="21"/>
        </w:rPr>
      </w:pPr>
      <w:r>
        <w:rPr>
          <w:rFonts w:hint="eastAsia"/>
          <w:szCs w:val="21"/>
        </w:rPr>
        <w:t xml:space="preserve">3.2确保设备质保期内开机率为95%，如设备故障停机率超过5%（一年按365天计算，每年18天），每超过一天，质保期延长两周。</w:t>
      </w:r>
      <w:r/>
    </w:p>
    <w:p>
      <w:pPr>
        <w:ind w:firstLine="420"/>
        <w:spacing w:line="360" w:lineRule="auto"/>
        <w:rPr>
          <w:szCs w:val="21"/>
        </w:rPr>
      </w:pPr>
      <w:r>
        <w:rPr>
          <w:rFonts w:hint="eastAsia" w:ascii="Segoe UI Symbol" w:hAnsi="Segoe UI Symbol" w:cs="Segoe UI Symbol"/>
          <w:szCs w:val="21"/>
        </w:rPr>
        <w:t xml:space="preserve">★</w:t>
      </w:r>
      <w:r>
        <w:rPr>
          <w:rFonts w:hint="eastAsia"/>
          <w:szCs w:val="21"/>
        </w:rPr>
        <w:t xml:space="preserve">3.3本次所投产品的使用年限为10年，设备使用年限内中标人承诺保证配件、耗材的供应。</w:t>
      </w:r>
      <w:r>
        <w:rPr>
          <w:rFonts w:hint="eastAsia"/>
          <w:b/>
          <w:bCs/>
          <w:szCs w:val="21"/>
        </w:rPr>
        <w:t xml:space="preserve">（提供承诺函）</w:t>
      </w:r>
      <w:r/>
    </w:p>
    <w:p>
      <w:pPr>
        <w:spacing w:line="360" w:lineRule="auto"/>
        <w:rPr>
          <w:b/>
          <w:bCs/>
          <w:szCs w:val="21"/>
        </w:rPr>
      </w:pPr>
      <w:r>
        <w:rPr>
          <w:rFonts w:hint="eastAsia"/>
          <w:b/>
          <w:bCs/>
          <w:szCs w:val="21"/>
        </w:rPr>
        <w:t xml:space="preserve">4．采购标的的数量、采购项目交付或者实施的时间和地点：</w:t>
      </w:r>
      <w:r/>
    </w:p>
    <w:p>
      <w:pPr>
        <w:ind w:firstLine="420"/>
        <w:spacing w:line="360" w:lineRule="auto"/>
        <w:rPr>
          <w:szCs w:val="21"/>
        </w:rPr>
      </w:pPr>
      <w:r>
        <w:rPr>
          <w:rFonts w:hint="eastAsia"/>
          <w:szCs w:val="21"/>
        </w:rPr>
        <w:t xml:space="preserve">4.1采购标的数量：三重四级杆液质联用仪 1</w:t>
      </w:r>
      <w:r>
        <w:rPr>
          <w:rFonts w:hint="eastAsia"/>
          <w:szCs w:val="21"/>
          <w:lang w:val="en-US" w:eastAsia="zh-CN"/>
        </w:rPr>
        <w:t xml:space="preserve">套</w:t>
      </w:r>
      <w:r>
        <w:rPr>
          <w:rFonts w:hint="eastAsia"/>
          <w:szCs w:val="21"/>
        </w:rPr>
        <w:t xml:space="preserve">。</w:t>
      </w:r>
      <w:r/>
    </w:p>
    <w:p>
      <w:pPr>
        <w:ind w:firstLine="420"/>
        <w:spacing w:line="360" w:lineRule="auto"/>
        <w:rPr>
          <w:szCs w:val="21"/>
        </w:rPr>
      </w:pPr>
      <w:r>
        <w:rPr>
          <w:rFonts w:hint="eastAsia"/>
          <w:szCs w:val="21"/>
        </w:rPr>
        <w:t xml:space="preserve">4.2产品配置要求</w:t>
      </w:r>
      <w:r/>
    </w:p>
    <w:p>
      <w:pPr>
        <w:ind w:left="420" w:firstLine="0"/>
        <w:jc w:val="left"/>
        <w:spacing w:line="360" w:lineRule="auto"/>
        <w:rPr>
          <w:rFonts w:hint="eastAsia"/>
          <w:szCs w:val="21"/>
        </w:rPr>
      </w:pPr>
      <w:r>
        <w:rPr>
          <w:rFonts w:hint="eastAsia"/>
          <w:szCs w:val="21"/>
          <w:lang w:val="en-US" w:eastAsia="zh-CN"/>
        </w:rPr>
        <w:t xml:space="preserve">4.2</w:t>
      </w:r>
      <w:r>
        <w:rPr>
          <w:rFonts w:hint="eastAsia"/>
          <w:szCs w:val="21"/>
        </w:rPr>
        <w:t xml:space="preserve">.1</w:t>
      </w:r>
      <w:r>
        <w:rPr>
          <w:rFonts w:hint="eastAsia"/>
          <w:szCs w:val="21"/>
          <w:lang w:val="en-US" w:eastAsia="zh-CN"/>
        </w:rPr>
        <w:t xml:space="preserve"> </w:t>
      </w:r>
      <w:r>
        <w:rPr>
          <w:rFonts w:hint="eastAsia"/>
          <w:szCs w:val="21"/>
        </w:rPr>
        <w:t xml:space="preserve">三重四级杆质谱仪1套（配置独立的ESI和APCI离子源）</w:t>
      </w:r>
      <w:r>
        <w:rPr>
          <w:rFonts w:hint="eastAsia"/>
          <w:szCs w:val="21"/>
        </w:rPr>
        <w:br/>
      </w:r>
      <w:r>
        <w:rPr>
          <w:rFonts w:hint="eastAsia"/>
          <w:szCs w:val="21"/>
          <w:lang w:val="en-US" w:eastAsia="zh-CN"/>
        </w:rPr>
        <w:t xml:space="preserve">4</w:t>
      </w:r>
      <w:r>
        <w:rPr>
          <w:rFonts w:hint="eastAsia"/>
          <w:szCs w:val="21"/>
        </w:rPr>
        <w:t xml:space="preserve">.2</w:t>
      </w:r>
      <w:r>
        <w:rPr>
          <w:rFonts w:hint="eastAsia"/>
          <w:szCs w:val="21"/>
          <w:lang w:val="en-US" w:eastAsia="zh-CN"/>
        </w:rPr>
        <w:t xml:space="preserve">.2 </w:t>
      </w:r>
      <w:r>
        <w:rPr>
          <w:rFonts w:hint="eastAsia"/>
          <w:szCs w:val="21"/>
        </w:rPr>
        <w:t xml:space="preserve">超高效液相色谱仪1套（高压二元泵、在线脱气机、自动进样器和柱温箱）</w:t>
      </w:r>
      <w:r/>
    </w:p>
    <w:p>
      <w:pPr>
        <w:ind w:firstLine="424"/>
        <w:jc w:val="left"/>
        <w:spacing w:line="360" w:lineRule="auto"/>
        <w:rPr>
          <w:rFonts w:hint="eastAsia"/>
          <w:szCs w:val="21"/>
        </w:rPr>
      </w:pPr>
      <w:r>
        <w:rPr>
          <w:rFonts w:hint="eastAsia"/>
          <w:szCs w:val="21"/>
          <w:lang w:val="en-US" w:eastAsia="zh-CN"/>
        </w:rPr>
        <w:t xml:space="preserve">4</w:t>
      </w:r>
      <w:r>
        <w:rPr>
          <w:rFonts w:hint="eastAsia"/>
          <w:szCs w:val="21"/>
        </w:rPr>
        <w:t xml:space="preserve">.</w:t>
      </w:r>
      <w:r>
        <w:rPr>
          <w:rFonts w:hint="eastAsia"/>
          <w:szCs w:val="21"/>
          <w:lang w:val="en-US" w:eastAsia="zh-CN"/>
        </w:rPr>
        <w:t xml:space="preserve">2.3 </w:t>
      </w:r>
      <w:r>
        <w:rPr>
          <w:rFonts w:hint="eastAsia"/>
          <w:szCs w:val="21"/>
        </w:rPr>
        <w:t xml:space="preserve">仪器控制和数据处理系统</w:t>
      </w:r>
      <w:r>
        <w:rPr>
          <w:rFonts w:hint="eastAsia"/>
          <w:szCs w:val="21"/>
          <w:lang w:val="en-US" w:eastAsia="zh-CN"/>
        </w:rPr>
        <w:t xml:space="preserve">2</w:t>
      </w:r>
      <w:r>
        <w:rPr>
          <w:rFonts w:hint="eastAsia"/>
          <w:szCs w:val="21"/>
        </w:rPr>
        <w:t xml:space="preserve">套（≥32GB 内存, ≥1TB 固态硬盘, ≥23英寸屏，包括与相关操作分析软件）</w:t>
      </w:r>
      <w:r/>
    </w:p>
    <w:p>
      <w:pPr>
        <w:ind w:firstLine="424"/>
        <w:jc w:val="left"/>
        <w:spacing w:line="360" w:lineRule="auto"/>
        <w:rPr>
          <w:rFonts w:hint="eastAsia"/>
          <w:szCs w:val="21"/>
        </w:rPr>
      </w:pPr>
      <w:r>
        <w:rPr>
          <w:rFonts w:hint="eastAsia"/>
          <w:szCs w:val="21"/>
          <w:lang w:val="en-US" w:eastAsia="zh-CN"/>
        </w:rPr>
        <w:t xml:space="preserve">4.2</w:t>
      </w:r>
      <w:r>
        <w:rPr>
          <w:rFonts w:hint="eastAsia"/>
          <w:szCs w:val="21"/>
        </w:rPr>
        <w:t xml:space="preserve">.4</w:t>
      </w:r>
      <w:r>
        <w:rPr>
          <w:rFonts w:hint="eastAsia"/>
          <w:szCs w:val="21"/>
          <w:lang w:val="en-US" w:eastAsia="zh-CN"/>
        </w:rPr>
        <w:t xml:space="preserve"> </w:t>
      </w:r>
      <w:r>
        <w:rPr>
          <w:rFonts w:hint="eastAsia"/>
          <w:szCs w:val="21"/>
        </w:rPr>
        <w:t xml:space="preserve">不间断稳压电源UPS（10</w:t>
      </w:r>
      <w:r>
        <w:rPr>
          <w:rFonts w:hint="eastAsia"/>
          <w:szCs w:val="21"/>
          <w:lang w:eastAsia="zh-CN"/>
        </w:rPr>
        <w:t xml:space="preserve">kV</w:t>
      </w:r>
      <w:r>
        <w:rPr>
          <w:rFonts w:hint="eastAsia"/>
          <w:szCs w:val="21"/>
        </w:rPr>
        <w:t xml:space="preserve">/2H）1台</w:t>
      </w:r>
      <w:r/>
    </w:p>
    <w:p>
      <w:pPr>
        <w:ind w:firstLine="424"/>
        <w:jc w:val="left"/>
        <w:spacing w:line="360" w:lineRule="auto"/>
        <w:rPr>
          <w:rFonts w:hint="eastAsia"/>
          <w:szCs w:val="21"/>
          <w:lang w:eastAsia="zh-CN"/>
        </w:rPr>
      </w:pPr>
      <w:r>
        <w:rPr>
          <w:rFonts w:hint="eastAsia"/>
          <w:szCs w:val="21"/>
          <w:lang w:val="en-US" w:eastAsia="zh-CN"/>
        </w:rPr>
        <w:t xml:space="preserve">4</w:t>
      </w:r>
      <w:r>
        <w:rPr>
          <w:rFonts w:hint="eastAsia"/>
          <w:szCs w:val="21"/>
        </w:rPr>
        <w:t xml:space="preserve">.</w:t>
      </w:r>
      <w:r>
        <w:rPr>
          <w:rFonts w:hint="eastAsia"/>
          <w:szCs w:val="21"/>
          <w:lang w:val="en-US" w:eastAsia="zh-CN"/>
        </w:rPr>
        <w:t xml:space="preserve">2.5 </w:t>
      </w:r>
      <w:r>
        <w:rPr>
          <w:rFonts w:hint="eastAsia"/>
          <w:szCs w:val="21"/>
        </w:rPr>
        <w:t xml:space="preserve">液质专用氮气发生器</w:t>
      </w:r>
      <w:r>
        <w:rPr>
          <w:rFonts w:hint="eastAsia"/>
          <w:szCs w:val="21"/>
          <w:lang w:val="en-US" w:eastAsia="zh-CN"/>
        </w:rPr>
        <w:t xml:space="preserve">2</w:t>
      </w:r>
      <w:r>
        <w:rPr>
          <w:rFonts w:hint="eastAsia"/>
          <w:szCs w:val="21"/>
        </w:rPr>
        <w:t xml:space="preserve">套（</w:t>
      </w:r>
      <w:r>
        <w:rPr>
          <w:rFonts w:hint="eastAsia"/>
          <w:szCs w:val="21"/>
          <w:lang w:val="en-US" w:eastAsia="zh-CN"/>
        </w:rPr>
        <w:t xml:space="preserve">氮气</w:t>
      </w:r>
      <w:r>
        <w:rPr>
          <w:rFonts w:hint="eastAsia"/>
          <w:szCs w:val="21"/>
        </w:rPr>
        <w:t xml:space="preserve">流速</w:t>
      </w:r>
      <w:r>
        <w:rPr>
          <w:rFonts w:hint="eastAsia"/>
          <w:szCs w:val="21"/>
          <w:lang w:val="en-US" w:eastAsia="zh-CN"/>
        </w:rPr>
        <w:t xml:space="preserve">≥</w:t>
      </w:r>
      <w:r>
        <w:rPr>
          <w:rFonts w:hint="eastAsia"/>
          <w:szCs w:val="21"/>
        </w:rPr>
        <w:t xml:space="preserve">1</w:t>
      </w:r>
      <w:r>
        <w:rPr>
          <w:rFonts w:hint="eastAsia"/>
          <w:szCs w:val="21"/>
          <w:lang w:val="en-US" w:eastAsia="zh-CN"/>
        </w:rPr>
        <w:t xml:space="preserve">9</w:t>
      </w:r>
      <w:r>
        <w:rPr>
          <w:rFonts w:hint="eastAsia"/>
          <w:szCs w:val="21"/>
        </w:rPr>
        <w:t xml:space="preserve">L/min，</w:t>
      </w:r>
      <w:r>
        <w:rPr>
          <w:rFonts w:hint="eastAsia"/>
          <w:szCs w:val="21"/>
          <w:lang w:val="en-US" w:eastAsia="zh-CN"/>
        </w:rPr>
        <w:t xml:space="preserve">8</w:t>
      </w:r>
      <w:r>
        <w:rPr>
          <w:rFonts w:hint="eastAsia"/>
          <w:szCs w:val="21"/>
        </w:rPr>
        <w:t xml:space="preserve">0psi，纯度≥99.5%）</w:t>
      </w:r>
      <w:r/>
    </w:p>
    <w:p>
      <w:pPr>
        <w:ind w:firstLine="424"/>
        <w:jc w:val="left"/>
        <w:spacing w:line="360" w:lineRule="auto"/>
        <w:rPr>
          <w:rFonts w:hint="eastAsia"/>
          <w:szCs w:val="21"/>
          <w:lang w:eastAsia="zh-CN"/>
        </w:rPr>
      </w:pPr>
      <w:r>
        <w:rPr>
          <w:rFonts w:hint="eastAsia"/>
          <w:szCs w:val="21"/>
          <w:lang w:val="en-US" w:eastAsia="zh-CN"/>
        </w:rPr>
        <w:t xml:space="preserve">4.2</w:t>
      </w:r>
      <w:r>
        <w:rPr>
          <w:rFonts w:hint="eastAsia"/>
          <w:szCs w:val="21"/>
        </w:rPr>
        <w:t xml:space="preserve">.6</w:t>
      </w:r>
      <w:r>
        <w:rPr>
          <w:rFonts w:hint="eastAsia"/>
          <w:szCs w:val="21"/>
          <w:lang w:val="en-US" w:eastAsia="zh-CN"/>
        </w:rPr>
        <w:t xml:space="preserve"> </w:t>
      </w:r>
      <w:r>
        <w:rPr>
          <w:rFonts w:hint="eastAsia"/>
          <w:szCs w:val="21"/>
        </w:rPr>
        <w:t xml:space="preserve">数据输出系统1台</w:t>
      </w:r>
      <w:r/>
    </w:p>
    <w:p>
      <w:pPr>
        <w:ind w:firstLine="424"/>
        <w:jc w:val="left"/>
        <w:spacing w:line="360" w:lineRule="auto"/>
        <w:rPr>
          <w:rFonts w:hint="eastAsia"/>
          <w:szCs w:val="21"/>
        </w:rPr>
      </w:pPr>
      <w:r>
        <w:rPr>
          <w:rFonts w:hint="eastAsia"/>
          <w:szCs w:val="21"/>
          <w:lang w:val="en-US" w:eastAsia="zh-CN"/>
        </w:rPr>
        <w:t xml:space="preserve">4.2</w:t>
      </w:r>
      <w:r>
        <w:rPr>
          <w:rFonts w:hint="eastAsia"/>
          <w:szCs w:val="21"/>
        </w:rPr>
        <w:t xml:space="preserve">.7、耗材包1批（包含ESI喷针5根，APCI喷针5根，泵油6瓶，样品瓶1000个，PPG安装标准品1盒等）</w:t>
      </w:r>
      <w:r/>
    </w:p>
    <w:p>
      <w:pPr>
        <w:ind w:firstLine="424"/>
        <w:jc w:val="left"/>
        <w:spacing w:line="360" w:lineRule="auto"/>
        <w:rPr>
          <w:rFonts w:hint="eastAsia"/>
          <w:szCs w:val="21"/>
          <w:lang w:val="en-US" w:eastAsia="zh-CN"/>
        </w:rPr>
      </w:pPr>
      <w:r>
        <w:rPr>
          <w:rFonts w:hint="eastAsia"/>
          <w:szCs w:val="21"/>
          <w:lang w:val="en-US" w:eastAsia="zh-CN"/>
        </w:rPr>
        <w:t xml:space="preserve">4.2</w:t>
      </w:r>
      <w:r>
        <w:rPr>
          <w:rFonts w:hint="eastAsia"/>
          <w:szCs w:val="21"/>
        </w:rPr>
        <w:t xml:space="preserve">.</w:t>
      </w:r>
      <w:r>
        <w:rPr>
          <w:rFonts w:hint="eastAsia"/>
          <w:szCs w:val="21"/>
          <w:lang w:val="en-US" w:eastAsia="zh-CN"/>
        </w:rPr>
        <w:t xml:space="preserve">8 </w:t>
      </w:r>
      <w:r>
        <w:rPr>
          <w:rFonts w:hint="eastAsia"/>
          <w:szCs w:val="21"/>
        </w:rPr>
        <w:t xml:space="preserve">季铵化聚乙烯醇阴离子分析柱</w:t>
      </w:r>
      <w:r>
        <w:rPr>
          <w:rFonts w:hint="eastAsia"/>
          <w:szCs w:val="21"/>
          <w:lang w:val="en-US" w:eastAsia="zh-CN"/>
        </w:rPr>
        <w:t xml:space="preserve">1</w:t>
      </w:r>
      <w:r>
        <w:rPr>
          <w:rFonts w:hint="eastAsia"/>
          <w:szCs w:val="21"/>
        </w:rPr>
        <w:t xml:space="preserve">根（150mm*4mm,5um）</w:t>
      </w:r>
      <w:r>
        <w:rPr>
          <w:rFonts w:hint="eastAsia"/>
          <w:szCs w:val="21"/>
          <w:lang w:eastAsia="zh-CN"/>
        </w:rPr>
        <w:t xml:space="preserve">，</w:t>
      </w:r>
      <w:r>
        <w:rPr>
          <w:rFonts w:hint="eastAsia"/>
          <w:szCs w:val="21"/>
          <w:lang w:val="en-US" w:eastAsia="zh-CN"/>
        </w:rPr>
        <w:t xml:space="preserve">C</w:t>
      </w:r>
      <w:r>
        <w:rPr>
          <w:rFonts w:hint="eastAsia"/>
          <w:szCs w:val="21"/>
          <w:vertAlign w:val="subscript"/>
          <w:lang w:val="en-US" w:eastAsia="zh-CN"/>
        </w:rPr>
        <w:t xml:space="preserve">18</w:t>
      </w:r>
      <w:r>
        <w:rPr>
          <w:rFonts w:hint="eastAsia"/>
          <w:szCs w:val="21"/>
        </w:rPr>
        <w:t xml:space="preserve">色谱柱</w:t>
      </w:r>
      <w:r>
        <w:rPr>
          <w:rFonts w:hint="eastAsia"/>
          <w:szCs w:val="21"/>
          <w:lang w:val="en-US" w:eastAsia="zh-CN"/>
        </w:rPr>
        <w:t xml:space="preserve">3</w:t>
      </w:r>
      <w:r>
        <w:rPr>
          <w:rFonts w:hint="eastAsia"/>
          <w:szCs w:val="21"/>
        </w:rPr>
        <w:t xml:space="preserve">根</w:t>
      </w:r>
      <w:r/>
    </w:p>
    <w:p>
      <w:pPr>
        <w:ind w:firstLine="424"/>
        <w:jc w:val="left"/>
        <w:spacing w:line="360" w:lineRule="auto"/>
        <w:rPr>
          <w:rFonts w:hint="eastAsia"/>
          <w:szCs w:val="21"/>
        </w:rPr>
      </w:pPr>
      <w:r>
        <w:rPr>
          <w:rFonts w:hint="eastAsia"/>
          <w:szCs w:val="21"/>
          <w:lang w:val="en-US" w:eastAsia="zh-CN"/>
        </w:rPr>
        <w:t xml:space="preserve">4.2</w:t>
      </w:r>
      <w:r>
        <w:rPr>
          <w:rFonts w:hint="eastAsia"/>
          <w:szCs w:val="21"/>
        </w:rPr>
        <w:t xml:space="preserve">.</w:t>
      </w:r>
      <w:r>
        <w:rPr>
          <w:rFonts w:hint="eastAsia"/>
          <w:szCs w:val="21"/>
          <w:lang w:val="en-US" w:eastAsia="zh-CN"/>
        </w:rPr>
        <w:t xml:space="preserve">9</w:t>
      </w:r>
      <w:r>
        <w:rPr>
          <w:rFonts w:hint="eastAsia"/>
          <w:szCs w:val="21"/>
        </w:rPr>
        <w:t xml:space="preserve"> 隔离变压器1台</w:t>
      </w:r>
      <w:r/>
    </w:p>
    <w:p>
      <w:pPr>
        <w:ind w:firstLine="424"/>
        <w:spacing w:line="360" w:lineRule="auto"/>
        <w:rPr>
          <w:bCs/>
          <w:szCs w:val="21"/>
        </w:rPr>
      </w:pPr>
      <w:r>
        <w:rPr>
          <w:rFonts w:hint="eastAsia"/>
          <w:szCs w:val="21"/>
        </w:rPr>
        <w:t xml:space="preserve">4.3交货期：合同签订后30天。</w:t>
      </w:r>
      <w:r/>
    </w:p>
    <w:p>
      <w:pPr>
        <w:ind w:firstLine="420"/>
        <w:spacing w:line="360" w:lineRule="auto"/>
        <w:rPr>
          <w:rFonts w:hint="eastAsia"/>
          <w:szCs w:val="21"/>
        </w:rPr>
      </w:pPr>
      <w:r>
        <w:rPr>
          <w:rFonts w:hint="eastAsia"/>
          <w:szCs w:val="21"/>
        </w:rPr>
        <w:t xml:space="preserve">4.4交货地点：采购人指定地点</w:t>
      </w:r>
      <w:r/>
    </w:p>
    <w:p>
      <w:pPr>
        <w:ind w:firstLine="420"/>
        <w:spacing w:line="360" w:lineRule="auto"/>
        <w:rPr>
          <w:rFonts w:hint="eastAsia"/>
          <w:szCs w:val="21"/>
        </w:rPr>
      </w:pPr>
      <w:r>
        <w:rPr>
          <w:rFonts w:hint="eastAsia"/>
          <w:szCs w:val="21"/>
        </w:rPr>
        <w:t xml:space="preserve">4.</w:t>
      </w:r>
      <w:r>
        <w:rPr>
          <w:rFonts w:hint="eastAsia"/>
          <w:szCs w:val="21"/>
          <w:lang w:val="en-US" w:eastAsia="zh-CN"/>
        </w:rPr>
        <w:t xml:space="preserve">5包装和运输要求：由中标供应商负责包装，办理运输和装卸等，费用由供应商负责。</w:t>
      </w:r>
      <w:r/>
    </w:p>
    <w:p>
      <w:pPr>
        <w:spacing w:line="360" w:lineRule="auto"/>
        <w:rPr>
          <w:b/>
          <w:bCs/>
          <w:szCs w:val="21"/>
        </w:rPr>
      </w:pPr>
      <w:r>
        <w:rPr>
          <w:rFonts w:hint="eastAsia"/>
          <w:b/>
          <w:bCs/>
          <w:szCs w:val="21"/>
        </w:rPr>
        <w:t xml:space="preserve">5．采购标的需满足的服务标准、期限、效率等要求：</w:t>
      </w:r>
      <w:r/>
    </w:p>
    <w:p>
      <w:pPr>
        <w:ind w:firstLine="420"/>
        <w:spacing w:line="360" w:lineRule="auto"/>
        <w:rPr>
          <w:rFonts w:hint="eastAsia"/>
          <w:szCs w:val="21"/>
        </w:rPr>
      </w:pPr>
      <w:r>
        <w:rPr>
          <w:rFonts w:hint="eastAsia"/>
          <w:szCs w:val="21"/>
          <w:lang w:val="en-US" w:eastAsia="zh-CN"/>
        </w:rPr>
        <w:t xml:space="preserve">5.1</w:t>
      </w:r>
      <w:r>
        <w:rPr>
          <w:rFonts w:hint="eastAsia"/>
          <w:szCs w:val="21"/>
        </w:rPr>
        <w:t xml:space="preserve">售后服务要求：</w:t>
      </w:r>
      <w:r/>
    </w:p>
    <w:p>
      <w:pPr>
        <w:ind w:firstLine="420"/>
        <w:spacing w:line="360" w:lineRule="auto"/>
        <w:rPr>
          <w:rFonts w:hint="eastAsia"/>
          <w:szCs w:val="21"/>
        </w:rPr>
      </w:pPr>
      <w:r>
        <w:rPr>
          <w:rFonts w:hint="eastAsia"/>
          <w:szCs w:val="21"/>
          <w:lang w:val="en-US" w:eastAsia="zh-CN"/>
        </w:rPr>
        <w:t xml:space="preserve">5.1.1</w:t>
      </w:r>
      <w:r>
        <w:rPr>
          <w:rFonts w:hint="eastAsia"/>
          <w:szCs w:val="21"/>
        </w:rPr>
        <w:t xml:space="preserve">安装调试：仪器制造商授权的技术人员现场免费进行安装调试、确保仪器技术指标经验收合格。</w:t>
      </w:r>
      <w:r/>
    </w:p>
    <w:p>
      <w:pPr>
        <w:ind w:firstLine="420"/>
        <w:spacing w:line="360" w:lineRule="auto"/>
        <w:rPr>
          <w:rFonts w:hint="eastAsia"/>
          <w:szCs w:val="21"/>
        </w:rPr>
      </w:pPr>
      <w:r>
        <w:rPr>
          <w:rFonts w:hint="eastAsia"/>
          <w:szCs w:val="21"/>
          <w:lang w:val="en-US" w:eastAsia="zh-CN"/>
        </w:rPr>
        <w:t xml:space="preserve">5.1.2</w:t>
      </w:r>
      <w:r>
        <w:rPr>
          <w:rFonts w:hint="eastAsia"/>
          <w:szCs w:val="21"/>
        </w:rPr>
        <w:t xml:space="preserve">维修响应时间：项目质保期内一旦发生质量问题，投标人保证在接到用户故障通知后，应在2小时响应，24小时内赶到现场进行修理或更换，重大问题或其它无法迅速解决的问题应在一周内解决或提出明确解决方案，否则应赔偿用户的相应损失。</w:t>
      </w:r>
      <w:r/>
    </w:p>
    <w:p>
      <w:pPr>
        <w:ind w:firstLine="420"/>
        <w:spacing w:line="360" w:lineRule="auto"/>
        <w:rPr>
          <w:rFonts w:hint="eastAsia"/>
          <w:szCs w:val="21"/>
        </w:rPr>
      </w:pPr>
      <w:r>
        <w:rPr>
          <w:rFonts w:hint="eastAsia"/>
          <w:szCs w:val="21"/>
          <w:lang w:val="en-US" w:eastAsia="zh-CN"/>
        </w:rPr>
        <w:t xml:space="preserve">5.1.3</w:t>
      </w:r>
      <w:r>
        <w:rPr>
          <w:rFonts w:hint="eastAsia"/>
          <w:szCs w:val="21"/>
        </w:rPr>
        <w:t xml:space="preserve">制造商有驻南通维修工程师（列出工程师联系方式等证明材料）</w:t>
      </w:r>
      <w:r/>
    </w:p>
    <w:p>
      <w:pPr>
        <w:ind w:firstLine="420"/>
        <w:spacing w:line="360" w:lineRule="auto"/>
        <w:rPr>
          <w:rFonts w:hint="eastAsia"/>
          <w:szCs w:val="21"/>
        </w:rPr>
      </w:pPr>
      <w:r>
        <w:rPr>
          <w:rFonts w:hint="eastAsia"/>
          <w:szCs w:val="21"/>
          <w:lang w:val="en-US" w:eastAsia="zh-CN"/>
        </w:rPr>
        <w:t xml:space="preserve">5.2</w:t>
      </w:r>
      <w:r>
        <w:rPr>
          <w:rFonts w:hint="eastAsia"/>
          <w:szCs w:val="21"/>
        </w:rPr>
        <w:t xml:space="preserve">培训要求：按用户指定时间对使用和管理人员进行免费培训，使其能够掌握设备的操作、使用方法以及必要的维护技能，培训地点、人数、时间根据采购人要求确定。投标人须提供完善的针对采购方使用人员的培训计划、培训深度、培训范围，及如何较好满足设备使用维护需要等培训方案。每台仪器提供4名制造商培训中心培训名额。</w:t>
      </w:r>
      <w:r/>
    </w:p>
    <w:p>
      <w:pPr>
        <w:spacing w:line="360" w:lineRule="auto"/>
        <w:rPr>
          <w:b/>
          <w:bCs/>
          <w:szCs w:val="21"/>
        </w:rPr>
      </w:pPr>
      <w:r>
        <w:rPr>
          <w:rFonts w:hint="eastAsia"/>
          <w:b/>
          <w:bCs/>
          <w:szCs w:val="21"/>
        </w:rPr>
        <w:t xml:space="preserve">6．采购标的的验收标准：</w:t>
      </w:r>
      <w:r/>
    </w:p>
    <w:p>
      <w:pPr>
        <w:ind w:firstLine="420"/>
        <w:spacing w:line="360" w:lineRule="auto"/>
        <w:rPr>
          <w:szCs w:val="21"/>
        </w:rPr>
      </w:pPr>
      <w:r>
        <w:rPr>
          <w:rFonts w:hint="eastAsia"/>
          <w:szCs w:val="21"/>
        </w:rPr>
        <w:t xml:space="preserve">6.1中标人应采取必要的安全措施保证货物的运输及安装的安全，且须考虑到可能会发生的野蛮装卸、长途运输及多次装卸之需要。如因中标人包装不当以及其它原因造成损坏或丢失，应由中标人负一切责任。</w:t>
      </w:r>
      <w:r/>
    </w:p>
    <w:p>
      <w:pPr>
        <w:ind w:firstLine="420"/>
        <w:spacing w:line="360" w:lineRule="auto"/>
        <w:rPr>
          <w:szCs w:val="21"/>
        </w:rPr>
      </w:pPr>
      <w:r>
        <w:rPr>
          <w:rFonts w:hint="eastAsia"/>
          <w:szCs w:val="21"/>
        </w:rPr>
        <w:t xml:space="preserve">6.2中标人在货物运输到达之前应提前通知采购人，并提示货物运输装卸的注意事项，采购人配合中标人做好货物的交接工作。</w:t>
      </w:r>
      <w:r/>
    </w:p>
    <w:p>
      <w:pPr>
        <w:ind w:firstLine="420"/>
        <w:spacing w:line="360" w:lineRule="auto"/>
        <w:rPr>
          <w:szCs w:val="21"/>
        </w:rPr>
      </w:pPr>
      <w:r>
        <w:rPr>
          <w:rFonts w:hint="eastAsia"/>
          <w:szCs w:val="21"/>
        </w:rPr>
        <w:t xml:space="preserve">6.3按行业通行标准、厂方出厂标准和中标人投标文件的承诺（不低于国家相关标准）验收。中标人交付的货物应当完全符合招投标文件和合同所规定的货物、数量和规格要求。中标人提供的货物不符合招投标文件和合同规定的，采购人有权拒收货物，由此引起的风险，由中标人承担。</w:t>
      </w:r>
      <w:r/>
    </w:p>
    <w:p>
      <w:pPr>
        <w:ind w:firstLine="420"/>
        <w:spacing w:line="360" w:lineRule="auto"/>
        <w:rPr>
          <w:szCs w:val="21"/>
        </w:rPr>
      </w:pPr>
      <w:r>
        <w:rPr>
          <w:rFonts w:hint="eastAsia"/>
          <w:szCs w:val="21"/>
        </w:rPr>
        <w:t xml:space="preserve">6.4供货时中标人应将所提供货物的装箱清单、用户手册、原厂保修卡、随机资料原件及配件、随机工具等交付给采购人；中标人不能完整交付货物及本款规定的单证和工具的，视为未按合同约定交货，中标人负责补齐，因此导致逾期交付的，由中标人承担相关的违约责任。</w:t>
      </w:r>
      <w:r/>
    </w:p>
    <w:p>
      <w:pPr>
        <w:ind w:firstLine="420"/>
        <w:spacing w:line="360" w:lineRule="auto"/>
        <w:rPr>
          <w:szCs w:val="21"/>
        </w:rPr>
      </w:pPr>
      <w:r>
        <w:rPr>
          <w:rFonts w:hint="eastAsia"/>
          <w:szCs w:val="21"/>
        </w:rPr>
        <w:t xml:space="preserve">6.5货物送达后，中标人在采购人技术人员在场的情况下开箱清点货物，中标人保证请货物原制造厂有经验的工程师上门组织安装、调试及操作培训，并协助采购人对设备试用后进行验收，填好相应的安装、调试、培训及验收表格并签字。</w:t>
      </w:r>
      <w:r/>
    </w:p>
    <w:p>
      <w:pPr>
        <w:ind w:firstLine="420"/>
        <w:spacing w:line="360" w:lineRule="auto"/>
        <w:rPr>
          <w:szCs w:val="21"/>
        </w:rPr>
      </w:pPr>
      <w:r>
        <w:rPr>
          <w:rFonts w:hint="eastAsia"/>
          <w:szCs w:val="21"/>
        </w:rPr>
        <w:t xml:space="preserve">6.6如果验收过程中发现数量不足或有质量、技术等问题的，采购人有权拒收。中标人应在30天内按照采购人的要求，采取补足、更换或退货等处理措施，并承担由此发生的一切损失和费用。</w:t>
      </w:r>
      <w:r/>
    </w:p>
    <w:p>
      <w:pPr>
        <w:spacing w:line="360" w:lineRule="auto"/>
        <w:rPr>
          <w:b/>
          <w:bCs/>
          <w:szCs w:val="21"/>
        </w:rPr>
      </w:pPr>
      <w:r/>
      <w:bookmarkStart w:id="35" w:name="_Hlk176806128"/>
      <w:r/>
      <w:bookmarkStart w:id="36" w:name="_Hlk174696087"/>
      <w:r>
        <w:rPr>
          <w:rFonts w:hint="eastAsia"/>
          <w:b/>
          <w:bCs/>
          <w:szCs w:val="21"/>
        </w:rPr>
        <w:t xml:space="preserve">7．</w:t>
      </w:r>
      <w:bookmarkEnd w:id="35"/>
      <w:r/>
      <w:bookmarkStart w:id="37" w:name="_Hlk176806351"/>
      <w:r>
        <w:rPr>
          <w:rFonts w:hint="eastAsia"/>
          <w:b/>
          <w:bCs/>
          <w:szCs w:val="21"/>
        </w:rPr>
        <w:t xml:space="preserve">付款方式：</w:t>
      </w:r>
      <w:r/>
    </w:p>
    <w:p>
      <w:pPr>
        <w:ind w:firstLine="420"/>
        <w:spacing w:line="360" w:lineRule="auto"/>
        <w:rPr>
          <w:rFonts w:hint="eastAsia" w:eastAsia="宋体"/>
          <w:szCs w:val="21"/>
          <w:lang w:eastAsia="zh-CN"/>
        </w:rPr>
      </w:pPr>
      <w:r>
        <w:rPr>
          <w:rFonts w:hint="eastAsia"/>
          <w:szCs w:val="21"/>
          <w:lang w:eastAsia="zh-CN"/>
        </w:rPr>
        <w:t xml:space="preserve">合同签订后支付合同总价款的30%；货物交付安装、调试完成、验收合格后支付余款。以上付款均通过银行转账，不计利息。如因经费支付审批流程等客观原因导致付款滞后的，采购方出具书面证明材料后可适当放宽付款时限，且不承担逾期付款责任。</w:t>
      </w:r>
      <w:bookmarkEnd w:id="37"/>
      <w:r/>
    </w:p>
    <w:p>
      <w:pPr>
        <w:spacing w:line="360" w:lineRule="auto"/>
        <w:rPr>
          <w:b/>
          <w:bCs/>
          <w:szCs w:val="21"/>
        </w:rPr>
      </w:pPr>
      <w:r/>
      <w:bookmarkStart w:id="38" w:name="_Hlk176806378"/>
      <w:r>
        <w:rPr>
          <w:b/>
          <w:bCs/>
          <w:szCs w:val="21"/>
        </w:rPr>
        <w:t xml:space="preserve">8</w:t>
      </w:r>
      <w:r>
        <w:rPr>
          <w:rFonts w:hint="eastAsia"/>
          <w:b/>
          <w:bCs/>
          <w:szCs w:val="21"/>
        </w:rPr>
        <w:t xml:space="preserve">．关于进口产品投标：</w:t>
      </w:r>
      <w:bookmarkEnd w:id="36"/>
      <w:r/>
      <w:r/>
    </w:p>
    <w:p>
      <w:pPr>
        <w:ind w:firstLine="420"/>
        <w:spacing w:line="360" w:lineRule="auto"/>
        <w:rPr>
          <w:rFonts w:hint="eastAsia" w:ascii="宋体" w:hAnsi="宋体" w:cs="宋体"/>
          <w:szCs w:val="21"/>
        </w:rPr>
      </w:pPr>
      <w:r>
        <w:rPr>
          <w:rFonts w:hint="eastAsia" w:ascii="宋体" w:hAnsi="宋体" w:cs="宋体"/>
          <w:szCs w:val="21"/>
        </w:rPr>
        <w:t xml:space="preserve">本项目不接受进口产品投标。</w:t>
      </w:r>
      <w:bookmarkEnd w:id="38"/>
      <w:r/>
    </w:p>
    <w:p>
      <w:pPr>
        <w:spacing w:line="360" w:lineRule="auto"/>
        <w:rPr>
          <w:b/>
          <w:bCs/>
          <w:szCs w:val="21"/>
        </w:rPr>
      </w:pPr>
      <w:r>
        <w:rPr>
          <w:b/>
          <w:bCs/>
          <w:szCs w:val="21"/>
        </w:rPr>
        <w:t xml:space="preserve">9</w:t>
      </w:r>
      <w:r>
        <w:rPr>
          <w:rFonts w:hint="eastAsia"/>
          <w:b/>
          <w:bCs/>
          <w:szCs w:val="21"/>
        </w:rPr>
        <w:t xml:space="preserve">．商品包装和快递包装要求执行财办库【2020】123号，具体如下：</w:t>
      </w:r>
      <w:r/>
    </w:p>
    <w:p>
      <w:pPr>
        <w:ind w:firstLine="420"/>
        <w:spacing w:line="360" w:lineRule="auto"/>
        <w:rPr>
          <w:szCs w:val="21"/>
        </w:rPr>
      </w:pPr>
      <w:r>
        <w:rPr>
          <w:rFonts w:hint="eastAsia"/>
          <w:szCs w:val="21"/>
        </w:rPr>
        <w:t xml:space="preserve">9.1商品包装环保要求</w:t>
      </w:r>
      <w:r/>
    </w:p>
    <w:p>
      <w:pPr>
        <w:ind w:firstLine="420"/>
        <w:spacing w:line="360" w:lineRule="auto"/>
        <w:rPr>
          <w:szCs w:val="21"/>
        </w:rPr>
      </w:pPr>
      <w:r>
        <w:rPr>
          <w:rFonts w:hint="eastAsia"/>
          <w:szCs w:val="21"/>
        </w:rPr>
        <w:t xml:space="preserve">9.1.1商品包装层数不得超过3层，空隙率不大于40%；</w:t>
      </w:r>
      <w:r/>
    </w:p>
    <w:p>
      <w:pPr>
        <w:ind w:firstLine="420"/>
        <w:spacing w:line="360" w:lineRule="auto"/>
        <w:rPr>
          <w:szCs w:val="21"/>
        </w:rPr>
      </w:pPr>
      <w:r>
        <w:rPr>
          <w:rFonts w:hint="eastAsia"/>
          <w:szCs w:val="21"/>
        </w:rPr>
        <w:t xml:space="preserve">9.1.2商品包装尽可能使用单一材质的包装材料，如因功能需求必需使用不同材质，不同材质间应便于分离；</w:t>
      </w:r>
      <w:r/>
    </w:p>
    <w:p>
      <w:pPr>
        <w:ind w:firstLine="420"/>
        <w:spacing w:line="360" w:lineRule="auto"/>
        <w:rPr>
          <w:szCs w:val="21"/>
        </w:rPr>
      </w:pPr>
      <w:r>
        <w:rPr>
          <w:rFonts w:hint="eastAsia"/>
          <w:szCs w:val="21"/>
        </w:rPr>
        <w:t xml:space="preserve">9.1.3商品包装中铅、汞、镉、六价铬的总含量应不大于100mg/kg；</w:t>
      </w:r>
      <w:r/>
    </w:p>
    <w:p>
      <w:pPr>
        <w:ind w:firstLine="420"/>
        <w:spacing w:line="360" w:lineRule="auto"/>
        <w:rPr>
          <w:szCs w:val="21"/>
        </w:rPr>
      </w:pPr>
      <w:r>
        <w:rPr>
          <w:rFonts w:hint="eastAsia"/>
          <w:szCs w:val="21"/>
        </w:rPr>
        <w:t xml:space="preserve">9.1.4商品包装印刷使用的油墨中挥发性有机化合物(VOCs)含量应不大于5%（以重量计）；</w:t>
      </w:r>
      <w:r/>
    </w:p>
    <w:p>
      <w:pPr>
        <w:ind w:firstLine="420"/>
        <w:spacing w:line="360" w:lineRule="auto"/>
        <w:rPr>
          <w:szCs w:val="21"/>
        </w:rPr>
      </w:pPr>
      <w:r>
        <w:rPr>
          <w:rFonts w:hint="eastAsia"/>
          <w:szCs w:val="21"/>
        </w:rPr>
        <w:t xml:space="preserve">9.1.5塑料材质商品包装上呈现的印刷颜色不得超过6 色；</w:t>
      </w:r>
      <w:r/>
    </w:p>
    <w:p>
      <w:pPr>
        <w:ind w:firstLine="420"/>
        <w:spacing w:line="360" w:lineRule="auto"/>
        <w:rPr>
          <w:szCs w:val="21"/>
        </w:rPr>
      </w:pPr>
      <w:r>
        <w:rPr>
          <w:rFonts w:hint="eastAsia"/>
          <w:szCs w:val="21"/>
        </w:rPr>
        <w:t xml:space="preserve">9.1.6纸质商品包装应使用75%以上的可再生纤维原料生产；</w:t>
      </w:r>
      <w:r/>
    </w:p>
    <w:p>
      <w:pPr>
        <w:ind w:firstLine="420"/>
        <w:spacing w:line="360" w:lineRule="auto"/>
        <w:rPr>
          <w:szCs w:val="21"/>
        </w:rPr>
      </w:pPr>
      <w:r>
        <w:rPr>
          <w:rFonts w:hint="eastAsia"/>
          <w:szCs w:val="21"/>
        </w:rPr>
        <w:t xml:space="preserve">9.1.7木质商品包装的原料应来源于可持续性森林。</w:t>
      </w:r>
      <w:r/>
    </w:p>
    <w:p>
      <w:pPr>
        <w:ind w:firstLine="420"/>
        <w:spacing w:line="360" w:lineRule="auto"/>
        <w:rPr>
          <w:szCs w:val="21"/>
        </w:rPr>
      </w:pPr>
      <w:r>
        <w:rPr>
          <w:rFonts w:hint="eastAsia"/>
          <w:szCs w:val="21"/>
        </w:rPr>
        <w:t xml:space="preserve">9.2快递包装环保要求</w:t>
      </w:r>
      <w:r/>
    </w:p>
    <w:p>
      <w:pPr>
        <w:ind w:firstLine="420"/>
        <w:spacing w:line="360" w:lineRule="auto"/>
        <w:rPr>
          <w:szCs w:val="21"/>
        </w:rPr>
      </w:pPr>
      <w:r>
        <w:rPr>
          <w:rFonts w:hint="eastAsia"/>
          <w:szCs w:val="21"/>
        </w:rPr>
        <w:t xml:space="preserve">9.2.1快递包装中重金属（铅、汞、镉、六价铬）总量应不大于100mg/kg；</w:t>
      </w:r>
      <w:r/>
    </w:p>
    <w:p>
      <w:pPr>
        <w:ind w:firstLine="420"/>
        <w:spacing w:line="360" w:lineRule="auto"/>
        <w:rPr>
          <w:szCs w:val="21"/>
        </w:rPr>
      </w:pPr>
      <w:r>
        <w:rPr>
          <w:rFonts w:hint="eastAsia"/>
          <w:szCs w:val="21"/>
        </w:rPr>
        <w:t xml:space="preserve">9.2.2快递包装印刷使用的油墨中不应添加邻苯二甲酸酯，其挥发性有机化合物(VOCs)含量应不大于5%（以重量计）；</w:t>
      </w:r>
      <w:r/>
    </w:p>
    <w:p>
      <w:pPr>
        <w:ind w:firstLine="420"/>
        <w:spacing w:line="360" w:lineRule="auto"/>
        <w:rPr>
          <w:szCs w:val="21"/>
        </w:rPr>
      </w:pPr>
      <w:r>
        <w:rPr>
          <w:rFonts w:hint="eastAsia"/>
          <w:szCs w:val="21"/>
        </w:rPr>
        <w:t xml:space="preserve">9.2.3快递包装中使用纸基材的包装材料，纸基材中的有机氯的含量应不大于150 mg/kg；</w:t>
      </w:r>
      <w:r/>
    </w:p>
    <w:p>
      <w:pPr>
        <w:ind w:firstLine="420"/>
        <w:spacing w:line="360" w:lineRule="auto"/>
        <w:rPr>
          <w:szCs w:val="21"/>
        </w:rPr>
      </w:pPr>
      <w:r>
        <w:rPr>
          <w:rFonts w:hint="eastAsia"/>
          <w:szCs w:val="21"/>
        </w:rPr>
        <w:t xml:space="preserve">9.2.4快递包装中使用塑料基材的包装材料不得使用邻苯二甲酸二异壬酯、邻苯二甲酸二正辛酯、邻苯二甲酸二(2-乙基)己酯、邻苯二甲酸二异癸酯、邻苯二甲酸丁基苄基酯、邻苯二甲酸二丁酯等作为增塑剂；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20"/>
        <w:spacing w:line="360" w:lineRule="auto"/>
        <w:rPr>
          <w:szCs w:val="21"/>
        </w:rPr>
      </w:pPr>
      <w:r>
        <w:rPr>
          <w:rFonts w:hint="eastAsia"/>
          <w:szCs w:val="21"/>
        </w:rPr>
        <w:t xml:space="preserve">9.2.5快递中使用的塑料包装袋不得使用聚氯乙烯作为原料，且原料应为单一材质制成，生物分解率大于60%；</w:t>
      </w:r>
      <w:r/>
    </w:p>
    <w:p>
      <w:pPr>
        <w:ind w:firstLine="420"/>
        <w:spacing w:line="360" w:lineRule="auto"/>
        <w:rPr>
          <w:szCs w:val="21"/>
        </w:rPr>
      </w:pPr>
      <w:r>
        <w:rPr>
          <w:rFonts w:hint="eastAsia"/>
          <w:szCs w:val="21"/>
        </w:rPr>
        <w:t xml:space="preserve">9.2.6快递中使用的充气类填充物不得使用聚氯乙烯作为原料，且原料为单一材质制成，生物分解率大于60%；</w:t>
      </w:r>
      <w:r/>
    </w:p>
    <w:p>
      <w:pPr>
        <w:ind w:firstLine="420"/>
        <w:spacing w:line="360" w:lineRule="auto"/>
        <w:rPr>
          <w:szCs w:val="21"/>
        </w:rPr>
      </w:pPr>
      <w:r>
        <w:rPr>
          <w:rFonts w:hint="eastAsia"/>
          <w:szCs w:val="21"/>
        </w:rPr>
        <w:t xml:space="preserve">9.2.7快递中使用的集装袋应为单一材质制成，其重复使用次数应不小于80次；</w:t>
      </w:r>
      <w:r/>
    </w:p>
    <w:p>
      <w:pPr>
        <w:ind w:firstLine="420"/>
        <w:spacing w:line="360" w:lineRule="auto"/>
        <w:rPr>
          <w:szCs w:val="21"/>
        </w:rPr>
      </w:pPr>
      <w:r>
        <w:rPr>
          <w:rFonts w:hint="eastAsia"/>
          <w:szCs w:val="21"/>
        </w:rPr>
        <w:t xml:space="preserve">9.2.8快递中应使用幅宽不大于45mm的生物降解胶带；</w:t>
      </w:r>
      <w:r/>
    </w:p>
    <w:p>
      <w:pPr>
        <w:ind w:firstLine="420"/>
        <w:spacing w:line="360" w:lineRule="auto"/>
        <w:rPr>
          <w:szCs w:val="21"/>
        </w:rPr>
      </w:pPr>
      <w:r>
        <w:rPr>
          <w:rFonts w:hint="eastAsia"/>
          <w:szCs w:val="21"/>
        </w:rPr>
        <w:t xml:space="preserve">9.2.9快递包装中不得使用溶剂型胶粘剂；</w:t>
      </w:r>
      <w:r/>
    </w:p>
    <w:p>
      <w:pPr>
        <w:ind w:firstLine="420"/>
        <w:spacing w:line="360" w:lineRule="auto"/>
        <w:rPr>
          <w:szCs w:val="21"/>
        </w:rPr>
      </w:pPr>
      <w:r>
        <w:rPr>
          <w:rFonts w:hint="eastAsia"/>
          <w:szCs w:val="21"/>
        </w:rPr>
        <w:t xml:space="preserve">9.2.10快递应使用电子面单；</w:t>
      </w:r>
      <w:r/>
    </w:p>
    <w:p>
      <w:pPr>
        <w:ind w:firstLine="420"/>
        <w:spacing w:line="360" w:lineRule="auto"/>
        <w:rPr>
          <w:szCs w:val="21"/>
        </w:rPr>
      </w:pPr>
      <w:r>
        <w:rPr>
          <w:rFonts w:hint="eastAsia"/>
          <w:szCs w:val="21"/>
        </w:rPr>
        <w:t xml:space="preserve">9.2.11直接使用商品包装作为快递包装的商品，其商品包装满足《商品包装政府采购需求标准（试行）》即可；</w:t>
      </w:r>
      <w:r/>
    </w:p>
    <w:p>
      <w:pPr>
        <w:ind w:firstLine="420"/>
        <w:spacing w:line="360" w:lineRule="auto"/>
        <w:rPr>
          <w:szCs w:val="21"/>
        </w:rPr>
      </w:pPr>
      <w:r>
        <w:rPr>
          <w:rFonts w:hint="eastAsia"/>
          <w:szCs w:val="21"/>
        </w:rPr>
        <w:t xml:space="preserve">9.2.12快递包装产品质量和封装方式应符合相关国家或行业标准技术指标要求。</w:t>
      </w:r>
      <w:r/>
    </w:p>
    <w:p>
      <w:pPr>
        <w:spacing w:line="360" w:lineRule="auto"/>
        <w:rPr>
          <w:b/>
          <w:bCs/>
          <w:szCs w:val="21"/>
        </w:rPr>
      </w:pPr>
      <w:r>
        <w:rPr>
          <w:rFonts w:hint="eastAsia"/>
          <w:b/>
          <w:bCs/>
          <w:szCs w:val="21"/>
        </w:rPr>
        <w:t xml:space="preserve">10、履约保证金：</w:t>
      </w:r>
      <w:r/>
    </w:p>
    <w:p>
      <w:pPr>
        <w:ind w:firstLine="420"/>
        <w:spacing w:line="360" w:lineRule="auto"/>
        <w:rPr>
          <w:szCs w:val="21"/>
        </w:rPr>
      </w:pPr>
      <w:r>
        <w:rPr>
          <w:rFonts w:hint="eastAsia"/>
          <w:szCs w:val="21"/>
        </w:rPr>
        <w:t xml:space="preserve">10.1本项目成交后的履约保证金为项目成交价的10%，中标供应商的履约保证金须在成交通知书发出之日起至合同签订前，以支票、汇票、本票或者金融机构、担保机构出具的保函等非现金形式提交。成交通知书发出之日起30日内，中标供应商凭成交通知书和履约保证金缴纳凭证与采购人签订合同。超期或未有协商，则视为自动放弃成交资格。</w:t>
      </w:r>
      <w:r/>
    </w:p>
    <w:p>
      <w:pPr>
        <w:ind w:firstLine="420"/>
        <w:spacing w:line="360" w:lineRule="auto"/>
        <w:rPr>
          <w:szCs w:val="21"/>
        </w:rPr>
      </w:pPr>
      <w:r>
        <w:rPr>
          <w:rFonts w:hint="eastAsia"/>
          <w:szCs w:val="21"/>
        </w:rPr>
        <w:t xml:space="preserve">10.2</w:t>
      </w:r>
      <w:r>
        <w:rPr>
          <w:rFonts w:hint="eastAsia"/>
          <w:szCs w:val="21"/>
          <w:highlight w:val="none"/>
        </w:rPr>
        <w:t xml:space="preserve">以履约保函形式提交履约保证金的，中标人全部履行合同义务，经采购人验收合格无质量、进度等问题的，履约保函到期后自动失效</w:t>
      </w:r>
      <w:r>
        <w:rPr>
          <w:rFonts w:hint="eastAsia"/>
          <w:szCs w:val="21"/>
          <w:highlight w:val="none"/>
          <w:lang w:eastAsia="zh-CN"/>
        </w:rPr>
        <w:t xml:space="preserve">；以支票、汇票、本票</w:t>
      </w:r>
      <w:r>
        <w:rPr>
          <w:rFonts w:hint="eastAsia"/>
          <w:szCs w:val="21"/>
          <w:highlight w:val="none"/>
        </w:rPr>
        <w:t xml:space="preserve">形式提交履约保证金的</w:t>
      </w:r>
      <w:r>
        <w:rPr>
          <w:rFonts w:hint="eastAsia"/>
          <w:szCs w:val="21"/>
          <w:highlight w:val="none"/>
          <w:lang w:eastAsia="zh-CN"/>
        </w:rPr>
        <w:t xml:space="preserve">，</w:t>
      </w:r>
      <w:r>
        <w:rPr>
          <w:rFonts w:hint="eastAsia"/>
          <w:szCs w:val="21"/>
          <w:highlight w:val="none"/>
        </w:rPr>
        <w:t xml:space="preserve">中标人全部履行合同义务，经采购人验收合格无质量、进度等问题的，采购人在验收合格后10个工作日内一次性退还履约保证金</w:t>
      </w:r>
      <w:r>
        <w:rPr>
          <w:rFonts w:hint="eastAsia"/>
          <w:szCs w:val="21"/>
          <w:highlight w:val="none"/>
          <w:lang w:eastAsia="zh-CN"/>
        </w:rPr>
        <w:t xml:space="preserve">。</w:t>
      </w:r>
      <w:r/>
    </w:p>
    <w:p>
      <w:pPr>
        <w:ind w:firstLine="420"/>
        <w:spacing w:line="360" w:lineRule="auto"/>
        <w:rPr>
          <w:szCs w:val="21"/>
        </w:rPr>
      </w:pPr>
      <w:r>
        <w:rPr>
          <w:rFonts w:hint="eastAsia"/>
          <w:szCs w:val="21"/>
        </w:rPr>
        <w:t xml:space="preserve">10.3发生以下情况的，履约保证金不予退还或部分退还：</w:t>
      </w:r>
      <w:r/>
    </w:p>
    <w:p>
      <w:pPr>
        <w:ind w:firstLine="420"/>
        <w:spacing w:line="360" w:lineRule="auto"/>
        <w:rPr>
          <w:szCs w:val="21"/>
        </w:rPr>
      </w:pPr>
      <w:r>
        <w:rPr>
          <w:rFonts w:hint="eastAsia"/>
          <w:szCs w:val="21"/>
        </w:rPr>
        <w:t xml:space="preserve">a.签订合同后，中标供应商不履行合同义务的，采购人有权全额扣除履约保证金，全额不予退还，同时采购人亦有权终止合同，中标供应商还须承担相应的法律赔偿责任。</w:t>
      </w:r>
      <w:r/>
    </w:p>
    <w:p>
      <w:pPr>
        <w:ind w:firstLine="420"/>
        <w:spacing w:line="360" w:lineRule="auto"/>
        <w:rPr>
          <w:szCs w:val="21"/>
        </w:rPr>
      </w:pPr>
      <w:r>
        <w:rPr>
          <w:rFonts w:hint="eastAsia"/>
          <w:szCs w:val="21"/>
        </w:rPr>
        <w:t xml:space="preserve">b.中标供应商在履约过程中发生违约行为，给采购人造成损失的，采购人有权在中标供应商缴纳的履约保证金中予以扣款，以弥补采购人经济损失，不足的部分中标供应商另外补齐。</w:t>
      </w:r>
      <w:r/>
    </w:p>
    <w:p>
      <w:pPr>
        <w:ind w:firstLine="420"/>
        <w:spacing w:line="360" w:lineRule="auto"/>
        <w:rPr>
          <w:szCs w:val="21"/>
        </w:rPr>
      </w:pPr>
      <w:r>
        <w:rPr>
          <w:rFonts w:hint="eastAsia"/>
          <w:szCs w:val="21"/>
        </w:rPr>
        <w:t xml:space="preserve">10.4以履约保函（保险）形式向采购人缴纳的，按照《关于在全省政府采购领域推行电子履约保函（保险）的通知》，登录江苏政府采购网，选择</w:t>
      </w:r>
      <w:r>
        <w:rPr>
          <w:rFonts w:hint="eastAsia" w:asciiTheme="minorEastAsia" w:hAnsiTheme="minorEastAsia" w:eastAsiaTheme="minorEastAsia"/>
          <w:szCs w:val="21"/>
        </w:rPr>
        <w:t xml:space="preserve">“保险保函”模块，进行相关操作。供应商可登陆江苏政府采购网“资料下载”栏目下载“政府采购电子履约（保函）保险操作手册”。</w:t>
      </w:r>
      <w:r/>
    </w:p>
    <w:p>
      <w:pPr>
        <w:spacing w:line="360" w:lineRule="auto"/>
        <w:rPr>
          <w:b/>
          <w:szCs w:val="21"/>
          <w:u w:val="single"/>
        </w:rPr>
        <w:outlineLvl w:val="0"/>
      </w:pPr>
      <w:r/>
      <w:bookmarkStart w:id="39" w:name="_Toc16348"/>
      <w:r/>
      <w:bookmarkStart w:id="40" w:name="_Toc227144769"/>
      <w:r/>
      <w:bookmarkStart w:id="41" w:name="_Toc7759"/>
      <w:r/>
      <w:bookmarkStart w:id="42" w:name="_Toc10608"/>
      <w:r/>
      <w:bookmarkStart w:id="43" w:name="_Toc6504"/>
      <w:r/>
      <w:bookmarkStart w:id="44" w:name="_Toc21219"/>
      <w:r>
        <w:rPr>
          <w:rFonts w:hint="eastAsia"/>
          <w:b/>
          <w:szCs w:val="21"/>
        </w:rPr>
        <w:t xml:space="preserve">四、</w:t>
      </w:r>
      <w:r>
        <w:rPr>
          <w:rFonts w:hint="eastAsia"/>
          <w:b/>
          <w:szCs w:val="21"/>
          <w:u w:val="single"/>
        </w:rPr>
        <w:t xml:space="preserve">采购需求中必须满足的实质性要求。</w:t>
      </w:r>
      <w:bookmarkEnd w:id="39"/>
      <w:r/>
      <w:bookmarkEnd w:id="40"/>
      <w:r/>
      <w:bookmarkEnd w:id="41"/>
      <w:r/>
      <w:bookmarkEnd w:id="42"/>
      <w:r/>
      <w:bookmarkEnd w:id="43"/>
      <w:r/>
      <w:bookmarkEnd w:id="44"/>
      <w:r/>
      <w:r/>
    </w:p>
    <w:p>
      <w:pPr>
        <w:spacing w:line="360" w:lineRule="auto"/>
        <w:rPr>
          <w:b/>
          <w:bCs/>
          <w:szCs w:val="21"/>
          <w:u w:val="single"/>
        </w:rPr>
      </w:pPr>
      <w:r>
        <w:rPr>
          <w:rFonts w:hint="eastAsia"/>
          <w:b/>
          <w:bCs/>
          <w:szCs w:val="21"/>
          <w:u w:val="single"/>
        </w:rPr>
        <w:t xml:space="preserve">4.1 商务部分实质性要求</w:t>
      </w:r>
      <w:r/>
    </w:p>
    <w:p>
      <w:pPr>
        <w:ind w:firstLine="420"/>
        <w:spacing w:line="360" w:lineRule="auto"/>
        <w:rPr>
          <w:szCs w:val="21"/>
          <w:u w:val="single"/>
        </w:rPr>
      </w:pPr>
      <w:r/>
      <w:bookmarkStart w:id="45" w:name="OLE_LINK1"/>
      <w:r>
        <w:rPr>
          <w:rFonts w:hint="eastAsia"/>
          <w:szCs w:val="21"/>
          <w:u w:val="single"/>
        </w:rPr>
        <w:t xml:space="preserve">4.1.1 投标人承诺在中标通知书发出后30日内凭履约保证金缴纳凭证，按照招标文件确定的事项与采购人签订合同，超期视为自动放弃成交资格。</w:t>
      </w:r>
      <w:r/>
    </w:p>
    <w:p>
      <w:pPr>
        <w:ind w:firstLine="420"/>
        <w:spacing w:line="360" w:lineRule="auto"/>
        <w:rPr>
          <w:szCs w:val="21"/>
          <w:u w:val="single"/>
        </w:rPr>
      </w:pPr>
      <w:r/>
      <w:bookmarkStart w:id="46" w:name="_Hlk180779940"/>
      <w:r>
        <w:rPr>
          <w:rFonts w:hint="eastAsia"/>
          <w:szCs w:val="21"/>
          <w:u w:val="single"/>
        </w:rPr>
        <w:t xml:space="preserve">4.1.2 投标人承诺中标后严格按“商务要求：4.2产品配置要求”配置供货。</w:t>
      </w:r>
      <w:bookmarkEnd w:id="46"/>
      <w:r/>
      <w:r/>
    </w:p>
    <w:p>
      <w:pPr>
        <w:ind w:firstLine="420"/>
        <w:spacing w:line="360" w:lineRule="auto"/>
        <w:rPr>
          <w:szCs w:val="21"/>
          <w:u w:val="single"/>
        </w:rPr>
      </w:pPr>
      <w:r>
        <w:rPr>
          <w:rFonts w:hint="eastAsia"/>
          <w:szCs w:val="21"/>
          <w:u w:val="single"/>
        </w:rPr>
        <w:t xml:space="preserve">4.1.3 投标人承诺中标后所供应的产品是全新、未使用过的原装合格正品，</w:t>
      </w:r>
      <w:bookmarkStart w:id="47" w:name="_Hlk175617714"/>
      <w:r>
        <w:rPr>
          <w:rFonts w:hint="eastAsia"/>
          <w:szCs w:val="21"/>
          <w:u w:val="single"/>
        </w:rPr>
        <w:t xml:space="preserve">严禁供应改装、翻新产品。</w:t>
      </w:r>
      <w:bookmarkEnd w:id="47"/>
      <w:r/>
      <w:r/>
    </w:p>
    <w:p>
      <w:pPr>
        <w:ind w:firstLine="420"/>
        <w:spacing w:line="360" w:lineRule="auto"/>
        <w:rPr>
          <w:szCs w:val="21"/>
          <w:u w:val="single"/>
        </w:rPr>
      </w:pPr>
      <w:r>
        <w:rPr>
          <w:rFonts w:hint="eastAsia"/>
          <w:szCs w:val="21"/>
          <w:u w:val="single"/>
        </w:rPr>
        <w:t xml:space="preserve">4.1.4 投标人承诺中标后将设备安全无损地运抵采购人指定现场，并承担设备的运费、保险费、装卸费等费用，如因包装、运输问题导致货物损毁、丢失或者品质下降，采购人有权要求降价、换货、拒收部分或整批货物，由此产生的费用和损失，均由中标人承担。</w:t>
      </w:r>
      <w:r/>
    </w:p>
    <w:p>
      <w:pPr>
        <w:ind w:firstLine="420"/>
        <w:spacing w:line="360" w:lineRule="auto"/>
        <w:rPr>
          <w:szCs w:val="21"/>
          <w:u w:val="single"/>
        </w:rPr>
      </w:pPr>
      <w:r>
        <w:rPr>
          <w:rFonts w:hint="eastAsia"/>
          <w:szCs w:val="21"/>
          <w:u w:val="single"/>
        </w:rPr>
        <w:t xml:space="preserve">4.1.5 投标人承诺中标后供货时，报采购人同意后再进场，保证绝不将不合格的货物使用到本项目，否则一切损失及后果由中标人自行承担。</w:t>
      </w:r>
      <w:r/>
    </w:p>
    <w:p>
      <w:pPr>
        <w:ind w:firstLine="420"/>
        <w:spacing w:line="360" w:lineRule="auto"/>
        <w:rPr>
          <w:szCs w:val="21"/>
          <w:u w:val="single"/>
        </w:rPr>
      </w:pPr>
      <w:r>
        <w:rPr>
          <w:rFonts w:hint="eastAsia"/>
          <w:szCs w:val="21"/>
          <w:u w:val="single"/>
        </w:rPr>
        <w:t xml:space="preserve">4.1.6 投标人承诺中标后保证采购人在使用货物或其任何一部分时不受第三方提出侵犯其专利权、版权、商标权或其他权利的起诉。一旦出现侵权，采购人有权单方解除本合同，中标人应退还采购人已支付货款，承担因此产生的全部责任，并赔偿或补偿采购人因此产生的所有损失（包括预期利益损失及采购人维权产生的包括但不限于律师费、诉讼费、保全费、公证费、差旅费、保全保险费等费用），此外还须向采购人支付本合同总价款20%的赔偿金。</w:t>
      </w:r>
      <w:r/>
    </w:p>
    <w:p>
      <w:pPr>
        <w:ind w:firstLine="420"/>
        <w:spacing w:line="360" w:lineRule="auto"/>
        <w:rPr>
          <w:szCs w:val="21"/>
          <w:u w:val="single"/>
        </w:rPr>
      </w:pPr>
      <w:r>
        <w:rPr>
          <w:szCs w:val="21"/>
          <w:u w:val="single"/>
        </w:rPr>
        <w:t xml:space="preserve">4.1.7</w:t>
      </w:r>
      <w:bookmarkStart w:id="48" w:name="_Hlk211939167"/>
      <w:r>
        <w:rPr>
          <w:rFonts w:hint="eastAsia"/>
          <w:szCs w:val="21"/>
          <w:u w:val="single"/>
        </w:rPr>
        <w:t xml:space="preserve"> 投标人承诺中标后</w:t>
      </w:r>
      <w:bookmarkEnd w:id="48"/>
      <w:r>
        <w:rPr>
          <w:rFonts w:hint="eastAsia"/>
          <w:szCs w:val="21"/>
          <w:u w:val="single"/>
        </w:rPr>
        <w:t xml:space="preserve">保证设备报修后4小时内响应，2个工作日内到达现场维修。</w:t>
      </w:r>
      <w:r/>
    </w:p>
    <w:p>
      <w:pPr>
        <w:ind w:firstLine="420"/>
        <w:spacing w:line="360" w:lineRule="auto"/>
        <w:rPr>
          <w:szCs w:val="21"/>
          <w:u w:val="single"/>
        </w:rPr>
      </w:pPr>
      <w:r>
        <w:rPr>
          <w:rFonts w:hint="eastAsia"/>
          <w:szCs w:val="21"/>
          <w:u w:val="single"/>
        </w:rPr>
        <w:t xml:space="preserve">4.1.8 投标人承诺中标后如果货物的质量或规格与合同不符，或证实货物是有缺陷的，包括潜在的缺陷或使用不符合要求的材料等，中标人承担违约责任。</w:t>
      </w:r>
      <w:r/>
    </w:p>
    <w:p>
      <w:pPr>
        <w:ind w:firstLine="420"/>
        <w:spacing w:line="360" w:lineRule="auto"/>
        <w:rPr>
          <w:szCs w:val="21"/>
          <w:u w:val="single"/>
        </w:rPr>
      </w:pPr>
      <w:r>
        <w:rPr>
          <w:rFonts w:hint="eastAsia"/>
          <w:szCs w:val="21"/>
          <w:u w:val="single"/>
        </w:rPr>
        <w:t xml:space="preserve">4.1.9 投标人在投标时须填写并提交商务要求响应及偏离表，每条均注明“超出”、“符合”或“偏离”。未提交者作无效投标处理。</w:t>
      </w:r>
      <w:bookmarkEnd w:id="45"/>
      <w:r/>
      <w:r/>
    </w:p>
    <w:p>
      <w:pPr>
        <w:spacing w:line="360" w:lineRule="auto"/>
        <w:rPr>
          <w:b/>
          <w:bCs/>
          <w:szCs w:val="21"/>
          <w:u w:val="single"/>
        </w:rPr>
      </w:pPr>
      <w:r>
        <w:rPr>
          <w:rFonts w:hint="eastAsia"/>
          <w:b/>
          <w:bCs/>
          <w:szCs w:val="21"/>
          <w:u w:val="single"/>
        </w:rPr>
        <w:t xml:space="preserve">4.2 技术部分实质性要求</w:t>
      </w:r>
      <w:r/>
    </w:p>
    <w:p>
      <w:pPr>
        <w:ind w:firstLine="420"/>
        <w:spacing w:line="360" w:lineRule="auto"/>
        <w:rPr>
          <w:szCs w:val="21"/>
          <w:u w:val="single"/>
        </w:rPr>
      </w:pPr>
      <w:r>
        <w:rPr>
          <w:rFonts w:hint="eastAsia"/>
          <w:szCs w:val="21"/>
          <w:u w:val="single"/>
        </w:rPr>
        <w:t xml:space="preserve">4.2.1 投标参数应客观真实，保证不虚假应标。</w:t>
      </w:r>
      <w:r/>
    </w:p>
    <w:p>
      <w:pPr>
        <w:ind w:firstLine="420"/>
        <w:spacing w:line="360" w:lineRule="auto"/>
        <w:rPr>
          <w:szCs w:val="21"/>
          <w:u w:val="single"/>
        </w:rPr>
      </w:pPr>
      <w:r/>
      <w:bookmarkStart w:id="49" w:name="_Hlk175436534"/>
      <w:r>
        <w:rPr>
          <w:rFonts w:hint="eastAsia"/>
          <w:szCs w:val="21"/>
          <w:u w:val="single"/>
        </w:rPr>
        <w:t xml:space="preserve">4.2.2 投标人在投标时须填写并提交技术要求响应及偏离表，</w:t>
      </w:r>
      <w:bookmarkStart w:id="50" w:name="_Hlk177951190"/>
      <w:r>
        <w:rPr>
          <w:rFonts w:hint="eastAsia"/>
          <w:szCs w:val="21"/>
          <w:u w:val="single"/>
        </w:rPr>
        <w:t xml:space="preserve">每条均注明</w:t>
      </w:r>
      <w:bookmarkStart w:id="51" w:name="_Hlk177936345"/>
      <w:r>
        <w:rPr>
          <w:rFonts w:hint="eastAsia"/>
          <w:szCs w:val="21"/>
          <w:u w:val="single"/>
        </w:rPr>
        <w:t xml:space="preserve">“超出”、“符合”或“偏离”。</w:t>
      </w:r>
      <w:bookmarkEnd w:id="51"/>
      <w:r/>
      <w:bookmarkStart w:id="52" w:name="_Hlk177937273"/>
      <w:r>
        <w:rPr>
          <w:rFonts w:hint="eastAsia"/>
          <w:szCs w:val="21"/>
          <w:u w:val="single"/>
        </w:rPr>
        <w:t xml:space="preserve">未提交者作无效投标处理。</w:t>
      </w:r>
      <w:bookmarkEnd w:id="49"/>
      <w:r/>
      <w:bookmarkEnd w:id="50"/>
      <w:r/>
      <w:bookmarkEnd w:id="52"/>
      <w:r/>
      <w:r/>
    </w:p>
    <w:p>
      <w:pPr>
        <w:spacing w:line="360" w:lineRule="auto"/>
        <w:rPr>
          <w:b/>
          <w:bCs/>
          <w:szCs w:val="21"/>
          <w:u w:val="single"/>
        </w:rPr>
      </w:pPr>
      <w:r>
        <w:rPr>
          <w:rFonts w:hint="eastAsia"/>
          <w:b/>
          <w:bCs/>
          <w:szCs w:val="21"/>
          <w:u w:val="single"/>
        </w:rPr>
        <w:t xml:space="preserve">4.3 报价部分实质性要求</w:t>
      </w:r>
      <w:r/>
    </w:p>
    <w:p>
      <w:pPr>
        <w:ind w:firstLine="420"/>
        <w:spacing w:line="360" w:lineRule="auto"/>
        <w:rPr>
          <w:b/>
          <w:szCs w:val="21"/>
        </w:rPr>
      </w:pPr>
      <w:r>
        <w:rPr>
          <w:rFonts w:hint="eastAsia"/>
          <w:szCs w:val="21"/>
          <w:u w:val="single"/>
        </w:rPr>
        <w:t xml:space="preserve">4.3.1 本项目报价包含但不限于投标、货物供应、运输、安装调试、培训、质保等各方面产生的全部费用，投标人承诺中标后不要求采购人支付除合同价款以外的其他任何费用。</w:t>
      </w:r>
      <w:r/>
    </w:p>
    <w:p>
      <w:pPr>
        <w:rPr>
          <w:szCs w:val="21"/>
        </w:rPr>
      </w:pPr>
      <w:r>
        <w:rPr>
          <w:szCs w:val="21"/>
        </w:rPr>
      </w:r>
      <w:bookmarkEnd w:id="9"/>
      <w:r/>
    </w:p>
    <w:p>
      <w:pPr>
        <w:sectPr>
          <w:footerReference w:type="default" r:id="rId12"/>
          <w:footnotePr/>
          <w:endnotePr>
            <w:numFmt w:val="decimal"/>
          </w:endnotePr>
          <w:type w:val="nextPage"/>
          <w:pgSz w:w="11906" w:h="16838" w:orient="portrait"/>
          <w:pgMar w:top="1134" w:right="1134" w:bottom="1134" w:left="1134" w:header="227" w:footer="720" w:gutter="0"/>
          <w:pgNumType w:start="1"/>
          <w:cols w:num="1" w:sep="0" w:space="720" w:equalWidth="1"/>
          <w:docGrid w:linePitch="360"/>
        </w:sectPr>
      </w:pPr>
      <w:r/>
      <w:r/>
    </w:p>
    <w:p>
      <w:pPr>
        <w:pStyle w:val="789"/>
        <w:numPr>
          <w:ilvl w:val="0"/>
          <w:numId w:val="0"/>
        </w:numPr>
        <w:spacing w:after="0" w:line="360" w:lineRule="auto"/>
      </w:pPr>
      <w:r/>
      <w:bookmarkStart w:id="53" w:name="_Toc227144770"/>
      <w:r>
        <w:rPr>
          <w:rFonts w:hint="eastAsia"/>
        </w:rPr>
        <w:t xml:space="preserve">第五章 合同主要条款及格式</w:t>
      </w:r>
      <w:bookmarkEnd w:id="10"/>
      <w:r/>
      <w:bookmarkEnd w:id="53"/>
      <w:r/>
      <w:r/>
    </w:p>
    <w:p>
      <w:pPr>
        <w:jc w:val="center"/>
      </w:pPr>
      <w:r>
        <w:rPr>
          <w:rFonts w:hint="eastAsia" w:ascii="宋体" w:hAnsi="宋体"/>
          <w:b/>
          <w:sz w:val="24"/>
          <w:szCs w:val="20"/>
        </w:rPr>
        <w:t xml:space="preserve">（以最终签订的合同为准）</w:t>
      </w:r>
      <w:r/>
    </w:p>
    <w:p>
      <w:pPr>
        <w:ind w:firstLine="200"/>
        <w:spacing w:line="360" w:lineRule="auto"/>
        <w:rPr>
          <w:rFonts w:hint="eastAsia" w:ascii="仿宋" w:hAnsi="仿宋" w:eastAsia="仿宋"/>
          <w:bCs/>
          <w:sz w:val="28"/>
          <w:szCs w:val="28"/>
        </w:rPr>
      </w:pPr>
      <w:r>
        <w:rPr>
          <w:rFonts w:hint="eastAsia" w:ascii="仿宋" w:hAnsi="仿宋" w:eastAsia="仿宋"/>
          <w:bCs/>
          <w:sz w:val="28"/>
          <w:szCs w:val="28"/>
        </w:rPr>
      </w:r>
      <w:r/>
    </w:p>
    <w:p>
      <w:pPr>
        <w:ind w:firstLine="200"/>
        <w:spacing w:line="360" w:lineRule="auto"/>
        <w:rPr>
          <w:rFonts w:hint="eastAsia" w:ascii="仿宋" w:hAnsi="仿宋" w:eastAsia="仿宋"/>
          <w:bCs/>
          <w:sz w:val="28"/>
          <w:szCs w:val="28"/>
        </w:rPr>
      </w:pPr>
      <w:r>
        <w:rPr>
          <w:rFonts w:hint="eastAsia" w:ascii="仿宋" w:hAnsi="仿宋" w:eastAsia="仿宋"/>
          <w:bCs/>
          <w:sz w:val="28"/>
          <w:szCs w:val="28"/>
        </w:rPr>
      </w:r>
      <w:r/>
    </w:p>
    <w:p>
      <w:pPr>
        <w:ind w:firstLine="200"/>
        <w:spacing w:line="360" w:lineRule="auto"/>
        <w:rPr>
          <w:rFonts w:hint="eastAsia" w:ascii="仿宋" w:hAnsi="仿宋" w:eastAsia="仿宋"/>
          <w:bCs/>
          <w:sz w:val="28"/>
          <w:szCs w:val="28"/>
        </w:rPr>
      </w:pPr>
      <w:r>
        <w:rPr>
          <w:rFonts w:hint="eastAsia" w:ascii="仿宋" w:hAnsi="仿宋" w:eastAsia="仿宋"/>
          <w:bCs/>
          <w:sz w:val="28"/>
          <w:szCs w:val="28"/>
        </w:rPr>
      </w:r>
      <w:r/>
    </w:p>
    <w:p>
      <w:pPr>
        <w:jc w:val="center"/>
        <w:spacing w:line="278" w:lineRule="auto"/>
        <w:rPr>
          <w:rFonts w:hint="eastAsia" w:ascii="宋体" w:hAnsi="宋体" w:cs="宋体"/>
          <w:sz w:val="32"/>
          <w:szCs w:val="32"/>
        </w:rPr>
      </w:pPr>
      <w:r>
        <w:rPr>
          <w:rFonts w:hint="eastAsia" w:ascii="宋体" w:hAnsi="宋体" w:cs="宋体"/>
          <w:b/>
          <w:bCs/>
          <w:spacing w:val="-20"/>
          <w:sz w:val="48"/>
          <w:szCs w:val="48"/>
        </w:rPr>
        <w:t xml:space="preserve">政府采购货物买卖合同</w:t>
      </w:r>
      <w:r/>
    </w:p>
    <w:p>
      <w:pPr>
        <w:ind w:left="420"/>
        <w:spacing w:line="360" w:lineRule="auto"/>
        <w:rPr>
          <w:rFonts w:hint="eastAsia" w:ascii="宋体" w:hAnsi="宋体" w:cs="宋体"/>
          <w:sz w:val="32"/>
          <w:szCs w:val="32"/>
        </w:rPr>
      </w:pPr>
      <w:r>
        <w:rPr>
          <w:rFonts w:hint="eastAsia" w:ascii="宋体" w:hAnsi="宋体" w:cs="宋体"/>
          <w:sz w:val="32"/>
          <w:szCs w:val="32"/>
        </w:rPr>
      </w:r>
      <w:r/>
    </w:p>
    <w:p>
      <w:pPr>
        <w:ind w:left="420"/>
        <w:spacing w:line="360" w:lineRule="auto"/>
        <w:rPr>
          <w:rFonts w:hint="eastAsia" w:ascii="宋体" w:hAnsi="宋体" w:cs="宋体"/>
          <w:sz w:val="32"/>
          <w:szCs w:val="32"/>
        </w:rPr>
      </w:pPr>
      <w:r>
        <w:rPr>
          <w:rFonts w:hint="eastAsia" w:ascii="宋体" w:hAnsi="宋体" w:cs="宋体"/>
          <w:sz w:val="32"/>
          <w:szCs w:val="32"/>
        </w:rPr>
      </w:r>
      <w:r/>
    </w:p>
    <w:p>
      <w:pPr>
        <w:ind w:left="420"/>
        <w:spacing w:line="360" w:lineRule="auto"/>
        <w:rPr>
          <w:rFonts w:hint="eastAsia" w:ascii="宋体" w:hAnsi="宋体" w:cs="宋体"/>
          <w:sz w:val="32"/>
          <w:szCs w:val="32"/>
        </w:rPr>
      </w:pPr>
      <w:r>
        <w:rPr>
          <w:rFonts w:hint="eastAsia" w:ascii="宋体" w:hAnsi="宋体" w:cs="宋体"/>
          <w:sz w:val="32"/>
          <w:szCs w:val="32"/>
        </w:rPr>
      </w:r>
      <w:r/>
    </w:p>
    <w:p>
      <w:pPr>
        <w:ind w:left="420"/>
        <w:spacing w:line="360" w:lineRule="auto"/>
        <w:rPr>
          <w:rFonts w:hint="eastAsia" w:ascii="宋体" w:hAnsi="宋体" w:cs="宋体"/>
          <w:sz w:val="32"/>
          <w:szCs w:val="32"/>
        </w:rPr>
      </w:pPr>
      <w:r>
        <w:rPr>
          <w:rFonts w:hint="eastAsia" w:ascii="宋体" w:hAnsi="宋体" w:cs="宋体"/>
          <w:sz w:val="32"/>
          <w:szCs w:val="32"/>
        </w:rPr>
      </w:r>
      <w:r/>
    </w:p>
    <w:p>
      <w:pPr>
        <w:ind w:left="420"/>
        <w:spacing w:line="360" w:lineRule="auto"/>
        <w:rPr>
          <w:rFonts w:hint="eastAsia" w:ascii="宋体" w:hAnsi="宋体" w:cs="宋体"/>
          <w:sz w:val="32"/>
          <w:szCs w:val="32"/>
        </w:rPr>
      </w:pPr>
      <w:r>
        <w:rPr>
          <w:rFonts w:hint="eastAsia" w:ascii="宋体" w:hAnsi="宋体" w:cs="宋体"/>
          <w:sz w:val="32"/>
          <w:szCs w:val="32"/>
        </w:rPr>
      </w:r>
      <w:r/>
    </w:p>
    <w:p>
      <w:pPr>
        <w:ind w:left="420"/>
        <w:spacing w:line="360" w:lineRule="auto"/>
        <w:rPr>
          <w:rFonts w:hint="eastAsia" w:ascii="宋体" w:hAnsi="宋体" w:cs="宋体"/>
          <w:sz w:val="32"/>
          <w:szCs w:val="32"/>
        </w:rPr>
      </w:pPr>
      <w:r>
        <w:rPr>
          <w:rFonts w:hint="eastAsia" w:ascii="宋体" w:hAnsi="宋体" w:cs="宋体"/>
          <w:sz w:val="32"/>
          <w:szCs w:val="32"/>
        </w:rPr>
      </w:r>
      <w:r/>
    </w:p>
    <w:p>
      <w:pPr>
        <w:ind w:left="420"/>
        <w:spacing w:line="360" w:lineRule="auto"/>
        <w:rPr>
          <w:rFonts w:hint="eastAsia" w:ascii="宋体" w:hAnsi="宋体" w:cs="宋体"/>
          <w:sz w:val="32"/>
          <w:szCs w:val="32"/>
        </w:rPr>
      </w:pPr>
      <w:r>
        <w:rPr>
          <w:rFonts w:hint="eastAsia" w:ascii="宋体" w:hAnsi="宋体" w:cs="宋体"/>
          <w:sz w:val="32"/>
          <w:szCs w:val="32"/>
        </w:rPr>
      </w:r>
      <w:r/>
    </w:p>
    <w:p>
      <w:pPr>
        <w:ind w:left="420"/>
        <w:spacing w:line="360" w:lineRule="auto"/>
        <w:rPr>
          <w:sz w:val="32"/>
          <w:szCs w:val="32"/>
        </w:rPr>
      </w:pPr>
      <w:r>
        <w:rPr>
          <w:rFonts w:hint="eastAsia" w:ascii="宋体" w:hAnsi="宋体" w:cs="宋体"/>
          <w:sz w:val="32"/>
          <w:szCs w:val="32"/>
        </w:rPr>
        <w:t xml:space="preserve">项目名称：</w:t>
      </w:r>
      <w:r>
        <w:rPr>
          <w:sz w:val="32"/>
          <w:szCs w:val="32"/>
          <w:u w:val="single"/>
        </w:rPr>
        <w:t xml:space="preserve">                             </w:t>
      </w:r>
      <w:r/>
    </w:p>
    <w:p>
      <w:pPr>
        <w:ind w:left="420"/>
        <w:spacing w:line="360" w:lineRule="auto"/>
        <w:rPr>
          <w:sz w:val="32"/>
          <w:szCs w:val="32"/>
          <w:u w:val="single"/>
        </w:rPr>
      </w:pPr>
      <w:r>
        <w:rPr>
          <w:rFonts w:hint="eastAsia"/>
          <w:sz w:val="32"/>
          <w:szCs w:val="32"/>
        </w:rPr>
        <w:t xml:space="preserve">合同编号：</w:t>
      </w:r>
      <w:r>
        <w:rPr>
          <w:sz w:val="32"/>
          <w:szCs w:val="32"/>
          <w:u w:val="single"/>
        </w:rPr>
        <w:t xml:space="preserve">                             </w:t>
      </w:r>
      <w:r/>
    </w:p>
    <w:p>
      <w:pPr>
        <w:ind w:left="420"/>
        <w:spacing w:line="360" w:lineRule="auto"/>
        <w:rPr>
          <w:sz w:val="32"/>
          <w:szCs w:val="32"/>
        </w:rPr>
      </w:pPr>
      <w:r>
        <w:rPr>
          <w:rFonts w:hint="eastAsia"/>
          <w:sz w:val="32"/>
          <w:szCs w:val="32"/>
        </w:rPr>
        <w:t xml:space="preserve">甲    方：</w:t>
      </w:r>
      <w:r>
        <w:rPr>
          <w:rFonts w:hint="eastAsia"/>
          <w:sz w:val="32"/>
          <w:szCs w:val="32"/>
          <w:u w:val="single"/>
        </w:rPr>
        <w:t xml:space="preserve">南通市食品药品监督检验中心   </w:t>
      </w:r>
      <w:r/>
    </w:p>
    <w:p>
      <w:pPr>
        <w:ind w:left="420"/>
        <w:spacing w:line="360" w:lineRule="auto"/>
        <w:rPr>
          <w:sz w:val="32"/>
          <w:szCs w:val="32"/>
          <w:u w:val="single"/>
        </w:rPr>
      </w:pPr>
      <w:r>
        <w:rPr>
          <w:rFonts w:hint="eastAsia"/>
          <w:sz w:val="32"/>
          <w:szCs w:val="32"/>
        </w:rPr>
        <w:t xml:space="preserve">乙    方：</w:t>
      </w:r>
      <w:r>
        <w:rPr>
          <w:sz w:val="32"/>
          <w:szCs w:val="32"/>
          <w:u w:val="single"/>
        </w:rPr>
        <w:t xml:space="preserve">                             </w:t>
      </w:r>
      <w:r/>
    </w:p>
    <w:p>
      <w:pPr>
        <w:ind w:left="420"/>
        <w:spacing w:line="360" w:lineRule="auto"/>
        <w:rPr>
          <w:sz w:val="32"/>
          <w:szCs w:val="32"/>
        </w:rPr>
      </w:pPr>
      <w:r>
        <w:rPr>
          <w:rFonts w:hint="eastAsia"/>
          <w:sz w:val="32"/>
          <w:szCs w:val="32"/>
        </w:rPr>
        <w:t xml:space="preserve">签订时间：</w:t>
      </w:r>
      <w:r>
        <w:rPr>
          <w:sz w:val="32"/>
          <w:szCs w:val="32"/>
          <w:u w:val="single"/>
        </w:rPr>
        <w:t xml:space="preserve">                             </w:t>
      </w:r>
      <w:r/>
    </w:p>
    <w:p>
      <w:pPr>
        <w:spacing w:before="120" w:after="120" w:line="480" w:lineRule="exact"/>
        <w:rPr>
          <w:rFonts w:hint="eastAsia" w:ascii="仿宋" w:hAnsi="仿宋" w:eastAsia="仿宋" w:cs="Courier New"/>
          <w:b/>
          <w:sz w:val="28"/>
          <w:szCs w:val="28"/>
        </w:rPr>
      </w:pPr>
      <w:r>
        <w:rPr>
          <w:rFonts w:hint="eastAsia" w:ascii="仿宋" w:hAnsi="仿宋" w:eastAsia="仿宋" w:cs="Courier New"/>
          <w:b/>
          <w:sz w:val="28"/>
          <w:szCs w:val="28"/>
        </w:rPr>
      </w:r>
      <w:r/>
    </w:p>
    <w:p>
      <w:pPr>
        <w:ind w:firstLine="200"/>
        <w:spacing w:line="360" w:lineRule="auto"/>
        <w:rPr>
          <w:rFonts w:hint="eastAsia" w:ascii="仿宋" w:hAnsi="仿宋" w:eastAsia="仿宋" w:cs="Courier New"/>
          <w:b/>
          <w:sz w:val="28"/>
          <w:szCs w:val="28"/>
        </w:rPr>
      </w:pPr>
      <w:r>
        <w:rPr>
          <w:rFonts w:hint="eastAsia" w:ascii="仿宋" w:hAnsi="仿宋" w:eastAsia="仿宋" w:cs="Courier New"/>
          <w:b/>
          <w:sz w:val="28"/>
          <w:szCs w:val="28"/>
        </w:rPr>
      </w:r>
      <w:r/>
    </w:p>
    <w:p>
      <w:pPr>
        <w:ind w:firstLine="200"/>
        <w:spacing w:line="360" w:lineRule="auto"/>
        <w:rPr>
          <w:rFonts w:hint="eastAsia" w:ascii="仿宋" w:hAnsi="仿宋" w:eastAsia="仿宋" w:cs="Courier New"/>
          <w:b/>
          <w:sz w:val="28"/>
          <w:szCs w:val="28"/>
        </w:rPr>
      </w:pPr>
      <w:r>
        <w:rPr>
          <w:rFonts w:hint="eastAsia" w:ascii="仿宋" w:hAnsi="仿宋" w:eastAsia="仿宋" w:cs="Courier New"/>
          <w:b/>
          <w:sz w:val="28"/>
          <w:szCs w:val="28"/>
        </w:rPr>
      </w:r>
      <w:r/>
    </w:p>
    <w:p>
      <w:pPr>
        <w:ind w:firstLine="200"/>
        <w:spacing w:line="360" w:lineRule="auto"/>
        <w:rPr>
          <w:rFonts w:hint="eastAsia" w:ascii="仿宋" w:hAnsi="仿宋" w:eastAsia="仿宋" w:cs="Courier New"/>
          <w:b/>
          <w:sz w:val="28"/>
          <w:szCs w:val="28"/>
        </w:rPr>
      </w:pPr>
      <w:r>
        <w:rPr>
          <w:rFonts w:hint="eastAsia" w:ascii="仿宋" w:hAnsi="仿宋" w:eastAsia="仿宋" w:cs="Courier New"/>
          <w:b/>
          <w:sz w:val="28"/>
          <w:szCs w:val="28"/>
        </w:rPr>
      </w:r>
      <w:r/>
    </w:p>
    <w:p>
      <w:pPr>
        <w:ind w:firstLine="200"/>
        <w:spacing w:line="360" w:lineRule="auto"/>
        <w:rPr>
          <w:rFonts w:hint="eastAsia" w:ascii="仿宋" w:hAnsi="仿宋" w:eastAsia="仿宋" w:cs="Courier New"/>
          <w:b/>
          <w:sz w:val="28"/>
          <w:szCs w:val="28"/>
        </w:rPr>
      </w:pPr>
      <w:r>
        <w:rPr>
          <w:rFonts w:hint="eastAsia" w:ascii="仿宋" w:hAnsi="仿宋" w:eastAsia="仿宋" w:cs="Courier New"/>
          <w:b/>
          <w:sz w:val="28"/>
          <w:szCs w:val="28"/>
        </w:rPr>
      </w:r>
      <w:r/>
    </w:p>
    <w:p>
      <w:pPr>
        <w:ind w:firstLine="200"/>
        <w:spacing w:line="360" w:lineRule="auto"/>
        <w:rPr>
          <w:rFonts w:hint="eastAsia" w:ascii="仿宋" w:hAnsi="仿宋" w:eastAsia="仿宋" w:cs="Courier New"/>
          <w:b/>
          <w:sz w:val="28"/>
          <w:szCs w:val="28"/>
        </w:rPr>
      </w:pPr>
      <w:r>
        <w:rPr>
          <w:rFonts w:hint="eastAsia" w:ascii="仿宋" w:hAnsi="仿宋" w:eastAsia="仿宋" w:cs="Courier New"/>
          <w:b/>
          <w:sz w:val="28"/>
          <w:szCs w:val="28"/>
        </w:rPr>
      </w:r>
      <w:r/>
    </w:p>
    <w:p>
      <w:pPr>
        <w:jc w:val="center"/>
        <w:keepLines/>
        <w:keepNext/>
        <w:spacing w:line="400" w:lineRule="exact"/>
        <w:rPr>
          <w:rFonts w:hint="eastAsia" w:ascii="黑体" w:hAnsi="华文中宋" w:eastAsia="黑体"/>
          <w:sz w:val="28"/>
          <w:szCs w:val="28"/>
        </w:rPr>
        <w:outlineLvl w:val="1"/>
      </w:pPr>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r/>
    </w:p>
    <w:p>
      <w:pPr>
        <w:jc w:val="center"/>
        <w:keepLines/>
        <w:keepNext/>
        <w:pageBreakBefore w:val="0"/>
        <w:spacing w:line="400" w:lineRule="exact"/>
        <w:widowControl w:val="off"/>
        <w:rPr>
          <w:rFonts w:hint="eastAsia" w:ascii="黑体" w:hAnsi="华文中宋" w:eastAsia="黑体"/>
          <w:sz w:val="28"/>
          <w:szCs w:val="28"/>
        </w:rPr>
        <w:outlineLvl w:val="9"/>
      </w:pPr>
      <w:r>
        <w:rPr>
          <w:rFonts w:hint="eastAsia" w:ascii="黑体" w:hAnsi="华文中宋" w:eastAsia="黑体"/>
          <w:sz w:val="28"/>
          <w:szCs w:val="28"/>
        </w:rPr>
      </w:r>
      <w:r/>
    </w:p>
    <w:p>
      <w:pPr>
        <w:spacing w:line="400" w:lineRule="exact"/>
        <w:rPr>
          <w:rFonts w:hint="eastAsia" w:ascii="宋体" w:hAnsi="宋体"/>
          <w:szCs w:val="21"/>
        </w:rPr>
      </w:pPr>
      <w:r>
        <w:rPr>
          <w:rFonts w:hint="eastAsia" w:ascii="宋体" w:hAnsi="宋体"/>
          <w:szCs w:val="21"/>
        </w:rPr>
        <w:t xml:space="preserve">甲方（全称）：</w:t>
      </w:r>
      <w:r>
        <w:rPr>
          <w:rFonts w:hint="eastAsia" w:ascii="宋体" w:hAnsi="宋体"/>
          <w:szCs w:val="21"/>
          <w:u w:val="single"/>
        </w:rPr>
        <w:t xml:space="preserve">南通市食品药品监督检验中心</w:t>
      </w:r>
      <w:r>
        <w:rPr>
          <w:rFonts w:hint="eastAsia" w:ascii="宋体" w:hAnsi="宋体"/>
          <w:szCs w:val="21"/>
        </w:rPr>
        <w:t xml:space="preserve">（采购人）</w:t>
      </w:r>
      <w:r/>
    </w:p>
    <w:p>
      <w:pPr>
        <w:spacing w:line="400" w:lineRule="exact"/>
        <w:rPr>
          <w:rFonts w:hint="eastAsia" w:ascii="宋体" w:hAnsi="宋体"/>
          <w:szCs w:val="21"/>
        </w:rPr>
      </w:pPr>
      <w:r>
        <w:rPr>
          <w:rFonts w:hint="eastAsia" w:ascii="宋体" w:hAnsi="宋体"/>
          <w:szCs w:val="21"/>
        </w:rPr>
        <w:t xml:space="preserve">乙方（全称）：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pPr>
      <w:r/>
      <w:r/>
    </w:p>
    <w:p>
      <w:pPr>
        <w:ind w:firstLine="420"/>
        <w:spacing w:line="400" w:lineRule="exact"/>
        <w:rPr>
          <w:rFonts w:hint="eastAsia" w:ascii="宋体" w:hAnsi="宋体"/>
          <w:szCs w:val="21"/>
        </w:rPr>
      </w:pPr>
      <w:r>
        <w:rPr>
          <w:rFonts w:hint="eastAsia" w:ascii="宋体" w:hAnsi="宋体"/>
          <w:szCs w:val="21"/>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r/>
    </w:p>
    <w:p>
      <w:pPr>
        <w:numPr>
          <w:ilvl w:val="0"/>
          <w:numId w:val="4"/>
        </w:numPr>
        <w:ind w:firstLine="422"/>
        <w:spacing w:line="400" w:lineRule="exact"/>
        <w:rPr>
          <w:rFonts w:hint="eastAsia" w:ascii="宋体" w:hAnsi="宋体"/>
          <w:b/>
          <w:szCs w:val="21"/>
        </w:rPr>
      </w:pPr>
      <w:r>
        <w:rPr>
          <w:rFonts w:hint="eastAsia" w:ascii="宋体" w:hAnsi="宋体"/>
          <w:b/>
          <w:szCs w:val="21"/>
        </w:rPr>
        <w:t xml:space="preserve">项目信息</w:t>
      </w:r>
      <w:r/>
    </w:p>
    <w:p>
      <w:pPr>
        <w:numPr>
          <w:ilvl w:val="0"/>
          <w:numId w:val="5"/>
        </w:numPr>
        <w:ind w:firstLine="420"/>
        <w:spacing w:line="400" w:lineRule="exact"/>
        <w:rPr>
          <w:rFonts w:hint="eastAsia" w:ascii="宋体" w:hAnsi="宋体"/>
          <w:szCs w:val="21"/>
          <w:u w:val="single"/>
        </w:rPr>
      </w:pPr>
      <w:r>
        <w:rPr>
          <w:rFonts w:hint="eastAsia" w:ascii="宋体" w:hAnsi="宋体"/>
          <w:szCs w:val="21"/>
        </w:rPr>
        <w:t xml:space="preserve">采购项目名称：</w:t>
      </w:r>
      <w:r>
        <w:rPr>
          <w:rFonts w:hint="eastAsia" w:ascii="宋体" w:hAnsi="宋体"/>
          <w:szCs w:val="21"/>
          <w:u w:val="single"/>
        </w:rPr>
        <w:t xml:space="preserve">                                          </w:t>
      </w:r>
      <w:r/>
    </w:p>
    <w:p>
      <w:pPr>
        <w:spacing w:line="400" w:lineRule="exact"/>
        <w:tabs>
          <w:tab w:val="left" w:pos="999" w:leader="none"/>
        </w:tabs>
        <w:rPr>
          <w:rFonts w:hint="eastAsia" w:ascii="宋体" w:hAnsi="宋体"/>
          <w:szCs w:val="21"/>
        </w:rPr>
      </w:pPr>
      <w:r>
        <w:rPr>
          <w:rFonts w:hint="eastAsia" w:ascii="宋体" w:hAnsi="宋体"/>
          <w:szCs w:val="21"/>
        </w:rPr>
        <w:t xml:space="preserve">         采购项目编号：</w:t>
      </w:r>
      <w:r>
        <w:rPr>
          <w:rFonts w:hint="eastAsia" w:ascii="宋体" w:hAnsi="宋体"/>
          <w:szCs w:val="21"/>
          <w:u w:val="single"/>
        </w:rPr>
        <w:t xml:space="preserve">                                          </w:t>
      </w:r>
      <w:r/>
    </w:p>
    <w:p>
      <w:pPr>
        <w:ind w:firstLine="420"/>
        <w:spacing w:line="400" w:lineRule="exact"/>
        <w:rPr>
          <w:rFonts w:hint="eastAsia" w:ascii="宋体" w:hAnsi="宋体"/>
          <w:szCs w:val="21"/>
        </w:rPr>
      </w:pPr>
      <w:r>
        <w:rPr>
          <w:rFonts w:hint="eastAsia" w:ascii="宋体" w:hAnsi="宋体"/>
          <w:szCs w:val="21"/>
        </w:rPr>
        <w:t xml:space="preserve">（2）采购计划编号：</w:t>
      </w:r>
      <w:r>
        <w:rPr>
          <w:rFonts w:hint="eastAsia" w:ascii="宋体" w:hAnsi="宋体"/>
          <w:szCs w:val="21"/>
          <w:u w:val="single"/>
        </w:rPr>
        <w:t xml:space="preserve">                                          </w:t>
      </w:r>
      <w:r>
        <w:rPr>
          <w:rFonts w:hint="eastAsia" w:ascii="宋体" w:hAnsi="宋体"/>
          <w:szCs w:val="21"/>
        </w:rPr>
        <w:t xml:space="preserve"> </w:t>
      </w:r>
      <w:r/>
    </w:p>
    <w:p>
      <w:pPr>
        <w:ind w:firstLine="420"/>
        <w:spacing w:line="400" w:lineRule="exact"/>
        <w:rPr>
          <w:rFonts w:hint="eastAsia" w:ascii="宋体" w:hAnsi="宋体"/>
          <w:szCs w:val="21"/>
        </w:rPr>
      </w:pPr>
      <w:r>
        <w:rPr>
          <w:rFonts w:hint="eastAsia" w:ascii="宋体" w:hAnsi="宋体"/>
          <w:szCs w:val="21"/>
        </w:rPr>
        <w:t xml:space="preserve">（3）项目内容：</w:t>
      </w:r>
      <w:r/>
    </w:p>
    <w:p>
      <w:pPr>
        <w:ind w:firstLine="420"/>
        <w:spacing w:line="400" w:lineRule="exact"/>
        <w:rPr>
          <w:rFonts w:hint="eastAsia" w:ascii="宋体" w:hAnsi="宋体" w:cs="宋体"/>
        </w:rPr>
      </w:pPr>
      <w:r>
        <w:rPr>
          <w:rFonts w:hint="eastAsia" w:ascii="宋体" w:hAnsi="宋体"/>
          <w:szCs w:val="21"/>
        </w:rPr>
        <w:t xml:space="preserve">    </w:t>
      </w:r>
      <w:r/>
    </w:p>
    <w:tbl>
      <w:tblPr>
        <w:tblStyle w:val="799"/>
        <w:tblW w:w="103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2155"/>
        <w:gridCol w:w="4022"/>
        <w:gridCol w:w="914"/>
        <w:gridCol w:w="1050"/>
        <w:gridCol w:w="1050"/>
      </w:tblGrid>
      <w:tr>
        <w:trPr>
          <w:cantSplit/>
          <w:jc w:val="center"/>
          <w:trHeight w:val="653"/>
        </w:trPr>
        <w:tc>
          <w:tcPr>
            <w:tcW w:w="1129" w:type="dxa"/>
            <w:vAlign w:val="center"/>
            <w:textDirection w:val="lrTb"/>
            <w:noWrap w:val="false"/>
          </w:tcPr>
          <w:p>
            <w:pPr>
              <w:jc w:val="center"/>
              <w:rPr>
                <w:rFonts w:ascii="仿宋_GB2312" w:eastAsia="仿宋_GB2312"/>
                <w:sz w:val="28"/>
                <w:szCs w:val="28"/>
                <w:lang w:val="zh-CN"/>
              </w:rPr>
            </w:pPr>
            <w:r>
              <w:rPr>
                <w:rFonts w:hint="eastAsia" w:ascii="宋体" w:hAnsi="宋体" w:cs="宋体"/>
                <w:sz w:val="28"/>
                <w:szCs w:val="28"/>
                <w:lang w:val="zh-CN"/>
              </w:rPr>
              <w:t xml:space="preserve">序号</w:t>
            </w:r>
            <w:r/>
          </w:p>
        </w:tc>
        <w:tc>
          <w:tcPr>
            <w:tcW w:w="2155" w:type="dxa"/>
            <w:vAlign w:val="center"/>
            <w:textDirection w:val="lrTb"/>
            <w:noWrap w:val="false"/>
          </w:tcPr>
          <w:p>
            <w:pPr>
              <w:jc w:val="center"/>
              <w:rPr>
                <w:rFonts w:ascii="仿宋_GB2312" w:eastAsia="仿宋_GB2312"/>
                <w:sz w:val="28"/>
                <w:szCs w:val="28"/>
                <w:lang w:val="zh-CN"/>
              </w:rPr>
            </w:pPr>
            <w:r>
              <w:rPr>
                <w:rFonts w:hint="eastAsia" w:ascii="宋体" w:hAnsi="宋体" w:cs="宋体"/>
                <w:sz w:val="28"/>
                <w:szCs w:val="28"/>
                <w:lang w:val="zh-CN"/>
              </w:rPr>
              <w:t xml:space="preserve">货物名称</w:t>
            </w:r>
            <w:r/>
          </w:p>
        </w:tc>
        <w:tc>
          <w:tcPr>
            <w:tcW w:w="4022" w:type="dxa"/>
            <w:vAlign w:val="center"/>
            <w:textDirection w:val="lrTb"/>
            <w:noWrap w:val="false"/>
          </w:tcPr>
          <w:p>
            <w:pPr>
              <w:jc w:val="center"/>
              <w:rPr>
                <w:rFonts w:ascii="仿宋_GB2312" w:eastAsia="仿宋_GB2312"/>
                <w:sz w:val="28"/>
                <w:szCs w:val="28"/>
                <w:lang w:val="zh-CN"/>
              </w:rPr>
            </w:pPr>
            <w:r>
              <w:rPr>
                <w:rFonts w:hint="eastAsia" w:ascii="宋体" w:hAnsi="宋体" w:cs="宋体"/>
                <w:sz w:val="28"/>
                <w:szCs w:val="28"/>
                <w:lang w:val="zh-CN"/>
              </w:rPr>
              <w:t xml:space="preserve">规格、型号</w:t>
            </w:r>
            <w:r/>
          </w:p>
        </w:tc>
        <w:tc>
          <w:tcPr>
            <w:tcW w:w="914" w:type="dxa"/>
            <w:vAlign w:val="center"/>
            <w:textDirection w:val="lrTb"/>
            <w:noWrap w:val="false"/>
          </w:tcPr>
          <w:p>
            <w:pPr>
              <w:jc w:val="center"/>
              <w:rPr>
                <w:rFonts w:ascii="仿宋_GB2312" w:eastAsia="仿宋_GB2312"/>
                <w:sz w:val="28"/>
                <w:szCs w:val="28"/>
              </w:rPr>
            </w:pPr>
            <w:r>
              <w:rPr>
                <w:rFonts w:hint="eastAsia" w:ascii="宋体" w:hAnsi="宋体" w:cs="宋体"/>
                <w:sz w:val="28"/>
                <w:szCs w:val="28"/>
              </w:rPr>
              <w:t xml:space="preserve">单位</w:t>
            </w:r>
            <w:r/>
          </w:p>
        </w:tc>
        <w:tc>
          <w:tcPr>
            <w:tcW w:w="1050" w:type="dxa"/>
            <w:vAlign w:val="center"/>
            <w:textDirection w:val="lrTb"/>
            <w:noWrap w:val="false"/>
          </w:tcPr>
          <w:p>
            <w:pPr>
              <w:jc w:val="center"/>
              <w:rPr>
                <w:rFonts w:ascii="仿宋_GB2312" w:eastAsia="仿宋_GB2312"/>
                <w:sz w:val="28"/>
                <w:szCs w:val="28"/>
              </w:rPr>
            </w:pPr>
            <w:r>
              <w:rPr>
                <w:rFonts w:hint="eastAsia" w:ascii="宋体" w:hAnsi="宋体" w:cs="宋体"/>
                <w:sz w:val="28"/>
                <w:szCs w:val="28"/>
              </w:rPr>
              <w:t xml:space="preserve">数量</w:t>
            </w:r>
            <w:r/>
          </w:p>
        </w:tc>
        <w:tc>
          <w:tcPr>
            <w:tcW w:w="1050" w:type="dxa"/>
            <w:vAlign w:val="center"/>
            <w:textDirection w:val="lrTb"/>
            <w:noWrap w:val="false"/>
          </w:tcPr>
          <w:p>
            <w:pPr>
              <w:jc w:val="center"/>
              <w:rPr>
                <w:rFonts w:ascii="仿宋_GB2312" w:eastAsia="仿宋_GB2312"/>
                <w:sz w:val="28"/>
                <w:szCs w:val="28"/>
              </w:rPr>
            </w:pPr>
            <w:r>
              <w:rPr>
                <w:rFonts w:hint="eastAsia" w:ascii="宋体" w:hAnsi="宋体" w:cs="宋体"/>
                <w:sz w:val="28"/>
                <w:szCs w:val="28"/>
              </w:rPr>
              <w:t xml:space="preserve">品牌</w:t>
            </w:r>
            <w:r/>
          </w:p>
        </w:tc>
      </w:tr>
      <w:tr>
        <w:trPr>
          <w:cantSplit/>
          <w:jc w:val="center"/>
          <w:trHeight w:val="980"/>
        </w:trPr>
        <w:tc>
          <w:tcPr>
            <w:tcW w:w="1129" w:type="dxa"/>
            <w:vAlign w:val="center"/>
            <w:textDirection w:val="lrTb"/>
            <w:noWrap w:val="false"/>
          </w:tcPr>
          <w:p>
            <w:pPr>
              <w:jc w:val="center"/>
              <w:rPr>
                <w:rFonts w:ascii="仿宋_GB2312" w:eastAsia="仿宋_GB2312"/>
                <w:sz w:val="28"/>
                <w:szCs w:val="28"/>
              </w:rPr>
            </w:pPr>
            <w:r>
              <w:rPr>
                <w:rFonts w:ascii="仿宋_GB2312" w:eastAsia="仿宋_GB2312"/>
                <w:sz w:val="28"/>
                <w:szCs w:val="28"/>
              </w:rPr>
            </w:r>
            <w:r/>
          </w:p>
        </w:tc>
        <w:tc>
          <w:tcPr>
            <w:tcW w:w="2155" w:type="dxa"/>
            <w:vAlign w:val="center"/>
            <w:textDirection w:val="lrTb"/>
            <w:noWrap w:val="false"/>
          </w:tcPr>
          <w:p>
            <w:pPr>
              <w:jc w:val="center"/>
              <w:rPr>
                <w:rFonts w:ascii="仿宋_GB2312" w:eastAsia="仿宋_GB2312"/>
                <w:sz w:val="28"/>
                <w:szCs w:val="28"/>
                <w:lang w:val="zh-CN"/>
              </w:rPr>
            </w:pPr>
            <w:r>
              <w:rPr>
                <w:rFonts w:ascii="仿宋_GB2312" w:eastAsia="仿宋_GB2312"/>
                <w:sz w:val="28"/>
                <w:szCs w:val="28"/>
                <w:lang w:val="zh-CN"/>
              </w:rPr>
            </w:r>
            <w:r/>
          </w:p>
        </w:tc>
        <w:tc>
          <w:tcPr>
            <w:tcW w:w="4022" w:type="dxa"/>
            <w:vAlign w:val="center"/>
            <w:textDirection w:val="lrTb"/>
            <w:noWrap w:val="false"/>
          </w:tcPr>
          <w:p>
            <w:pPr>
              <w:jc w:val="center"/>
              <w:rPr>
                <w:rFonts w:ascii="仿宋_GB2312" w:eastAsia="仿宋_GB2312"/>
                <w:sz w:val="28"/>
                <w:szCs w:val="28"/>
                <w:lang w:val="zh-CN"/>
              </w:rPr>
            </w:pPr>
            <w:r>
              <w:rPr>
                <w:rFonts w:ascii="仿宋_GB2312" w:eastAsia="仿宋_GB2312"/>
                <w:sz w:val="28"/>
                <w:szCs w:val="28"/>
                <w:lang w:val="zh-CN"/>
              </w:rPr>
            </w:r>
            <w:r/>
          </w:p>
        </w:tc>
        <w:tc>
          <w:tcPr>
            <w:tcW w:w="914" w:type="dxa"/>
            <w:vAlign w:val="center"/>
            <w:textDirection w:val="lrTb"/>
            <w:noWrap w:val="false"/>
          </w:tcPr>
          <w:p>
            <w:pPr>
              <w:jc w:val="center"/>
              <w:widowControl/>
              <w:rPr>
                <w:rFonts w:ascii="仿宋_GB2312" w:eastAsia="仿宋_GB2312"/>
                <w:sz w:val="28"/>
                <w:szCs w:val="28"/>
                <w:lang w:val="zh-CN"/>
              </w:rPr>
            </w:pPr>
            <w:r>
              <w:rPr>
                <w:rFonts w:ascii="仿宋_GB2312" w:eastAsia="仿宋_GB2312"/>
                <w:sz w:val="28"/>
                <w:szCs w:val="28"/>
                <w:lang w:val="zh-CN"/>
              </w:rPr>
            </w:r>
            <w:r/>
          </w:p>
        </w:tc>
        <w:tc>
          <w:tcPr>
            <w:tcW w:w="1050" w:type="dxa"/>
            <w:vAlign w:val="center"/>
            <w:textDirection w:val="lrTb"/>
            <w:noWrap w:val="false"/>
          </w:tcPr>
          <w:p>
            <w:pPr>
              <w:jc w:val="center"/>
              <w:widowControl/>
              <w:rPr>
                <w:rFonts w:ascii="仿宋_GB2312" w:eastAsia="仿宋_GB2312"/>
                <w:sz w:val="28"/>
                <w:szCs w:val="28"/>
                <w:lang w:val="zh-CN"/>
              </w:rPr>
            </w:pPr>
            <w:r>
              <w:rPr>
                <w:rFonts w:ascii="仿宋_GB2312" w:eastAsia="仿宋_GB2312"/>
                <w:sz w:val="28"/>
                <w:szCs w:val="28"/>
                <w:lang w:val="zh-CN"/>
              </w:rPr>
            </w:r>
            <w:r/>
          </w:p>
        </w:tc>
        <w:tc>
          <w:tcPr>
            <w:tcW w:w="1050" w:type="dxa"/>
            <w:vAlign w:val="center"/>
            <w:textDirection w:val="lrTb"/>
            <w:noWrap w:val="false"/>
          </w:tcPr>
          <w:p>
            <w:pPr>
              <w:jc w:val="center"/>
              <w:rPr>
                <w:rFonts w:ascii="仿宋_GB2312" w:eastAsia="仿宋_GB2312"/>
                <w:sz w:val="28"/>
                <w:szCs w:val="28"/>
                <w:lang w:val="zh-CN"/>
              </w:rPr>
            </w:pPr>
            <w:r>
              <w:rPr>
                <w:rFonts w:ascii="仿宋_GB2312" w:eastAsia="仿宋_GB2312"/>
                <w:sz w:val="28"/>
                <w:szCs w:val="28"/>
                <w:lang w:val="zh-CN"/>
              </w:rPr>
            </w:r>
            <w:r/>
          </w:p>
        </w:tc>
      </w:tr>
    </w:tbl>
    <w:p>
      <w:pPr>
        <w:ind w:firstLine="420"/>
        <w:spacing w:line="400" w:lineRule="exact"/>
        <w:rPr>
          <w:rFonts w:hint="eastAsia" w:ascii="宋体" w:hAnsi="宋体" w:cs="宋体"/>
        </w:rPr>
      </w:pPr>
      <w:r>
        <w:rPr>
          <w:rFonts w:hint="eastAsia" w:ascii="宋体" w:hAnsi="宋体" w:cs="宋体"/>
        </w:rPr>
      </w:r>
      <w:r/>
    </w:p>
    <w:p>
      <w:pPr>
        <w:jc w:val="left"/>
        <w:spacing w:line="400" w:lineRule="exact"/>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lang w:val="en"/>
        </w:rPr>
        <w:t xml:space="preserve">4</w:t>
      </w:r>
      <w:r>
        <w:rPr>
          <w:rFonts w:hint="eastAsia" w:ascii="宋体" w:hAnsi="宋体" w:cs="宋体"/>
          <w:szCs w:val="21"/>
        </w:rPr>
        <w:t xml:space="preserve">）政府采购组织形式：</w:t>
      </w:r>
      <w:r>
        <w:rPr>
          <w:rFonts w:ascii="Wingdings" w:hAnsi="Wingdings" w:eastAsia="Wingdings" w:cs="Wingdings"/>
          <w:szCs w:val="21"/>
        </w:rPr>
        <w:t xml:space="preserve">¨</w:t>
      </w:r>
      <w:r>
        <w:rPr>
          <w:rFonts w:hint="eastAsia" w:ascii="宋体" w:hAnsi="宋体" w:cs="宋体"/>
          <w:szCs w:val="21"/>
        </w:rPr>
        <w:t xml:space="preserve">政府集中采购  </w:t>
      </w:r>
      <w:r>
        <w:rPr>
          <w:rFonts w:ascii="Wingdings" w:hAnsi="Wingdings" w:eastAsia="Wingdings" w:cs="Wingdings"/>
          <w:szCs w:val="21"/>
        </w:rPr>
        <w:t xml:space="preserve">¨</w:t>
      </w:r>
      <w:r>
        <w:rPr>
          <w:rFonts w:hint="eastAsia" w:ascii="宋体" w:hAnsi="宋体" w:cs="宋体"/>
          <w:szCs w:val="21"/>
        </w:rPr>
        <w:t xml:space="preserve">部门集中采购  </w:t>
      </w:r>
      <w:r>
        <w:rPr>
          <w:rFonts w:ascii="Wingdings" w:hAnsi="Wingdings" w:eastAsia="Wingdings" w:cs="Wingdings"/>
          <w:szCs w:val="21"/>
        </w:rPr>
        <w:t xml:space="preserve">þ</w:t>
      </w:r>
      <w:r>
        <w:rPr>
          <w:rFonts w:hint="eastAsia" w:ascii="宋体" w:hAnsi="宋体" w:cs="宋体"/>
          <w:szCs w:val="21"/>
        </w:rPr>
        <w:t xml:space="preserve">分散采购</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
        </w:rPr>
        <w:t xml:space="preserve">5</w:t>
      </w:r>
      <w:r>
        <w:rPr>
          <w:rFonts w:hint="eastAsia" w:ascii="宋体" w:hAnsi="宋体" w:cs="宋体"/>
          <w:szCs w:val="21"/>
        </w:rPr>
        <w:t xml:space="preserve">）政府采购方式：</w:t>
      </w:r>
      <w:r>
        <w:rPr>
          <w:rFonts w:ascii="Wingdings" w:hAnsi="Wingdings" w:eastAsia="Wingdings" w:cs="Wingdings"/>
          <w:szCs w:val="21"/>
        </w:rPr>
        <w:t xml:space="preserve">þ</w:t>
      </w:r>
      <w:r>
        <w:rPr>
          <w:rFonts w:hint="eastAsia" w:ascii="宋体" w:hAnsi="宋体" w:cs="宋体"/>
          <w:szCs w:val="21"/>
        </w:rPr>
        <w:t xml:space="preserve">公开招标 </w:t>
      </w:r>
      <w:r>
        <w:rPr>
          <w:rFonts w:ascii="Wingdings" w:hAnsi="Wingdings" w:eastAsia="Wingdings" w:cs="Wingdings"/>
          <w:szCs w:val="21"/>
        </w:rPr>
        <w:t xml:space="preserve">¨</w:t>
      </w:r>
      <w:r>
        <w:rPr>
          <w:rFonts w:hint="eastAsia" w:ascii="宋体" w:hAnsi="宋体" w:cs="宋体"/>
          <w:szCs w:val="21"/>
        </w:rPr>
        <w:t xml:space="preserve">邀请招标 </w:t>
      </w:r>
      <w:r>
        <w:rPr>
          <w:rFonts w:ascii="Wingdings" w:hAnsi="Wingdings" w:eastAsia="Wingdings" w:cs="Wingdings"/>
          <w:szCs w:val="21"/>
        </w:rPr>
        <w:t xml:space="preserve">¨</w:t>
      </w:r>
      <w:r>
        <w:rPr>
          <w:rFonts w:hint="eastAsia" w:ascii="宋体" w:hAnsi="宋体" w:cs="宋体"/>
          <w:szCs w:val="21"/>
        </w:rPr>
        <w:t xml:space="preserve">竞争性谈判 </w:t>
      </w:r>
      <w:r>
        <w:rPr>
          <w:rFonts w:ascii="Wingdings" w:hAnsi="Wingdings" w:eastAsia="Wingdings" w:cs="Wingdings"/>
          <w:szCs w:val="21"/>
        </w:rPr>
        <w:t xml:space="preserve">¨</w:t>
      </w:r>
      <w:r>
        <w:rPr>
          <w:rFonts w:hint="eastAsia" w:ascii="宋体" w:hAnsi="宋体" w:cs="宋体"/>
          <w:szCs w:val="21"/>
        </w:rPr>
        <w:t xml:space="preserve">竞争性磋商</w:t>
      </w:r>
      <w:r/>
    </w:p>
    <w:p>
      <w:pPr>
        <w:ind w:firstLine="420"/>
        <w:jc w:val="left"/>
        <w:spacing w:line="400" w:lineRule="exact"/>
        <w:widowControl/>
        <w:rPr>
          <w:rFonts w:hint="eastAsia" w:ascii="宋体" w:hAnsi="宋体" w:cs="宋体"/>
          <w:szCs w:val="21"/>
          <w:u w:val="single"/>
        </w:rPr>
      </w:pPr>
      <w:r>
        <w:rPr>
          <w:rFonts w:hint="eastAsia" w:ascii="宋体" w:hAnsi="宋体" w:eastAsia="华文楷体" w:cs="宋体"/>
          <w:sz w:val="22"/>
          <w:szCs w:val="21"/>
        </w:rPr>
        <w:t xml:space="preserve">                  </w:t>
      </w:r>
      <w:r>
        <w:rPr>
          <w:rFonts w:ascii="Wingdings" w:hAnsi="Wingdings" w:eastAsia="Wingdings" w:cs="Wingdings"/>
          <w:szCs w:val="21"/>
        </w:rPr>
        <w:t xml:space="preserve">¨</w:t>
      </w:r>
      <w:r>
        <w:rPr>
          <w:rFonts w:hint="eastAsia" w:ascii="宋体" w:hAnsi="宋体" w:cs="宋体"/>
          <w:szCs w:val="21"/>
        </w:rPr>
        <w:t xml:space="preserve">询价 </w:t>
      </w:r>
      <w:r>
        <w:rPr>
          <w:rFonts w:ascii="Wingdings" w:hAnsi="Wingdings" w:eastAsia="Wingdings" w:cs="Wingdings"/>
          <w:szCs w:val="21"/>
        </w:rPr>
        <w:t xml:space="preserve">¨</w:t>
      </w:r>
      <w:r>
        <w:rPr>
          <w:rFonts w:hint="eastAsia" w:ascii="宋体" w:hAnsi="宋体" w:cs="宋体"/>
          <w:szCs w:val="21"/>
        </w:rPr>
        <w:t xml:space="preserve">单一来源 </w:t>
      </w:r>
      <w:r>
        <w:rPr>
          <w:rFonts w:ascii="Wingdings" w:hAnsi="Wingdings" w:eastAsia="Wingdings" w:cs="Wingdings"/>
          <w:szCs w:val="21"/>
        </w:rPr>
        <w:t xml:space="preserve">¨</w:t>
      </w:r>
      <w:r>
        <w:rPr>
          <w:rFonts w:hint="eastAsia" w:ascii="宋体" w:hAnsi="宋体" w:cs="宋体"/>
          <w:szCs w:val="21"/>
        </w:rPr>
        <w:t xml:space="preserve">框架协议 </w:t>
      </w:r>
      <w:r>
        <w:rPr>
          <w:rFonts w:ascii="Wingdings" w:hAnsi="Wingdings" w:eastAsia="Wingdings" w:cs="Wingdings"/>
          <w:szCs w:val="21"/>
        </w:rPr>
        <w:t xml:space="preserve">¨</w:t>
      </w:r>
      <w:r>
        <w:rPr>
          <w:rFonts w:hint="eastAsia" w:ascii="宋体" w:hAnsi="宋体" w:cs="宋体"/>
          <w:szCs w:val="21"/>
        </w:rPr>
        <w:t xml:space="preserve">其他：</w:t>
      </w:r>
      <w:r>
        <w:rPr>
          <w:rFonts w:hint="eastAsia" w:ascii="宋体" w:hAnsi="宋体" w:cs="宋体"/>
          <w:szCs w:val="21"/>
          <w:u w:val="single"/>
        </w:rPr>
        <w:t xml:space="preserve">          </w:t>
      </w:r>
      <w:r/>
    </w:p>
    <w:p>
      <w:pPr>
        <w:ind w:firstLine="440"/>
        <w:jc w:val="left"/>
        <w:spacing w:line="400" w:lineRule="exact"/>
        <w:widowControl/>
        <w:rPr>
          <w:rFonts w:hint="eastAsia" w:ascii="宋体" w:hAnsi="宋体"/>
          <w:szCs w:val="21"/>
        </w:rPr>
      </w:pPr>
      <w:r>
        <w:rPr>
          <w:rFonts w:hint="eastAsia" w:ascii="宋体" w:hAnsi="宋体" w:eastAsia="华文楷体" w:cs="华文楷体"/>
          <w:sz w:val="22"/>
          <w:szCs w:val="21"/>
        </w:rPr>
        <w:t xml:space="preserve">（</w:t>
      </w:r>
      <w:r>
        <w:rPr>
          <w:rFonts w:hint="eastAsia" w:ascii="宋体" w:hAnsi="宋体" w:eastAsia="华文楷体" w:cs="华文楷体"/>
          <w:sz w:val="22"/>
          <w:szCs w:val="21"/>
          <w:lang w:val="en"/>
        </w:rPr>
        <w:t xml:space="preserve">6</w:t>
      </w:r>
      <w:r>
        <w:rPr>
          <w:rFonts w:hint="eastAsia" w:ascii="宋体" w:hAnsi="宋体" w:eastAsia="华文楷体" w:cs="华文楷体"/>
          <w:sz w:val="22"/>
          <w:szCs w:val="21"/>
        </w:rPr>
        <w:t xml:space="preserve">）</w:t>
      </w:r>
      <w:r>
        <w:rPr>
          <w:rFonts w:hint="eastAsia" w:ascii="宋体" w:hAnsi="宋体"/>
          <w:szCs w:val="21"/>
        </w:rPr>
        <w:t xml:space="preserve">中标（成交）采购标的制造商是否为中小企业：</w:t>
      </w: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rPr>
          <w:rFonts w:hint="eastAsia"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rPr>
        <w:t xml:space="preserve">þ</w:t>
      </w:r>
      <w:r>
        <w:rPr>
          <w:rFonts w:hint="eastAsia" w:ascii="宋体" w:hAnsi="宋体"/>
          <w:iCs/>
          <w:szCs w:val="21"/>
        </w:rPr>
        <w:t xml:space="preserve">否</w:t>
      </w:r>
      <w:r/>
    </w:p>
    <w:p>
      <w:pPr>
        <w:spacing w:line="400" w:lineRule="exact"/>
        <w:rPr>
          <w:rFonts w:hint="eastAsia"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þ</w:t>
      </w:r>
      <w:r>
        <w:rPr>
          <w:rFonts w:hint="eastAsia" w:ascii="宋体" w:hAnsi="宋体"/>
          <w:iCs/>
          <w:szCs w:val="21"/>
        </w:rPr>
        <w:t xml:space="preserve">是  </w:t>
      </w:r>
      <w:r>
        <w:rPr>
          <w:rFonts w:ascii="Wingdings" w:hAnsi="Wingdings" w:eastAsia="Wingdings" w:cs="Wingdings"/>
        </w:rPr>
        <w:t xml:space="preserve">¨</w:t>
      </w:r>
      <w:r>
        <w:rPr>
          <w:rFonts w:hint="eastAsia" w:ascii="宋体" w:hAnsi="宋体"/>
          <w:iCs/>
          <w:szCs w:val="21"/>
        </w:rPr>
        <w:t xml:space="preserve">否</w:t>
      </w:r>
      <w:r/>
    </w:p>
    <w:p>
      <w:pPr>
        <w:spacing w:line="400" w:lineRule="exact"/>
        <w:rPr>
          <w:rFonts w:hint="eastAsia"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hint="eastAsia" w:ascii="宋体" w:hAnsi="宋体"/>
          <w:szCs w:val="21"/>
        </w:rPr>
      </w:pPr>
      <w:r>
        <w:rPr>
          <w:rFonts w:hint="eastAsia" w:ascii="宋体" w:hAnsi="宋体"/>
          <w:szCs w:val="21"/>
        </w:rPr>
        <w:t xml:space="preserve">（</w:t>
      </w:r>
      <w:r>
        <w:rPr>
          <w:rFonts w:hint="eastAsia"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bookmarkStart w:id="54" w:name="OLE_LINK2"/>
      <w:r>
        <w:rPr>
          <w:rFonts w:ascii="Wingdings" w:hAnsi="Wingdings" w:eastAsia="Wingdings" w:cs="Wingdings"/>
        </w:rPr>
        <w:t xml:space="preserve">þ</w:t>
      </w:r>
      <w:bookmarkEnd w:id="54"/>
      <w:r>
        <w:rPr>
          <w:rFonts w:hint="eastAsia" w:ascii="宋体" w:hAnsi="宋体"/>
          <w:iCs/>
          <w:szCs w:val="21"/>
        </w:rPr>
        <w:t xml:space="preserve">否</w:t>
      </w:r>
      <w:r/>
    </w:p>
    <w:p>
      <w:pPr>
        <w:spacing w:line="400" w:lineRule="exact"/>
        <w:rPr>
          <w:rFonts w:hint="eastAsia"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hint="eastAsia"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ind w:firstLine="420"/>
        <w:jc w:val="left"/>
        <w:spacing w:line="400" w:lineRule="exact"/>
        <w:widowControl/>
        <w:tabs>
          <w:tab w:val="left" w:pos="1340" w:leader="none"/>
        </w:tabs>
        <w:rPr>
          <w:rFonts w:hint="eastAsia" w:ascii="宋体" w:hAnsi="宋体" w:cs="宋体"/>
          <w:szCs w:val="21"/>
          <w:u w:val="single"/>
        </w:rPr>
      </w:pPr>
      <w:r>
        <w:rPr>
          <w:rFonts w:hint="eastAsia" w:ascii="宋体" w:hAnsi="宋体" w:cs="宋体"/>
          <w:szCs w:val="21"/>
        </w:rPr>
        <w:t xml:space="preserve">     外商投资企业类型：</w:t>
      </w:r>
      <w:r>
        <w:rPr>
          <w:rFonts w:ascii="Wingdings" w:hAnsi="Wingdings" w:eastAsia="Wingdings" w:cs="Wingdings"/>
          <w:iCs/>
          <w:szCs w:val="21"/>
        </w:rPr>
        <w:t xml:space="preserve">¨</w:t>
      </w:r>
      <w:r>
        <w:rPr>
          <w:rFonts w:hint="eastAsia" w:ascii="宋体" w:hAnsi="宋体" w:cs="宋体"/>
          <w:szCs w:val="21"/>
        </w:rPr>
        <w:t xml:space="preserve">全部由外国投资者投资  </w:t>
      </w:r>
      <w:r>
        <w:rPr>
          <w:rFonts w:ascii="Wingdings" w:hAnsi="Wingdings" w:eastAsia="Wingdings" w:cs="Wingdings"/>
          <w:iCs/>
          <w:szCs w:val="21"/>
        </w:rPr>
        <w:t xml:space="preserve">¨</w:t>
      </w:r>
      <w:r>
        <w:rPr>
          <w:rFonts w:hint="eastAsia" w:ascii="宋体" w:hAnsi="宋体" w:cs="宋体"/>
          <w:iCs/>
          <w:szCs w:val="21"/>
        </w:rPr>
        <w:t xml:space="preserve">部分由外国投资者投资</w:t>
      </w:r>
      <w:r/>
    </w:p>
    <w:p>
      <w:pPr>
        <w:ind w:firstLine="420"/>
        <w:spacing w:line="400" w:lineRule="exact"/>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
        </w:rPr>
        <w:t xml:space="preserve">9</w:t>
      </w:r>
      <w:r>
        <w:rPr>
          <w:rFonts w:hint="eastAsia" w:ascii="宋体" w:hAnsi="宋体" w:cs="宋体"/>
          <w:szCs w:val="21"/>
        </w:rPr>
        <w:t xml:space="preserve">）是否涉及进口产品：</w:t>
      </w:r>
      <w:r/>
    </w:p>
    <w:p>
      <w:pPr>
        <w:ind w:firstLine="840"/>
        <w:spacing w:line="400" w:lineRule="exact"/>
        <w:rPr>
          <w:rFonts w:hint="eastAsia" w:ascii="宋体" w:hAnsi="宋体" w:cs="宋体"/>
          <w:szCs w:val="21"/>
          <w:u w:val="single"/>
        </w:rPr>
      </w:pPr>
      <w:r>
        <w:rPr>
          <w:rFonts w:hint="eastAsia" w:ascii="宋体" w:hAnsi="宋体" w:cs="宋体"/>
          <w:szCs w:val="21"/>
        </w:rPr>
        <w:t xml:space="preserve"> </w:t>
      </w:r>
      <w:r>
        <w:rPr>
          <w:rFonts w:ascii="Wingdings" w:hAnsi="Wingdings" w:eastAsia="Wingdings" w:cs="Wingdings"/>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ind w:firstLine="840"/>
        <w:spacing w:line="400" w:lineRule="exact"/>
        <w:rPr>
          <w:rFonts w:hint="eastAsia" w:ascii="宋体" w:hAnsi="宋体"/>
          <w:szCs w:val="21"/>
        </w:rPr>
      </w:pPr>
      <w:r>
        <w:rPr>
          <w:rFonts w:hint="eastAsia" w:ascii="宋体" w:hAnsi="宋体" w:cs="宋体"/>
          <w:szCs w:val="21"/>
        </w:rPr>
        <w:t xml:space="preserve">        产地（生产国家）：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tabs>
          <w:tab w:val="left" w:pos="6008" w:leader="none"/>
        </w:tabs>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þ</w:t>
      </w:r>
      <w:r>
        <w:rPr>
          <w:rFonts w:hint="eastAsia" w:ascii="宋体" w:hAnsi="宋体"/>
          <w:szCs w:val="21"/>
        </w:rPr>
        <w:t xml:space="preserve">否</w:t>
      </w:r>
      <w:r>
        <w:rPr>
          <w:rFonts w:hint="eastAsia" w:ascii="宋体" w:hAnsi="宋体"/>
          <w:szCs w:val="21"/>
        </w:rPr>
        <w:tab/>
      </w:r>
      <w:r/>
    </w:p>
    <w:p>
      <w:pPr>
        <w:spacing w:line="400" w:lineRule="exact"/>
        <w:tabs>
          <w:tab w:val="left" w:pos="740" w:leader="none"/>
        </w:tabs>
        <w:rPr>
          <w:rFonts w:hint="eastAsia" w:ascii="宋体" w:hAnsi="宋体"/>
          <w:szCs w:val="21"/>
        </w:rPr>
      </w:pPr>
      <w:r>
        <w:rPr>
          <w:rFonts w:hint="eastAsia" w:ascii="宋体" w:hAnsi="宋体"/>
          <w:szCs w:val="21"/>
        </w:rPr>
        <w:t xml:space="preserve">    （1</w:t>
      </w:r>
      <w:r>
        <w:rPr>
          <w:rFonts w:hint="eastAsia" w:ascii="宋体" w:hAnsi="宋体"/>
          <w:szCs w:val="21"/>
          <w:lang w:val="en"/>
        </w:rPr>
        <w:t xml:space="preserve">0</w:t>
      </w:r>
      <w:r>
        <w:rPr>
          <w:rFonts w:hint="eastAsia" w:ascii="宋体" w:hAnsi="宋体"/>
          <w:szCs w:val="21"/>
        </w:rPr>
        <w:t xml:space="preserve">）是否涉及节能产品：</w:t>
      </w:r>
      <w:r/>
    </w:p>
    <w:p>
      <w:pPr>
        <w:spacing w:line="400" w:lineRule="exact"/>
        <w:tabs>
          <w:tab w:val="left" w:pos="740" w:leader="none"/>
        </w:tabs>
        <w:rPr>
          <w:rFonts w:hint="eastAsia"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rPr>
        <w:t xml:space="preserve">þ</w:t>
      </w:r>
      <w:r>
        <w:rPr>
          <w:rFonts w:hint="eastAsia" w:ascii="宋体" w:hAnsi="宋体"/>
          <w:szCs w:val="21"/>
        </w:rPr>
        <w:t xml:space="preserve">否</w:t>
      </w:r>
      <w:r/>
    </w:p>
    <w:p>
      <w:pPr>
        <w:spacing w:line="400" w:lineRule="exact"/>
        <w:tabs>
          <w:tab w:val="left" w:pos="740" w:leader="none"/>
        </w:tabs>
        <w:rPr>
          <w:rFonts w:hint="eastAsia" w:ascii="宋体" w:hAnsi="宋体"/>
          <w:szCs w:val="21"/>
        </w:rPr>
      </w:pPr>
      <w:r>
        <w:rPr>
          <w:rFonts w:hint="eastAsia" w:ascii="宋体" w:hAnsi="宋体"/>
          <w:szCs w:val="21"/>
        </w:rPr>
        <w:t xml:space="preserve">          是否涉及环境标志产品：</w:t>
      </w:r>
      <w:r/>
    </w:p>
    <w:p>
      <w:pPr>
        <w:spacing w:line="400" w:lineRule="exact"/>
        <w:tabs>
          <w:tab w:val="left" w:pos="740" w:leader="none"/>
        </w:tabs>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rPr>
        <w:t xml:space="preserve">þ</w:t>
      </w:r>
      <w:r>
        <w:rPr>
          <w:rFonts w:hint="eastAsia" w:ascii="宋体" w:hAnsi="宋体"/>
          <w:szCs w:val="21"/>
        </w:rPr>
        <w:t xml:space="preserve">否</w:t>
      </w:r>
      <w:r/>
    </w:p>
    <w:p>
      <w:pPr>
        <w:jc w:val="left"/>
        <w:spacing w:line="400" w:lineRule="exact"/>
        <w:widowControl/>
        <w:rPr>
          <w:rFonts w:hint="eastAsia" w:ascii="宋体" w:hAnsi="宋体"/>
          <w:szCs w:val="21"/>
        </w:rPr>
      </w:pPr>
      <w:r>
        <w:rPr>
          <w:rFonts w:hint="eastAsia" w:ascii="宋体" w:hAnsi="宋体" w:eastAsia="华文楷体" w:cs="华文楷体"/>
          <w:szCs w:val="21"/>
        </w:rPr>
        <w:t xml:space="preserve">          </w:t>
      </w:r>
      <w:r>
        <w:rPr>
          <w:rFonts w:hint="eastAsia" w:ascii="宋体" w:hAnsi="宋体"/>
          <w:szCs w:val="21"/>
        </w:rPr>
        <w:t xml:space="preserve">是否涉及绿色产品： </w:t>
      </w:r>
      <w:r/>
    </w:p>
    <w:p>
      <w:pPr>
        <w:ind w:firstLine="420"/>
        <w:jc w:val="left"/>
        <w:spacing w:line="400" w:lineRule="exact"/>
        <w:widowControl/>
        <w:rPr>
          <w:rFonts w:hint="eastAsia" w:ascii="宋体" w:hAnsi="宋体" w:cs="华文楷体"/>
          <w:sz w:val="22"/>
          <w:szCs w:val="21"/>
          <w:u w:val="single"/>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是，绿色产品政府采购相关政策确定的底级品目名称：</w:t>
      </w:r>
      <w:r>
        <w:rPr>
          <w:rFonts w:hint="eastAsia" w:ascii="宋体" w:hAnsi="宋体" w:cs="华文楷体"/>
          <w:sz w:val="22"/>
          <w:szCs w:val="21"/>
          <w:u w:val="single"/>
        </w:rPr>
        <w:t xml:space="preserve">         </w:t>
      </w:r>
      <w:r/>
    </w:p>
    <w:p>
      <w:p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ind w:firstLine="420"/>
        <w:jc w:val="left"/>
        <w:spacing w:line="400" w:lineRule="exact"/>
        <w:widowControl/>
        <w:rPr>
          <w:rFonts w:hint="eastAsia" w:ascii="宋体" w:hAnsi="宋体" w:eastAsia="华文楷体" w:cs="华文楷体"/>
          <w:szCs w:val="21"/>
        </w:rPr>
      </w:pPr>
      <w:r>
        <w:rPr>
          <w:rFonts w:hint="eastAsia" w:ascii="宋体" w:hAnsi="宋体"/>
          <w:szCs w:val="21"/>
        </w:rPr>
        <w:t xml:space="preserve">    </w:t>
      </w:r>
      <w:r>
        <w:rPr>
          <w:rFonts w:ascii="Wingdings" w:hAnsi="Wingdings" w:eastAsia="Wingdings" w:cs="Wingdings"/>
          <w:sz w:val="22"/>
          <w:szCs w:val="21"/>
        </w:rPr>
        <w:t xml:space="preserve">þ</w:t>
      </w:r>
      <w:r>
        <w:rPr>
          <w:rFonts w:hint="eastAsia" w:ascii="宋体" w:hAnsi="宋体"/>
          <w:szCs w:val="21"/>
        </w:rPr>
        <w:t xml:space="preserve">否</w:t>
      </w:r>
      <w:r/>
    </w:p>
    <w:p>
      <w:pPr>
        <w:spacing w:line="400" w:lineRule="exact"/>
        <w:rPr>
          <w:rFonts w:hint="eastAsia" w:ascii="宋体" w:hAnsi="宋体"/>
          <w:szCs w:val="21"/>
        </w:rPr>
      </w:pPr>
      <w:r>
        <w:rPr>
          <w:rFonts w:hint="eastAsia" w:ascii="宋体" w:hAnsi="宋体"/>
          <w:szCs w:val="21"/>
        </w:rPr>
        <w:t xml:space="preserve">    （1</w:t>
      </w:r>
      <w:r>
        <w:rPr>
          <w:rFonts w:hint="eastAsia"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hint="eastAsia" w:ascii="宋体" w:hAnsi="宋体"/>
          <w:szCs w:val="21"/>
        </w:rPr>
      </w:pPr>
      <w:r>
        <w:rPr>
          <w:rFonts w:ascii="Wingdings" w:hAnsi="Wingdings" w:eastAsia="Wingdings" w:cs="Wingdings"/>
        </w:rPr>
        <w:t xml:space="preserve">þ</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4"/>
        </w:numPr>
        <w:ind w:firstLine="422"/>
        <w:spacing w:line="400" w:lineRule="exact"/>
        <w:rPr>
          <w:rFonts w:hint="eastAsia" w:ascii="宋体" w:hAnsi="宋体"/>
          <w:b/>
          <w:szCs w:val="21"/>
        </w:rPr>
      </w:pPr>
      <w:r>
        <w:rPr>
          <w:rFonts w:hint="eastAsia" w:ascii="宋体" w:hAnsi="宋体"/>
          <w:b/>
          <w:szCs w:val="21"/>
        </w:rPr>
        <w:t xml:space="preserve">合同金额</w:t>
      </w:r>
      <w:r/>
    </w:p>
    <w:p>
      <w:pPr>
        <w:ind w:firstLine="420"/>
        <w:spacing w:line="400" w:lineRule="exact"/>
        <w:rPr>
          <w:rFonts w:hint="eastAsia"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ind w:firstLine="420"/>
        <w:jc w:val="left"/>
        <w:spacing w:line="400" w:lineRule="exact"/>
        <w:widowControl/>
        <w:rPr>
          <w:rFonts w:hint="eastAsia" w:ascii="宋体" w:hAnsi="宋体"/>
          <w:szCs w:val="21"/>
        </w:rPr>
      </w:pPr>
      <w:r>
        <w:rPr>
          <w:rFonts w:hint="eastAsia" w:ascii="宋体" w:hAnsi="宋体"/>
          <w:szCs w:val="21"/>
        </w:rPr>
        <w:t xml:space="preserve">本合同总价款是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p>
    <w:p>
      <w:pPr>
        <w:ind w:firstLine="420"/>
        <w:jc w:val="left"/>
        <w:spacing w:line="400" w:lineRule="exact"/>
        <w:widowControl/>
        <w:rPr>
          <w:rFonts w:hint="eastAsia" w:ascii="宋体" w:hAnsi="宋体"/>
          <w:szCs w:val="21"/>
        </w:rPr>
      </w:pPr>
      <w:r>
        <w:rPr>
          <w:rFonts w:hint="eastAsia" w:ascii="宋体" w:hAnsi="宋体"/>
          <w:szCs w:val="21"/>
        </w:rPr>
        <w:t xml:space="preserve">本合同总价款还包含乙方应当提供的伴随服务/售后服务费用。</w:t>
      </w:r>
      <w:r/>
    </w:p>
    <w:p>
      <w:pPr>
        <w:ind w:firstLine="420"/>
        <w:jc w:val="left"/>
        <w:spacing w:line="400" w:lineRule="exact"/>
        <w:widowControl/>
        <w:rPr>
          <w:rFonts w:hint="eastAsia" w:ascii="华文楷体" w:hAnsi="华文楷体" w:eastAsia="华文楷体" w:cs="华文楷体"/>
          <w:sz w:val="22"/>
          <w:szCs w:val="21"/>
        </w:rPr>
      </w:pPr>
      <w:r>
        <w:rPr>
          <w:rFonts w:hint="eastAsia" w:ascii="宋体" w:hAnsi="宋体"/>
          <w:szCs w:val="21"/>
        </w:rPr>
        <w:t xml:space="preserve">本合同执行期间合同总价款不变。</w:t>
      </w:r>
      <w:r/>
    </w:p>
    <w:p>
      <w:pPr>
        <w:spacing w:line="400" w:lineRule="exact"/>
        <w:rPr>
          <w:rFonts w:hint="eastAsia" w:ascii="宋体" w:hAnsi="宋体"/>
          <w:szCs w:val="21"/>
        </w:rPr>
      </w:pPr>
      <w:r>
        <w:rPr>
          <w:rFonts w:hint="eastAsia" w:ascii="宋体" w:hAnsi="宋体"/>
          <w:szCs w:val="21"/>
        </w:rPr>
        <w:t xml:space="preserve">    （2）合同定价方式：</w:t>
      </w:r>
      <w:r/>
    </w:p>
    <w:p>
      <w:pPr>
        <w:ind w:firstLine="420"/>
        <w:spacing w:line="400" w:lineRule="exact"/>
        <w:rPr>
          <w:rFonts w:hint="eastAsia" w:ascii="宋体" w:hAnsi="宋体"/>
          <w:szCs w:val="21"/>
        </w:rPr>
      </w:pPr>
      <w:r>
        <w:rPr>
          <w:rFonts w:hint="eastAsia" w:ascii="宋体" w:hAnsi="宋体"/>
          <w:iCs/>
          <w:szCs w:val="21"/>
        </w:rPr>
        <w:t xml:space="preserve">  </w:t>
      </w:r>
      <w:r>
        <w:rPr>
          <w:rFonts w:ascii="Wingdings" w:hAnsi="Wingdings" w:eastAsia="Wingdings" w:cs="Wingdings"/>
        </w:rPr>
        <w:t xml:space="preserve">þ</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ind w:firstLine="420"/>
        <w:spacing w:line="400" w:lineRule="exact"/>
        <w:rPr>
          <w:szCs w:val="21"/>
        </w:rPr>
      </w:pPr>
      <w:r>
        <w:rPr>
          <w:rFonts w:hint="eastAsia" w:ascii="宋体" w:hAnsi="宋体"/>
          <w:szCs w:val="21"/>
        </w:rPr>
        <w:t xml:space="preserve">（3）付款方式：</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w:t>
      </w:r>
      <w:r/>
    </w:p>
    <w:p>
      <w:pPr>
        <w:ind w:firstLine="630"/>
        <w:spacing w:line="400" w:lineRule="exact"/>
      </w:pPr>
      <w:r>
        <w:rPr>
          <w:rFonts w:ascii="Wingdings" w:hAnsi="Wingdings" w:eastAsia="Wingdings" w:cs="Wingdings"/>
        </w:rPr>
        <w:t xml:space="preserve">þ</w:t>
      </w:r>
      <w:r>
        <w:rPr>
          <w:rFonts w:hint="eastAsia" w:ascii="宋体" w:hAnsi="宋体"/>
          <w:szCs w:val="21"/>
        </w:rPr>
        <w:t xml:space="preserve">分期付款：</w:t>
      </w:r>
      <w:r>
        <w:rPr>
          <w:rFonts w:hint="eastAsia" w:ascii="宋体" w:hAnsi="宋体"/>
          <w:iCs/>
          <w:sz w:val="21"/>
          <w:szCs w:val="21"/>
          <w:u w:val="single"/>
        </w:rPr>
        <w:t xml:space="preserve">合同签订完毕并收到乙方开具的发票后10个工作日内支付合同总价款的30%（人民币</w:t>
      </w:r>
      <w:r>
        <w:rPr>
          <w:rFonts w:hint="eastAsia" w:ascii="宋体" w:hAnsi="宋体"/>
          <w:iCs/>
          <w:sz w:val="21"/>
          <w:szCs w:val="21"/>
          <w:u w:val="single"/>
          <w:lang w:val="en-US" w:eastAsia="zh-CN"/>
        </w:rPr>
        <w:t xml:space="preserve">     </w:t>
      </w:r>
      <w:r>
        <w:rPr>
          <w:rFonts w:hint="eastAsia" w:ascii="宋体" w:hAnsi="宋体"/>
          <w:iCs/>
          <w:sz w:val="21"/>
          <w:szCs w:val="21"/>
          <w:u w:val="single"/>
        </w:rPr>
        <w:t xml:space="preserve">元）；货物交付安装、调试完成、验收合格并收到乙方开具的发票后10个工作日内支付余款（人民币</w:t>
      </w:r>
      <w:r>
        <w:rPr>
          <w:rFonts w:hint="eastAsia" w:ascii="宋体" w:hAnsi="宋体"/>
          <w:iCs/>
          <w:sz w:val="21"/>
          <w:szCs w:val="21"/>
          <w:u w:val="single"/>
          <w:lang w:val="en-US" w:eastAsia="zh-CN"/>
        </w:rPr>
        <w:t xml:space="preserve">     </w:t>
      </w:r>
      <w:r>
        <w:rPr>
          <w:rFonts w:hint="eastAsia" w:ascii="宋体" w:hAnsi="宋体"/>
          <w:iCs/>
          <w:sz w:val="21"/>
          <w:szCs w:val="21"/>
          <w:u w:val="single"/>
        </w:rPr>
        <w:t xml:space="preserve">元）。以上付款均通过银行转账，不计利息。如因经费支付审批流程等客观原因导致付款滞后的，甲方出具书面证明材料后可适当放宽付款时限，且不承担逾期付款责任。</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w:t>
      </w:r>
      <w:r/>
    </w:p>
    <w:p>
      <w:pPr>
        <w:ind w:firstLine="630"/>
        <w:spacing w:line="400" w:lineRule="exact"/>
        <w:rPr>
          <w:rFonts w:hint="eastAsia" w:ascii="宋体" w:hAnsi="宋体"/>
          <w:szCs w:val="21"/>
        </w:rPr>
      </w:pPr>
      <w:r>
        <w:rPr>
          <w:rFonts w:hint="eastAsia" w:ascii="宋体" w:hAnsi="宋体"/>
          <w:szCs w:val="21"/>
        </w:rPr>
        <w:t xml:space="preserve">本合同项下的采购款项由甲方按相关财务支付规定办理支付手续。付款前，乙方应当向甲方开具符合甲方要求及法律规定的发票，否则甲方可以延迟付款且不承担任何因此产生的违约责任。</w:t>
      </w:r>
      <w:r/>
    </w:p>
    <w:p>
      <w:pPr>
        <w:numPr>
          <w:ilvl w:val="0"/>
          <w:numId w:val="4"/>
        </w:numPr>
        <w:ind w:firstLine="422"/>
        <w:spacing w:line="400" w:lineRule="exact"/>
        <w:rPr>
          <w:rFonts w:hint="eastAsia" w:ascii="宋体" w:hAnsi="宋体"/>
          <w:b/>
          <w:szCs w:val="21"/>
          <w:u w:val="single"/>
        </w:rPr>
      </w:pPr>
      <w:r>
        <w:rPr>
          <w:rFonts w:hint="eastAsia" w:ascii="宋体" w:hAnsi="宋体"/>
          <w:b/>
          <w:szCs w:val="21"/>
        </w:rPr>
        <w:t xml:space="preserve">合同履行</w:t>
      </w:r>
      <w:r/>
    </w:p>
    <w:p>
      <w:pPr>
        <w:ind w:firstLine="420"/>
        <w:spacing w:line="400" w:lineRule="exact"/>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hint="eastAsia"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南通市胜利路168号4幢指定楼层的指定安装位置                            </w:t>
      </w:r>
      <w:r/>
    </w:p>
    <w:p>
      <w:pPr>
        <w:ind w:firstLine="420"/>
        <w:spacing w:line="400" w:lineRule="exact"/>
        <w:rPr>
          <w:rFonts w:hint="eastAsia"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þ</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ind w:firstLine="440"/>
        <w:jc w:val="left"/>
        <w:spacing w:line="400" w:lineRule="exact"/>
        <w:widowControl/>
        <w:rPr>
          <w:rFonts w:hint="eastAsia" w:ascii="宋体" w:hAnsi="宋体" w:cs="宋体"/>
          <w:szCs w:val="21"/>
        </w:rPr>
      </w:pPr>
      <w:r>
        <w:rPr>
          <w:rFonts w:hint="eastAsia" w:ascii="宋体" w:hAnsi="宋体" w:eastAsia="华文楷体" w:cs="宋体"/>
          <w:bCs/>
          <w:sz w:val="22"/>
          <w:szCs w:val="21"/>
        </w:rPr>
        <w:t xml:space="preserve">  </w:t>
      </w:r>
      <w:r>
        <w:rPr>
          <w:rFonts w:hint="eastAsia" w:ascii="宋体" w:hAnsi="宋体" w:cs="宋体"/>
          <w:szCs w:val="21"/>
        </w:rPr>
        <w:t xml:space="preserve">  收取履约保证金形式：乙方</w:t>
      </w:r>
      <w:bookmarkStart w:id="55" w:name="OLE_LINK40"/>
      <w:r>
        <w:rPr>
          <w:rFonts w:hint="eastAsia" w:ascii="宋体" w:hAnsi="宋体" w:cs="宋体"/>
          <w:bCs/>
          <w:szCs w:val="21"/>
          <w:u w:val="single"/>
        </w:rPr>
        <w:t xml:space="preserve">以支票、汇票、本票或者金融机构、担保机构出具的保函等非现金形式提交</w:t>
      </w:r>
      <w:bookmarkEnd w:id="55"/>
      <w:r>
        <w:rPr>
          <w:rFonts w:hint="eastAsia" w:ascii="宋体" w:hAnsi="宋体" w:cs="宋体"/>
          <w:bCs/>
          <w:szCs w:val="21"/>
          <w:u w:val="single"/>
        </w:rPr>
        <w:t xml:space="preserve">。                  </w:t>
      </w:r>
      <w:r/>
    </w:p>
    <w:p>
      <w:pPr>
        <w:jc w:val="left"/>
        <w:spacing w:line="400" w:lineRule="exact"/>
        <w:widowControl/>
        <w:rPr>
          <w:rFonts w:hint="eastAsia" w:ascii="宋体" w:hAnsi="宋体" w:cs="宋体"/>
          <w:bCs/>
          <w:szCs w:val="21"/>
          <w:u w:val="single"/>
        </w:rPr>
      </w:pPr>
      <w:r>
        <w:rPr>
          <w:rFonts w:hint="eastAsia" w:ascii="宋体" w:hAnsi="宋体" w:cs="宋体"/>
          <w:szCs w:val="21"/>
        </w:rPr>
        <w:t xml:space="preserve">收取履约保证金金额：</w:t>
      </w:r>
      <w:r>
        <w:rPr>
          <w:rFonts w:hint="eastAsia" w:ascii="宋体" w:hAnsi="宋体" w:cs="宋体"/>
          <w:bCs/>
          <w:szCs w:val="21"/>
          <w:u w:val="single"/>
        </w:rPr>
        <w:t xml:space="preserve">           项目成交金额的10%                 </w:t>
      </w:r>
      <w:r/>
    </w:p>
    <w:p>
      <w:pPr>
        <w:jc w:val="left"/>
        <w:spacing w:line="400" w:lineRule="exact"/>
        <w:widowControl/>
        <w:rPr>
          <w:rFonts w:hint="eastAsia" w:ascii="宋体" w:hAnsi="宋体" w:cs="宋体"/>
          <w:bCs/>
          <w:szCs w:val="21"/>
          <w:u w:val="single"/>
        </w:rPr>
      </w:pPr>
      <w:r>
        <w:rPr>
          <w:rFonts w:hint="eastAsia" w:ascii="宋体" w:hAnsi="宋体" w:cs="宋体"/>
          <w:bCs/>
          <w:szCs w:val="21"/>
        </w:rPr>
        <w:t xml:space="preserve">履约担保期限：</w:t>
      </w:r>
      <w:r>
        <w:rPr>
          <w:rFonts w:hint="eastAsia" w:ascii="宋体" w:hAnsi="宋体" w:cs="宋体"/>
          <w:bCs/>
          <w:szCs w:val="21"/>
          <w:u w:val="single"/>
        </w:rPr>
        <w:t xml:space="preserve">         提交履约保证金之日起至货物验收合格之日止。      </w:t>
      </w:r>
      <w:r/>
    </w:p>
    <w:p>
      <w:pPr>
        <w:ind w:firstLine="420"/>
        <w:spacing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                                         </w:t>
      </w:r>
      <w:r/>
    </w:p>
    <w:p>
      <w:pPr>
        <w:ind w:firstLine="420"/>
        <w:spacing w:line="400" w:lineRule="exact"/>
        <w:rPr>
          <w:rFonts w:hint="eastAsia" w:ascii="宋体" w:hAnsi="宋体" w:cs="宋体"/>
          <w:bCs/>
          <w:szCs w:val="21"/>
          <w:u w:val="single"/>
        </w:rPr>
      </w:pPr>
      <w:r>
        <w:rPr>
          <w:rFonts w:hint="eastAsia" w:ascii="宋体" w:hAnsi="宋体" w:cs="宋体"/>
          <w:bCs/>
          <w:szCs w:val="21"/>
        </w:rPr>
        <w:t xml:space="preserve">（5）风险处置措施和替代方案：</w:t>
      </w:r>
      <w:r>
        <w:rPr>
          <w:rFonts w:hint="eastAsia" w:ascii="宋体" w:hAnsi="宋体" w:cs="宋体"/>
          <w:bCs/>
          <w:szCs w:val="21"/>
          <w:u w:val="single"/>
        </w:rPr>
        <w:t xml:space="preserve">如乙方未能履行合同规定的义务，甲方有权从履约保证金中取得补偿。</w:t>
      </w:r>
      <w:r/>
    </w:p>
    <w:p>
      <w:pPr>
        <w:numPr>
          <w:ilvl w:val="0"/>
          <w:numId w:val="4"/>
        </w:numPr>
        <w:ind w:firstLine="422"/>
        <w:spacing w:line="400" w:lineRule="exact"/>
        <w:rPr>
          <w:rFonts w:hint="eastAsia" w:ascii="宋体" w:hAnsi="宋体"/>
          <w:b/>
          <w:szCs w:val="21"/>
        </w:rPr>
      </w:pPr>
      <w:r>
        <w:rPr>
          <w:rFonts w:hint="eastAsia" w:ascii="宋体" w:hAnsi="宋体"/>
          <w:b/>
          <w:szCs w:val="21"/>
        </w:rPr>
        <w:t xml:space="preserve">合同验收</w:t>
      </w:r>
      <w:r/>
    </w:p>
    <w:p>
      <w:pPr>
        <w:numPr>
          <w:ilvl w:val="0"/>
          <w:numId w:val="6"/>
        </w:numPr>
        <w:ind w:firstLine="420"/>
        <w:spacing w:line="400" w:lineRule="exact"/>
        <w:rPr>
          <w:rFonts w:hint="eastAsia" w:ascii="宋体" w:hAnsi="宋体"/>
          <w:bCs/>
          <w:szCs w:val="21"/>
        </w:rPr>
      </w:pPr>
      <w:r>
        <w:rPr>
          <w:rFonts w:hint="eastAsia" w:ascii="宋体" w:hAnsi="宋体"/>
          <w:bCs/>
          <w:szCs w:val="21"/>
        </w:rPr>
        <w:t xml:space="preserve">验收组织方式：</w:t>
      </w:r>
      <w:bookmarkStart w:id="56" w:name="_Hlk171087831"/>
      <w:r>
        <w:rPr>
          <w:rFonts w:ascii="Wingdings" w:hAnsi="Wingdings" w:eastAsia="Wingdings" w:cs="Wingdings"/>
          <w:szCs w:val="21"/>
        </w:rPr>
        <w:t xml:space="preserve">þ</w:t>
      </w:r>
      <w:bookmarkEnd w:id="56"/>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hint="eastAsia"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采购人      </w:t>
      </w:r>
      <w:r/>
    </w:p>
    <w:p>
      <w:pPr>
        <w:spacing w:line="400" w:lineRule="exact"/>
        <w:rPr>
          <w:rFonts w:hint="eastAsia"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                                       </w:t>
      </w:r>
      <w:r/>
    </w:p>
    <w:p>
      <w:pPr>
        <w:ind w:firstLine="840"/>
        <w:spacing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    自供应商提出验收申请之日起10日内组织验收        </w:t>
      </w:r>
      <w:r/>
    </w:p>
    <w:p>
      <w:pPr>
        <w:ind w:firstLine="420"/>
        <w:spacing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þ</w:t>
      </w:r>
      <w:r>
        <w:rPr>
          <w:rFonts w:hint="eastAsia" w:ascii="宋体" w:hAnsi="宋体"/>
          <w:bCs/>
          <w:szCs w:val="21"/>
        </w:rPr>
        <w:t xml:space="preserve">一次性验收         </w:t>
      </w:r>
      <w:r/>
    </w:p>
    <w:p>
      <w:pPr>
        <w:spacing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w:t>
      </w:r>
      <w:r/>
    </w:p>
    <w:p>
      <w:pPr>
        <w:ind w:firstLine="420"/>
        <w:spacing w:line="400" w:lineRule="exact"/>
        <w:rPr>
          <w:rFonts w:hint="eastAsia"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hint="eastAsia"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货物的到货验收包括：型号、规格、数量、外观质量、及货物包装是否完好、开机运行是否正常等。</w:t>
      </w:r>
      <w:r/>
    </w:p>
    <w:p>
      <w:pPr>
        <w:ind w:firstLine="420"/>
        <w:spacing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按行业通行标准、厂方出厂标准和乙方投标文件的承诺（不低于国家相关标准）。乙方交付的货物应当完全符合招投标文件和本合同所规定的货物、数量和规格要求。乙方提供的货物不符合招投标文件和合同规定的，甲方有权拒收货物，由此引起的风险，由乙方承担。</w:t>
      </w:r>
      <w:r/>
    </w:p>
    <w:p>
      <w:pPr>
        <w:ind w:firstLine="420"/>
        <w:jc w:val="left"/>
        <w:spacing w:line="400" w:lineRule="exact"/>
        <w:widowControl/>
        <w:rPr>
          <w:rFonts w:hint="eastAsia" w:ascii="宋体" w:hAnsi="宋体" w:cs="宋体"/>
          <w:szCs w:val="21"/>
        </w:rPr>
      </w:pPr>
      <w:r>
        <w:rPr>
          <w:rFonts w:hint="eastAsia" w:ascii="宋体" w:hAnsi="宋体" w:cs="宋体"/>
          <w:bCs/>
          <w:szCs w:val="21"/>
        </w:rPr>
        <w:t xml:space="preserve">（7）是否以采购活动中供应商提供的样品作为参考：</w:t>
      </w:r>
      <w:r>
        <w:rPr>
          <w:rFonts w:ascii="Wingdings" w:hAnsi="Wingdings" w:eastAsia="Wingdings" w:cs="Wingdings"/>
          <w:szCs w:val="21"/>
        </w:rPr>
        <w:t xml:space="preserve">¨</w:t>
      </w:r>
      <w:r>
        <w:rPr>
          <w:rFonts w:hint="eastAsia" w:ascii="宋体" w:hAnsi="宋体" w:cs="宋体"/>
          <w:bCs/>
          <w:szCs w:val="21"/>
        </w:rPr>
        <w:t xml:space="preserve">是 </w:t>
      </w:r>
      <w:r>
        <w:rPr>
          <w:rFonts w:ascii="Wingdings" w:hAnsi="Wingdings" w:eastAsia="Wingdings" w:cs="Wingdings"/>
          <w:sz w:val="22"/>
          <w:szCs w:val="21"/>
        </w:rPr>
        <w:t xml:space="preserve">þ</w:t>
      </w:r>
      <w:r>
        <w:rPr>
          <w:rFonts w:hint="eastAsia" w:ascii="宋体" w:hAnsi="宋体" w:cs="宋体"/>
          <w:bCs/>
          <w:szCs w:val="21"/>
        </w:rPr>
        <w:t xml:space="preserve">否</w:t>
      </w:r>
      <w:r/>
    </w:p>
    <w:p>
      <w:pPr>
        <w:ind w:firstLine="420"/>
        <w:spacing w:line="400" w:lineRule="exact"/>
        <w:rPr>
          <w:rFonts w:hint="eastAsia" w:ascii="宋体" w:hAnsi="宋体"/>
          <w:bCs/>
          <w:szCs w:val="21"/>
          <w:u w:val="single"/>
        </w:rPr>
      </w:pPr>
      <w:r>
        <w:rPr>
          <w:rFonts w:hint="eastAsia" w:ascii="宋体" w:hAnsi="宋体" w:cs="宋体"/>
          <w:bCs/>
          <w:szCs w:val="21"/>
        </w:rPr>
        <w:t xml:space="preserve">（8）履约验收其他事项：</w:t>
      </w:r>
      <w:r>
        <w:rPr>
          <w:rFonts w:hint="eastAsia" w:ascii="宋体" w:hAnsi="宋体"/>
          <w:bCs/>
          <w:szCs w:val="21"/>
          <w:u w:val="single"/>
        </w:rPr>
        <w:t xml:space="preserve">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left="422"/>
        <w:spacing w:line="400" w:lineRule="exact"/>
        <w:rPr>
          <w:rFonts w:hint="eastAsia" w:ascii="宋体" w:hAnsi="宋体"/>
          <w:b/>
          <w:szCs w:val="21"/>
        </w:rPr>
      </w:pPr>
      <w:r>
        <w:rPr>
          <w:rFonts w:hint="eastAsia" w:ascii="宋体" w:hAnsi="宋体"/>
          <w:b/>
          <w:szCs w:val="21"/>
        </w:rPr>
        <w:t xml:space="preserve">5. 组成合同的文件</w:t>
      </w:r>
      <w:r/>
    </w:p>
    <w:p>
      <w:pPr>
        <w:ind w:firstLine="420"/>
        <w:spacing w:line="400" w:lineRule="exact"/>
        <w:rPr>
          <w:rFonts w:hint="eastAsia"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hint="eastAsia" w:ascii="宋体" w:hAnsi="宋体"/>
          <w:szCs w:val="21"/>
        </w:rPr>
      </w:pPr>
      <w:r>
        <w:rPr>
          <w:rFonts w:hint="eastAsia" w:ascii="宋体" w:hAnsi="宋体"/>
          <w:szCs w:val="21"/>
        </w:rPr>
        <w:t xml:space="preserve">（2）政府采购合同专用条款</w:t>
      </w:r>
      <w:r/>
    </w:p>
    <w:p>
      <w:pPr>
        <w:ind w:firstLine="420"/>
        <w:spacing w:line="400" w:lineRule="exact"/>
        <w:rPr>
          <w:rFonts w:hint="eastAsia" w:ascii="宋体" w:hAnsi="宋体"/>
          <w:szCs w:val="21"/>
        </w:rPr>
      </w:pPr>
      <w:r>
        <w:rPr>
          <w:rFonts w:hint="eastAsia" w:ascii="宋体" w:hAnsi="宋体"/>
          <w:szCs w:val="21"/>
        </w:rPr>
        <w:t xml:space="preserve">（3）政府采购合同通用条款</w:t>
      </w:r>
      <w:r/>
    </w:p>
    <w:p>
      <w:pPr>
        <w:ind w:firstLine="420"/>
        <w:spacing w:line="400" w:lineRule="exact"/>
        <w:rPr>
          <w:rFonts w:hint="eastAsia" w:ascii="宋体" w:hAnsi="宋体"/>
          <w:szCs w:val="21"/>
        </w:rPr>
      </w:pPr>
      <w:r>
        <w:rPr>
          <w:rFonts w:hint="eastAsia" w:ascii="宋体" w:hAnsi="宋体"/>
          <w:szCs w:val="21"/>
        </w:rPr>
        <w:t xml:space="preserve">（4）中标（成交）通知书</w:t>
      </w:r>
      <w:r/>
    </w:p>
    <w:p>
      <w:pPr>
        <w:ind w:firstLine="420"/>
        <w:spacing w:line="400" w:lineRule="exact"/>
        <w:rPr>
          <w:rFonts w:hint="eastAsia" w:ascii="宋体" w:hAnsi="宋体"/>
          <w:szCs w:val="21"/>
        </w:rPr>
      </w:pPr>
      <w:r>
        <w:rPr>
          <w:rFonts w:hint="eastAsia" w:ascii="宋体" w:hAnsi="宋体"/>
          <w:szCs w:val="21"/>
        </w:rPr>
        <w:t xml:space="preserve">（5）投标（响应）文件</w:t>
      </w:r>
      <w:r/>
    </w:p>
    <w:p>
      <w:pPr>
        <w:ind w:firstLine="420"/>
        <w:spacing w:line="400" w:lineRule="exact"/>
        <w:rPr>
          <w:rFonts w:hint="eastAsia" w:ascii="宋体" w:hAnsi="宋体"/>
          <w:szCs w:val="21"/>
        </w:rPr>
      </w:pPr>
      <w:r>
        <w:rPr>
          <w:rFonts w:hint="eastAsia" w:ascii="宋体" w:hAnsi="宋体"/>
          <w:szCs w:val="21"/>
        </w:rPr>
        <w:t xml:space="preserve">（6）采购文件</w:t>
      </w:r>
      <w:r/>
    </w:p>
    <w:p>
      <w:pPr>
        <w:ind w:firstLine="420"/>
        <w:spacing w:line="400" w:lineRule="exact"/>
        <w:rPr>
          <w:rFonts w:hint="eastAsia" w:ascii="宋体" w:hAnsi="宋体"/>
          <w:szCs w:val="21"/>
        </w:rPr>
      </w:pPr>
      <w:r>
        <w:rPr>
          <w:rFonts w:hint="eastAsia" w:ascii="宋体" w:hAnsi="宋体"/>
          <w:szCs w:val="21"/>
        </w:rPr>
        <w:t xml:space="preserve">（7）有关技术文件，图纸</w:t>
      </w:r>
      <w:r/>
    </w:p>
    <w:p>
      <w:pPr>
        <w:numPr>
          <w:ilvl w:val="0"/>
          <w:numId w:val="7"/>
        </w:numPr>
        <w:jc w:val="left"/>
        <w:spacing w:line="400" w:lineRule="exact"/>
        <w:widowControl/>
        <w:rPr>
          <w:rFonts w:hint="eastAsia" w:ascii="宋体" w:hAnsi="宋体" w:cs="宋体"/>
          <w:szCs w:val="21"/>
        </w:rPr>
      </w:pPr>
      <w:r>
        <w:rPr>
          <w:rFonts w:hint="eastAsia" w:ascii="宋体" w:hAnsi="宋体" w:cs="宋体"/>
          <w:szCs w:val="21"/>
        </w:rPr>
        <w:t xml:space="preserve">国家法律、行政法规和规章制度规定或合同约定的作为合同组成部分的其他文件</w:t>
      </w:r>
      <w:r/>
    </w:p>
    <w:p>
      <w:pPr>
        <w:ind w:left="422"/>
        <w:spacing w:line="400" w:lineRule="exact"/>
        <w:rPr>
          <w:rFonts w:hint="eastAsia" w:ascii="宋体" w:hAnsi="宋体"/>
          <w:b/>
          <w:szCs w:val="21"/>
        </w:rPr>
      </w:pPr>
      <w:r>
        <w:rPr>
          <w:rFonts w:hint="eastAsia" w:ascii="宋体" w:hAnsi="宋体"/>
          <w:b/>
          <w:szCs w:val="21"/>
        </w:rPr>
        <w:t xml:space="preserve">6. 合同生效</w:t>
      </w:r>
      <w:r/>
    </w:p>
    <w:p>
      <w:pPr>
        <w:ind w:firstLine="420"/>
        <w:spacing w:line="400" w:lineRule="exact"/>
        <w:rPr>
          <w:rFonts w:hint="eastAsia"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ind w:left="422"/>
        <w:spacing w:line="400" w:lineRule="exact"/>
        <w:rPr>
          <w:rFonts w:hint="eastAsia" w:ascii="宋体" w:hAnsi="宋体"/>
          <w:b/>
          <w:szCs w:val="21"/>
        </w:rPr>
      </w:pPr>
      <w:r>
        <w:rPr>
          <w:rFonts w:hint="eastAsia" w:ascii="宋体" w:hAnsi="宋体"/>
          <w:b/>
          <w:szCs w:val="21"/>
        </w:rPr>
        <w:t xml:space="preserve">7. 合同份数</w:t>
      </w:r>
      <w:r/>
    </w:p>
    <w:p>
      <w:pPr>
        <w:ind w:firstLine="420"/>
        <w:spacing w:line="400" w:lineRule="exact"/>
        <w:rPr>
          <w:rFonts w:hint="eastAsia" w:ascii="宋体" w:hAnsi="宋体"/>
          <w:szCs w:val="21"/>
        </w:rPr>
      </w:pPr>
      <w:r>
        <w:rPr>
          <w:rFonts w:hint="eastAsia" w:ascii="宋体" w:hAnsi="宋体"/>
          <w:szCs w:val="21"/>
        </w:rPr>
        <w:t xml:space="preserve">本合同一式肆份，甲方执</w:t>
      </w:r>
      <w:r>
        <w:rPr>
          <w:rFonts w:hint="eastAsia" w:ascii="宋体" w:hAnsi="宋体"/>
          <w:szCs w:val="21"/>
          <w:u w:val="single"/>
        </w:rPr>
        <w:t xml:space="preserve"> 叁 </w:t>
      </w:r>
      <w:r>
        <w:rPr>
          <w:rFonts w:hint="eastAsia" w:ascii="宋体" w:hAnsi="宋体"/>
          <w:szCs w:val="21"/>
        </w:rPr>
        <w:t xml:space="preserve">份，乙方执</w:t>
      </w:r>
      <w:r>
        <w:rPr>
          <w:rFonts w:hint="eastAsia" w:ascii="宋体" w:hAnsi="宋体"/>
          <w:szCs w:val="21"/>
          <w:u w:val="single"/>
        </w:rPr>
        <w:t xml:space="preserve">壹</w:t>
      </w:r>
      <w:r>
        <w:rPr>
          <w:rFonts w:hint="eastAsia" w:ascii="宋体" w:hAnsi="宋体"/>
          <w:szCs w:val="21"/>
        </w:rPr>
        <w:t xml:space="preserve">份，均具有同等法律效力。</w:t>
      </w:r>
      <w:r/>
    </w:p>
    <w:p>
      <w:pPr>
        <w:ind w:firstLine="420"/>
        <w:spacing w:line="400" w:lineRule="exact"/>
        <w:rPr>
          <w:rFonts w:hint="eastAsia"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hint="eastAsia"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spacing w:line="278" w:lineRule="auto"/>
      </w:pPr>
      <w:r>
        <w:br w:type="page" w:clear="all"/>
      </w:r>
      <w:r/>
    </w:p>
    <w:p>
      <w:pPr>
        <w:ind w:firstLine="420"/>
        <w:spacing w:line="278" w:lineRule="auto"/>
        <w:rPr>
          <w:szCs w:val="21"/>
        </w:rPr>
      </w:pPr>
      <w:r>
        <w:rPr>
          <w:szCs w:val="21"/>
        </w:rPr>
      </w:r>
      <w:r/>
    </w:p>
    <w:tbl>
      <w:tblPr>
        <w:tblStyle w:val="799"/>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210"/>
        <w:gridCol w:w="3765"/>
        <w:gridCol w:w="1266"/>
        <w:gridCol w:w="3469"/>
      </w:tblGrid>
      <w:tr>
        <w:trPr>
          <w:trHeight w:val="490"/>
        </w:trPr>
        <w:tc>
          <w:tcPr>
            <w:gridSpan w:val="2"/>
            <w:tcW w:w="4629" w:type="dxa"/>
            <w:vAlign w:val="center"/>
            <w:textDirection w:val="lrTb"/>
            <w:noWrap w:val="false"/>
          </w:tcPr>
          <w:p>
            <w:pPr>
              <w:jc w:val="center"/>
              <w:spacing w:line="300" w:lineRule="exact"/>
            </w:pPr>
            <w:r>
              <w:rPr>
                <w:rFonts w:hint="eastAsia"/>
                <w:szCs w:val="21"/>
              </w:rPr>
              <w:t xml:space="preserve">甲方</w:t>
            </w:r>
            <w:r/>
          </w:p>
        </w:tc>
        <w:tc>
          <w:tcPr>
            <w:gridSpan w:val="2"/>
            <w:tcW w:w="4406" w:type="dxa"/>
            <w:vAlign w:val="center"/>
            <w:textDirection w:val="lrTb"/>
            <w:noWrap w:val="false"/>
          </w:tcPr>
          <w:p>
            <w:pPr>
              <w:jc w:val="center"/>
              <w:spacing w:line="300" w:lineRule="exact"/>
            </w:pPr>
            <w:r>
              <w:rPr>
                <w:rFonts w:hint="eastAsia"/>
                <w:szCs w:val="21"/>
              </w:rPr>
              <w:t xml:space="preserve">乙方</w:t>
            </w:r>
            <w:r/>
          </w:p>
        </w:tc>
      </w:tr>
      <w:tr>
        <w:trPr>
          <w:trHeight w:val="917"/>
        </w:trPr>
        <w:tc>
          <w:tcPr>
            <w:tcW w:w="1126" w:type="dxa"/>
            <w:vAlign w:val="center"/>
            <w:textDirection w:val="lrTb"/>
            <w:noWrap w:val="false"/>
          </w:tcPr>
          <w:p>
            <w:pPr>
              <w:jc w:val="center"/>
              <w:spacing w:line="300" w:lineRule="exact"/>
              <w:rPr>
                <w:szCs w:val="21"/>
              </w:rPr>
            </w:pPr>
            <w:r>
              <w:rPr>
                <w:rFonts w:hint="eastAsia"/>
                <w:szCs w:val="21"/>
              </w:rPr>
              <w:t xml:space="preserve">单位名称（公章或合同章）</w:t>
            </w:r>
            <w:r/>
          </w:p>
        </w:tc>
        <w:tc>
          <w:tcPr>
            <w:tcW w:w="1436" w:type="dxa"/>
            <w:vAlign w:val="center"/>
            <w:textDirection w:val="lrTb"/>
            <w:noWrap w:val="false"/>
          </w:tcPr>
          <w:p>
            <w:pPr>
              <w:jc w:val="center"/>
              <w:spacing w:line="300" w:lineRule="exact"/>
              <w:rPr>
                <w:szCs w:val="21"/>
              </w:rPr>
            </w:pPr>
            <w:r>
              <w:rPr>
                <w:rFonts w:hint="eastAsia"/>
                <w:szCs w:val="21"/>
              </w:rPr>
              <w:t xml:space="preserve">南通市食品药品监督检验中心</w:t>
            </w:r>
            <w:r/>
          </w:p>
        </w:tc>
        <w:tc>
          <w:tcPr>
            <w:tcW w:w="1178" w:type="dxa"/>
            <w:vAlign w:val="center"/>
            <w:textDirection w:val="lrTb"/>
            <w:noWrap w:val="false"/>
          </w:tcPr>
          <w:p>
            <w:pPr>
              <w:jc w:val="center"/>
              <w:spacing w:line="300" w:lineRule="exact"/>
              <w:rPr>
                <w:szCs w:val="21"/>
              </w:rPr>
            </w:pPr>
            <w:r>
              <w:rPr>
                <w:rFonts w:hint="eastAsia"/>
                <w:szCs w:val="21"/>
              </w:rPr>
              <w:t xml:space="preserve">单位名称（公章或合同章）</w:t>
            </w:r>
            <w:r/>
          </w:p>
        </w:tc>
        <w:tc>
          <w:tcPr>
            <w:tcW w:w="1260" w:type="dxa"/>
            <w:vAlign w:val="center"/>
            <w:textDirection w:val="lrTb"/>
            <w:noWrap w:val="false"/>
          </w:tcPr>
          <w:p>
            <w:pPr>
              <w:jc w:val="center"/>
              <w:spacing w:line="300" w:lineRule="exact"/>
              <w:rPr>
                <w:spacing w:val="20"/>
                <w:szCs w:val="21"/>
              </w:rPr>
            </w:pPr>
            <w:r>
              <w:rPr>
                <w:spacing w:val="20"/>
                <w:szCs w:val="21"/>
              </w:rPr>
            </w:r>
            <w:r/>
          </w:p>
        </w:tc>
      </w:tr>
      <w:tr>
        <w:trPr>
          <w:trHeight w:val="1171"/>
        </w:trPr>
        <w:tc>
          <w:tcPr>
            <w:tcW w:w="1126" w:type="dxa"/>
            <w:vAlign w:val="center"/>
            <w:vMerge w:val="restart"/>
            <w:textDirection w:val="lrTb"/>
            <w:noWrap w:val="false"/>
          </w:tcPr>
          <w:p>
            <w:pPr>
              <w:jc w:val="center"/>
              <w:spacing w:line="300" w:lineRule="exact"/>
              <w:rPr>
                <w:szCs w:val="21"/>
              </w:rPr>
            </w:pPr>
            <w:r>
              <w:rPr>
                <w:rFonts w:hint="eastAsia"/>
                <w:szCs w:val="21"/>
              </w:rPr>
              <w:t xml:space="preserve">法定代表人</w:t>
            </w:r>
            <w:r/>
          </w:p>
          <w:p>
            <w:pPr>
              <w:ind w:firstLine="101"/>
              <w:jc w:val="center"/>
              <w:spacing w:line="300" w:lineRule="exact"/>
              <w:rPr>
                <w:szCs w:val="21"/>
              </w:rPr>
            </w:pPr>
            <w:r>
              <w:rPr>
                <w:rFonts w:hint="eastAsia"/>
                <w:szCs w:val="21"/>
              </w:rPr>
              <w:t xml:space="preserve">或其委托代理人（签章）</w:t>
            </w:r>
            <w:r/>
          </w:p>
        </w:tc>
        <w:tc>
          <w:tcPr>
            <w:tcW w:w="1436" w:type="dxa"/>
            <w:vAlign w:val="center"/>
            <w:vMerge w:val="restart"/>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法定代表人</w:t>
            </w:r>
            <w:r/>
          </w:p>
          <w:p>
            <w:pPr>
              <w:jc w:val="center"/>
              <w:spacing w:line="300" w:lineRule="exact"/>
              <w:rPr>
                <w:szCs w:val="21"/>
              </w:rPr>
            </w:pPr>
            <w:r>
              <w:rPr>
                <w:rFonts w:hint="eastAsia"/>
                <w:szCs w:val="21"/>
              </w:rPr>
              <w:t xml:space="preserve">或其委托代理人（签章）</w:t>
            </w:r>
            <w:r/>
          </w:p>
        </w:tc>
        <w:tc>
          <w:tcPr>
            <w:tcW w:w="1260" w:type="dxa"/>
            <w:vAlign w:val="center"/>
            <w:textDirection w:val="lrTb"/>
            <w:noWrap w:val="false"/>
          </w:tcPr>
          <w:p>
            <w:pPr>
              <w:jc w:val="center"/>
              <w:spacing w:line="300" w:lineRule="exact"/>
              <w:rPr>
                <w:szCs w:val="21"/>
              </w:rPr>
            </w:pPr>
            <w:r>
              <w:rPr>
                <w:szCs w:val="21"/>
              </w:rPr>
            </w:r>
            <w:r/>
          </w:p>
        </w:tc>
      </w:tr>
      <w:tr>
        <w:trPr>
          <w:trHeight w:val="483"/>
        </w:trPr>
        <w:tc>
          <w:tcPr>
            <w:tcW w:w="1126" w:type="dxa"/>
            <w:vAlign w:val="center"/>
            <w:vMerge w:val="continue"/>
            <w:textDirection w:val="lrTb"/>
            <w:noWrap w:val="false"/>
          </w:tcPr>
          <w:p>
            <w:pPr>
              <w:jc w:val="center"/>
              <w:spacing w:line="300" w:lineRule="exact"/>
              <w:rPr>
                <w:szCs w:val="21"/>
              </w:rPr>
            </w:pPr>
            <w:r>
              <w:rPr>
                <w:szCs w:val="21"/>
              </w:rPr>
            </w:r>
            <w:r/>
          </w:p>
        </w:tc>
        <w:tc>
          <w:tcPr>
            <w:tcW w:w="1436" w:type="dxa"/>
            <w:vAlign w:val="center"/>
            <w:vMerge w:val="continue"/>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拥有者性别</w:t>
            </w:r>
            <w:r/>
          </w:p>
        </w:tc>
        <w:tc>
          <w:tcPr>
            <w:tcW w:w="1260"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rFonts w:hint="eastAsia"/>
                <w:szCs w:val="21"/>
              </w:rPr>
              <w:t xml:space="preserve">住  所</w:t>
            </w:r>
            <w:r/>
          </w:p>
        </w:tc>
        <w:tc>
          <w:tcPr>
            <w:tcW w:w="1436" w:type="dxa"/>
            <w:vAlign w:val="center"/>
            <w:textDirection w:val="lrTb"/>
            <w:noWrap w:val="false"/>
          </w:tcPr>
          <w:p>
            <w:pPr>
              <w:jc w:val="center"/>
              <w:spacing w:line="300" w:lineRule="exact"/>
              <w:rPr>
                <w:szCs w:val="21"/>
              </w:rPr>
            </w:pPr>
            <w:r>
              <w:rPr>
                <w:rFonts w:hint="eastAsia"/>
                <w:szCs w:val="21"/>
              </w:rPr>
              <w:t xml:space="preserve">南通市胜利路168号4幢</w:t>
            </w:r>
            <w:r/>
          </w:p>
        </w:tc>
        <w:tc>
          <w:tcPr>
            <w:tcW w:w="1178" w:type="dxa"/>
            <w:vAlign w:val="center"/>
            <w:textDirection w:val="lrTb"/>
            <w:noWrap w:val="false"/>
          </w:tcPr>
          <w:p>
            <w:pPr>
              <w:jc w:val="center"/>
              <w:spacing w:line="300" w:lineRule="exact"/>
              <w:rPr>
                <w:szCs w:val="21"/>
              </w:rPr>
            </w:pPr>
            <w:r>
              <w:rPr>
                <w:rFonts w:hint="eastAsia"/>
                <w:szCs w:val="21"/>
              </w:rPr>
              <w:t xml:space="preserve">住  所</w:t>
            </w:r>
            <w:r/>
          </w:p>
        </w:tc>
        <w:tc>
          <w:tcPr>
            <w:tcW w:w="1260"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rFonts w:hint="eastAsia"/>
                <w:szCs w:val="21"/>
              </w:rPr>
              <w:t xml:space="preserve">联 系 人</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联 系 人</w:t>
            </w:r>
            <w:r/>
          </w:p>
        </w:tc>
        <w:tc>
          <w:tcPr>
            <w:tcW w:w="1260"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rFonts w:hint="eastAsia"/>
                <w:szCs w:val="21"/>
              </w:rPr>
              <w:t xml:space="preserve">联系电话</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联系电话</w:t>
            </w:r>
            <w:r/>
          </w:p>
        </w:tc>
        <w:tc>
          <w:tcPr>
            <w:tcW w:w="1260"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rFonts w:hint="eastAsia"/>
                <w:szCs w:val="21"/>
              </w:rPr>
              <w:t xml:space="preserve">通信地址</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通信地址</w:t>
            </w:r>
            <w:r/>
          </w:p>
        </w:tc>
        <w:tc>
          <w:tcPr>
            <w:tcW w:w="1260"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rFonts w:hint="eastAsia"/>
                <w:szCs w:val="21"/>
              </w:rPr>
              <w:t xml:space="preserve">邮政编码</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邮政编码</w:t>
            </w:r>
            <w:r/>
          </w:p>
        </w:tc>
        <w:tc>
          <w:tcPr>
            <w:tcW w:w="1260"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rFonts w:hint="eastAsia"/>
                <w:szCs w:val="21"/>
              </w:rPr>
              <w:t xml:space="preserve">电子邮箱</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电子邮箱</w:t>
            </w:r>
            <w:r/>
          </w:p>
        </w:tc>
        <w:tc>
          <w:tcPr>
            <w:tcW w:w="1260"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1260"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开户名称</w:t>
            </w:r>
            <w:r/>
          </w:p>
        </w:tc>
        <w:tc>
          <w:tcPr>
            <w:tcW w:w="1260"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开户银行</w:t>
            </w:r>
            <w:r/>
          </w:p>
        </w:tc>
        <w:tc>
          <w:tcPr>
            <w:tcW w:w="1260"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银行账号</w:t>
            </w:r>
            <w:r/>
          </w:p>
        </w:tc>
        <w:tc>
          <w:tcPr>
            <w:tcW w:w="1260" w:type="dxa"/>
            <w:vAlign w:val="center"/>
            <w:textDirection w:val="lrTb"/>
            <w:noWrap w:val="false"/>
          </w:tcPr>
          <w:p>
            <w:pPr>
              <w:jc w:val="center"/>
              <w:spacing w:line="300" w:lineRule="exact"/>
              <w:rPr>
                <w:spacing w:val="20"/>
                <w:szCs w:val="21"/>
              </w:rPr>
            </w:pPr>
            <w:r>
              <w:rPr>
                <w:spacing w:val="20"/>
                <w:szCs w:val="21"/>
              </w:rPr>
            </w:r>
            <w:r/>
          </w:p>
        </w:tc>
      </w:tr>
    </w:tbl>
    <w:p>
      <w:pPr>
        <w:jc w:val="center"/>
        <w:keepLines/>
        <w:keepNext/>
        <w:spacing w:line="360" w:lineRule="auto"/>
        <w:rPr>
          <w:rFonts w:hint="eastAsia" w:ascii="黑体" w:hAnsi="黑体" w:eastAsia="黑体"/>
          <w:b/>
          <w:bCs/>
          <w:sz w:val="28"/>
          <w:szCs w:val="28"/>
        </w:rPr>
        <w:outlineLvl w:val="1"/>
      </w:pPr>
      <w:r>
        <w:rPr>
          <w:rFonts w:hint="eastAsia" w:ascii="宋体" w:hAnsi="宋体"/>
          <w:b/>
          <w:bCs/>
          <w:szCs w:val="21"/>
          <w:u w:val="single"/>
        </w:rPr>
        <w:br w:type="page" w:clear="all"/>
      </w:r>
      <w:bookmarkStart w:id="57" w:name="_Toc27624"/>
      <w:r>
        <w:rPr>
          <w:rFonts w:hint="eastAsia" w:ascii="黑体" w:hAnsi="黑体" w:eastAsia="黑体"/>
          <w:sz w:val="28"/>
          <w:szCs w:val="28"/>
        </w:rPr>
        <w:t xml:space="preserve">第二节 政府采购合同通用条款</w:t>
      </w:r>
      <w:bookmarkEnd w:id="57"/>
      <w:r/>
      <w:r/>
    </w:p>
    <w:p>
      <w:pPr>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hint="eastAsia" w:ascii="宋体" w:hAnsi="宋体"/>
          <w:szCs w:val="21"/>
        </w:rPr>
      </w:pPr>
      <w:r>
        <w:rPr>
          <w:rFonts w:hint="eastAsia" w:ascii="宋体" w:hAnsi="宋体"/>
          <w:szCs w:val="21"/>
        </w:rPr>
        <w:t xml:space="preserve">1.1合同当事人</w:t>
      </w:r>
      <w:r/>
    </w:p>
    <w:p>
      <w:pPr>
        <w:ind w:firstLine="420"/>
        <w:jc w:val="left"/>
        <w:spacing w:line="400" w:lineRule="exact"/>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p>
    <w:p>
      <w:pPr>
        <w:ind w:firstLine="420"/>
        <w:jc w:val="left"/>
        <w:spacing w:line="400" w:lineRule="exact"/>
        <w:rPr>
          <w:rFonts w:hint="eastAsia" w:ascii="宋体" w:hAnsi="宋体"/>
          <w:szCs w:val="21"/>
        </w:rPr>
      </w:pPr>
      <w:r>
        <w:rPr>
          <w:rFonts w:hint="eastAsia" w:ascii="宋体" w:hAnsi="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（3）“货物”系指乙方根据本合同规定须向甲方提供的各种形态和种类的物品，包括原材料、设备、产品（包括软件）及相关的其备品备件、工具、手册及</w:t>
      </w:r>
      <w:r>
        <w:rPr>
          <w:rFonts w:hint="eastAsia" w:ascii="宋体" w:hAnsi="宋体"/>
          <w:szCs w:val="21"/>
          <w:lang w:val="en"/>
        </w:rPr>
        <w:t xml:space="preserve">其他</w:t>
      </w:r>
      <w:r>
        <w:rPr>
          <w:rFonts w:hint="eastAsia" w:ascii="宋体" w:hAnsi="宋体"/>
          <w:szCs w:val="21"/>
        </w:rPr>
        <w:t xml:space="preserve">技术资料和材料等。</w:t>
      </w:r>
      <w:r/>
    </w:p>
    <w:p>
      <w:pPr>
        <w:ind w:firstLine="420"/>
        <w:jc w:val="left"/>
        <w:spacing w:line="400" w:lineRule="exact"/>
        <w:rPr>
          <w:rFonts w:hint="eastAsia" w:ascii="宋体" w:hAnsi="宋体"/>
          <w:szCs w:val="21"/>
        </w:rPr>
      </w:pPr>
      <w:r>
        <w:rPr>
          <w:rFonts w:hint="eastAsia" w:ascii="宋体" w:hAnsi="宋体"/>
          <w:szCs w:val="21"/>
        </w:rPr>
        <w:t xml:space="preserve">（4）“相关服务”系指根据合同规定，乙方应提供的与货物有关的技术、管理和</w:t>
      </w:r>
      <w:r>
        <w:rPr>
          <w:rFonts w:hint="eastAsia" w:ascii="宋体" w:hAnsi="宋体"/>
          <w:szCs w:val="21"/>
          <w:lang w:val="en"/>
        </w:rPr>
        <w:t xml:space="preserve">其他</w:t>
      </w:r>
      <w:r>
        <w:rPr>
          <w:rFonts w:hint="eastAsia" w:ascii="宋体" w:hAnsi="宋体"/>
          <w:szCs w:val="21"/>
        </w:rPr>
        <w:t xml:space="preserve">服务，包括但不限于：管理和质量保证、运输、保险、检验、现场准备、安装、集成、调试、培训、维修、废弃处置、技术支持等以及合同中规定乙方应承担的</w:t>
      </w:r>
      <w:r>
        <w:rPr>
          <w:rFonts w:hint="eastAsia" w:ascii="宋体" w:hAnsi="宋体"/>
          <w:szCs w:val="21"/>
          <w:lang w:val="en"/>
        </w:rPr>
        <w:t xml:space="preserve">其他</w:t>
      </w:r>
      <w:r>
        <w:rPr>
          <w:rFonts w:hint="eastAsia" w:ascii="宋体" w:hAnsi="宋体"/>
          <w:szCs w:val="21"/>
        </w:rPr>
        <w:t xml:space="preserve">义务。</w:t>
      </w:r>
      <w:r/>
    </w:p>
    <w:p>
      <w:pPr>
        <w:ind w:firstLine="420"/>
        <w:jc w:val="left"/>
        <w:spacing w:line="400" w:lineRule="exact"/>
        <w:rPr>
          <w:rFonts w:hint="eastAsia" w:ascii="宋体" w:hAnsi="宋体"/>
          <w:szCs w:val="21"/>
        </w:rPr>
      </w:pPr>
      <w:r>
        <w:rPr>
          <w:rFonts w:hint="eastAsia" w:ascii="宋体" w:hAnsi="宋体"/>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 xml:space="preserve">政府采购合同专用条款</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（7）其他术语解释，见【</w:t>
      </w:r>
      <w:r>
        <w:rPr>
          <w:rFonts w:hint="eastAsia" w:ascii="宋体" w:hAnsi="宋体"/>
          <w:b/>
          <w:bCs/>
          <w:szCs w:val="21"/>
        </w:rPr>
        <w:t xml:space="preserve">政府采购合同专用条款</w:t>
      </w:r>
      <w:r>
        <w:rPr>
          <w:rFonts w:hint="eastAsia" w:ascii="宋体" w:hAnsi="宋体"/>
          <w:szCs w:val="21"/>
        </w:rPr>
        <w:t xml:space="preserve">】。</w:t>
      </w:r>
      <w:r/>
    </w:p>
    <w:p>
      <w:pPr>
        <w:numPr>
          <w:ilvl w:val="0"/>
          <w:numId w:val="8"/>
        </w:numPr>
        <w:jc w:val="left"/>
        <w:spacing w:line="400" w:lineRule="exact"/>
        <w:rPr>
          <w:rFonts w:hint="eastAsia" w:ascii="宋体" w:hAnsi="宋体"/>
          <w:b/>
          <w:bCs/>
          <w:sz w:val="24"/>
        </w:rPr>
      </w:pPr>
      <w:r>
        <w:rPr>
          <w:rFonts w:hint="eastAsia" w:ascii="宋体" w:hAnsi="宋体"/>
          <w:b/>
          <w:sz w:val="24"/>
        </w:rPr>
        <w:t xml:space="preserve">合同标的及金额</w:t>
      </w:r>
      <w:r/>
    </w:p>
    <w:p>
      <w:pPr>
        <w:ind w:firstLine="420"/>
        <w:jc w:val="left"/>
        <w:spacing w:line="400" w:lineRule="exact"/>
        <w:rPr>
          <w:rFonts w:hint="eastAsia" w:ascii="宋体" w:hAnsi="宋体"/>
          <w:b/>
          <w:bCs/>
          <w:i/>
          <w:iCs/>
          <w:szCs w:val="21"/>
        </w:rPr>
      </w:pPr>
      <w:r>
        <w:rPr>
          <w:rFonts w:hint="eastAsia" w:ascii="宋体" w:hAnsi="宋体"/>
          <w:szCs w:val="21"/>
        </w:rPr>
        <w:t xml:space="preserve">2.1 合同标的及金额应与中标（成交）结果一致。乙方为履行本合同而发生的所有费用均应包含在合同价款中，甲方不再另行支付</w:t>
      </w:r>
      <w:r>
        <w:rPr>
          <w:rFonts w:hint="eastAsia" w:ascii="宋体" w:hAnsi="宋体"/>
          <w:szCs w:val="21"/>
          <w:lang w:val="en"/>
        </w:rPr>
        <w:t xml:space="preserve">其他</w:t>
      </w:r>
      <w:r>
        <w:rPr>
          <w:rFonts w:hint="eastAsia" w:ascii="宋体" w:hAnsi="宋体"/>
          <w:szCs w:val="21"/>
        </w:rPr>
        <w:t xml:space="preserve">任何费用。</w:t>
      </w:r>
      <w:r/>
    </w:p>
    <w:p>
      <w:pPr>
        <w:jc w:val="left"/>
        <w:spacing w:line="400" w:lineRule="exact"/>
        <w:rPr>
          <w:rFonts w:hint="eastAsia" w:ascii="宋体" w:hAnsi="宋体"/>
          <w:b/>
          <w:sz w:val="24"/>
        </w:rPr>
      </w:pPr>
      <w:r>
        <w:rPr>
          <w:rFonts w:hint="eastAsia" w:ascii="宋体" w:hAnsi="宋体"/>
          <w:b/>
          <w:sz w:val="24"/>
        </w:rPr>
        <w:t xml:space="preserve">3. 履行合同的时间、地点和方式</w:t>
      </w:r>
      <w:r/>
    </w:p>
    <w:p>
      <w:pPr>
        <w:ind w:firstLine="420"/>
        <w:jc w:val="left"/>
        <w:spacing w:line="400" w:lineRule="exact"/>
        <w:rPr>
          <w:rFonts w:hint="eastAsia" w:ascii="宋体" w:hAnsi="宋体"/>
          <w:szCs w:val="21"/>
        </w:rPr>
      </w:pPr>
      <w:r>
        <w:rPr>
          <w:rFonts w:hint="eastAsia" w:ascii="宋体" w:hAnsi="宋体"/>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hint="eastAsia" w:ascii="宋体" w:hAnsi="宋体"/>
          <w:b/>
          <w:bCs/>
          <w:sz w:val="24"/>
        </w:rPr>
      </w:pPr>
      <w:r>
        <w:rPr>
          <w:rFonts w:hint="eastAsia" w:ascii="宋体" w:hAnsi="宋体"/>
          <w:b/>
          <w:bCs/>
          <w:sz w:val="24"/>
        </w:rPr>
        <w:t xml:space="preserve">4. 甲方的权利和义务</w:t>
      </w:r>
      <w:r/>
    </w:p>
    <w:p>
      <w:pPr>
        <w:ind w:firstLine="420"/>
        <w:jc w:val="left"/>
        <w:spacing w:line="400" w:lineRule="exact"/>
        <w:rPr>
          <w:rFonts w:hint="eastAsia" w:ascii="宋体" w:hAnsi="宋体"/>
          <w:szCs w:val="21"/>
        </w:rPr>
      </w:pPr>
      <w:r>
        <w:rPr>
          <w:rFonts w:hint="eastAsia" w:ascii="宋体" w:hAnsi="宋体"/>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宋体" w:hAnsi="宋体"/>
          <w:szCs w:val="21"/>
        </w:rPr>
      </w:pPr>
      <w:r>
        <w:rPr>
          <w:rFonts w:hint="eastAsia" w:ascii="宋体" w:hAnsi="宋体"/>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宋体" w:hAnsi="宋体"/>
          <w:szCs w:val="21"/>
        </w:rPr>
      </w:pPr>
      <w:r>
        <w:rPr>
          <w:rFonts w:hint="eastAsia" w:ascii="宋体" w:hAnsi="宋体"/>
          <w:szCs w:val="21"/>
        </w:rPr>
        <w:t xml:space="preserve">4.3 甲方有权要求乙方对缺陷部分予以修复，并按合同约定享有货物保修及其他合同约定的权利。</w:t>
      </w:r>
      <w:r/>
    </w:p>
    <w:p>
      <w:pPr>
        <w:ind w:firstLine="420"/>
        <w:spacing w:line="400" w:lineRule="exact"/>
        <w:rPr>
          <w:rFonts w:eastAsia="华文楷体"/>
        </w:rPr>
      </w:pPr>
      <w:r>
        <w:rPr>
          <w:rFonts w:hint="eastAsia" w:ascii="宋体" w:hAnsi="宋体"/>
          <w:szCs w:val="21"/>
        </w:rPr>
        <w:t xml:space="preserve">4.4 甲方应当按照合同约定及时对交付的货物进行验收，</w:t>
      </w:r>
      <w:r>
        <w:rPr>
          <w:rFonts w:hint="eastAsia" w:ascii="宋体" w:hAnsi="宋体" w:cs="宋体"/>
          <w:szCs w:val="21"/>
        </w:rPr>
        <w:t xml:space="preserve">未</w:t>
      </w:r>
      <w:r>
        <w:rPr>
          <w:rFonts w:hint="eastAsia" w:ascii="宋体" w:hAnsi="宋体"/>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szCs w:val="21"/>
        </w:rPr>
        <w:t xml:space="preserve">视为验收通过。</w:t>
      </w:r>
      <w:r/>
    </w:p>
    <w:p>
      <w:pPr>
        <w:ind w:firstLine="420"/>
        <w:jc w:val="left"/>
        <w:spacing w:line="400" w:lineRule="exact"/>
        <w:rPr>
          <w:rFonts w:hint="eastAsia" w:ascii="宋体" w:hAnsi="宋体"/>
          <w:szCs w:val="21"/>
        </w:rPr>
      </w:pPr>
      <w:r>
        <w:rPr>
          <w:rFonts w:hint="eastAsia" w:ascii="宋体" w:hAnsi="宋体"/>
          <w:szCs w:val="21"/>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宋体" w:hAnsi="宋体"/>
          <w:szCs w:val="21"/>
        </w:rPr>
      </w:pPr>
      <w:r>
        <w:rPr>
          <w:rFonts w:hint="eastAsia" w:ascii="宋体" w:hAnsi="宋体"/>
          <w:szCs w:val="21"/>
        </w:rPr>
        <w:t xml:space="preserve">4.6 国家法律法规规定及</w:t>
      </w:r>
      <w:r>
        <w:rPr>
          <w:rFonts w:hint="eastAsia" w:ascii="宋体" w:hAnsi="宋体" w:cs="宋体"/>
          <w:b/>
          <w:bCs/>
          <w:szCs w:val="21"/>
        </w:rPr>
        <w:t xml:space="preserve">【政府采购合同专用条款】</w:t>
      </w:r>
      <w:r>
        <w:rPr>
          <w:rFonts w:hint="eastAsia" w:ascii="宋体" w:hAnsi="宋体"/>
          <w:szCs w:val="21"/>
        </w:rPr>
        <w:t xml:space="preserve">约定应由甲方承担的其他义务和责任。</w:t>
      </w:r>
      <w:r/>
    </w:p>
    <w:p>
      <w:pPr>
        <w:jc w:val="left"/>
        <w:spacing w:line="400" w:lineRule="exact"/>
        <w:rPr>
          <w:rFonts w:hint="eastAsia" w:ascii="宋体" w:hAnsi="宋体"/>
          <w:b/>
          <w:bCs/>
          <w:sz w:val="24"/>
        </w:rPr>
      </w:pPr>
      <w:r>
        <w:rPr>
          <w:rFonts w:hint="eastAsia" w:ascii="宋体" w:hAnsi="宋体"/>
          <w:b/>
          <w:bCs/>
          <w:sz w:val="24"/>
        </w:rPr>
        <w:t xml:space="preserve">5. 乙方的权利和义务</w:t>
      </w:r>
      <w:r/>
    </w:p>
    <w:p>
      <w:pPr>
        <w:ind w:firstLine="420"/>
        <w:jc w:val="left"/>
        <w:spacing w:line="400" w:lineRule="exact"/>
        <w:rPr>
          <w:rFonts w:hint="eastAsia" w:ascii="宋体" w:hAnsi="宋体"/>
          <w:szCs w:val="21"/>
        </w:rPr>
      </w:pPr>
      <w:r>
        <w:rPr>
          <w:rFonts w:hint="eastAsia" w:ascii="宋体" w:hAnsi="宋体"/>
          <w:szCs w:val="21"/>
        </w:rPr>
        <w:t xml:space="preserve">5.1 签署合同后，乙方应确定项目负责人（或项目联系人），负责与本合同有关的事务。</w:t>
      </w:r>
      <w:r/>
    </w:p>
    <w:p>
      <w:pPr>
        <w:ind w:firstLine="420"/>
        <w:jc w:val="left"/>
        <w:spacing w:line="400" w:lineRule="exact"/>
        <w:rPr>
          <w:rFonts w:hint="eastAsia" w:ascii="宋体" w:hAnsi="宋体"/>
          <w:szCs w:val="21"/>
        </w:rPr>
      </w:pPr>
      <w:r>
        <w:rPr>
          <w:rFonts w:hint="eastAsia" w:ascii="宋体" w:hAnsi="宋体"/>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370"/>
        <w:spacing w:line="400" w:lineRule="exact"/>
        <w:rPr>
          <w:rFonts w:hint="eastAsia" w:ascii="宋体" w:hAnsi="宋体" w:cs="宋体"/>
          <w:szCs w:val="21"/>
        </w:rPr>
      </w:pPr>
      <w:r>
        <w:rPr>
          <w:rFonts w:hint="eastAsia" w:ascii="宋体" w:hAnsi="宋体"/>
          <w:szCs w:val="21"/>
        </w:rPr>
        <w:t xml:space="preserve">5.3乙方有权</w:t>
      </w:r>
      <w:r>
        <w:rPr>
          <w:rFonts w:hint="eastAsia" w:ascii="宋体" w:hAnsi="宋体" w:cs="宋体"/>
          <w:szCs w:val="21"/>
        </w:rPr>
        <w:t xml:space="preserve">根据合同约定向甲方收取合同价款。</w:t>
      </w:r>
      <w:r/>
    </w:p>
    <w:p>
      <w:pPr>
        <w:ind w:firstLine="370"/>
        <w:spacing w:line="400" w:lineRule="exact"/>
        <w:rPr>
          <w:rFonts w:hint="eastAsia" w:ascii="宋体" w:hAnsi="宋体" w:cs="宋体"/>
          <w:szCs w:val="21"/>
        </w:rPr>
      </w:pPr>
      <w:r>
        <w:rPr>
          <w:rFonts w:hint="eastAsia" w:ascii="宋体" w:hAnsi="宋体"/>
          <w:szCs w:val="21"/>
        </w:rPr>
        <w:t xml:space="preserve">5.4</w:t>
      </w:r>
      <w:r>
        <w:rPr>
          <w:rFonts w:hint="eastAsia" w:ascii="宋体" w:hAnsi="宋体" w:cs="宋体"/>
          <w:szCs w:val="21"/>
        </w:rPr>
        <w:t xml:space="preserve">国家法律法规规定</w:t>
      </w:r>
      <w:r>
        <w:rPr>
          <w:rFonts w:hint="eastAsia" w:ascii="宋体" w:hAnsi="宋体"/>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约定应由乙方承担的其他义务和责任。</w:t>
      </w:r>
      <w:r/>
    </w:p>
    <w:p>
      <w:pPr>
        <w:numPr>
          <w:ilvl w:val="0"/>
          <w:numId w:val="9"/>
        </w:numPr>
        <w:jc w:val="left"/>
        <w:spacing w:line="400" w:lineRule="exact"/>
        <w:rPr>
          <w:rFonts w:hint="eastAsia" w:ascii="宋体" w:hAnsi="宋体"/>
          <w:b/>
          <w:bCs/>
          <w:sz w:val="24"/>
        </w:rPr>
      </w:pPr>
      <w:r>
        <w:rPr>
          <w:rFonts w:hint="eastAsia" w:ascii="宋体" w:hAnsi="宋体"/>
          <w:b/>
          <w:bCs/>
          <w:sz w:val="24"/>
        </w:rPr>
        <w:t xml:space="preserve">合同履行</w:t>
      </w:r>
      <w:r/>
    </w:p>
    <w:p>
      <w:pPr>
        <w:ind w:firstLine="420"/>
        <w:jc w:val="left"/>
        <w:spacing w:line="400" w:lineRule="exact"/>
        <w:rPr>
          <w:rFonts w:hint="eastAsia" w:ascii="宋体" w:hAnsi="宋体"/>
          <w:szCs w:val="21"/>
        </w:rPr>
      </w:pPr>
      <w:r>
        <w:rPr>
          <w:rFonts w:hint="eastAsia" w:ascii="宋体" w:hAnsi="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szCs w:val="21"/>
        </w:rPr>
        <w:t xml:space="preserve">约定顺序履行合同义务；如果没有先后顺序的，应当同时履行。</w:t>
      </w:r>
      <w:r/>
    </w:p>
    <w:p>
      <w:pPr>
        <w:ind w:firstLine="420"/>
        <w:jc w:val="left"/>
        <w:spacing w:line="400" w:lineRule="exact"/>
      </w:pPr>
      <w:r>
        <w:rPr>
          <w:rFonts w:hint="eastAsia" w:ascii="宋体" w:hAnsi="宋体"/>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b/>
          <w:bCs/>
          <w:sz w:val="24"/>
        </w:rPr>
      </w:pPr>
      <w:r>
        <w:rPr>
          <w:rFonts w:hint="eastAsia" w:ascii="宋体" w:hAnsi="宋体"/>
          <w:b/>
          <w:bCs/>
          <w:sz w:val="24"/>
        </w:rPr>
        <w:t xml:space="preserve">7. 货物包装、运输、保险和交付要求</w:t>
      </w:r>
      <w:r/>
    </w:p>
    <w:p>
      <w:pPr>
        <w:ind w:firstLine="420"/>
        <w:jc w:val="left"/>
        <w:spacing w:line="400" w:lineRule="exact"/>
        <w:rPr>
          <w:rFonts w:hint="eastAsia" w:ascii="宋体" w:hAnsi="宋体"/>
          <w:szCs w:val="21"/>
        </w:rPr>
      </w:pPr>
      <w:r>
        <w:rPr>
          <w:rFonts w:hint="eastAsia" w:ascii="宋体" w:hAnsi="宋体"/>
          <w:szCs w:val="21"/>
        </w:rPr>
        <w:t xml:space="preserve">7.1 本合同</w:t>
      </w:r>
      <w:r>
        <w:rPr>
          <w:rFonts w:hint="eastAsia" w:ascii="宋体" w:hAnsi="宋体"/>
          <w:bCs/>
          <w:szCs w:val="21"/>
        </w:rPr>
        <w:t xml:space="preserve">涉及商品包装、快递包装的，</w:t>
      </w:r>
      <w:r>
        <w:rPr>
          <w:rFonts w:hint="eastAsia" w:ascii="宋体" w:hAnsi="宋体"/>
          <w:szCs w:val="21"/>
        </w:rPr>
        <w:t xml:space="preserve">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包装应适应远距离运输、防潮、防震、防锈和防野蛮装卸等要求，确保货物安全无损地运抵</w:t>
      </w:r>
      <w:r>
        <w:rPr>
          <w:rFonts w:hint="eastAsia" w:ascii="宋体" w:hAnsi="宋体"/>
          <w:b/>
          <w:szCs w:val="21"/>
        </w:rPr>
        <w:t xml:space="preserve">【政府采购合同专用条款】</w:t>
      </w:r>
      <w:r>
        <w:rPr>
          <w:rFonts w:hint="eastAsia" w:ascii="宋体" w:hAnsi="宋体"/>
          <w:bCs/>
          <w:szCs w:val="21"/>
        </w:rPr>
        <w:t xml:space="preserve">约定的</w:t>
      </w:r>
      <w:r>
        <w:rPr>
          <w:rFonts w:hint="eastAsia" w:ascii="宋体" w:hAnsi="宋体"/>
          <w:szCs w:val="21"/>
        </w:rPr>
        <w:t xml:space="preserve">指定现场。</w:t>
      </w:r>
      <w:r/>
    </w:p>
    <w:p>
      <w:pPr>
        <w:ind w:firstLine="420"/>
        <w:jc w:val="left"/>
        <w:spacing w:line="400" w:lineRule="exact"/>
        <w:rPr>
          <w:rFonts w:hint="eastAsia" w:ascii="宋体" w:hAnsi="宋体"/>
          <w:szCs w:val="21"/>
        </w:rPr>
      </w:pPr>
      <w:r>
        <w:rPr>
          <w:rFonts w:hint="eastAsia" w:ascii="宋体" w:hAnsi="宋体"/>
          <w:szCs w:val="21"/>
        </w:rPr>
        <w:t xml:space="preserve">7.2 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szCs w:val="21"/>
        </w:rPr>
      </w:pPr>
      <w:r>
        <w:rPr>
          <w:rFonts w:hint="eastAsia" w:ascii="宋体" w:hAnsi="宋体"/>
          <w:szCs w:val="21"/>
        </w:rPr>
        <w:t xml:space="preserve">7.3 货物保险要求按</w:t>
      </w:r>
      <w:r>
        <w:rPr>
          <w:rFonts w:hint="eastAsia" w:ascii="宋体" w:hAnsi="宋体"/>
          <w:b/>
          <w:szCs w:val="21"/>
        </w:rPr>
        <w:t xml:space="preserve">【政府采购合同专用条款】</w:t>
      </w:r>
      <w:r>
        <w:rPr>
          <w:rFonts w:hint="eastAsia" w:ascii="宋体" w:hAnsi="宋体"/>
          <w:bCs/>
          <w:szCs w:val="21"/>
        </w:rPr>
        <w:t xml:space="preserve">规定执行</w:t>
      </w:r>
      <w:r>
        <w:rPr>
          <w:rFonts w:hint="eastAsia" w:ascii="宋体" w:hAnsi="宋体"/>
          <w:szCs w:val="21"/>
        </w:rPr>
        <w:t xml:space="preserve">。</w:t>
      </w:r>
      <w:r/>
    </w:p>
    <w:p>
      <w:pPr>
        <w:ind w:firstLine="420"/>
        <w:jc w:val="left"/>
        <w:spacing w:line="400" w:lineRule="exact"/>
        <w:rPr>
          <w:rFonts w:hint="eastAsia" w:ascii="宋体" w:hAnsi="宋体"/>
          <w:szCs w:val="21"/>
        </w:rPr>
      </w:pPr>
      <w:r>
        <w:rPr>
          <w:rFonts w:hint="eastAsia" w:ascii="宋体" w:hAnsi="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szCs w:val="21"/>
        </w:rPr>
      </w:pPr>
      <w:r>
        <w:rPr>
          <w:rFonts w:hint="eastAsia" w:ascii="宋体" w:hAnsi="宋体"/>
          <w:szCs w:val="21"/>
        </w:rPr>
        <w:t xml:space="preserve">7.5 </w:t>
      </w:r>
      <w:r>
        <w:rPr>
          <w:rFonts w:hint="eastAsia" w:ascii="宋体" w:hAnsi="宋体" w:cs="宋体"/>
          <w:szCs w:val="21"/>
        </w:rPr>
        <w:t xml:space="preserve">乙方在运输到达之前应提前通知甲方，并提示货物运输装卸的注意事项，甲方配合乙方做好货物的接收工作。</w:t>
      </w:r>
      <w:r/>
    </w:p>
    <w:p>
      <w:pPr>
        <w:ind w:firstLine="420"/>
        <w:jc w:val="left"/>
        <w:spacing w:line="400" w:lineRule="exact"/>
        <w:widowControl/>
        <w:rPr>
          <w:rFonts w:hint="eastAsia" w:ascii="华文楷体" w:hAnsi="华文楷体" w:eastAsia="华文楷体" w:cs="华文楷体"/>
          <w:szCs w:val="21"/>
        </w:rPr>
      </w:pPr>
      <w:r>
        <w:rPr>
          <w:rFonts w:hint="eastAsia" w:ascii="宋体" w:hAnsi="宋体"/>
          <w:szCs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b/>
          <w:sz w:val="24"/>
        </w:rPr>
      </w:pPr>
      <w:r>
        <w:rPr>
          <w:rFonts w:hint="eastAsia" w:ascii="宋体" w:hAnsi="宋体"/>
          <w:b/>
          <w:sz w:val="24"/>
        </w:rPr>
        <w:t xml:space="preserve">8. 质量标准和保证</w:t>
      </w:r>
      <w:r/>
    </w:p>
    <w:p>
      <w:pPr>
        <w:ind w:firstLine="420"/>
        <w:jc w:val="left"/>
        <w:spacing w:line="400" w:lineRule="exact"/>
        <w:rPr>
          <w:rFonts w:hint="eastAsia" w:ascii="宋体" w:hAnsi="宋体" w:cs="Courier New"/>
          <w:b/>
          <w:szCs w:val="21"/>
        </w:rPr>
      </w:pPr>
      <w:r>
        <w:rPr>
          <w:rFonts w:hint="eastAsia" w:ascii="宋体" w:hAnsi="宋体" w:cs="Courier New"/>
          <w:szCs w:val="21"/>
        </w:rPr>
        <w:t xml:space="preserve">8.1 质量标准</w:t>
      </w:r>
      <w:r/>
    </w:p>
    <w:p>
      <w:pPr>
        <w:ind w:firstLine="420"/>
        <w:jc w:val="left"/>
        <w:spacing w:line="400" w:lineRule="exact"/>
        <w:rPr>
          <w:rFonts w:hint="eastAsia" w:ascii="宋体" w:hAnsi="宋体"/>
          <w:szCs w:val="21"/>
        </w:rPr>
      </w:pPr>
      <w:r/>
      <w:bookmarkStart w:id="58" w:name="OLE_LINK7"/>
      <w:r>
        <w:rPr>
          <w:rFonts w:hint="eastAsia" w:ascii="宋体" w:hAnsi="宋体"/>
          <w:szCs w:val="21"/>
        </w:rPr>
        <w:t xml:space="preserve">（1）本合同下提供的货物应符合合同</w:t>
      </w:r>
      <w:r>
        <w:rPr>
          <w:rFonts w:hint="eastAsia" w:ascii="宋体" w:hAnsi="宋体" w:cs="宋体"/>
          <w:szCs w:val="21"/>
        </w:rPr>
        <w:t xml:space="preserve">约定的品牌、规格型号、技术性能、配置、质量、数量等要求。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bookmarkEnd w:id="58"/>
      <w:r/>
      <w:r/>
    </w:p>
    <w:p>
      <w:pPr>
        <w:ind w:firstLine="420"/>
        <w:jc w:val="left"/>
        <w:spacing w:line="400" w:lineRule="exact"/>
        <w:rPr>
          <w:rFonts w:hint="eastAsia" w:ascii="宋体" w:hAnsi="宋体" w:cs="Courier New"/>
          <w:szCs w:val="21"/>
        </w:rPr>
      </w:pPr>
      <w:r>
        <w:rPr>
          <w:rFonts w:hint="eastAsia" w:ascii="宋体" w:hAnsi="宋体" w:cs="Courier New"/>
          <w:szCs w:val="21"/>
        </w:rPr>
        <w:t xml:space="preserve">（2）采用中华人民共和国法定计量单位。</w:t>
      </w:r>
      <w:r/>
    </w:p>
    <w:p>
      <w:pPr>
        <w:ind w:firstLine="420"/>
        <w:jc w:val="left"/>
        <w:spacing w:line="400" w:lineRule="exact"/>
        <w:rPr>
          <w:rFonts w:hint="eastAsia"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szCs w:val="21"/>
        </w:rPr>
      </w:pPr>
      <w:r>
        <w:rPr>
          <w:rFonts w:hint="eastAsia" w:ascii="宋体" w:hAnsi="宋体"/>
          <w:szCs w:val="21"/>
        </w:rPr>
        <w:t xml:space="preserve">8.2 保证</w:t>
      </w:r>
      <w:r/>
    </w:p>
    <w:p>
      <w:pPr>
        <w:ind w:firstLine="420"/>
        <w:jc w:val="left"/>
        <w:spacing w:line="400" w:lineRule="exact"/>
        <w:rPr>
          <w:rFonts w:hint="eastAsia"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hint="eastAsia"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hint="eastAsia"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hint="eastAsia"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b/>
          <w:bCs/>
          <w:sz w:val="24"/>
        </w:rPr>
      </w:pPr>
      <w:r>
        <w:rPr>
          <w:rFonts w:hint="eastAsia" w:ascii="宋体" w:hAnsi="宋体"/>
          <w:b/>
          <w:bCs/>
          <w:sz w:val="24"/>
        </w:rPr>
        <w:t xml:space="preserve">9. 权利瑕疵担保</w:t>
      </w:r>
      <w:r/>
    </w:p>
    <w:p>
      <w:pPr>
        <w:ind w:firstLine="420"/>
        <w:jc w:val="left"/>
        <w:spacing w:line="400" w:lineRule="exact"/>
        <w:rPr>
          <w:rFonts w:hint="eastAsia" w:ascii="宋体" w:hAnsi="宋体"/>
          <w:szCs w:val="21"/>
        </w:rPr>
      </w:pPr>
      <w:r>
        <w:rPr>
          <w:rFonts w:hint="eastAsia" w:ascii="宋体" w:hAnsi="宋体"/>
          <w:szCs w:val="21"/>
        </w:rPr>
        <w:t xml:space="preserve">9.1 乙方保证对其出售的货物享有合法的权利。</w:t>
      </w:r>
      <w:r/>
    </w:p>
    <w:p>
      <w:pPr>
        <w:ind w:firstLine="420"/>
        <w:jc w:val="left"/>
        <w:spacing w:line="400" w:lineRule="exact"/>
        <w:rPr>
          <w:rFonts w:hint="eastAsia" w:ascii="宋体" w:hAnsi="宋体"/>
          <w:szCs w:val="21"/>
        </w:rPr>
      </w:pPr>
      <w:r>
        <w:rPr>
          <w:rFonts w:hint="eastAsia" w:ascii="宋体" w:hAnsi="宋体"/>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hint="eastAsia" w:ascii="宋体" w:hAnsi="宋体"/>
          <w:szCs w:val="21"/>
        </w:rPr>
      </w:pPr>
      <w:r>
        <w:rPr>
          <w:rFonts w:hint="eastAsia" w:ascii="宋体" w:hAnsi="宋体"/>
          <w:szCs w:val="21"/>
        </w:rPr>
        <w:t xml:space="preserve">9.3 如甲方使用上述货物构成对第三人侵权的，则由乙方承担全部责任。</w:t>
      </w:r>
      <w:r/>
    </w:p>
    <w:p>
      <w:pPr>
        <w:jc w:val="left"/>
        <w:spacing w:line="400" w:lineRule="exact"/>
        <w:rPr>
          <w:rFonts w:hint="eastAsia" w:ascii="宋体" w:hAnsi="宋体"/>
          <w:b/>
          <w:bCs/>
          <w:sz w:val="24"/>
        </w:rPr>
      </w:pPr>
      <w:r>
        <w:rPr>
          <w:rFonts w:hint="eastAsia" w:ascii="宋体" w:hAnsi="宋体"/>
          <w:b/>
          <w:bCs/>
          <w:sz w:val="24"/>
        </w:rPr>
        <w:t xml:space="preserve">10. 知识产权保护</w:t>
      </w:r>
      <w:r/>
    </w:p>
    <w:p>
      <w:pPr>
        <w:ind w:firstLine="420"/>
        <w:jc w:val="left"/>
        <w:spacing w:line="400" w:lineRule="exact"/>
        <w:rPr>
          <w:rFonts w:hint="eastAsia" w:ascii="宋体" w:hAnsi="宋体"/>
          <w:szCs w:val="21"/>
        </w:rPr>
      </w:pPr>
      <w:r>
        <w:rPr>
          <w:rFonts w:hint="eastAsia" w:ascii="宋体" w:hAnsi="宋体"/>
          <w:szCs w:val="21"/>
        </w:rPr>
        <w:t xml:space="preserve">10.1 乙方对其所销售的货物应当享有知识产权或经权利人合法授权，保证没有侵犯任何第三人的知识产权等权利。</w:t>
      </w:r>
      <w:bookmarkStart w:id="59"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59"/>
      <w:r>
        <w:rPr>
          <w:rFonts w:hint="eastAsia" w:ascii="宋体" w:hAnsi="宋体"/>
          <w:szCs w:val="21"/>
        </w:rPr>
        <w:t xml:space="preserve">。</w:t>
      </w:r>
      <w:r/>
    </w:p>
    <w:p>
      <w:pPr>
        <w:jc w:val="left"/>
        <w:spacing w:line="400" w:lineRule="exact"/>
        <w:rPr>
          <w:rFonts w:hint="eastAsia" w:ascii="宋体" w:hAnsi="宋体"/>
          <w:b/>
          <w:bCs/>
          <w:sz w:val="24"/>
        </w:rPr>
      </w:pPr>
      <w:r>
        <w:rPr>
          <w:rFonts w:hint="eastAsia" w:ascii="宋体" w:hAnsi="宋体"/>
          <w:b/>
          <w:bCs/>
          <w:sz w:val="24"/>
        </w:rPr>
        <w:t xml:space="preserve">11. 保密义务</w:t>
      </w:r>
      <w:r/>
    </w:p>
    <w:p>
      <w:pPr>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hint="eastAsia" w:ascii="宋体" w:hAnsi="宋体"/>
          <w:b/>
          <w:bCs/>
          <w:sz w:val="24"/>
        </w:rPr>
      </w:pPr>
      <w:r>
        <w:rPr>
          <w:rFonts w:hint="eastAsia" w:ascii="宋体" w:hAnsi="宋体"/>
          <w:b/>
          <w:bCs/>
          <w:sz w:val="24"/>
        </w:rPr>
        <w:t xml:space="preserve">12. 合同价款支付</w:t>
      </w:r>
      <w:r/>
    </w:p>
    <w:p>
      <w:pPr>
        <w:ind w:firstLine="420"/>
        <w:jc w:val="left"/>
        <w:spacing w:line="400" w:lineRule="exact"/>
        <w:rPr>
          <w:rFonts w:hint="eastAsia" w:ascii="宋体" w:hAnsi="宋体"/>
          <w:szCs w:val="21"/>
        </w:rPr>
      </w:pPr>
      <w:r>
        <w:rPr>
          <w:rFonts w:hint="eastAsia" w:ascii="宋体" w:hAnsi="宋体"/>
          <w:szCs w:val="21"/>
        </w:rPr>
        <w:t xml:space="preserve">12.1 合同价款支付按照国库集中支付制度及财政管理相关规定执行。</w:t>
      </w:r>
      <w:r/>
    </w:p>
    <w:p>
      <w:pPr>
        <w:ind w:firstLine="420"/>
        <w:keepLines/>
        <w:keepNext/>
        <w:pageBreakBefore w:val="0"/>
        <w:spacing w:line="400" w:lineRule="exact"/>
        <w:widowControl w:val="off"/>
        <w:rPr>
          <w:rFonts w:ascii="Arial" w:hAnsi="Arial"/>
          <w:b/>
          <w:bCs/>
          <w:sz w:val="24"/>
          <w:szCs w:val="32"/>
        </w:rPr>
        <w:outlineLvl w:val="9"/>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spacing w:line="400" w:lineRule="exact"/>
        <w:rPr>
          <w:rFonts w:hint="eastAsia" w:ascii="宋体" w:hAnsi="宋体"/>
          <w:b/>
          <w:bCs/>
          <w:sz w:val="24"/>
        </w:rPr>
      </w:pPr>
      <w:r>
        <w:rPr>
          <w:rFonts w:hint="eastAsia" w:ascii="宋体" w:hAnsi="宋体"/>
          <w:b/>
          <w:bCs/>
          <w:sz w:val="24"/>
        </w:rPr>
        <w:t xml:space="preserve">13. 履约保证金</w:t>
      </w:r>
      <w:r/>
    </w:p>
    <w:p>
      <w:pPr>
        <w:ind w:firstLine="420"/>
        <w:jc w:val="left"/>
        <w:spacing w:line="400" w:lineRule="exact"/>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hint="eastAsia"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hint="eastAsia"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hint="eastAsia"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hint="eastAsia"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（5）依照法律、行政法规的规定或者按照</w:t>
      </w:r>
      <w:r>
        <w:rPr>
          <w:rFonts w:hint="eastAsia" w:ascii="宋体" w:hAnsi="宋体" w:cs="宋体"/>
          <w:b/>
          <w:bCs/>
          <w:szCs w:val="21"/>
        </w:rPr>
        <w:t xml:space="preserve">【政府采购合同专用条款】</w:t>
      </w:r>
      <w:r>
        <w:rPr>
          <w:rFonts w:hint="eastAsia" w:ascii="宋体" w:hAnsi="宋体" w:cs="宋体"/>
          <w:szCs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hint="eastAsia"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hint="eastAsia" w:ascii="宋体" w:hAnsi="宋体"/>
          <w:b/>
          <w:bCs/>
          <w:sz w:val="24"/>
        </w:rPr>
      </w:pPr>
      <w:r>
        <w:rPr>
          <w:rFonts w:hint="eastAsia" w:ascii="宋体" w:hAnsi="宋体"/>
          <w:b/>
          <w:bCs/>
          <w:sz w:val="24"/>
        </w:rPr>
        <w:t xml:space="preserve">15. 违约责任</w:t>
      </w:r>
      <w:r/>
    </w:p>
    <w:p>
      <w:pPr>
        <w:ind w:firstLine="420"/>
        <w:jc w:val="left"/>
        <w:spacing w:line="400" w:lineRule="exact"/>
        <w:rPr>
          <w:rFonts w:hint="eastAsia"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hint="eastAsia"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szCs w:val="21"/>
        </w:rPr>
      </w:pPr>
      <w:r>
        <w:rPr>
          <w:rFonts w:hint="eastAsia" w:ascii="宋体" w:hAnsi="宋体"/>
          <w:szCs w:val="21"/>
        </w:rPr>
        <w:t xml:space="preserve">15.3 迟延支付的违约责任</w:t>
      </w:r>
      <w:r/>
    </w:p>
    <w:p>
      <w:pPr>
        <w:ind w:firstLine="420"/>
        <w:jc w:val="left"/>
        <w:spacing w:line="400" w:lineRule="exact"/>
        <w:rPr>
          <w:rFonts w:hint="eastAsia"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hint="eastAsia"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10"/>
        </w:numPr>
        <w:jc w:val="left"/>
        <w:spacing w:line="400" w:lineRule="exact"/>
        <w:rPr>
          <w:rFonts w:hint="eastAsia" w:ascii="宋体" w:hAnsi="宋体"/>
          <w:b/>
          <w:sz w:val="24"/>
        </w:rPr>
      </w:pPr>
      <w:r>
        <w:rPr>
          <w:rFonts w:hint="eastAsia" w:ascii="宋体" w:hAnsi="宋体"/>
          <w:b/>
          <w:sz w:val="24"/>
        </w:rPr>
        <w:t xml:space="preserve">合同变更、中止与终止</w:t>
      </w:r>
      <w:r/>
    </w:p>
    <w:p>
      <w:pPr>
        <w:jc w:val="left"/>
        <w:spacing w:line="400" w:lineRule="exact"/>
        <w:rPr>
          <w:rFonts w:hint="eastAsia" w:ascii="宋体" w:hAnsi="宋体"/>
          <w:szCs w:val="21"/>
        </w:rPr>
      </w:pPr>
      <w:r>
        <w:rPr>
          <w:rFonts w:hint="eastAsia" w:ascii="宋体" w:hAnsi="宋体"/>
          <w:szCs w:val="21"/>
        </w:rPr>
        <w:t xml:space="preserve">    16.1合同的变更</w:t>
      </w:r>
      <w:r/>
    </w:p>
    <w:p>
      <w:pPr>
        <w:ind w:firstLine="420"/>
        <w:jc w:val="left"/>
        <w:spacing w:line="400" w:lineRule="exact"/>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szCs w:val="21"/>
        </w:rPr>
      </w:pPr>
      <w:r>
        <w:rPr>
          <w:rFonts w:hint="eastAsia" w:ascii="宋体" w:hAnsi="宋体"/>
          <w:szCs w:val="21"/>
        </w:rPr>
        <w:t xml:space="preserve">16.2合同的中止</w:t>
      </w:r>
      <w:r/>
    </w:p>
    <w:p>
      <w:pPr>
        <w:ind w:firstLine="420"/>
        <w:jc w:val="left"/>
        <w:spacing w:line="400" w:lineRule="exact"/>
        <w:rPr>
          <w:rFonts w:hint="eastAsia"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line="400" w:lineRule="exact"/>
        <w:widowControl/>
        <w:rPr>
          <w:rFonts w:hint="eastAsia" w:ascii="华文楷体" w:hAnsi="华文楷体" w:eastAsia="华文楷体" w:cs="华文楷体"/>
          <w:szCs w:val="21"/>
        </w:rPr>
      </w:pPr>
      <w:r>
        <w:rPr>
          <w:rFonts w:hint="eastAsia" w:ascii="宋体" w:hAnsi="宋体" w:cs="宋体"/>
          <w:szCs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hint="eastAsia" w:ascii="宋体" w:hAnsi="宋体"/>
          <w:szCs w:val="21"/>
        </w:rPr>
      </w:pPr>
      <w:r>
        <w:rPr>
          <w:rFonts w:hint="eastAsia" w:ascii="宋体" w:hAnsi="宋体"/>
          <w:szCs w:val="21"/>
        </w:rPr>
        <w:t xml:space="preserve">16.3合同的终止</w:t>
      </w:r>
      <w:r/>
    </w:p>
    <w:p>
      <w:pPr>
        <w:ind w:firstLine="420"/>
        <w:jc w:val="left"/>
        <w:spacing w:line="400" w:lineRule="exact"/>
        <w:rPr>
          <w:rFonts w:hint="eastAsia" w:ascii="宋体" w:hAnsi="宋体"/>
          <w:szCs w:val="21"/>
        </w:rPr>
      </w:pPr>
      <w:r>
        <w:rPr>
          <w:rFonts w:hint="eastAsia" w:ascii="宋体" w:hAnsi="宋体"/>
          <w:szCs w:val="21"/>
        </w:rPr>
        <w:t xml:space="preserve">（1）合同因有效期限届满而终止；</w:t>
      </w:r>
      <w:r/>
    </w:p>
    <w:p>
      <w:pPr>
        <w:ind w:firstLine="420"/>
        <w:spacing w:line="400" w:lineRule="exact"/>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ind w:firstLine="440"/>
        <w:jc w:val="left"/>
        <w:spacing w:line="400" w:lineRule="exact"/>
        <w:widowControl/>
        <w:rPr>
          <w:rFonts w:hint="eastAsia" w:ascii="宋体" w:hAnsi="宋体" w:eastAsia="华文楷体" w:cs="华文楷体"/>
          <w:sz w:val="22"/>
          <w:szCs w:val="21"/>
        </w:rPr>
      </w:pPr>
      <w:r>
        <w:rPr>
          <w:rFonts w:hint="eastAsia" w:ascii="宋体" w:hAnsi="宋体" w:eastAsia="华文楷体" w:cs="华文楷体"/>
          <w:sz w:val="22"/>
          <w:szCs w:val="21"/>
        </w:rPr>
        <w:t xml:space="preserve">16.4 </w:t>
      </w:r>
      <w:r>
        <w:rPr>
          <w:rFonts w:hint="eastAsia" w:ascii="宋体" w:hAnsi="宋体"/>
          <w:szCs w:val="21"/>
        </w:rPr>
        <w:t xml:space="preserve">涉及国家利益、社会公共利益的情形</w:t>
      </w:r>
      <w:r/>
    </w:p>
    <w:p>
      <w:pPr>
        <w:ind w:firstLine="420"/>
        <w:spacing w:line="400" w:lineRule="exact"/>
        <w:widowControl/>
        <w:rPr>
          <w:rFonts w:hint="eastAsia" w:ascii="华文楷体" w:hAnsi="华文楷体" w:eastAsia="华文楷体" w:cs="华文楷体"/>
          <w:szCs w:val="21"/>
        </w:rPr>
      </w:pPr>
      <w:r>
        <w:rPr>
          <w:rFonts w:hint="eastAsia" w:ascii="宋体" w:hAnsi="宋体" w:cs="宋体"/>
          <w:szCs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rPr>
      </w:pPr>
      <w:r>
        <w:rPr>
          <w:rFonts w:hint="eastAsia" w:ascii="宋体" w:hAnsi="宋体"/>
          <w:b/>
          <w:bCs/>
          <w:sz w:val="24"/>
        </w:rPr>
        <w:t xml:space="preserve">17. 合同分包</w:t>
      </w:r>
      <w:r/>
    </w:p>
    <w:p>
      <w:pPr>
        <w:ind w:firstLine="420"/>
        <w:jc w:val="left"/>
        <w:spacing w:line="400" w:lineRule="exact"/>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 w:val="24"/>
        </w:rPr>
      </w:pPr>
      <w:r>
        <w:rPr>
          <w:rFonts w:hint="eastAsia" w:ascii="宋体" w:hAnsi="宋体"/>
          <w:b/>
          <w:bCs/>
          <w:sz w:val="24"/>
        </w:rPr>
        <w:t xml:space="preserve">18. 不可抗力</w:t>
      </w:r>
      <w:r/>
    </w:p>
    <w:p>
      <w:pPr>
        <w:ind w:firstLine="420"/>
        <w:jc w:val="left"/>
        <w:spacing w:line="400" w:lineRule="exact"/>
        <w:rPr>
          <w:rFonts w:hint="eastAsia"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rPr>
      </w:pPr>
      <w:r>
        <w:rPr>
          <w:rFonts w:hint="eastAsia" w:ascii="宋体" w:hAnsi="宋体"/>
          <w:b/>
          <w:bCs/>
          <w:sz w:val="24"/>
        </w:rPr>
        <w:t xml:space="preserve">19. 解决争议的方法</w:t>
      </w:r>
      <w:r/>
    </w:p>
    <w:p>
      <w:pPr>
        <w:ind w:firstLine="420"/>
        <w:spacing w:line="400" w:lineRule="exact"/>
        <w:widowControl/>
        <w:rPr>
          <w:rFonts w:hint="eastAsia" w:ascii="宋体" w:hAnsi="宋体" w:cs="宋体"/>
          <w:szCs w:val="21"/>
        </w:rPr>
      </w:pPr>
      <w:r>
        <w:rPr>
          <w:rFonts w:hint="eastAsia" w:ascii="宋体" w:hAnsi="宋体" w:cs="宋体"/>
          <w:szCs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spacing w:line="400" w:lineRule="exact"/>
        <w:widowControl/>
        <w:rPr>
          <w:rFonts w:hint="eastAsia" w:ascii="宋体" w:hAnsi="宋体" w:cs="宋体"/>
          <w:szCs w:val="21"/>
        </w:rPr>
      </w:pPr>
      <w:r>
        <w:rPr>
          <w:rFonts w:hint="eastAsia" w:ascii="宋体" w:hAnsi="宋体" w:cs="宋体"/>
          <w:szCs w:val="21"/>
        </w:rPr>
        <w:t xml:space="preserve">19.2 选择仲裁的，应在</w:t>
      </w:r>
      <w:r>
        <w:rPr>
          <w:rFonts w:hint="eastAsia" w:ascii="宋体" w:hAnsi="宋体" w:cs="宋体"/>
          <w:b/>
          <w:bCs/>
          <w:szCs w:val="21"/>
        </w:rPr>
        <w:t xml:space="preserve">【政府采购合同专用条款】</w:t>
      </w:r>
      <w:r>
        <w:rPr>
          <w:rFonts w:hint="eastAsia" w:ascii="宋体" w:hAnsi="宋体" w:cs="宋体"/>
          <w:szCs w:val="21"/>
        </w:rPr>
        <w:t xml:space="preserve">中明确仲裁机构及仲裁地；通过诉讼方式解决的，可以在</w:t>
      </w:r>
      <w:r>
        <w:rPr>
          <w:rFonts w:hint="eastAsia" w:ascii="宋体" w:hAnsi="宋体" w:cs="宋体"/>
          <w:b/>
          <w:bCs/>
          <w:szCs w:val="21"/>
        </w:rPr>
        <w:t xml:space="preserve">【政府采购合同专用条款】</w:t>
      </w:r>
      <w:r>
        <w:rPr>
          <w:rFonts w:hint="eastAsia" w:ascii="宋体" w:hAnsi="宋体" w:cs="宋体"/>
          <w:szCs w:val="21"/>
        </w:rPr>
        <w:t xml:space="preserve">中进一步约定选择与争议有实际联系的地点的人民法院管辖，但管辖法院的约定不得违反级别管辖和专属管辖的规定。</w:t>
      </w:r>
      <w:r/>
    </w:p>
    <w:p>
      <w:pPr>
        <w:ind w:firstLine="420"/>
        <w:spacing w:line="400" w:lineRule="exact"/>
        <w:widowControl/>
        <w:rPr>
          <w:rFonts w:hint="eastAsia" w:ascii="宋体" w:hAnsi="宋体" w:cs="宋体"/>
          <w:szCs w:val="21"/>
        </w:rPr>
      </w:pPr>
      <w:r>
        <w:rPr>
          <w:rFonts w:hint="eastAsia" w:ascii="宋体" w:hAnsi="宋体" w:cs="宋体"/>
          <w:szCs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sz w:val="24"/>
        </w:rPr>
      </w:pPr>
      <w:r>
        <w:rPr>
          <w:rFonts w:hint="eastAsia" w:ascii="宋体" w:hAnsi="宋体"/>
          <w:b/>
          <w:sz w:val="24"/>
        </w:rPr>
        <w:t xml:space="preserve">20. 政府采购政策</w:t>
      </w:r>
      <w:r/>
    </w:p>
    <w:p>
      <w:pPr>
        <w:ind w:firstLine="420"/>
        <w:jc w:val="left"/>
        <w:spacing w:line="400" w:lineRule="exact"/>
        <w:rPr>
          <w:rFonts w:hint="eastAsia"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hint="eastAsia" w:ascii="宋体" w:hAnsi="宋体"/>
          <w:szCs w:val="21"/>
        </w:rPr>
      </w:pPr>
      <w:r>
        <w:rPr>
          <w:rFonts w:hint="eastAsia" w:ascii="宋体" w:hAnsi="宋体"/>
          <w:szCs w:val="21"/>
        </w:rPr>
        <w:t xml:space="preserve">20.2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spacing w:line="400" w:lineRule="exact"/>
        <w:rPr>
          <w:rFonts w:ascii="Calibri" w:hAnsi="Calibri"/>
          <w:szCs w:val="22"/>
        </w:rPr>
      </w:pPr>
      <w:r>
        <w:rPr>
          <w:rFonts w:hint="eastAsia" w:ascii="宋体" w:hAnsi="宋体"/>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b/>
          <w:sz w:val="24"/>
        </w:rPr>
      </w:pPr>
      <w:r>
        <w:rPr>
          <w:rFonts w:hint="eastAsia" w:ascii="宋体" w:hAnsi="宋体"/>
          <w:b/>
          <w:sz w:val="24"/>
        </w:rPr>
        <w:t xml:space="preserve">21. 法律适用</w:t>
      </w:r>
      <w:r/>
    </w:p>
    <w:p>
      <w:pPr>
        <w:ind w:firstLine="420"/>
        <w:spacing w:line="400" w:lineRule="exact"/>
        <w:widowControl/>
        <w:rPr>
          <w:rFonts w:hint="eastAsia" w:ascii="宋体" w:hAnsi="宋体" w:cs="宋体"/>
          <w:szCs w:val="21"/>
        </w:rPr>
      </w:pPr>
      <w:r>
        <w:rPr>
          <w:rFonts w:hint="eastAsia" w:ascii="宋体" w:hAnsi="宋体" w:cs="宋体"/>
          <w:szCs w:val="21"/>
        </w:rPr>
        <w:t xml:space="preserve">21.1 本合同的订立、生效、解释、履行及与本合同有关的争议解决，均适用法律、行政法规。</w:t>
      </w:r>
      <w:r/>
    </w:p>
    <w:p>
      <w:pPr>
        <w:ind w:firstLine="420"/>
        <w:spacing w:line="400" w:lineRule="exact"/>
        <w:widowControl/>
        <w:rPr>
          <w:rFonts w:hint="eastAsia" w:ascii="宋体" w:hAnsi="宋体" w:cs="宋体"/>
          <w:szCs w:val="21"/>
        </w:rPr>
      </w:pPr>
      <w:r>
        <w:rPr>
          <w:rFonts w:hint="eastAsia" w:ascii="宋体" w:hAnsi="宋体" w:cs="宋体"/>
          <w:szCs w:val="21"/>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宋体" w:hAnsi="宋体"/>
          <w:b/>
          <w:sz w:val="24"/>
        </w:rPr>
      </w:pPr>
      <w:r>
        <w:rPr>
          <w:rFonts w:hint="eastAsia" w:ascii="宋体" w:hAnsi="宋体"/>
          <w:b/>
          <w:sz w:val="24"/>
        </w:rPr>
        <w:t xml:space="preserve">22. 通知</w:t>
      </w:r>
      <w:r/>
    </w:p>
    <w:p>
      <w:pPr>
        <w:ind w:firstLine="420"/>
        <w:spacing w:line="400" w:lineRule="exact"/>
        <w:widowControl/>
        <w:rPr>
          <w:rFonts w:hint="eastAsia" w:ascii="宋体" w:hAnsi="宋体" w:cs="宋体"/>
          <w:szCs w:val="21"/>
        </w:rPr>
      </w:pPr>
      <w:r>
        <w:rPr>
          <w:rFonts w:hint="eastAsia" w:ascii="宋体" w:hAnsi="宋体" w:cs="宋体"/>
          <w:szCs w:val="21"/>
        </w:rPr>
        <w:t xml:space="preserve">22.1 本合同任何一方向对方发出的通知、信件、数据电文等，应当发送至本合同第一部分《政府采购合同协议书》所约定的通讯地址、联系人、联系电话或电子邮箱。</w:t>
      </w:r>
      <w:r/>
    </w:p>
    <w:p>
      <w:pPr>
        <w:spacing w:line="400" w:lineRule="exact"/>
        <w:widowControl/>
        <w:rPr>
          <w:rFonts w:hint="eastAsia" w:ascii="华文楷体" w:hAnsi="华文楷体" w:eastAsia="华文楷体" w:cs="华文楷体"/>
          <w:szCs w:val="21"/>
        </w:rPr>
      </w:pPr>
      <w:r>
        <w:rPr>
          <w:rFonts w:hint="eastAsia" w:ascii="宋体" w:hAnsi="宋体" w:cs="宋体"/>
          <w:szCs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11"/>
        </w:numPr>
        <w:jc w:val="left"/>
        <w:spacing w:line="400" w:lineRule="exact"/>
        <w:rPr>
          <w:rFonts w:hint="eastAsia" w:ascii="宋体" w:hAnsi="宋体"/>
          <w:b/>
          <w:bCs/>
          <w:sz w:val="24"/>
        </w:rPr>
      </w:pPr>
      <w:r>
        <w:rPr>
          <w:rFonts w:hint="eastAsia" w:ascii="宋体" w:hAnsi="宋体"/>
          <w:b/>
          <w:bCs/>
          <w:sz w:val="24"/>
        </w:rPr>
        <w:t xml:space="preserve">合同未尽事项</w:t>
      </w:r>
      <w:r/>
    </w:p>
    <w:p>
      <w:pPr>
        <w:ind w:firstLine="420"/>
        <w:jc w:val="left"/>
        <w:spacing w:line="40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hint="eastAsia" w:ascii="黑体" w:hAnsi="华文中宋" w:eastAsia="黑体"/>
          <w:sz w:val="28"/>
          <w:szCs w:val="28"/>
        </w:rPr>
      </w:pPr>
      <w:r>
        <w:rPr>
          <w:rFonts w:hint="eastAsia" w:ascii="宋体" w:hAnsi="宋体"/>
          <w:bCs/>
          <w:szCs w:val="21"/>
        </w:rPr>
        <w:t xml:space="preserve">    23.2 合同附件与合同正文具有同等的法律效力。</w:t>
      </w:r>
      <w:bookmarkStart w:id="60" w:name="_Toc20313"/>
      <w:r/>
      <w:r/>
    </w:p>
    <w:p>
      <w:pPr>
        <w:jc w:val="center"/>
        <w:spacing w:line="278" w:lineRule="auto"/>
        <w:rPr>
          <w:rFonts w:hint="eastAsia" w:ascii="黑体" w:hAnsi="华文中宋" w:eastAsia="黑体"/>
          <w:sz w:val="28"/>
          <w:szCs w:val="28"/>
        </w:rPr>
      </w:pPr>
      <w:r>
        <w:rPr>
          <w:rFonts w:hint="eastAsia" w:ascii="黑体" w:hAnsi="华文中宋" w:eastAsia="黑体"/>
          <w:sz w:val="28"/>
          <w:szCs w:val="28"/>
        </w:rPr>
        <w:br w:type="page" w:clear="all"/>
      </w:r>
      <w:r/>
    </w:p>
    <w:p>
      <w:pPr>
        <w:jc w:val="center"/>
        <w:keepLines/>
        <w:keepNext/>
        <w:spacing w:line="360" w:lineRule="auto"/>
        <w:rPr>
          <w:rFonts w:hint="eastAsia" w:ascii="黑体" w:hAnsi="华文中宋" w:eastAsia="黑体"/>
          <w:sz w:val="28"/>
          <w:szCs w:val="28"/>
        </w:rPr>
        <w:outlineLvl w:val="1"/>
      </w:pPr>
      <w:r>
        <w:rPr>
          <w:rFonts w:hint="eastAsia" w:ascii="黑体" w:hAnsi="华文中宋" w:eastAsia="黑体"/>
          <w:sz w:val="28"/>
          <w:szCs w:val="28"/>
        </w:rPr>
        <w:t xml:space="preserve">第三节 政府采购合同专用条款</w:t>
      </w:r>
      <w:bookmarkEnd w:id="60"/>
      <w:r/>
      <w:r/>
    </w:p>
    <w:tbl>
      <w:tblPr>
        <w:tblStyle w:val="799"/>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w:t>
            </w:r>
            <w:r/>
          </w:p>
        </w:tc>
      </w:tr>
      <w:tr>
        <w:trPr>
          <w:trHeight w:val="604"/>
        </w:trPr>
        <w:tc>
          <w:tcPr>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w:t>
            </w:r>
            <w:r/>
          </w:p>
        </w:tc>
      </w:tr>
      <w:tr>
        <w:trPr>
          <w:trHeight w:val="736"/>
        </w:trPr>
        <w:tc>
          <w:tcPr>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ind w:firstLine="300"/>
              <w:spacing w:line="360" w:lineRule="exact"/>
              <w:rPr>
                <w:rFonts w:ascii="仿宋_GB2312" w:eastAsia="仿宋_GB2312"/>
                <w:sz w:val="30"/>
                <w:szCs w:val="30"/>
              </w:rPr>
            </w:pPr>
            <w:r>
              <w:rPr>
                <w:rFonts w:hint="eastAsia" w:ascii="宋体" w:hAnsi="宋体"/>
                <w:szCs w:val="21"/>
              </w:rPr>
              <w:t xml:space="preserve">甲方未在60日内对乙方履约提出任何异议或者向乙方作出任何说明的，视为验收通过。</w:t>
            </w:r>
            <w:r/>
          </w:p>
        </w:tc>
      </w:tr>
      <w:tr>
        <w:trPr>
          <w:trHeight w:val="736"/>
        </w:trPr>
        <w:tc>
          <w:tcPr>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w:t>
            </w:r>
            <w:r/>
          </w:p>
        </w:tc>
      </w:tr>
      <w:tr>
        <w:trPr>
          <w:trHeight w:val="736"/>
        </w:trPr>
        <w:tc>
          <w:tcPr>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pPr>
            <w:r>
              <w:rPr>
                <w:rFonts w:hint="eastAsia" w:ascii="宋体" w:hAnsi="宋体"/>
                <w:szCs w:val="21"/>
              </w:rPr>
              <w:t xml:space="preserve">第5.4款</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1.乙方提供的服务人员必须是投标响应文件中所承诺的，杜绝采用分包、转包或挂靠单位人员。甲方发现提供服务的技术人员不能满足项目需求的，有权要求乙方按照承诺配备或更换相应资格的技术人员，且未经甲方同意不得随意私自更换技术人员。</w:t>
            </w:r>
            <w:r/>
          </w:p>
          <w:p>
            <w:pPr>
              <w:jc w:val="left"/>
              <w:spacing w:line="278" w:lineRule="auto"/>
              <w:rPr>
                <w:rFonts w:hint="eastAsia" w:ascii="宋体" w:hAnsi="宋体"/>
                <w:szCs w:val="21"/>
              </w:rPr>
            </w:pPr>
            <w:r>
              <w:rPr>
                <w:rFonts w:hint="eastAsia" w:ascii="宋体" w:hAnsi="宋体"/>
                <w:szCs w:val="21"/>
              </w:rPr>
              <w:t xml:space="preserve">2.仪器设备到达后，乙方在5个工作日内安排有经验的工程师到达设备使用现场，免费安装调试设备，并在3天内安装、调试完毕。</w:t>
            </w:r>
            <w:r/>
          </w:p>
          <w:p>
            <w:pPr>
              <w:jc w:val="left"/>
              <w:spacing w:line="278" w:lineRule="auto"/>
              <w:rPr>
                <w:rFonts w:hint="eastAsia" w:ascii="宋体" w:hAnsi="宋体"/>
                <w:szCs w:val="21"/>
              </w:rPr>
            </w:pPr>
            <w:r>
              <w:rPr>
                <w:rFonts w:hint="eastAsia" w:ascii="宋体" w:hAnsi="宋体"/>
                <w:szCs w:val="21"/>
              </w:rPr>
              <w:t xml:space="preserve">3.仪器设备安装调试完毕并验收通过后，乙方应为甲方提供免费培训服务，并指派专人负责与甲方联系售后服务事宜。主要培训内容为货物的基本结构、性能、主要部件的构造及处理，日常使用操作、保养与管理、常见故障的排除、紧急情况的处理等，保证相关人员能独立上机进行基本操作、基本维护，简单故障排除等。如甲方未使用过同类型货物，乙方还需就货物的功能对甲方人员进行相应的技术培训，培训地点主要在货物安装现场或由甲方安排。现场培训3天以上，除现场培训外，乙方根据甲方需要和招投标文件规定提供仪器设备生产厂家培训基地免费培训名额若干。</w:t>
            </w:r>
            <w:r/>
          </w:p>
          <w:p>
            <w:pPr>
              <w:jc w:val="left"/>
              <w:spacing w:line="278" w:lineRule="auto"/>
              <w:rPr>
                <w:rFonts w:hint="eastAsia" w:ascii="宋体" w:hAnsi="宋体"/>
                <w:szCs w:val="21"/>
              </w:rPr>
            </w:pPr>
            <w:r>
              <w:rPr>
                <w:rFonts w:hint="eastAsia" w:ascii="宋体" w:hAnsi="宋体"/>
                <w:szCs w:val="21"/>
              </w:rPr>
              <w:t xml:space="preserve">4.保修期内乙方按投标承诺提供免费维护和质量保证，所有货物保修服务方式均为乙方上门保修，即由乙方派员到货物使用现场维修，保修费用计入合同总价，不再另行收取。</w:t>
            </w:r>
            <w:r/>
          </w:p>
          <w:p>
            <w:pPr>
              <w:spacing w:line="380" w:lineRule="exact"/>
              <w:rPr>
                <w:rFonts w:hint="eastAsia" w:ascii="宋体" w:hAnsi="宋体"/>
                <w:szCs w:val="21"/>
              </w:rPr>
            </w:pPr>
            <w:r>
              <w:rPr>
                <w:rFonts w:hint="eastAsia" w:ascii="宋体" w:hAnsi="宋体"/>
                <w:szCs w:val="21"/>
              </w:rPr>
              <w:t xml:space="preserve">5.售后服务4小时内响应，2个工作日内上门。保修期内每年提供一次原厂技术维护。乙方提供设备终身维修保养服务。</w:t>
            </w:r>
            <w:r/>
          </w:p>
          <w:p>
            <w:pPr>
              <w:jc w:val="left"/>
              <w:spacing w:line="278" w:lineRule="auto"/>
              <w:rPr>
                <w:rFonts w:hint="eastAsia" w:ascii="宋体" w:hAnsi="宋体"/>
                <w:szCs w:val="21"/>
              </w:rPr>
            </w:pPr>
            <w:r>
              <w:rPr>
                <w:rFonts w:hint="eastAsia" w:ascii="宋体" w:hAnsi="宋体"/>
                <w:szCs w:val="21"/>
              </w:rPr>
              <w:t xml:space="preserve">6.货物发生故障后，乙方在规定时间内响应并上门维修，若货物故障在检修8工作小时后仍无法排除，乙方应在一周内免费提供不低于故障货物规格型号档次的备用货物供甲方使用，直至故障货物修复。</w:t>
            </w:r>
            <w:r/>
          </w:p>
          <w:p>
            <w:pPr>
              <w:jc w:val="left"/>
              <w:spacing w:line="278" w:lineRule="auto"/>
              <w:rPr>
                <w:rFonts w:hint="eastAsia" w:ascii="宋体" w:hAnsi="宋体"/>
                <w:szCs w:val="21"/>
              </w:rPr>
            </w:pPr>
            <w:r>
              <w:rPr>
                <w:rFonts w:hint="eastAsia" w:ascii="宋体" w:hAnsi="宋体"/>
                <w:szCs w:val="21"/>
              </w:rPr>
              <w:t xml:space="preserve">7.如果设备交付使用后，缺陷多次反复出现，乙方必</w:t>
            </w:r>
            <w:bookmarkStart w:id="61" w:name="OLE_LINK3"/>
            <w:r>
              <w:rPr>
                <w:rFonts w:hint="eastAsia" w:ascii="宋体" w:hAnsi="宋体"/>
                <w:szCs w:val="21"/>
              </w:rPr>
              <w:t xml:space="preserve">须提出分析报告和解决方案，更换该产品，直到最后纠正缺陷、乙方提供质保从纠正之日起重新计算质保期。</w:t>
            </w:r>
            <w:r/>
          </w:p>
          <w:p>
            <w:pPr>
              <w:jc w:val="left"/>
              <w:spacing w:line="278" w:lineRule="auto"/>
              <w:rPr>
                <w:rFonts w:hint="eastAsia" w:ascii="宋体" w:hAnsi="宋体"/>
                <w:szCs w:val="21"/>
              </w:rPr>
            </w:pPr>
            <w:r>
              <w:rPr>
                <w:rFonts w:hint="eastAsia" w:ascii="宋体" w:hAnsi="宋体"/>
                <w:szCs w:val="21"/>
              </w:rPr>
              <w:t xml:space="preserve">8.如乙方提供的设备设有维修软件密码，乙方应保证无条件地为甲方永久免费打开。</w:t>
            </w:r>
            <w:r/>
          </w:p>
          <w:p>
            <w:pPr>
              <w:jc w:val="left"/>
              <w:spacing w:line="278" w:lineRule="auto"/>
              <w:rPr>
                <w:rFonts w:hint="eastAsia" w:ascii="宋体" w:hAnsi="宋体"/>
                <w:szCs w:val="21"/>
              </w:rPr>
            </w:pPr>
            <w:r>
              <w:rPr>
                <w:rFonts w:hint="eastAsia" w:ascii="宋体" w:hAnsi="宋体"/>
                <w:szCs w:val="21"/>
              </w:rPr>
              <w:t xml:space="preserve">9.仪器设备安装后，乙方需长期提供技术支持和维修服务，包括软件的免费升级、为甲方提供需要的方法开发及应用资料。</w:t>
            </w:r>
            <w:bookmarkEnd w:id="61"/>
            <w:r/>
            <w:r/>
          </w:p>
        </w:tc>
      </w:tr>
      <w:tr>
        <w:trPr>
          <w:trHeight w:val="736"/>
        </w:trPr>
        <w:tc>
          <w:tcPr>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w:t>
            </w:r>
            <w:r/>
          </w:p>
        </w:tc>
      </w:tr>
      <w:tr>
        <w:trPr>
          <w:trHeight w:val="667"/>
        </w:trPr>
        <w:tc>
          <w:tcPr>
            <w:tcW w:w="1607" w:type="dxa"/>
            <w:vAlign w:val="center"/>
            <w:vMerge w:val="restart"/>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包装特殊要求</w:t>
            </w:r>
            <w:r/>
          </w:p>
        </w:tc>
        <w:tc>
          <w:tcPr>
            <w:tcW w:w="5170" w:type="dxa"/>
            <w:vAlign w:val="center"/>
            <w:textDirection w:val="lrTb"/>
            <w:noWrap w:val="false"/>
          </w:tcPr>
          <w:p>
            <w:pPr>
              <w:spacing w:line="278" w:lineRule="auto"/>
              <w:rPr>
                <w:rFonts w:hint="eastAsia" w:ascii="宋体" w:hAnsi="宋体"/>
              </w:rPr>
            </w:pPr>
            <w:r/>
            <w:bookmarkStart w:id="62" w:name="_Hlk175612562"/>
            <w:r>
              <w:rPr>
                <w:rFonts w:hint="eastAsia" w:ascii="宋体" w:hAnsi="宋体"/>
              </w:rPr>
              <w:t xml:space="preserve">商品包装和快递包装要求执行财办库【2020】123号，具体如下：</w:t>
            </w:r>
            <w:r/>
          </w:p>
          <w:p>
            <w:pPr>
              <w:spacing w:line="278" w:lineRule="auto"/>
              <w:rPr>
                <w:rFonts w:hint="eastAsia" w:ascii="宋体" w:hAnsi="宋体"/>
              </w:rPr>
            </w:pPr>
            <w:r>
              <w:rPr>
                <w:rFonts w:hint="eastAsia" w:ascii="宋体" w:hAnsi="宋体"/>
              </w:rPr>
              <w:t xml:space="preserve">1.1商品包装环保要求</w:t>
            </w:r>
            <w:r/>
          </w:p>
          <w:p>
            <w:pPr>
              <w:spacing w:line="278" w:lineRule="auto"/>
              <w:rPr>
                <w:rFonts w:hint="eastAsia" w:ascii="宋体" w:hAnsi="宋体"/>
              </w:rPr>
            </w:pPr>
            <w:r>
              <w:rPr>
                <w:rFonts w:hint="eastAsia" w:ascii="宋体" w:hAnsi="宋体"/>
              </w:rPr>
              <w:t xml:space="preserve">1.1.1商品包装层数不得超过3层，空隙率不大于40%；</w:t>
            </w:r>
            <w:r/>
          </w:p>
          <w:p>
            <w:pPr>
              <w:spacing w:line="278" w:lineRule="auto"/>
              <w:rPr>
                <w:rFonts w:hint="eastAsia" w:ascii="宋体" w:hAnsi="宋体"/>
              </w:rPr>
            </w:pPr>
            <w:r>
              <w:rPr>
                <w:rFonts w:hint="eastAsia" w:ascii="宋体" w:hAnsi="宋体"/>
              </w:rPr>
              <w:t xml:space="preserve">1.1.2商品包装尽可能使用单一材质的包装材料，如因功能需求必需使用不同材质，不同材质间应便于分离；</w:t>
            </w:r>
            <w:r/>
          </w:p>
          <w:p>
            <w:pPr>
              <w:spacing w:line="278" w:lineRule="auto"/>
              <w:rPr>
                <w:rFonts w:hint="eastAsia" w:ascii="宋体" w:hAnsi="宋体"/>
              </w:rPr>
            </w:pPr>
            <w:r>
              <w:rPr>
                <w:rFonts w:hint="eastAsia" w:ascii="宋体" w:hAnsi="宋体"/>
              </w:rPr>
              <w:t xml:space="preserve">1.1.3商品包装中铅、汞、镉、六价铬的总含量应不大于100mg/kg；</w:t>
            </w:r>
            <w:r/>
          </w:p>
          <w:p>
            <w:pPr>
              <w:spacing w:line="278" w:lineRule="auto"/>
              <w:rPr>
                <w:rFonts w:hint="eastAsia" w:ascii="宋体" w:hAnsi="宋体"/>
              </w:rPr>
            </w:pPr>
            <w:r>
              <w:rPr>
                <w:rFonts w:hint="eastAsia" w:ascii="宋体" w:hAnsi="宋体"/>
              </w:rPr>
              <w:t xml:space="preserve">1.1.4商品包装印刷使用的油墨中挥发性有机化合物(VOCs)含量应不大于5%（以重量计）；</w:t>
            </w:r>
            <w:r/>
          </w:p>
          <w:p>
            <w:pPr>
              <w:spacing w:line="278" w:lineRule="auto"/>
              <w:rPr>
                <w:rFonts w:hint="eastAsia" w:ascii="宋体" w:hAnsi="宋体"/>
              </w:rPr>
            </w:pPr>
            <w:r>
              <w:rPr>
                <w:rFonts w:hint="eastAsia" w:ascii="宋体" w:hAnsi="宋体"/>
              </w:rPr>
              <w:t xml:space="preserve">1.1.5塑料材质商品包装上呈现的印刷颜色不得超过6 色；</w:t>
            </w:r>
            <w:r/>
          </w:p>
          <w:p>
            <w:pPr>
              <w:spacing w:line="278" w:lineRule="auto"/>
              <w:rPr>
                <w:rFonts w:hint="eastAsia" w:ascii="宋体" w:hAnsi="宋体"/>
              </w:rPr>
            </w:pPr>
            <w:r>
              <w:rPr>
                <w:rFonts w:hint="eastAsia" w:ascii="宋体" w:hAnsi="宋体"/>
              </w:rPr>
              <w:t xml:space="preserve">1.1.6纸质商品包装应使用75%以上的可再生纤维原料生产；</w:t>
            </w:r>
            <w:r/>
          </w:p>
          <w:p>
            <w:pPr>
              <w:spacing w:line="278" w:lineRule="auto"/>
              <w:rPr>
                <w:rFonts w:hint="eastAsia" w:ascii="宋体" w:hAnsi="宋体"/>
              </w:rPr>
            </w:pPr>
            <w:r>
              <w:rPr>
                <w:rFonts w:hint="eastAsia" w:ascii="宋体" w:hAnsi="宋体"/>
              </w:rPr>
              <w:t xml:space="preserve">1.1.7木质商品包装的原料应来源于可持续性森林。</w:t>
            </w:r>
            <w:r/>
          </w:p>
          <w:p>
            <w:pPr>
              <w:spacing w:line="278" w:lineRule="auto"/>
              <w:rPr>
                <w:rFonts w:hint="eastAsia" w:ascii="宋体" w:hAnsi="宋体"/>
              </w:rPr>
            </w:pPr>
            <w:r>
              <w:rPr>
                <w:rFonts w:hint="eastAsia" w:ascii="宋体" w:hAnsi="宋体"/>
              </w:rPr>
              <w:t xml:space="preserve">1.2快递包装环保要求</w:t>
            </w:r>
            <w:r/>
          </w:p>
          <w:p>
            <w:pPr>
              <w:spacing w:line="278" w:lineRule="auto"/>
              <w:rPr>
                <w:rFonts w:hint="eastAsia" w:ascii="宋体" w:hAnsi="宋体"/>
              </w:rPr>
            </w:pPr>
            <w:r>
              <w:rPr>
                <w:rFonts w:hint="eastAsia" w:ascii="宋体" w:hAnsi="宋体"/>
              </w:rPr>
              <w:t xml:space="preserve">1.2.1快递包装中重金属（铅、汞、镉、六价铬）总量应不大于100mg/kg；</w:t>
            </w:r>
            <w:r/>
          </w:p>
          <w:p>
            <w:pPr>
              <w:spacing w:line="278" w:lineRule="auto"/>
              <w:rPr>
                <w:rFonts w:hint="eastAsia" w:ascii="宋体" w:hAnsi="宋体"/>
              </w:rPr>
            </w:pPr>
            <w:r>
              <w:rPr>
                <w:rFonts w:hint="eastAsia" w:ascii="宋体" w:hAnsi="宋体"/>
              </w:rPr>
              <w:t xml:space="preserve">1.2.2快递包装印刷使用的油墨中不应添加邻苯二甲酸酯，其挥发性有机化合物(VOCs)含量应不大于5%（以重量计）；</w:t>
            </w:r>
            <w:r/>
          </w:p>
          <w:p>
            <w:pPr>
              <w:spacing w:line="278" w:lineRule="auto"/>
              <w:rPr>
                <w:rFonts w:hint="eastAsia" w:ascii="宋体" w:hAnsi="宋体"/>
              </w:rPr>
            </w:pPr>
            <w:r>
              <w:rPr>
                <w:rFonts w:hint="eastAsia" w:ascii="宋体" w:hAnsi="宋体"/>
              </w:rPr>
              <w:t xml:space="preserve">1.2.3快递包装中使用纸基材的包装材料，纸基材中的有机氯的含量应不大于150 mg/kg；</w:t>
            </w:r>
            <w:r/>
          </w:p>
          <w:p>
            <w:pPr>
              <w:spacing w:line="278" w:lineRule="auto"/>
              <w:rPr>
                <w:rFonts w:hint="eastAsia" w:ascii="宋体" w:hAnsi="宋体"/>
              </w:rPr>
            </w:pPr>
            <w:r>
              <w:rPr>
                <w:rFonts w:hint="eastAsia" w:ascii="宋体" w:hAnsi="宋体"/>
              </w:rPr>
              <w:t xml:space="preserve">1.2.4快递包装中使用塑料基材的包装材料不得使用邻苯二甲酸二异壬酯、邻苯二甲酸二正辛酯、邻苯二甲酸二(2-乙基)己酯、邻苯二甲酸二异癸酯、邻苯二甲酸丁基苄基酯、邻苯二甲酸二丁酯等作为增塑剂；</w:t>
            </w:r>
            <w:r/>
          </w:p>
          <w:p>
            <w:pPr>
              <w:spacing w:line="278" w:lineRule="auto"/>
              <w:rPr>
                <w:rFonts w:hint="eastAsia" w:ascii="宋体" w:hAnsi="宋体"/>
              </w:rPr>
            </w:pPr>
            <w:r>
              <w:rPr>
                <w:rFonts w:hint="eastAsia" w:ascii="宋体" w:hAnsi="宋体"/>
              </w:rPr>
              <w:t xml:space="preserve">1.2.5快递中使用的塑料包装袋不得使用聚氯乙烯作为原料，且原料应为单一材质制成，生物分解率大于</w:t>
            </w:r>
            <w:bookmarkEnd w:id="62"/>
            <w:r/>
            <w:bookmarkStart w:id="63" w:name="_Hlk175612636"/>
            <w:r>
              <w:rPr>
                <w:rFonts w:hint="eastAsia" w:ascii="宋体" w:hAnsi="宋体"/>
              </w:rPr>
              <w:t xml:space="preserve">60%；</w:t>
            </w:r>
            <w:r/>
          </w:p>
          <w:p>
            <w:pPr>
              <w:spacing w:line="278" w:lineRule="auto"/>
              <w:rPr>
                <w:rFonts w:hint="eastAsia" w:ascii="宋体" w:hAnsi="宋体"/>
              </w:rPr>
            </w:pPr>
            <w:r>
              <w:rPr>
                <w:rFonts w:hint="eastAsia" w:ascii="宋体" w:hAnsi="宋体"/>
              </w:rPr>
              <w:t xml:space="preserve">1.2.6快递中使用的充气类填充物不得使用聚氯乙烯作为原料，且原料为单一材质制成，生物分解率大于60%；</w:t>
            </w:r>
            <w:r/>
          </w:p>
          <w:p>
            <w:pPr>
              <w:spacing w:line="278" w:lineRule="auto"/>
              <w:rPr>
                <w:rFonts w:hint="eastAsia" w:ascii="宋体" w:hAnsi="宋体"/>
              </w:rPr>
            </w:pPr>
            <w:r>
              <w:rPr>
                <w:rFonts w:hint="eastAsia" w:ascii="宋体" w:hAnsi="宋体"/>
              </w:rPr>
              <w:t xml:space="preserve">1.2.7快递中使用的集装袋应为单一材质制成，其重复使用次数应不小于80次；</w:t>
            </w:r>
            <w:r/>
          </w:p>
          <w:p>
            <w:pPr>
              <w:spacing w:line="278" w:lineRule="auto"/>
              <w:rPr>
                <w:rFonts w:hint="eastAsia" w:ascii="宋体" w:hAnsi="宋体"/>
              </w:rPr>
            </w:pPr>
            <w:r>
              <w:rPr>
                <w:rFonts w:hint="eastAsia" w:ascii="宋体" w:hAnsi="宋体"/>
              </w:rPr>
              <w:t xml:space="preserve">1.2.8快递中应使用幅宽不大于45mm的生物降解胶带；</w:t>
            </w:r>
            <w:r/>
          </w:p>
          <w:p>
            <w:pPr>
              <w:spacing w:line="278" w:lineRule="auto"/>
              <w:rPr>
                <w:rFonts w:hint="eastAsia" w:ascii="宋体" w:hAnsi="宋体"/>
              </w:rPr>
            </w:pPr>
            <w:r>
              <w:rPr>
                <w:rFonts w:hint="eastAsia" w:ascii="宋体" w:hAnsi="宋体"/>
              </w:rPr>
              <w:t xml:space="preserve">1.2.9快递包装中不得使用溶剂型胶粘剂；</w:t>
            </w:r>
            <w:r/>
          </w:p>
          <w:p>
            <w:pPr>
              <w:spacing w:line="278" w:lineRule="auto"/>
              <w:rPr>
                <w:rFonts w:hint="eastAsia" w:ascii="宋体" w:hAnsi="宋体"/>
              </w:rPr>
            </w:pPr>
            <w:r>
              <w:rPr>
                <w:rFonts w:hint="eastAsia" w:ascii="宋体" w:hAnsi="宋体"/>
              </w:rPr>
              <w:t xml:space="preserve">1.2.10快递应使用电子面单；</w:t>
            </w:r>
            <w:r/>
          </w:p>
          <w:p>
            <w:pPr>
              <w:spacing w:line="278" w:lineRule="auto"/>
              <w:rPr>
                <w:rFonts w:hint="eastAsia" w:ascii="宋体" w:hAnsi="宋体"/>
              </w:rPr>
            </w:pPr>
            <w:r>
              <w:rPr>
                <w:rFonts w:hint="eastAsia" w:ascii="宋体" w:hAnsi="宋体"/>
              </w:rPr>
              <w:t xml:space="preserve">1.2.11直接使用商品包装作为快递包装的商品，其商品包装满足《商品包装政府采购需求标准（试行）》即可；</w:t>
            </w:r>
            <w:r/>
          </w:p>
          <w:p>
            <w:pPr>
              <w:spacing w:line="278" w:lineRule="auto"/>
            </w:pPr>
            <w:r>
              <w:rPr>
                <w:rFonts w:hint="eastAsia" w:ascii="宋体" w:hAnsi="宋体"/>
              </w:rPr>
              <w:t xml:space="preserve">1.2.12快递包装产品质量和封装方式应符合相关国家或行业标准技术指标要求。</w:t>
            </w:r>
            <w:bookmarkEnd w:id="63"/>
            <w:r/>
            <w:r/>
          </w:p>
        </w:tc>
      </w:tr>
      <w:tr>
        <w:trPr>
          <w:trHeight w:val="667"/>
        </w:trPr>
        <w:tc>
          <w:tcPr>
            <w:tcW w:w="1607" w:type="dxa"/>
            <w:vAlign w:val="center"/>
            <w:vMerge w:val="continue"/>
            <w:textDirection w:val="lrTb"/>
            <w:noWrap w:val="false"/>
          </w:tcPr>
          <w:p>
            <w:pPr>
              <w:jc w:val="center"/>
              <w:spacing w:line="278" w:lineRule="auto"/>
              <w:rPr>
                <w:rFonts w:hint="eastAsia" w:ascii="宋体" w:hAnsi="宋体"/>
                <w:szCs w:val="21"/>
              </w:rPr>
            </w:pPr>
            <w:r>
              <w:rPr>
                <w:rFonts w:hint="eastAsia" w:ascii="宋体" w:hAnsi="宋体"/>
                <w:szCs w:val="21"/>
              </w:rPr>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指定现场</w:t>
            </w:r>
            <w:r/>
          </w:p>
        </w:tc>
        <w:tc>
          <w:tcPr>
            <w:tcW w:w="5170" w:type="dxa"/>
            <w:vAlign w:val="center"/>
            <w:textDirection w:val="lrTb"/>
            <w:noWrap w:val="false"/>
          </w:tcPr>
          <w:p>
            <w:pPr>
              <w:spacing w:line="278" w:lineRule="auto"/>
            </w:pPr>
            <w:r>
              <w:rPr>
                <w:rFonts w:hint="eastAsia" w:ascii="宋体" w:hAnsi="宋体"/>
              </w:rPr>
              <w:t xml:space="preserve">采购人指定地点</w:t>
            </w:r>
            <w:r/>
          </w:p>
        </w:tc>
      </w:tr>
      <w:tr>
        <w:trPr>
          <w:trHeight w:val="772"/>
        </w:trPr>
        <w:tc>
          <w:tcPr>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运输特殊要求</w:t>
            </w:r>
            <w:r/>
          </w:p>
        </w:tc>
        <w:tc>
          <w:tcPr>
            <w:tcW w:w="5170" w:type="dxa"/>
            <w:vAlign w:val="center"/>
            <w:textDirection w:val="lrTb"/>
            <w:noWrap w:val="false"/>
          </w:tcPr>
          <w:p>
            <w:pPr>
              <w:spacing w:line="278" w:lineRule="auto"/>
              <w:rPr>
                <w:rFonts w:hint="eastAsia" w:ascii="宋体" w:hAnsi="宋体"/>
              </w:rPr>
            </w:pPr>
            <w:r>
              <w:rPr>
                <w:rFonts w:hint="eastAsia" w:ascii="宋体" w:hAnsi="宋体"/>
              </w:rPr>
              <w:t xml:space="preserve">1.乙方应采取必要的安全措施保证货物的运输及安装的安全，且须考虑到可能会发生的野蛮装卸、长途运输及多次装卸之需要。如因乙方包装不当以及其它原因造成损坏或丢失，应由乙方负一切责任。</w:t>
            </w:r>
            <w:r/>
          </w:p>
          <w:p>
            <w:pPr>
              <w:spacing w:line="278" w:lineRule="auto"/>
            </w:pPr>
            <w:r>
              <w:rPr>
                <w:rFonts w:hint="eastAsia" w:ascii="宋体" w:hAnsi="宋体"/>
              </w:rPr>
              <w:t xml:space="preserve">2.乙方发货到甲方指定地点，并送达甲方指定楼层的安装位置。</w:t>
            </w:r>
            <w:r/>
          </w:p>
        </w:tc>
      </w:tr>
      <w:tr>
        <w:trPr>
          <w:trHeight w:val="667"/>
        </w:trPr>
        <w:tc>
          <w:tcPr>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保险要求</w:t>
            </w:r>
            <w:r/>
          </w:p>
        </w:tc>
        <w:tc>
          <w:tcPr>
            <w:tcW w:w="5170" w:type="dxa"/>
            <w:vAlign w:val="center"/>
            <w:textDirection w:val="lrTb"/>
            <w:noWrap w:val="false"/>
          </w:tcPr>
          <w:p>
            <w:pPr>
              <w:spacing w:line="278" w:lineRule="auto"/>
            </w:pPr>
            <w:r>
              <w:t xml:space="preserve">/</w:t>
            </w:r>
            <w:r/>
          </w:p>
        </w:tc>
      </w:tr>
      <w:tr>
        <w:trPr>
          <w:trHeight w:val="736"/>
        </w:trPr>
        <w:tc>
          <w:tcPr>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spacing w:line="278" w:lineRule="auto"/>
              <w:rPr>
                <w:rFonts w:hint="eastAsia" w:ascii="宋体" w:hAnsi="宋体"/>
                <w:szCs w:val="21"/>
              </w:rPr>
            </w:pPr>
            <w:r/>
            <w:bookmarkStart w:id="64" w:name="OLE_LINK10"/>
            <w:r>
              <w:rPr>
                <w:rFonts w:hint="eastAsia" w:ascii="宋体" w:hAnsi="宋体"/>
                <w:szCs w:val="21"/>
              </w:rPr>
              <w:t xml:space="preserve">质保期  年，质保期内维修、零配件更换、人工、差旅等所有费用由乙方承担。</w:t>
            </w:r>
            <w:bookmarkStart w:id="65" w:name="OLE_LINK9"/>
            <w:r>
              <w:rPr>
                <w:rFonts w:hint="eastAsia" w:ascii="宋体" w:hAnsi="宋体"/>
                <w:szCs w:val="21"/>
              </w:rPr>
              <w:t xml:space="preserve">乙方提供设备终身维修保养服务。</w:t>
            </w:r>
            <w:bookmarkEnd w:id="64"/>
            <w:r/>
            <w:bookmarkEnd w:id="65"/>
            <w:r/>
            <w:r/>
          </w:p>
        </w:tc>
      </w:tr>
      <w:tr>
        <w:trPr>
          <w:trHeight w:val="736"/>
        </w:trPr>
        <w:tc>
          <w:tcPr>
            <w:tcW w:w="1607" w:type="dxa"/>
            <w:vAlign w:val="center"/>
            <w:textDirection w:val="lrTb"/>
            <w:noWrap w:val="false"/>
          </w:tcPr>
          <w:p>
            <w:pPr>
              <w:jc w:val="center"/>
              <w:spacing w:line="278" w:lineRule="auto"/>
              <w:rPr>
                <w:rFonts w:hint="eastAsia" w:ascii="宋体" w:hAnsi="宋体"/>
                <w:szCs w:val="21"/>
              </w:rPr>
            </w:pPr>
            <w:r/>
            <w:bookmarkStart w:id="66" w:name="_Hlk174700718"/>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货物质量缺陷</w:t>
            </w:r>
            <w:r/>
          </w:p>
          <w:p>
            <w:pPr>
              <w:jc w:val="left"/>
              <w:spacing w:line="278" w:lineRule="auto"/>
              <w:rPr>
                <w:rFonts w:hint="eastAsia"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1.乙方维修的响应时间为4小时，2个工作日内到达现场维修。</w:t>
            </w:r>
            <w:r/>
          </w:p>
          <w:p>
            <w:pPr>
              <w:jc w:val="left"/>
              <w:spacing w:line="360" w:lineRule="auto"/>
              <w:rPr>
                <w:rFonts w:ascii="仿宋_GB2312" w:eastAsia="仿宋_GB2312"/>
                <w:sz w:val="30"/>
                <w:szCs w:val="30"/>
              </w:rPr>
            </w:pPr>
            <w:r>
              <w:rPr>
                <w:rFonts w:hint="eastAsia" w:ascii="宋体" w:hAnsi="宋体"/>
                <w:szCs w:val="21"/>
              </w:rPr>
              <w:t xml:space="preserve">2.乙方应于15日内更换有缺陷的货物或部件。</w:t>
            </w:r>
            <w:bookmarkEnd w:id="66"/>
            <w:r/>
            <w:r/>
          </w:p>
        </w:tc>
      </w:tr>
      <w:tr>
        <w:trPr>
          <w:trHeight w:val="736"/>
        </w:trPr>
        <w:tc>
          <w:tcPr>
            <w:tcW w:w="1607" w:type="dxa"/>
            <w:vAlign w:val="center"/>
            <w:textDirection w:val="lrTb"/>
            <w:noWrap w:val="false"/>
          </w:tcPr>
          <w:p>
            <w:pPr>
              <w:jc w:val="center"/>
              <w:spacing w:line="278" w:lineRule="auto"/>
              <w:rPr>
                <w:rFonts w:hint="eastAsia" w:ascii="宋体" w:hAnsi="宋体" w:cs="宋体"/>
                <w:szCs w:val="21"/>
              </w:rPr>
            </w:pPr>
            <w:r>
              <w:rPr>
                <w:rFonts w:hint="eastAsia" w:ascii="宋体" w:hAnsi="宋体" w:cs="宋体"/>
                <w:szCs w:val="21"/>
              </w:rPr>
              <w:t xml:space="preserve">第二节</w:t>
            </w:r>
            <w:r/>
          </w:p>
          <w:p>
            <w:pPr>
              <w:jc w:val="center"/>
              <w:spacing w:line="400" w:lineRule="exact"/>
              <w:widowControl/>
              <w:rPr>
                <w:rFonts w:hint="eastAsia" w:ascii="华文楷体" w:hAnsi="华文楷体" w:eastAsia="华文楷体" w:cs="华文楷体"/>
                <w:sz w:val="22"/>
                <w:szCs w:val="21"/>
              </w:rPr>
            </w:pPr>
            <w:r>
              <w:rPr>
                <w:rFonts w:hint="eastAsia" w:ascii="宋体" w:hAnsi="宋体" w:cs="宋体"/>
                <w:sz w:val="22"/>
                <w:szCs w:val="21"/>
              </w:rPr>
              <w:t xml:space="preserve">第11.1款</w:t>
            </w:r>
            <w:r/>
          </w:p>
        </w:tc>
        <w:tc>
          <w:tcPr>
            <w:tcW w:w="1742" w:type="dxa"/>
            <w:vAlign w:val="center"/>
            <w:textDirection w:val="lrTb"/>
            <w:noWrap w:val="false"/>
          </w:tcPr>
          <w:p>
            <w:pPr>
              <w:spacing w:line="278" w:lineRule="auto"/>
              <w:rPr>
                <w:rFonts w:hint="eastAsia"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spacing w:line="278" w:lineRule="auto"/>
              <w:rPr>
                <w:rFonts w:hint="eastAsia" w:ascii="宋体" w:hAnsi="宋体"/>
                <w:szCs w:val="21"/>
              </w:rPr>
            </w:pPr>
            <w:r/>
            <w:bookmarkStart w:id="67" w:name="OLE_LINK5"/>
            <w:r>
              <w:rPr>
                <w:rFonts w:hint="eastAsia" w:ascii="宋体" w:hAnsi="宋体"/>
                <w:szCs w:val="21"/>
              </w:rPr>
              <w:t xml:space="preserve">1.乙方有权依据合同约定和项目需要，向甲方了解有关情况，调阅有关资料等，甲方应予积极配合；</w:t>
            </w:r>
            <w:r/>
          </w:p>
          <w:p>
            <w:pPr>
              <w:jc w:val="left"/>
              <w:spacing w:line="278" w:lineRule="auto"/>
              <w:rPr>
                <w:rFonts w:hint="eastAsia" w:ascii="宋体" w:hAnsi="宋体"/>
                <w:szCs w:val="21"/>
              </w:rPr>
            </w:pPr>
            <w:r>
              <w:rPr>
                <w:rFonts w:hint="eastAsia" w:ascii="宋体" w:hAnsi="宋体"/>
                <w:szCs w:val="21"/>
              </w:rPr>
              <w:t xml:space="preserve">2.乙方有义务妥善保管和保护由甲方提供的前款信息和资料等；</w:t>
            </w:r>
            <w:r/>
          </w:p>
          <w:p>
            <w:pPr>
              <w:jc w:val="left"/>
              <w:spacing w:line="278" w:lineRule="auto"/>
              <w:rPr>
                <w:rFonts w:hint="eastAsia" w:ascii="宋体" w:hAnsi="宋体"/>
                <w:szCs w:val="21"/>
              </w:rPr>
            </w:pPr>
            <w:r>
              <w:rPr>
                <w:rFonts w:hint="eastAsia" w:ascii="宋体" w:hAnsi="宋体"/>
                <w:szCs w:val="21"/>
              </w:rPr>
              <w:t xml:space="preserve">3.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w:t>
            </w:r>
            <w:bookmarkEnd w:id="67"/>
            <w:r>
              <w:rPr>
                <w:rFonts w:hint="eastAsia" w:ascii="宋体" w:hAnsi="宋体"/>
                <w:szCs w:val="21"/>
              </w:rPr>
              <w:t xml:space="preserve">信息和资料。</w:t>
            </w:r>
            <w:r/>
          </w:p>
        </w:tc>
      </w:tr>
      <w:tr>
        <w:trPr>
          <w:trHeight w:val="697"/>
        </w:trPr>
        <w:tc>
          <w:tcPr>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spacing w:line="278" w:lineRule="auto"/>
              <w:rPr>
                <w:rFonts w:hint="eastAsia" w:ascii="宋体" w:hAnsi="宋体"/>
                <w:szCs w:val="21"/>
              </w:rPr>
            </w:pPr>
            <w:r>
              <w:rPr>
                <w:rFonts w:hint="eastAsia" w:ascii="宋体" w:hAnsi="宋体"/>
                <w:sz w:val="21"/>
                <w:szCs w:val="21"/>
                <w:u w:val="single"/>
              </w:rPr>
              <w:t xml:space="preserve">合同签订完毕并收到乙方开具的发票后10个工作日内支付合同总价款的30%（人民币</w:t>
            </w:r>
            <w:r>
              <w:rPr>
                <w:rFonts w:hint="eastAsia" w:ascii="宋体" w:hAnsi="宋体"/>
                <w:sz w:val="21"/>
                <w:szCs w:val="21"/>
                <w:u w:val="single"/>
                <w:lang w:val="en-US" w:eastAsia="zh-CN"/>
              </w:rPr>
              <w:t xml:space="preserve">   </w:t>
            </w:r>
            <w:r>
              <w:rPr>
                <w:rFonts w:hint="eastAsia" w:ascii="宋体" w:hAnsi="宋体"/>
                <w:sz w:val="21"/>
                <w:szCs w:val="21"/>
                <w:u w:val="single"/>
              </w:rPr>
              <w:t xml:space="preserve">元）；货物交付安装、调试完成、验收合格并收到乙方开具的发票后10个工作日内支付余款（人民币</w:t>
            </w:r>
            <w:r>
              <w:rPr>
                <w:rFonts w:hint="eastAsia" w:ascii="宋体" w:hAnsi="宋体"/>
                <w:sz w:val="21"/>
                <w:szCs w:val="21"/>
                <w:u w:val="single"/>
                <w:lang w:val="en-US" w:eastAsia="zh-CN"/>
              </w:rPr>
              <w:t xml:space="preserve">    </w:t>
            </w:r>
            <w:r>
              <w:rPr>
                <w:rFonts w:hint="eastAsia" w:ascii="宋体" w:hAnsi="宋体"/>
                <w:sz w:val="21"/>
                <w:szCs w:val="21"/>
                <w:u w:val="single"/>
              </w:rPr>
              <w:t xml:space="preserve">元）。以上付款均通过银行转账，不计利息。如因经费支付审批流程等客观原因导致付款滞后的，甲方出具书面证明材料后可适当放宽付款时限，且不承担逾期付款责任。</w:t>
            </w:r>
            <w:r/>
          </w:p>
        </w:tc>
      </w:tr>
      <w:tr>
        <w:trPr>
          <w:trHeight w:val="697"/>
        </w:trPr>
        <w:tc>
          <w:tcPr>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发生以下情况的，履约保证金不予退还或部分退还：</w:t>
            </w:r>
            <w:r/>
          </w:p>
          <w:p>
            <w:pPr>
              <w:jc w:val="left"/>
              <w:spacing w:line="278" w:lineRule="auto"/>
              <w:rPr>
                <w:rFonts w:hint="eastAsia" w:ascii="宋体" w:hAnsi="宋体"/>
                <w:szCs w:val="21"/>
              </w:rPr>
            </w:pPr>
            <w:r>
              <w:rPr>
                <w:rFonts w:hint="eastAsia" w:ascii="宋体" w:hAnsi="宋体"/>
                <w:szCs w:val="21"/>
              </w:rPr>
              <w:t xml:space="preserve">a.签订合同后，乙方不履行合同义务的，甲方有权全额扣除履约保证金，全额不予退还，同时甲方亦有权终止合同，乙方还须承担相应的法律赔偿责任。</w:t>
            </w:r>
            <w:r/>
          </w:p>
          <w:p>
            <w:pPr>
              <w:jc w:val="left"/>
              <w:spacing w:line="400" w:lineRule="exact"/>
              <w:widowControl/>
              <w:rPr>
                <w:rFonts w:hint="eastAsia" w:ascii="华文楷体" w:hAnsi="华文楷体" w:eastAsia="华文楷体" w:cs="华文楷体"/>
                <w:sz w:val="22"/>
                <w:szCs w:val="21"/>
              </w:rPr>
            </w:pPr>
            <w:r>
              <w:rPr>
                <w:rFonts w:hint="eastAsia" w:ascii="宋体" w:hAnsi="宋体"/>
                <w:szCs w:val="21"/>
              </w:rPr>
              <w:t xml:space="preserve">b.乙方在履约过程中发生违约行为，给甲方造成损失的，甲方有权在乙方缴纳的履约保证金中予以扣款，以弥补甲方经济损失，不足的部分乙方另外补齐。</w:t>
            </w:r>
            <w:r/>
          </w:p>
        </w:tc>
      </w:tr>
      <w:tr>
        <w:trPr>
          <w:trHeight w:val="736"/>
        </w:trPr>
        <w:tc>
          <w:tcPr>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spacing w:line="278" w:lineRule="auto"/>
              <w:rPr>
                <w:rFonts w:hint="eastAsia" w:ascii="宋体" w:hAnsi="宋体"/>
                <w:szCs w:val="21"/>
              </w:rPr>
            </w:pPr>
            <w:r>
              <w:rPr>
                <w:rFonts w:hint="eastAsia" w:ascii="宋体" w:hAnsi="宋体"/>
                <w:szCs w:val="22"/>
              </w:rPr>
              <w:t xml:space="preserve">以现金形式提交履约保证金的，乙方全部履行合同义务，经甲方验收合格无质量、进度等问题的，甲方在验收合格后10个工作日内一次性退还履约保证金（无息），甲方若逾期退还履约保证金的，按照逾期部分的每日万分之一支付违约金；以履约保函等非现金形式提交履约保证金的，乙方全部履行合同义务，经甲方验收合格无质量、进度等问题的，履约保函等文件到期后自动失效，无逾期退还情形。</w:t>
            </w:r>
            <w:r/>
          </w:p>
        </w:tc>
      </w:tr>
      <w:tr>
        <w:trPr>
          <w:trHeight w:val="784"/>
        </w:trPr>
        <w:tc>
          <w:tcPr>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质保期  年，质保期内维修、零配件更换、人工、差旅等所有费用由乙方承担。</w:t>
            </w:r>
            <w:bookmarkStart w:id="68" w:name="OLE_LINK12"/>
            <w:r>
              <w:rPr>
                <w:rFonts w:hint="eastAsia" w:ascii="宋体" w:hAnsi="宋体"/>
                <w:szCs w:val="21"/>
              </w:rPr>
              <w:t xml:space="preserve">乙方提供设备终身维修保养服务</w:t>
            </w:r>
            <w:bookmarkEnd w:id="68"/>
            <w:r/>
            <w:bookmarkStart w:id="69" w:name="OLE_LINK33"/>
            <w:r>
              <w:rPr>
                <w:rFonts w:hint="eastAsia" w:ascii="宋体" w:hAnsi="宋体"/>
                <w:szCs w:val="21"/>
              </w:rPr>
              <w:t xml:space="preserve">。</w:t>
            </w:r>
            <w:bookmarkEnd w:id="69"/>
            <w:r/>
            <w:r/>
          </w:p>
        </w:tc>
      </w:tr>
      <w:tr>
        <w:trPr>
          <w:trHeight w:val="784"/>
        </w:trPr>
        <w:tc>
          <w:tcPr>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w:t>
            </w:r>
            <w:r/>
          </w:p>
        </w:tc>
      </w:tr>
      <w:tr>
        <w:trPr>
          <w:trHeight w:val="736"/>
        </w:trPr>
        <w:tc>
          <w:tcPr>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w:t>
            </w:r>
            <w:r/>
          </w:p>
        </w:tc>
      </w:tr>
      <w:tr>
        <w:trPr>
          <w:trHeight w:val="736"/>
        </w:trPr>
        <w:tc>
          <w:tcPr>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如果设备交付使用后，缺陷多次反复出现，乙方必须提出分析报告和解决方案，更换该产品，直到最后纠正缺陷、乙方提供质保从纠正之日起重新计算质保期。</w:t>
            </w:r>
            <w:r/>
          </w:p>
        </w:tc>
      </w:tr>
      <w:tr>
        <w:trPr>
          <w:trHeight w:val="736"/>
        </w:trPr>
        <w:tc>
          <w:tcPr>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如乙方不能按期交付货物、完成安装调试并验收通过的，甲方有权扣留全部履约保证金；同时乙方应向甲方支付本合同总价款5%的违约金。如乙方逾期交付达10天及以上的，甲方有权解除合同，解除合同的通知自到达乙方时生效，甲方有权要求乙方退还甲方已支付货款并向甲方支付本合同总价款20%的赔偿金。</w:t>
            </w:r>
            <w:r/>
          </w:p>
        </w:tc>
      </w:tr>
      <w:tr>
        <w:trPr>
          <w:trHeight w:val="736"/>
        </w:trPr>
        <w:tc>
          <w:tcPr>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spacing w:line="278" w:lineRule="auto"/>
              <w:rPr>
                <w:rFonts w:hint="eastAsia" w:ascii="宋体" w:hAnsi="宋体"/>
                <w:szCs w:val="21"/>
              </w:rPr>
            </w:pPr>
            <w:r/>
            <w:bookmarkStart w:id="70" w:name="OLE_LINK6"/>
            <w:r>
              <w:rPr>
                <w:rFonts w:hint="eastAsia" w:ascii="宋体" w:hAnsi="宋体"/>
                <w:szCs w:val="21"/>
              </w:rPr>
              <w:t xml:space="preserve">甲方未按合同规定的期限向乙方支付货款的，每逾期1天甲方向乙方偿付逾期款的万分之一作为逾期付款违约金，</w:t>
            </w:r>
            <w:bookmarkEnd w:id="70"/>
            <w:r>
              <w:rPr>
                <w:rFonts w:hint="eastAsia" w:ascii="宋体" w:hAnsi="宋体"/>
                <w:szCs w:val="21"/>
              </w:rPr>
              <w:t xml:space="preserve">但累计违约金总额不超过逾期款的5%。</w:t>
            </w:r>
            <w:r/>
          </w:p>
          <w:p>
            <w:pPr>
              <w:jc w:val="left"/>
              <w:spacing w:line="278" w:lineRule="auto"/>
              <w:rPr>
                <w:rFonts w:hint="eastAsia" w:ascii="宋体" w:hAnsi="宋体"/>
                <w:szCs w:val="21"/>
              </w:rPr>
            </w:pPr>
            <w:r>
              <w:rPr>
                <w:rFonts w:hint="eastAsia" w:ascii="宋体" w:hAnsi="宋体"/>
                <w:szCs w:val="21"/>
              </w:rPr>
              <w:t xml:space="preserve">但因财政支付审批流程等客观原因导致付款滞后的，甲方出具书面证明材料后免责。</w:t>
            </w:r>
            <w:r/>
          </w:p>
        </w:tc>
      </w:tr>
      <w:tr>
        <w:trPr>
          <w:trHeight w:val="876"/>
        </w:trPr>
        <w:tc>
          <w:tcPr>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第15.4款</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其他违约责任</w:t>
            </w:r>
            <w:r/>
          </w:p>
        </w:tc>
        <w:tc>
          <w:tcPr>
            <w:tcW w:w="5170"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1.甲方无正当理由拒收货物、拒付货物款的，由甲方向乙方偿付本合同总价款5%的违约金。</w:t>
            </w:r>
            <w:r/>
          </w:p>
          <w:p>
            <w:pPr>
              <w:jc w:val="left"/>
              <w:spacing w:line="278" w:lineRule="auto"/>
              <w:rPr>
                <w:rFonts w:hint="eastAsia" w:ascii="宋体" w:hAnsi="宋体"/>
                <w:szCs w:val="21"/>
              </w:rPr>
            </w:pPr>
            <w:r>
              <w:rPr>
                <w:rFonts w:hint="eastAsia" w:ascii="宋体" w:hAnsi="宋体"/>
                <w:szCs w:val="21"/>
              </w:rPr>
              <w:t xml:space="preserve">2.如乙方不能按期交付货物、完成安装调试并验收通过的，甲方有权扣留全部履约保证金；同时乙方应向甲方支付本合同总价款5%的违约金。</w:t>
            </w:r>
            <w:r/>
          </w:p>
          <w:p>
            <w:pPr>
              <w:jc w:val="left"/>
              <w:spacing w:line="278" w:lineRule="auto"/>
              <w:rPr>
                <w:rFonts w:hint="eastAsia" w:ascii="宋体" w:hAnsi="宋体"/>
                <w:szCs w:val="21"/>
              </w:rPr>
            </w:pPr>
            <w:r>
              <w:rPr>
                <w:rFonts w:hint="eastAsia" w:ascii="宋体" w:hAnsi="宋体"/>
                <w:szCs w:val="21"/>
              </w:rPr>
              <w:t xml:space="preserve">3. 乙方投标属虚假承诺，或经权威部门监测提供的货物不能满足招标文件要求，或是由于乙方的过错造成合同无法继续履行的，乙方履约保证金不予退还，除退还甲方已支付货款外，还应向甲方支付不少于本合同总价款30%的赔偿金。</w:t>
            </w:r>
            <w:r/>
          </w:p>
          <w:p>
            <w:pPr>
              <w:jc w:val="left"/>
              <w:spacing w:line="278" w:lineRule="auto"/>
              <w:rPr>
                <w:rFonts w:hint="eastAsia" w:ascii="宋体" w:hAnsi="宋体"/>
                <w:szCs w:val="21"/>
              </w:rPr>
            </w:pPr>
            <w:r>
              <w:rPr>
                <w:rFonts w:hint="eastAsia" w:ascii="宋体" w:hAnsi="宋体"/>
                <w:szCs w:val="21"/>
              </w:rPr>
              <w:t xml:space="preserve">4.乙方所交付的货物品种、型号、规格不符合合同规定的，甲方有权拒收并扣留乙方全部履约保证金。甲方拒收的，乙方应向甲方支付本合同总价款5%的违约金。</w:t>
            </w:r>
            <w:r/>
          </w:p>
          <w:p>
            <w:pPr>
              <w:jc w:val="left"/>
              <w:spacing w:line="278" w:lineRule="auto"/>
              <w:rPr>
                <w:rFonts w:hint="eastAsia" w:ascii="宋体" w:hAnsi="宋体"/>
                <w:szCs w:val="21"/>
              </w:rPr>
            </w:pPr>
            <w:r>
              <w:rPr>
                <w:rFonts w:hint="eastAsia" w:ascii="宋体" w:hAnsi="宋体"/>
                <w:szCs w:val="21"/>
              </w:rPr>
              <w:t xml:space="preserve">5.在乙方承诺的或国家规定的质量保证期内（取两者中最长的期限），如经乙方两次维修或更换，货物仍不能达到合同约定的质量标准，甲方有权退货，乙方应退回全部货款，同时，乙方还须向甲方支付本合同总价款20%的赔偿金并赔偿甲方因此遭受的一切损失。</w:t>
            </w:r>
            <w:r/>
          </w:p>
          <w:p>
            <w:pPr>
              <w:jc w:val="left"/>
              <w:spacing w:line="278" w:lineRule="auto"/>
              <w:rPr>
                <w:rFonts w:hint="eastAsia" w:ascii="宋体" w:hAnsi="宋体"/>
                <w:szCs w:val="21"/>
              </w:rPr>
            </w:pPr>
            <w:r>
              <w:rPr>
                <w:rFonts w:hint="eastAsia" w:ascii="宋体" w:hAnsi="宋体"/>
                <w:szCs w:val="21"/>
              </w:rPr>
              <w:t xml:space="preserve">6.乙方未按本合同的规定和“服务承诺”提供伴随服务/售后服务的，应承担甲方另行采购相关服务而支付的费用，并按本合同总价款的5%向甲方承担违约责任。</w:t>
            </w:r>
            <w:r/>
          </w:p>
          <w:p>
            <w:pPr>
              <w:jc w:val="left"/>
              <w:spacing w:line="278" w:lineRule="auto"/>
              <w:rPr>
                <w:rFonts w:hint="eastAsia" w:ascii="宋体" w:hAnsi="宋体"/>
                <w:szCs w:val="21"/>
              </w:rPr>
            </w:pPr>
            <w:r>
              <w:rPr>
                <w:rFonts w:hint="eastAsia" w:ascii="宋体" w:hAnsi="宋体"/>
                <w:szCs w:val="21"/>
              </w:rPr>
              <w:t xml:space="preserve">7.乙方具有一项或多项违约事由，除应承担违约金、赔偿金外，乙方还须承担甲方因维权产生的的包括但不限于律师费、诉讼费、保全费、公证费、差旅费、保全保险费等费用，以及甲方因此产生的其他一切损失。</w:t>
            </w:r>
            <w:r/>
          </w:p>
          <w:p>
            <w:pPr>
              <w:jc w:val="left"/>
              <w:spacing w:line="278" w:lineRule="auto"/>
              <w:rPr>
                <w:rFonts w:hint="eastAsia" w:ascii="宋体" w:hAnsi="宋体"/>
                <w:szCs w:val="21"/>
              </w:rPr>
            </w:pPr>
            <w:r>
              <w:rPr>
                <w:rFonts w:hint="eastAsia" w:ascii="宋体" w:hAnsi="宋体"/>
                <w:szCs w:val="21"/>
              </w:rPr>
              <w:t xml:space="preserve">8.乙方在承担一项或多项违约责任后，仍应继续履行合同规定的义务（甲方解除合同的除外）。甲方未能及时追究乙方的任何一项违约责任并不表明甲方放弃追究乙方该项或其他违约责任。</w:t>
            </w:r>
            <w:r/>
          </w:p>
        </w:tc>
      </w:tr>
      <w:tr>
        <w:trPr>
          <w:trHeight w:val="90"/>
        </w:trPr>
        <w:tc>
          <w:tcPr>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第19.2款</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解决争议的方法</w:t>
            </w:r>
            <w:r/>
          </w:p>
        </w:tc>
        <w:tc>
          <w:tcPr>
            <w:tcW w:w="5170"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（1）</w:t>
            </w:r>
            <w:r>
              <w:rPr>
                <w:rFonts w:hint="eastAsia" w:ascii="宋体" w:hAnsi="宋体" w:cs="宋体"/>
                <w:iCs/>
                <w:szCs w:val="21"/>
              </w:rPr>
              <w:t xml:space="preserve">种方式解决：</w:t>
            </w:r>
            <w:r/>
          </w:p>
          <w:p>
            <w:pPr>
              <w:jc w:val="left"/>
              <w:spacing w:line="400" w:lineRule="exact"/>
              <w:rPr>
                <w:rFonts w:hint="eastAsia"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南通市</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南通市   </w:t>
            </w:r>
            <w:r>
              <w:rPr>
                <w:rFonts w:hint="eastAsia" w:ascii="宋体" w:hAnsi="宋体" w:cs="宋体"/>
                <w:iCs/>
                <w:szCs w:val="21"/>
              </w:rPr>
              <w:t xml:space="preserve">；</w:t>
            </w:r>
            <w:r/>
          </w:p>
          <w:p>
            <w:pPr>
              <w:jc w:val="left"/>
              <w:spacing w:line="278" w:lineRule="auto"/>
              <w:rPr>
                <w:rFonts w:hint="eastAsia" w:ascii="宋体" w:hAnsi="宋体"/>
                <w:szCs w:val="21"/>
                <w:u w:val="single"/>
              </w:rPr>
            </w:pPr>
            <w:r>
              <w:rPr>
                <w:rFonts w:hint="eastAsia" w:ascii="宋体" w:hAnsi="宋体" w:cs="宋体"/>
                <w:iCs/>
                <w:szCs w:val="21"/>
              </w:rPr>
              <w:t xml:space="preserve">（2）向甲方所在地有管辖权的人民法院起诉。</w:t>
            </w:r>
            <w:r/>
          </w:p>
        </w:tc>
      </w:tr>
      <w:tr>
        <w:trPr>
          <w:trHeight w:val="770"/>
        </w:trPr>
        <w:tc>
          <w:tcPr>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spacing w:line="278" w:lineRule="auto"/>
            </w:pPr>
            <w:r>
              <w:rPr>
                <w:rFonts w:hint="eastAsia" w:ascii="宋体" w:hAnsi="宋体"/>
                <w:szCs w:val="21"/>
              </w:rPr>
              <w:t xml:space="preserve">因货物的质量问题发生争议的，应当邀请国家认可的质量检测机构对货物质量进行鉴定。货物符合标准的，鉴定费由甲方承担；货物不符合质量标准的，鉴定费由乙方承担。</w:t>
            </w:r>
            <w:r/>
          </w:p>
        </w:tc>
      </w:tr>
    </w:tbl>
    <w:p>
      <w:r/>
      <w:r/>
    </w:p>
    <w:p>
      <w:pPr>
        <w:pStyle w:val="789"/>
        <w:numPr>
          <w:ilvl w:val="0"/>
          <w:numId w:val="0"/>
        </w:numPr>
        <w:pageBreakBefore/>
        <w:spacing w:line="579" w:lineRule="auto"/>
      </w:pPr>
      <w:r/>
      <w:bookmarkStart w:id="71" w:name="_Toc227144771"/>
      <w:r>
        <w:rPr>
          <w:rFonts w:hint="eastAsia"/>
        </w:rPr>
        <w:t xml:space="preserve">第六章 投标文件格式及附件</w:t>
      </w:r>
      <w:bookmarkEnd w:id="71"/>
      <w:r/>
      <w:r/>
    </w:p>
    <w:p>
      <w:pPr>
        <w:jc w:val="left"/>
        <w:spacing w:line="240" w:lineRule="atLeast"/>
        <w:widowControl/>
        <w:rPr>
          <w:b/>
          <w:bCs/>
          <w:szCs w:val="21"/>
        </w:rPr>
      </w:pPr>
      <w:r>
        <w:rPr>
          <w:b/>
          <w:bCs/>
          <w:szCs w:val="21"/>
        </w:rPr>
      </w:r>
      <w:r/>
    </w:p>
    <w:p>
      <w:pPr>
        <w:spacing w:line="440" w:lineRule="exact"/>
        <w:rPr>
          <w:sz w:val="20"/>
          <w:szCs w:val="20"/>
        </w:rPr>
      </w:pPr>
      <w:r>
        <w:rPr>
          <w:sz w:val="20"/>
          <w:szCs w:val="20"/>
        </w:rPr>
      </w:r>
      <w:r/>
    </w:p>
    <w:p>
      <w:pPr>
        <w:jc w:val="center"/>
        <w:rPr>
          <w:sz w:val="22"/>
          <w:szCs w:val="22"/>
        </w:rPr>
      </w:pPr>
      <w:r>
        <w:rPr>
          <w:sz w:val="22"/>
          <w:szCs w:val="22"/>
        </w:rPr>
      </w:r>
      <w:r/>
    </w:p>
    <w:p>
      <w:pPr>
        <w:rPr>
          <w:sz w:val="22"/>
          <w:szCs w:val="22"/>
        </w:rPr>
      </w:pPr>
      <w:r>
        <w:rPr>
          <w:sz w:val="22"/>
          <w:szCs w:val="22"/>
        </w:rPr>
      </w:r>
      <w:r/>
    </w:p>
    <w:p>
      <w:pPr>
        <w:jc w:val="center"/>
        <w:rPr>
          <w:sz w:val="52"/>
          <w:szCs w:val="52"/>
        </w:rPr>
      </w:pPr>
      <w:r>
        <w:rPr>
          <w:sz w:val="52"/>
          <w:szCs w:val="52"/>
        </w:rPr>
      </w:r>
      <w:r/>
    </w:p>
    <w:p>
      <w:pPr>
        <w:jc w:val="center"/>
        <w:rPr>
          <w:sz w:val="52"/>
          <w:szCs w:val="52"/>
        </w:rPr>
      </w:pPr>
      <w:r>
        <w:rPr>
          <w:sz w:val="52"/>
          <w:szCs w:val="52"/>
        </w:rPr>
      </w:r>
      <w:r/>
    </w:p>
    <w:p>
      <w:pPr>
        <w:jc w:val="center"/>
        <w:rPr>
          <w:sz w:val="52"/>
          <w:szCs w:val="52"/>
        </w:rPr>
      </w:pPr>
      <w:r>
        <w:rPr>
          <w:sz w:val="52"/>
          <w:szCs w:val="52"/>
        </w:rPr>
      </w:r>
      <w:r/>
    </w:p>
    <w:p>
      <w:pPr>
        <w:jc w:val="center"/>
        <w:rPr>
          <w:sz w:val="52"/>
          <w:szCs w:val="52"/>
        </w:rPr>
      </w:pPr>
      <w:r>
        <w:rPr>
          <w:rFonts w:hint="eastAsia"/>
          <w:sz w:val="52"/>
          <w:szCs w:val="52"/>
        </w:rPr>
        <w:t xml:space="preserve">投标文件</w:t>
      </w:r>
      <w:r/>
    </w:p>
    <w:p>
      <w:pPr>
        <w:rPr>
          <w:sz w:val="36"/>
          <w:szCs w:val="36"/>
        </w:rPr>
      </w:pPr>
      <w:r>
        <w:rPr>
          <w:sz w:val="36"/>
          <w:szCs w:val="36"/>
        </w:rPr>
      </w:r>
      <w:r/>
    </w:p>
    <w:p>
      <w:pPr>
        <w:rPr>
          <w:sz w:val="36"/>
          <w:szCs w:val="36"/>
        </w:rPr>
      </w:pPr>
      <w:r>
        <w:rPr>
          <w:sz w:val="36"/>
          <w:szCs w:val="36"/>
        </w:rPr>
      </w:r>
      <w:r/>
    </w:p>
    <w:p>
      <w:pPr>
        <w:ind w:firstLine="720"/>
        <w:jc w:val="left"/>
        <w:rPr>
          <w:sz w:val="36"/>
          <w:szCs w:val="36"/>
        </w:rPr>
      </w:pPr>
      <w:r>
        <w:rPr>
          <w:sz w:val="36"/>
          <w:szCs w:val="36"/>
        </w:rPr>
      </w:r>
      <w:r/>
    </w:p>
    <w:p>
      <w:pPr>
        <w:ind w:firstLine="720"/>
        <w:jc w:val="left"/>
        <w:rPr>
          <w:sz w:val="36"/>
          <w:szCs w:val="36"/>
        </w:rPr>
      </w:pPr>
      <w:r>
        <w:rPr>
          <w:sz w:val="36"/>
          <w:szCs w:val="36"/>
        </w:rPr>
      </w:r>
      <w:r/>
    </w:p>
    <w:p>
      <w:pPr>
        <w:ind w:firstLine="720"/>
        <w:jc w:val="left"/>
        <w:rPr>
          <w:sz w:val="36"/>
          <w:szCs w:val="36"/>
        </w:rPr>
      </w:pPr>
      <w:r>
        <w:rPr>
          <w:sz w:val="36"/>
          <w:szCs w:val="36"/>
        </w:rPr>
      </w:r>
      <w:r/>
    </w:p>
    <w:p>
      <w:pPr>
        <w:ind w:firstLine="720"/>
        <w:jc w:val="left"/>
        <w:rPr>
          <w:sz w:val="36"/>
          <w:szCs w:val="36"/>
        </w:rPr>
      </w:pPr>
      <w:r>
        <w:rPr>
          <w:sz w:val="36"/>
          <w:szCs w:val="36"/>
        </w:rPr>
      </w:r>
      <w:r/>
    </w:p>
    <w:p>
      <w:pPr>
        <w:ind w:firstLine="720"/>
        <w:jc w:val="left"/>
        <w:rPr>
          <w:sz w:val="36"/>
          <w:szCs w:val="36"/>
        </w:rPr>
      </w:pPr>
      <w:r>
        <w:rPr>
          <w:sz w:val="36"/>
          <w:szCs w:val="36"/>
        </w:rPr>
      </w:r>
      <w:r/>
    </w:p>
    <w:p>
      <w:pPr>
        <w:ind w:firstLine="720"/>
        <w:jc w:val="left"/>
        <w:rPr>
          <w:sz w:val="36"/>
          <w:szCs w:val="36"/>
        </w:rPr>
      </w:pPr>
      <w:r>
        <w:rPr>
          <w:sz w:val="36"/>
          <w:szCs w:val="36"/>
        </w:rPr>
      </w:r>
      <w:r/>
    </w:p>
    <w:p>
      <w:pPr>
        <w:ind w:firstLine="720"/>
        <w:jc w:val="left"/>
        <w:rPr>
          <w:sz w:val="36"/>
          <w:szCs w:val="36"/>
        </w:rPr>
      </w:pPr>
      <w:r>
        <w:rPr>
          <w:sz w:val="36"/>
          <w:szCs w:val="36"/>
        </w:rPr>
      </w:r>
      <w:r/>
    </w:p>
    <w:p>
      <w:pPr>
        <w:ind w:firstLine="720"/>
        <w:jc w:val="left"/>
        <w:rPr>
          <w:sz w:val="36"/>
          <w:szCs w:val="36"/>
        </w:rPr>
      </w:pPr>
      <w:r>
        <w:rPr>
          <w:sz w:val="36"/>
          <w:szCs w:val="36"/>
        </w:rPr>
      </w:r>
      <w:r/>
    </w:p>
    <w:p>
      <w:pPr>
        <w:ind w:firstLine="720"/>
        <w:jc w:val="left"/>
        <w:rPr>
          <w:sz w:val="36"/>
          <w:szCs w:val="36"/>
        </w:rPr>
      </w:pPr>
      <w:r>
        <w:rPr>
          <w:sz w:val="36"/>
          <w:szCs w:val="36"/>
        </w:rPr>
      </w:r>
      <w:r/>
    </w:p>
    <w:p>
      <w:pPr>
        <w:ind w:firstLine="720"/>
        <w:jc w:val="left"/>
        <w:rPr>
          <w:sz w:val="36"/>
          <w:szCs w:val="36"/>
        </w:rPr>
      </w:pPr>
      <w:r>
        <w:rPr>
          <w:rFonts w:hint="eastAsia"/>
          <w:sz w:val="36"/>
          <w:szCs w:val="36"/>
        </w:rPr>
        <w:t xml:space="preserve">项目名称:</w:t>
      </w:r>
      <w:r/>
    </w:p>
    <w:p>
      <w:pPr>
        <w:ind w:firstLine="720"/>
        <w:jc w:val="left"/>
        <w:rPr>
          <w:sz w:val="36"/>
          <w:szCs w:val="36"/>
        </w:rPr>
      </w:pPr>
      <w:r>
        <w:rPr>
          <w:rFonts w:hint="eastAsia"/>
          <w:sz w:val="36"/>
          <w:szCs w:val="36"/>
        </w:rPr>
        <w:t xml:space="preserve">招标编号:</w:t>
      </w:r>
      <w:r/>
    </w:p>
    <w:p>
      <w:pPr>
        <w:ind w:firstLine="720"/>
        <w:jc w:val="left"/>
        <w:rPr>
          <w:sz w:val="36"/>
          <w:szCs w:val="36"/>
        </w:rPr>
      </w:pPr>
      <w:r>
        <w:rPr>
          <w:rFonts w:hint="eastAsia"/>
          <w:sz w:val="36"/>
          <w:szCs w:val="36"/>
        </w:rPr>
        <w:t xml:space="preserve">投标人名称:(加盖电子公章)</w:t>
      </w:r>
      <w:r/>
    </w:p>
    <w:p>
      <w:pPr>
        <w:ind w:firstLine="720"/>
        <w:jc w:val="left"/>
        <w:rPr>
          <w:sz w:val="36"/>
          <w:szCs w:val="36"/>
        </w:rPr>
      </w:pPr>
      <w:r>
        <w:rPr>
          <w:rFonts w:hint="eastAsia"/>
          <w:sz w:val="36"/>
          <w:szCs w:val="36"/>
        </w:rPr>
        <w:t xml:space="preserve">日期:</w:t>
      </w:r>
      <w:r/>
    </w:p>
    <w:p>
      <w:pPr>
        <w:rPr>
          <w:sz w:val="36"/>
          <w:szCs w:val="36"/>
        </w:rPr>
      </w:pPr>
      <w:r>
        <w:rPr>
          <w:sz w:val="36"/>
          <w:szCs w:val="36"/>
        </w:rPr>
      </w:r>
      <w:r/>
    </w:p>
    <w:p>
      <w:pPr>
        <w:jc w:val="left"/>
        <w:widowControl/>
        <w:rPr>
          <w:sz w:val="28"/>
          <w:szCs w:val="28"/>
        </w:rPr>
      </w:pPr>
      <w:r>
        <w:rPr>
          <w:sz w:val="28"/>
          <w:szCs w:val="28"/>
        </w:rPr>
        <w:br w:type="page" w:clear="all"/>
      </w:r>
      <w:r/>
    </w:p>
    <w:p>
      <w:pPr>
        <w:spacing w:line="440" w:lineRule="exact"/>
        <w:rPr>
          <w:szCs w:val="21"/>
        </w:rPr>
      </w:pPr>
      <w:r>
        <w:rPr>
          <w:rFonts w:hint="eastAsia"/>
          <w:b/>
          <w:bCs/>
          <w:szCs w:val="21"/>
        </w:rPr>
        <w:t xml:space="preserve">附件一、投标申请及声明格式</w:t>
      </w:r>
      <w:r/>
    </w:p>
    <w:p>
      <w:pPr>
        <w:jc w:val="center"/>
        <w:spacing w:line="360" w:lineRule="auto"/>
        <w:widowControl/>
        <w:rPr>
          <w:rFonts w:hint="eastAsia" w:ascii="宋体" w:hAnsi="宋体" w:cs="宋体"/>
          <w:b/>
          <w:sz w:val="28"/>
          <w:szCs w:val="28"/>
        </w:rPr>
      </w:pPr>
      <w:r>
        <w:rPr>
          <w:rFonts w:hint="eastAsia" w:ascii="宋体" w:hAnsi="宋体" w:cs="宋体"/>
          <w:b/>
          <w:sz w:val="28"/>
          <w:szCs w:val="28"/>
        </w:rPr>
        <w:t xml:space="preserve">投标申请及声明</w:t>
      </w:r>
      <w:r/>
    </w:p>
    <w:p>
      <w:pPr>
        <w:spacing w:line="400" w:lineRule="exact"/>
        <w:widowControl/>
        <w:rPr>
          <w:rFonts w:hint="eastAsia" w:ascii="宋体" w:hAnsi="宋体" w:cs="宋体"/>
          <w:szCs w:val="21"/>
        </w:rPr>
      </w:pPr>
      <w:r>
        <w:rPr>
          <w:rFonts w:hint="eastAsia" w:ascii="宋体" w:hAnsi="宋体" w:cs="宋体"/>
          <w:szCs w:val="21"/>
        </w:rPr>
        <w:t xml:space="preserve"> 致：江苏省设备成套股份有限公司</w:t>
      </w:r>
      <w:r/>
    </w:p>
    <w:p>
      <w:pPr>
        <w:ind w:firstLine="420"/>
        <w:spacing w:line="400" w:lineRule="exact"/>
        <w:widowControl/>
        <w:rPr>
          <w:rFonts w:hint="eastAsia" w:ascii="宋体" w:hAnsi="宋体" w:cs="宋体"/>
          <w:szCs w:val="21"/>
        </w:rPr>
      </w:pPr>
      <w:r>
        <w:rPr>
          <w:rFonts w:hint="eastAsia" w:ascii="宋体" w:hAnsi="宋体" w:cs="宋体"/>
          <w:szCs w:val="21"/>
        </w:rPr>
        <w:t xml:space="preserve">根据贵方</w:t>
      </w:r>
      <w:r>
        <w:rPr>
          <w:rFonts w:hint="eastAsia" w:ascii="宋体" w:hAnsi="宋体" w:cs="宋体"/>
          <w:szCs w:val="21"/>
          <w:u w:val="single"/>
        </w:rPr>
        <w:t xml:space="preserve">           </w:t>
      </w:r>
      <w:r>
        <w:rPr>
          <w:rFonts w:hint="eastAsia" w:ascii="宋体" w:hAnsi="宋体" w:cs="宋体"/>
          <w:b/>
          <w:bCs/>
          <w:szCs w:val="21"/>
          <w:u w:val="single"/>
        </w:rPr>
        <w:t xml:space="preserve">（</w:t>
      </w:r>
      <w:r>
        <w:rPr>
          <w:rFonts w:hint="eastAsia" w:ascii="宋体" w:hAnsi="宋体" w:cs="宋体"/>
          <w:szCs w:val="21"/>
        </w:rPr>
        <w:t xml:space="preserve">项目名称） </w:t>
      </w:r>
      <w:r>
        <w:rPr>
          <w:rFonts w:hint="eastAsia" w:ascii="宋体" w:hAnsi="宋体" w:cs="宋体"/>
          <w:szCs w:val="21"/>
          <w:u w:val="single"/>
        </w:rPr>
        <w:t xml:space="preserve">       </w:t>
      </w:r>
      <w:r>
        <w:rPr>
          <w:rFonts w:hint="eastAsia" w:ascii="宋体" w:hAnsi="宋体" w:cs="宋体"/>
          <w:szCs w:val="21"/>
        </w:rPr>
        <w:t xml:space="preserve">（项目编号）投标邀请，正式授权下述签字人</w:t>
      </w:r>
      <w:r>
        <w:rPr>
          <w:rFonts w:hint="eastAsia" w:ascii="宋体" w:hAnsi="宋体" w:cs="宋体"/>
          <w:szCs w:val="21"/>
          <w:u w:val="single"/>
        </w:rPr>
        <w:t xml:space="preserve">           </w:t>
      </w:r>
      <w:r>
        <w:rPr>
          <w:rFonts w:hint="eastAsia" w:ascii="宋体" w:hAnsi="宋体" w:cs="宋体"/>
          <w:szCs w:val="21"/>
        </w:rPr>
        <w:t xml:space="preserve">(姓名和职务)代表投标人</w:t>
      </w:r>
      <w:r>
        <w:rPr>
          <w:rFonts w:hint="eastAsia" w:ascii="宋体" w:hAnsi="宋体" w:cs="宋体"/>
          <w:szCs w:val="21"/>
          <w:u w:val="single"/>
        </w:rPr>
        <w:t xml:space="preserve">     </w:t>
      </w:r>
      <w:r>
        <w:rPr>
          <w:rFonts w:hint="eastAsia" w:ascii="宋体" w:hAnsi="宋体" w:cs="宋体"/>
          <w:szCs w:val="21"/>
        </w:rPr>
        <w:t xml:space="preserve">（投标人名称），提交投标文件。</w:t>
      </w:r>
      <w:r/>
    </w:p>
    <w:p>
      <w:pPr>
        <w:ind w:firstLine="420"/>
        <w:spacing w:line="400" w:lineRule="exact"/>
        <w:widowControl/>
        <w:rPr>
          <w:rFonts w:hint="eastAsia" w:ascii="宋体" w:hAnsi="宋体" w:cs="宋体"/>
          <w:szCs w:val="21"/>
        </w:rPr>
      </w:pPr>
      <w:r>
        <w:rPr>
          <w:rFonts w:hint="eastAsia" w:ascii="宋体" w:hAnsi="宋体" w:cs="宋体"/>
          <w:szCs w:val="21"/>
        </w:rPr>
        <w:t xml:space="preserve">据此函，签字人兹宣布声明和承诺如下：</w:t>
      </w:r>
      <w:r/>
    </w:p>
    <w:p>
      <w:pPr>
        <w:ind w:firstLine="420"/>
        <w:spacing w:line="400" w:lineRule="exact"/>
        <w:widowControl/>
        <w:rPr>
          <w:rFonts w:hint="eastAsia" w:ascii="宋体" w:hAnsi="宋体" w:cs="宋体"/>
          <w:szCs w:val="21"/>
        </w:rPr>
      </w:pPr>
      <w:r>
        <w:rPr>
          <w:rFonts w:hint="eastAsia" w:ascii="宋体" w:hAnsi="宋体" w:cs="宋体"/>
          <w:szCs w:val="21"/>
        </w:rPr>
        <w:t xml:space="preserve">1、</w:t>
      </w:r>
      <w:r>
        <w:rPr>
          <w:rFonts w:hint="eastAsia" w:ascii="宋体" w:hAnsi="宋体" w:cs="宋体"/>
          <w:b/>
          <w:bCs/>
          <w:szCs w:val="21"/>
        </w:rPr>
        <w:t xml:space="preserve">我们的资格条件完全符合政府采购法和本次招标要求</w:t>
      </w:r>
      <w:r>
        <w:rPr>
          <w:rFonts w:hint="eastAsia" w:ascii="宋体" w:hAnsi="宋体" w:cs="宋体"/>
          <w:szCs w:val="21"/>
        </w:rPr>
        <w:t xml:space="preserve">，我们同意并向贵方提供了与投标有关的所有证据和资料。</w:t>
      </w:r>
      <w:r/>
    </w:p>
    <w:p>
      <w:pPr>
        <w:ind w:left="1470" w:hanging="1050"/>
        <w:spacing w:line="400" w:lineRule="exact"/>
        <w:widowControl/>
        <w:rPr>
          <w:rFonts w:hint="eastAsia" w:ascii="宋体" w:hAnsi="宋体" w:cs="宋体"/>
          <w:szCs w:val="21"/>
        </w:rPr>
      </w:pPr>
      <w:r>
        <w:rPr>
          <w:rFonts w:hint="eastAsia" w:ascii="宋体" w:hAnsi="宋体" w:cs="宋体"/>
          <w:szCs w:val="21"/>
        </w:rPr>
        <w:t xml:space="preserve">2、按招标要求，我们的投标报价详见开标一览表。</w:t>
      </w:r>
      <w:r/>
    </w:p>
    <w:p>
      <w:pPr>
        <w:ind w:firstLine="420"/>
        <w:spacing w:line="400" w:lineRule="exact"/>
        <w:widowControl/>
        <w:rPr>
          <w:rFonts w:hint="eastAsia" w:ascii="宋体" w:hAnsi="宋体" w:cs="宋体"/>
          <w:szCs w:val="21"/>
        </w:rPr>
      </w:pPr>
      <w:r>
        <w:rPr>
          <w:rFonts w:hint="eastAsia" w:ascii="宋体" w:hAnsi="宋体" w:cs="宋体"/>
          <w:szCs w:val="21"/>
        </w:rPr>
        <w:t xml:space="preserve">3、本项目交货期为：</w:t>
      </w:r>
      <w:r>
        <w:rPr>
          <w:rFonts w:hint="eastAsia" w:ascii="宋体" w:hAnsi="宋体" w:cs="宋体"/>
          <w:szCs w:val="21"/>
          <w:u w:val="single"/>
        </w:rPr>
        <w:t xml:space="preserve">  满足招标文件要求  </w:t>
      </w:r>
      <w:r>
        <w:rPr>
          <w:rFonts w:hint="eastAsia" w:ascii="宋体" w:hAnsi="宋体" w:cs="宋体"/>
          <w:szCs w:val="21"/>
        </w:rPr>
        <w:t xml:space="preserve">。</w:t>
      </w:r>
      <w:r/>
    </w:p>
    <w:p>
      <w:pPr>
        <w:ind w:firstLine="420"/>
        <w:spacing w:line="400" w:lineRule="exact"/>
        <w:widowControl/>
        <w:rPr>
          <w:rFonts w:hint="eastAsia" w:ascii="宋体" w:hAnsi="宋体" w:cs="宋体"/>
          <w:szCs w:val="21"/>
        </w:rPr>
      </w:pPr>
      <w:r>
        <w:rPr>
          <w:rFonts w:hint="eastAsia" w:ascii="宋体" w:hAnsi="宋体" w:cs="宋体"/>
          <w:szCs w:val="21"/>
        </w:rPr>
        <w:t xml:space="preserve">4、我们已详细阅读全部招标文件及其有效补充文件，我们放弃对招标文件任何误解的权利，提交投标文件后，</w:t>
      </w:r>
      <w:r>
        <w:rPr>
          <w:rFonts w:hint="eastAsia" w:ascii="宋体" w:hAnsi="宋体" w:cs="宋体"/>
          <w:b/>
          <w:bCs/>
          <w:szCs w:val="21"/>
        </w:rPr>
        <w:t xml:space="preserve">不对招标文件本身提出质疑</w:t>
      </w:r>
      <w:r>
        <w:rPr>
          <w:rFonts w:hint="eastAsia" w:ascii="宋体" w:hAnsi="宋体" w:cs="宋体"/>
          <w:szCs w:val="21"/>
        </w:rPr>
        <w:t xml:space="preserve">。</w:t>
      </w:r>
      <w:r/>
    </w:p>
    <w:p>
      <w:pPr>
        <w:ind w:firstLine="420"/>
        <w:spacing w:line="400" w:lineRule="exact"/>
        <w:widowControl/>
        <w:rPr>
          <w:rFonts w:hint="eastAsia" w:ascii="宋体" w:hAnsi="宋体" w:cs="宋体"/>
          <w:szCs w:val="21"/>
        </w:rPr>
      </w:pPr>
      <w:r>
        <w:rPr>
          <w:rFonts w:hint="eastAsia" w:ascii="宋体" w:hAnsi="宋体" w:cs="宋体"/>
          <w:szCs w:val="21"/>
        </w:rPr>
        <w:t xml:space="preserve">5、我们同意从规定的开标日期起遵循本投标文件，并在规定的投标有效期期满之前均具有约束力。</w:t>
      </w:r>
      <w:r/>
    </w:p>
    <w:p>
      <w:pPr>
        <w:ind w:firstLine="420"/>
        <w:spacing w:line="400" w:lineRule="exact"/>
        <w:widowControl/>
        <w:rPr>
          <w:rFonts w:hint="eastAsia" w:ascii="宋体" w:hAnsi="宋体" w:cs="宋体"/>
          <w:szCs w:val="21"/>
        </w:rPr>
      </w:pPr>
      <w:r>
        <w:rPr>
          <w:rFonts w:hint="eastAsia" w:ascii="宋体" w:hAnsi="宋体" w:cs="宋体"/>
          <w:szCs w:val="21"/>
        </w:rPr>
        <w:t xml:space="preserve">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szCs w:val="21"/>
        </w:rPr>
        <w:t xml:space="preserve">贵方组织的其他采购方式采购</w:t>
      </w:r>
      <w:r>
        <w:rPr>
          <w:rFonts w:hint="eastAsia" w:ascii="宋体" w:hAnsi="宋体" w:cs="宋体"/>
          <w:szCs w:val="21"/>
        </w:rPr>
        <w:t xml:space="preserve">。</w:t>
      </w:r>
      <w:r/>
    </w:p>
    <w:p>
      <w:pPr>
        <w:ind w:firstLine="420"/>
        <w:spacing w:line="400" w:lineRule="exact"/>
        <w:widowControl/>
        <w:rPr>
          <w:rFonts w:hint="eastAsia" w:ascii="宋体" w:hAnsi="宋体" w:cs="宋体"/>
          <w:szCs w:val="21"/>
        </w:rPr>
      </w:pPr>
      <w:r>
        <w:rPr>
          <w:rFonts w:hint="eastAsia" w:ascii="宋体" w:hAnsi="宋体" w:cs="宋体"/>
          <w:szCs w:val="21"/>
        </w:rPr>
        <w:t xml:space="preserve">7、一旦我方中标，我方将根据招标文件的规定严格履行合同，并保证于承诺的时间完成所有筛查服务，数据交付采购人验收、使用。</w:t>
      </w:r>
      <w:r/>
    </w:p>
    <w:p>
      <w:pPr>
        <w:ind w:firstLine="420"/>
        <w:spacing w:line="400" w:lineRule="exact"/>
        <w:widowControl/>
        <w:rPr>
          <w:rFonts w:hint="eastAsia" w:ascii="宋体" w:hAnsi="宋体" w:cs="宋体"/>
          <w:szCs w:val="21"/>
        </w:rPr>
      </w:pPr>
      <w:r>
        <w:rPr>
          <w:rFonts w:hint="eastAsia" w:ascii="宋体" w:hAnsi="宋体" w:cs="宋体"/>
          <w:szCs w:val="21"/>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widowControl/>
        <w:rPr>
          <w:rFonts w:hint="eastAsia" w:ascii="宋体" w:hAnsi="宋体" w:cs="宋体"/>
          <w:szCs w:val="21"/>
        </w:rPr>
      </w:pPr>
      <w:r>
        <w:rPr>
          <w:rFonts w:hint="eastAsia" w:ascii="宋体" w:hAnsi="宋体" w:cs="宋体"/>
          <w:szCs w:val="21"/>
        </w:rPr>
        <w:t xml:space="preserve">9、与本投标有关的正式联系方式为：</w:t>
      </w:r>
      <w:r/>
    </w:p>
    <w:p>
      <w:pPr>
        <w:ind w:firstLine="420"/>
        <w:spacing w:line="400" w:lineRule="exact"/>
        <w:widowControl/>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p>
    <w:p>
      <w:pPr>
        <w:ind w:firstLine="420"/>
        <w:spacing w:line="400" w:lineRule="exact"/>
        <w:widowControl/>
        <w:rPr>
          <w:rFonts w:hint="eastAsia"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p>
    <w:p>
      <w:pPr>
        <w:ind w:firstLine="420"/>
        <w:spacing w:line="400" w:lineRule="exact"/>
        <w:widowControl/>
        <w:rPr>
          <w:rFonts w:hint="eastAsia"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p>
    <w:p>
      <w:pPr>
        <w:ind w:firstLine="420"/>
        <w:spacing w:line="400" w:lineRule="exact"/>
        <w:widowControl/>
        <w:rPr>
          <w:rFonts w:hint="eastAsia" w:ascii="宋体" w:hAnsi="宋体" w:cs="宋体"/>
          <w:szCs w:val="21"/>
        </w:rPr>
      </w:pPr>
      <w:r>
        <w:rPr>
          <w:rFonts w:hint="eastAsia" w:ascii="宋体" w:hAnsi="宋体" w:cs="宋体"/>
          <w:szCs w:val="21"/>
        </w:rPr>
        <w:t xml:space="preserve">开户银行：</w:t>
      </w:r>
      <w:r/>
    </w:p>
    <w:p>
      <w:pPr>
        <w:ind w:firstLine="420"/>
        <w:spacing w:line="400" w:lineRule="exact"/>
        <w:widowControl/>
        <w:rPr>
          <w:rFonts w:hint="eastAsia" w:ascii="宋体" w:hAnsi="宋体" w:cs="宋体"/>
          <w:szCs w:val="21"/>
        </w:rPr>
      </w:pPr>
      <w:r>
        <w:rPr>
          <w:rFonts w:hint="eastAsia" w:ascii="宋体" w:hAnsi="宋体" w:cs="宋体"/>
          <w:szCs w:val="21"/>
        </w:rPr>
        <w:t xml:space="preserve">银行账号：</w:t>
      </w:r>
      <w:r/>
    </w:p>
    <w:p>
      <w:pPr>
        <w:ind w:firstLine="420"/>
        <w:spacing w:line="400" w:lineRule="exact"/>
        <w:widowControl/>
        <w:rPr>
          <w:rFonts w:hint="eastAsia" w:ascii="宋体" w:hAnsi="宋体" w:cs="宋体"/>
          <w:szCs w:val="21"/>
        </w:rPr>
      </w:pPr>
      <w:r>
        <w:rPr>
          <w:rFonts w:hint="eastAsia" w:ascii="宋体" w:hAnsi="宋体" w:cs="宋体"/>
          <w:szCs w:val="21"/>
        </w:rPr>
        <w:t xml:space="preserve">投标人授权代表姓名（签字）：</w:t>
      </w:r>
      <w:r>
        <w:rPr>
          <w:rFonts w:hint="eastAsia" w:ascii="宋体" w:hAnsi="宋体" w:cs="宋体"/>
          <w:szCs w:val="21"/>
          <w:u w:val="single"/>
        </w:rPr>
        <w:t xml:space="preserve">        </w:t>
      </w:r>
      <w:r/>
    </w:p>
    <w:p>
      <w:pPr>
        <w:ind w:firstLine="420"/>
        <w:spacing w:line="400" w:lineRule="exact"/>
        <w:widowControl/>
        <w:rPr>
          <w:rFonts w:hint="eastAsia" w:ascii="宋体" w:hAnsi="宋体" w:cs="宋体"/>
          <w:szCs w:val="21"/>
        </w:rPr>
      </w:pPr>
      <w:r>
        <w:rPr>
          <w:rFonts w:hint="eastAsia" w:ascii="宋体" w:hAnsi="宋体" w:cs="宋体"/>
          <w:szCs w:val="21"/>
        </w:rPr>
        <w:t xml:space="preserve">投标人名称：</w:t>
      </w:r>
      <w:r>
        <w:rPr>
          <w:rFonts w:hint="eastAsia" w:ascii="宋体" w:hAnsi="宋体" w:cs="宋体"/>
          <w:szCs w:val="21"/>
          <w:u w:val="single"/>
        </w:rPr>
        <w:t xml:space="preserve">                 </w:t>
      </w:r>
      <w:r>
        <w:rPr>
          <w:rFonts w:hint="eastAsia" w:ascii="宋体" w:hAnsi="宋体" w:cs="宋体"/>
          <w:szCs w:val="21"/>
        </w:rPr>
        <w:t xml:space="preserve">（盖章）</w:t>
      </w:r>
      <w:r/>
    </w:p>
    <w:p>
      <w:pPr>
        <w:ind w:firstLine="420"/>
        <w:spacing w:line="400" w:lineRule="exact"/>
        <w:widowControl/>
        <w:rPr>
          <w:rFonts w:hint="eastAsia" w:ascii="宋体" w:hAnsi="宋体" w:cs="宋体"/>
          <w:szCs w:val="21"/>
        </w:rPr>
      </w:pPr>
      <w:r>
        <w:rPr>
          <w:rFonts w:hint="eastAsia" w:ascii="宋体" w:hAnsi="宋体" w:cs="宋体"/>
          <w:szCs w:val="21"/>
        </w:rPr>
        <w:t xml:space="preserve">日    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shd w:val="clear" w:color="auto" w:fill="ffffff"/>
        <w:widowControl/>
        <w:rPr>
          <w:szCs w:val="21"/>
        </w:rPr>
      </w:pPr>
      <w:r>
        <w:rPr>
          <w:szCs w:val="21"/>
        </w:rPr>
      </w:r>
      <w:r/>
    </w:p>
    <w:p>
      <w:pPr>
        <w:spacing w:line="360" w:lineRule="auto"/>
        <w:shd w:val="clear" w:color="auto" w:fill="ffffff"/>
        <w:widowControl/>
        <w:rPr>
          <w:szCs w:val="21"/>
        </w:rPr>
      </w:pPr>
      <w:r>
        <w:rPr>
          <w:b/>
          <w:bCs/>
          <w:szCs w:val="21"/>
        </w:rPr>
        <w:br w:type="page" w:clear="all"/>
      </w:r>
      <w:r>
        <w:rPr>
          <w:rFonts w:hint="eastAsia"/>
          <w:b/>
          <w:bCs/>
          <w:szCs w:val="21"/>
        </w:rPr>
        <w:t xml:space="preserve">附件二、法定代表人授权委托书格式</w:t>
      </w:r>
      <w:r/>
    </w:p>
    <w:p>
      <w:pPr>
        <w:ind w:firstLine="720"/>
        <w:jc w:val="center"/>
        <w:spacing w:line="360" w:lineRule="auto"/>
        <w:shd w:val="clear" w:color="auto" w:fill="ffffff"/>
        <w:widowControl/>
        <w:rPr>
          <w:sz w:val="36"/>
          <w:szCs w:val="36"/>
        </w:rPr>
      </w:pPr>
      <w:r>
        <w:rPr>
          <w:sz w:val="36"/>
          <w:szCs w:val="36"/>
        </w:rPr>
      </w:r>
      <w:r/>
    </w:p>
    <w:p>
      <w:pPr>
        <w:ind w:firstLine="720"/>
        <w:jc w:val="center"/>
        <w:spacing w:line="360" w:lineRule="auto"/>
        <w:shd w:val="clear" w:color="auto" w:fill="ffffff"/>
        <w:widowControl/>
        <w:rPr>
          <w:b/>
          <w:sz w:val="36"/>
          <w:szCs w:val="36"/>
        </w:rPr>
      </w:pPr>
      <w:r>
        <w:rPr>
          <w:rFonts w:hint="eastAsia"/>
          <w:b/>
          <w:sz w:val="36"/>
          <w:szCs w:val="36"/>
        </w:rPr>
        <w:t xml:space="preserve">法定代表人授权委托书</w:t>
      </w:r>
      <w:r/>
    </w:p>
    <w:p>
      <w:pPr>
        <w:jc w:val="left"/>
        <w:spacing w:line="360" w:lineRule="auto"/>
        <w:shd w:val="clear" w:color="auto" w:fill="ffffff"/>
        <w:widowControl/>
        <w:rPr>
          <w:szCs w:val="21"/>
        </w:rPr>
      </w:pPr>
      <w:r>
        <w:rPr>
          <w:szCs w:val="21"/>
        </w:rPr>
      </w:r>
      <w:r/>
    </w:p>
    <w:p>
      <w:pPr>
        <w:ind w:firstLine="372"/>
        <w:jc w:val="left"/>
        <w:spacing w:line="360" w:lineRule="auto"/>
        <w:shd w:val="clear" w:color="auto" w:fill="ffffff"/>
        <w:widowControl/>
        <w:rPr>
          <w:szCs w:val="21"/>
        </w:rPr>
      </w:pPr>
      <w:r>
        <w:rPr>
          <w:rFonts w:hint="eastAsia"/>
          <w:szCs w:val="21"/>
        </w:rPr>
        <w:t xml:space="preserve">致：江苏省设备成套股份有限公司</w:t>
      </w:r>
      <w:r/>
    </w:p>
    <w:p>
      <w:pPr>
        <w:ind w:firstLine="372"/>
        <w:jc w:val="left"/>
        <w:spacing w:line="360" w:lineRule="auto"/>
        <w:shd w:val="clear" w:color="auto" w:fill="ffffff"/>
        <w:widowControl/>
        <w:rPr>
          <w:szCs w:val="21"/>
        </w:rPr>
      </w:pPr>
      <w:r>
        <w:rPr>
          <w:rFonts w:hint="eastAsia"/>
          <w:szCs w:val="21"/>
        </w:rPr>
        <w:t xml:space="preserve">本授权书声明：注册于</w:t>
      </w:r>
      <w:r>
        <w:rPr>
          <w:szCs w:val="21"/>
          <w:u w:val="single"/>
        </w:rPr>
        <w:t xml:space="preserve">              </w:t>
      </w:r>
      <w:r>
        <w:rPr>
          <w:rFonts w:hint="eastAsia"/>
          <w:szCs w:val="21"/>
        </w:rPr>
        <w:t xml:space="preserve">（投标人住址）的</w:t>
      </w:r>
      <w:r>
        <w:rPr>
          <w:szCs w:val="21"/>
          <w:u w:val="single"/>
        </w:rPr>
        <w:t xml:space="preserve">           </w:t>
      </w:r>
      <w:r>
        <w:rPr>
          <w:rFonts w:hint="eastAsia"/>
          <w:szCs w:val="21"/>
        </w:rPr>
        <w:t xml:space="preserve">（投标人名称）法定代表人</w:t>
      </w:r>
      <w:r>
        <w:rPr>
          <w:szCs w:val="21"/>
          <w:u w:val="single"/>
        </w:rPr>
        <w:t xml:space="preserve">        </w:t>
      </w:r>
      <w:r>
        <w:rPr>
          <w:rFonts w:hint="eastAsia"/>
          <w:szCs w:val="21"/>
        </w:rPr>
        <w:t xml:space="preserve">（法定代表人姓名、职务）代表本公司授权在下面签字的</w:t>
      </w:r>
      <w:r>
        <w:rPr>
          <w:szCs w:val="21"/>
          <w:u w:val="single"/>
        </w:rPr>
        <w:t xml:space="preserve">        </w:t>
      </w:r>
      <w:r>
        <w:rPr>
          <w:rFonts w:hint="eastAsia"/>
          <w:szCs w:val="21"/>
        </w:rPr>
        <w:t xml:space="preserve">（投标人代表姓名、职务）为本公司的合法代理人，就贵方组织的</w:t>
      </w:r>
      <w:r>
        <w:rPr>
          <w:szCs w:val="21"/>
          <w:u w:val="single"/>
        </w:rPr>
        <w:t xml:space="preserve">           </w:t>
      </w:r>
      <w:r>
        <w:rPr>
          <w:rFonts w:hint="eastAsia"/>
          <w:szCs w:val="21"/>
        </w:rPr>
        <w:t xml:space="preserve">（项目名称），</w:t>
      </w:r>
      <w:r>
        <w:rPr>
          <w:szCs w:val="21"/>
          <w:u w:val="single"/>
        </w:rPr>
        <w:t xml:space="preserve">        </w:t>
      </w:r>
      <w:r>
        <w:rPr>
          <w:rFonts w:hint="eastAsia"/>
          <w:szCs w:val="21"/>
        </w:rPr>
        <w:t xml:space="preserve">（项目编号）投标，以本公司名义处理一切与之有关的事务。</w:t>
      </w:r>
      <w:r/>
    </w:p>
    <w:p>
      <w:pPr>
        <w:ind w:firstLine="480"/>
        <w:spacing w:line="480" w:lineRule="exact"/>
        <w:rPr>
          <w:szCs w:val="21"/>
        </w:rPr>
      </w:pPr>
      <w:r>
        <w:rPr>
          <w:rFonts w:hint="eastAsia"/>
          <w:szCs w:val="21"/>
        </w:rPr>
        <w:t xml:space="preserve">本授权书自______年____月____日起生效，特此声明。</w:t>
      </w:r>
      <w:r/>
    </w:p>
    <w:p>
      <w:pPr>
        <w:ind w:firstLine="480"/>
        <w:spacing w:line="480" w:lineRule="exact"/>
        <w:rPr>
          <w:szCs w:val="21"/>
        </w:rPr>
      </w:pPr>
      <w:r>
        <w:rPr>
          <w:rFonts w:hint="eastAsia"/>
          <w:szCs w:val="21"/>
        </w:rPr>
        <w:t xml:space="preserve">被授权人身份证号码：</w:t>
      </w:r>
      <w:r/>
    </w:p>
    <w:p>
      <w:pPr>
        <w:ind w:firstLine="480"/>
        <w:spacing w:line="480" w:lineRule="exact"/>
        <w:rPr>
          <w:szCs w:val="21"/>
          <w:u w:val="single"/>
        </w:rPr>
      </w:pPr>
      <w:r>
        <w:rPr>
          <w:rFonts w:hint="eastAsia"/>
          <w:szCs w:val="21"/>
        </w:rPr>
        <w:t xml:space="preserve">被授权人联系电话：           （手机）</w:t>
      </w:r>
      <w:r/>
    </w:p>
    <w:p>
      <w:pPr>
        <w:ind w:firstLine="480"/>
        <w:spacing w:line="480" w:lineRule="exact"/>
        <w:rPr>
          <w:szCs w:val="21"/>
        </w:rPr>
      </w:pPr>
      <w:r>
        <w:rPr>
          <w:rFonts w:hint="eastAsia"/>
          <w:szCs w:val="21"/>
        </w:rPr>
        <w:t xml:space="preserve">法定代表人签字或签章：</w:t>
      </w:r>
      <w:r/>
    </w:p>
    <w:p>
      <w:pPr>
        <w:ind w:firstLine="480"/>
        <w:spacing w:line="480" w:lineRule="exact"/>
        <w:rPr>
          <w:szCs w:val="21"/>
        </w:rPr>
      </w:pPr>
      <w:r>
        <w:rPr>
          <w:rFonts w:hint="eastAsia"/>
          <w:szCs w:val="21"/>
        </w:rPr>
        <w:t xml:space="preserve">被授权人签字或签章：</w:t>
      </w:r>
      <w:r/>
    </w:p>
    <w:p>
      <w:pPr>
        <w:ind w:firstLine="480"/>
        <w:spacing w:line="480" w:lineRule="exact"/>
        <w:rPr>
          <w:szCs w:val="21"/>
          <w:u w:val="single"/>
        </w:rPr>
      </w:pPr>
      <w:r>
        <w:rPr>
          <w:rFonts w:hint="eastAsia"/>
          <w:szCs w:val="21"/>
        </w:rPr>
        <w:t xml:space="preserve">投标人名称：              （加盖电子公章）</w:t>
      </w:r>
      <w:r/>
    </w:p>
    <w:p>
      <w:pPr>
        <w:ind w:firstLine="480"/>
        <w:spacing w:line="480" w:lineRule="exact"/>
        <w:rPr>
          <w:szCs w:val="21"/>
          <w:u w:val="single"/>
        </w:rPr>
      </w:pPr>
      <w:r>
        <w:rPr>
          <w:rFonts w:hint="eastAsia"/>
          <w:szCs w:val="21"/>
        </w:rPr>
        <w:t xml:space="preserve">单位地址：</w:t>
      </w:r>
      <w:r/>
    </w:p>
    <w:p>
      <w:pPr>
        <w:ind w:firstLine="480"/>
        <w:spacing w:line="480" w:lineRule="exact"/>
        <w:rPr>
          <w:szCs w:val="21"/>
        </w:rPr>
      </w:pPr>
      <w:r>
        <w:rPr>
          <w:rFonts w:hint="eastAsia"/>
          <w:szCs w:val="21"/>
        </w:rPr>
        <w:t xml:space="preserve">日    期：</w:t>
      </w:r>
      <w:r/>
    </w:p>
    <w:p>
      <w:pPr>
        <w:rPr>
          <w:szCs w:val="21"/>
        </w:rPr>
      </w:pPr>
      <w:r>
        <w:rPr>
          <w:szCs w:val="21"/>
        </w:rPr>
      </w:r>
      <w:r/>
    </w:p>
    <w:p>
      <w:pPr>
        <w:rPr>
          <w:bCs/>
          <w:sz w:val="24"/>
        </w:rPr>
      </w:pPr>
      <w:r>
        <w:rPr>
          <w:szCs w:val="21"/>
        </w:rPr>
        <w:t xml:space="preserve"> </w:t>
      </w:r>
      <w:r>
        <w:rPr>
          <w:rFonts w:hint="eastAsia"/>
          <w:bCs/>
          <w:sz w:val="24"/>
        </w:rPr>
        <w:t xml:space="preserve">投标人法定代表人身份证：</w:t>
      </w:r>
      <w:r/>
    </w:p>
    <w:p>
      <w:pPr>
        <w:rPr>
          <w:bCs/>
          <w:sz w:val="24"/>
        </w:rPr>
      </w:pPr>
      <w:r>
        <w:rPr>
          <w:bCs/>
          <w:sz w:val="24"/>
        </w:rPr>
      </w:r>
      <w:r/>
    </w:p>
    <w:p>
      <w:pPr>
        <w:rPr>
          <w:bCs/>
          <w:sz w:val="24"/>
        </w:rPr>
      </w:pPr>
      <w:r>
        <mc:AlternateContent>
          <mc:Choice Requires="wpg">
            <w:drawing>
              <wp:inline xmlns:wp="http://schemas.openxmlformats.org/drawingml/2006/wordprocessingDrawing" distT="0" distB="0" distL="0" distR="0">
                <wp:extent cx="2418080" cy="1584960"/>
                <wp:effectExtent l="4445" t="4445" r="15875" b="10795"/>
                <wp:docPr id="5" name="文本框 1"/>
                <wp:cNvGraphicFramePr/>
                <a:graphic xmlns:a="http://schemas.openxmlformats.org/drawingml/2006/main">
                  <a:graphicData uri="http://schemas.microsoft.com/office/word/2010/wordprocessingShape">
                    <wps:wsp>
                      <wps:cNvPr id="0" name=""/>
                      <wps:cNvSpPr txBox="1"/>
                      <wps:spPr bwMode="auto">
                        <a:xfrm>
                          <a:off x="0" y="0"/>
                          <a:ext cx="2418080"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upright="1"/>
                    </wps:wsp>
                  </a:graphicData>
                </a:graphic>
              </wp:inline>
            </w:drawing>
          </mc:Choice>
          <mc:Fallback>
            <w:pict>
              <v:shape id="shape 4" o:spid="_x0000_s4" o:spt="202" type="#_x0000_t202" style="width:190.4pt;height:124.8pt;mso-wrap-distance-left:0.0pt;mso-wrap-distance-top:0.0pt;mso-wrap-distance-right:0.0pt;mso-wrap-distance-bottom:0.0pt;visibility:visible;" fillcolor="#FFFFFF" strokecolor="#000000" strokeweight="0.14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eastAsia="黑体"/>
          <w:sz w:val="32"/>
          <w:szCs w:val="32"/>
        </w:rPr>
        <w:t xml:space="preserve"> </w:t>
      </w:r>
      <w:r>
        <mc:AlternateContent>
          <mc:Choice Requires="wpg">
            <w:drawing>
              <wp:inline xmlns:wp="http://schemas.openxmlformats.org/drawingml/2006/wordprocessingDrawing" distT="0" distB="0" distL="0" distR="0">
                <wp:extent cx="2395855" cy="1584960"/>
                <wp:effectExtent l="4445" t="4445" r="7620" b="10795"/>
                <wp:docPr id="6" name="文本框 3"/>
                <wp:cNvGraphicFramePr/>
                <a:graphic xmlns:a="http://schemas.openxmlformats.org/drawingml/2006/main">
                  <a:graphicData uri="http://schemas.microsoft.com/office/word/2010/wordprocessingShape">
                    <wps:wsp>
                      <wps:cNvPr id="0" name=""/>
                      <wps:cNvSpPr txBox="1"/>
                      <wps:spPr bwMode="auto">
                        <a:xfrm>
                          <a:off x="0" y="0"/>
                          <a:ext cx="2395855"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upright="1"/>
                    </wps:wsp>
                  </a:graphicData>
                </a:graphic>
              </wp:inline>
            </w:drawing>
          </mc:Choice>
          <mc:Fallback>
            <w:pict>
              <v:shape id="shape 5" o:spid="_x0000_s5" o:spt="202" type="#_x0000_t202" style="width:188.6pt;height:124.8pt;mso-wrap-distance-left:0.0pt;mso-wrap-distance-top:0.0pt;mso-wrap-distance-right:0.0pt;mso-wrap-distance-bottom:0.0pt;visibility:visible;" fillcolor="#FFFFFF" strokecolor="#000000" strokeweight="0.14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bCs/>
          <w:sz w:val="24"/>
        </w:rPr>
      </w:pPr>
      <w:r>
        <w:rPr>
          <w:bCs/>
          <w:sz w:val="24"/>
        </w:rPr>
      </w:r>
      <w:r/>
    </w:p>
    <w:p>
      <w:pPr>
        <w:rPr>
          <w:bCs/>
          <w:sz w:val="24"/>
        </w:rPr>
      </w:pPr>
      <w:r>
        <w:rPr>
          <w:rFonts w:hint="eastAsia"/>
          <w:bCs/>
          <w:sz w:val="24"/>
        </w:rPr>
        <w:t xml:space="preserve">法定代表人授权代表身份证：</w:t>
      </w:r>
      <w:r/>
    </w:p>
    <w:p>
      <w:pPr>
        <w:pStyle w:val="1188"/>
        <w:rPr>
          <w:rFonts w:ascii="Times New Roman"/>
        </w:rPr>
      </w:pPr>
      <w:r>
        <w:rPr>
          <w:rFonts w:ascii="Times New Roman"/>
        </w:rPr>
        <mc:AlternateContent>
          <mc:Choice Requires="wpg">
            <w:drawing>
              <wp:inline xmlns:wp="http://schemas.openxmlformats.org/drawingml/2006/wordprocessingDrawing" distT="0" distB="0" distL="0" distR="0">
                <wp:extent cx="2414270" cy="1584960"/>
                <wp:effectExtent l="4445" t="4445" r="19685" b="10795"/>
                <wp:docPr id="7" name="文本框 2"/>
                <wp:cNvGraphicFramePr/>
                <a:graphic xmlns:a="http://schemas.openxmlformats.org/drawingml/2006/main">
                  <a:graphicData uri="http://schemas.microsoft.com/office/word/2010/wordprocessingShape">
                    <wps:wsp>
                      <wps:cNvPr id="0" name=""/>
                      <wps:cNvSpPr txBox="1"/>
                      <wps:spPr bwMode="auto">
                        <a:xfrm>
                          <a:off x="0" y="0"/>
                          <a:ext cx="2414270"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upright="1"/>
                    </wps:wsp>
                  </a:graphicData>
                </a:graphic>
              </wp:inline>
            </w:drawing>
          </mc:Choice>
          <mc:Fallback>
            <w:pict>
              <v:shape id="shape 6" o:spid="_x0000_s6" o:spt="202" type="#_x0000_t202" style="width:190.1pt;height:124.8pt;mso-wrap-distance-left:0.0pt;mso-wrap-distance-top:0.0pt;mso-wrap-distance-right:0.0pt;mso-wrap-distance-bottom:0.0pt;visibility:visible;" fillcolor="#FFFFFF" strokecolor="#000000" strokeweight="0.14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ascii="Times New Roman"/>
          <w:sz w:val="24"/>
        </w:rPr>
        <w:t xml:space="preserve"> </w:t>
      </w:r>
      <w:r>
        <w:rPr>
          <w:rFonts w:ascii="Times New Roman"/>
        </w:rPr>
        <mc:AlternateContent>
          <mc:Choice Requires="wpg">
            <w:drawing>
              <wp:inline xmlns:wp="http://schemas.openxmlformats.org/drawingml/2006/wordprocessingDrawing" distT="0" distB="0" distL="0" distR="0">
                <wp:extent cx="2397125" cy="1584960"/>
                <wp:effectExtent l="5080" t="4445" r="5715" b="10795"/>
                <wp:docPr id="8" name="文本框 5"/>
                <wp:cNvGraphicFramePr/>
                <a:graphic xmlns:a="http://schemas.openxmlformats.org/drawingml/2006/main">
                  <a:graphicData uri="http://schemas.microsoft.com/office/word/2010/wordprocessingShape">
                    <wps:wsp>
                      <wps:cNvPr id="0" name=""/>
                      <wps:cNvSpPr txBox="1"/>
                      <wps:spPr bwMode="auto">
                        <a:xfrm>
                          <a:off x="0" y="0"/>
                          <a:ext cx="2397125"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upright="1"/>
                    </wps:wsp>
                  </a:graphicData>
                </a:graphic>
              </wp:inline>
            </w:drawing>
          </mc:Choice>
          <mc:Fallback>
            <w:pict>
              <v:shape id="shape 7" o:spid="_x0000_s7" o:spt="202" type="#_x0000_t202" style="width:188.8pt;height:124.8pt;mso-wrap-distance-left:0.0pt;mso-wrap-distance-top:0.0pt;mso-wrap-distance-right:0.0pt;mso-wrap-distance-bottom:0.0pt;visibility:visible;" fillcolor="#FFFFFF" strokecolor="#000000" strokeweight="0.14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ind w:firstLine="420"/>
        <w:jc w:val="left"/>
        <w:spacing w:line="360" w:lineRule="auto"/>
        <w:shd w:val="clear" w:color="auto" w:fill="ffffff"/>
        <w:widowControl/>
        <w:rPr>
          <w:szCs w:val="21"/>
        </w:rPr>
      </w:pPr>
      <w:r>
        <w:rPr>
          <w:szCs w:val="21"/>
        </w:rPr>
        <w:t xml:space="preserve"> </w:t>
      </w:r>
      <w:r>
        <w:rPr>
          <w:szCs w:val="21"/>
        </w:rPr>
        <w:br w:type="page" w:clear="all"/>
      </w:r>
      <w:r/>
    </w:p>
    <w:p>
      <w:pPr>
        <w:keepLines w:val="0"/>
        <w:keepNext w:val="0"/>
        <w:pageBreakBefore w:val="0"/>
        <w:widowControl w:val="off"/>
        <w:rPr>
          <w:rFonts w:hint="eastAsia" w:ascii="宋体" w:hAnsi="宋体" w:cs="宋体"/>
          <w:b/>
          <w:sz w:val="24"/>
        </w:rPr>
        <w:outlineLvl w:val="9"/>
      </w:pPr>
      <w:r>
        <w:rPr>
          <w:rFonts w:hint="eastAsia" w:ascii="宋体" w:hAnsi="宋体" w:cs="宋体"/>
          <w:b/>
          <w:sz w:val="24"/>
        </w:rPr>
        <w:t xml:space="preserve">法定代表人亲自参加投标的需提供：</w:t>
      </w:r>
      <w:r/>
    </w:p>
    <w:p>
      <w:pPr>
        <w:jc w:val="center"/>
        <w:spacing w:line="360" w:lineRule="auto"/>
        <w:rPr>
          <w:rFonts w:hint="eastAsia" w:ascii="宋体" w:hAnsi="宋体"/>
          <w:b/>
          <w:sz w:val="28"/>
          <w:szCs w:val="28"/>
        </w:rPr>
      </w:pPr>
      <w:r>
        <w:rPr>
          <w:rFonts w:hint="eastAsia" w:ascii="宋体" w:hAnsi="宋体"/>
          <w:b/>
          <w:sz w:val="28"/>
          <w:szCs w:val="28"/>
        </w:rPr>
      </w:r>
      <w:r/>
    </w:p>
    <w:p>
      <w:pPr>
        <w:jc w:val="center"/>
        <w:spacing w:line="360" w:lineRule="auto"/>
        <w:rPr>
          <w:rFonts w:hint="eastAsia" w:ascii="宋体" w:hAnsi="宋体"/>
          <w:b/>
          <w:sz w:val="28"/>
          <w:szCs w:val="28"/>
        </w:rPr>
      </w:pPr>
      <w:r>
        <w:rPr>
          <w:rFonts w:hint="eastAsia" w:ascii="宋体" w:hAnsi="宋体"/>
          <w:b/>
          <w:sz w:val="28"/>
          <w:szCs w:val="28"/>
        </w:rPr>
        <w:t xml:space="preserve">法定代表人身份证明书（格式）</w:t>
      </w:r>
      <w:r/>
    </w:p>
    <w:p>
      <w:pPr>
        <w:ind w:firstLine="612"/>
        <w:spacing w:line="360" w:lineRule="auto"/>
        <w:rPr>
          <w:rFonts w:hint="eastAsia" w:ascii="宋体" w:hAnsi="宋体"/>
          <w:sz w:val="24"/>
        </w:rPr>
      </w:pPr>
      <w:r>
        <w:rPr>
          <w:rFonts w:hint="eastAsia" w:ascii="宋体" w:hAnsi="宋体"/>
          <w:sz w:val="24"/>
        </w:rPr>
        <w:t xml:space="preserve">单位名称：</w:t>
      </w:r>
      <w:r>
        <w:rPr>
          <w:rFonts w:hint="eastAsia" w:ascii="宋体" w:hAnsi="宋体"/>
          <w:sz w:val="24"/>
          <w:u w:val="single"/>
        </w:rPr>
        <w:t xml:space="preserve">                                    </w:t>
      </w:r>
      <w:r/>
    </w:p>
    <w:p>
      <w:pPr>
        <w:ind w:firstLine="612"/>
        <w:spacing w:line="360" w:lineRule="auto"/>
        <w:rPr>
          <w:rFonts w:hint="eastAsia" w:ascii="宋体" w:hAnsi="宋体"/>
          <w:sz w:val="24"/>
        </w:rPr>
      </w:pPr>
      <w:r>
        <w:rPr>
          <w:rFonts w:hint="eastAsia" w:ascii="宋体" w:hAnsi="宋体"/>
          <w:sz w:val="24"/>
        </w:rPr>
      </w:r>
      <w:r/>
    </w:p>
    <w:p>
      <w:pPr>
        <w:ind w:firstLine="610"/>
        <w:spacing w:line="360" w:lineRule="auto"/>
        <w:rPr>
          <w:rFonts w:hint="eastAsia" w:ascii="宋体" w:hAnsi="宋体"/>
          <w:sz w:val="24"/>
          <w:u w:val="single"/>
        </w:rPr>
      </w:pPr>
      <w:r>
        <w:rPr>
          <w:rFonts w:hint="eastAsia" w:ascii="宋体" w:hAnsi="宋体"/>
          <w:sz w:val="24"/>
        </w:rPr>
        <w:t xml:space="preserve">单位性质：</w:t>
      </w:r>
      <w:r>
        <w:rPr>
          <w:rFonts w:hint="eastAsia" w:ascii="宋体" w:hAnsi="宋体"/>
          <w:sz w:val="24"/>
          <w:u w:val="single"/>
        </w:rPr>
        <w:t xml:space="preserve">                                    </w:t>
      </w:r>
      <w:r/>
    </w:p>
    <w:p>
      <w:pPr>
        <w:ind w:firstLine="610"/>
        <w:spacing w:line="360" w:lineRule="auto"/>
        <w:rPr>
          <w:rFonts w:hint="eastAsia" w:ascii="宋体" w:hAnsi="宋体"/>
          <w:sz w:val="24"/>
        </w:rPr>
      </w:pPr>
      <w:r>
        <w:rPr>
          <w:rFonts w:hint="eastAsia" w:ascii="宋体" w:hAnsi="宋体"/>
          <w:sz w:val="24"/>
        </w:rPr>
      </w:r>
      <w:r/>
    </w:p>
    <w:p>
      <w:pPr>
        <w:ind w:firstLine="610"/>
        <w:spacing w:line="360" w:lineRule="auto"/>
        <w:rPr>
          <w:rFonts w:hint="eastAsia" w:ascii="宋体" w:hAnsi="宋体"/>
          <w:sz w:val="24"/>
          <w:u w:val="single"/>
        </w:rPr>
      </w:pPr>
      <w:r>
        <w:rPr>
          <w:rFonts w:hint="eastAsia" w:ascii="宋体" w:hAnsi="宋体"/>
          <w:sz w:val="24"/>
        </w:rPr>
        <w:t xml:space="preserve">地    址：</w:t>
      </w:r>
      <w:r>
        <w:rPr>
          <w:rFonts w:hint="eastAsia" w:ascii="宋体" w:hAnsi="宋体"/>
          <w:sz w:val="24"/>
          <w:u w:val="single"/>
        </w:rPr>
        <w:t xml:space="preserve">                                    </w:t>
      </w:r>
      <w:r/>
    </w:p>
    <w:p>
      <w:pPr>
        <w:ind w:firstLine="610"/>
        <w:spacing w:line="360" w:lineRule="auto"/>
        <w:rPr>
          <w:rFonts w:hint="eastAsia" w:ascii="宋体" w:hAnsi="宋体"/>
          <w:sz w:val="24"/>
        </w:rPr>
      </w:pPr>
      <w:r>
        <w:rPr>
          <w:rFonts w:hint="eastAsia" w:ascii="宋体" w:hAnsi="宋体"/>
          <w:sz w:val="24"/>
        </w:rPr>
      </w:r>
      <w:r/>
    </w:p>
    <w:p>
      <w:pPr>
        <w:ind w:firstLine="610"/>
        <w:spacing w:line="360" w:lineRule="auto"/>
        <w:rPr>
          <w:rFonts w:hint="eastAsia" w:ascii="宋体" w:hAnsi="宋体"/>
          <w:sz w:val="24"/>
        </w:rPr>
      </w:pPr>
      <w:r>
        <w:rPr>
          <w:rFonts w:hint="eastAsia" w:ascii="宋体" w:hAnsi="宋体"/>
          <w:sz w:val="24"/>
        </w:rPr>
        <w:t xml:space="preserve">成立时间：</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ind w:firstLine="610"/>
        <w:spacing w:line="360" w:lineRule="auto"/>
        <w:rPr>
          <w:rFonts w:hint="eastAsia" w:ascii="宋体" w:hAnsi="宋体"/>
          <w:sz w:val="24"/>
        </w:rPr>
      </w:pPr>
      <w:r>
        <w:rPr>
          <w:rFonts w:hint="eastAsia" w:ascii="宋体" w:hAnsi="宋体"/>
          <w:sz w:val="24"/>
        </w:rPr>
      </w:r>
      <w:r/>
    </w:p>
    <w:p>
      <w:pPr>
        <w:ind w:firstLine="610"/>
        <w:spacing w:line="360" w:lineRule="auto"/>
        <w:rPr>
          <w:rFonts w:hint="eastAsia" w:ascii="宋体" w:hAnsi="宋体"/>
          <w:sz w:val="24"/>
          <w:u w:val="single"/>
        </w:rPr>
      </w:pPr>
      <w:r>
        <w:rPr>
          <w:rFonts w:hint="eastAsia" w:ascii="宋体" w:hAnsi="宋体"/>
          <w:sz w:val="24"/>
        </w:rPr>
        <w:t xml:space="preserve">经营期限：</w:t>
      </w:r>
      <w:r>
        <w:rPr>
          <w:rFonts w:hint="eastAsia" w:ascii="宋体" w:hAnsi="宋体"/>
          <w:sz w:val="24"/>
          <w:u w:val="single"/>
        </w:rPr>
        <w:t xml:space="preserve">                                    </w:t>
      </w:r>
      <w:r/>
    </w:p>
    <w:p>
      <w:pPr>
        <w:ind w:firstLine="610"/>
        <w:spacing w:line="360" w:lineRule="auto"/>
        <w:rPr>
          <w:rFonts w:hint="eastAsia" w:ascii="宋体" w:hAnsi="宋体"/>
          <w:sz w:val="24"/>
        </w:rPr>
      </w:pPr>
      <w:r>
        <w:rPr>
          <w:rFonts w:hint="eastAsia" w:ascii="宋体" w:hAnsi="宋体"/>
          <w:sz w:val="24"/>
        </w:rPr>
      </w:r>
      <w:r/>
    </w:p>
    <w:p>
      <w:pPr>
        <w:ind w:firstLine="610"/>
        <w:spacing w:line="360" w:lineRule="auto"/>
        <w:rPr>
          <w:rFonts w:hint="eastAsia" w:ascii="宋体" w:hAnsi="宋体"/>
          <w:sz w:val="24"/>
          <w:u w:val="single"/>
        </w:rPr>
      </w:pPr>
      <w:r>
        <w:rPr>
          <w:rFonts w:hint="eastAsia" w:ascii="宋体" w:hAnsi="宋体"/>
          <w:sz w:val="24"/>
        </w:rPr>
        <w:t xml:space="preserve">姓    名</w:t>
      </w:r>
      <w:r>
        <w:rPr>
          <w:rFonts w:hint="eastAsia" w:ascii="宋体" w:hAnsi="宋体"/>
          <w:sz w:val="24"/>
          <w:u w:val="single"/>
        </w:rPr>
        <w:t xml:space="preserve">        </w:t>
      </w:r>
      <w:r>
        <w:rPr>
          <w:rFonts w:hint="eastAsia" w:ascii="宋体" w:hAnsi="宋体"/>
          <w:sz w:val="24"/>
        </w:rPr>
        <w:t xml:space="preserve">性别：</w:t>
      </w:r>
      <w:r>
        <w:rPr>
          <w:rFonts w:hint="eastAsia" w:ascii="宋体" w:hAnsi="宋体"/>
          <w:sz w:val="24"/>
          <w:u w:val="single"/>
        </w:rPr>
        <w:t xml:space="preserve">        </w:t>
      </w:r>
      <w:r>
        <w:rPr>
          <w:rFonts w:hint="eastAsia" w:ascii="宋体" w:hAnsi="宋体"/>
          <w:sz w:val="24"/>
        </w:rPr>
        <w:t xml:space="preserve">年龄：</w:t>
      </w:r>
      <w:r>
        <w:rPr>
          <w:rFonts w:hint="eastAsia" w:ascii="宋体" w:hAnsi="宋体"/>
          <w:sz w:val="24"/>
          <w:u w:val="single"/>
        </w:rPr>
        <w:t xml:space="preserve">        </w:t>
      </w:r>
      <w:r>
        <w:rPr>
          <w:rFonts w:hint="eastAsia" w:ascii="宋体" w:hAnsi="宋体"/>
          <w:sz w:val="24"/>
        </w:rPr>
        <w:t xml:space="preserve">职务：</w:t>
      </w:r>
      <w:r>
        <w:rPr>
          <w:rFonts w:hint="eastAsia" w:ascii="宋体" w:hAnsi="宋体"/>
          <w:sz w:val="24"/>
          <w:u w:val="single"/>
        </w:rPr>
        <w:t xml:space="preserve">        </w:t>
      </w:r>
      <w:r/>
    </w:p>
    <w:p>
      <w:pPr>
        <w:ind w:firstLine="610"/>
        <w:spacing w:line="360" w:lineRule="auto"/>
        <w:rPr>
          <w:rFonts w:hint="eastAsia" w:ascii="宋体" w:hAnsi="宋体"/>
          <w:sz w:val="24"/>
        </w:rPr>
      </w:pPr>
      <w:r>
        <w:rPr>
          <w:rFonts w:hint="eastAsia" w:ascii="宋体" w:hAnsi="宋体"/>
          <w:sz w:val="24"/>
        </w:rPr>
      </w:r>
      <w:r/>
    </w:p>
    <w:p>
      <w:pPr>
        <w:ind w:firstLine="610"/>
        <w:spacing w:line="360" w:lineRule="auto"/>
        <w:rPr>
          <w:rFonts w:hint="eastAsia" w:ascii="宋体" w:hAnsi="宋体"/>
          <w:sz w:val="24"/>
        </w:rPr>
      </w:pPr>
      <w:r>
        <w:rPr>
          <w:rFonts w:hint="eastAsia" w:ascii="宋体" w:hAnsi="宋体"/>
          <w:sz w:val="24"/>
        </w:rPr>
        <w:t xml:space="preserve">系的法定代表人。</w:t>
      </w:r>
      <w:r/>
    </w:p>
    <w:p>
      <w:pPr>
        <w:ind w:firstLine="610"/>
        <w:spacing w:line="360" w:lineRule="auto"/>
        <w:rPr>
          <w:rFonts w:hint="eastAsia" w:ascii="宋体" w:hAnsi="宋体"/>
          <w:sz w:val="24"/>
        </w:rPr>
      </w:pPr>
      <w:r>
        <w:rPr>
          <w:rFonts w:hint="eastAsia" w:ascii="宋体" w:hAnsi="宋体"/>
          <w:sz w:val="24"/>
        </w:rPr>
      </w:r>
      <w:r/>
    </w:p>
    <w:p>
      <w:pPr>
        <w:ind w:firstLine="610"/>
        <w:spacing w:line="360" w:lineRule="auto"/>
        <w:rPr>
          <w:rFonts w:hint="eastAsia" w:ascii="宋体" w:hAnsi="宋体"/>
          <w:sz w:val="24"/>
        </w:rPr>
      </w:pPr>
      <w:r>
        <w:rPr>
          <w:rFonts w:hint="eastAsia" w:ascii="宋体" w:hAnsi="宋体"/>
          <w:sz w:val="24"/>
        </w:rPr>
        <w:t xml:space="preserve">特此证明。</w:t>
      </w:r>
      <w:r/>
    </w:p>
    <w:p>
      <w:pPr>
        <w:ind w:firstLine="4320"/>
        <w:spacing w:line="600" w:lineRule="auto"/>
        <w:tabs>
          <w:tab w:val="left" w:pos="720" w:leader="none"/>
          <w:tab w:val="left" w:pos="900" w:leader="none"/>
        </w:tabs>
        <w:rPr>
          <w:rFonts w:hint="eastAsia" w:ascii="宋体" w:hAnsi="宋体"/>
          <w:sz w:val="24"/>
        </w:rPr>
      </w:pPr>
      <w:r>
        <w:rPr>
          <w:rFonts w:hint="eastAsia" w:ascii="宋体" w:hAnsi="宋体"/>
          <w:sz w:val="24"/>
        </w:rPr>
        <w:t xml:space="preserve">投标供应商：</w:t>
      </w:r>
      <w:r>
        <w:rPr>
          <w:rFonts w:hint="eastAsia" w:ascii="宋体" w:hAnsi="宋体"/>
          <w:sz w:val="24"/>
          <w:u w:val="single"/>
        </w:rPr>
        <w:t xml:space="preserve">             （盖公章）</w:t>
      </w:r>
      <w:r/>
    </w:p>
    <w:p>
      <w:pPr>
        <w:ind w:right="480" w:firstLine="5280"/>
        <w:widowControl/>
        <w:rPr>
          <w:rFonts w:hint="eastAsia" w:ascii="宋体" w:hAnsi="宋体"/>
          <w:sz w:val="24"/>
        </w:rPr>
      </w:pPr>
      <w:r>
        <w:rPr>
          <w:rFonts w:hint="eastAsia" w:ascii="宋体" w:hAnsi="宋体"/>
          <w:sz w:val="24"/>
        </w:rPr>
        <w:t xml:space="preserve">日  期：  年  月  日</w:t>
      </w:r>
      <w:r/>
    </w:p>
    <w:p>
      <w:pPr>
        <w:rPr>
          <w:bCs/>
          <w:sz w:val="24"/>
        </w:rPr>
      </w:pPr>
      <w:r>
        <w:rPr>
          <w:rFonts w:hint="eastAsia"/>
          <w:bCs/>
          <w:sz w:val="24"/>
        </w:rPr>
        <w:t xml:space="preserve">法定代表人授权代表身份证：</w:t>
      </w:r>
      <w:r/>
    </w:p>
    <w:p>
      <w:pPr>
        <w:pStyle w:val="1188"/>
        <w:rPr>
          <w:rFonts w:ascii="Times New Roman"/>
        </w:rPr>
      </w:pPr>
      <w:r>
        <w:rPr>
          <w:rFonts w:ascii="Times New Roman"/>
        </w:rPr>
        <mc:AlternateContent>
          <mc:Choice Requires="wpg">
            <w:drawing>
              <wp:inline xmlns:wp="http://schemas.openxmlformats.org/drawingml/2006/wordprocessingDrawing" distT="0" distB="0" distL="0" distR="0">
                <wp:extent cx="2414270" cy="1584960"/>
                <wp:effectExtent l="4445" t="4445" r="19685" b="10795"/>
                <wp:docPr id="9" name="文本框 2"/>
                <wp:cNvGraphicFramePr/>
                <a:graphic xmlns:a="http://schemas.openxmlformats.org/drawingml/2006/main">
                  <a:graphicData uri="http://schemas.microsoft.com/office/word/2010/wordprocessingShape">
                    <wps:wsp>
                      <wps:cNvPr id="0" name=""/>
                      <wps:cNvSpPr txBox="1"/>
                      <wps:spPr bwMode="auto">
                        <a:xfrm>
                          <a:off x="0" y="0"/>
                          <a:ext cx="2414270"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upright="1"/>
                    </wps:wsp>
                  </a:graphicData>
                </a:graphic>
              </wp:inline>
            </w:drawing>
          </mc:Choice>
          <mc:Fallback>
            <w:pict>
              <v:shape id="shape 8" o:spid="_x0000_s8" o:spt="202" type="#_x0000_t202" style="width:190.1pt;height:124.8pt;mso-wrap-distance-left:0.0pt;mso-wrap-distance-top:0.0pt;mso-wrap-distance-right:0.0pt;mso-wrap-distance-bottom:0.0pt;visibility:visible;" fillcolor="#FFFFFF" strokecolor="#000000" strokeweight="0.14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ascii="Times New Roman"/>
          <w:sz w:val="24"/>
        </w:rPr>
        <w:t xml:space="preserve"> </w:t>
      </w:r>
      <w:r>
        <w:rPr>
          <w:rFonts w:ascii="Times New Roman"/>
        </w:rPr>
        <mc:AlternateContent>
          <mc:Choice Requires="wpg">
            <w:drawing>
              <wp:inline xmlns:wp="http://schemas.openxmlformats.org/drawingml/2006/wordprocessingDrawing" distT="0" distB="0" distL="0" distR="0">
                <wp:extent cx="2397125" cy="1584960"/>
                <wp:effectExtent l="5080" t="4445" r="5715" b="10795"/>
                <wp:docPr id="10" name="文本框 5"/>
                <wp:cNvGraphicFramePr/>
                <a:graphic xmlns:a="http://schemas.openxmlformats.org/drawingml/2006/main">
                  <a:graphicData uri="http://schemas.microsoft.com/office/word/2010/wordprocessingShape">
                    <wps:wsp>
                      <wps:cNvPr id="0" name=""/>
                      <wps:cNvSpPr txBox="1"/>
                      <wps:spPr bwMode="auto">
                        <a:xfrm>
                          <a:off x="0" y="0"/>
                          <a:ext cx="2397125"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upright="1"/>
                    </wps:wsp>
                  </a:graphicData>
                </a:graphic>
              </wp:inline>
            </w:drawing>
          </mc:Choice>
          <mc:Fallback>
            <w:pict>
              <v:shape id="shape 9" o:spid="_x0000_s9" o:spt="202" type="#_x0000_t202" style="width:188.8pt;height:124.8pt;mso-wrap-distance-left:0.0pt;mso-wrap-distance-top:0.0pt;mso-wrap-distance-right:0.0pt;mso-wrap-distance-bottom:0.0pt;visibility:visible;" fillcolor="#FFFFFF" strokecolor="#000000" strokeweight="0.14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ind w:firstLine="420"/>
        <w:jc w:val="left"/>
        <w:spacing w:line="360" w:lineRule="auto"/>
        <w:shd w:val="clear" w:color="auto" w:fill="ffffff"/>
        <w:widowControl/>
        <w:rPr>
          <w:szCs w:val="21"/>
        </w:rPr>
      </w:pPr>
      <w:r>
        <w:rPr>
          <w:szCs w:val="21"/>
        </w:rPr>
      </w:r>
      <w:r/>
    </w:p>
    <w:p>
      <w:pPr>
        <w:spacing w:line="360" w:lineRule="auto"/>
        <w:rPr>
          <w:lang w:val="zh-CN"/>
        </w:rPr>
      </w:pPr>
      <w:r>
        <w:rPr>
          <w:b/>
          <w:bCs/>
          <w:szCs w:val="21"/>
        </w:rPr>
        <w:br w:type="page" w:clear="all"/>
      </w:r>
      <w:bookmarkStart w:id="72" w:name="_Toc26810"/>
      <w:r>
        <w:rPr>
          <w:rFonts w:hint="eastAsia"/>
          <w:b/>
          <w:bCs/>
          <w:szCs w:val="21"/>
          <w:lang w:val="zh-CN"/>
        </w:rPr>
        <w:t xml:space="preserve">附件三、报价表</w:t>
      </w:r>
      <w:bookmarkEnd w:id="72"/>
      <w:r/>
      <w:r/>
    </w:p>
    <w:p>
      <w:pPr>
        <w:rPr>
          <w:b/>
          <w:bCs/>
          <w:lang w:val="zh-CN"/>
        </w:rPr>
      </w:pPr>
      <w:r>
        <w:rPr>
          <w:b/>
          <w:bCs/>
          <w:lang w:val="zh-CN"/>
        </w:rPr>
      </w:r>
      <w:r/>
    </w:p>
    <w:p>
      <w:pPr>
        <w:jc w:val="center"/>
        <w:rPr>
          <w:b/>
          <w:sz w:val="36"/>
          <w:szCs w:val="36"/>
        </w:rPr>
      </w:pPr>
      <w:r>
        <w:rPr>
          <w:rFonts w:hint="eastAsia"/>
          <w:b/>
          <w:sz w:val="36"/>
          <w:szCs w:val="36"/>
        </w:rPr>
        <w:t xml:space="preserve">开标一览表</w:t>
      </w:r>
      <w:r/>
    </w:p>
    <w:p>
      <w:pPr>
        <w:jc w:val="center"/>
        <w:spacing w:line="360" w:lineRule="auto"/>
        <w:shd w:val="clear" w:color="auto" w:fill="ffffff"/>
        <w:widowControl/>
        <w:rPr>
          <w:sz w:val="24"/>
        </w:rPr>
      </w:pPr>
      <w:r>
        <w:rPr>
          <w:sz w:val="24"/>
        </w:rPr>
      </w:r>
      <w:r/>
    </w:p>
    <w:p>
      <w:pPr>
        <w:pStyle w:val="804"/>
        <w:ind w:firstLine="474"/>
        <w:spacing w:line="440" w:lineRule="exact"/>
        <w:rPr>
          <w:sz w:val="21"/>
          <w:szCs w:val="21"/>
        </w:rPr>
      </w:pPr>
      <w:r>
        <w:rPr>
          <w:rFonts w:hint="eastAsia"/>
          <w:sz w:val="21"/>
          <w:szCs w:val="21"/>
        </w:rPr>
        <w:t xml:space="preserve">项目名称：                                   项目编号 ：           </w:t>
      </w:r>
      <w:r/>
    </w:p>
    <w:tbl>
      <w:tblPr>
        <w:tblStyle w:val="799"/>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4"/>
        <w:gridCol w:w="5459"/>
        <w:gridCol w:w="1657"/>
      </w:tblGrid>
      <w:tr>
        <w:trPr>
          <w:cantSplit/>
          <w:trHeight w:val="1010"/>
        </w:trPr>
        <w:tc>
          <w:tcPr>
            <w:tcW w:w="1524" w:type="dxa"/>
            <w:vAlign w:val="center"/>
            <w:textDirection w:val="lrTb"/>
            <w:noWrap w:val="false"/>
          </w:tcPr>
          <w:p>
            <w:pPr>
              <w:jc w:val="center"/>
            </w:pPr>
            <w:r>
              <w:rPr>
                <w:rFonts w:hint="eastAsia"/>
              </w:rPr>
              <w:t xml:space="preserve">投标报价</w:t>
            </w:r>
            <w:r/>
          </w:p>
        </w:tc>
        <w:tc>
          <w:tcPr>
            <w:tcW w:w="5459" w:type="dxa"/>
            <w:vAlign w:val="center"/>
            <w:textDirection w:val="lrTb"/>
            <w:noWrap w:val="false"/>
          </w:tcPr>
          <w:p>
            <w:pPr>
              <w:pStyle w:val="804"/>
              <w:ind w:firstLine="472"/>
              <w:rPr>
                <w:b w:val="0"/>
                <w:bCs/>
                <w:sz w:val="21"/>
                <w:szCs w:val="21"/>
              </w:rPr>
            </w:pPr>
            <w:r>
              <w:rPr>
                <w:rFonts w:hint="eastAsia"/>
                <w:b w:val="0"/>
                <w:bCs/>
                <w:sz w:val="21"/>
                <w:szCs w:val="21"/>
              </w:rPr>
              <w:t xml:space="preserve">总价（小写）：</w:t>
            </w:r>
            <w:r/>
          </w:p>
          <w:p>
            <w:pPr>
              <w:pStyle w:val="804"/>
              <w:ind w:firstLine="472"/>
              <w:rPr>
                <w:b w:val="0"/>
                <w:bCs/>
                <w:sz w:val="21"/>
                <w:szCs w:val="21"/>
              </w:rPr>
            </w:pPr>
            <w:r>
              <w:rPr>
                <w:b w:val="0"/>
                <w:bCs/>
                <w:sz w:val="21"/>
                <w:szCs w:val="21"/>
              </w:rPr>
            </w:r>
            <w:r/>
          </w:p>
          <w:p>
            <w:pPr>
              <w:pStyle w:val="804"/>
              <w:ind w:firstLine="472"/>
              <w:rPr>
                <w:b w:val="0"/>
                <w:bCs/>
                <w:sz w:val="21"/>
                <w:szCs w:val="21"/>
              </w:rPr>
            </w:pPr>
            <w:r>
              <w:rPr>
                <w:rFonts w:hint="eastAsia"/>
                <w:b w:val="0"/>
                <w:bCs/>
                <w:sz w:val="21"/>
                <w:szCs w:val="21"/>
              </w:rPr>
              <w:t xml:space="preserve">总价（大写）：</w:t>
            </w:r>
            <w:r/>
          </w:p>
        </w:tc>
        <w:tc>
          <w:tcPr>
            <w:tcW w:w="1657" w:type="dxa"/>
            <w:vAlign w:val="center"/>
            <w:textDirection w:val="lrTb"/>
            <w:noWrap w:val="false"/>
          </w:tcPr>
          <w:p>
            <w:pPr>
              <w:spacing w:line="440" w:lineRule="exact"/>
              <w:rPr>
                <w:szCs w:val="21"/>
              </w:rPr>
            </w:pPr>
            <w:r>
              <w:rPr>
                <w:rFonts w:hint="eastAsia"/>
                <w:szCs w:val="21"/>
              </w:rPr>
              <w:t xml:space="preserve">备注：</w:t>
            </w:r>
            <w:r/>
          </w:p>
        </w:tc>
      </w:tr>
      <w:tr>
        <w:trPr>
          <w:trHeight w:val="829"/>
        </w:trPr>
        <w:tc>
          <w:tcPr>
            <w:tcW w:w="1524" w:type="dxa"/>
            <w:vAlign w:val="center"/>
            <w:textDirection w:val="lrTb"/>
            <w:noWrap w:val="false"/>
          </w:tcPr>
          <w:p>
            <w:pPr>
              <w:spacing w:line="440" w:lineRule="exact"/>
              <w:rPr>
                <w:szCs w:val="21"/>
              </w:rPr>
            </w:pPr>
            <w:r>
              <w:rPr>
                <w:rFonts w:hint="eastAsia"/>
                <w:szCs w:val="21"/>
              </w:rPr>
              <w:t xml:space="preserve">服务时间/交付使用时间</w:t>
            </w:r>
            <w:r/>
          </w:p>
        </w:tc>
        <w:tc>
          <w:tcPr>
            <w:tcW w:w="5459" w:type="dxa"/>
            <w:vAlign w:val="center"/>
            <w:textDirection w:val="lrTb"/>
            <w:noWrap w:val="false"/>
          </w:tcPr>
          <w:p>
            <w:pPr>
              <w:pStyle w:val="804"/>
              <w:ind w:firstLine="472"/>
              <w:rPr>
                <w:b w:val="0"/>
                <w:bCs/>
                <w:sz w:val="21"/>
                <w:szCs w:val="21"/>
              </w:rPr>
            </w:pPr>
            <w:r>
              <w:rPr>
                <w:rFonts w:hint="eastAsia"/>
                <w:b w:val="0"/>
                <w:bCs/>
                <w:sz w:val="21"/>
                <w:szCs w:val="21"/>
                <w:u w:val="single"/>
              </w:rPr>
              <w:t xml:space="preserve">满足招标文件要求</w:t>
            </w:r>
            <w:r>
              <w:rPr>
                <w:rFonts w:hint="eastAsia"/>
                <w:b w:val="0"/>
                <w:bCs/>
                <w:sz w:val="21"/>
                <w:szCs w:val="21"/>
              </w:rPr>
              <w:t xml:space="preserve">。</w:t>
            </w:r>
            <w:r/>
          </w:p>
        </w:tc>
        <w:tc>
          <w:tcPr>
            <w:tcW w:w="1657" w:type="dxa"/>
            <w:vAlign w:val="center"/>
            <w:textDirection w:val="lrTb"/>
            <w:noWrap w:val="false"/>
          </w:tcPr>
          <w:p>
            <w:pPr>
              <w:ind w:firstLine="472"/>
              <w:spacing w:line="440" w:lineRule="exact"/>
              <w:rPr>
                <w:szCs w:val="21"/>
              </w:rPr>
            </w:pPr>
            <w:r>
              <w:rPr>
                <w:szCs w:val="21"/>
              </w:rPr>
            </w:r>
            <w:r/>
          </w:p>
          <w:p>
            <w:pPr>
              <w:ind w:firstLine="472"/>
              <w:spacing w:line="440" w:lineRule="exact"/>
              <w:rPr>
                <w:szCs w:val="21"/>
              </w:rPr>
            </w:pPr>
            <w:r>
              <w:rPr>
                <w:szCs w:val="21"/>
              </w:rPr>
            </w:r>
            <w:r/>
          </w:p>
        </w:tc>
      </w:tr>
      <w:tr>
        <w:trPr>
          <w:trHeight w:val="829"/>
        </w:trPr>
        <w:tc>
          <w:tcPr>
            <w:tcW w:w="1524" w:type="dxa"/>
            <w:vAlign w:val="center"/>
            <w:textDirection w:val="lrTb"/>
            <w:noWrap w:val="false"/>
          </w:tcPr>
          <w:p>
            <w:pPr>
              <w:pStyle w:val="804"/>
              <w:ind w:firstLine="0"/>
              <w:jc w:val="center"/>
              <w:rPr>
                <w:rFonts w:hint="eastAsia" w:ascii="宋体" w:hAnsi="宋体"/>
                <w:szCs w:val="21"/>
              </w:rPr>
            </w:pPr>
            <w:r>
              <w:rPr>
                <w:rFonts w:hint="eastAsia" w:ascii="宋体" w:hAnsi="宋体"/>
                <w:sz w:val="21"/>
                <w:szCs w:val="21"/>
              </w:rPr>
              <w:t xml:space="preserve">投标标的是否全部由小微企业（含视同小微企业）提供</w:t>
            </w:r>
            <w:r/>
          </w:p>
        </w:tc>
        <w:tc>
          <w:tcPr>
            <w:tcW w:w="5459" w:type="dxa"/>
            <w:vAlign w:val="center"/>
            <w:textDirection w:val="lrTb"/>
            <w:noWrap w:val="false"/>
          </w:tcPr>
          <w:p>
            <w:pPr>
              <w:pStyle w:val="804"/>
              <w:ind w:firstLine="474"/>
              <w:rPr>
                <w:rFonts w:hint="eastAsia" w:ascii="宋体" w:hAnsi="宋体"/>
                <w:szCs w:val="21"/>
                <w:u w:val="single"/>
              </w:rPr>
            </w:pPr>
            <w:r>
              <w:rPr>
                <w:rFonts w:hint="eastAsia" w:ascii="宋体" w:hAnsi="宋体"/>
                <w:sz w:val="21"/>
                <w:szCs w:val="21"/>
              </w:rPr>
              <w:t xml:space="preserve">（</w:t>
            </w:r>
            <w:r>
              <w:rPr>
                <w:rFonts w:hint="eastAsia" w:ascii="宋体" w:hAnsi="宋体"/>
                <w:sz w:val="21"/>
                <w:szCs w:val="21"/>
                <w:lang w:val="zh-CN"/>
              </w:rPr>
              <w:t xml:space="preserve">填写“是”或“否”</w:t>
            </w:r>
            <w:r>
              <w:rPr>
                <w:rFonts w:hint="eastAsia" w:ascii="宋体" w:hAnsi="宋体"/>
                <w:sz w:val="21"/>
                <w:szCs w:val="21"/>
              </w:rPr>
              <w:t xml:space="preserve">）</w:t>
            </w:r>
            <w:r/>
          </w:p>
        </w:tc>
        <w:tc>
          <w:tcPr>
            <w:tcW w:w="1657" w:type="dxa"/>
            <w:vAlign w:val="center"/>
            <w:textDirection w:val="lrTb"/>
            <w:noWrap w:val="false"/>
          </w:tcPr>
          <w:p>
            <w:pPr>
              <w:ind w:firstLine="472"/>
              <w:spacing w:line="440" w:lineRule="exact"/>
              <w:rPr>
                <w:szCs w:val="21"/>
              </w:rPr>
            </w:pPr>
            <w:r>
              <w:rPr>
                <w:szCs w:val="21"/>
              </w:rPr>
            </w:r>
            <w:r/>
          </w:p>
        </w:tc>
      </w:tr>
      <w:tr>
        <w:trPr>
          <w:trHeight w:val="829"/>
        </w:trPr>
        <w:tc>
          <w:tcPr>
            <w:tcW w:w="1524" w:type="dxa"/>
            <w:vAlign w:val="center"/>
            <w:textDirection w:val="lrTb"/>
            <w:noWrap w:val="false"/>
          </w:tcPr>
          <w:p>
            <w:pPr>
              <w:pStyle w:val="804"/>
              <w:ind w:firstLine="0"/>
              <w:jc w:val="center"/>
              <w:rPr>
                <w:rFonts w:hint="eastAsia" w:ascii="宋体" w:hAnsi="宋体"/>
                <w:sz w:val="21"/>
                <w:szCs w:val="21"/>
              </w:rPr>
            </w:pPr>
            <w:r>
              <w:rPr>
                <w:rFonts w:hint="eastAsia" w:ascii="宋体" w:hAnsi="宋体"/>
                <w:sz w:val="21"/>
                <w:szCs w:val="21"/>
              </w:rPr>
              <w:t xml:space="preserve">核心产品品牌</w:t>
            </w:r>
            <w:r/>
          </w:p>
        </w:tc>
        <w:tc>
          <w:tcPr>
            <w:tcW w:w="5459" w:type="dxa"/>
            <w:vAlign w:val="center"/>
            <w:textDirection w:val="lrTb"/>
            <w:noWrap w:val="false"/>
          </w:tcPr>
          <w:p>
            <w:pPr>
              <w:pStyle w:val="804"/>
              <w:ind w:firstLine="474"/>
              <w:rPr>
                <w:rFonts w:hint="eastAsia" w:ascii="宋体" w:hAnsi="宋体"/>
                <w:sz w:val="21"/>
                <w:szCs w:val="21"/>
              </w:rPr>
            </w:pPr>
            <w:r>
              <w:rPr>
                <w:rFonts w:hint="eastAsia" w:ascii="宋体" w:hAnsi="宋体"/>
                <w:sz w:val="21"/>
                <w:szCs w:val="21"/>
              </w:rPr>
            </w:r>
            <w:r/>
          </w:p>
        </w:tc>
        <w:tc>
          <w:tcPr>
            <w:tcW w:w="1657" w:type="dxa"/>
            <w:vAlign w:val="center"/>
            <w:textDirection w:val="lrTb"/>
            <w:noWrap w:val="false"/>
          </w:tcPr>
          <w:p>
            <w:pPr>
              <w:ind w:firstLine="472"/>
              <w:spacing w:line="440" w:lineRule="exact"/>
              <w:rPr>
                <w:szCs w:val="21"/>
              </w:rPr>
            </w:pPr>
            <w:r>
              <w:rPr>
                <w:szCs w:val="21"/>
              </w:rPr>
            </w:r>
            <w:r/>
          </w:p>
        </w:tc>
      </w:tr>
    </w:tbl>
    <w:p>
      <w:pPr>
        <w:pStyle w:val="804"/>
        <w:ind w:firstLine="474"/>
        <w:spacing w:line="440" w:lineRule="exact"/>
        <w:rPr>
          <w:sz w:val="21"/>
          <w:szCs w:val="21"/>
        </w:rPr>
      </w:pPr>
      <w:r>
        <w:rPr>
          <w:sz w:val="21"/>
          <w:szCs w:val="21"/>
        </w:rPr>
      </w:r>
      <w:r/>
    </w:p>
    <w:p>
      <w:pPr>
        <w:jc w:val="left"/>
        <w:spacing w:line="360" w:lineRule="auto"/>
        <w:shd w:val="clear" w:color="auto" w:fill="ffffff"/>
        <w:widowControl/>
        <w:rPr>
          <w:szCs w:val="21"/>
        </w:rPr>
      </w:pPr>
      <w:r>
        <w:rPr>
          <w:rFonts w:hint="eastAsia"/>
          <w:szCs w:val="21"/>
        </w:rPr>
        <w:t xml:space="preserve">投标单位（加盖电子公章）：</w:t>
      </w:r>
      <w:r>
        <w:rPr>
          <w:szCs w:val="21"/>
          <w:u w:val="single"/>
        </w:rPr>
        <w:t xml:space="preserve">                             </w:t>
      </w:r>
      <w:r/>
    </w:p>
    <w:p>
      <w:pPr>
        <w:jc w:val="left"/>
        <w:spacing w:line="360" w:lineRule="auto"/>
        <w:shd w:val="clear" w:color="auto" w:fill="ffffff"/>
        <w:widowControl/>
        <w:rPr>
          <w:szCs w:val="21"/>
        </w:rPr>
      </w:pPr>
      <w:r>
        <w:rPr>
          <w:rFonts w:hint="eastAsia"/>
          <w:szCs w:val="21"/>
        </w:rPr>
        <w:t xml:space="preserve">说明：</w:t>
      </w:r>
      <w:r/>
    </w:p>
    <w:p>
      <w:pPr>
        <w:numPr>
          <w:ilvl w:val="0"/>
          <w:numId w:val="12"/>
        </w:numPr>
        <w:ind w:firstLine="422"/>
        <w:jc w:val="left"/>
        <w:spacing w:line="360" w:lineRule="auto"/>
        <w:shd w:val="clear" w:color="auto" w:fill="ffffff"/>
        <w:widowControl/>
        <w:rPr>
          <w:b/>
          <w:bCs/>
          <w:szCs w:val="21"/>
        </w:rPr>
      </w:pPr>
      <w:r/>
      <w:bookmarkStart w:id="73" w:name="_Toc12264"/>
      <w:r>
        <w:rPr>
          <w:rFonts w:hint="eastAsia"/>
          <w:b/>
          <w:bCs/>
          <w:szCs w:val="21"/>
        </w:rPr>
        <w:t xml:space="preserve">本项目仅接受一个价格，不得填报有选择性报价方案。如有优惠条款须注明，但不得影响报价，影响项目履约交付。</w:t>
      </w:r>
      <w:r/>
    </w:p>
    <w:p>
      <w:pPr>
        <w:ind w:firstLine="420"/>
        <w:jc w:val="left"/>
        <w:spacing w:line="360" w:lineRule="auto"/>
        <w:shd w:val="clear" w:color="auto" w:fill="ffffff"/>
        <w:widowControl/>
        <w:rPr>
          <w:b/>
          <w:bCs/>
          <w:szCs w:val="21"/>
        </w:rPr>
      </w:pPr>
      <w:r>
        <w:rPr>
          <w:rFonts w:hint="eastAsia"/>
          <w:b/>
          <w:bCs/>
          <w:szCs w:val="21"/>
        </w:rPr>
        <w:t xml:space="preserve">2、“投标标的是否全部由小微企业提供”</w:t>
      </w:r>
      <w:r>
        <w:rPr>
          <w:rFonts w:hint="eastAsia"/>
          <w:b/>
          <w:bCs/>
          <w:szCs w:val="21"/>
          <w:lang w:val="zh-CN"/>
        </w:rPr>
        <w:t xml:space="preserve">栏内填写“是”或“否”。如填写</w:t>
      </w:r>
      <w:r>
        <w:rPr>
          <w:rFonts w:hint="eastAsia" w:ascii="宋体" w:hAnsi="宋体"/>
          <w:b/>
          <w:bCs/>
          <w:szCs w:val="21"/>
          <w:lang w:val="zh-CN"/>
        </w:rPr>
        <w:t xml:space="preserve">“是”，</w:t>
      </w:r>
      <w:r>
        <w:rPr>
          <w:rFonts w:hint="eastAsia"/>
          <w:b/>
          <w:bCs/>
          <w:szCs w:val="21"/>
        </w:rPr>
        <w:t xml:space="preserve">投标人应按招标文件要求提供《中小企业声明函》、《残疾人福利性单位声明函》、《属于监狱企业的证明文件》。如未按要求提供、填写，不享受价格扣除。</w:t>
      </w:r>
      <w:r/>
    </w:p>
    <w:p>
      <w:pPr>
        <w:ind w:firstLine="420"/>
        <w:jc w:val="left"/>
        <w:spacing w:line="360" w:lineRule="auto"/>
        <w:shd w:val="clear" w:color="auto" w:fill="ffffff"/>
        <w:widowControl/>
        <w:rPr>
          <w:b/>
          <w:bCs/>
          <w:szCs w:val="21"/>
        </w:rPr>
      </w:pPr>
      <w:r>
        <w:rPr>
          <w:rFonts w:hint="eastAsia"/>
          <w:b/>
          <w:bCs/>
          <w:szCs w:val="21"/>
        </w:rPr>
        <w:t xml:space="preserve">3、评标时一律按苏采云系统自带的开标一览表中内容为准，开标一览表中必须盖章。投标人对所报相关数据的真实性负责，江苏省设备成套股份有限公司有权将相关内容进行公示。</w:t>
      </w:r>
      <w:r/>
    </w:p>
    <w:p>
      <w:pPr>
        <w:jc w:val="left"/>
        <w:spacing w:line="360" w:lineRule="auto"/>
        <w:shd w:val="clear" w:color="auto" w:fill="ffffff"/>
        <w:widowControl/>
        <w:rPr>
          <w:b/>
          <w:bCs/>
          <w:szCs w:val="21"/>
          <w:lang w:val="zh-CN"/>
        </w:rPr>
      </w:pPr>
      <w:r>
        <w:rPr>
          <w:b/>
          <w:bCs/>
          <w:szCs w:val="21"/>
          <w:lang w:val="zh-CN"/>
        </w:rPr>
        <w:br w:type="page" w:clear="all"/>
      </w:r>
      <w:r/>
    </w:p>
    <w:p>
      <w:pPr>
        <w:jc w:val="left"/>
        <w:spacing w:line="360" w:lineRule="auto"/>
        <w:shd w:val="clear" w:color="auto" w:fill="ffffff"/>
        <w:widowControl/>
        <w:rPr>
          <w:b/>
          <w:bCs/>
          <w:szCs w:val="21"/>
          <w:lang w:val="zh-CN"/>
        </w:rPr>
      </w:pPr>
      <w:r>
        <w:rPr>
          <w:rFonts w:hint="eastAsia"/>
          <w:b/>
          <w:bCs/>
          <w:szCs w:val="21"/>
          <w:lang w:val="zh-CN"/>
        </w:rPr>
        <w:t xml:space="preserve">附件四、分项报价表格式</w:t>
      </w:r>
      <w:bookmarkEnd w:id="73"/>
      <w:r/>
      <w:r/>
    </w:p>
    <w:p>
      <w:pPr>
        <w:jc w:val="left"/>
        <w:spacing w:line="240" w:lineRule="atLeast"/>
        <w:widowControl/>
        <w:rPr>
          <w:b/>
          <w:bCs/>
          <w:lang w:val="zh-CN"/>
        </w:rPr>
      </w:pPr>
      <w:r>
        <w:rPr>
          <w:b/>
          <w:bCs/>
          <w:lang w:val="zh-CN"/>
        </w:rPr>
      </w:r>
      <w:r/>
    </w:p>
    <w:p>
      <w:pPr>
        <w:jc w:val="center"/>
        <w:spacing w:line="360" w:lineRule="auto"/>
        <w:shd w:val="clear" w:color="auto" w:fill="ffffff"/>
        <w:widowControl/>
        <w:rPr>
          <w:b/>
          <w:sz w:val="36"/>
          <w:szCs w:val="36"/>
        </w:rPr>
      </w:pPr>
      <w:r>
        <w:rPr>
          <w:rFonts w:hint="eastAsia"/>
          <w:b/>
          <w:sz w:val="36"/>
          <w:szCs w:val="36"/>
        </w:rPr>
        <w:t xml:space="preserve">分项报价表</w:t>
      </w:r>
      <w:r/>
    </w:p>
    <w:tbl>
      <w:tblPr>
        <w:tblStyle w:val="79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5"/>
        <w:gridCol w:w="1349"/>
        <w:gridCol w:w="1478"/>
        <w:gridCol w:w="1009"/>
        <w:gridCol w:w="1066"/>
        <w:gridCol w:w="894"/>
        <w:gridCol w:w="1249"/>
        <w:gridCol w:w="847"/>
        <w:gridCol w:w="863"/>
      </w:tblGrid>
      <w:tr>
        <w:trPr>
          <w:trHeight w:val="343"/>
        </w:trPr>
        <w:tc>
          <w:tcPr>
            <w:tcBorders>
              <w:top w:val="single" w:color="auto" w:sz="4" w:space="0"/>
              <w:left w:val="single" w:color="auto" w:sz="4" w:space="0"/>
              <w:bottom w:val="single" w:color="auto" w:sz="4" w:space="0"/>
              <w:right w:val="single" w:color="auto" w:sz="4" w:space="0"/>
            </w:tcBorders>
            <w:tcW w:w="556" w:type="pct"/>
            <w:textDirection w:val="lrTb"/>
            <w:noWrap w:val="false"/>
          </w:tcPr>
          <w:p>
            <w:pPr>
              <w:jc w:val="center"/>
              <w:rPr>
                <w:sz w:val="24"/>
              </w:rPr>
            </w:pPr>
            <w:r>
              <w:rPr>
                <w:rFonts w:hint="eastAsia"/>
                <w:sz w:val="24"/>
              </w:rPr>
              <w:t xml:space="preserve">名称</w:t>
            </w:r>
            <w:r/>
          </w:p>
        </w:tc>
        <w:tc>
          <w:tcPr>
            <w:tcBorders>
              <w:top w:val="single" w:color="auto" w:sz="4" w:space="0"/>
              <w:left w:val="single" w:color="auto" w:sz="4" w:space="0"/>
              <w:right w:val="single" w:color="auto" w:sz="4" w:space="0"/>
            </w:tcBorders>
            <w:tcW w:w="685" w:type="pct"/>
            <w:textDirection w:val="lrTb"/>
            <w:noWrap w:val="false"/>
          </w:tcPr>
          <w:p>
            <w:pPr>
              <w:jc w:val="center"/>
              <w:rPr>
                <w:sz w:val="24"/>
              </w:rPr>
            </w:pPr>
            <w:r>
              <w:rPr>
                <w:rFonts w:hint="eastAsia"/>
                <w:sz w:val="24"/>
              </w:rPr>
              <w:t xml:space="preserve">投标产品配置</w:t>
            </w:r>
            <w:r/>
          </w:p>
        </w:tc>
        <w:tc>
          <w:tcPr>
            <w:tcBorders>
              <w:top w:val="single" w:color="auto" w:sz="4" w:space="0"/>
              <w:left w:val="single" w:color="auto" w:sz="4" w:space="0"/>
              <w:right w:val="single" w:color="auto" w:sz="4" w:space="0"/>
            </w:tcBorders>
            <w:tcW w:w="750" w:type="pct"/>
            <w:textDirection w:val="lrTb"/>
            <w:noWrap w:val="false"/>
          </w:tcPr>
          <w:p>
            <w:pPr>
              <w:jc w:val="center"/>
              <w:rPr>
                <w:sz w:val="24"/>
              </w:rPr>
            </w:pPr>
            <w:r>
              <w:rPr>
                <w:rFonts w:hint="eastAsia"/>
                <w:sz w:val="24"/>
              </w:rPr>
              <w:t xml:space="preserve">详细规格型号</w:t>
            </w:r>
            <w:r/>
          </w:p>
        </w:tc>
        <w:tc>
          <w:tcPr>
            <w:tcBorders>
              <w:top w:val="single" w:color="auto" w:sz="4" w:space="0"/>
              <w:left w:val="single" w:color="auto" w:sz="4" w:space="0"/>
              <w:right w:val="single" w:color="auto" w:sz="4" w:space="0"/>
            </w:tcBorders>
            <w:tcW w:w="512" w:type="pct"/>
            <w:textDirection w:val="lrTb"/>
            <w:noWrap w:val="false"/>
          </w:tcPr>
          <w:p>
            <w:pPr>
              <w:jc w:val="center"/>
              <w:rPr>
                <w:sz w:val="24"/>
              </w:rPr>
            </w:pPr>
            <w:r>
              <w:rPr>
                <w:rFonts w:hint="eastAsia"/>
                <w:sz w:val="24"/>
              </w:rPr>
              <w:t xml:space="preserve">品牌</w:t>
            </w:r>
            <w:r/>
          </w:p>
        </w:tc>
        <w:tc>
          <w:tcPr>
            <w:tcBorders>
              <w:top w:val="single" w:color="auto" w:sz="4" w:space="0"/>
              <w:left w:val="single" w:color="auto" w:sz="4" w:space="0"/>
              <w:bottom w:val="single" w:color="auto" w:sz="4" w:space="0"/>
              <w:right w:val="single" w:color="auto" w:sz="4" w:space="0"/>
            </w:tcBorders>
            <w:tcW w:w="541" w:type="pct"/>
            <w:textDirection w:val="lrTb"/>
            <w:noWrap w:val="false"/>
          </w:tcPr>
          <w:p>
            <w:pPr>
              <w:jc w:val="center"/>
              <w:rPr>
                <w:sz w:val="24"/>
              </w:rPr>
            </w:pPr>
            <w:r>
              <w:rPr>
                <w:rFonts w:hint="eastAsia"/>
                <w:sz w:val="24"/>
              </w:rPr>
              <w:t xml:space="preserve">制造商、产地</w:t>
            </w:r>
            <w:r/>
          </w:p>
        </w:tc>
        <w:tc>
          <w:tcPr>
            <w:tcBorders>
              <w:top w:val="single" w:color="auto" w:sz="4" w:space="0"/>
              <w:left w:val="single" w:color="auto" w:sz="4" w:space="0"/>
              <w:bottom w:val="single" w:color="auto" w:sz="4" w:space="0"/>
              <w:right w:val="single" w:color="auto" w:sz="4" w:space="0"/>
            </w:tcBorders>
            <w:tcW w:w="454" w:type="pct"/>
            <w:textDirection w:val="lrTb"/>
            <w:noWrap w:val="false"/>
          </w:tcPr>
          <w:p>
            <w:pPr>
              <w:jc w:val="center"/>
              <w:rPr>
                <w:sz w:val="24"/>
              </w:rPr>
            </w:pPr>
            <w:r>
              <w:rPr>
                <w:rFonts w:hint="eastAsia"/>
                <w:sz w:val="24"/>
              </w:rPr>
              <w:t xml:space="preserve">数量</w:t>
            </w:r>
            <w:r/>
          </w:p>
        </w:tc>
        <w:tc>
          <w:tcPr>
            <w:tcBorders>
              <w:top w:val="single" w:color="auto" w:sz="4" w:space="0"/>
              <w:left w:val="single" w:color="auto" w:sz="4" w:space="0"/>
              <w:bottom w:val="single" w:color="auto" w:sz="4" w:space="0"/>
              <w:right w:val="single" w:color="auto" w:sz="4" w:space="0"/>
            </w:tcBorders>
            <w:tcW w:w="634" w:type="pct"/>
            <w:textDirection w:val="lrTb"/>
            <w:noWrap w:val="false"/>
          </w:tcPr>
          <w:p>
            <w:pPr>
              <w:jc w:val="center"/>
              <w:rPr>
                <w:sz w:val="24"/>
              </w:rPr>
            </w:pPr>
            <w:r>
              <w:rPr>
                <w:rFonts w:hint="eastAsia"/>
                <w:sz w:val="24"/>
              </w:rPr>
              <w:t xml:space="preserve">单价</w:t>
            </w:r>
            <w:r/>
          </w:p>
        </w:tc>
        <w:tc>
          <w:tcPr>
            <w:tcBorders>
              <w:top w:val="single" w:color="auto" w:sz="4" w:space="0"/>
              <w:left w:val="single" w:color="auto" w:sz="4" w:space="0"/>
              <w:right w:val="single" w:color="auto" w:sz="4" w:space="0"/>
            </w:tcBorders>
            <w:tcW w:w="430" w:type="pct"/>
            <w:textDirection w:val="lrTb"/>
            <w:noWrap w:val="false"/>
          </w:tcPr>
          <w:p>
            <w:pPr>
              <w:jc w:val="center"/>
              <w:rPr>
                <w:sz w:val="24"/>
              </w:rPr>
            </w:pPr>
            <w:r>
              <w:rPr>
                <w:rFonts w:hint="eastAsia"/>
                <w:sz w:val="24"/>
              </w:rPr>
              <w:t xml:space="preserve">总价</w:t>
            </w:r>
            <w:r/>
          </w:p>
        </w:tc>
        <w:tc>
          <w:tcPr>
            <w:tcBorders>
              <w:top w:val="single" w:color="auto" w:sz="4" w:space="0"/>
              <w:left w:val="single" w:color="auto" w:sz="4" w:space="0"/>
              <w:right w:val="single" w:color="auto" w:sz="4" w:space="0"/>
            </w:tcBorders>
            <w:tcW w:w="435" w:type="pct"/>
            <w:textDirection w:val="lrTb"/>
            <w:noWrap w:val="false"/>
          </w:tcPr>
          <w:p>
            <w:pPr>
              <w:jc w:val="center"/>
              <w:rPr>
                <w:sz w:val="24"/>
              </w:rPr>
            </w:pPr>
            <w:r>
              <w:rPr>
                <w:rFonts w:hint="eastAsia"/>
                <w:sz w:val="24"/>
              </w:rPr>
              <w:t xml:space="preserve">质保期</w:t>
            </w:r>
            <w:r/>
          </w:p>
        </w:tc>
      </w:tr>
      <w:tr>
        <w:trPr>
          <w:trHeight w:val="343"/>
        </w:trPr>
        <w:tc>
          <w:tcPr>
            <w:tcBorders>
              <w:top w:val="single" w:color="auto" w:sz="4" w:space="0"/>
              <w:left w:val="single" w:color="auto" w:sz="4" w:space="0"/>
              <w:bottom w:val="single" w:color="auto" w:sz="4" w:space="0"/>
              <w:right w:val="single" w:color="auto" w:sz="4" w:space="0"/>
            </w:tcBorders>
            <w:tcW w:w="556" w:type="pct"/>
            <w:textDirection w:val="lrTb"/>
            <w:noWrap w:val="false"/>
          </w:tcPr>
          <w:p>
            <w:pPr>
              <w:rPr>
                <w:sz w:val="24"/>
              </w:rPr>
            </w:pPr>
            <w:r>
              <w:rPr>
                <w:sz w:val="24"/>
              </w:rPr>
            </w:r>
            <w:r/>
          </w:p>
        </w:tc>
        <w:tc>
          <w:tcPr>
            <w:tcBorders>
              <w:left w:val="single" w:color="auto" w:sz="4" w:space="0"/>
              <w:right w:val="single" w:color="auto" w:sz="4" w:space="0"/>
            </w:tcBorders>
            <w:tcW w:w="685" w:type="pct"/>
            <w:textDirection w:val="lrTb"/>
            <w:noWrap w:val="false"/>
          </w:tcPr>
          <w:p>
            <w:pPr>
              <w:rPr>
                <w:sz w:val="24"/>
              </w:rPr>
            </w:pPr>
            <w:r>
              <w:rPr>
                <w:sz w:val="24"/>
              </w:rPr>
            </w:r>
            <w:r/>
          </w:p>
        </w:tc>
        <w:tc>
          <w:tcPr>
            <w:tcBorders>
              <w:left w:val="single" w:color="auto" w:sz="4" w:space="0"/>
              <w:right w:val="single" w:color="auto" w:sz="4" w:space="0"/>
            </w:tcBorders>
            <w:tcW w:w="750" w:type="pct"/>
            <w:textDirection w:val="lrTb"/>
            <w:noWrap w:val="false"/>
          </w:tcPr>
          <w:p>
            <w:pPr>
              <w:rPr>
                <w:sz w:val="24"/>
              </w:rPr>
            </w:pPr>
            <w:r>
              <w:rPr>
                <w:sz w:val="24"/>
              </w:rPr>
            </w:r>
            <w:r/>
          </w:p>
        </w:tc>
        <w:tc>
          <w:tcPr>
            <w:tcBorders>
              <w:left w:val="single" w:color="auto" w:sz="4" w:space="0"/>
              <w:right w:val="single" w:color="auto" w:sz="4" w:space="0"/>
            </w:tcBorders>
            <w:tcW w:w="512"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541"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454"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634" w:type="pct"/>
            <w:textDirection w:val="lrTb"/>
            <w:noWrap w:val="false"/>
          </w:tcPr>
          <w:p>
            <w:pPr>
              <w:rPr>
                <w:sz w:val="24"/>
              </w:rPr>
            </w:pPr>
            <w:r>
              <w:rPr>
                <w:sz w:val="24"/>
              </w:rPr>
            </w:r>
            <w:r/>
          </w:p>
        </w:tc>
        <w:tc>
          <w:tcPr>
            <w:tcBorders>
              <w:left w:val="single" w:color="auto" w:sz="4" w:space="0"/>
              <w:right w:val="single" w:color="auto" w:sz="4" w:space="0"/>
            </w:tcBorders>
            <w:tcW w:w="430" w:type="pct"/>
            <w:textDirection w:val="lrTb"/>
            <w:noWrap w:val="false"/>
          </w:tcPr>
          <w:p>
            <w:pPr>
              <w:rPr>
                <w:sz w:val="24"/>
              </w:rPr>
            </w:pPr>
            <w:r>
              <w:rPr>
                <w:sz w:val="24"/>
              </w:rPr>
            </w:r>
            <w:r/>
          </w:p>
        </w:tc>
        <w:tc>
          <w:tcPr>
            <w:tcBorders>
              <w:left w:val="single" w:color="auto" w:sz="4" w:space="0"/>
              <w:right w:val="single" w:color="auto" w:sz="4" w:space="0"/>
            </w:tcBorders>
            <w:tcW w:w="435" w:type="pct"/>
            <w:textDirection w:val="lrTb"/>
            <w:noWrap w:val="false"/>
          </w:tcPr>
          <w:p>
            <w:pPr>
              <w:rPr>
                <w:sz w:val="24"/>
              </w:rPr>
            </w:pPr>
            <w:r>
              <w:rPr>
                <w:sz w:val="24"/>
              </w:rPr>
            </w:r>
            <w:r/>
          </w:p>
        </w:tc>
      </w:tr>
      <w:tr>
        <w:trPr>
          <w:trHeight w:val="343"/>
        </w:trPr>
        <w:tc>
          <w:tcPr>
            <w:tcBorders>
              <w:top w:val="single" w:color="auto" w:sz="4" w:space="0"/>
              <w:left w:val="single" w:color="auto" w:sz="4" w:space="0"/>
              <w:bottom w:val="single" w:color="auto" w:sz="4" w:space="0"/>
              <w:right w:val="single" w:color="auto" w:sz="4" w:space="0"/>
            </w:tcBorders>
            <w:tcW w:w="556" w:type="pct"/>
            <w:textDirection w:val="lrTb"/>
            <w:noWrap w:val="false"/>
          </w:tcPr>
          <w:p>
            <w:pPr>
              <w:rPr>
                <w:sz w:val="24"/>
              </w:rPr>
            </w:pPr>
            <w:r>
              <w:rPr>
                <w:sz w:val="24"/>
              </w:rPr>
            </w:r>
            <w:r/>
          </w:p>
        </w:tc>
        <w:tc>
          <w:tcPr>
            <w:tcBorders>
              <w:left w:val="single" w:color="auto" w:sz="4" w:space="0"/>
              <w:right w:val="single" w:color="auto" w:sz="4" w:space="0"/>
            </w:tcBorders>
            <w:tcW w:w="685" w:type="pct"/>
            <w:textDirection w:val="lrTb"/>
            <w:noWrap w:val="false"/>
          </w:tcPr>
          <w:p>
            <w:pPr>
              <w:rPr>
                <w:sz w:val="24"/>
              </w:rPr>
            </w:pPr>
            <w:r>
              <w:rPr>
                <w:sz w:val="24"/>
              </w:rPr>
            </w:r>
            <w:r/>
          </w:p>
        </w:tc>
        <w:tc>
          <w:tcPr>
            <w:tcBorders>
              <w:left w:val="single" w:color="auto" w:sz="4" w:space="0"/>
              <w:right w:val="single" w:color="auto" w:sz="4" w:space="0"/>
            </w:tcBorders>
            <w:tcW w:w="750" w:type="pct"/>
            <w:textDirection w:val="lrTb"/>
            <w:noWrap w:val="false"/>
          </w:tcPr>
          <w:p>
            <w:pPr>
              <w:rPr>
                <w:sz w:val="24"/>
              </w:rPr>
            </w:pPr>
            <w:r>
              <w:rPr>
                <w:sz w:val="24"/>
              </w:rPr>
            </w:r>
            <w:r/>
          </w:p>
        </w:tc>
        <w:tc>
          <w:tcPr>
            <w:tcBorders>
              <w:left w:val="single" w:color="auto" w:sz="4" w:space="0"/>
              <w:right w:val="single" w:color="auto" w:sz="4" w:space="0"/>
            </w:tcBorders>
            <w:tcW w:w="512"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541"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454"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634" w:type="pct"/>
            <w:textDirection w:val="lrTb"/>
            <w:noWrap w:val="false"/>
          </w:tcPr>
          <w:p>
            <w:pPr>
              <w:rPr>
                <w:sz w:val="24"/>
              </w:rPr>
            </w:pPr>
            <w:r>
              <w:rPr>
                <w:sz w:val="24"/>
              </w:rPr>
            </w:r>
            <w:r/>
          </w:p>
        </w:tc>
        <w:tc>
          <w:tcPr>
            <w:tcBorders>
              <w:left w:val="single" w:color="auto" w:sz="4" w:space="0"/>
              <w:right w:val="single" w:color="auto" w:sz="4" w:space="0"/>
            </w:tcBorders>
            <w:tcW w:w="430" w:type="pct"/>
            <w:textDirection w:val="lrTb"/>
            <w:noWrap w:val="false"/>
          </w:tcPr>
          <w:p>
            <w:pPr>
              <w:rPr>
                <w:sz w:val="24"/>
              </w:rPr>
            </w:pPr>
            <w:r>
              <w:rPr>
                <w:sz w:val="24"/>
              </w:rPr>
            </w:r>
            <w:r/>
          </w:p>
        </w:tc>
        <w:tc>
          <w:tcPr>
            <w:tcBorders>
              <w:left w:val="single" w:color="auto" w:sz="4" w:space="0"/>
              <w:right w:val="single" w:color="auto" w:sz="4" w:space="0"/>
            </w:tcBorders>
            <w:tcW w:w="435" w:type="pct"/>
            <w:textDirection w:val="lrTb"/>
            <w:noWrap w:val="false"/>
          </w:tcPr>
          <w:p>
            <w:pPr>
              <w:rPr>
                <w:sz w:val="24"/>
              </w:rPr>
            </w:pPr>
            <w:r>
              <w:rPr>
                <w:sz w:val="24"/>
              </w:rPr>
            </w:r>
            <w:r/>
          </w:p>
        </w:tc>
      </w:tr>
      <w:tr>
        <w:trPr>
          <w:trHeight w:val="343"/>
        </w:trPr>
        <w:tc>
          <w:tcPr>
            <w:tcBorders>
              <w:top w:val="single" w:color="auto" w:sz="4" w:space="0"/>
              <w:left w:val="single" w:color="auto" w:sz="4" w:space="0"/>
              <w:bottom w:val="single" w:color="auto" w:sz="4" w:space="0"/>
              <w:right w:val="single" w:color="auto" w:sz="4" w:space="0"/>
            </w:tcBorders>
            <w:tcW w:w="556" w:type="pct"/>
            <w:textDirection w:val="lrTb"/>
            <w:noWrap w:val="false"/>
          </w:tcPr>
          <w:p>
            <w:pPr>
              <w:rPr>
                <w:sz w:val="24"/>
              </w:rPr>
            </w:pPr>
            <w:r>
              <w:rPr>
                <w:sz w:val="24"/>
              </w:rPr>
            </w:r>
            <w:r/>
          </w:p>
        </w:tc>
        <w:tc>
          <w:tcPr>
            <w:tcBorders>
              <w:left w:val="single" w:color="auto" w:sz="4" w:space="0"/>
              <w:right w:val="single" w:color="auto" w:sz="4" w:space="0"/>
            </w:tcBorders>
            <w:tcW w:w="685" w:type="pct"/>
            <w:textDirection w:val="lrTb"/>
            <w:noWrap w:val="false"/>
          </w:tcPr>
          <w:p>
            <w:pPr>
              <w:rPr>
                <w:sz w:val="24"/>
              </w:rPr>
            </w:pPr>
            <w:r>
              <w:rPr>
                <w:sz w:val="24"/>
              </w:rPr>
            </w:r>
            <w:r/>
          </w:p>
        </w:tc>
        <w:tc>
          <w:tcPr>
            <w:tcBorders>
              <w:left w:val="single" w:color="auto" w:sz="4" w:space="0"/>
              <w:right w:val="single" w:color="auto" w:sz="4" w:space="0"/>
            </w:tcBorders>
            <w:tcW w:w="750" w:type="pct"/>
            <w:textDirection w:val="lrTb"/>
            <w:noWrap w:val="false"/>
          </w:tcPr>
          <w:p>
            <w:pPr>
              <w:rPr>
                <w:sz w:val="24"/>
              </w:rPr>
            </w:pPr>
            <w:r>
              <w:rPr>
                <w:sz w:val="24"/>
              </w:rPr>
            </w:r>
            <w:r/>
          </w:p>
        </w:tc>
        <w:tc>
          <w:tcPr>
            <w:tcBorders>
              <w:left w:val="single" w:color="auto" w:sz="4" w:space="0"/>
              <w:right w:val="single" w:color="auto" w:sz="4" w:space="0"/>
            </w:tcBorders>
            <w:tcW w:w="512"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541"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454"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634" w:type="pct"/>
            <w:textDirection w:val="lrTb"/>
            <w:noWrap w:val="false"/>
          </w:tcPr>
          <w:p>
            <w:pPr>
              <w:rPr>
                <w:sz w:val="24"/>
              </w:rPr>
            </w:pPr>
            <w:r>
              <w:rPr>
                <w:sz w:val="24"/>
              </w:rPr>
            </w:r>
            <w:r/>
          </w:p>
        </w:tc>
        <w:tc>
          <w:tcPr>
            <w:tcBorders>
              <w:left w:val="single" w:color="auto" w:sz="4" w:space="0"/>
              <w:right w:val="single" w:color="auto" w:sz="4" w:space="0"/>
            </w:tcBorders>
            <w:tcW w:w="430" w:type="pct"/>
            <w:textDirection w:val="lrTb"/>
            <w:noWrap w:val="false"/>
          </w:tcPr>
          <w:p>
            <w:pPr>
              <w:rPr>
                <w:sz w:val="24"/>
              </w:rPr>
            </w:pPr>
            <w:r>
              <w:rPr>
                <w:sz w:val="24"/>
              </w:rPr>
            </w:r>
            <w:r/>
          </w:p>
        </w:tc>
        <w:tc>
          <w:tcPr>
            <w:tcBorders>
              <w:left w:val="single" w:color="auto" w:sz="4" w:space="0"/>
              <w:right w:val="single" w:color="auto" w:sz="4" w:space="0"/>
            </w:tcBorders>
            <w:tcW w:w="435" w:type="pct"/>
            <w:textDirection w:val="lrTb"/>
            <w:noWrap w:val="false"/>
          </w:tcPr>
          <w:p>
            <w:pPr>
              <w:rPr>
                <w:sz w:val="24"/>
              </w:rPr>
            </w:pPr>
            <w:r>
              <w:rPr>
                <w:sz w:val="24"/>
              </w:rPr>
            </w:r>
            <w:r/>
          </w:p>
        </w:tc>
      </w:tr>
      <w:tr>
        <w:trPr>
          <w:trHeight w:val="343"/>
        </w:trPr>
        <w:tc>
          <w:tcPr>
            <w:tcBorders>
              <w:top w:val="single" w:color="auto" w:sz="4" w:space="0"/>
              <w:left w:val="single" w:color="auto" w:sz="4" w:space="0"/>
              <w:bottom w:val="single" w:color="auto" w:sz="4" w:space="0"/>
              <w:right w:val="single" w:color="auto" w:sz="4" w:space="0"/>
            </w:tcBorders>
            <w:tcW w:w="556" w:type="pct"/>
            <w:textDirection w:val="lrTb"/>
            <w:noWrap w:val="false"/>
          </w:tcPr>
          <w:p>
            <w:pPr>
              <w:rPr>
                <w:sz w:val="24"/>
              </w:rPr>
            </w:pPr>
            <w:r>
              <w:rPr>
                <w:sz w:val="24"/>
              </w:rPr>
            </w:r>
            <w:r/>
          </w:p>
        </w:tc>
        <w:tc>
          <w:tcPr>
            <w:tcBorders>
              <w:left w:val="single" w:color="auto" w:sz="4" w:space="0"/>
              <w:bottom w:val="single" w:color="auto" w:sz="4" w:space="0"/>
              <w:right w:val="single" w:color="auto" w:sz="4" w:space="0"/>
            </w:tcBorders>
            <w:tcW w:w="685" w:type="pct"/>
            <w:textDirection w:val="lrTb"/>
            <w:noWrap w:val="false"/>
          </w:tcPr>
          <w:p>
            <w:pPr>
              <w:rPr>
                <w:sz w:val="24"/>
              </w:rPr>
            </w:pPr>
            <w:r>
              <w:rPr>
                <w:sz w:val="24"/>
              </w:rPr>
            </w:r>
            <w:r/>
          </w:p>
        </w:tc>
        <w:tc>
          <w:tcPr>
            <w:tcBorders>
              <w:left w:val="single" w:color="auto" w:sz="4" w:space="0"/>
              <w:bottom w:val="single" w:color="auto" w:sz="4" w:space="0"/>
              <w:right w:val="single" w:color="auto" w:sz="4" w:space="0"/>
            </w:tcBorders>
            <w:tcW w:w="750" w:type="pct"/>
            <w:textDirection w:val="lrTb"/>
            <w:noWrap w:val="false"/>
          </w:tcPr>
          <w:p>
            <w:pPr>
              <w:rPr>
                <w:sz w:val="24"/>
              </w:rPr>
            </w:pPr>
            <w:r>
              <w:rPr>
                <w:sz w:val="24"/>
              </w:rPr>
            </w:r>
            <w:r/>
          </w:p>
        </w:tc>
        <w:tc>
          <w:tcPr>
            <w:tcBorders>
              <w:left w:val="single" w:color="auto" w:sz="4" w:space="0"/>
              <w:bottom w:val="single" w:color="auto" w:sz="4" w:space="0"/>
              <w:right w:val="single" w:color="auto" w:sz="4" w:space="0"/>
            </w:tcBorders>
            <w:tcW w:w="512"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541"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454"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634" w:type="pct"/>
            <w:textDirection w:val="lrTb"/>
            <w:noWrap w:val="false"/>
          </w:tcPr>
          <w:p>
            <w:pPr>
              <w:rPr>
                <w:sz w:val="24"/>
              </w:rPr>
            </w:pPr>
            <w:r>
              <w:rPr>
                <w:sz w:val="24"/>
              </w:rPr>
            </w:r>
            <w:r/>
          </w:p>
        </w:tc>
        <w:tc>
          <w:tcPr>
            <w:tcBorders>
              <w:left w:val="single" w:color="auto" w:sz="4" w:space="0"/>
              <w:bottom w:val="single" w:color="auto" w:sz="4" w:space="0"/>
              <w:right w:val="single" w:color="auto" w:sz="4" w:space="0"/>
            </w:tcBorders>
            <w:tcW w:w="430" w:type="pct"/>
            <w:textDirection w:val="lrTb"/>
            <w:noWrap w:val="false"/>
          </w:tcPr>
          <w:p>
            <w:pPr>
              <w:rPr>
                <w:sz w:val="24"/>
              </w:rPr>
            </w:pPr>
            <w:r>
              <w:rPr>
                <w:sz w:val="24"/>
              </w:rPr>
            </w:r>
            <w:r/>
          </w:p>
        </w:tc>
        <w:tc>
          <w:tcPr>
            <w:tcBorders>
              <w:left w:val="single" w:color="auto" w:sz="4" w:space="0"/>
              <w:bottom w:val="single" w:color="auto" w:sz="4" w:space="0"/>
              <w:right w:val="single" w:color="auto" w:sz="4" w:space="0"/>
            </w:tcBorders>
            <w:tcW w:w="435" w:type="pct"/>
            <w:textDirection w:val="lrTb"/>
            <w:noWrap w:val="false"/>
          </w:tcPr>
          <w:p>
            <w:pPr>
              <w:rPr>
                <w:sz w:val="24"/>
              </w:rPr>
            </w:pPr>
            <w:r>
              <w:rPr>
                <w:sz w:val="24"/>
              </w:rPr>
            </w:r>
            <w:r/>
          </w:p>
        </w:tc>
      </w:tr>
      <w:tr>
        <w:trPr>
          <w:trHeight w:val="353"/>
        </w:trPr>
        <w:tc>
          <w:tcPr>
            <w:gridSpan w:val="9"/>
            <w:tcBorders>
              <w:top w:val="single" w:color="auto" w:sz="4" w:space="0"/>
              <w:left w:val="single" w:color="auto" w:sz="4" w:space="0"/>
              <w:bottom w:val="single" w:color="auto" w:sz="4" w:space="0"/>
              <w:right w:val="single" w:color="auto" w:sz="4" w:space="0"/>
            </w:tcBorders>
            <w:tcW w:w="5000" w:type="pct"/>
            <w:textDirection w:val="lrTb"/>
            <w:noWrap w:val="false"/>
          </w:tcPr>
          <w:p>
            <w:pPr>
              <w:rPr>
                <w:sz w:val="24"/>
              </w:rPr>
            </w:pPr>
            <w:r>
              <w:rPr>
                <w:rFonts w:hint="eastAsia"/>
                <w:sz w:val="24"/>
              </w:rPr>
              <w:t xml:space="preserve">投标</w:t>
            </w:r>
            <w:r>
              <w:rPr>
                <w:rFonts w:hint="eastAsia"/>
                <w:bCs/>
                <w:sz w:val="24"/>
              </w:rPr>
              <w:t xml:space="preserve">总价小写：</w:t>
            </w:r>
            <w:r/>
          </w:p>
        </w:tc>
      </w:tr>
      <w:tr>
        <w:trPr>
          <w:trHeight w:val="353"/>
        </w:trPr>
        <w:tc>
          <w:tcPr>
            <w:gridSpan w:val="9"/>
            <w:tcBorders>
              <w:top w:val="single" w:color="auto" w:sz="4" w:space="0"/>
              <w:left w:val="single" w:color="auto" w:sz="4" w:space="0"/>
              <w:bottom w:val="single" w:color="auto" w:sz="4" w:space="0"/>
              <w:right w:val="single" w:color="auto" w:sz="4" w:space="0"/>
            </w:tcBorders>
            <w:tcW w:w="5000" w:type="pct"/>
            <w:textDirection w:val="lrTb"/>
            <w:noWrap w:val="false"/>
          </w:tcPr>
          <w:p>
            <w:pPr>
              <w:rPr>
                <w:sz w:val="24"/>
              </w:rPr>
            </w:pPr>
            <w:r>
              <w:rPr>
                <w:rFonts w:hint="eastAsia"/>
                <w:sz w:val="24"/>
              </w:rPr>
              <w:t xml:space="preserve">投标</w:t>
            </w:r>
            <w:r>
              <w:rPr>
                <w:rFonts w:hint="eastAsia"/>
                <w:bCs/>
                <w:sz w:val="24"/>
              </w:rPr>
              <w:t xml:space="preserve">总价大写：</w:t>
            </w:r>
            <w:r/>
          </w:p>
        </w:tc>
      </w:tr>
      <w:tr>
        <w:trPr>
          <w:trHeight w:val="353"/>
        </w:trPr>
        <w:tc>
          <w:tcPr>
            <w:gridSpan w:val="9"/>
            <w:tcBorders>
              <w:top w:val="single" w:color="auto" w:sz="4" w:space="0"/>
              <w:left w:val="single" w:color="auto" w:sz="4" w:space="0"/>
              <w:bottom w:val="single" w:color="auto" w:sz="4" w:space="0"/>
              <w:right w:val="single" w:color="auto" w:sz="4" w:space="0"/>
            </w:tcBorders>
            <w:tcW w:w="5000" w:type="pct"/>
            <w:textDirection w:val="lrTb"/>
            <w:noWrap w:val="false"/>
          </w:tcPr>
          <w:p>
            <w:pPr>
              <w:rPr>
                <w:sz w:val="24"/>
              </w:rPr>
            </w:pPr>
            <w:r>
              <w:rPr>
                <w:rFonts w:hint="eastAsia"/>
                <w:szCs w:val="21"/>
                <w:lang w:val="zh-CN"/>
              </w:rPr>
              <w:t xml:space="preserve">本采购包中提供的符合本国产品标准的产品成本之和占该采购包提供的全部产品成本之和的比例为***%。</w:t>
            </w:r>
            <w:r/>
          </w:p>
        </w:tc>
      </w:tr>
    </w:tbl>
    <w:p>
      <w:pPr>
        <w:pStyle w:val="801"/>
      </w:pPr>
      <w:r/>
      <w:r/>
    </w:p>
    <w:p>
      <w:pPr>
        <w:pStyle w:val="800"/>
      </w:pPr>
      <w:r/>
      <w:r/>
    </w:p>
    <w:p>
      <w:pPr>
        <w:jc w:val="left"/>
        <w:spacing w:line="360" w:lineRule="auto"/>
        <w:shd w:val="clear" w:color="auto" w:fill="ffffff"/>
        <w:widowControl/>
        <w:rPr>
          <w:szCs w:val="21"/>
        </w:rPr>
      </w:pPr>
      <w:r>
        <w:rPr>
          <w:rFonts w:hint="eastAsia"/>
          <w:szCs w:val="21"/>
        </w:rPr>
        <w:t xml:space="preserve">投标单位（加盖电子公章）：</w:t>
      </w:r>
      <w:r>
        <w:rPr>
          <w:szCs w:val="21"/>
          <w:u w:val="single"/>
        </w:rPr>
        <w:t xml:space="preserve">                             </w:t>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rFonts w:hint="eastAsia"/>
          <w:szCs w:val="21"/>
        </w:rPr>
        <w:t xml:space="preserve">1、本采购包中含有多种产品时，供应商未填写本采购包中提供的符合本国产品标准的产品成本之和占该采购包提供的全部产品成本之和的比例数值的，或比例数值未达到80%的，将不享受本国产品价格评审优惠。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r>
      <w:r/>
    </w:p>
    <w:p>
      <w:pPr>
        <w:jc w:val="left"/>
        <w:widowControl/>
        <w:rPr>
          <w:szCs w:val="21"/>
        </w:rPr>
      </w:pPr>
      <w:r>
        <w:rPr>
          <w:szCs w:val="21"/>
        </w:rPr>
        <w:br w:type="page" w:clear="all"/>
      </w:r>
      <w:r/>
    </w:p>
    <w:p>
      <w:pPr>
        <w:jc w:val="left"/>
        <w:spacing w:line="360" w:lineRule="auto"/>
        <w:shd w:val="clear" w:color="auto" w:fill="ffffff"/>
        <w:widowControl/>
        <w:rPr>
          <w:szCs w:val="21"/>
        </w:rPr>
      </w:pPr>
      <w:r>
        <w:rPr>
          <w:rFonts w:hint="eastAsia"/>
          <w:b/>
          <w:bCs/>
          <w:szCs w:val="21"/>
        </w:rPr>
        <w:t xml:space="preserve">附件五、采购需求偏离表格式</w:t>
      </w:r>
      <w:r/>
    </w:p>
    <w:p>
      <w:pPr>
        <w:ind w:left="435"/>
        <w:jc w:val="left"/>
        <w:spacing w:line="360" w:lineRule="auto"/>
        <w:shd w:val="clear" w:color="auto" w:fill="ffffff"/>
        <w:widowControl/>
        <w:rPr>
          <w:szCs w:val="21"/>
        </w:rPr>
      </w:pPr>
      <w:r>
        <w:rPr>
          <w:sz w:val="24"/>
        </w:rPr>
        <w:t xml:space="preserve"> </w:t>
      </w:r>
      <w:r/>
    </w:p>
    <w:p>
      <w:pPr>
        <w:ind w:left="420"/>
        <w:jc w:val="center"/>
        <w:spacing w:line="360" w:lineRule="auto"/>
        <w:shd w:val="clear" w:color="auto" w:fill="ffffff"/>
        <w:widowControl/>
        <w:rPr>
          <w:b/>
          <w:szCs w:val="21"/>
        </w:rPr>
      </w:pPr>
      <w:r>
        <w:rPr>
          <w:rFonts w:hint="eastAsia"/>
          <w:b/>
          <w:sz w:val="36"/>
          <w:szCs w:val="36"/>
        </w:rPr>
        <w:t xml:space="preserve">采购需求偏离表</w:t>
      </w:r>
      <w:r/>
    </w:p>
    <w:p>
      <w:pPr>
        <w:jc w:val="left"/>
        <w:spacing w:line="360" w:lineRule="auto"/>
        <w:shd w:val="clear" w:color="auto" w:fill="ffffff"/>
        <w:widowControl/>
        <w:rPr>
          <w:szCs w:val="21"/>
        </w:rPr>
      </w:pPr>
      <w:r>
        <w:rPr>
          <w:szCs w:val="21"/>
        </w:rPr>
        <w:t xml:space="preserve">                       </w:t>
      </w:r>
      <w:r/>
    </w:p>
    <w:p>
      <w:pPr>
        <w:ind w:firstLine="84"/>
        <w:jc w:val="left"/>
        <w:spacing w:line="360" w:lineRule="auto"/>
        <w:widowControl/>
        <w:tabs>
          <w:tab w:val="left" w:pos="5397" w:leader="none"/>
        </w:tabs>
        <w:rPr>
          <w:szCs w:val="21"/>
        </w:rPr>
      </w:pPr>
      <w:r>
        <w:rPr>
          <w:rFonts w:hint="eastAsia"/>
          <w:szCs w:val="21"/>
        </w:rPr>
        <w:t xml:space="preserve">项目名称：</w:t>
      </w:r>
      <w:r>
        <w:rPr>
          <w:szCs w:val="21"/>
        </w:rPr>
        <w:tab/>
      </w:r>
      <w:r>
        <w:rPr>
          <w:rFonts w:hint="eastAsia"/>
          <w:szCs w:val="21"/>
        </w:rPr>
        <w:t xml:space="preserve">项目编号：  </w:t>
      </w:r>
      <w:r/>
    </w:p>
    <w:tbl>
      <w:tblPr>
        <w:tblStyle w:val="79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26"/>
        <w:gridCol w:w="1905"/>
        <w:gridCol w:w="2190"/>
        <w:gridCol w:w="3419"/>
        <w:gridCol w:w="1414"/>
      </w:tblGrid>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b/>
                <w:szCs w:val="21"/>
              </w:rPr>
            </w:pPr>
            <w:r>
              <w:rPr>
                <w:rFonts w:hint="eastAsia"/>
                <w:b/>
                <w:szCs w:val="21"/>
              </w:rPr>
              <w:t xml:space="preserve">序号</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b/>
                <w:szCs w:val="21"/>
              </w:rPr>
            </w:pPr>
            <w:r>
              <w:rPr>
                <w:rFonts w:hint="eastAsia"/>
                <w:b/>
                <w:szCs w:val="21"/>
              </w:rPr>
              <w:t xml:space="preserve">招标文件条目号</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b/>
                <w:szCs w:val="21"/>
              </w:rPr>
            </w:pPr>
            <w:r>
              <w:rPr>
                <w:rFonts w:hint="eastAsia"/>
                <w:b/>
                <w:szCs w:val="21"/>
              </w:rPr>
              <w:t xml:space="preserve">招标要求规格</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b/>
                <w:szCs w:val="21"/>
              </w:rPr>
            </w:pPr>
            <w:r>
              <w:rPr>
                <w:rFonts w:hint="eastAsia"/>
                <w:b/>
                <w:szCs w:val="21"/>
              </w:rPr>
              <w:t xml:space="preserve">投标响应</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b/>
                <w:szCs w:val="21"/>
              </w:rPr>
            </w:pPr>
            <w:r>
              <w:rPr>
                <w:rFonts w:hint="eastAsia"/>
                <w:b/>
                <w:szCs w:val="21"/>
              </w:rPr>
              <w:t xml:space="preserve">偏离</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szCs w:val="21"/>
              </w:rPr>
            </w:pPr>
            <w:r>
              <w:rPr>
                <w:szCs w:val="21"/>
              </w:rPr>
              <w:t xml:space="preserve"> </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szCs w:val="21"/>
              </w:rPr>
            </w:pPr>
            <w:r>
              <w:rPr>
                <w:szCs w:val="21"/>
              </w:rPr>
              <w:t xml:space="preserve"> </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szCs w:val="21"/>
              </w:rPr>
            </w:pPr>
            <w:r>
              <w:rPr>
                <w:szCs w:val="21"/>
              </w:rPr>
              <w:t xml:space="preserve"> </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szCs w:val="21"/>
              </w:rPr>
            </w:pPr>
            <w:r>
              <w:rPr>
                <w:szCs w:val="21"/>
              </w:rPr>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szCs w:val="21"/>
              </w:rPr>
            </w:pPr>
            <w:r>
              <w:rPr>
                <w:szCs w:val="21"/>
              </w:rPr>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szCs w:val="21"/>
              </w:rPr>
            </w:pPr>
            <w:r>
              <w:rPr>
                <w:szCs w:val="21"/>
              </w:rPr>
            </w:r>
            <w:r/>
          </w:p>
        </w:tc>
      </w:tr>
    </w:tbl>
    <w:p>
      <w:pPr>
        <w:jc w:val="left"/>
        <w:spacing w:line="360" w:lineRule="auto"/>
        <w:shd w:val="clear" w:color="auto" w:fill="ffffff"/>
        <w:widowControl/>
        <w:rPr>
          <w:szCs w:val="21"/>
        </w:rPr>
      </w:pPr>
      <w:r>
        <w:rPr>
          <w:rFonts w:hint="eastAsia"/>
          <w:szCs w:val="21"/>
        </w:rPr>
        <w:t xml:space="preserve">说明：投标文件采购需求部分内容响应存在正偏离或负偏离或无偏离的，请在本表中逐条列出。如果行数不够，请自行增加。</w:t>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rFonts w:hint="eastAsia"/>
          <w:szCs w:val="21"/>
        </w:rPr>
        <w:t xml:space="preserve">投标单位（加盖电子公章）：</w:t>
      </w:r>
      <w:r>
        <w:rPr>
          <w:szCs w:val="21"/>
          <w:u w:val="single"/>
        </w:rPr>
        <w:t xml:space="preserve">                             </w:t>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b/>
          <w:bCs/>
          <w:szCs w:val="21"/>
        </w:rPr>
        <w:br w:type="page" w:clear="all"/>
      </w:r>
      <w:r>
        <w:rPr>
          <w:rFonts w:hint="eastAsia"/>
          <w:b/>
          <w:bCs/>
          <w:szCs w:val="21"/>
        </w:rPr>
        <w:t xml:space="preserve">附件六、商务条款偏离表格式</w:t>
      </w:r>
      <w:r/>
    </w:p>
    <w:p>
      <w:pPr>
        <w:ind w:firstLine="420"/>
        <w:jc w:val="left"/>
        <w:spacing w:line="360" w:lineRule="auto"/>
        <w:shd w:val="clear" w:color="auto" w:fill="ffffff"/>
        <w:widowControl/>
        <w:rPr>
          <w:szCs w:val="21"/>
        </w:rPr>
      </w:pPr>
      <w:r>
        <w:rPr>
          <w:szCs w:val="21"/>
        </w:rPr>
        <w:t xml:space="preserve"> </w:t>
      </w:r>
      <w:r/>
    </w:p>
    <w:p>
      <w:pPr>
        <w:ind w:left="420"/>
        <w:jc w:val="center"/>
        <w:spacing w:line="360" w:lineRule="auto"/>
        <w:shd w:val="clear" w:color="auto" w:fill="ffffff"/>
        <w:widowControl/>
        <w:rPr>
          <w:b/>
          <w:szCs w:val="21"/>
        </w:rPr>
      </w:pPr>
      <w:r>
        <w:rPr>
          <w:rFonts w:hint="eastAsia"/>
          <w:b/>
          <w:sz w:val="36"/>
          <w:szCs w:val="36"/>
        </w:rPr>
        <w:t xml:space="preserve">商务条款偏离表</w:t>
      </w:r>
      <w:r/>
    </w:p>
    <w:p>
      <w:pPr>
        <w:jc w:val="left"/>
        <w:spacing w:line="360" w:lineRule="auto"/>
        <w:shd w:val="clear" w:color="auto" w:fill="ffffff"/>
        <w:widowControl/>
        <w:rPr>
          <w:szCs w:val="21"/>
        </w:rPr>
      </w:pPr>
      <w:r>
        <w:rPr>
          <w:sz w:val="24"/>
        </w:rPr>
        <w:t xml:space="preserve"> </w:t>
      </w:r>
      <w:r/>
    </w:p>
    <w:p>
      <w:pPr>
        <w:ind w:firstLine="96"/>
        <w:jc w:val="left"/>
        <w:spacing w:line="360" w:lineRule="auto"/>
        <w:widowControl/>
        <w:tabs>
          <w:tab w:val="left" w:pos="5366" w:leader="none"/>
        </w:tabs>
        <w:rPr>
          <w:szCs w:val="21"/>
        </w:rPr>
      </w:pPr>
      <w:r>
        <w:rPr>
          <w:rFonts w:hint="eastAsia"/>
          <w:szCs w:val="21"/>
        </w:rPr>
        <w:t xml:space="preserve">项目名称：</w:t>
      </w:r>
      <w:r>
        <w:rPr>
          <w:szCs w:val="21"/>
        </w:rPr>
        <w:tab/>
      </w:r>
      <w:r>
        <w:rPr>
          <w:rFonts w:hint="eastAsia"/>
          <w:szCs w:val="21"/>
        </w:rPr>
        <w:t xml:space="preserve">项目编号：         </w:t>
      </w:r>
      <w:r/>
    </w:p>
    <w:tbl>
      <w:tblPr>
        <w:tblStyle w:val="799"/>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b/>
                <w:szCs w:val="21"/>
              </w:rPr>
            </w:pPr>
            <w:r>
              <w:rPr>
                <w:rFonts w:hint="eastAsia"/>
                <w:b/>
                <w:szCs w:val="21"/>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b/>
                <w:szCs w:val="21"/>
              </w:rPr>
            </w:pPr>
            <w:r>
              <w:rPr>
                <w:rFonts w:hint="eastAsia"/>
                <w:b/>
                <w:szCs w:val="21"/>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b/>
                <w:szCs w:val="21"/>
              </w:rPr>
            </w:pPr>
            <w:r>
              <w:rPr>
                <w:rFonts w:hint="eastAsia"/>
                <w:b/>
                <w:szCs w:val="21"/>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b/>
                <w:szCs w:val="21"/>
              </w:rPr>
            </w:pPr>
            <w:r>
              <w:rPr>
                <w:rFonts w:hint="eastAsia"/>
                <w:b/>
                <w:szCs w:val="21"/>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b/>
                <w:szCs w:val="21"/>
              </w:rPr>
            </w:pPr>
            <w:r>
              <w:rPr>
                <w:rFonts w:hint="eastAsia"/>
                <w:b/>
                <w:szCs w:val="21"/>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szCs w:val="21"/>
              </w:rPr>
            </w:pPr>
            <w:r>
              <w:rPr>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szCs w:val="21"/>
              </w:rPr>
            </w:pPr>
            <w:r>
              <w:rPr>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szCs w:val="21"/>
              </w:rPr>
            </w:pPr>
            <w:r>
              <w:rPr>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szCs w:val="21"/>
              </w:rPr>
            </w:pPr>
            <w:r>
              <w:rPr>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szCs w:val="21"/>
              </w:rPr>
            </w:pPr>
            <w:r>
              <w:rPr>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szCs w:val="21"/>
              </w:rPr>
            </w:pPr>
            <w:r>
              <w:rPr>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szCs w:val="21"/>
              </w:rPr>
            </w:pPr>
            <w:r>
              <w:rPr>
                <w:szCs w:val="21"/>
              </w:rPr>
            </w:r>
            <w:r/>
          </w:p>
        </w:tc>
      </w:tr>
    </w:tbl>
    <w:p>
      <w:pPr>
        <w:jc w:val="left"/>
        <w:spacing w:line="360" w:lineRule="auto"/>
        <w:shd w:val="clear" w:color="auto" w:fill="ffffff"/>
        <w:widowControl/>
        <w:rPr>
          <w:szCs w:val="21"/>
        </w:rPr>
      </w:pPr>
      <w:r>
        <w:rPr>
          <w:rFonts w:hint="eastAsia"/>
          <w:szCs w:val="21"/>
        </w:rPr>
        <w:t xml:space="preserve">说明：投标文件商务部分内容响应存在正偏离或负偏离或无偏离的，请在本表中逐条列出。如果行数不够，请自行增加。</w:t>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rFonts w:hint="eastAsia"/>
          <w:szCs w:val="21"/>
        </w:rPr>
        <w:t xml:space="preserve">投标单位（加盖电子公章）：</w:t>
      </w:r>
      <w:r>
        <w:rPr>
          <w:szCs w:val="21"/>
          <w:u w:val="single"/>
        </w:rPr>
        <w:t xml:space="preserve">                             </w:t>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b/>
          <w:szCs w:val="21"/>
          <w:lang w:val="zh-CN"/>
        </w:rPr>
      </w:pPr>
      <w:r>
        <w:rPr>
          <w:b/>
          <w:bCs/>
          <w:szCs w:val="21"/>
        </w:rPr>
        <w:br w:type="page" w:clear="all"/>
      </w:r>
      <w:r>
        <w:rPr>
          <w:rFonts w:hint="eastAsia"/>
          <w:b/>
          <w:bCs/>
          <w:szCs w:val="21"/>
        </w:rPr>
        <w:t xml:space="preserve">附件七、</w:t>
      </w:r>
      <w:r>
        <w:rPr>
          <w:rFonts w:hint="eastAsia"/>
          <w:b/>
          <w:szCs w:val="21"/>
          <w:lang w:val="zh-CN"/>
        </w:rPr>
        <w:t xml:space="preserve">技术说明与服务方案</w:t>
      </w:r>
      <w:r/>
    </w:p>
    <w:p>
      <w:pPr>
        <w:jc w:val="left"/>
        <w:spacing w:line="360" w:lineRule="auto"/>
        <w:shd w:val="clear" w:color="auto" w:fill="ffffff"/>
        <w:widowControl/>
        <w:rPr>
          <w:b/>
          <w:szCs w:val="21"/>
          <w:lang w:val="zh-CN"/>
        </w:rPr>
      </w:pPr>
      <w:r>
        <w:rPr>
          <w:b/>
          <w:szCs w:val="21"/>
          <w:lang w:val="zh-CN"/>
        </w:rPr>
      </w:r>
      <w:r/>
    </w:p>
    <w:p>
      <w:pPr>
        <w:pStyle w:val="1130"/>
        <w:ind w:firstLine="0"/>
        <w:spacing w:before="0" w:after="0"/>
        <w:rPr>
          <w:rFonts w:ascii="Times New Roman" w:hAnsi="Times New Roman"/>
          <w:sz w:val="21"/>
          <w:szCs w:val="21"/>
        </w:rPr>
      </w:pPr>
      <w:r>
        <w:rPr>
          <w:rFonts w:hint="eastAsia" w:ascii="Times New Roman" w:hAnsi="Times New Roman"/>
          <w:sz w:val="21"/>
          <w:szCs w:val="21"/>
        </w:rPr>
        <w:t xml:space="preserve">技术方案及服务承诺应根据招标人对项目的要求、评标标准的要求及项目本身的特点编写。</w:t>
      </w:r>
      <w:r/>
    </w:p>
    <w:p>
      <w:pPr>
        <w:spacing w:line="460" w:lineRule="atLeast"/>
        <w:widowControl/>
        <w:rPr>
          <w:b/>
          <w:bCs/>
          <w:sz w:val="24"/>
        </w:rPr>
      </w:pPr>
      <w:r>
        <w:br w:type="page" w:clear="all"/>
      </w:r>
      <w:r>
        <w:rPr>
          <w:rFonts w:hint="eastAsia"/>
          <w:b/>
          <w:bCs/>
          <w:sz w:val="24"/>
        </w:rPr>
        <w:t xml:space="preserve">附件八、拟参与本项目服务人员一览表</w:t>
      </w:r>
      <w:r/>
    </w:p>
    <w:p>
      <w:pPr>
        <w:spacing w:line="460" w:lineRule="atLeast"/>
        <w:widowControl/>
        <w:rPr>
          <w:b/>
          <w:bCs/>
          <w:sz w:val="24"/>
        </w:rPr>
      </w:pPr>
      <w:r>
        <w:rPr>
          <w:b/>
          <w:bCs/>
          <w:sz w:val="24"/>
        </w:rPr>
      </w:r>
      <w:r/>
    </w:p>
    <w:p>
      <w:pPr>
        <w:jc w:val="center"/>
        <w:widowControl/>
        <w:rPr>
          <w:b/>
          <w:bCs/>
          <w:sz w:val="24"/>
        </w:rPr>
      </w:pPr>
      <w:r>
        <w:rPr>
          <w:rFonts w:hint="eastAsia"/>
          <w:b/>
          <w:bCs/>
          <w:sz w:val="24"/>
        </w:rPr>
        <w:t xml:space="preserve">拟参与本项目服务人员一览表</w:t>
      </w:r>
      <w:r/>
    </w:p>
    <w:p>
      <w:pPr>
        <w:jc w:val="center"/>
        <w:widowControl/>
        <w:rPr>
          <w:b/>
          <w:bCs/>
          <w:sz w:val="24"/>
        </w:rPr>
      </w:pPr>
      <w:r>
        <w:rPr>
          <w:b/>
          <w:bCs/>
          <w:sz w:val="24"/>
        </w:rPr>
      </w:r>
      <w:r/>
    </w:p>
    <w:p>
      <w:pPr>
        <w:widowControl/>
        <w:rPr>
          <w:szCs w:val="21"/>
        </w:rPr>
      </w:pPr>
      <w:r>
        <w:rPr>
          <w:rFonts w:hint="eastAsia"/>
          <w:szCs w:val="21"/>
        </w:rPr>
        <w:t xml:space="preserve">项目名称：                                 项目编号：</w:t>
      </w:r>
      <w:r/>
    </w:p>
    <w:tbl>
      <w:tblPr>
        <w:tblStyle w:val="799"/>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b/>
                <w:bCs/>
                <w:szCs w:val="21"/>
              </w:rPr>
            </w:pPr>
            <w:r>
              <w:rPr>
                <w:rFonts w:hint="eastAsia"/>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b/>
                <w:bCs/>
                <w:szCs w:val="21"/>
              </w:rPr>
            </w:pPr>
            <w:r>
              <w:rPr>
                <w:rFonts w:hint="eastAsia"/>
                <w:b/>
                <w:bCs/>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b/>
                <w:bCs/>
                <w:szCs w:val="21"/>
              </w:rPr>
            </w:pPr>
            <w:r>
              <w:rPr>
                <w:rFonts w:hint="eastAsia"/>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b/>
                <w:bCs/>
                <w:szCs w:val="21"/>
              </w:rPr>
            </w:pPr>
            <w:r>
              <w:rPr>
                <w:rFonts w:hint="eastAsia"/>
                <w:b/>
                <w:bCs/>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b/>
                <w:bCs/>
                <w:szCs w:val="21"/>
              </w:rPr>
            </w:pPr>
            <w:r>
              <w:rPr>
                <w:rFonts w:hint="eastAsia"/>
                <w:b/>
                <w:bCs/>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b/>
                <w:bCs/>
                <w:szCs w:val="21"/>
              </w:rPr>
            </w:pPr>
            <w:r>
              <w:rPr>
                <w:rFonts w:hint="eastAsia"/>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b/>
                <w:bCs/>
                <w:szCs w:val="21"/>
              </w:rPr>
            </w:pPr>
            <w:r>
              <w:rPr>
                <w:rFonts w:hint="eastAsia"/>
                <w:b/>
                <w:bCs/>
                <w:szCs w:val="21"/>
              </w:rPr>
              <w:t xml:space="preserve">执业</w:t>
            </w:r>
            <w:r/>
          </w:p>
          <w:p>
            <w:pPr>
              <w:jc w:val="center"/>
              <w:widowControl/>
              <w:rPr>
                <w:b/>
                <w:bCs/>
                <w:szCs w:val="21"/>
              </w:rPr>
            </w:pPr>
            <w:r>
              <w:rPr>
                <w:rFonts w:hint="eastAsia"/>
                <w:b/>
                <w:bCs/>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b/>
                <w:bCs/>
                <w:szCs w:val="21"/>
              </w:rPr>
            </w:pPr>
            <w:r>
              <w:rPr>
                <w:rFonts w:hint="eastAsia"/>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b/>
                <w:bCs/>
                <w:szCs w:val="21"/>
              </w:rPr>
            </w:pPr>
            <w:r>
              <w:rPr>
                <w:rFonts w:hint="eastAsia"/>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b/>
                <w:bCs/>
                <w:szCs w:val="21"/>
              </w:rPr>
            </w:pPr>
            <w:r>
              <w:rPr>
                <w:rFonts w:hint="eastAsia"/>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b/>
                <w:bCs/>
                <w:szCs w:val="21"/>
              </w:rPr>
            </w:pPr>
            <w:r>
              <w:rPr>
                <w:rFonts w:hint="eastAsia"/>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szCs w:val="21"/>
              </w:rPr>
            </w:pPr>
            <w:r>
              <w:rPr>
                <w:szCs w:val="21"/>
              </w:rPr>
            </w:r>
            <w:r/>
          </w:p>
        </w:tc>
      </w:tr>
    </w:tbl>
    <w:p>
      <w:pPr>
        <w:jc w:val="left"/>
        <w:spacing w:line="360" w:lineRule="auto"/>
        <w:shd w:val="clear" w:color="auto" w:fill="ffffff"/>
        <w:widowControl/>
        <w:rPr>
          <w:szCs w:val="21"/>
        </w:rPr>
      </w:pPr>
      <w:r>
        <w:rPr>
          <w:rFonts w:hint="eastAsia"/>
          <w:szCs w:val="21"/>
        </w:rPr>
        <w:t xml:space="preserve">投标单位（加盖电子公章）：</w:t>
      </w:r>
      <w:r>
        <w:rPr>
          <w:szCs w:val="21"/>
          <w:u w:val="single"/>
        </w:rPr>
        <w:t xml:space="preserve">                             </w:t>
      </w:r>
      <w:r/>
    </w:p>
    <w:p>
      <w:pPr>
        <w:widowControl/>
        <w:rPr>
          <w:szCs w:val="21"/>
        </w:rPr>
      </w:pPr>
      <w:r>
        <w:rPr>
          <w:szCs w:val="21"/>
        </w:rPr>
      </w:r>
      <w:r/>
    </w:p>
    <w:p>
      <w:pPr>
        <w:widowControl/>
        <w:rPr>
          <w:b/>
          <w:bCs/>
          <w:szCs w:val="21"/>
        </w:rPr>
      </w:pPr>
      <w:r>
        <w:rPr>
          <w:b/>
          <w:bCs/>
          <w:szCs w:val="21"/>
        </w:rPr>
      </w:r>
      <w:r/>
    </w:p>
    <w:p>
      <w:pPr>
        <w:spacing w:line="360" w:lineRule="auto"/>
        <w:widowControl/>
        <w:rPr>
          <w:b/>
          <w:bCs/>
          <w:sz w:val="24"/>
        </w:rPr>
      </w:pPr>
      <w:r>
        <w:rPr>
          <w:b/>
          <w:bCs/>
          <w:sz w:val="24"/>
        </w:rPr>
        <w:br w:type="page" w:clear="all"/>
      </w:r>
      <w:r>
        <w:rPr>
          <w:rFonts w:hint="eastAsia"/>
          <w:b/>
          <w:bCs/>
          <w:sz w:val="24"/>
        </w:rPr>
        <w:t xml:space="preserve">附件九、 投标人类似业绩情况表</w:t>
      </w:r>
      <w:r/>
    </w:p>
    <w:p>
      <w:pPr>
        <w:jc w:val="center"/>
        <w:spacing w:line="360" w:lineRule="auto"/>
        <w:widowControl/>
        <w:rPr>
          <w:b/>
          <w:bCs/>
          <w:sz w:val="24"/>
        </w:rPr>
      </w:pPr>
      <w:r>
        <w:rPr>
          <w:b/>
          <w:bCs/>
          <w:sz w:val="24"/>
        </w:rPr>
      </w:r>
      <w:r/>
    </w:p>
    <w:p>
      <w:pPr>
        <w:jc w:val="center"/>
        <w:spacing w:line="360" w:lineRule="auto"/>
        <w:widowControl/>
        <w:rPr>
          <w:b/>
          <w:bCs/>
          <w:sz w:val="24"/>
        </w:rPr>
      </w:pPr>
      <w:r>
        <w:rPr>
          <w:rFonts w:hint="eastAsia"/>
          <w:b/>
          <w:bCs/>
          <w:sz w:val="24"/>
        </w:rPr>
        <w:t xml:space="preserve">投标人类似业绩情况表</w:t>
      </w:r>
      <w:r/>
    </w:p>
    <w:tbl>
      <w:tblPr>
        <w:tblStyle w:val="799"/>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szCs w:val="21"/>
              </w:rPr>
            </w:pPr>
            <w:r>
              <w:rPr>
                <w:rFonts w:hint="eastAsia"/>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szCs w:val="21"/>
              </w:rPr>
            </w:pPr>
            <w:r>
              <w:rPr>
                <w:rFonts w:hint="eastAsia"/>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szCs w:val="21"/>
              </w:rPr>
            </w:pPr>
            <w:r>
              <w:rPr>
                <w:rFonts w:hint="eastAsia"/>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szCs w:val="21"/>
              </w:rPr>
            </w:pPr>
            <w:r>
              <w:rPr>
                <w:rFonts w:hint="eastAsia"/>
                <w:szCs w:val="21"/>
              </w:rPr>
              <w:t xml:space="preserve">项目</w:t>
            </w:r>
            <w:r/>
          </w:p>
          <w:p>
            <w:pPr>
              <w:jc w:val="center"/>
              <w:spacing w:line="400" w:lineRule="atLeast"/>
              <w:widowControl/>
              <w:rPr>
                <w:szCs w:val="21"/>
              </w:rPr>
            </w:pPr>
            <w:r>
              <w:rPr>
                <w:rFonts w:hint="eastAsia"/>
                <w:szCs w:val="21"/>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szCs w:val="21"/>
              </w:rPr>
            </w:pPr>
            <w:r>
              <w:rPr>
                <w:rFonts w:hint="eastAsia"/>
                <w:szCs w:val="21"/>
              </w:rPr>
              <w:t xml:space="preserve">获奖</w:t>
            </w:r>
            <w:r/>
          </w:p>
          <w:p>
            <w:pPr>
              <w:jc w:val="center"/>
              <w:spacing w:line="400" w:lineRule="atLeast"/>
              <w:widowControl/>
              <w:rPr>
                <w:szCs w:val="21"/>
              </w:rPr>
            </w:pPr>
            <w:r>
              <w:rPr>
                <w:rFonts w:hint="eastAsia"/>
                <w:szCs w:val="21"/>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szCs w:val="21"/>
              </w:rPr>
            </w:pPr>
            <w:r>
              <w:rPr>
                <w:rFonts w:hint="eastAsia"/>
                <w:szCs w:val="21"/>
              </w:rPr>
              <w:t xml:space="preserve">签约及服务</w:t>
            </w:r>
            <w:r/>
          </w:p>
          <w:p>
            <w:pPr>
              <w:jc w:val="center"/>
              <w:spacing w:line="400" w:lineRule="atLeast"/>
              <w:widowControl/>
              <w:rPr>
                <w:szCs w:val="21"/>
              </w:rPr>
            </w:pPr>
            <w:r>
              <w:rPr>
                <w:rFonts w:hint="eastAsia"/>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rFonts w:hint="eastAsia"/>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rFonts w:hint="eastAsia"/>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r>
    </w:tbl>
    <w:p>
      <w:pPr>
        <w:jc w:val="left"/>
        <w:spacing w:line="360" w:lineRule="auto"/>
        <w:shd w:val="clear" w:color="auto" w:fill="ffffff"/>
        <w:widowControl/>
        <w:rPr>
          <w:szCs w:val="21"/>
        </w:rPr>
      </w:pPr>
      <w:r>
        <w:rPr>
          <w:rFonts w:hint="eastAsia"/>
          <w:szCs w:val="21"/>
        </w:rPr>
        <w:t xml:space="preserve">投标单位（加盖电子公章）：</w:t>
      </w:r>
      <w:r>
        <w:rPr>
          <w:szCs w:val="21"/>
          <w:u w:val="single"/>
        </w:rPr>
        <w:t xml:space="preserve">                             </w:t>
      </w:r>
      <w:r/>
    </w:p>
    <w:p>
      <w:pPr>
        <w:spacing w:line="360" w:lineRule="auto"/>
        <w:widowControl/>
        <w:rPr>
          <w:b/>
          <w:bCs/>
          <w:szCs w:val="21"/>
        </w:rPr>
      </w:pPr>
      <w:r>
        <w:rPr>
          <w:b/>
          <w:bCs/>
          <w:szCs w:val="21"/>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jc w:val="left"/>
        <w:widowControl/>
        <w:rPr>
          <w:b/>
        </w:rPr>
      </w:pPr>
      <w:r>
        <w:rPr>
          <w:b/>
        </w:rPr>
        <w:br w:type="page" w:clear="all"/>
      </w:r>
      <w:r/>
    </w:p>
    <w:p>
      <w:pPr>
        <w:spacing w:line="360" w:lineRule="auto"/>
        <w:rPr>
          <w:b/>
          <w:bCs/>
        </w:rPr>
      </w:pPr>
      <w:r>
        <w:rPr>
          <w:rFonts w:hint="eastAsia"/>
          <w:b/>
        </w:rPr>
        <w:t xml:space="preserve">附件十</w:t>
      </w:r>
      <w:r>
        <w:rPr>
          <w:rFonts w:hint="eastAsia"/>
          <w:b/>
          <w:bCs/>
        </w:rPr>
        <w:t xml:space="preserve">、企业声明函格式</w:t>
      </w:r>
      <w:r/>
    </w:p>
    <w:p>
      <w:pPr>
        <w:ind w:firstLine="498"/>
        <w:jc w:val="center"/>
        <w:spacing w:before="312" w:line="480" w:lineRule="auto"/>
        <w:rPr>
          <w:b/>
          <w:bCs/>
          <w:sz w:val="28"/>
          <w:szCs w:val="28"/>
        </w:rPr>
      </w:pPr>
      <w:r/>
      <w:bookmarkStart w:id="74" w:name="OLE_LINK14"/>
      <w:r/>
      <w:bookmarkStart w:id="75" w:name="OLE_LINK13"/>
      <w:r>
        <w:rPr>
          <w:rFonts w:hint="eastAsia"/>
          <w:b/>
          <w:bCs/>
          <w:sz w:val="28"/>
          <w:szCs w:val="28"/>
        </w:rPr>
        <w:t xml:space="preserve">中小企业声明函（货物）</w:t>
      </w:r>
      <w:r/>
    </w:p>
    <w:p>
      <w:pPr>
        <w:ind w:firstLine="420"/>
        <w:jc w:val="left"/>
        <w:spacing w:line="440" w:lineRule="exact"/>
        <w:widowControl/>
      </w:pPr>
      <w:r/>
      <w:r/>
    </w:p>
    <w:p>
      <w:pPr>
        <w:ind w:firstLine="420"/>
        <w:jc w:val="left"/>
        <w:spacing w:line="440" w:lineRule="exact"/>
        <w:widowControl/>
        <w:rPr>
          <w:szCs w:val="21"/>
        </w:rPr>
      </w:pPr>
      <w:r>
        <w:rPr>
          <w:rFonts w:hint="eastAsia"/>
        </w:rPr>
        <w:t xml:space="preserve">本公司（联合体）郑重声明，根据《政府采购促进中小企业发展管理办法》（财库〔2020〕） 46号）的规定，本公司 （联合体）参加（单位名称）的（项目名称）采购活动，提供的货物全部由符合政策要求的中小企业制造。相关企业（含联合体中的中小企业、签订分包意向协议的中小企业）的具体情况如下：</w:t>
      </w:r>
      <w:r/>
    </w:p>
    <w:p>
      <w:pPr>
        <w:ind w:firstLine="420"/>
        <w:jc w:val="left"/>
        <w:spacing w:line="440" w:lineRule="exact"/>
        <w:widowControl/>
      </w:pPr>
      <w:r>
        <w:t xml:space="preserve">1.</w:t>
      </w:r>
      <w:r>
        <w:rPr>
          <w:rFonts w:hint="eastAsia"/>
          <w:u w:val="single"/>
        </w:rPr>
        <w:t xml:space="preserve">（标的名称），</w:t>
      </w:r>
      <w:r>
        <w:rPr>
          <w:rFonts w:hint="eastAsia"/>
        </w:rPr>
        <w:t xml:space="preserve">属于</w:t>
      </w:r>
      <w:r>
        <w:rPr>
          <w:rFonts w:hint="eastAsia"/>
          <w:u w:val="single"/>
        </w:rPr>
        <w:t xml:space="preserve">（采购文件中明确的所属行业）</w:t>
      </w:r>
      <w:r>
        <w:rPr>
          <w:rFonts w:hint="eastAsia"/>
        </w:rPr>
        <w:t xml:space="preserve">行业；制造商为（企业名称），从业人员</w:t>
      </w:r>
      <w:r>
        <w:rPr>
          <w:u w:val="single"/>
        </w:rPr>
        <w:tab/>
      </w:r>
      <w:r>
        <w:rPr>
          <w:rFonts w:hint="eastAsia"/>
          <w:u w:val="single"/>
        </w:rPr>
        <w:t xml:space="preserve">人</w:t>
      </w:r>
      <w:r>
        <w:rPr>
          <w:rFonts w:hint="eastAsia"/>
        </w:rPr>
        <w:t xml:space="preserve">，营业收入为—万元，资产总额为</w:t>
      </w:r>
      <w:r>
        <w:rPr>
          <w:u w:val="single"/>
        </w:rPr>
        <w:tab/>
      </w:r>
      <w:r>
        <w:rPr>
          <w:rFonts w:hint="eastAsia"/>
          <w:u w:val="single"/>
        </w:rPr>
        <w:t xml:space="preserve">万</w:t>
      </w:r>
      <w:r>
        <w:rPr>
          <w:rFonts w:hint="eastAsia"/>
        </w:rPr>
        <w:t xml:space="preserve">元，属于（中型企业、小型企业、微型企业）；</w:t>
      </w:r>
      <w:r/>
    </w:p>
    <w:p>
      <w:pPr>
        <w:ind w:firstLine="420"/>
        <w:jc w:val="left"/>
        <w:spacing w:line="440" w:lineRule="exact"/>
        <w:widowControl/>
      </w:pPr>
      <w:r>
        <w:t xml:space="preserve">2.</w:t>
      </w:r>
      <w:r>
        <w:rPr>
          <w:rFonts w:hint="eastAsia"/>
          <w:u w:val="single"/>
        </w:rPr>
        <w:t xml:space="preserve">（标的名称），</w:t>
      </w:r>
      <w:r>
        <w:rPr>
          <w:rFonts w:hint="eastAsia"/>
        </w:rPr>
        <w:t xml:space="preserve">属于</w:t>
      </w:r>
      <w:r>
        <w:rPr>
          <w:rFonts w:hint="eastAsia"/>
          <w:u w:val="single"/>
        </w:rPr>
        <w:t xml:space="preserve">（采购文件中明确的所属行业）</w:t>
      </w:r>
      <w:r>
        <w:rPr>
          <w:rFonts w:hint="eastAsia"/>
        </w:rPr>
        <w:t xml:space="preserve">行业；制造商为（企业名称），从业人员</w:t>
      </w:r>
      <w:r>
        <w:rPr>
          <w:u w:val="single"/>
        </w:rPr>
        <w:tab/>
      </w:r>
      <w:r>
        <w:rPr>
          <w:rFonts w:hint="eastAsia"/>
          <w:u w:val="single"/>
        </w:rPr>
        <w:t xml:space="preserve">人</w:t>
      </w:r>
      <w:r>
        <w:rPr>
          <w:rFonts w:hint="eastAsia"/>
        </w:rPr>
        <w:t xml:space="preserve">，营业收入为</w:t>
      </w:r>
      <w:r>
        <w:rPr>
          <w:u w:val="single"/>
        </w:rPr>
        <w:tab/>
      </w:r>
      <w:r>
        <w:rPr>
          <w:rFonts w:hint="eastAsia"/>
        </w:rPr>
        <w:t xml:space="preserve">万元，资产总额为</w:t>
      </w:r>
      <w:r>
        <w:rPr>
          <w:u w:val="single"/>
        </w:rPr>
        <w:tab/>
      </w:r>
      <w:r>
        <w:rPr>
          <w:rFonts w:hint="eastAsia"/>
        </w:rPr>
        <w:t xml:space="preserve">万元，属于（中型企业、小型企业、微型企业）；</w:t>
      </w:r>
      <w:r/>
    </w:p>
    <w:p>
      <w:pPr>
        <w:ind w:firstLine="420"/>
        <w:jc w:val="left"/>
        <w:spacing w:line="440" w:lineRule="exact"/>
        <w:widowControl/>
      </w:pPr>
      <w:r>
        <w:rPr>
          <w:rFonts w:hint="eastAsia"/>
        </w:rPr>
        <w:t xml:space="preserve">以上企业，不属于大企业的分支机构，不存在控股股东为大企业的情形，也不存在与大企业的负责人为同一人的情形。</w:t>
      </w:r>
      <w:r/>
    </w:p>
    <w:p>
      <w:pPr>
        <w:ind w:firstLine="420"/>
        <w:jc w:val="left"/>
        <w:spacing w:line="440" w:lineRule="exact"/>
        <w:widowControl/>
      </w:pPr>
      <w:r>
        <w:rPr>
          <w:rFonts w:hint="eastAsia"/>
        </w:rPr>
        <w:t xml:space="preserve">本企业对上述声明内容的真实性负责。如有虚假，将依法承担相应责任。</w:t>
      </w:r>
      <w:r/>
    </w:p>
    <w:p>
      <w:pPr>
        <w:ind w:firstLine="420"/>
        <w:jc w:val="left"/>
        <w:spacing w:line="440" w:lineRule="exact"/>
        <w:widowControl/>
      </w:pPr>
      <w:r/>
      <w:r/>
    </w:p>
    <w:p>
      <w:pPr>
        <w:ind w:firstLine="420"/>
        <w:jc w:val="left"/>
        <w:spacing w:line="440" w:lineRule="exact"/>
        <w:widowControl/>
      </w:pPr>
      <w:r/>
      <w:r/>
    </w:p>
    <w:p>
      <w:pPr>
        <w:ind w:firstLine="420"/>
        <w:jc w:val="left"/>
        <w:spacing w:line="440" w:lineRule="exact"/>
        <w:widowControl/>
      </w:pPr>
      <w:r/>
      <w:r/>
    </w:p>
    <w:p>
      <w:pPr>
        <w:ind w:firstLine="420"/>
        <w:jc w:val="left"/>
        <w:spacing w:line="440" w:lineRule="exact"/>
        <w:widowControl/>
      </w:pPr>
      <w:r/>
      <w:r/>
    </w:p>
    <w:p>
      <w:pPr>
        <w:ind w:firstLine="420"/>
        <w:jc w:val="right"/>
        <w:spacing w:line="440" w:lineRule="exact"/>
        <w:widowControl/>
      </w:pPr>
      <w:r>
        <w:rPr>
          <w:rFonts w:hint="eastAsia"/>
        </w:rPr>
        <w:t xml:space="preserve">企业名称</w:t>
      </w:r>
      <w:r>
        <w:rPr>
          <w:rFonts w:hint="eastAsia"/>
          <w:szCs w:val="21"/>
        </w:rPr>
        <w:t xml:space="preserve">（加盖电子公章）</w:t>
      </w:r>
      <w:r>
        <w:rPr>
          <w:rFonts w:hint="eastAsia"/>
        </w:rPr>
        <w:t xml:space="preserve">：</w:t>
      </w:r>
      <w:r/>
    </w:p>
    <w:p>
      <w:pPr>
        <w:ind w:firstLine="420"/>
        <w:jc w:val="left"/>
        <w:spacing w:line="360" w:lineRule="auto"/>
        <w:widowControl/>
      </w:pPr>
      <w:r>
        <w:rPr>
          <w:rFonts w:hint="eastAsia"/>
        </w:rPr>
        <w:t xml:space="preserve">                                                   日期：</w:t>
      </w:r>
      <w:r/>
    </w:p>
    <w:p>
      <w:pPr>
        <w:ind w:firstLine="420"/>
        <w:jc w:val="left"/>
        <w:spacing w:line="360" w:lineRule="auto"/>
        <w:widowControl/>
      </w:pPr>
      <w:r/>
      <w:r/>
    </w:p>
    <w:p>
      <w:pPr>
        <w:ind w:firstLine="420"/>
        <w:jc w:val="left"/>
        <w:spacing w:line="360" w:lineRule="auto"/>
        <w:widowControl/>
      </w:pPr>
      <w:r/>
      <w:r/>
    </w:p>
    <w:p>
      <w:pPr>
        <w:ind w:firstLine="422"/>
        <w:jc w:val="left"/>
        <w:spacing w:line="360" w:lineRule="auto"/>
        <w:widowControl/>
        <w:rPr>
          <w:b/>
          <w:szCs w:val="21"/>
        </w:rPr>
      </w:pPr>
      <w:r>
        <w:rPr>
          <w:rFonts w:hint="eastAsia"/>
          <w:b/>
          <w:szCs w:val="21"/>
        </w:rPr>
        <w:t xml:space="preserve">注：从业人员、营业收入、资产总额填报上一年度数据，无上一年度数据的新成立企业可不填报。</w:t>
      </w:r>
      <w:r/>
    </w:p>
    <w:p>
      <w:pPr>
        <w:jc w:val="center"/>
        <w:spacing w:line="360" w:lineRule="auto"/>
        <w:rPr>
          <w:b/>
          <w:bCs/>
          <w:sz w:val="28"/>
        </w:rPr>
        <w:sectPr>
          <w:footerReference w:type="default" r:id="rId13"/>
          <w:footerReference w:type="first" r:id="rId14"/>
          <w:footnotePr/>
          <w:endnotePr/>
          <w:type w:val="nextPage"/>
          <w:pgSz w:w="11906" w:h="16838" w:orient="portrait"/>
          <w:pgMar w:top="1134" w:right="1134" w:bottom="1134" w:left="1134" w:header="851" w:footer="992" w:gutter="0"/>
          <w:cols w:num="1" w:sep="0" w:space="720" w:equalWidth="1"/>
          <w:docGrid w:linePitch="360"/>
          <w:titlePg/>
        </w:sectPr>
      </w:pPr>
      <w:r>
        <w:rPr>
          <w:b/>
          <w:bCs/>
          <w:sz w:val="28"/>
        </w:rPr>
      </w:r>
      <w:r/>
    </w:p>
    <w:p>
      <w:pPr>
        <w:jc w:val="center"/>
        <w:spacing w:line="360" w:lineRule="auto"/>
        <w:rPr>
          <w:b/>
          <w:bCs/>
          <w:sz w:val="28"/>
        </w:rPr>
      </w:pPr>
      <w:r>
        <w:rPr>
          <w:rFonts w:hint="eastAsia"/>
          <w:b/>
          <w:bCs/>
          <w:sz w:val="28"/>
        </w:rPr>
        <w:t xml:space="preserve">残疾人福利性单位声明函</w:t>
      </w:r>
      <w:bookmarkEnd w:id="74"/>
      <w:r/>
      <w:bookmarkEnd w:id="75"/>
      <w:r/>
      <w:r/>
    </w:p>
    <w:p>
      <w:pPr>
        <w:ind w:firstLine="420"/>
        <w:jc w:val="left"/>
        <w:spacing w:line="440" w:lineRule="exact"/>
        <w:widowControl/>
        <w:rPr>
          <w:szCs w:val="21"/>
        </w:rPr>
      </w:pPr>
      <w:r>
        <w:rPr>
          <w:rFonts w:hint="eastAsia"/>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szCs w:val="21"/>
        </w:rPr>
      </w:pPr>
      <w:r>
        <w:rPr>
          <w:rFonts w:hint="eastAsia"/>
          <w:szCs w:val="21"/>
        </w:rPr>
        <w:t xml:space="preserve">本单位对上述声明的真实性负责。如有虚假，将依法承担相应责任。</w:t>
      </w:r>
      <w:r/>
    </w:p>
    <w:p>
      <w:pPr>
        <w:ind w:firstLine="5040"/>
        <w:jc w:val="left"/>
        <w:spacing w:line="440" w:lineRule="exact"/>
        <w:widowControl/>
        <w:rPr>
          <w:szCs w:val="21"/>
        </w:rPr>
      </w:pPr>
      <w:r>
        <w:rPr>
          <w:rFonts w:hint="eastAsia"/>
          <w:szCs w:val="21"/>
        </w:rPr>
        <w:t xml:space="preserve">单位名称（加盖电子公章）：</w:t>
      </w:r>
      <w:r/>
    </w:p>
    <w:p>
      <w:pPr>
        <w:ind w:firstLine="5040"/>
        <w:jc w:val="left"/>
        <w:spacing w:line="440" w:lineRule="exact"/>
        <w:widowControl/>
        <w:rPr>
          <w:szCs w:val="21"/>
        </w:rPr>
      </w:pPr>
      <w:r>
        <w:rPr>
          <w:rFonts w:hint="eastAsia"/>
          <w:szCs w:val="21"/>
        </w:rPr>
        <w:t xml:space="preserve">日  期：</w:t>
      </w:r>
      <w:r/>
    </w:p>
    <w:p>
      <w:pPr>
        <w:spacing w:line="360" w:lineRule="auto"/>
        <w:rPr>
          <w:b/>
          <w:bCs/>
        </w:rPr>
      </w:pPr>
      <w:r>
        <w:rPr>
          <w:b/>
          <w:bCs/>
        </w:rPr>
      </w:r>
      <w:r/>
    </w:p>
    <w:p>
      <w:pPr>
        <w:spacing w:line="360" w:lineRule="auto"/>
        <w:rPr>
          <w:b/>
          <w:bCs/>
        </w:rPr>
      </w:pPr>
      <w:r>
        <w:rPr>
          <w:b/>
          <w:bCs/>
        </w:rPr>
      </w:r>
      <w:r/>
    </w:p>
    <w:p>
      <w:pPr>
        <w:jc w:val="center"/>
        <w:spacing w:line="360" w:lineRule="auto"/>
        <w:rPr>
          <w:b/>
          <w:bCs/>
          <w:sz w:val="28"/>
        </w:rPr>
      </w:pPr>
      <w:r>
        <w:rPr>
          <w:rFonts w:hint="eastAsia"/>
          <w:b/>
          <w:bCs/>
          <w:sz w:val="28"/>
        </w:rPr>
        <w:t xml:space="preserve">属于监狱企业的证明文件</w:t>
      </w:r>
      <w:r/>
    </w:p>
    <w:p>
      <w:pPr>
        <w:spacing w:line="360" w:lineRule="auto"/>
      </w:pPr>
      <w:r>
        <w:rPr>
          <w:rFonts w:hint="eastAsia"/>
        </w:rPr>
        <w:t xml:space="preserve">（提供由省级以上监狱管理局、戒毒管理局(含新疆生产建设兵团)出具的属于监狱企业的证明文件）</w:t>
      </w:r>
      <w:r/>
    </w:p>
    <w:p>
      <w:pPr>
        <w:spacing w:line="360" w:lineRule="auto"/>
        <w:rPr>
          <w:b/>
          <w:bCs/>
        </w:rPr>
      </w:pPr>
      <w:r>
        <w:rPr>
          <w:b/>
          <w:bCs/>
        </w:rPr>
      </w:r>
      <w:r/>
    </w:p>
    <w:p>
      <w:pPr>
        <w:spacing w:line="360" w:lineRule="auto"/>
        <w:rPr>
          <w:b/>
          <w:bCs/>
        </w:rPr>
      </w:pPr>
      <w:r>
        <w:rPr>
          <w:b/>
          <w:bCs/>
        </w:rPr>
      </w:r>
      <w:r/>
    </w:p>
    <w:p>
      <w:pPr>
        <w:jc w:val="center"/>
        <w:spacing w:line="360" w:lineRule="auto"/>
        <w:rPr>
          <w:b/>
          <w:bCs/>
        </w:rPr>
      </w:pPr>
      <w:r>
        <w:rPr>
          <w:rFonts w:hint="eastAsia"/>
          <w:b/>
          <w:bCs/>
          <w:sz w:val="28"/>
        </w:rPr>
        <w:t xml:space="preserve">节能产品认证证书</w:t>
      </w:r>
      <w:r/>
    </w:p>
    <w:p>
      <w:pPr>
        <w:spacing w:line="360" w:lineRule="auto"/>
        <w:rPr>
          <w:bCs/>
        </w:rPr>
      </w:pPr>
      <w:r>
        <w:rPr>
          <w:rFonts w:hint="eastAsia"/>
          <w:bCs/>
        </w:rPr>
        <w:t xml:space="preserve">（提供国家确定的认证机构出具的、处于有效期之内的产品认证证书）</w:t>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jc w:val="center"/>
        <w:spacing w:line="360" w:lineRule="auto"/>
        <w:rPr>
          <w:b/>
          <w:bCs/>
        </w:rPr>
      </w:pPr>
      <w:r>
        <w:rPr>
          <w:rFonts w:hint="eastAsia"/>
          <w:b/>
          <w:bCs/>
          <w:sz w:val="28"/>
        </w:rPr>
        <w:t xml:space="preserve">环境标志产品认证证书</w:t>
      </w:r>
      <w:r/>
    </w:p>
    <w:p>
      <w:pPr>
        <w:spacing w:line="360" w:lineRule="auto"/>
        <w:rPr>
          <w:bCs/>
        </w:rPr>
      </w:pPr>
      <w:r>
        <w:rPr>
          <w:rFonts w:hint="eastAsia"/>
          <w:bCs/>
        </w:rPr>
        <w:t xml:space="preserve">（提供国家确定的认证机构出具的、处于有效期之内的产品认证证书）</w:t>
      </w:r>
      <w:r/>
    </w:p>
    <w:p>
      <w:pPr>
        <w:pStyle w:val="999"/>
        <w:rPr>
          <w:bCs/>
        </w:rPr>
      </w:pPr>
      <w:r>
        <w:rPr>
          <w:bCs/>
        </w:rPr>
      </w:r>
      <w:r/>
    </w:p>
    <w:p>
      <w:pPr>
        <w:pStyle w:val="999"/>
        <w:rPr>
          <w:bCs/>
        </w:rPr>
      </w:pPr>
      <w:r>
        <w:rPr>
          <w:bCs/>
        </w:rPr>
      </w:r>
      <w:r/>
    </w:p>
    <w:p>
      <w:pPr>
        <w:pStyle w:val="999"/>
        <w:rPr>
          <w:bCs/>
        </w:rPr>
      </w:pPr>
      <w:r>
        <w:rPr>
          <w:bCs/>
        </w:rPr>
      </w:r>
      <w:r/>
    </w:p>
    <w:p>
      <w:pPr>
        <w:jc w:val="center"/>
        <w:spacing w:line="360" w:lineRule="auto"/>
        <w:rPr>
          <w:b/>
          <w:bCs/>
          <w:sz w:val="28"/>
        </w:rPr>
      </w:pPr>
      <w:r>
        <w:rPr>
          <w:rFonts w:hint="eastAsia"/>
          <w:b/>
          <w:bCs/>
          <w:sz w:val="28"/>
        </w:rPr>
        <w:t xml:space="preserve">进口产品转让技术、消化吸收再创新方案</w:t>
      </w:r>
      <w:r/>
    </w:p>
    <w:p>
      <w:pPr>
        <w:spacing w:line="360" w:lineRule="auto"/>
        <w:rPr>
          <w:bCs/>
        </w:rPr>
      </w:pPr>
      <w:r>
        <w:rPr>
          <w:rFonts w:hint="eastAsia"/>
          <w:bCs/>
        </w:rPr>
        <w:t xml:space="preserve">（对于允许进口产品参加的项目）</w:t>
      </w:r>
      <w:r/>
    </w:p>
    <w:p>
      <w:pPr>
        <w:spacing w:line="360" w:lineRule="auto"/>
        <w:rPr>
          <w:b/>
          <w:bCs/>
        </w:rPr>
      </w:pPr>
      <w:r>
        <w:rPr>
          <w:b/>
          <w:bCs/>
        </w:rPr>
      </w:r>
      <w:r/>
    </w:p>
    <w:p>
      <w:pPr>
        <w:rPr>
          <w:b/>
        </w:rPr>
      </w:pPr>
      <w:r>
        <w:rPr>
          <w:b/>
        </w:rPr>
        <w:br w:type="page" w:clear="all"/>
      </w:r>
      <w:r/>
    </w:p>
    <w:p>
      <w:pPr>
        <w:pStyle w:val="1190"/>
        <w:ind w:firstLine="420"/>
        <w:spacing w:beforeAutospacing="0" w:afterAutospacing="0" w:line="0" w:lineRule="atLeast"/>
        <w:rPr>
          <w:b/>
          <w:sz w:val="36"/>
          <w:szCs w:val="28"/>
        </w:rPr>
      </w:pPr>
      <w:r>
        <w:rPr>
          <w:b/>
          <w:sz w:val="36"/>
          <w:szCs w:val="28"/>
        </w:rPr>
      </w:r>
      <w:r/>
    </w:p>
    <w:p>
      <w:pPr>
        <w:pStyle w:val="1190"/>
        <w:ind w:firstLine="420"/>
        <w:jc w:val="center"/>
        <w:spacing w:beforeAutospacing="0" w:afterAutospacing="0" w:line="0" w:lineRule="atLeast"/>
        <w:rPr>
          <w:b/>
          <w:sz w:val="28"/>
          <w:szCs w:val="28"/>
        </w:rPr>
      </w:pPr>
      <w:r>
        <w:rPr>
          <w:rFonts w:hint="eastAsia"/>
          <w:b/>
          <w:sz w:val="28"/>
          <w:szCs w:val="28"/>
        </w:rPr>
        <w:t xml:space="preserve">关于符合本国产品标准的声明函</w:t>
      </w:r>
      <w:r/>
    </w:p>
    <w:p>
      <w:pPr>
        <w:pStyle w:val="1190"/>
        <w:jc w:val="both"/>
        <w:spacing w:beforeAutospacing="0" w:afterAutospacing="0" w:line="0" w:lineRule="atLeast"/>
        <w:rPr>
          <w:b/>
          <w:sz w:val="28"/>
          <w:szCs w:val="28"/>
        </w:rPr>
      </w:pPr>
      <w:r>
        <w:rPr>
          <w:b/>
          <w:sz w:val="28"/>
          <w:szCs w:val="28"/>
        </w:rPr>
      </w:r>
      <w:r/>
    </w:p>
    <w:p>
      <w:pPr>
        <w:pStyle w:val="1190"/>
        <w:ind w:firstLine="420"/>
        <w:spacing w:beforeAutospacing="0" w:afterAutospacing="0" w:line="360" w:lineRule="auto"/>
        <w:rPr>
          <w:sz w:val="21"/>
          <w:szCs w:val="21"/>
        </w:rPr>
      </w:pPr>
      <w:r>
        <w:rPr>
          <w:rFonts w:hint="eastAsia"/>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3"/>
        <w:ind w:firstLine="420"/>
        <w:spacing w:before="0" w:beforeAutospacing="0" w:after="0" w:afterAutospacing="0" w:line="360" w:lineRule="auto"/>
        <w:shd w:val="clear" w:color="auto" w:fill="ffffff"/>
        <w:rPr>
          <w:rFonts w:ascii="Times New Roman" w:hAnsi="Times New Roman" w:cs="Times New Roman"/>
          <w:sz w:val="21"/>
          <w:szCs w:val="21"/>
        </w:rPr>
      </w:pPr>
      <w:r>
        <w:rPr>
          <w:rFonts w:ascii="Times New Roman" w:hAnsi="Times New Roman" w:cs="Times New Roman"/>
          <w:sz w:val="21"/>
          <w:szCs w:val="21"/>
          <w:shd w:val="clear" w:color="auto" w:fill="ffffff"/>
        </w:rPr>
        <w:t xml:space="preserve">1.</w:t>
      </w:r>
      <w:r>
        <w:rPr>
          <w:rStyle w:val="843"/>
          <w:rFonts w:hint="eastAsia" w:ascii="Times New Roman" w:hAnsi="Times New Roman" w:cs="Times New Roman"/>
          <w:color w:val="auto"/>
          <w:sz w:val="21"/>
          <w:szCs w:val="21"/>
          <w:shd w:val="clear" w:color="auto" w:fill="ffffff"/>
        </w:rPr>
        <w:t xml:space="preserve">（产品名称1）</w:t>
      </w:r>
      <w:r>
        <w:rPr>
          <w:rStyle w:val="843"/>
          <w:rFonts w:ascii="Times New Roman" w:hAnsi="Times New Roman" w:cs="Times New Roman"/>
          <w:color w:val="auto"/>
          <w:sz w:val="21"/>
          <w:szCs w:val="21"/>
          <w:shd w:val="clear" w:color="auto" w:fill="ffffff"/>
          <w:vertAlign w:val="superscript"/>
        </w:rPr>
        <w:t xml:space="preserve">1</w:t>
      </w:r>
      <w:r>
        <w:rPr>
          <w:rFonts w:hint="eastAsia" w:ascii="Times New Roman" w:hAnsi="Times New Roman" w:cs="Times New Roman"/>
          <w:sz w:val="21"/>
          <w:szCs w:val="21"/>
          <w:shd w:val="clear" w:color="auto" w:fill="ffffff"/>
        </w:rPr>
        <w:t xml:space="preserve">，生产厂为</w:t>
      </w:r>
      <w:r>
        <w:rPr>
          <w:rStyle w:val="843"/>
          <w:rFonts w:hint="eastAsia" w:ascii="Times New Roman" w:hAnsi="Times New Roman" w:cs="Times New Roman"/>
          <w:color w:val="auto"/>
          <w:sz w:val="21"/>
          <w:szCs w:val="21"/>
          <w:shd w:val="clear" w:color="auto" w:fill="ffffff"/>
        </w:rPr>
        <w:t xml:space="preserve">（厂名）</w:t>
      </w:r>
      <w:r>
        <w:rPr>
          <w:rStyle w:val="843"/>
          <w:rFonts w:ascii="Times New Roman" w:hAnsi="Times New Roman" w:cs="Times New Roman"/>
          <w:color w:val="auto"/>
          <w:sz w:val="21"/>
          <w:szCs w:val="21"/>
          <w:shd w:val="clear" w:color="auto" w:fill="ffffff"/>
          <w:vertAlign w:val="superscript"/>
        </w:rPr>
        <w:t xml:space="preserve">2</w:t>
      </w:r>
      <w:r>
        <w:rPr>
          <w:rFonts w:hint="eastAsia" w:ascii="Times New Roman" w:hAnsi="Times New Roman" w:cs="Times New Roman"/>
          <w:sz w:val="21"/>
          <w:szCs w:val="21"/>
          <w:shd w:val="clear" w:color="auto" w:fill="ffffff"/>
        </w:rPr>
        <w:t xml:space="preserve">，厂址为</w:t>
      </w:r>
      <w:r>
        <w:rPr>
          <w:rStyle w:val="843"/>
          <w:rFonts w:hint="eastAsia" w:ascii="Times New Roman" w:hAnsi="Times New Roman" w:cs="Times New Roman"/>
          <w:color w:val="auto"/>
          <w:sz w:val="21"/>
          <w:szCs w:val="21"/>
          <w:shd w:val="clear" w:color="auto" w:fill="ffffff"/>
        </w:rPr>
        <w:t xml:space="preserve">（生产厂址）</w:t>
      </w:r>
      <w:r>
        <w:rPr>
          <w:rFonts w:hint="eastAsia" w:ascii="Times New Roman" w:hAnsi="Times New Roman" w:cs="Times New Roman"/>
          <w:sz w:val="21"/>
          <w:szCs w:val="21"/>
          <w:shd w:val="clear" w:color="auto" w:fill="ffffff"/>
        </w:rPr>
        <w:t xml:space="preserve">。</w:t>
      </w:r>
      <w:r>
        <w:rPr>
          <w:rStyle w:val="843"/>
          <w:rFonts w:hint="eastAsia" w:ascii="Times New Roman" w:hAnsi="Times New Roman" w:cs="Times New Roman"/>
          <w:color w:val="auto"/>
          <w:sz w:val="21"/>
          <w:szCs w:val="21"/>
          <w:shd w:val="clear" w:color="auto" w:fill="ffffff"/>
        </w:rPr>
        <w:t xml:space="preserve">（产品名称1）</w:t>
      </w:r>
      <w:r>
        <w:rPr>
          <w:rFonts w:hint="eastAsia" w:ascii="Times New Roman" w:hAnsi="Times New Roman" w:cs="Times New Roman"/>
          <w:sz w:val="21"/>
          <w:szCs w:val="21"/>
          <w:shd w:val="clear" w:color="auto" w:fill="ffffff"/>
        </w:rPr>
        <w:t xml:space="preserve">的中国境内生产的组件成本占比</w:t>
      </w:r>
      <w:r>
        <w:rPr>
          <w:rFonts w:hint="eastAsia" w:cs="Times New Roman" w:asciiTheme="minorEastAsia" w:hAnsiTheme="minorEastAsia" w:eastAsiaTheme="minorEastAsia"/>
          <w:sz w:val="21"/>
          <w:szCs w:val="21"/>
        </w:rPr>
        <w:t xml:space="preserve">≥</w:t>
      </w:r>
      <w:r>
        <w:rPr>
          <w:rStyle w:val="843"/>
          <w:rFonts w:hint="eastAsia" w:ascii="Times New Roman" w:hAnsi="Times New Roman" w:cs="Times New Roman"/>
          <w:color w:val="auto"/>
          <w:sz w:val="21"/>
          <w:szCs w:val="21"/>
          <w:shd w:val="clear" w:color="auto" w:fill="ffffff"/>
        </w:rPr>
        <w:t xml:space="preserve">（规定比例）</w:t>
      </w:r>
      <w:r>
        <w:rPr>
          <w:rStyle w:val="843"/>
          <w:rFonts w:ascii="Times New Roman" w:hAnsi="Times New Roman" w:cs="Times New Roman"/>
          <w:color w:val="auto"/>
          <w:sz w:val="21"/>
          <w:szCs w:val="21"/>
          <w:shd w:val="clear" w:color="auto" w:fill="ffffff"/>
          <w:vertAlign w:val="superscript"/>
        </w:rPr>
        <w:t xml:space="preserve">3</w:t>
      </w:r>
      <w:r>
        <w:rPr>
          <w:rFonts w:hint="eastAsia" w:ascii="Times New Roman" w:hAnsi="Times New Roman" w:cs="Times New Roman"/>
          <w:sz w:val="21"/>
          <w:szCs w:val="21"/>
          <w:shd w:val="clear" w:color="auto" w:fill="ffffff"/>
        </w:rPr>
        <w:t xml:space="preserve">。</w:t>
      </w:r>
      <w:r>
        <w:rPr>
          <w:rStyle w:val="843"/>
          <w:rFonts w:hint="eastAsia" w:ascii="Times New Roman" w:hAnsi="Times New Roman" w:cs="Times New Roman"/>
          <w:color w:val="auto"/>
          <w:sz w:val="21"/>
          <w:szCs w:val="21"/>
          <w:shd w:val="clear" w:color="auto" w:fill="ffffff"/>
        </w:rPr>
        <w:t xml:space="preserve">（产品名称1）</w:t>
      </w:r>
      <w:r>
        <w:rPr>
          <w:rFonts w:hint="eastAsia" w:ascii="Times New Roman" w:hAnsi="Times New Roman" w:cs="Times New Roman"/>
          <w:sz w:val="21"/>
          <w:szCs w:val="21"/>
          <w:shd w:val="clear" w:color="auto" w:fill="ffffff"/>
        </w:rPr>
        <w:t xml:space="preserve">的</w:t>
      </w:r>
      <w:r>
        <w:rPr>
          <w:rStyle w:val="843"/>
          <w:rFonts w:hint="eastAsia" w:ascii="Times New Roman" w:hAnsi="Times New Roman" w:cs="Times New Roman"/>
          <w:color w:val="auto"/>
          <w:sz w:val="21"/>
          <w:szCs w:val="21"/>
          <w:shd w:val="clear" w:color="auto" w:fill="ffffff"/>
        </w:rPr>
        <w:t xml:space="preserve">（关键组件）</w:t>
      </w:r>
      <w:r>
        <w:rPr>
          <w:rStyle w:val="843"/>
          <w:rFonts w:ascii="Times New Roman" w:hAnsi="Times New Roman" w:cs="Times New Roman"/>
          <w:color w:val="auto"/>
          <w:sz w:val="21"/>
          <w:szCs w:val="21"/>
          <w:shd w:val="clear" w:color="auto" w:fill="ffffff"/>
          <w:vertAlign w:val="superscript"/>
        </w:rPr>
        <w:t xml:space="preserve">4</w:t>
      </w:r>
      <w:r>
        <w:rPr>
          <w:rFonts w:hint="eastAsia" w:ascii="Times New Roman" w:hAnsi="Times New Roman" w:cs="Times New Roman"/>
          <w:sz w:val="21"/>
          <w:szCs w:val="21"/>
          <w:shd w:val="clear" w:color="auto" w:fill="ffffff"/>
        </w:rPr>
        <w:t xml:space="preserve">在中国境内生产。</w:t>
      </w:r>
      <w:r>
        <w:rPr>
          <w:rStyle w:val="843"/>
          <w:rFonts w:hint="eastAsia" w:ascii="Times New Roman" w:hAnsi="Times New Roman" w:cs="Times New Roman"/>
          <w:color w:val="auto"/>
          <w:sz w:val="21"/>
          <w:szCs w:val="21"/>
          <w:shd w:val="clear" w:color="auto" w:fill="ffffff"/>
        </w:rPr>
        <w:t xml:space="preserve">（产品名称1）</w:t>
      </w:r>
      <w:r>
        <w:rPr>
          <w:rFonts w:hint="eastAsia" w:ascii="Times New Roman" w:hAnsi="Times New Roman" w:cs="Times New Roman"/>
          <w:sz w:val="21"/>
          <w:szCs w:val="21"/>
          <w:shd w:val="clear" w:color="auto" w:fill="ffffff"/>
        </w:rPr>
        <w:t xml:space="preserve">的</w:t>
      </w:r>
      <w:r>
        <w:rPr>
          <w:rStyle w:val="843"/>
          <w:rFonts w:hint="eastAsia" w:ascii="Times New Roman" w:hAnsi="Times New Roman" w:cs="Times New Roman"/>
          <w:color w:val="auto"/>
          <w:sz w:val="21"/>
          <w:szCs w:val="21"/>
          <w:shd w:val="clear" w:color="auto" w:fill="ffffff"/>
        </w:rPr>
        <w:t xml:space="preserve">（关键工序）</w:t>
      </w:r>
      <w:r>
        <w:rPr>
          <w:rStyle w:val="843"/>
          <w:rFonts w:ascii="Times New Roman" w:hAnsi="Times New Roman" w:cs="Times New Roman"/>
          <w:color w:val="auto"/>
          <w:sz w:val="21"/>
          <w:szCs w:val="21"/>
          <w:shd w:val="clear" w:color="auto" w:fill="ffffff"/>
          <w:vertAlign w:val="superscript"/>
        </w:rPr>
        <w:t xml:space="preserve">5</w:t>
      </w:r>
      <w:r>
        <w:rPr>
          <w:rFonts w:hint="eastAsia" w:ascii="Times New Roman" w:hAnsi="Times New Roman" w:cs="Times New Roman"/>
          <w:sz w:val="21"/>
          <w:szCs w:val="21"/>
          <w:shd w:val="clear" w:color="auto" w:fill="ffffff"/>
        </w:rPr>
        <w:t xml:space="preserve">在中国境内完成。</w:t>
      </w:r>
      <w:r/>
    </w:p>
    <w:p>
      <w:pPr>
        <w:pStyle w:val="833"/>
        <w:ind w:firstLine="420"/>
        <w:spacing w:before="0" w:beforeAutospacing="0" w:after="0" w:afterAutospacing="0" w:line="360" w:lineRule="auto"/>
        <w:shd w:val="clear" w:color="auto" w:fill="ffffff"/>
        <w:rPr>
          <w:rFonts w:ascii="Times New Roman" w:hAnsi="Times New Roman" w:cs="Times New Roman"/>
          <w:sz w:val="21"/>
          <w:szCs w:val="21"/>
        </w:rPr>
      </w:pPr>
      <w:r>
        <w:rPr>
          <w:rFonts w:ascii="Times New Roman" w:hAnsi="Times New Roman" w:cs="Times New Roman"/>
          <w:sz w:val="21"/>
          <w:szCs w:val="21"/>
          <w:shd w:val="clear" w:color="auto" w:fill="ffffff"/>
        </w:rPr>
        <w:t xml:space="preserve">2.</w:t>
      </w:r>
      <w:r>
        <w:rPr>
          <w:rStyle w:val="843"/>
          <w:rFonts w:hint="eastAsia" w:ascii="Times New Roman" w:hAnsi="Times New Roman" w:cs="Times New Roman"/>
          <w:color w:val="auto"/>
          <w:sz w:val="21"/>
          <w:szCs w:val="21"/>
          <w:shd w:val="clear" w:color="auto" w:fill="ffffff"/>
        </w:rPr>
        <w:t xml:space="preserve">（产品名称2）</w:t>
      </w:r>
      <w:r>
        <w:rPr>
          <w:rFonts w:hint="eastAsia" w:ascii="Times New Roman" w:hAnsi="Times New Roman" w:cs="Times New Roman"/>
          <w:sz w:val="21"/>
          <w:szCs w:val="21"/>
          <w:shd w:val="clear" w:color="auto" w:fill="ffffff"/>
        </w:rPr>
        <w:t xml:space="preserve">，生产厂为</w:t>
      </w:r>
      <w:r>
        <w:rPr>
          <w:rStyle w:val="843"/>
          <w:rFonts w:hint="eastAsia" w:ascii="Times New Roman" w:hAnsi="Times New Roman" w:cs="Times New Roman"/>
          <w:color w:val="auto"/>
          <w:sz w:val="21"/>
          <w:szCs w:val="21"/>
          <w:shd w:val="clear" w:color="auto" w:fill="ffffff"/>
        </w:rPr>
        <w:t xml:space="preserve">（厂名）</w:t>
      </w:r>
      <w:r>
        <w:rPr>
          <w:rFonts w:hint="eastAsia" w:ascii="Times New Roman" w:hAnsi="Times New Roman" w:cs="Times New Roman"/>
          <w:sz w:val="21"/>
          <w:szCs w:val="21"/>
          <w:shd w:val="clear" w:color="auto" w:fill="ffffff"/>
        </w:rPr>
        <w:t xml:space="preserve">，厂址为</w:t>
      </w:r>
      <w:r>
        <w:rPr>
          <w:rStyle w:val="843"/>
          <w:rFonts w:hint="eastAsia" w:ascii="Times New Roman" w:hAnsi="Times New Roman" w:cs="Times New Roman"/>
          <w:color w:val="auto"/>
          <w:sz w:val="21"/>
          <w:szCs w:val="21"/>
          <w:shd w:val="clear" w:color="auto" w:fill="ffffff"/>
        </w:rPr>
        <w:t xml:space="preserve">（生产厂址）</w:t>
      </w:r>
      <w:r>
        <w:rPr>
          <w:rFonts w:hint="eastAsia" w:ascii="Times New Roman" w:hAnsi="Times New Roman" w:cs="Times New Roman"/>
          <w:sz w:val="21"/>
          <w:szCs w:val="21"/>
          <w:shd w:val="clear" w:color="auto" w:fill="ffffff"/>
        </w:rPr>
        <w:t xml:space="preserve">。</w:t>
      </w:r>
      <w:r>
        <w:rPr>
          <w:rStyle w:val="843"/>
          <w:rFonts w:hint="eastAsia" w:ascii="Times New Roman" w:hAnsi="Times New Roman" w:cs="Times New Roman"/>
          <w:color w:val="auto"/>
          <w:sz w:val="21"/>
          <w:szCs w:val="21"/>
          <w:shd w:val="clear" w:color="auto" w:fill="ffffff"/>
        </w:rPr>
        <w:t xml:space="preserve">（产品名称2）</w:t>
      </w:r>
      <w:r>
        <w:rPr>
          <w:rFonts w:hint="eastAsia" w:ascii="Times New Roman" w:hAnsi="Times New Roman" w:cs="Times New Roman"/>
          <w:sz w:val="21"/>
          <w:szCs w:val="21"/>
          <w:shd w:val="clear" w:color="auto" w:fill="ffffff"/>
        </w:rPr>
        <w:t xml:space="preserve">的中国境内生产的组件成本占比</w:t>
      </w:r>
      <w:r>
        <w:rPr>
          <w:rFonts w:hint="eastAsia" w:cs="Times New Roman" w:asciiTheme="minorEastAsia" w:hAnsiTheme="minorEastAsia" w:eastAsiaTheme="minorEastAsia"/>
          <w:sz w:val="21"/>
          <w:szCs w:val="21"/>
        </w:rPr>
        <w:t xml:space="preserve">≥</w:t>
      </w:r>
      <w:r>
        <w:rPr>
          <w:rStyle w:val="843"/>
          <w:rFonts w:hint="eastAsia" w:ascii="Times New Roman" w:hAnsi="Times New Roman" w:cs="Times New Roman"/>
          <w:color w:val="auto"/>
          <w:sz w:val="21"/>
          <w:szCs w:val="21"/>
          <w:shd w:val="clear" w:color="auto" w:fill="ffffff"/>
        </w:rPr>
        <w:t xml:space="preserve">（规定比例）</w:t>
      </w:r>
      <w:r>
        <w:rPr>
          <w:rFonts w:hint="eastAsia" w:ascii="Times New Roman" w:hAnsi="Times New Roman" w:cs="Times New Roman"/>
          <w:sz w:val="21"/>
          <w:szCs w:val="21"/>
          <w:shd w:val="clear" w:color="auto" w:fill="ffffff"/>
        </w:rPr>
        <w:t xml:space="preserve">。</w:t>
      </w:r>
      <w:r>
        <w:rPr>
          <w:rStyle w:val="843"/>
          <w:rFonts w:hint="eastAsia" w:ascii="Times New Roman" w:hAnsi="Times New Roman" w:cs="Times New Roman"/>
          <w:color w:val="auto"/>
          <w:sz w:val="21"/>
          <w:szCs w:val="21"/>
          <w:shd w:val="clear" w:color="auto" w:fill="ffffff"/>
        </w:rPr>
        <w:t xml:space="preserve">（产品名称2）</w:t>
      </w:r>
      <w:r>
        <w:rPr>
          <w:rFonts w:hint="eastAsia" w:ascii="Times New Roman" w:hAnsi="Times New Roman" w:cs="Times New Roman"/>
          <w:sz w:val="21"/>
          <w:szCs w:val="21"/>
          <w:shd w:val="clear" w:color="auto" w:fill="ffffff"/>
        </w:rPr>
        <w:t xml:space="preserve">的</w:t>
      </w:r>
      <w:r>
        <w:rPr>
          <w:rStyle w:val="843"/>
          <w:rFonts w:hint="eastAsia" w:ascii="Times New Roman" w:hAnsi="Times New Roman" w:cs="Times New Roman"/>
          <w:color w:val="auto"/>
          <w:sz w:val="21"/>
          <w:szCs w:val="21"/>
          <w:shd w:val="clear" w:color="auto" w:fill="ffffff"/>
        </w:rPr>
        <w:t xml:space="preserve">（关键组件）</w:t>
      </w:r>
      <w:r>
        <w:rPr>
          <w:rFonts w:hint="eastAsia" w:ascii="Times New Roman" w:hAnsi="Times New Roman" w:cs="Times New Roman"/>
          <w:sz w:val="21"/>
          <w:szCs w:val="21"/>
          <w:shd w:val="clear" w:color="auto" w:fill="ffffff"/>
        </w:rPr>
        <w:t xml:space="preserve">在中国境内生产。</w:t>
      </w:r>
      <w:r>
        <w:rPr>
          <w:rStyle w:val="843"/>
          <w:rFonts w:hint="eastAsia" w:ascii="Times New Roman" w:hAnsi="Times New Roman" w:cs="Times New Roman"/>
          <w:color w:val="auto"/>
          <w:sz w:val="21"/>
          <w:szCs w:val="21"/>
          <w:shd w:val="clear" w:color="auto" w:fill="ffffff"/>
        </w:rPr>
        <w:t xml:space="preserve">（产品名称2）</w:t>
      </w:r>
      <w:r>
        <w:rPr>
          <w:rFonts w:hint="eastAsia" w:ascii="Times New Roman" w:hAnsi="Times New Roman" w:cs="Times New Roman"/>
          <w:sz w:val="21"/>
          <w:szCs w:val="21"/>
          <w:shd w:val="clear" w:color="auto" w:fill="ffffff"/>
        </w:rPr>
        <w:t xml:space="preserve">的</w:t>
      </w:r>
      <w:r>
        <w:rPr>
          <w:rStyle w:val="843"/>
          <w:rFonts w:hint="eastAsia" w:ascii="Times New Roman" w:hAnsi="Times New Roman" w:cs="Times New Roman"/>
          <w:color w:val="auto"/>
          <w:sz w:val="21"/>
          <w:szCs w:val="21"/>
          <w:shd w:val="clear" w:color="auto" w:fill="ffffff"/>
        </w:rPr>
        <w:t xml:space="preserve">（关键工序）</w:t>
      </w:r>
      <w:r>
        <w:rPr>
          <w:rFonts w:hint="eastAsia" w:ascii="Times New Roman" w:hAnsi="Times New Roman" w:cs="Times New Roman"/>
          <w:sz w:val="21"/>
          <w:szCs w:val="21"/>
          <w:shd w:val="clear" w:color="auto" w:fill="ffffff"/>
        </w:rPr>
        <w:t xml:space="preserve">在中国境内完成。</w:t>
      </w:r>
      <w:r/>
    </w:p>
    <w:p>
      <w:pPr>
        <w:pStyle w:val="833"/>
        <w:ind w:firstLine="420"/>
        <w:spacing w:before="0" w:beforeAutospacing="0" w:after="0" w:afterAutospacing="0" w:line="360" w:lineRule="auto"/>
        <w:shd w:val="clear" w:color="auto" w:fill="ffffff"/>
        <w:rPr>
          <w:rFonts w:ascii="Times New Roman" w:hAnsi="Times New Roman" w:cs="Times New Roman"/>
          <w:sz w:val="21"/>
          <w:szCs w:val="21"/>
        </w:rPr>
      </w:pPr>
      <w:r>
        <w:rPr>
          <w:rFonts w:ascii="Times New Roman" w:hAnsi="Times New Roman" w:cs="Times New Roman"/>
          <w:sz w:val="21"/>
          <w:szCs w:val="21"/>
          <w:shd w:val="clear" w:color="auto" w:fill="ffffff"/>
        </w:rPr>
        <w:t xml:space="preserve">……</w:t>
      </w:r>
      <w:r/>
    </w:p>
    <w:p>
      <w:pPr>
        <w:pStyle w:val="833"/>
        <w:ind w:firstLine="420"/>
        <w:spacing w:before="0" w:beforeAutospacing="0" w:after="0" w:afterAutospacing="0" w:line="360" w:lineRule="auto"/>
        <w:shd w:val="clear" w:color="auto" w:fill="ffffff"/>
        <w:rPr>
          <w:rFonts w:ascii="Times New Roman" w:hAnsi="Times New Roman" w:cs="Times New Roman"/>
          <w:sz w:val="21"/>
          <w:szCs w:val="21"/>
        </w:rPr>
      </w:pPr>
      <w:r>
        <w:rPr>
          <w:rFonts w:hint="eastAsia" w:ascii="Times New Roman" w:hAnsi="Times New Roman" w:cs="Times New Roman"/>
          <w:sz w:val="21"/>
          <w:szCs w:val="21"/>
          <w:shd w:val="clear" w:color="auto" w:fill="ffffff"/>
        </w:rPr>
        <w:t xml:space="preserve">本公司（单位）对上述声明内容的真实性负责。如有虚假，愿承担相应法律责任。</w:t>
      </w:r>
      <w:r/>
    </w:p>
    <w:p>
      <w:pPr>
        <w:pStyle w:val="833"/>
        <w:ind w:firstLine="420"/>
        <w:jc w:val="right"/>
        <w:spacing w:before="0" w:beforeAutospacing="0" w:after="0" w:afterAutospacing="0" w:line="360" w:lineRule="auto"/>
        <w:shd w:val="clear" w:color="auto" w:fill="ffffff"/>
        <w:rPr>
          <w:rFonts w:ascii="Times New Roman" w:hAnsi="Times New Roman" w:cs="Times New Roman"/>
          <w:sz w:val="21"/>
          <w:szCs w:val="21"/>
        </w:rPr>
      </w:pPr>
      <w:r>
        <w:rPr>
          <w:rFonts w:hint="eastAsia" w:ascii="Times New Roman" w:hAnsi="Times New Roman" w:cs="Times New Roman"/>
          <w:sz w:val="21"/>
          <w:szCs w:val="21"/>
          <w:shd w:val="clear" w:color="auto" w:fill="ffffff"/>
        </w:rPr>
        <w:t xml:space="preserve">公司（单位）名称（盖章）：</w:t>
      </w:r>
      <w:r>
        <w:rPr>
          <w:rFonts w:ascii="Times New Roman" w:hAnsi="Times New Roman" w:cs="Times New Roman"/>
          <w:sz w:val="21"/>
          <w:szCs w:val="21"/>
          <w:shd w:val="clear" w:color="auto" w:fill="ffffff"/>
        </w:rPr>
        <w:t xml:space="preserve">      </w:t>
      </w:r>
      <w:r/>
    </w:p>
    <w:p>
      <w:pPr>
        <w:pStyle w:val="1190"/>
        <w:ind w:firstLine="420"/>
        <w:jc w:val="center"/>
        <w:spacing w:beforeAutospacing="0" w:afterAutospacing="0" w:line="360" w:lineRule="auto"/>
        <w:rPr>
          <w:sz w:val="21"/>
          <w:szCs w:val="21"/>
        </w:rPr>
      </w:pPr>
      <w:r>
        <w:rPr>
          <w:sz w:val="21"/>
          <w:szCs w:val="21"/>
          <w:shd w:val="clear" w:color="auto" w:fill="ffffff"/>
        </w:rPr>
        <w:t xml:space="preserve">                                                 </w:t>
      </w:r>
      <w:r>
        <w:rPr>
          <w:rFonts w:hint="eastAsia"/>
          <w:sz w:val="21"/>
          <w:szCs w:val="21"/>
          <w:shd w:val="clear" w:color="auto" w:fill="ffffff"/>
        </w:rPr>
        <w:t xml:space="preserve">日期：　　　　　年　　月　日</w:t>
      </w:r>
      <w:r>
        <w:rPr>
          <w:sz w:val="21"/>
          <w:szCs w:val="21"/>
          <w:shd w:val="clear" w:color="auto" w:fill="ffffff"/>
        </w:rPr>
        <w:t xml:space="preserve">   </w:t>
      </w:r>
      <w:r/>
    </w:p>
    <w:p>
      <w:pPr>
        <w:pStyle w:val="1190"/>
        <w:ind w:firstLine="420"/>
        <w:spacing w:beforeAutospacing="0" w:afterAutospacing="0" w:line="360" w:lineRule="auto"/>
        <w:rPr>
          <w:sz w:val="21"/>
          <w:szCs w:val="21"/>
        </w:rPr>
      </w:pPr>
      <w:r>
        <w:rPr>
          <w:sz w:val="21"/>
          <w:szCs w:val="21"/>
          <w:shd w:val="clear" w:color="auto" w:fill="ffffff"/>
        </w:rPr>
        <w:t xml:space="preserve">__________________</w:t>
      </w:r>
      <w:r/>
    </w:p>
    <w:p>
      <w:pPr>
        <w:pStyle w:val="1190"/>
        <w:jc w:val="both"/>
        <w:spacing w:beforeAutospacing="0" w:afterAutospacing="0" w:line="360" w:lineRule="auto"/>
        <w:rPr>
          <w:sz w:val="21"/>
          <w:szCs w:val="21"/>
        </w:rPr>
      </w:pPr>
      <w:r>
        <w:rPr>
          <w:rFonts w:hint="eastAsia"/>
          <w:sz w:val="21"/>
          <w:szCs w:val="21"/>
          <w:shd w:val="clear" w:color="auto" w:fill="ffffff"/>
        </w:rPr>
        <w:t xml:space="preserve">1.产品如有型号，请</w:t>
      </w:r>
      <w:r>
        <w:rPr>
          <w:rFonts w:hint="eastAsia" w:ascii="宋体" w:hAnsi="宋体"/>
          <w:sz w:val="21"/>
          <w:szCs w:val="21"/>
          <w:shd w:val="clear" w:color="auto" w:fill="ffffff"/>
        </w:rPr>
        <w:t xml:space="preserve">在“产品名称”栏</w:t>
      </w:r>
      <w:r>
        <w:rPr>
          <w:rFonts w:hint="eastAsia"/>
          <w:sz w:val="21"/>
          <w:szCs w:val="21"/>
          <w:shd w:val="clear" w:color="auto" w:fill="ffffff"/>
        </w:rPr>
        <w:t xml:space="preserve">一并填写。</w:t>
      </w:r>
      <w:r/>
    </w:p>
    <w:p>
      <w:pPr>
        <w:pStyle w:val="1190"/>
        <w:jc w:val="both"/>
        <w:spacing w:beforeAutospacing="0" w:afterAutospacing="0" w:line="360" w:lineRule="auto"/>
        <w:rPr>
          <w:sz w:val="21"/>
          <w:szCs w:val="21"/>
        </w:rPr>
      </w:pPr>
      <w:r>
        <w:rPr>
          <w:rFonts w:hint="eastAsia"/>
          <w:sz w:val="21"/>
          <w:szCs w:val="21"/>
          <w:shd w:val="clear" w:color="auto" w:fill="ffffff"/>
        </w:rPr>
        <w:t xml:space="preserve">2.生产厂名与厂址应与生产厂营业执照载明的相关信息保持一致。</w:t>
      </w:r>
      <w:r/>
    </w:p>
    <w:p>
      <w:pPr>
        <w:pStyle w:val="1190"/>
        <w:jc w:val="both"/>
        <w:spacing w:beforeAutospacing="0" w:afterAutospacing="0" w:line="360" w:lineRule="auto"/>
        <w:rPr>
          <w:sz w:val="21"/>
          <w:szCs w:val="21"/>
        </w:rPr>
      </w:pPr>
      <w:r>
        <w:rPr>
          <w:rFonts w:hint="eastAsia"/>
          <w:sz w:val="21"/>
          <w:szCs w:val="21"/>
          <w:shd w:val="clear" w:color="auto" w:fill="ffffff"/>
        </w:rPr>
        <w:t xml:space="preserve">3.该产品的中国境内生产的组件成本占比相关要求实施</w:t>
      </w:r>
      <w:r>
        <w:rPr>
          <w:rFonts w:hint="eastAsia" w:ascii="宋体" w:hAnsi="宋体"/>
          <w:sz w:val="21"/>
          <w:szCs w:val="21"/>
          <w:shd w:val="clear" w:color="auto" w:fill="ffffff"/>
        </w:rPr>
        <w:t xml:space="preserve">前，“规定比例”栏可不填</w:t>
      </w:r>
      <w:r>
        <w:rPr>
          <w:rFonts w:hint="eastAsia"/>
          <w:sz w:val="21"/>
          <w:szCs w:val="21"/>
          <w:shd w:val="clear" w:color="auto" w:fill="ffffff"/>
        </w:rPr>
        <w:t xml:space="preserve">，下同。</w:t>
      </w:r>
      <w:r/>
    </w:p>
    <w:p>
      <w:pPr>
        <w:pStyle w:val="1190"/>
        <w:jc w:val="both"/>
        <w:spacing w:beforeAutospacing="0" w:afterAutospacing="0" w:line="360" w:lineRule="auto"/>
        <w:rPr>
          <w:sz w:val="21"/>
          <w:szCs w:val="21"/>
        </w:rPr>
      </w:pPr>
      <w:r>
        <w:rPr>
          <w:rFonts w:hint="eastAsia"/>
          <w:sz w:val="21"/>
          <w:szCs w:val="21"/>
          <w:shd w:val="clear" w:color="auto" w:fill="ffffff"/>
        </w:rPr>
        <w:t xml:space="preserve">4.该产品的关键组件要求实施前，</w:t>
      </w:r>
      <w:r>
        <w:rPr>
          <w:rFonts w:hint="eastAsia" w:ascii="宋体" w:hAnsi="宋体"/>
          <w:sz w:val="21"/>
          <w:szCs w:val="21"/>
          <w:shd w:val="clear" w:color="auto" w:fill="ffffff"/>
        </w:rPr>
        <w:t xml:space="preserve">“关键组件”栏可不</w:t>
      </w:r>
      <w:r>
        <w:rPr>
          <w:rFonts w:hint="eastAsia"/>
          <w:sz w:val="21"/>
          <w:szCs w:val="21"/>
          <w:shd w:val="clear" w:color="auto" w:fill="ffffff"/>
        </w:rPr>
        <w:t xml:space="preserve">填，下同。</w:t>
      </w:r>
      <w:r/>
    </w:p>
    <w:p>
      <w:pPr>
        <w:pStyle w:val="1190"/>
        <w:jc w:val="both"/>
        <w:spacing w:beforeAutospacing="0" w:afterAutospacing="0" w:line="360" w:lineRule="auto"/>
        <w:rPr>
          <w:sz w:val="21"/>
          <w:szCs w:val="21"/>
          <w:shd w:val="clear" w:color="auto" w:fill="ffffff"/>
        </w:rPr>
      </w:pPr>
      <w:r>
        <w:rPr>
          <w:rFonts w:hint="eastAsia"/>
          <w:sz w:val="21"/>
          <w:szCs w:val="21"/>
          <w:shd w:val="clear" w:color="auto" w:fill="ffffff"/>
        </w:rPr>
        <w:t xml:space="preserve">5.该产品的关键工序要求实施前，</w:t>
      </w:r>
      <w:r>
        <w:rPr>
          <w:rFonts w:hint="eastAsia" w:ascii="宋体" w:hAnsi="宋体"/>
          <w:sz w:val="21"/>
          <w:szCs w:val="21"/>
          <w:shd w:val="clear" w:color="auto" w:fill="ffffff"/>
        </w:rPr>
        <w:t xml:space="preserve">“关键工序”栏可</w:t>
      </w:r>
      <w:r>
        <w:rPr>
          <w:rFonts w:hint="eastAsia"/>
          <w:sz w:val="21"/>
          <w:szCs w:val="21"/>
          <w:shd w:val="clear" w:color="auto" w:fill="ffffff"/>
        </w:rPr>
        <w:t xml:space="preserve">不填，下同。</w:t>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br w:type="page" w:clear="all"/>
      </w:r>
      <w:r/>
    </w:p>
    <w:p>
      <w:pPr>
        <w:spacing w:line="360" w:lineRule="auto"/>
        <w:rPr>
          <w:b/>
        </w:rPr>
      </w:pPr>
      <w:r>
        <w:rPr>
          <w:b/>
        </w:rPr>
      </w:r>
      <w:r/>
    </w:p>
    <w:p>
      <w:pPr>
        <w:spacing w:line="360" w:lineRule="auto"/>
        <w:rPr>
          <w:b/>
        </w:rPr>
      </w:pPr>
      <w:r>
        <w:rPr>
          <w:rFonts w:hint="eastAsia"/>
          <w:b/>
        </w:rPr>
        <w:t xml:space="preserve">附件十一、无重大违法记录声明格式</w:t>
      </w:r>
      <w:r/>
    </w:p>
    <w:p>
      <w:pPr>
        <w:jc w:val="center"/>
        <w:spacing w:line="240" w:lineRule="atLeast"/>
        <w:rPr>
          <w:sz w:val="28"/>
          <w:szCs w:val="36"/>
        </w:rPr>
      </w:pPr>
      <w:r>
        <w:rPr>
          <w:sz w:val="28"/>
          <w:szCs w:val="36"/>
        </w:rPr>
      </w:r>
      <w:r/>
    </w:p>
    <w:p>
      <w:pPr>
        <w:jc w:val="center"/>
        <w:spacing w:line="240" w:lineRule="atLeast"/>
        <w:rPr>
          <w:sz w:val="28"/>
          <w:szCs w:val="36"/>
        </w:rPr>
      </w:pPr>
      <w:r>
        <w:rPr>
          <w:rFonts w:hint="eastAsia"/>
          <w:sz w:val="28"/>
          <w:szCs w:val="36"/>
        </w:rPr>
        <w:t xml:space="preserve">无重大违法记录声明</w:t>
      </w:r>
      <w:r/>
    </w:p>
    <w:p>
      <w:pPr>
        <w:spacing w:line="360" w:lineRule="auto"/>
        <w:rPr>
          <w:szCs w:val="21"/>
        </w:rPr>
      </w:pPr>
      <w:r>
        <w:rPr>
          <w:szCs w:val="21"/>
        </w:rPr>
      </w:r>
      <w:r/>
    </w:p>
    <w:p>
      <w:pPr>
        <w:spacing w:line="360" w:lineRule="auto"/>
        <w:rPr>
          <w:szCs w:val="21"/>
        </w:rPr>
      </w:pPr>
      <w:r>
        <w:rPr>
          <w:rFonts w:hint="eastAsia"/>
          <w:szCs w:val="21"/>
        </w:rPr>
        <w:t xml:space="preserve">江苏省设备成套股份有限公司：</w:t>
      </w:r>
      <w:r/>
    </w:p>
    <w:p>
      <w:pPr>
        <w:spacing w:line="360" w:lineRule="auto"/>
      </w:pPr>
      <w:r/>
      <w:r/>
    </w:p>
    <w:p>
      <w:pPr>
        <w:ind w:firstLine="336"/>
        <w:spacing w:line="360" w:lineRule="auto"/>
      </w:pPr>
      <w:r>
        <w:rPr>
          <w:rFonts w:hint="eastAsia"/>
        </w:rPr>
        <w:t xml:space="preserve">我单位（供应商名称）郑重声明：</w:t>
      </w:r>
      <w:r/>
    </w:p>
    <w:p>
      <w:pPr>
        <w:ind w:firstLine="308"/>
        <w:spacing w:line="360" w:lineRule="auto"/>
        <w:shd w:val="clear" w:color="auto" w:fill="ffffff"/>
        <w:widowControl/>
        <w:rPr>
          <w:b/>
          <w:szCs w:val="21"/>
        </w:rPr>
      </w:pPr>
      <w:r>
        <w:rPr>
          <w:rFonts w:hint="eastAsia"/>
          <w:szCs w:val="21"/>
        </w:rPr>
        <w:t xml:space="preserve">我单位</w:t>
      </w:r>
      <w:r>
        <w:rPr>
          <w:rFonts w:hint="eastAsia"/>
        </w:rPr>
        <w:t xml:space="preserve">参加政府采购活动前3年内在经营活动中（</w:t>
      </w:r>
      <w:r>
        <w:rPr>
          <w:rFonts w:hint="eastAsia"/>
          <w:b/>
          <w:i/>
          <w:u w:val="single"/>
        </w:rPr>
        <w:t xml:space="preserve">在下划线上如实填写：有或没有</w:t>
      </w:r>
      <w:r>
        <w:rPr>
          <w:rFonts w:hint="eastAsia"/>
        </w:rPr>
        <w:t xml:space="preserve">）</w:t>
      </w:r>
      <w:r>
        <w:rPr>
          <w:rFonts w:hint="eastAsia"/>
          <w:b/>
        </w:rPr>
        <w:t xml:space="preserve">重大违法记录</w:t>
      </w:r>
      <w:r>
        <w:rPr>
          <w:rFonts w:hint="eastAsia"/>
          <w:b/>
          <w:szCs w:val="21"/>
        </w:rPr>
        <w:t xml:space="preserve">，且不是失信被执行人、重大税收违法案件当事人名单、政府采购严重违法失信行为记录名单的供应商。</w:t>
      </w:r>
      <w:r/>
    </w:p>
    <w:p>
      <w:pPr>
        <w:ind w:firstLine="420"/>
        <w:spacing w:line="360" w:lineRule="auto"/>
      </w:pPr>
      <w:r/>
      <w:r/>
    </w:p>
    <w:p>
      <w:pPr>
        <w:ind w:firstLine="315"/>
        <w:spacing w:line="360" w:lineRule="auto"/>
      </w:pPr>
      <w:r>
        <w:rPr>
          <w:rFonts w:hint="eastAsia"/>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pPr>
      <w:r/>
      <w:r/>
    </w:p>
    <w:p>
      <w:pPr>
        <w:spacing w:line="360" w:lineRule="auto"/>
      </w:pPr>
      <w:r/>
      <w:r/>
    </w:p>
    <w:p>
      <w:pPr>
        <w:ind w:firstLine="5103"/>
        <w:spacing w:line="360" w:lineRule="auto"/>
      </w:pPr>
      <w:r>
        <w:rPr>
          <w:rFonts w:hint="eastAsia"/>
        </w:rPr>
        <w:t xml:space="preserve">声明人：（加盖电子公章）</w:t>
      </w:r>
      <w:r/>
    </w:p>
    <w:p>
      <w:pPr>
        <w:ind w:firstLine="5040"/>
        <w:spacing w:line="360" w:lineRule="auto"/>
        <w:rPr>
          <w:b/>
        </w:rPr>
      </w:pPr>
      <w:r>
        <w:rPr>
          <w:rFonts w:hint="eastAsia"/>
          <w:szCs w:val="21"/>
          <w:lang w:val="zh-CN"/>
        </w:rPr>
        <w:t xml:space="preserve">日期：年月</w:t>
      </w:r>
      <w:r>
        <w:rPr>
          <w:b/>
          <w:szCs w:val="21"/>
          <w:lang w:val="zh-CN"/>
        </w:rPr>
        <w:br w:type="page" w:clear="all"/>
      </w:r>
      <w:r/>
    </w:p>
    <w:p>
      <w:pPr>
        <w:spacing w:line="360" w:lineRule="auto"/>
        <w:rPr>
          <w:b/>
        </w:rPr>
      </w:pPr>
      <w:r>
        <w:rPr>
          <w:rFonts w:hint="eastAsia"/>
          <w:b/>
        </w:rPr>
        <w:t xml:space="preserve">附件十二、资格资信证明文件</w:t>
      </w:r>
      <w:r/>
    </w:p>
    <w:p>
      <w:pPr>
        <w:spacing w:line="360" w:lineRule="auto"/>
        <w:rPr>
          <w:b/>
        </w:rPr>
      </w:pPr>
      <w:r>
        <w:rPr>
          <w:b/>
        </w:rPr>
      </w:r>
      <w:r/>
    </w:p>
    <w:p>
      <w:pPr>
        <w:spacing w:line="360" w:lineRule="auto"/>
        <w:rPr>
          <w:b/>
        </w:rPr>
      </w:pPr>
      <w:r>
        <w:rPr>
          <w:b/>
        </w:rPr>
      </w:r>
      <w:r/>
    </w:p>
    <w:p>
      <w:pPr>
        <w:spacing w:line="360" w:lineRule="auto"/>
        <w:rPr>
          <w:b/>
        </w:rPr>
      </w:pPr>
      <w:r>
        <w:rPr>
          <w:rFonts w:hint="eastAsia"/>
          <w:b/>
        </w:rPr>
        <w:t xml:space="preserve">附件十三、其他（投标人认为有必要提供的声明和文件，如有格式自拟）</w:t>
      </w:r>
      <w:r/>
    </w:p>
    <w:sectPr>
      <w:headerReference w:type="default" r:id="rId9"/>
      <w:footerReference w:type="default" r:id="rId15"/>
      <w:footnotePr/>
      <w:endnotePr/>
      <w:type w:val="nextPage"/>
      <w:pgSz w:w="11906" w:h="16838" w:orient="portrait"/>
      <w:pgMar w:top="1440" w:right="1797" w:bottom="1440" w:left="1599"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仿宋">
    <w:panose1 w:val="02010609060101010101"/>
  </w:font>
  <w:font w:name="Arial Unicode MS">
    <w:panose1 w:val="020B0604020202020204"/>
  </w:font>
  <w:font w:name="楷体_GB2312">
    <w:panose1 w:val="02010609060101010101"/>
  </w:font>
  <w:font w:name="Courier New">
    <w:panose1 w:val="02070309020205020404"/>
  </w:font>
  <w:font w:name="Tahoma">
    <w:panose1 w:val="020B0604030504040204"/>
  </w:font>
  <w:font w:name="华文细黑">
    <w:panose1 w:val="02010600040101010101"/>
  </w:font>
  <w:font w:name="KNLe">
    <w:panose1 w:val="020B0503020202020204"/>
  </w:font>
  <w:font w:name="Wingdings">
    <w:panose1 w:val="05000000000000000000"/>
  </w:font>
  <w:font w:name="华文楷体">
    <w:panose1 w:val="02010600040101010101"/>
  </w:font>
  <w:font w:name="Symbol">
    <w:panose1 w:val="05050102010706020507"/>
  </w:font>
  <w:font w:name="新宋体">
    <w:panose1 w:val="0201060903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ヒラギノ角ゴ Pro W3">
    <w:panose1 w:val="020B0503020202020204"/>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tabs>
        <w:tab w:val="clear" w:pos="4153" w:leader="none"/>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3026410</wp:posOffset>
              </wp:positionH>
              <wp:positionV relativeFrom="paragraph">
                <wp:posOffset>-635</wp:posOffset>
              </wp:positionV>
              <wp:extent cx="184150" cy="152400"/>
              <wp:effectExtent l="0" t="0" r="635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4150" cy="152400"/>
                      </a:xfrm>
                      <a:prstGeom prst="rect">
                        <a:avLst/>
                      </a:prstGeom>
                      <a:noFill/>
                      <a:ln w="6350">
                        <a:noFill/>
                      </a:ln>
                      <a:effectLst/>
                    </wps:spPr>
                    <wps:txbx>
                      <w:txbxContent>
                        <w:p>
                          <w:pPr>
                            <w:pStyle w:val="819"/>
                          </w:pPr>
                          <w:r>
                            <w:fldChar w:fldCharType="begin"/>
                          </w:r>
                          <w:r>
                            <w:instrText xml:space="preserve"> PAGE  \* MERGEFORMAT </w:instrText>
                          </w:r>
                          <w:r>
                            <w:fldChar w:fldCharType="separate"/>
                          </w:r>
                          <w:r>
                            <w:t xml:space="preserve">6</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0288;o:allowoverlap:true;o:allowincell:true;mso-position-horizontal-relative:margin;margin-left:238.3pt;mso-position-horizontal:absolute;mso-position-vertical-relative:text;margin-top:-0.0pt;mso-position-vertical:absolute;width:14.5pt;height:12.0pt;mso-wrap-distance-left:9.0pt;mso-wrap-distance-top:0.0pt;mso-wrap-distance-right:9.0pt;mso-wrap-distance-bottom:0.0pt;v-text-anchor:top;visibility:visible;" filled="f" stroked="f" strokeweight="0.50pt">
              <v:textbox inset="0,0,0,0">
                <w:txbxContent>
                  <w:p>
                    <w:pPr>
                      <w:pStyle w:val="819"/>
                    </w:pPr>
                    <w:r>
                      <w:fldChar w:fldCharType="begin"/>
                    </w:r>
                    <w:r>
                      <w:instrText xml:space="preserve"> PAGE  \* MERGEFORMAT </w:instrText>
                    </w:r>
                    <w:r>
                      <w:fldChar w:fldCharType="separate"/>
                    </w:r>
                    <w:r>
                      <w:t xml:space="preserve">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19"/>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9"/>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19"/>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9"/>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19"/>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9"/>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1093"/>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113"/>
      <w:isLgl/>
      <w:suff w:val="tab"/>
      <w:lvlText w:val="%1.%2"/>
      <w:lvlJc w:val="left"/>
      <w:pPr>
        <w:ind w:left="425" w:hanging="425"/>
      </w:pPr>
      <w:rPr>
        <w:rFonts w:hint="eastAsia" w:ascii="Arial Unicode MS" w:hAnsi="Arial Unicode MS" w:eastAsia="微软雅黑"/>
        <w:b/>
        <w:i w:val="0"/>
      </w:rPr>
    </w:lvl>
    <w:lvl w:ilvl="2">
      <w:start w:val="1"/>
      <w:numFmt w:val="decimal"/>
      <w:pStyle w:val="1127"/>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6">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8"/>
      <w:numFmt w:val="decimal"/>
      <w:isLgl w:val="false"/>
      <w:suff w:val="tab"/>
      <w:lvlText w:val="（%1）"/>
      <w:lvlJc w:val="left"/>
      <w:pPr>
        <w:ind w:left="1140" w:hanging="72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0">
    <w:multiLevelType w:val="hybridMultilevel"/>
    <w:lvl w:ilvl="0">
      <w:start w:val="1"/>
      <w:numFmt w:val="chineseCountingThousand"/>
      <w:pStyle w:val="789"/>
      <w:isLgl w:val="false"/>
      <w:suff w:val="nothing"/>
      <w:lvlText w:val="第%1章"/>
      <w:lvlJc w:val="left"/>
      <w:pPr>
        <w:ind w:left="0" w:firstLine="0"/>
      </w:pPr>
    </w:lvl>
    <w:lvl w:ilvl="1">
      <w:start w:val="1"/>
      <w:numFmt w:val="none"/>
      <w:pStyle w:val="790"/>
      <w:isLgl w:val="false"/>
      <w:suff w:val="nothing"/>
      <w:lvlText w:val=""/>
      <w:lvlJc w:val="left"/>
      <w:pPr>
        <w:ind w:left="0" w:firstLine="0"/>
      </w:pPr>
    </w:lvl>
    <w:lvl w:ilvl="2">
      <w:start w:val="1"/>
      <w:numFmt w:val="none"/>
      <w:pStyle w:val="791"/>
      <w:isLgl w:val="false"/>
      <w:suff w:val="nothing"/>
      <w:lvlText w:val=""/>
      <w:lvlJc w:val="left"/>
      <w:pPr>
        <w:ind w:left="0" w:firstLine="0"/>
      </w:pPr>
    </w:lvl>
    <w:lvl w:ilvl="3">
      <w:start w:val="1"/>
      <w:numFmt w:val="none"/>
      <w:pStyle w:val="792"/>
      <w:isLgl w:val="false"/>
      <w:suff w:val="nothing"/>
      <w:lvlText w:val=""/>
      <w:lvlJc w:val="left"/>
      <w:pPr>
        <w:ind w:left="0" w:firstLine="0"/>
      </w:pPr>
    </w:lvl>
    <w:lvl w:ilvl="4">
      <w:start w:val="1"/>
      <w:numFmt w:val="none"/>
      <w:pStyle w:val="793"/>
      <w:isLgl w:val="false"/>
      <w:suff w:val="nothing"/>
      <w:lvlText w:val=""/>
      <w:lvlJc w:val="left"/>
      <w:pPr>
        <w:ind w:left="0" w:firstLine="0"/>
      </w:pPr>
    </w:lvl>
    <w:lvl w:ilvl="5">
      <w:start w:val="1"/>
      <w:numFmt w:val="none"/>
      <w:pStyle w:val="794"/>
      <w:isLgl w:val="false"/>
      <w:suff w:val="nothing"/>
      <w:lvlText w:val=""/>
      <w:lvlJc w:val="left"/>
      <w:pPr>
        <w:ind w:left="0" w:firstLine="0"/>
      </w:pPr>
    </w:lvl>
    <w:lvl w:ilvl="6">
      <w:start w:val="1"/>
      <w:numFmt w:val="none"/>
      <w:pStyle w:val="795"/>
      <w:isLgl w:val="false"/>
      <w:suff w:val="nothing"/>
      <w:lvlText w:val=""/>
      <w:lvlJc w:val="left"/>
      <w:pPr>
        <w:ind w:left="0" w:firstLine="0"/>
      </w:pPr>
    </w:lvl>
    <w:lvl w:ilvl="7">
      <w:start w:val="1"/>
      <w:numFmt w:val="none"/>
      <w:pStyle w:val="796"/>
      <w:isLgl w:val="false"/>
      <w:suff w:val="nothing"/>
      <w:lvlText w:val=""/>
      <w:lvlJc w:val="left"/>
      <w:pPr>
        <w:ind w:left="0" w:firstLine="0"/>
      </w:pPr>
    </w:lvl>
    <w:lvl w:ilvl="8">
      <w:start w:val="1"/>
      <w:numFmt w:val="none"/>
      <w:pStyle w:val="797"/>
      <w:isLgl w:val="false"/>
      <w:suff w:val="nothing"/>
      <w:lvlText w:val=""/>
      <w:lvlJc w:val="left"/>
      <w:pPr>
        <w:ind w:left="0" w:firstLine="0"/>
      </w:pPr>
    </w:lvl>
  </w:abstractNum>
  <w:abstractNum w:abstractNumId="1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0"/>
  </w:num>
  <w:num w:numId="2">
    <w:abstractNumId w:val="5"/>
  </w:num>
  <w:num w:numId="3">
    <w:abstractNumId w:val="6"/>
  </w:num>
  <w:num w:numId="4">
    <w:abstractNumId w:val="0"/>
  </w:num>
  <w:num w:numId="5">
    <w:abstractNumId w:val="7"/>
  </w:num>
  <w:num w:numId="6">
    <w:abstractNumId w:val="8"/>
  </w:num>
  <w:num w:numId="7">
    <w:abstractNumId w:val="9"/>
  </w:num>
  <w:num w:numId="8">
    <w:abstractNumId w:val="11"/>
  </w:num>
  <w:num w:numId="9">
    <w:abstractNumId w:val="1"/>
  </w:num>
  <w:num w:numId="10">
    <w:abstractNumId w:val="2"/>
  </w:num>
  <w:num w:numId="11">
    <w:abstractNumId w:val="3"/>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859"/>
    <w:uiPriority w:val="29"/>
    <w:rPr>
      <w:i/>
    </w:rPr>
  </w:style>
  <w:style w:type="character" w:styleId="40">
    <w:name w:val="Intense Quote Char"/>
    <w:link w:val="861"/>
    <w:uiPriority w:val="30"/>
    <w:rPr>
      <w:i/>
    </w:rPr>
  </w:style>
  <w:style w:type="table" w:styleId="49">
    <w:name w:val="Plain Table 1"/>
    <w:basedOn w:val="7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26"/>
    <w:uiPriority w:val="99"/>
    <w:rPr>
      <w:sz w:val="18"/>
    </w:rPr>
  </w:style>
  <w:style w:type="character" w:styleId="178">
    <w:name w:val="Endnote Text Char"/>
    <w:link w:val="817"/>
    <w:uiPriority w:val="99"/>
    <w:rPr>
      <w:sz w:val="20"/>
    </w:rPr>
  </w:style>
  <w:style w:type="paragraph" w:styleId="189">
    <w:name w:val="TOC Heading"/>
    <w:uiPriority w:val="39"/>
    <w:unhideWhenUsed/>
  </w:style>
  <w:style w:type="paragraph" w:styleId="788" w:default="1">
    <w:name w:val="Normal"/>
    <w:next w:val="800"/>
    <w:uiPriority w:val="0"/>
    <w:qFormat/>
    <w:pPr>
      <w:jc w:val="both"/>
      <w:widowControl w:val="off"/>
    </w:pPr>
    <w:rPr>
      <w:rFonts w:ascii="Times New Roman" w:hAnsi="Times New Roman" w:eastAsia="宋体" w:cs="Times New Roman"/>
      <w:sz w:val="21"/>
      <w:szCs w:val="24"/>
      <w:lang w:val="en-US" w:eastAsia="zh-CN" w:bidi="ar-SA"/>
    </w:rPr>
  </w:style>
  <w:style w:type="paragraph" w:styleId="789">
    <w:name w:val="Heading 1"/>
    <w:basedOn w:val="788"/>
    <w:next w:val="788"/>
    <w:link w:val="1003"/>
    <w:uiPriority w:val="0"/>
    <w:qFormat/>
    <w:pPr>
      <w:numPr>
        <w:ilvl w:val="0"/>
        <w:numId w:val="1"/>
      </w:numPr>
      <w:jc w:val="center"/>
      <w:keepLines/>
      <w:keepNext/>
      <w:spacing w:before="340" w:after="330" w:line="578" w:lineRule="auto"/>
      <w:outlineLvl w:val="0"/>
    </w:pPr>
    <w:rPr>
      <w:b/>
      <w:bCs/>
      <w:sz w:val="32"/>
      <w:szCs w:val="44"/>
    </w:rPr>
  </w:style>
  <w:style w:type="paragraph" w:styleId="790">
    <w:name w:val="Heading 2"/>
    <w:basedOn w:val="788"/>
    <w:next w:val="788"/>
    <w:link w:val="1009"/>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791">
    <w:name w:val="Heading 3"/>
    <w:basedOn w:val="788"/>
    <w:next w:val="788"/>
    <w:link w:val="1048"/>
    <w:uiPriority w:val="0"/>
    <w:qFormat/>
    <w:pPr>
      <w:numPr>
        <w:ilvl w:val="2"/>
        <w:numId w:val="1"/>
      </w:numPr>
      <w:keepLines/>
      <w:keepNext/>
      <w:spacing w:before="260" w:after="260" w:line="416" w:lineRule="auto"/>
      <w:outlineLvl w:val="2"/>
    </w:pPr>
    <w:rPr>
      <w:b/>
      <w:bCs/>
      <w:sz w:val="32"/>
      <w:szCs w:val="32"/>
    </w:rPr>
  </w:style>
  <w:style w:type="paragraph" w:styleId="792">
    <w:name w:val="Heading 4"/>
    <w:basedOn w:val="788"/>
    <w:next w:val="788"/>
    <w:link w:val="1085"/>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793">
    <w:name w:val="Heading 5"/>
    <w:basedOn w:val="788"/>
    <w:next w:val="788"/>
    <w:link w:val="1038"/>
    <w:uiPriority w:val="0"/>
    <w:qFormat/>
    <w:pPr>
      <w:numPr>
        <w:ilvl w:val="4"/>
        <w:numId w:val="1"/>
      </w:numPr>
      <w:keepLines/>
      <w:keepNext/>
      <w:spacing w:before="280" w:after="290" w:line="376" w:lineRule="auto"/>
      <w:outlineLvl w:val="4"/>
    </w:pPr>
    <w:rPr>
      <w:b/>
      <w:bCs/>
      <w:sz w:val="28"/>
      <w:szCs w:val="28"/>
    </w:rPr>
  </w:style>
  <w:style w:type="paragraph" w:styleId="794">
    <w:name w:val="Heading 6"/>
    <w:basedOn w:val="788"/>
    <w:next w:val="788"/>
    <w:link w:val="1024"/>
    <w:uiPriority w:val="0"/>
    <w:qFormat/>
    <w:pPr>
      <w:numPr>
        <w:ilvl w:val="5"/>
        <w:numId w:val="1"/>
      </w:numPr>
      <w:keepLines/>
      <w:keepNext/>
      <w:spacing w:before="240" w:after="64" w:line="320" w:lineRule="auto"/>
      <w:outlineLvl w:val="5"/>
    </w:pPr>
    <w:rPr>
      <w:rFonts w:ascii="Cambria" w:hAnsi="Cambria"/>
      <w:b/>
      <w:bCs/>
      <w:sz w:val="24"/>
    </w:rPr>
  </w:style>
  <w:style w:type="paragraph" w:styleId="795">
    <w:name w:val="Heading 7"/>
    <w:basedOn w:val="788"/>
    <w:next w:val="788"/>
    <w:link w:val="1079"/>
    <w:uiPriority w:val="0"/>
    <w:qFormat/>
    <w:pPr>
      <w:numPr>
        <w:ilvl w:val="6"/>
        <w:numId w:val="1"/>
      </w:numPr>
      <w:keepLines/>
      <w:keepNext/>
      <w:spacing w:before="240" w:after="64" w:line="320" w:lineRule="auto"/>
      <w:outlineLvl w:val="6"/>
    </w:pPr>
    <w:rPr>
      <w:b/>
      <w:bCs/>
      <w:sz w:val="24"/>
    </w:rPr>
  </w:style>
  <w:style w:type="paragraph" w:styleId="796">
    <w:name w:val="Heading 8"/>
    <w:basedOn w:val="788"/>
    <w:next w:val="788"/>
    <w:link w:val="1064"/>
    <w:uiPriority w:val="0"/>
    <w:qFormat/>
    <w:pPr>
      <w:numPr>
        <w:ilvl w:val="7"/>
        <w:numId w:val="1"/>
      </w:numPr>
      <w:keepLines/>
      <w:keepNext/>
      <w:spacing w:before="240" w:after="64" w:line="320" w:lineRule="auto"/>
      <w:outlineLvl w:val="7"/>
    </w:pPr>
    <w:rPr>
      <w:rFonts w:ascii="Cambria" w:hAnsi="Cambria"/>
      <w:sz w:val="24"/>
    </w:rPr>
  </w:style>
  <w:style w:type="paragraph" w:styleId="797">
    <w:name w:val="Heading 9"/>
    <w:basedOn w:val="788"/>
    <w:next w:val="788"/>
    <w:link w:val="1042"/>
    <w:uiPriority w:val="0"/>
    <w:qFormat/>
    <w:pPr>
      <w:numPr>
        <w:ilvl w:val="8"/>
        <w:numId w:val="1"/>
      </w:numPr>
      <w:keepLines/>
      <w:keepNext/>
      <w:spacing w:before="240" w:after="64" w:line="320" w:lineRule="auto"/>
      <w:outlineLvl w:val="8"/>
    </w:pPr>
    <w:rPr>
      <w:rFonts w:ascii="Cambria" w:hAnsi="Cambria"/>
      <w:szCs w:val="21"/>
    </w:rPr>
  </w:style>
  <w:style w:type="character" w:styleId="798" w:default="1">
    <w:name w:val="Default Paragraph Font"/>
    <w:uiPriority w:val="1"/>
    <w:semiHidden/>
    <w:unhideWhenUsed/>
    <w:qFormat/>
  </w:style>
  <w:style w:type="table" w:styleId="799" w:default="1">
    <w:name w:val="Normal Table"/>
    <w:uiPriority w:val="99"/>
    <w:semiHidden/>
    <w:unhideWhenUsed/>
    <w:qFormat/>
    <w:tblPr>
      <w:tblCellMar>
        <w:left w:w="108" w:type="dxa"/>
        <w:top w:w="0" w:type="dxa"/>
        <w:right w:w="108" w:type="dxa"/>
        <w:bottom w:w="0" w:type="dxa"/>
      </w:tblCellMar>
    </w:tblPr>
  </w:style>
  <w:style w:type="paragraph" w:styleId="800">
    <w:name w:val="List Paragraph"/>
    <w:basedOn w:val="788"/>
    <w:next w:val="801"/>
    <w:uiPriority w:val="34"/>
    <w:qFormat/>
    <w:pPr>
      <w:ind w:firstLine="420"/>
    </w:pPr>
  </w:style>
  <w:style w:type="paragraph" w:styleId="801">
    <w:name w:val="annotation text"/>
    <w:basedOn w:val="788"/>
    <w:link w:val="1056"/>
    <w:uiPriority w:val="99"/>
    <w:qFormat/>
    <w:pPr>
      <w:jc w:val="left"/>
    </w:pPr>
  </w:style>
  <w:style w:type="paragraph" w:styleId="802">
    <w:name w:val="List 3"/>
    <w:basedOn w:val="788"/>
    <w:uiPriority w:val="99"/>
    <w:unhideWhenUsed/>
    <w:qFormat/>
    <w:pPr>
      <w:ind w:left="1260" w:hanging="420"/>
      <w:spacing w:before="100" w:beforeAutospacing="1" w:after="100" w:afterAutospacing="1"/>
    </w:pPr>
    <w:rPr>
      <w:szCs w:val="21"/>
    </w:rPr>
  </w:style>
  <w:style w:type="paragraph" w:styleId="803">
    <w:name w:val="toc 7"/>
    <w:basedOn w:val="788"/>
    <w:next w:val="788"/>
    <w:uiPriority w:val="39"/>
    <w:unhideWhenUsed/>
    <w:qFormat/>
    <w:pPr>
      <w:ind w:left="2520"/>
    </w:pPr>
    <w:rPr>
      <w:rFonts w:ascii="Calibri" w:hAnsi="Calibri"/>
      <w:szCs w:val="22"/>
    </w:rPr>
  </w:style>
  <w:style w:type="paragraph" w:styleId="804">
    <w:name w:val="Normal Indent"/>
    <w:basedOn w:val="788"/>
    <w:uiPriority w:val="0"/>
    <w:qFormat/>
    <w:pPr>
      <w:ind w:firstLine="420"/>
    </w:pPr>
    <w:rPr>
      <w:b/>
      <w:sz w:val="24"/>
      <w:szCs w:val="20"/>
    </w:rPr>
  </w:style>
  <w:style w:type="paragraph" w:styleId="805">
    <w:name w:val="Caption"/>
    <w:basedOn w:val="788"/>
    <w:next w:val="788"/>
    <w:uiPriority w:val="0"/>
    <w:qFormat/>
    <w:rPr>
      <w:rFonts w:ascii="Cambria" w:hAnsi="Cambria" w:eastAsia="黑体"/>
      <w:sz w:val="20"/>
      <w:szCs w:val="22"/>
    </w:rPr>
  </w:style>
  <w:style w:type="paragraph" w:styleId="806">
    <w:name w:val="Document Map"/>
    <w:basedOn w:val="788"/>
    <w:link w:val="1032"/>
    <w:uiPriority w:val="0"/>
    <w:qFormat/>
    <w:rPr>
      <w:rFonts w:ascii="宋体"/>
      <w:sz w:val="18"/>
      <w:szCs w:val="18"/>
    </w:rPr>
  </w:style>
  <w:style w:type="paragraph" w:styleId="807">
    <w:name w:val="Body Text 3"/>
    <w:basedOn w:val="788"/>
    <w:link w:val="1075"/>
    <w:uiPriority w:val="0"/>
    <w:qFormat/>
    <w:rPr>
      <w:rFonts w:ascii="宋体"/>
      <w:sz w:val="24"/>
      <w:szCs w:val="20"/>
    </w:rPr>
  </w:style>
  <w:style w:type="paragraph" w:styleId="808">
    <w:name w:val="Body Text"/>
    <w:basedOn w:val="788"/>
    <w:link w:val="1063"/>
    <w:uiPriority w:val="0"/>
    <w:qFormat/>
    <w:pPr>
      <w:jc w:val="center"/>
    </w:pPr>
    <w:rPr>
      <w:rFonts w:eastAsia="幼圆"/>
      <w:b/>
      <w:bCs/>
      <w:sz w:val="44"/>
    </w:rPr>
  </w:style>
  <w:style w:type="paragraph" w:styleId="809">
    <w:name w:val="Body Text Indent"/>
    <w:basedOn w:val="788"/>
    <w:link w:val="1019"/>
    <w:uiPriority w:val="0"/>
    <w:qFormat/>
    <w:pPr>
      <w:ind w:left="420"/>
      <w:spacing w:after="120"/>
    </w:pPr>
  </w:style>
  <w:style w:type="paragraph" w:styleId="810">
    <w:name w:val="index 4"/>
    <w:basedOn w:val="788"/>
    <w:next w:val="788"/>
    <w:uiPriority w:val="0"/>
    <w:qFormat/>
    <w:pPr>
      <w:ind w:left="600"/>
    </w:pPr>
    <w:rPr>
      <w:rFonts w:ascii="Calibri" w:hAnsi="Calibri"/>
    </w:rPr>
  </w:style>
  <w:style w:type="paragraph" w:styleId="811">
    <w:name w:val="toc 5"/>
    <w:basedOn w:val="788"/>
    <w:next w:val="788"/>
    <w:uiPriority w:val="39"/>
    <w:unhideWhenUsed/>
    <w:qFormat/>
    <w:pPr>
      <w:ind w:left="1680"/>
    </w:pPr>
    <w:rPr>
      <w:rFonts w:ascii="Calibri" w:hAnsi="Calibri"/>
      <w:szCs w:val="22"/>
    </w:rPr>
  </w:style>
  <w:style w:type="paragraph" w:styleId="812">
    <w:name w:val="toc 3"/>
    <w:basedOn w:val="788"/>
    <w:next w:val="788"/>
    <w:uiPriority w:val="39"/>
    <w:qFormat/>
    <w:pPr>
      <w:ind w:left="840"/>
    </w:pPr>
    <w:rPr>
      <w:rFonts w:ascii="Calibri" w:hAnsi="Calibri"/>
      <w:szCs w:val="22"/>
    </w:rPr>
  </w:style>
  <w:style w:type="paragraph" w:styleId="813">
    <w:name w:val="Plain Text"/>
    <w:basedOn w:val="788"/>
    <w:link w:val="1025"/>
    <w:uiPriority w:val="0"/>
    <w:qFormat/>
    <w:rPr>
      <w:rFonts w:ascii="Ari"/>
    </w:rPr>
  </w:style>
  <w:style w:type="paragraph" w:styleId="814">
    <w:name w:val="toc 8"/>
    <w:basedOn w:val="788"/>
    <w:next w:val="788"/>
    <w:uiPriority w:val="39"/>
    <w:unhideWhenUsed/>
    <w:qFormat/>
    <w:pPr>
      <w:ind w:left="2940"/>
    </w:pPr>
    <w:rPr>
      <w:rFonts w:ascii="Calibri" w:hAnsi="Calibri"/>
      <w:szCs w:val="22"/>
    </w:rPr>
  </w:style>
  <w:style w:type="paragraph" w:styleId="815">
    <w:name w:val="Date"/>
    <w:basedOn w:val="788"/>
    <w:next w:val="788"/>
    <w:link w:val="1033"/>
    <w:uiPriority w:val="0"/>
    <w:unhideWhenUsed/>
    <w:qFormat/>
  </w:style>
  <w:style w:type="paragraph" w:styleId="816">
    <w:name w:val="Body Text Indent 2"/>
    <w:basedOn w:val="788"/>
    <w:link w:val="1055"/>
    <w:uiPriority w:val="99"/>
    <w:unhideWhenUsed/>
    <w:qFormat/>
    <w:pPr>
      <w:ind w:firstLine="525"/>
      <w:spacing w:line="420" w:lineRule="exact"/>
    </w:pPr>
    <w:rPr>
      <w:rFonts w:ascii="宋体"/>
      <w:sz w:val="20"/>
      <w:szCs w:val="20"/>
    </w:rPr>
  </w:style>
  <w:style w:type="paragraph" w:styleId="817">
    <w:name w:val="endnote text"/>
    <w:basedOn w:val="788"/>
    <w:link w:val="992"/>
    <w:uiPriority w:val="99"/>
    <w:semiHidden/>
    <w:unhideWhenUsed/>
    <w:qFormat/>
    <w:rPr>
      <w:sz w:val="20"/>
    </w:rPr>
  </w:style>
  <w:style w:type="paragraph" w:styleId="818">
    <w:name w:val="Balloon Text"/>
    <w:basedOn w:val="788"/>
    <w:link w:val="1078"/>
    <w:uiPriority w:val="0"/>
    <w:qFormat/>
    <w:rPr>
      <w:sz w:val="18"/>
      <w:szCs w:val="18"/>
    </w:rPr>
  </w:style>
  <w:style w:type="paragraph" w:styleId="819">
    <w:name w:val="Footer"/>
    <w:basedOn w:val="788"/>
    <w:link w:val="1068"/>
    <w:uiPriority w:val="99"/>
    <w:qFormat/>
    <w:pPr>
      <w:jc w:val="left"/>
      <w:tabs>
        <w:tab w:val="center" w:pos="4153" w:leader="none"/>
        <w:tab w:val="right" w:pos="8306" w:leader="none"/>
      </w:tabs>
    </w:pPr>
    <w:rPr>
      <w:sz w:val="18"/>
      <w:szCs w:val="18"/>
    </w:rPr>
  </w:style>
  <w:style w:type="paragraph" w:styleId="820">
    <w:name w:val="Header"/>
    <w:basedOn w:val="788"/>
    <w:link w:val="1023"/>
    <w:uiPriority w:val="0"/>
    <w:qFormat/>
    <w:pPr>
      <w:jc w:val="center"/>
      <w:tabs>
        <w:tab w:val="center" w:pos="4153" w:leader="none"/>
        <w:tab w:val="right" w:pos="8306" w:leader="none"/>
      </w:tabs>
      <w:pBdr>
        <w:bottom w:val="single" w:color="auto" w:sz="6" w:space="1"/>
      </w:pBdr>
    </w:pPr>
    <w:rPr>
      <w:sz w:val="18"/>
      <w:szCs w:val="18"/>
    </w:rPr>
  </w:style>
  <w:style w:type="paragraph" w:styleId="821">
    <w:name w:val="toc 1"/>
    <w:basedOn w:val="788"/>
    <w:next w:val="788"/>
    <w:uiPriority w:val="39"/>
    <w:qFormat/>
  </w:style>
  <w:style w:type="paragraph" w:styleId="822">
    <w:name w:val="toc 4"/>
    <w:basedOn w:val="788"/>
    <w:next w:val="788"/>
    <w:uiPriority w:val="39"/>
    <w:unhideWhenUsed/>
    <w:qFormat/>
    <w:pPr>
      <w:ind w:left="1260"/>
    </w:pPr>
    <w:rPr>
      <w:rFonts w:ascii="Calibri" w:hAnsi="Calibri"/>
      <w:szCs w:val="22"/>
    </w:rPr>
  </w:style>
  <w:style w:type="paragraph" w:styleId="823">
    <w:name w:val="index heading"/>
    <w:basedOn w:val="788"/>
    <w:next w:val="824"/>
    <w:uiPriority w:val="99"/>
    <w:unhideWhenUsed/>
    <w:qFormat/>
    <w:pPr>
      <w:tabs>
        <w:tab w:val="left" w:pos="240" w:leader="none"/>
      </w:tabs>
    </w:pPr>
  </w:style>
  <w:style w:type="paragraph" w:styleId="824">
    <w:name w:val="index 1"/>
    <w:basedOn w:val="788"/>
    <w:next w:val="788"/>
    <w:uiPriority w:val="0"/>
    <w:qFormat/>
    <w:pPr>
      <w:jc w:val="center"/>
      <w:spacing w:line="220" w:lineRule="exact"/>
    </w:pPr>
    <w:rPr>
      <w:rFonts w:ascii="仿宋_GB2312" w:hAnsi="Calibri" w:eastAsia="仿宋_GB2312"/>
      <w:szCs w:val="22"/>
    </w:rPr>
  </w:style>
  <w:style w:type="paragraph" w:styleId="825">
    <w:name w:val="Subtitle"/>
    <w:basedOn w:val="788"/>
    <w:next w:val="788"/>
    <w:link w:val="1051"/>
    <w:uiPriority w:val="0"/>
    <w:qFormat/>
    <w:pPr>
      <w:jc w:val="center"/>
      <w:spacing w:before="240" w:after="60" w:line="312" w:lineRule="auto"/>
      <w:outlineLvl w:val="1"/>
    </w:pPr>
    <w:rPr>
      <w:rFonts w:ascii="Cambria" w:hAnsi="Cambria"/>
      <w:b/>
      <w:bCs/>
      <w:sz w:val="32"/>
      <w:szCs w:val="32"/>
    </w:rPr>
  </w:style>
  <w:style w:type="paragraph" w:styleId="826">
    <w:name w:val="footnote text"/>
    <w:basedOn w:val="788"/>
    <w:link w:val="991"/>
    <w:uiPriority w:val="99"/>
    <w:semiHidden/>
    <w:unhideWhenUsed/>
    <w:qFormat/>
    <w:pPr>
      <w:spacing w:after="40"/>
    </w:pPr>
    <w:rPr>
      <w:sz w:val="18"/>
    </w:rPr>
  </w:style>
  <w:style w:type="paragraph" w:styleId="827">
    <w:name w:val="toc 6"/>
    <w:basedOn w:val="788"/>
    <w:next w:val="788"/>
    <w:uiPriority w:val="39"/>
    <w:unhideWhenUsed/>
    <w:qFormat/>
    <w:pPr>
      <w:ind w:left="2100"/>
    </w:pPr>
    <w:rPr>
      <w:rFonts w:ascii="Calibri" w:hAnsi="Calibri"/>
      <w:szCs w:val="22"/>
    </w:rPr>
  </w:style>
  <w:style w:type="paragraph" w:styleId="828">
    <w:name w:val="Body Text Indent 3"/>
    <w:basedOn w:val="788"/>
    <w:link w:val="1076"/>
    <w:uiPriority w:val="0"/>
    <w:qFormat/>
    <w:pPr>
      <w:ind w:left="420"/>
      <w:spacing w:after="120"/>
    </w:pPr>
    <w:rPr>
      <w:sz w:val="16"/>
      <w:szCs w:val="20"/>
    </w:rPr>
  </w:style>
  <w:style w:type="paragraph" w:styleId="829">
    <w:name w:val="table of figures"/>
    <w:basedOn w:val="788"/>
    <w:next w:val="788"/>
    <w:uiPriority w:val="99"/>
    <w:unhideWhenUsed/>
    <w:qFormat/>
  </w:style>
  <w:style w:type="paragraph" w:styleId="830">
    <w:name w:val="toc 2"/>
    <w:basedOn w:val="788"/>
    <w:next w:val="788"/>
    <w:uiPriority w:val="39"/>
    <w:qFormat/>
    <w:pPr>
      <w:ind w:left="420"/>
    </w:pPr>
    <w:rPr>
      <w:rFonts w:ascii="Calibri" w:hAnsi="Calibri"/>
      <w:szCs w:val="22"/>
    </w:rPr>
  </w:style>
  <w:style w:type="paragraph" w:styleId="831">
    <w:name w:val="toc 9"/>
    <w:basedOn w:val="788"/>
    <w:next w:val="788"/>
    <w:uiPriority w:val="39"/>
    <w:unhideWhenUsed/>
    <w:qFormat/>
    <w:pPr>
      <w:ind w:left="3360"/>
    </w:pPr>
    <w:rPr>
      <w:rFonts w:ascii="Calibri" w:hAnsi="Calibri"/>
      <w:szCs w:val="22"/>
    </w:rPr>
  </w:style>
  <w:style w:type="paragraph" w:styleId="832">
    <w:name w:val="HTML Preformatted"/>
    <w:basedOn w:val="788"/>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33">
    <w:name w:val="Normal (Web)"/>
    <w:basedOn w:val="788"/>
    <w:uiPriority w:val="99"/>
    <w:qFormat/>
    <w:pPr>
      <w:jc w:val="left"/>
      <w:spacing w:before="100" w:beforeAutospacing="1" w:after="100" w:afterAutospacing="1"/>
      <w:widowControl/>
    </w:pPr>
    <w:rPr>
      <w:rFonts w:ascii="宋体" w:hAnsi="宋体" w:cs="宋体"/>
      <w:sz w:val="24"/>
    </w:rPr>
  </w:style>
  <w:style w:type="paragraph" w:styleId="834">
    <w:name w:val="Title"/>
    <w:basedOn w:val="788"/>
    <w:next w:val="788"/>
    <w:link w:val="1028"/>
    <w:uiPriority w:val="0"/>
    <w:qFormat/>
    <w:pPr>
      <w:jc w:val="center"/>
      <w:spacing w:before="240" w:after="60" w:line="420" w:lineRule="atLeast"/>
      <w:outlineLvl w:val="0"/>
    </w:pPr>
    <w:rPr>
      <w:rFonts w:ascii="Arial" w:hAnsi="Arial"/>
      <w:b/>
      <w:sz w:val="32"/>
      <w:szCs w:val="20"/>
    </w:rPr>
  </w:style>
  <w:style w:type="paragraph" w:styleId="835">
    <w:name w:val="annotation subject"/>
    <w:basedOn w:val="801"/>
    <w:next w:val="801"/>
    <w:link w:val="1066"/>
    <w:uiPriority w:val="0"/>
    <w:qFormat/>
    <w:rPr>
      <w:b/>
      <w:bCs/>
    </w:rPr>
  </w:style>
  <w:style w:type="paragraph" w:styleId="836">
    <w:name w:val="Body Text First Indent"/>
    <w:basedOn w:val="808"/>
    <w:link w:val="1194"/>
    <w:uiPriority w:val="99"/>
    <w:semiHidden/>
    <w:unhideWhenUsed/>
    <w:qFormat/>
    <w:pPr>
      <w:ind w:firstLine="420"/>
      <w:jc w:val="both"/>
      <w:spacing w:after="120"/>
    </w:pPr>
    <w:rPr>
      <w:rFonts w:eastAsia="宋体"/>
      <w:b w:val="0"/>
      <w:bCs w:val="0"/>
      <w:sz w:val="21"/>
    </w:rPr>
  </w:style>
  <w:style w:type="paragraph" w:styleId="837">
    <w:name w:val="Body Text First Indent 2"/>
    <w:basedOn w:val="809"/>
    <w:uiPriority w:val="99"/>
    <w:qFormat/>
    <w:pPr>
      <w:ind w:firstLine="420"/>
    </w:pPr>
  </w:style>
  <w:style w:type="table" w:styleId="838">
    <w:name w:val="Table Grid"/>
    <w:basedOn w:val="799"/>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9">
    <w:name w:val="Strong"/>
    <w:uiPriority w:val="0"/>
    <w:qFormat/>
    <w:rPr>
      <w:rFonts w:cs="Times New Roman"/>
      <w:b/>
    </w:rPr>
  </w:style>
  <w:style w:type="character" w:styleId="840">
    <w:name w:val="endnote reference"/>
    <w:basedOn w:val="798"/>
    <w:uiPriority w:val="99"/>
    <w:semiHidden/>
    <w:unhideWhenUsed/>
    <w:qFormat/>
    <w:rPr>
      <w:vertAlign w:val="superscript"/>
    </w:rPr>
  </w:style>
  <w:style w:type="character" w:styleId="841">
    <w:name w:val="page number"/>
    <w:basedOn w:val="798"/>
    <w:uiPriority w:val="0"/>
    <w:qFormat/>
    <w:rPr>
      <w:rFonts w:eastAsia="宋体"/>
      <w:b/>
      <w:spacing w:val="0"/>
      <w:sz w:val="24"/>
      <w:szCs w:val="24"/>
      <w:vertAlign w:val="baseline"/>
      <w:lang w:val="en-US" w:eastAsia="zh-CN" w:bidi="ar-SA"/>
    </w:rPr>
  </w:style>
  <w:style w:type="character" w:styleId="842">
    <w:name w:val="FollowedHyperlink"/>
    <w:uiPriority w:val="0"/>
    <w:qFormat/>
    <w:rPr>
      <w:color w:val="800080"/>
      <w:u w:val="single"/>
    </w:rPr>
  </w:style>
  <w:style w:type="character" w:styleId="843">
    <w:name w:val="Emphasis"/>
    <w:basedOn w:val="798"/>
    <w:uiPriority w:val="0"/>
    <w:qFormat/>
    <w:rPr>
      <w:color w:val="cc0000"/>
    </w:rPr>
  </w:style>
  <w:style w:type="character" w:styleId="844">
    <w:name w:val="Hyperlink"/>
    <w:basedOn w:val="798"/>
    <w:uiPriority w:val="99"/>
    <w:qFormat/>
    <w:rPr>
      <w:color w:val="0000ff"/>
      <w:u w:val="single"/>
    </w:rPr>
  </w:style>
  <w:style w:type="character" w:styleId="845">
    <w:name w:val="annotation reference"/>
    <w:uiPriority w:val="99"/>
    <w:qFormat/>
    <w:rPr>
      <w:sz w:val="21"/>
      <w:szCs w:val="21"/>
    </w:rPr>
  </w:style>
  <w:style w:type="character" w:styleId="846">
    <w:name w:val="HTML Cite"/>
    <w:uiPriority w:val="0"/>
    <w:qFormat/>
    <w:rPr>
      <w:color w:val="008000"/>
    </w:rPr>
  </w:style>
  <w:style w:type="character" w:styleId="847">
    <w:name w:val="footnote reference"/>
    <w:basedOn w:val="798"/>
    <w:uiPriority w:val="99"/>
    <w:unhideWhenUsed/>
    <w:qFormat/>
    <w:rPr>
      <w:vertAlign w:val="superscript"/>
    </w:rPr>
  </w:style>
  <w:style w:type="character" w:styleId="848" w:customStyle="1">
    <w:name w:val="Heading 1 Char"/>
    <w:basedOn w:val="798"/>
    <w:uiPriority w:val="9"/>
    <w:qFormat/>
    <w:rPr>
      <w:rFonts w:ascii="Arial" w:hAnsi="Arial" w:eastAsia="Arial" w:cs="Arial"/>
      <w:sz w:val="40"/>
      <w:szCs w:val="40"/>
    </w:rPr>
  </w:style>
  <w:style w:type="character" w:styleId="849" w:customStyle="1">
    <w:name w:val="Heading 2 Char"/>
    <w:basedOn w:val="798"/>
    <w:uiPriority w:val="9"/>
    <w:qFormat/>
    <w:rPr>
      <w:rFonts w:ascii="Arial" w:hAnsi="Arial" w:eastAsia="Arial" w:cs="Arial"/>
      <w:sz w:val="34"/>
    </w:rPr>
  </w:style>
  <w:style w:type="character" w:styleId="850" w:customStyle="1">
    <w:name w:val="Heading 3 Char"/>
    <w:basedOn w:val="798"/>
    <w:uiPriority w:val="9"/>
    <w:qFormat/>
    <w:rPr>
      <w:rFonts w:ascii="Arial" w:hAnsi="Arial" w:eastAsia="Arial" w:cs="Arial"/>
      <w:sz w:val="30"/>
      <w:szCs w:val="30"/>
    </w:rPr>
  </w:style>
  <w:style w:type="character" w:styleId="851" w:customStyle="1">
    <w:name w:val="Heading 4 Char"/>
    <w:basedOn w:val="798"/>
    <w:uiPriority w:val="9"/>
    <w:qFormat/>
    <w:rPr>
      <w:rFonts w:ascii="Arial" w:hAnsi="Arial" w:eastAsia="Arial" w:cs="Arial"/>
      <w:b/>
      <w:bCs/>
      <w:sz w:val="26"/>
      <w:szCs w:val="26"/>
    </w:rPr>
  </w:style>
  <w:style w:type="character" w:styleId="852" w:customStyle="1">
    <w:name w:val="Heading 5 Char"/>
    <w:basedOn w:val="798"/>
    <w:uiPriority w:val="9"/>
    <w:qFormat/>
    <w:rPr>
      <w:rFonts w:ascii="Arial" w:hAnsi="Arial" w:eastAsia="Arial" w:cs="Arial"/>
      <w:b/>
      <w:bCs/>
      <w:sz w:val="24"/>
      <w:szCs w:val="24"/>
    </w:rPr>
  </w:style>
  <w:style w:type="character" w:styleId="853" w:customStyle="1">
    <w:name w:val="Heading 6 Char"/>
    <w:basedOn w:val="798"/>
    <w:uiPriority w:val="9"/>
    <w:qFormat/>
    <w:rPr>
      <w:rFonts w:ascii="Arial" w:hAnsi="Arial" w:eastAsia="Arial" w:cs="Arial"/>
      <w:b/>
      <w:bCs/>
      <w:sz w:val="22"/>
      <w:szCs w:val="22"/>
    </w:rPr>
  </w:style>
  <w:style w:type="character" w:styleId="854" w:customStyle="1">
    <w:name w:val="Heading 7 Char"/>
    <w:basedOn w:val="798"/>
    <w:uiPriority w:val="9"/>
    <w:qFormat/>
    <w:rPr>
      <w:rFonts w:ascii="Arial" w:hAnsi="Arial" w:eastAsia="Arial" w:cs="Arial"/>
      <w:b/>
      <w:bCs/>
      <w:i/>
      <w:iCs/>
      <w:sz w:val="22"/>
      <w:szCs w:val="22"/>
    </w:rPr>
  </w:style>
  <w:style w:type="character" w:styleId="855" w:customStyle="1">
    <w:name w:val="Heading 8 Char"/>
    <w:basedOn w:val="798"/>
    <w:uiPriority w:val="9"/>
    <w:qFormat/>
    <w:rPr>
      <w:rFonts w:ascii="Arial" w:hAnsi="Arial" w:eastAsia="Arial" w:cs="Arial"/>
      <w:i/>
      <w:iCs/>
      <w:sz w:val="22"/>
      <w:szCs w:val="22"/>
    </w:rPr>
  </w:style>
  <w:style w:type="character" w:styleId="856" w:customStyle="1">
    <w:name w:val="Heading 9 Char"/>
    <w:basedOn w:val="798"/>
    <w:uiPriority w:val="9"/>
    <w:qFormat/>
    <w:rPr>
      <w:rFonts w:ascii="Arial" w:hAnsi="Arial" w:eastAsia="Arial" w:cs="Arial"/>
      <w:i/>
      <w:iCs/>
      <w:sz w:val="21"/>
      <w:szCs w:val="21"/>
    </w:rPr>
  </w:style>
  <w:style w:type="character" w:styleId="857" w:customStyle="1">
    <w:name w:val="Title Char"/>
    <w:basedOn w:val="798"/>
    <w:uiPriority w:val="10"/>
    <w:qFormat/>
    <w:rPr>
      <w:sz w:val="48"/>
      <w:szCs w:val="48"/>
    </w:rPr>
  </w:style>
  <w:style w:type="character" w:styleId="858" w:customStyle="1">
    <w:name w:val="Subtitle Char"/>
    <w:basedOn w:val="798"/>
    <w:uiPriority w:val="11"/>
    <w:qFormat/>
    <w:rPr>
      <w:sz w:val="24"/>
      <w:szCs w:val="24"/>
    </w:rPr>
  </w:style>
  <w:style w:type="paragraph" w:styleId="859">
    <w:name w:val="Quote"/>
    <w:basedOn w:val="788"/>
    <w:next w:val="788"/>
    <w:link w:val="860"/>
    <w:uiPriority w:val="29"/>
    <w:qFormat/>
    <w:pPr>
      <w:ind w:left="720" w:right="720"/>
    </w:pPr>
    <w:rPr>
      <w:i/>
    </w:rPr>
  </w:style>
  <w:style w:type="character" w:styleId="860" w:customStyle="1">
    <w:name w:val="引用 字符"/>
    <w:link w:val="859"/>
    <w:uiPriority w:val="29"/>
    <w:qFormat/>
    <w:rPr>
      <w:i/>
    </w:rPr>
  </w:style>
  <w:style w:type="paragraph" w:styleId="861">
    <w:name w:val="Intense Quote"/>
    <w:basedOn w:val="788"/>
    <w:next w:val="788"/>
    <w:link w:val="8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2" w:customStyle="1">
    <w:name w:val="明显引用 字符"/>
    <w:link w:val="861"/>
    <w:uiPriority w:val="30"/>
    <w:qFormat/>
    <w:rPr>
      <w:i/>
    </w:rPr>
  </w:style>
  <w:style w:type="character" w:styleId="863" w:customStyle="1">
    <w:name w:val="Header Char"/>
    <w:basedOn w:val="798"/>
    <w:uiPriority w:val="99"/>
    <w:qFormat/>
  </w:style>
  <w:style w:type="character" w:styleId="864" w:customStyle="1">
    <w:name w:val="Footer Char"/>
    <w:basedOn w:val="798"/>
    <w:uiPriority w:val="99"/>
    <w:qFormat/>
  </w:style>
  <w:style w:type="character" w:styleId="865" w:customStyle="1">
    <w:name w:val="Caption Char"/>
    <w:uiPriority w:val="99"/>
    <w:qFormat/>
  </w:style>
  <w:style w:type="table" w:styleId="866" w:customStyle="1">
    <w:name w:val="Table Grid Light"/>
    <w:basedOn w:val="79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67" w:customStyle="1">
    <w:name w:val="无格式表格 11"/>
    <w:basedOn w:val="79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customStyle="1">
    <w:name w:val="无格式表格 21"/>
    <w:basedOn w:val="79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无格式表格 31"/>
    <w:basedOn w:val="79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customStyle="1">
    <w:name w:val="无格式表格 41"/>
    <w:basedOn w:val="79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customStyle="1">
    <w:name w:val="无格式表格 51"/>
    <w:basedOn w:val="79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2" w:customStyle="1">
    <w:name w:val="网格表 1 浅色1"/>
    <w:basedOn w:val="79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1"/>
    <w:basedOn w:val="79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2"/>
    <w:basedOn w:val="79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3"/>
    <w:basedOn w:val="79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4"/>
    <w:basedOn w:val="79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5"/>
    <w:basedOn w:val="79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6"/>
    <w:basedOn w:val="79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9" w:customStyle="1">
    <w:name w:val="网格表 21"/>
    <w:basedOn w:val="7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0" w:customStyle="1">
    <w:name w:val="Grid Table 2 - Accent 1"/>
    <w:basedOn w:val="79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1" w:customStyle="1">
    <w:name w:val="Grid Table 2 - Accent 2"/>
    <w:basedOn w:val="79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2" w:customStyle="1">
    <w:name w:val="Grid Table 2 - Accent 3"/>
    <w:basedOn w:val="79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3" w:customStyle="1">
    <w:name w:val="Grid Table 2 - Accent 4"/>
    <w:basedOn w:val="79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4" w:customStyle="1">
    <w:name w:val="Grid Table 2 - Accent 5"/>
    <w:basedOn w:val="79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5" w:customStyle="1">
    <w:name w:val="Grid Table 2 - Accent 6"/>
    <w:basedOn w:val="79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6" w:customStyle="1">
    <w:name w:val="网格表 31"/>
    <w:basedOn w:val="7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1"/>
    <w:basedOn w:val="79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2"/>
    <w:basedOn w:val="79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3"/>
    <w:basedOn w:val="79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4"/>
    <w:basedOn w:val="79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5"/>
    <w:basedOn w:val="79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6"/>
    <w:basedOn w:val="79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网格表 41"/>
    <w:basedOn w:val="79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4" w:customStyle="1">
    <w:name w:val="Grid Table 4 - Accent 1"/>
    <w:basedOn w:val="79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5" w:customStyle="1">
    <w:name w:val="Grid Table 4 - Accent 2"/>
    <w:basedOn w:val="79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6" w:customStyle="1">
    <w:name w:val="Grid Table 4 - Accent 3"/>
    <w:basedOn w:val="79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7" w:customStyle="1">
    <w:name w:val="Grid Table 4 - Accent 4"/>
    <w:basedOn w:val="79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8" w:customStyle="1">
    <w:name w:val="Grid Table 4 - Accent 5"/>
    <w:basedOn w:val="79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9" w:customStyle="1">
    <w:name w:val="Grid Table 4 - Accent 6"/>
    <w:basedOn w:val="79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0" w:customStyle="1">
    <w:name w:val="网格表 5 深色1"/>
    <w:basedOn w:val="7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1" w:customStyle="1">
    <w:name w:val="Grid Table 5 Dark- Accent 1"/>
    <w:basedOn w:val="7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2" w:customStyle="1">
    <w:name w:val="Grid Table 5 Dark - Accent 2"/>
    <w:basedOn w:val="7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3" w:customStyle="1">
    <w:name w:val="Grid Table 5 Dark - Accent 3"/>
    <w:basedOn w:val="7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4" w:customStyle="1">
    <w:name w:val="Grid Table 5 Dark- Accent 4"/>
    <w:basedOn w:val="7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5" w:customStyle="1">
    <w:name w:val="Grid Table 5 Dark - Accent 5"/>
    <w:basedOn w:val="7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6" w:customStyle="1">
    <w:name w:val="Grid Table 5 Dark - Accent 6"/>
    <w:basedOn w:val="7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7" w:customStyle="1">
    <w:name w:val="网格表 6 彩色1"/>
    <w:basedOn w:val="79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8" w:customStyle="1">
    <w:name w:val="Grid Table 6 Colorful - Accent 1"/>
    <w:basedOn w:val="79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9" w:customStyle="1">
    <w:name w:val="Grid Table 6 Colorful - Accent 2"/>
    <w:basedOn w:val="79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0" w:customStyle="1">
    <w:name w:val="Grid Table 6 Colorful - Accent 3"/>
    <w:basedOn w:val="79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1" w:customStyle="1">
    <w:name w:val="Grid Table 6 Colorful - Accent 4"/>
    <w:basedOn w:val="79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2" w:customStyle="1">
    <w:name w:val="Grid Table 6 Colorful - Accent 5"/>
    <w:basedOn w:val="79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3" w:customStyle="1">
    <w:name w:val="Grid Table 6 Colorful - Accent 6"/>
    <w:basedOn w:val="79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4" w:customStyle="1">
    <w:name w:val="网格表 7 彩色1"/>
    <w:basedOn w:val="79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5" w:customStyle="1">
    <w:name w:val="Grid Table 7 Colorful - Accent 1"/>
    <w:basedOn w:val="79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6" w:customStyle="1">
    <w:name w:val="Grid Table 7 Colorful - Accent 2"/>
    <w:basedOn w:val="79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7" w:customStyle="1">
    <w:name w:val="Grid Table 7 Colorful - Accent 3"/>
    <w:basedOn w:val="79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8" w:customStyle="1">
    <w:name w:val="Grid Table 7 Colorful - Accent 4"/>
    <w:basedOn w:val="79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9" w:customStyle="1">
    <w:name w:val="Grid Table 7 Colorful - Accent 5"/>
    <w:basedOn w:val="79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0" w:customStyle="1">
    <w:name w:val="Grid Table 7 Colorful - Accent 6"/>
    <w:basedOn w:val="79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1" w:customStyle="1">
    <w:name w:val="清单表 1 浅色1"/>
    <w:basedOn w:val="79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2" w:customStyle="1">
    <w:name w:val="List Table 1 Light - Accent 1"/>
    <w:basedOn w:val="799"/>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3" w:customStyle="1">
    <w:name w:val="List Table 1 Light - Accent 2"/>
    <w:basedOn w:val="799"/>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4" w:customStyle="1">
    <w:name w:val="List Table 1 Light - Accent 3"/>
    <w:basedOn w:val="799"/>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5" w:customStyle="1">
    <w:name w:val="List Table 1 Light - Accent 4"/>
    <w:basedOn w:val="799"/>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6" w:customStyle="1">
    <w:name w:val="List Table 1 Light - Accent 5"/>
    <w:basedOn w:val="799"/>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7" w:customStyle="1">
    <w:name w:val="List Table 1 Light - Accent 6"/>
    <w:basedOn w:val="799"/>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8" w:customStyle="1">
    <w:name w:val="清单表 21"/>
    <w:basedOn w:val="79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9" w:customStyle="1">
    <w:name w:val="List Table 2 - Accent 1"/>
    <w:basedOn w:val="79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0" w:customStyle="1">
    <w:name w:val="List Table 2 - Accent 2"/>
    <w:basedOn w:val="79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1" w:customStyle="1">
    <w:name w:val="List Table 2 - Accent 3"/>
    <w:basedOn w:val="79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2" w:customStyle="1">
    <w:name w:val="List Table 2 - Accent 4"/>
    <w:basedOn w:val="79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3" w:customStyle="1">
    <w:name w:val="List Table 2 - Accent 5"/>
    <w:basedOn w:val="79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4" w:customStyle="1">
    <w:name w:val="List Table 2 - Accent 6"/>
    <w:basedOn w:val="79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5" w:customStyle="1">
    <w:name w:val="清单表 31"/>
    <w:basedOn w:val="7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6" w:customStyle="1">
    <w:name w:val="List Table 3 - Accent 1"/>
    <w:basedOn w:val="79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7" w:customStyle="1">
    <w:name w:val="List Table 3 - Accent 2"/>
    <w:basedOn w:val="79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8" w:customStyle="1">
    <w:name w:val="List Table 3 - Accent 3"/>
    <w:basedOn w:val="79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9" w:customStyle="1">
    <w:name w:val="List Table 3 - Accent 4"/>
    <w:basedOn w:val="79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0" w:customStyle="1">
    <w:name w:val="List Table 3 - Accent 5"/>
    <w:basedOn w:val="79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1" w:customStyle="1">
    <w:name w:val="List Table 3 - Accent 6"/>
    <w:basedOn w:val="79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2" w:customStyle="1">
    <w:name w:val="清单表 41"/>
    <w:basedOn w:val="7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3" w:customStyle="1">
    <w:name w:val="List Table 4 - Accent 1"/>
    <w:basedOn w:val="79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4" w:customStyle="1">
    <w:name w:val="List Table 4 - Accent 2"/>
    <w:basedOn w:val="79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5" w:customStyle="1">
    <w:name w:val="List Table 4 - Accent 3"/>
    <w:basedOn w:val="79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6" w:customStyle="1">
    <w:name w:val="List Table 4 - Accent 4"/>
    <w:basedOn w:val="79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7" w:customStyle="1">
    <w:name w:val="List Table 4 - Accent 5"/>
    <w:basedOn w:val="79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8" w:customStyle="1">
    <w:name w:val="List Table 4 - Accent 6"/>
    <w:basedOn w:val="79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9" w:customStyle="1">
    <w:name w:val="清单表 5 深色1"/>
    <w:basedOn w:val="79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1"/>
    <w:basedOn w:val="79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2"/>
    <w:basedOn w:val="79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3"/>
    <w:basedOn w:val="79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4"/>
    <w:basedOn w:val="79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5"/>
    <w:basedOn w:val="79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6"/>
    <w:basedOn w:val="79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清单表 6 彩色1"/>
    <w:basedOn w:val="79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7" w:customStyle="1">
    <w:name w:val="List Table 6 Colorful - Accent 1"/>
    <w:basedOn w:val="799"/>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8" w:customStyle="1">
    <w:name w:val="List Table 6 Colorful - Accent 2"/>
    <w:basedOn w:val="799"/>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9" w:customStyle="1">
    <w:name w:val="List Table 6 Colorful - Accent 3"/>
    <w:basedOn w:val="799"/>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0" w:customStyle="1">
    <w:name w:val="List Table 6 Colorful - Accent 4"/>
    <w:basedOn w:val="799"/>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1" w:customStyle="1">
    <w:name w:val="List Table 6 Colorful - Accent 5"/>
    <w:basedOn w:val="799"/>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2" w:customStyle="1">
    <w:name w:val="List Table 6 Colorful - Accent 6"/>
    <w:basedOn w:val="799"/>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3" w:customStyle="1">
    <w:name w:val="清单表 7 彩色1"/>
    <w:basedOn w:val="79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4" w:customStyle="1">
    <w:name w:val="List Table 7 Colorful - Accent 1"/>
    <w:basedOn w:val="799"/>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5" w:customStyle="1">
    <w:name w:val="List Table 7 Colorful - Accent 2"/>
    <w:basedOn w:val="799"/>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6" w:customStyle="1">
    <w:name w:val="List Table 7 Colorful - Accent 3"/>
    <w:basedOn w:val="799"/>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7" w:customStyle="1">
    <w:name w:val="List Table 7 Colorful - Accent 4"/>
    <w:basedOn w:val="799"/>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8" w:customStyle="1">
    <w:name w:val="List Table 7 Colorful - Accent 5"/>
    <w:basedOn w:val="799"/>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9" w:customStyle="1">
    <w:name w:val="List Table 7 Colorful - Accent 6"/>
    <w:basedOn w:val="799"/>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0" w:customStyle="1">
    <w:name w:val="Lined - Accent"/>
    <w:basedOn w:val="7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1" w:customStyle="1">
    <w:name w:val="Lined - Accent 1"/>
    <w:basedOn w:val="7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2" w:customStyle="1">
    <w:name w:val="Lined - Accent 2"/>
    <w:basedOn w:val="7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3" w:customStyle="1">
    <w:name w:val="Lined - Accent 3"/>
    <w:basedOn w:val="7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4" w:customStyle="1">
    <w:name w:val="Lined - Accent 4"/>
    <w:basedOn w:val="7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5" w:customStyle="1">
    <w:name w:val="Lined - Accent 5"/>
    <w:basedOn w:val="7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6" w:customStyle="1">
    <w:name w:val="Lined - Accent 6"/>
    <w:basedOn w:val="7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7" w:customStyle="1">
    <w:name w:val="Bordered &amp; Lined - Accent"/>
    <w:basedOn w:val="79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8" w:customStyle="1">
    <w:name w:val="Bordered &amp; Lined - Accent 1"/>
    <w:basedOn w:val="79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9" w:customStyle="1">
    <w:name w:val="Bordered &amp; Lined - Accent 2"/>
    <w:basedOn w:val="79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0" w:customStyle="1">
    <w:name w:val="Bordered &amp; Lined - Accent 3"/>
    <w:basedOn w:val="79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1" w:customStyle="1">
    <w:name w:val="Bordered &amp; Lined - Accent 4"/>
    <w:basedOn w:val="79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2" w:customStyle="1">
    <w:name w:val="Bordered &amp; Lined - Accent 5"/>
    <w:basedOn w:val="79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3" w:customStyle="1">
    <w:name w:val="Bordered &amp; Lined - Accent 6"/>
    <w:basedOn w:val="79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4" w:customStyle="1">
    <w:name w:val="Bordered"/>
    <w:basedOn w:val="79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5" w:customStyle="1">
    <w:name w:val="Bordered - Accent 1"/>
    <w:basedOn w:val="79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6" w:customStyle="1">
    <w:name w:val="Bordered - Accent 2"/>
    <w:basedOn w:val="79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7" w:customStyle="1">
    <w:name w:val="Bordered - Accent 3"/>
    <w:basedOn w:val="79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8" w:customStyle="1">
    <w:name w:val="Bordered - Accent 4"/>
    <w:basedOn w:val="79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9" w:customStyle="1">
    <w:name w:val="Bordered - Accent 5"/>
    <w:basedOn w:val="79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0" w:customStyle="1">
    <w:name w:val="Bordered - Accent 6"/>
    <w:basedOn w:val="79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1" w:customStyle="1">
    <w:name w:val="脚注文本 字符"/>
    <w:link w:val="826"/>
    <w:uiPriority w:val="99"/>
    <w:qFormat/>
    <w:rPr>
      <w:sz w:val="18"/>
    </w:rPr>
  </w:style>
  <w:style w:type="character" w:styleId="992" w:customStyle="1">
    <w:name w:val="尾注文本 字符"/>
    <w:link w:val="817"/>
    <w:uiPriority w:val="99"/>
    <w:qFormat/>
    <w:rPr>
      <w:sz w:val="20"/>
    </w:rPr>
  </w:style>
  <w:style w:type="paragraph" w:styleId="993" w:customStyle="1">
    <w:name w:val="TOC 标题1"/>
    <w:uiPriority w:val="39"/>
    <w:unhideWhenUsed/>
    <w:qFormat/>
    <w:rPr>
      <w:rFonts w:ascii="Times New Roman" w:hAnsi="Times New Roman" w:eastAsia="宋体" w:cs="Times New Roman"/>
      <w:lang w:val="en-US" w:eastAsia="zh-CN" w:bidi="ar-SA"/>
    </w:rPr>
  </w:style>
  <w:style w:type="paragraph" w:styleId="994" w:customStyle="1">
    <w:name w:val="一级条标题"/>
    <w:basedOn w:val="995"/>
    <w:next w:val="99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5" w:customStyle="1">
    <w:name w:val="章标题"/>
    <w:basedOn w:val="788"/>
    <w:next w:val="788"/>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996" w:customStyle="1">
    <w:name w:val="段"/>
    <w:basedOn w:val="997"/>
    <w:next w:val="788"/>
    <w:uiPriority w:val="0"/>
    <w:qFormat/>
    <w:pPr>
      <w:ind w:firstLine="200"/>
    </w:pPr>
    <w:rPr>
      <w:rFonts w:hint="eastAsia" w:ascii="宋体"/>
      <w:szCs w:val="20"/>
    </w:rPr>
  </w:style>
  <w:style w:type="paragraph" w:styleId="997" w:customStyle="1">
    <w:name w:val="正文11"/>
    <w:next w:val="998"/>
    <w:uiPriority w:val="0"/>
    <w:qFormat/>
    <w:rPr>
      <w:rFonts w:ascii="Calibri" w:hAnsi="Calibri" w:eastAsia="宋体" w:cs="Calibri"/>
      <w:sz w:val="24"/>
      <w:szCs w:val="24"/>
      <w:lang w:val="en-US" w:eastAsia="zh-CN" w:bidi="ar-SA"/>
    </w:rPr>
  </w:style>
  <w:style w:type="paragraph" w:styleId="998" w:customStyle="1">
    <w:name w:val="标题 111"/>
    <w:basedOn w:val="997"/>
    <w:next w:val="997"/>
    <w:uiPriority w:val="0"/>
    <w:qFormat/>
    <w:pPr>
      <w:jc w:val="center"/>
      <w:keepLines/>
      <w:keepNext/>
      <w:spacing w:line="578" w:lineRule="auto"/>
      <w:outlineLvl w:val="0"/>
    </w:pPr>
    <w:rPr>
      <w:rFonts w:eastAsia="新宋体"/>
      <w:b/>
      <w:bCs/>
      <w:sz w:val="30"/>
      <w:szCs w:val="44"/>
    </w:rPr>
  </w:style>
  <w:style w:type="paragraph" w:styleId="999" w:customStyle="1">
    <w:name w:val="列表段落1"/>
    <w:basedOn w:val="788"/>
    <w:uiPriority w:val="99"/>
    <w:qFormat/>
    <w:pPr>
      <w:ind w:firstLine="420"/>
    </w:pPr>
  </w:style>
  <w:style w:type="paragraph" w:styleId="100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01" w:customStyle="1">
    <w:name w:val="正文首行缩进 21"/>
    <w:basedOn w:val="1002"/>
    <w:next w:val="788"/>
    <w:uiPriority w:val="0"/>
    <w:qFormat/>
    <w:pPr>
      <w:ind w:firstLine="420"/>
      <w:spacing w:before="100" w:beforeAutospacing="1"/>
    </w:pPr>
    <w:rPr>
      <w:rFonts w:ascii="宋体" w:hAnsi="宋体"/>
      <w:szCs w:val="21"/>
    </w:rPr>
  </w:style>
  <w:style w:type="paragraph" w:styleId="1002" w:customStyle="1">
    <w:name w:val="正文文本缩进1"/>
    <w:basedOn w:val="788"/>
    <w:uiPriority w:val="0"/>
    <w:qFormat/>
    <w:pPr>
      <w:ind w:firstLine="880"/>
      <w:spacing w:line="500" w:lineRule="exact"/>
    </w:pPr>
  </w:style>
  <w:style w:type="character" w:styleId="1003" w:customStyle="1">
    <w:name w:val="标题 1 字符"/>
    <w:link w:val="789"/>
    <w:uiPriority w:val="0"/>
    <w:qFormat/>
    <w:rPr>
      <w:rFonts w:ascii="Times New Roman" w:hAnsi="Times New Roman" w:eastAsia="宋体" w:cs="Times New Roman"/>
      <w:b/>
      <w:bCs/>
      <w:sz w:val="32"/>
      <w:szCs w:val="44"/>
    </w:rPr>
  </w:style>
  <w:style w:type="character" w:styleId="1004" w:customStyle="1">
    <w:name w:val="明显强调1"/>
    <w:uiPriority w:val="0"/>
    <w:qFormat/>
    <w:rPr>
      <w:b/>
      <w:bCs/>
      <w:i/>
      <w:iCs/>
      <w:color w:val="4f81bd"/>
    </w:rPr>
  </w:style>
  <w:style w:type="character" w:styleId="1005" w:customStyle="1">
    <w:name w:val="批注文字 Char2"/>
    <w:uiPriority w:val="0"/>
    <w:qFormat/>
    <w:rPr>
      <w:sz w:val="21"/>
    </w:rPr>
  </w:style>
  <w:style w:type="character" w:styleId="1006" w:customStyle="1">
    <w:name w:val="标题 3 Char_0"/>
    <w:link w:val="1007"/>
    <w:uiPriority w:val="0"/>
    <w:qFormat/>
    <w:rPr>
      <w:b/>
      <w:bCs/>
      <w:sz w:val="32"/>
      <w:szCs w:val="32"/>
    </w:rPr>
  </w:style>
  <w:style w:type="paragraph" w:styleId="1007" w:customStyle="1">
    <w:name w:val="标题 3_0"/>
    <w:basedOn w:val="1008"/>
    <w:next w:val="1008"/>
    <w:link w:val="1006"/>
    <w:uiPriority w:val="0"/>
    <w:qFormat/>
    <w:pPr>
      <w:keepLines/>
      <w:keepNext/>
      <w:spacing w:before="260" w:after="260" w:line="416" w:lineRule="auto"/>
      <w:outlineLvl w:val="2"/>
    </w:pPr>
    <w:rPr>
      <w:b/>
      <w:bCs/>
      <w:sz w:val="32"/>
      <w:szCs w:val="32"/>
    </w:rPr>
  </w:style>
  <w:style w:type="paragraph" w:styleId="1008"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1009" w:customStyle="1">
    <w:name w:val="标题 2 字符"/>
    <w:link w:val="790"/>
    <w:uiPriority w:val="0"/>
    <w:qFormat/>
    <w:rPr>
      <w:rFonts w:ascii="Cambria" w:hAnsi="Cambria"/>
      <w:b/>
      <w:bCs/>
      <w:sz w:val="32"/>
      <w:szCs w:val="32"/>
    </w:rPr>
  </w:style>
  <w:style w:type="character" w:styleId="1010" w:customStyle="1">
    <w:name w:val="正文文本 Char2"/>
    <w:uiPriority w:val="99"/>
    <w:semiHidden/>
    <w:qFormat/>
    <w:rPr>
      <w:rFonts w:ascii="Calibri" w:hAnsi="Calibri" w:eastAsia="宋体" w:cs="Times New Roman"/>
    </w:rPr>
  </w:style>
  <w:style w:type="character" w:styleId="1011" w:customStyle="1">
    <w:name w:val="页脚 Char1"/>
    <w:uiPriority w:val="99"/>
    <w:semiHidden/>
    <w:qFormat/>
    <w:rPr>
      <w:rFonts w:ascii="Calibri" w:hAnsi="Calibri" w:eastAsia="宋体" w:cs="Times New Roman"/>
      <w:sz w:val="18"/>
      <w:szCs w:val="18"/>
    </w:rPr>
  </w:style>
  <w:style w:type="character" w:styleId="1012" w:customStyle="1">
    <w:name w:val="明显引用 Char2"/>
    <w:uiPriority w:val="99"/>
    <w:qFormat/>
    <w:rPr>
      <w:b/>
      <w:bCs/>
      <w:i/>
      <w:iCs/>
      <w:color w:val="4f81bd"/>
      <w:sz w:val="21"/>
      <w:szCs w:val="24"/>
    </w:rPr>
  </w:style>
  <w:style w:type="character" w:styleId="1013" w:customStyle="1">
    <w:name w:val="引用 Char"/>
    <w:link w:val="1014"/>
    <w:uiPriority w:val="0"/>
    <w:qFormat/>
    <w:rPr>
      <w:i/>
      <w:iCs/>
      <w:color w:val="000000"/>
    </w:rPr>
  </w:style>
  <w:style w:type="paragraph" w:styleId="1014" w:customStyle="1">
    <w:name w:val="引用1"/>
    <w:basedOn w:val="788"/>
    <w:next w:val="788"/>
    <w:link w:val="1013"/>
    <w:uiPriority w:val="0"/>
    <w:qFormat/>
    <w:rPr>
      <w:i/>
      <w:iCs/>
      <w:color w:val="000000"/>
      <w:sz w:val="20"/>
      <w:szCs w:val="20"/>
    </w:rPr>
  </w:style>
  <w:style w:type="character" w:styleId="1015" w:customStyle="1">
    <w:name w:val="标题 1 Char_0"/>
    <w:link w:val="1016"/>
    <w:uiPriority w:val="0"/>
    <w:qFormat/>
    <w:rPr>
      <w:b/>
      <w:bCs/>
      <w:sz w:val="44"/>
      <w:szCs w:val="44"/>
    </w:rPr>
  </w:style>
  <w:style w:type="paragraph" w:styleId="1016" w:customStyle="1">
    <w:name w:val="标题 1_0"/>
    <w:basedOn w:val="1008"/>
    <w:next w:val="1008"/>
    <w:link w:val="1015"/>
    <w:uiPriority w:val="0"/>
    <w:qFormat/>
    <w:pPr>
      <w:keepLines/>
      <w:keepNext/>
      <w:spacing w:before="340" w:after="330" w:line="578" w:lineRule="auto"/>
      <w:outlineLvl w:val="0"/>
    </w:pPr>
    <w:rPr>
      <w:b/>
      <w:bCs/>
      <w:sz w:val="44"/>
      <w:szCs w:val="44"/>
    </w:rPr>
  </w:style>
  <w:style w:type="character" w:styleId="1017" w:customStyle="1">
    <w:name w:val="正文文本缩进 3 Char1"/>
    <w:uiPriority w:val="99"/>
    <w:semiHidden/>
    <w:qFormat/>
    <w:rPr>
      <w:sz w:val="16"/>
      <w:szCs w:val="16"/>
    </w:rPr>
  </w:style>
  <w:style w:type="character" w:styleId="1018" w:customStyle="1">
    <w:name w:val="引用 Char1"/>
    <w:uiPriority w:val="29"/>
    <w:qFormat/>
    <w:rPr>
      <w:i/>
      <w:iCs/>
      <w:color w:val="000000"/>
      <w:sz w:val="21"/>
    </w:rPr>
  </w:style>
  <w:style w:type="character" w:styleId="1019" w:customStyle="1">
    <w:name w:val="正文文本缩进 字符"/>
    <w:link w:val="809"/>
    <w:uiPriority w:val="0"/>
    <w:qFormat/>
    <w:rPr>
      <w:sz w:val="21"/>
      <w:szCs w:val="24"/>
    </w:rPr>
  </w:style>
  <w:style w:type="character" w:styleId="1020" w:customStyle="1">
    <w:name w:val="font161"/>
    <w:uiPriority w:val="0"/>
    <w:qFormat/>
    <w:rPr>
      <w:b/>
      <w:sz w:val="32"/>
    </w:rPr>
  </w:style>
  <w:style w:type="character" w:styleId="1021" w:customStyle="1">
    <w:name w:val="标题 4 Char_0"/>
    <w:link w:val="1022"/>
    <w:uiPriority w:val="0"/>
    <w:qFormat/>
    <w:rPr>
      <w:rFonts w:ascii="Arial" w:hAnsi="Arial" w:eastAsia="黑体"/>
      <w:b/>
      <w:bCs/>
      <w:sz w:val="28"/>
      <w:szCs w:val="28"/>
    </w:rPr>
  </w:style>
  <w:style w:type="paragraph" w:styleId="1022" w:customStyle="1">
    <w:name w:val="标题 4_0"/>
    <w:basedOn w:val="1008"/>
    <w:next w:val="1008"/>
    <w:link w:val="1021"/>
    <w:uiPriority w:val="0"/>
    <w:qFormat/>
    <w:pPr>
      <w:keepLines/>
      <w:keepNext/>
      <w:spacing w:before="280" w:after="290" w:line="376" w:lineRule="auto"/>
      <w:outlineLvl w:val="3"/>
    </w:pPr>
    <w:rPr>
      <w:rFonts w:ascii="Arial" w:hAnsi="Arial" w:eastAsia="黑体"/>
      <w:b/>
      <w:bCs/>
      <w:sz w:val="28"/>
      <w:szCs w:val="28"/>
    </w:rPr>
  </w:style>
  <w:style w:type="character" w:styleId="1023" w:customStyle="1">
    <w:name w:val="页眉 字符"/>
    <w:link w:val="820"/>
    <w:uiPriority w:val="0"/>
    <w:qFormat/>
    <w:rPr>
      <w:sz w:val="18"/>
      <w:szCs w:val="18"/>
    </w:rPr>
  </w:style>
  <w:style w:type="character" w:styleId="1024" w:customStyle="1">
    <w:name w:val="标题 6 字符"/>
    <w:link w:val="794"/>
    <w:uiPriority w:val="0"/>
    <w:qFormat/>
    <w:rPr>
      <w:rFonts w:ascii="Cambria" w:hAnsi="Cambria" w:eastAsia="宋体" w:cs="Times New Roman"/>
      <w:b/>
      <w:bCs/>
      <w:sz w:val="24"/>
      <w:szCs w:val="24"/>
    </w:rPr>
  </w:style>
  <w:style w:type="character" w:styleId="1025" w:customStyle="1">
    <w:name w:val="纯文本 字符"/>
    <w:link w:val="813"/>
    <w:uiPriority w:val="0"/>
    <w:qFormat/>
    <w:rPr>
      <w:rFonts w:ascii="Ari"/>
      <w:lang w:val="en-US" w:eastAsia="zh-CN" w:bidi="ar-SA"/>
    </w:rPr>
  </w:style>
  <w:style w:type="character" w:styleId="1026" w:customStyle="1">
    <w:name w:val="引用 Char2"/>
    <w:uiPriority w:val="99"/>
    <w:qFormat/>
    <w:rPr>
      <w:i/>
      <w:iCs/>
      <w:color w:val="000000"/>
      <w:sz w:val="21"/>
      <w:szCs w:val="24"/>
    </w:rPr>
  </w:style>
  <w:style w:type="character" w:styleId="1027" w:customStyle="1">
    <w:name w:val="rvts11"/>
    <w:uiPriority w:val="0"/>
    <w:qFormat/>
    <w:rPr>
      <w:rFonts w:hint="default" w:ascii="KNLe" w:hAnsi="KNLe"/>
      <w:sz w:val="24"/>
      <w:szCs w:val="24"/>
      <w:u w:val="single"/>
    </w:rPr>
  </w:style>
  <w:style w:type="character" w:styleId="1028" w:customStyle="1">
    <w:name w:val="标题 字符"/>
    <w:link w:val="834"/>
    <w:uiPriority w:val="0"/>
    <w:qFormat/>
    <w:rPr>
      <w:rFonts w:ascii="Arial" w:hAnsi="Arial"/>
      <w:b/>
      <w:sz w:val="32"/>
    </w:rPr>
  </w:style>
  <w:style w:type="character" w:styleId="1029" w:customStyle="1">
    <w:name w:val="标题5 Char Char"/>
    <w:link w:val="1030"/>
    <w:uiPriority w:val="0"/>
    <w:qFormat/>
    <w:rPr>
      <w:rFonts w:ascii="Arial" w:hAnsi="Arial"/>
      <w:b/>
      <w:bCs/>
      <w:sz w:val="24"/>
      <w:szCs w:val="32"/>
    </w:rPr>
  </w:style>
  <w:style w:type="paragraph" w:styleId="1030" w:customStyle="1">
    <w:name w:val="标题5"/>
    <w:basedOn w:val="791"/>
    <w:link w:val="1029"/>
    <w:uiPriority w:val="0"/>
    <w:qFormat/>
    <w:pPr>
      <w:numPr>
        <w:ilvl w:val="0"/>
        <w:numId w:val="0"/>
      </w:numPr>
      <w:spacing w:line="413" w:lineRule="auto"/>
    </w:pPr>
    <w:rPr>
      <w:rFonts w:ascii="Arial" w:hAnsi="Arial"/>
      <w:sz w:val="24"/>
    </w:rPr>
  </w:style>
  <w:style w:type="character" w:styleId="1031" w:customStyle="1">
    <w:name w:val="副标题 Char2"/>
    <w:uiPriority w:val="11"/>
    <w:qFormat/>
    <w:rPr>
      <w:rFonts w:ascii="Cambria" w:hAnsi="Cambria" w:cs="Times New Roman"/>
      <w:b/>
      <w:bCs/>
      <w:sz w:val="32"/>
      <w:szCs w:val="32"/>
    </w:rPr>
  </w:style>
  <w:style w:type="character" w:styleId="1032" w:customStyle="1">
    <w:name w:val="文档结构图 字符"/>
    <w:link w:val="806"/>
    <w:uiPriority w:val="0"/>
    <w:qFormat/>
    <w:rPr>
      <w:rFonts w:ascii="宋体"/>
      <w:sz w:val="18"/>
      <w:szCs w:val="18"/>
    </w:rPr>
  </w:style>
  <w:style w:type="character" w:styleId="1033" w:customStyle="1">
    <w:name w:val="日期 字符"/>
    <w:link w:val="815"/>
    <w:uiPriority w:val="0"/>
    <w:qFormat/>
    <w:rPr>
      <w:sz w:val="21"/>
      <w:szCs w:val="24"/>
    </w:rPr>
  </w:style>
  <w:style w:type="character" w:styleId="1034" w:customStyle="1">
    <w:name w:val="批注主题 Char1"/>
    <w:uiPriority w:val="0"/>
    <w:qFormat/>
    <w:rPr>
      <w:b/>
      <w:bCs/>
      <w:sz w:val="21"/>
      <w:szCs w:val="22"/>
    </w:rPr>
  </w:style>
  <w:style w:type="character" w:styleId="1035" w:customStyle="1">
    <w:name w:val="font31"/>
    <w:uiPriority w:val="0"/>
    <w:qFormat/>
    <w:rPr>
      <w:rFonts w:hint="eastAsia" w:ascii="宋体" w:hAnsi="宋体" w:eastAsia="宋体" w:cs="宋体"/>
      <w:color w:val="000000"/>
      <w:sz w:val="20"/>
      <w:szCs w:val="20"/>
      <w:u w:val="none"/>
    </w:rPr>
  </w:style>
  <w:style w:type="character" w:styleId="1036" w:customStyle="1">
    <w:name w:val="明显引用 Char"/>
    <w:link w:val="1037"/>
    <w:uiPriority w:val="0"/>
    <w:qFormat/>
    <w:rPr>
      <w:b/>
      <w:bCs/>
      <w:i/>
      <w:iCs/>
      <w:color w:val="4f81bd"/>
    </w:rPr>
  </w:style>
  <w:style w:type="paragraph" w:styleId="1037" w:customStyle="1">
    <w:name w:val="明显引用1"/>
    <w:basedOn w:val="788"/>
    <w:next w:val="788"/>
    <w:link w:val="1036"/>
    <w:uiPriority w:val="0"/>
    <w:qFormat/>
    <w:pPr>
      <w:ind w:left="936" w:right="936"/>
      <w:spacing w:before="200" w:after="280"/>
      <w:pBdr>
        <w:bottom w:val="single" w:color="4F81BD" w:sz="4" w:space="4"/>
      </w:pBdr>
    </w:pPr>
    <w:rPr>
      <w:b/>
      <w:bCs/>
      <w:i/>
      <w:iCs/>
      <w:color w:val="4f81bd"/>
      <w:sz w:val="20"/>
      <w:szCs w:val="20"/>
    </w:rPr>
  </w:style>
  <w:style w:type="character" w:styleId="1038" w:customStyle="1">
    <w:name w:val="标题 5 字符"/>
    <w:link w:val="793"/>
    <w:uiPriority w:val="0"/>
    <w:qFormat/>
    <w:rPr>
      <w:b/>
      <w:bCs/>
      <w:sz w:val="28"/>
      <w:szCs w:val="28"/>
    </w:rPr>
  </w:style>
  <w:style w:type="character" w:styleId="1039" w:customStyle="1">
    <w:name w:val="日期 Char1"/>
    <w:uiPriority w:val="0"/>
    <w:qFormat/>
    <w:rPr>
      <w:rFonts w:ascii="Calibri" w:hAnsi="Calibri" w:eastAsia="宋体" w:cs="Times New Roman"/>
    </w:rPr>
  </w:style>
  <w:style w:type="character" w:styleId="1040" w:customStyle="1">
    <w:name w:val="批注框文本 Char1"/>
    <w:uiPriority w:val="0"/>
    <w:qFormat/>
    <w:rPr>
      <w:sz w:val="18"/>
      <w:szCs w:val="18"/>
    </w:rPr>
  </w:style>
  <w:style w:type="character" w:styleId="1041" w:customStyle="1">
    <w:name w:val="标题 Char1"/>
    <w:uiPriority w:val="10"/>
    <w:qFormat/>
    <w:rPr>
      <w:rFonts w:ascii="Cambria" w:hAnsi="Cambria" w:eastAsia="宋体" w:cs="Times New Roman"/>
      <w:b/>
      <w:bCs/>
      <w:sz w:val="32"/>
      <w:szCs w:val="32"/>
    </w:rPr>
  </w:style>
  <w:style w:type="character" w:styleId="1042" w:customStyle="1">
    <w:name w:val="标题 9 字符"/>
    <w:link w:val="797"/>
    <w:uiPriority w:val="0"/>
    <w:qFormat/>
    <w:rPr>
      <w:rFonts w:ascii="Cambria" w:hAnsi="Cambria" w:eastAsia="宋体" w:cs="Times New Roman"/>
      <w:sz w:val="21"/>
      <w:szCs w:val="21"/>
    </w:rPr>
  </w:style>
  <w:style w:type="character" w:styleId="1043" w:customStyle="1">
    <w:name w:val="不明显参考1"/>
    <w:uiPriority w:val="0"/>
    <w:qFormat/>
    <w:rPr>
      <w:smallCaps/>
      <w:color w:val="c0504d"/>
      <w:u w:val="single"/>
    </w:rPr>
  </w:style>
  <w:style w:type="character" w:styleId="1044" w:customStyle="1">
    <w:name w:val="批注文字 Char1"/>
    <w:uiPriority w:val="0"/>
    <w:qFormat/>
    <w:rPr>
      <w:rFonts w:ascii="Calibri" w:hAnsi="Calibri" w:eastAsia="宋体" w:cs="Times New Roman"/>
    </w:rPr>
  </w:style>
  <w:style w:type="character" w:styleId="1045" w:customStyle="1">
    <w:name w:val="标题 Char2"/>
    <w:uiPriority w:val="10"/>
    <w:qFormat/>
    <w:rPr>
      <w:rFonts w:ascii="Cambria" w:hAnsi="Cambria" w:cs="Times New Roman"/>
      <w:b/>
      <w:bCs/>
      <w:sz w:val="32"/>
      <w:szCs w:val="32"/>
    </w:rPr>
  </w:style>
  <w:style w:type="character" w:styleId="1046" w:customStyle="1">
    <w:name w:val="正文文本 3 Char1"/>
    <w:uiPriority w:val="99"/>
    <w:semiHidden/>
    <w:qFormat/>
    <w:rPr>
      <w:sz w:val="16"/>
      <w:szCs w:val="16"/>
    </w:rPr>
  </w:style>
  <w:style w:type="character" w:styleId="1047" w:customStyle="1">
    <w:name w:val="批注主题 Char2"/>
    <w:uiPriority w:val="0"/>
    <w:qFormat/>
    <w:rPr>
      <w:b/>
      <w:bCs/>
      <w:sz w:val="21"/>
    </w:rPr>
  </w:style>
  <w:style w:type="character" w:styleId="1048" w:customStyle="1">
    <w:name w:val="标题 3 字符"/>
    <w:link w:val="791"/>
    <w:uiPriority w:val="0"/>
    <w:qFormat/>
    <w:rPr>
      <w:b/>
      <w:bCs/>
      <w:sz w:val="32"/>
      <w:szCs w:val="32"/>
    </w:rPr>
  </w:style>
  <w:style w:type="character" w:styleId="1049" w:customStyle="1">
    <w:name w:val="正文文本 Char_0"/>
    <w:link w:val="1050"/>
    <w:uiPriority w:val="0"/>
    <w:qFormat/>
    <w:rPr>
      <w:szCs w:val="24"/>
    </w:rPr>
  </w:style>
  <w:style w:type="paragraph" w:styleId="1050" w:customStyle="1">
    <w:name w:val="正文文本_0"/>
    <w:basedOn w:val="1008"/>
    <w:link w:val="1049"/>
    <w:uiPriority w:val="0"/>
    <w:qFormat/>
    <w:pPr>
      <w:spacing w:after="120"/>
    </w:pPr>
    <w:rPr>
      <w:sz w:val="20"/>
    </w:rPr>
  </w:style>
  <w:style w:type="character" w:styleId="1051" w:customStyle="1">
    <w:name w:val="副标题 字符"/>
    <w:link w:val="825"/>
    <w:uiPriority w:val="0"/>
    <w:qFormat/>
    <w:rPr>
      <w:rFonts w:ascii="Cambria" w:hAnsi="Cambria"/>
      <w:b/>
      <w:bCs/>
      <w:sz w:val="32"/>
      <w:szCs w:val="32"/>
    </w:rPr>
  </w:style>
  <w:style w:type="character" w:styleId="1052" w:customStyle="1">
    <w:name w:val="bookmark"/>
    <w:basedOn w:val="798"/>
    <w:uiPriority w:val="0"/>
    <w:qFormat/>
  </w:style>
  <w:style w:type="character" w:styleId="1053" w:customStyle="1">
    <w:name w:val="标题 5 Char_0"/>
    <w:link w:val="1054"/>
    <w:uiPriority w:val="0"/>
    <w:qFormat/>
    <w:rPr>
      <w:rFonts w:ascii="Calibri" w:hAnsi="Calibri"/>
      <w:b/>
      <w:bCs/>
      <w:sz w:val="28"/>
      <w:szCs w:val="28"/>
    </w:rPr>
  </w:style>
  <w:style w:type="paragraph" w:styleId="1054" w:customStyle="1">
    <w:name w:val="标题 5_0"/>
    <w:basedOn w:val="1008"/>
    <w:next w:val="1008"/>
    <w:link w:val="1053"/>
    <w:uiPriority w:val="0"/>
    <w:qFormat/>
    <w:pPr>
      <w:keepLines/>
      <w:keepNext/>
      <w:spacing w:before="280" w:after="290" w:line="372" w:lineRule="auto"/>
      <w:outlineLvl w:val="4"/>
    </w:pPr>
    <w:rPr>
      <w:rFonts w:ascii="Calibri" w:hAnsi="Calibri"/>
      <w:b/>
      <w:bCs/>
      <w:sz w:val="28"/>
      <w:szCs w:val="28"/>
    </w:rPr>
  </w:style>
  <w:style w:type="character" w:styleId="1055" w:customStyle="1">
    <w:name w:val="正文文本缩进 2 字符"/>
    <w:link w:val="816"/>
    <w:uiPriority w:val="99"/>
    <w:qFormat/>
    <w:rPr>
      <w:rFonts w:ascii="宋体"/>
    </w:rPr>
  </w:style>
  <w:style w:type="character" w:styleId="1056" w:customStyle="1">
    <w:name w:val="批注文字 字符"/>
    <w:link w:val="801"/>
    <w:uiPriority w:val="99"/>
    <w:qFormat/>
    <w:rPr>
      <w:sz w:val="21"/>
      <w:szCs w:val="24"/>
    </w:rPr>
  </w:style>
  <w:style w:type="character" w:styleId="1057" w:customStyle="1">
    <w:name w:val="font11"/>
    <w:uiPriority w:val="0"/>
    <w:qFormat/>
    <w:rPr>
      <w:rFonts w:hint="eastAsia" w:ascii="宋体" w:hAnsi="宋体" w:eastAsia="宋体" w:cs="宋体"/>
      <w:color w:val="000000"/>
      <w:sz w:val="20"/>
      <w:szCs w:val="20"/>
      <w:u w:val="none"/>
    </w:rPr>
  </w:style>
  <w:style w:type="character" w:styleId="1058" w:customStyle="1">
    <w:name w:val="明显参考1"/>
    <w:uiPriority w:val="0"/>
    <w:qFormat/>
    <w:rPr>
      <w:b/>
      <w:bCs/>
      <w:smallCaps/>
      <w:color w:val="c0504d"/>
      <w:spacing w:val="5"/>
      <w:u w:val="single"/>
    </w:rPr>
  </w:style>
  <w:style w:type="character" w:styleId="1059" w:customStyle="1">
    <w:name w:val="超链接_0"/>
    <w:uiPriority w:val="99"/>
    <w:qFormat/>
    <w:rPr>
      <w:rFonts w:ascii="Calibri" w:hAnsi="Calibri"/>
      <w:color w:val="0000ff"/>
      <w:u w:val="single"/>
    </w:rPr>
  </w:style>
  <w:style w:type="character" w:styleId="1060" w:customStyle="1">
    <w:name w:val="文档结构图 Char2"/>
    <w:uiPriority w:val="99"/>
    <w:semiHidden/>
    <w:qFormat/>
    <w:rPr>
      <w:rFonts w:ascii="宋体" w:hAnsi="Calibri" w:eastAsia="宋体" w:cs="Times New Roman"/>
      <w:sz w:val="18"/>
      <w:szCs w:val="18"/>
    </w:rPr>
  </w:style>
  <w:style w:type="character" w:styleId="1061" w:customStyle="1">
    <w:name w:val="textcontents"/>
    <w:uiPriority w:val="0"/>
    <w:qFormat/>
    <w:rPr>
      <w:rFonts w:cs="Times New Roman"/>
    </w:rPr>
  </w:style>
  <w:style w:type="character" w:styleId="1062" w:customStyle="1">
    <w:name w:val="标题 1 Char"/>
    <w:uiPriority w:val="0"/>
    <w:qFormat/>
    <w:rPr>
      <w:b/>
      <w:bCs/>
      <w:sz w:val="32"/>
      <w:szCs w:val="44"/>
    </w:rPr>
  </w:style>
  <w:style w:type="character" w:styleId="1063" w:customStyle="1">
    <w:name w:val="正文文本 字符"/>
    <w:link w:val="808"/>
    <w:uiPriority w:val="0"/>
    <w:qFormat/>
    <w:rPr>
      <w:rFonts w:eastAsia="幼圆"/>
      <w:b/>
      <w:bCs/>
      <w:sz w:val="44"/>
      <w:szCs w:val="24"/>
    </w:rPr>
  </w:style>
  <w:style w:type="character" w:styleId="1064" w:customStyle="1">
    <w:name w:val="标题 8 字符"/>
    <w:link w:val="796"/>
    <w:uiPriority w:val="0"/>
    <w:qFormat/>
    <w:rPr>
      <w:rFonts w:ascii="Cambria" w:hAnsi="Cambria" w:eastAsia="宋体" w:cs="Times New Roman"/>
      <w:sz w:val="24"/>
      <w:szCs w:val="24"/>
    </w:rPr>
  </w:style>
  <w:style w:type="character" w:styleId="1065" w:customStyle="1">
    <w:name w:val="副标题 Char1"/>
    <w:uiPriority w:val="11"/>
    <w:qFormat/>
    <w:rPr>
      <w:rFonts w:ascii="Cambria" w:hAnsi="Cambria" w:cs="Times New Roman"/>
      <w:b/>
      <w:bCs/>
      <w:sz w:val="32"/>
      <w:szCs w:val="32"/>
    </w:rPr>
  </w:style>
  <w:style w:type="character" w:styleId="1066" w:customStyle="1">
    <w:name w:val="批注主题 字符"/>
    <w:link w:val="835"/>
    <w:uiPriority w:val="0"/>
    <w:qFormat/>
    <w:rPr>
      <w:b/>
      <w:bCs/>
      <w:sz w:val="21"/>
      <w:szCs w:val="24"/>
    </w:rPr>
  </w:style>
  <w:style w:type="character" w:styleId="1067" w:customStyle="1">
    <w:name w:val="书籍标题1"/>
    <w:uiPriority w:val="0"/>
    <w:qFormat/>
    <w:rPr>
      <w:b/>
      <w:bCs/>
      <w:smallCaps/>
      <w:spacing w:val="5"/>
    </w:rPr>
  </w:style>
  <w:style w:type="character" w:styleId="1068" w:customStyle="1">
    <w:name w:val="页脚 字符"/>
    <w:link w:val="819"/>
    <w:uiPriority w:val="99"/>
    <w:qFormat/>
    <w:rPr>
      <w:sz w:val="18"/>
      <w:szCs w:val="18"/>
    </w:rPr>
  </w:style>
  <w:style w:type="character" w:styleId="1069" w:customStyle="1">
    <w:name w:val="标题4 Char Char"/>
    <w:link w:val="1070"/>
    <w:uiPriority w:val="0"/>
    <w:qFormat/>
    <w:rPr>
      <w:rFonts w:ascii="Arial" w:hAnsi="Arial"/>
      <w:b/>
      <w:bCs/>
      <w:sz w:val="24"/>
      <w:szCs w:val="32"/>
    </w:rPr>
  </w:style>
  <w:style w:type="paragraph" w:styleId="1070" w:customStyle="1">
    <w:name w:val="标题4"/>
    <w:basedOn w:val="790"/>
    <w:next w:val="810"/>
    <w:link w:val="1069"/>
    <w:uiPriority w:val="0"/>
    <w:qFormat/>
    <w:pPr>
      <w:numPr>
        <w:ilvl w:val="0"/>
        <w:numId w:val="0"/>
      </w:numPr>
      <w:spacing w:line="413" w:lineRule="auto"/>
    </w:pPr>
    <w:rPr>
      <w:rFonts w:ascii="Arial" w:hAnsi="Arial"/>
      <w:sz w:val="24"/>
    </w:rPr>
  </w:style>
  <w:style w:type="character" w:styleId="1071" w:customStyle="1">
    <w:name w:val="正文文本 Char1"/>
    <w:uiPriority w:val="0"/>
    <w:qFormat/>
    <w:rPr>
      <w:rFonts w:ascii="Calibri" w:hAnsi="Calibri" w:eastAsia="宋体" w:cs="Times New Roman"/>
    </w:rPr>
  </w:style>
  <w:style w:type="character" w:styleId="1072" w:customStyle="1">
    <w:name w:val="明显引用 Char1"/>
    <w:uiPriority w:val="30"/>
    <w:qFormat/>
    <w:rPr>
      <w:b/>
      <w:bCs/>
      <w:i/>
      <w:iCs/>
      <w:color w:val="4f81bd"/>
      <w:sz w:val="21"/>
    </w:rPr>
  </w:style>
  <w:style w:type="character" w:styleId="1073" w:customStyle="1">
    <w:name w:val="页眉 Char1"/>
    <w:uiPriority w:val="99"/>
    <w:semiHidden/>
    <w:qFormat/>
    <w:rPr>
      <w:rFonts w:ascii="Calibri" w:hAnsi="Calibri" w:eastAsia="宋体" w:cs="Times New Roman"/>
      <w:sz w:val="18"/>
      <w:szCs w:val="18"/>
    </w:rPr>
  </w:style>
  <w:style w:type="character" w:styleId="1074" w:customStyle="1">
    <w:name w:val="不明显强调1"/>
    <w:uiPriority w:val="0"/>
    <w:qFormat/>
    <w:rPr>
      <w:i/>
      <w:iCs/>
      <w:color w:val="808080"/>
    </w:rPr>
  </w:style>
  <w:style w:type="character" w:styleId="1075" w:customStyle="1">
    <w:name w:val="正文文本 3 字符"/>
    <w:link w:val="807"/>
    <w:uiPriority w:val="0"/>
    <w:qFormat/>
    <w:rPr>
      <w:rFonts w:ascii="宋体"/>
      <w:sz w:val="24"/>
    </w:rPr>
  </w:style>
  <w:style w:type="character" w:styleId="1076" w:customStyle="1">
    <w:name w:val="正文文本缩进 3 字符"/>
    <w:link w:val="828"/>
    <w:uiPriority w:val="0"/>
    <w:qFormat/>
    <w:rPr>
      <w:sz w:val="16"/>
    </w:rPr>
  </w:style>
  <w:style w:type="character" w:styleId="1077" w:customStyle="1">
    <w:name w:val="font21"/>
    <w:uiPriority w:val="0"/>
    <w:qFormat/>
    <w:rPr>
      <w:rFonts w:hint="eastAsia" w:ascii="宋体" w:hAnsi="宋体" w:eastAsia="宋体" w:cs="宋体"/>
      <w:color w:val="000000"/>
      <w:sz w:val="20"/>
      <w:szCs w:val="20"/>
      <w:u w:val="none"/>
    </w:rPr>
  </w:style>
  <w:style w:type="character" w:styleId="1078" w:customStyle="1">
    <w:name w:val="批注框文本 字符"/>
    <w:link w:val="818"/>
    <w:uiPriority w:val="0"/>
    <w:qFormat/>
    <w:rPr>
      <w:sz w:val="18"/>
      <w:szCs w:val="18"/>
    </w:rPr>
  </w:style>
  <w:style w:type="character" w:styleId="1079" w:customStyle="1">
    <w:name w:val="标题 7 字符"/>
    <w:link w:val="795"/>
    <w:uiPriority w:val="0"/>
    <w:qFormat/>
    <w:rPr>
      <w:b/>
      <w:bCs/>
      <w:sz w:val="24"/>
      <w:szCs w:val="24"/>
    </w:rPr>
  </w:style>
  <w:style w:type="character" w:styleId="1080" w:customStyle="1">
    <w:name w:val="文档结构图 Char1"/>
    <w:uiPriority w:val="0"/>
    <w:qFormat/>
    <w:rPr>
      <w:rFonts w:ascii="宋体" w:hAnsi="Calibri" w:eastAsia="宋体" w:cs="Times New Roman"/>
      <w:sz w:val="18"/>
      <w:szCs w:val="18"/>
    </w:rPr>
  </w:style>
  <w:style w:type="character" w:styleId="1081" w:customStyle="1">
    <w:name w:val="标题 2 Char_0"/>
    <w:link w:val="1082"/>
    <w:uiPriority w:val="0"/>
    <w:qFormat/>
    <w:rPr>
      <w:rFonts w:ascii="Cambria" w:hAnsi="Cambria"/>
      <w:b/>
      <w:bCs/>
      <w:sz w:val="32"/>
      <w:szCs w:val="32"/>
    </w:rPr>
  </w:style>
  <w:style w:type="paragraph" w:styleId="1082" w:customStyle="1">
    <w:name w:val="标题 2_0"/>
    <w:basedOn w:val="1008"/>
    <w:next w:val="1008"/>
    <w:link w:val="1081"/>
    <w:uiPriority w:val="0"/>
    <w:unhideWhenUsed/>
    <w:qFormat/>
    <w:pPr>
      <w:keepLines/>
      <w:keepNext/>
      <w:spacing w:before="260" w:after="260" w:line="416" w:lineRule="auto"/>
      <w:outlineLvl w:val="1"/>
    </w:pPr>
    <w:rPr>
      <w:rFonts w:ascii="Cambria" w:hAnsi="Cambria"/>
      <w:b/>
      <w:bCs/>
      <w:sz w:val="32"/>
      <w:szCs w:val="32"/>
    </w:rPr>
  </w:style>
  <w:style w:type="character" w:styleId="1083" w:customStyle="1">
    <w:name w:val="日期 Char2"/>
    <w:uiPriority w:val="99"/>
    <w:semiHidden/>
    <w:qFormat/>
    <w:rPr>
      <w:rFonts w:ascii="Calibri" w:hAnsi="Calibri" w:eastAsia="宋体" w:cs="Times New Roman"/>
    </w:rPr>
  </w:style>
  <w:style w:type="character" w:styleId="1084" w:customStyle="1">
    <w:name w:val="批注框文本 Char2"/>
    <w:uiPriority w:val="99"/>
    <w:semiHidden/>
    <w:qFormat/>
    <w:rPr>
      <w:rFonts w:ascii="Calibri" w:hAnsi="Calibri" w:eastAsia="宋体" w:cs="Times New Roman"/>
      <w:sz w:val="18"/>
      <w:szCs w:val="18"/>
    </w:rPr>
  </w:style>
  <w:style w:type="character" w:styleId="1085" w:customStyle="1">
    <w:name w:val="标题 4 字符"/>
    <w:link w:val="792"/>
    <w:uiPriority w:val="0"/>
    <w:qFormat/>
    <w:rPr>
      <w:rFonts w:ascii="Cambria" w:hAnsi="Cambria" w:eastAsia="宋体" w:cs="Times New Roman"/>
      <w:b/>
      <w:bCs/>
      <w:sz w:val="28"/>
      <w:szCs w:val="28"/>
    </w:rPr>
  </w:style>
  <w:style w:type="character" w:styleId="1086" w:customStyle="1">
    <w:name w:val="列出段落 Char"/>
    <w:link w:val="1087"/>
    <w:uiPriority w:val="99"/>
    <w:qFormat/>
    <w:rPr>
      <w:sz w:val="21"/>
      <w:szCs w:val="24"/>
    </w:rPr>
  </w:style>
  <w:style w:type="paragraph" w:styleId="1087" w:customStyle="1">
    <w:name w:val="List Paragraph1"/>
    <w:basedOn w:val="788"/>
    <w:link w:val="1086"/>
    <w:uiPriority w:val="99"/>
    <w:qFormat/>
    <w:pPr>
      <w:ind w:firstLine="420"/>
    </w:pPr>
  </w:style>
  <w:style w:type="paragraph" w:styleId="1088" w:customStyle="1">
    <w:name w:val="样式 标题 3 + (中文) 黑体 小四 非加粗 段前: 7.8 磅 段后: 0 磅 行距: 固定值 20 磅"/>
    <w:basedOn w:val="791"/>
    <w:next w:val="788"/>
    <w:uiPriority w:val="0"/>
    <w:qFormat/>
    <w:pPr>
      <w:spacing w:before="0" w:after="0" w:line="400" w:lineRule="exact"/>
    </w:pPr>
    <w:rPr>
      <w:rFonts w:eastAsia="黑体" w:cs="宋体"/>
      <w:b w:val="0"/>
      <w:bCs w:val="0"/>
      <w:sz w:val="24"/>
      <w:szCs w:val="20"/>
    </w:rPr>
  </w:style>
  <w:style w:type="paragraph" w:styleId="1089" w:customStyle="1">
    <w:name w:val="_Style 34"/>
    <w:next w:val="788"/>
    <w:uiPriority w:val="0"/>
    <w:qFormat/>
    <w:pPr>
      <w:jc w:val="both"/>
      <w:widowControl w:val="off"/>
    </w:pPr>
    <w:rPr>
      <w:rFonts w:ascii="Times New Roman" w:hAnsi="Times New Roman" w:eastAsia="宋体" w:cs="Times New Roman"/>
      <w:sz w:val="21"/>
      <w:lang w:val="en-US" w:eastAsia="zh-CN" w:bidi="ar-SA"/>
    </w:rPr>
  </w:style>
  <w:style w:type="paragraph" w:styleId="1090"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091" w:customStyle="1">
    <w:name w:val="_Style 36"/>
    <w:next w:val="788"/>
    <w:uiPriority w:val="0"/>
    <w:qFormat/>
    <w:pPr>
      <w:jc w:val="both"/>
      <w:widowControl w:val="off"/>
    </w:pPr>
    <w:rPr>
      <w:rFonts w:ascii="Times New Roman" w:hAnsi="Times New Roman" w:eastAsia="宋体" w:cs="Times New Roman"/>
      <w:sz w:val="21"/>
      <w:lang w:val="en-US" w:eastAsia="zh-CN" w:bidi="ar-SA"/>
    </w:rPr>
  </w:style>
  <w:style w:type="paragraph" w:styleId="1092" w:customStyle="1">
    <w:name w:val="空半行"/>
    <w:basedOn w:val="788"/>
    <w:uiPriority w:val="0"/>
    <w:qFormat/>
    <w:pPr>
      <w:spacing w:line="120" w:lineRule="exact"/>
    </w:pPr>
    <w:rPr>
      <w:rFonts w:ascii="Calibri" w:hAnsi="Calibri" w:eastAsia="仿宋_GB2312"/>
      <w:color w:val="ffffff"/>
      <w:sz w:val="30"/>
      <w:szCs w:val="22"/>
    </w:rPr>
  </w:style>
  <w:style w:type="paragraph" w:styleId="1093" w:customStyle="1">
    <w:name w:val="1方案格式1"/>
    <w:basedOn w:val="789"/>
    <w:uiPriority w:val="0"/>
    <w:qFormat/>
    <w:pPr>
      <w:numPr>
        <w:numId w:val="2"/>
      </w:numPr>
      <w:ind w:left="0" w:firstLine="0"/>
      <w:spacing w:line="360" w:lineRule="auto"/>
      <w:tabs>
        <w:tab w:val="left" w:pos="360" w:leader="none"/>
      </w:tabs>
    </w:pPr>
    <w:rPr>
      <w:rFonts w:eastAsia="微软雅黑"/>
      <w:bCs w:val="0"/>
      <w:sz w:val="48"/>
    </w:rPr>
  </w:style>
  <w:style w:type="paragraph" w:styleId="1094" w:customStyle="1">
    <w:name w:val="格式３"/>
    <w:basedOn w:val="788"/>
    <w:uiPriority w:val="0"/>
    <w:qFormat/>
    <w:pPr>
      <w:ind w:left="600" w:hanging="600"/>
      <w:spacing w:line="420" w:lineRule="exact"/>
    </w:pPr>
    <w:rPr>
      <w:rFonts w:ascii="宋体" w:hAnsi="宋体"/>
      <w:color w:val="000000"/>
      <w:sz w:val="24"/>
      <w:szCs w:val="20"/>
    </w:rPr>
  </w:style>
  <w:style w:type="paragraph" w:styleId="1095" w:customStyle="1">
    <w:name w:val="正文1"/>
    <w:next w:val="788"/>
    <w:uiPriority w:val="0"/>
    <w:qFormat/>
    <w:pPr>
      <w:jc w:val="both"/>
      <w:widowControl w:val="off"/>
    </w:pPr>
    <w:rPr>
      <w:rFonts w:ascii="Calibri" w:hAnsi="Calibri" w:eastAsia="宋体" w:cs="Times New Roman"/>
      <w:lang w:val="en-US" w:eastAsia="zh-CN" w:bidi="ar-SA"/>
    </w:rPr>
  </w:style>
  <w:style w:type="paragraph" w:styleId="1096" w:customStyle="1">
    <w:name w:val="列出段落1"/>
    <w:basedOn w:val="788"/>
    <w:uiPriority w:val="34"/>
    <w:qFormat/>
    <w:pPr>
      <w:contextualSpacing/>
      <w:ind w:left="720"/>
      <w:jc w:val="left"/>
      <w:widowControl/>
    </w:pPr>
    <w:rPr>
      <w:rFonts w:ascii="Arial" w:hAnsi="Arial" w:eastAsia="黑体"/>
      <w:sz w:val="24"/>
      <w:lang w:eastAsia="en-US"/>
    </w:rPr>
  </w:style>
  <w:style w:type="paragraph" w:styleId="1097" w:customStyle="1">
    <w:name w:val="正文空2字"/>
    <w:basedOn w:val="788"/>
    <w:uiPriority w:val="0"/>
    <w:qFormat/>
    <w:pPr>
      <w:ind w:firstLine="200"/>
      <w:spacing w:line="360" w:lineRule="auto"/>
    </w:pPr>
    <w:rPr>
      <w:sz w:val="24"/>
      <w:lang w:bidi="en-US"/>
    </w:rPr>
  </w:style>
  <w:style w:type="paragraph" w:styleId="1098"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099" w:customStyle="1">
    <w:name w:val="目录 5_0"/>
    <w:basedOn w:val="1008"/>
    <w:next w:val="1008"/>
    <w:uiPriority w:val="39"/>
    <w:qFormat/>
    <w:pPr>
      <w:ind w:left="1680"/>
    </w:pPr>
    <w:rPr>
      <w:rFonts w:ascii="Calibri" w:hAnsi="Calibri"/>
    </w:rPr>
  </w:style>
  <w:style w:type="paragraph" w:styleId="1100" w:customStyle="1">
    <w:name w:val="修订1"/>
    <w:uiPriority w:val="0"/>
    <w:qFormat/>
    <w:rPr>
      <w:rFonts w:ascii="Times New Roman" w:hAnsi="Times New Roman" w:eastAsia="宋体" w:cs="Times New Roman"/>
      <w:sz w:val="21"/>
      <w:szCs w:val="24"/>
      <w:lang w:val="en-US" w:eastAsia="zh-CN" w:bidi="ar-SA"/>
    </w:rPr>
  </w:style>
  <w:style w:type="paragraph" w:styleId="1101" w:customStyle="1">
    <w:name w:val="标题 11"/>
    <w:basedOn w:val="1095"/>
    <w:next w:val="1095"/>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102" w:customStyle="1">
    <w:name w:val="正文 + 行距: 固定值 20 磅"/>
    <w:basedOn w:val="788"/>
    <w:uiPriority w:val="0"/>
    <w:qFormat/>
    <w:pPr>
      <w:ind w:firstLine="716"/>
      <w:spacing w:line="400" w:lineRule="exact"/>
    </w:pPr>
    <w:rPr>
      <w:rFonts w:ascii="Calibri" w:hAnsi="Calibri"/>
      <w:szCs w:val="22"/>
    </w:rPr>
  </w:style>
  <w:style w:type="paragraph" w:styleId="1103" w:customStyle="1">
    <w:name w:val="TOC 标题11"/>
    <w:basedOn w:val="789"/>
    <w:next w:val="788"/>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104" w:customStyle="1">
    <w:name w:val="表格文字"/>
    <w:basedOn w:val="788"/>
    <w:link w:val="1134"/>
    <w:uiPriority w:val="0"/>
    <w:qFormat/>
    <w:pPr>
      <w:jc w:val="left"/>
      <w:spacing w:line="420" w:lineRule="atLeast"/>
    </w:pPr>
    <w:rPr>
      <w:rFonts w:ascii="Calibri" w:hAnsi="Calibri"/>
      <w:szCs w:val="22"/>
    </w:rPr>
  </w:style>
  <w:style w:type="paragraph" w:styleId="1105" w:customStyle="1">
    <w:name w:val="flNote"/>
    <w:basedOn w:val="788"/>
    <w:uiPriority w:val="0"/>
    <w:qFormat/>
    <w:pPr>
      <w:jc w:val="center"/>
      <w:spacing w:before="320" w:after="160" w:line="360" w:lineRule="atLeast"/>
    </w:pPr>
    <w:rPr>
      <w:rFonts w:ascii="Arial" w:hAnsi="Calibri" w:eastAsia="黑体"/>
      <w:sz w:val="30"/>
      <w:szCs w:val="22"/>
    </w:rPr>
  </w:style>
  <w:style w:type="paragraph" w:styleId="1106" w:customStyle="1">
    <w:name w:val="文章正文"/>
    <w:basedOn w:val="788"/>
    <w:uiPriority w:val="99"/>
    <w:qFormat/>
    <w:pPr>
      <w:ind w:firstLine="480"/>
      <w:spacing w:line="360" w:lineRule="auto"/>
    </w:pPr>
    <w:rPr>
      <w:rFonts w:ascii="仿宋_GB2312" w:hAnsi="宋体" w:eastAsia="仿宋_GB2312"/>
      <w:color w:val="ff0000"/>
      <w:sz w:val="24"/>
    </w:rPr>
  </w:style>
  <w:style w:type="paragraph" w:styleId="1107" w:customStyle="1">
    <w:name w:val="表格"/>
    <w:basedOn w:val="788"/>
    <w:uiPriority w:val="0"/>
    <w:qFormat/>
    <w:pPr>
      <w:jc w:val="center"/>
    </w:pPr>
    <w:rPr>
      <w:rFonts w:ascii="华文细黑" w:hAnsi="华文细黑"/>
      <w:szCs w:val="22"/>
    </w:rPr>
  </w:style>
  <w:style w:type="paragraph" w:styleId="1108" w:customStyle="1">
    <w:name w:val="Char"/>
    <w:basedOn w:val="788"/>
    <w:uiPriority w:val="0"/>
    <w:qFormat/>
    <w:pPr>
      <w:jc w:val="left"/>
      <w:spacing w:after="160" w:line="240" w:lineRule="exact"/>
      <w:widowControl/>
    </w:pPr>
    <w:rPr>
      <w:rFonts w:ascii="Verdana" w:hAnsi="Verdana"/>
      <w:sz w:val="20"/>
      <w:szCs w:val="20"/>
      <w:lang w:eastAsia="en-US"/>
    </w:rPr>
  </w:style>
  <w:style w:type="paragraph" w:styleId="110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10" w:customStyle="1">
    <w:name w:val="列出段落2"/>
    <w:basedOn w:val="788"/>
    <w:uiPriority w:val="99"/>
    <w:qFormat/>
    <w:pPr>
      <w:ind w:firstLine="420"/>
    </w:pPr>
  </w:style>
  <w:style w:type="paragraph" w:styleId="1111" w:customStyle="1">
    <w:name w:val="6'"/>
    <w:basedOn w:val="788"/>
    <w:uiPriority w:val="0"/>
    <w:qFormat/>
    <w:pPr>
      <w:jc w:val="center"/>
      <w:spacing w:line="320" w:lineRule="exact"/>
    </w:pPr>
    <w:rPr>
      <w:rFonts w:ascii="Calibri" w:hAnsi="Calibri"/>
      <w:spacing w:val="20"/>
      <w:szCs w:val="22"/>
    </w:rPr>
  </w:style>
  <w:style w:type="paragraph" w:styleId="1112" w:customStyle="1">
    <w:name w:val="Char Char Char Char Char Char Char"/>
    <w:basedOn w:val="788"/>
    <w:uiPriority w:val="0"/>
    <w:qFormat/>
    <w:pPr>
      <w:spacing w:line="360" w:lineRule="auto"/>
    </w:pPr>
    <w:rPr>
      <w:sz w:val="24"/>
      <w:szCs w:val="20"/>
    </w:rPr>
  </w:style>
  <w:style w:type="paragraph" w:styleId="1113" w:customStyle="1">
    <w:name w:val="2方案格式2"/>
    <w:basedOn w:val="1093"/>
    <w:uiPriority w:val="0"/>
    <w:qFormat/>
    <w:pPr>
      <w:numPr>
        <w:ilvl w:val="1"/>
      </w:numPr>
      <w:spacing w:before="50" w:after="50" w:line="240" w:lineRule="auto"/>
      <w:outlineLvl w:val="1"/>
    </w:pPr>
    <w:rPr>
      <w:sz w:val="44"/>
    </w:rPr>
  </w:style>
  <w:style w:type="paragraph" w:styleId="1114"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115" w:customStyle="1">
    <w:name w:val="文档正文"/>
    <w:basedOn w:val="788"/>
    <w:uiPriority w:val="0"/>
    <w:qFormat/>
    <w:pPr>
      <w:ind w:firstLine="567"/>
      <w:spacing w:line="480" w:lineRule="atLeast"/>
    </w:pPr>
    <w:rPr>
      <w:rFonts w:ascii="Ari" w:eastAsia="Ari"/>
      <w:sz w:val="28"/>
      <w:szCs w:val="20"/>
    </w:rPr>
  </w:style>
  <w:style w:type="paragraph" w:styleId="1116" w:customStyle="1">
    <w:name w:val="txt"/>
    <w:basedOn w:val="788"/>
    <w:uiPriority w:val="0"/>
    <w:qFormat/>
    <w:pPr>
      <w:jc w:val="left"/>
      <w:spacing w:before="100" w:beforeAutospacing="1" w:after="100" w:afterAutospacing="1"/>
      <w:widowControl/>
    </w:pPr>
    <w:rPr>
      <w:rFonts w:ascii="宋体" w:hAnsi="宋体" w:cs="宋体"/>
      <w:sz w:val="24"/>
    </w:rPr>
  </w:style>
  <w:style w:type="paragraph" w:styleId="1117" w:customStyle="1">
    <w:name w:val="目录 4_0"/>
    <w:basedOn w:val="1008"/>
    <w:next w:val="1008"/>
    <w:uiPriority w:val="39"/>
    <w:qFormat/>
    <w:pPr>
      <w:ind w:left="1260"/>
    </w:pPr>
    <w:rPr>
      <w:rFonts w:ascii="Calibri" w:hAnsi="Calibri"/>
    </w:rPr>
  </w:style>
  <w:style w:type="paragraph" w:styleId="1118" w:customStyle="1">
    <w:name w:val="目录 3_0"/>
    <w:basedOn w:val="1008"/>
    <w:next w:val="1008"/>
    <w:uiPriority w:val="39"/>
    <w:qFormat/>
    <w:pPr>
      <w:ind w:left="840"/>
    </w:pPr>
    <w:rPr>
      <w:rFonts w:ascii="Calibri" w:hAnsi="Calibri"/>
    </w:rPr>
  </w:style>
  <w:style w:type="paragraph" w:styleId="1119" w:customStyle="1">
    <w:name w:val="样式 标题 1 + 黑体 三号 非加粗 居中 段前: 6 磅 段后: 6 磅 行距: 固定值 20 磅"/>
    <w:basedOn w:val="789"/>
    <w:uiPriority w:val="0"/>
    <w:qFormat/>
    <w:pPr>
      <w:numPr>
        <w:numId w:val="0"/>
      </w:numPr>
      <w:spacing w:before="120" w:after="120" w:line="400" w:lineRule="exact"/>
    </w:pPr>
    <w:rPr>
      <w:rFonts w:ascii="黑体" w:hAnsi="黑体" w:eastAsia="黑体"/>
      <w:b w:val="0"/>
      <w:bCs w:val="0"/>
      <w:szCs w:val="20"/>
    </w:rPr>
  </w:style>
  <w:style w:type="paragraph" w:styleId="1120" w:customStyle="1">
    <w:name w:val="1"/>
    <w:basedOn w:val="788"/>
    <w:next w:val="788"/>
    <w:uiPriority w:val="0"/>
    <w:qFormat/>
    <w:rPr>
      <w:rFonts w:ascii="Calibri" w:hAnsi="Calibri"/>
      <w:szCs w:val="22"/>
    </w:rPr>
  </w:style>
  <w:style w:type="paragraph" w:styleId="1121" w:customStyle="1">
    <w:name w:val="Blockquote_0"/>
    <w:basedOn w:val="1008"/>
    <w:uiPriority w:val="0"/>
    <w:qFormat/>
    <w:pPr>
      <w:ind w:left="360" w:right="360"/>
      <w:jc w:val="left"/>
      <w:spacing w:before="100" w:after="100"/>
    </w:pPr>
    <w:rPr>
      <w:rFonts w:ascii="Calibri" w:hAnsi="Calibri" w:eastAsia="Times New Roman"/>
      <w:sz w:val="24"/>
      <w:szCs w:val="20"/>
    </w:rPr>
  </w:style>
  <w:style w:type="paragraph" w:styleId="1122" w:customStyle="1">
    <w:name w:val="列出段落11"/>
    <w:basedOn w:val="788"/>
    <w:uiPriority w:val="0"/>
    <w:qFormat/>
    <w:pPr>
      <w:contextualSpacing/>
      <w:ind w:left="720"/>
      <w:jc w:val="left"/>
      <w:widowControl/>
    </w:pPr>
    <w:rPr>
      <w:rFonts w:ascii="Arial" w:hAnsi="Arial" w:eastAsia="黑体"/>
      <w:sz w:val="24"/>
      <w:lang w:eastAsia="en-US"/>
    </w:rPr>
  </w:style>
  <w:style w:type="paragraph" w:styleId="1123" w:customStyle="1">
    <w:name w:val="样式 标题 2 + Times New Roman 四号 非加粗 段前: 5 磅 段后: 0 磅 行距: 固定值 20..._0"/>
    <w:basedOn w:val="788"/>
    <w:uiPriority w:val="0"/>
    <w:qFormat/>
    <w:pPr>
      <w:keepLines/>
      <w:keepNext/>
      <w:spacing w:before="100" w:line="360" w:lineRule="auto"/>
      <w:outlineLvl w:val="1"/>
    </w:pPr>
    <w:rPr>
      <w:rFonts w:eastAsia="Times New Roman" w:cs="宋体"/>
      <w:sz w:val="28"/>
      <w:szCs w:val="20"/>
    </w:rPr>
  </w:style>
  <w:style w:type="paragraph" w:styleId="1124" w:customStyle="1">
    <w:name w:val="op_mapdots_left"/>
    <w:basedOn w:val="788"/>
    <w:uiPriority w:val="0"/>
    <w:qFormat/>
    <w:pPr>
      <w:jc w:val="left"/>
      <w:spacing w:before="100" w:beforeAutospacing="1" w:after="100" w:afterAutospacing="1"/>
      <w:widowControl/>
    </w:pPr>
    <w:rPr>
      <w:rFonts w:ascii="宋体" w:hAnsi="宋体" w:cs="宋体"/>
      <w:sz w:val="24"/>
    </w:rPr>
  </w:style>
  <w:style w:type="paragraph" w:styleId="1125" w:customStyle="1">
    <w:name w:val="p0"/>
    <w:basedOn w:val="788"/>
    <w:uiPriority w:val="0"/>
    <w:qFormat/>
    <w:pPr>
      <w:widowControl/>
    </w:pPr>
    <w:rPr>
      <w:b/>
      <w:bCs/>
      <w:sz w:val="24"/>
    </w:rPr>
  </w:style>
  <w:style w:type="paragraph" w:styleId="1126" w:customStyle="1">
    <w:name w:val="Blockquote"/>
    <w:basedOn w:val="788"/>
    <w:uiPriority w:val="0"/>
    <w:qFormat/>
    <w:pPr>
      <w:ind w:left="360" w:right="360"/>
      <w:jc w:val="left"/>
      <w:spacing w:before="100" w:after="100"/>
    </w:pPr>
    <w:rPr>
      <w:rFonts w:ascii="Calibri" w:hAnsi="Calibri"/>
      <w:sz w:val="24"/>
      <w:szCs w:val="22"/>
    </w:rPr>
  </w:style>
  <w:style w:type="paragraph" w:styleId="1127" w:customStyle="1">
    <w:name w:val="3方案格式3"/>
    <w:basedOn w:val="1113"/>
    <w:uiPriority w:val="0"/>
    <w:qFormat/>
    <w:pPr>
      <w:numPr>
        <w:ilvl w:val="2"/>
      </w:numPr>
      <w:outlineLvl w:val="2"/>
    </w:pPr>
    <w:rPr>
      <w:sz w:val="32"/>
    </w:rPr>
  </w:style>
  <w:style w:type="paragraph" w:styleId="1128" w:customStyle="1">
    <w:name w:val="样式 标题 2 + Times New Roman 四号 非加粗 段前: 5 磅 段后: 0 磅 行距: 固定值 20..."/>
    <w:basedOn w:val="790"/>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129" w:customStyle="1">
    <w:name w:val="标题2"/>
    <w:basedOn w:val="790"/>
    <w:next w:val="808"/>
    <w:uiPriority w:val="0"/>
    <w:qFormat/>
    <w:pPr>
      <w:spacing w:before="156" w:after="156" w:line="360" w:lineRule="auto"/>
    </w:pPr>
    <w:rPr>
      <w:bCs w:val="0"/>
      <w:sz w:val="24"/>
    </w:rPr>
  </w:style>
  <w:style w:type="paragraph" w:styleId="1130" w:customStyle="1">
    <w:name w:val="普通正文"/>
    <w:basedOn w:val="788"/>
    <w:uiPriority w:val="0"/>
    <w:qFormat/>
    <w:pPr>
      <w:ind w:firstLine="480"/>
      <w:jc w:val="left"/>
      <w:spacing w:before="120" w:after="120" w:line="360" w:lineRule="auto"/>
    </w:pPr>
    <w:rPr>
      <w:rFonts w:ascii="Arial" w:hAnsi="Arial"/>
      <w:sz w:val="24"/>
    </w:rPr>
  </w:style>
  <w:style w:type="paragraph" w:styleId="1131" w:customStyle="1">
    <w:name w:val="正文2"/>
    <w:uiPriority w:val="0"/>
    <w:qFormat/>
    <w:rPr>
      <w:rFonts w:ascii="Times New Roman" w:hAnsi="Times New Roman" w:eastAsia="微软雅黑" w:cs="Times New Roman"/>
      <w:sz w:val="24"/>
      <w:szCs w:val="24"/>
      <w:lang w:val="en-US" w:eastAsia="zh-CN" w:bidi="ar-SA"/>
    </w:rPr>
  </w:style>
  <w:style w:type="paragraph" w:styleId="1132" w:customStyle="1">
    <w:name w:val="列出段落3"/>
    <w:basedOn w:val="788"/>
    <w:uiPriority w:val="34"/>
    <w:qFormat/>
    <w:pPr>
      <w:ind w:firstLine="420"/>
      <w:jc w:val="left"/>
      <w:spacing w:after="200"/>
      <w:widowControl/>
    </w:pPr>
    <w:rPr>
      <w:rFonts w:ascii="Tahoma" w:hAnsi="Tahoma" w:eastAsia="微软雅黑"/>
      <w:sz w:val="22"/>
      <w:szCs w:val="22"/>
    </w:rPr>
  </w:style>
  <w:style w:type="paragraph" w:styleId="1133" w:customStyle="1">
    <w:name w:val="纯文本2"/>
    <w:basedOn w:val="788"/>
    <w:uiPriority w:val="0"/>
    <w:qFormat/>
    <w:pPr>
      <w:jc w:val="left"/>
    </w:pPr>
    <w:rPr>
      <w:rFonts w:hint="eastAsia" w:ascii="宋体" w:hAnsi="宋体" w:cs="Courier New"/>
      <w:sz w:val="24"/>
      <w:szCs w:val="20"/>
      <w:lang w:bidi="hi-IN"/>
    </w:rPr>
  </w:style>
  <w:style w:type="character" w:styleId="1134" w:customStyle="1">
    <w:name w:val="表格文字 字符"/>
    <w:link w:val="1104"/>
    <w:uiPriority w:val="0"/>
    <w:qFormat/>
    <w:rPr>
      <w:rFonts w:ascii="Calibri" w:hAnsi="Calibri" w:eastAsia="宋体" w:cs="Times New Roman"/>
      <w:sz w:val="21"/>
      <w:szCs w:val="22"/>
    </w:rPr>
  </w:style>
  <w:style w:type="paragraph" w:styleId="1135" w:customStyle="1">
    <w:name w:val="trs_editor"/>
    <w:basedOn w:val="788"/>
    <w:uiPriority w:val="0"/>
    <w:qFormat/>
    <w:pPr>
      <w:jc w:val="left"/>
      <w:spacing w:before="100" w:beforeAutospacing="1" w:after="100" w:afterAutospacing="1"/>
      <w:widowControl/>
    </w:pPr>
    <w:rPr>
      <w:rFonts w:ascii="宋体" w:hAnsi="宋体" w:cs="宋体"/>
      <w:sz w:val="24"/>
    </w:rPr>
  </w:style>
  <w:style w:type="paragraph" w:styleId="1136" w:customStyle="1">
    <w:name w:val="标题二级"/>
    <w:basedOn w:val="788"/>
    <w:uiPriority w:val="0"/>
    <w:qFormat/>
    <w:pPr>
      <w:ind w:firstLine="412"/>
    </w:pPr>
    <w:rPr>
      <w:rFonts w:ascii="宋体" w:hAnsi="宋体"/>
      <w:szCs w:val="21"/>
    </w:rPr>
  </w:style>
  <w:style w:type="paragraph" w:styleId="1137" w:customStyle="1">
    <w:name w:val="修订2"/>
    <w:hidden/>
    <w:uiPriority w:val="99"/>
    <w:semiHidden/>
    <w:qFormat/>
    <w:rPr>
      <w:rFonts w:ascii="Times New Roman" w:hAnsi="Times New Roman" w:eastAsia="宋体" w:cs="Times New Roman"/>
      <w:sz w:val="21"/>
      <w:szCs w:val="24"/>
      <w:lang w:val="en-US" w:eastAsia="zh-CN" w:bidi="ar-SA"/>
    </w:rPr>
  </w:style>
  <w:style w:type="paragraph" w:styleId="1138" w:customStyle="1">
    <w:name w:val="修订3"/>
    <w:hidden/>
    <w:uiPriority w:val="99"/>
    <w:semiHidden/>
    <w:qFormat/>
    <w:rPr>
      <w:rFonts w:ascii="Times New Roman" w:hAnsi="Times New Roman" w:eastAsia="宋体" w:cs="Times New Roman"/>
      <w:sz w:val="21"/>
      <w:szCs w:val="24"/>
      <w:lang w:val="en-US" w:eastAsia="zh-CN" w:bidi="ar-SA"/>
    </w:rPr>
  </w:style>
  <w:style w:type="character" w:styleId="1139" w:customStyle="1">
    <w:name w:val="无"/>
    <w:uiPriority w:val="0"/>
    <w:qFormat/>
  </w:style>
  <w:style w:type="paragraph" w:styleId="1140" w:customStyle="1">
    <w:name w:val="Heading #2|1"/>
    <w:basedOn w:val="788"/>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1141" w:customStyle="1">
    <w:name w:val="Body text|1"/>
    <w:basedOn w:val="788"/>
    <w:uiPriority w:val="0"/>
    <w:qFormat/>
    <w:pPr>
      <w:ind w:firstLine="400"/>
      <w:spacing w:line="401" w:lineRule="auto"/>
    </w:pPr>
    <w:rPr>
      <w:rFonts w:ascii="宋体" w:hAnsi="宋体" w:cs="宋体"/>
      <w:sz w:val="30"/>
      <w:szCs w:val="30"/>
      <w:lang w:val="zh-TW" w:eastAsia="zh-TW" w:bidi="zh-TW"/>
    </w:rPr>
  </w:style>
  <w:style w:type="paragraph" w:styleId="1142" w:customStyle="1">
    <w:name w:val="_Style 1931"/>
    <w:basedOn w:val="788"/>
    <w:next w:val="800"/>
    <w:uiPriority w:val="34"/>
    <w:qFormat/>
    <w:pPr>
      <w:ind w:firstLine="420"/>
    </w:pPr>
  </w:style>
  <w:style w:type="paragraph" w:styleId="1143" w:customStyle="1">
    <w:name w:val="段落"/>
    <w:basedOn w:val="788"/>
    <w:uiPriority w:val="0"/>
    <w:qFormat/>
    <w:pPr>
      <w:ind w:firstLine="480"/>
      <w:spacing w:line="460" w:lineRule="exact"/>
    </w:pPr>
    <w:rPr>
      <w:rFonts w:ascii="Calibri" w:hAnsi="Calibri"/>
      <w:sz w:val="24"/>
      <w:szCs w:val="20"/>
    </w:rPr>
  </w:style>
  <w:style w:type="paragraph" w:styleId="1144" w:customStyle="1">
    <w:name w:val="首行缩进"/>
    <w:basedOn w:val="788"/>
    <w:uiPriority w:val="0"/>
    <w:qFormat/>
    <w:pPr>
      <w:ind w:firstLine="480"/>
      <w:spacing w:line="360" w:lineRule="auto"/>
    </w:pPr>
    <w:rPr>
      <w:rFonts w:ascii="宋体" w:hAnsi="宋体" w:cs="宋体"/>
      <w:sz w:val="24"/>
    </w:rPr>
  </w:style>
  <w:style w:type="paragraph" w:styleId="1145" w:customStyle="1">
    <w:name w:val="列出段落4"/>
    <w:basedOn w:val="788"/>
    <w:uiPriority w:val="99"/>
    <w:unhideWhenUsed/>
    <w:qFormat/>
    <w:pPr>
      <w:ind w:firstLine="420"/>
      <w:spacing w:line="360" w:lineRule="auto"/>
    </w:pPr>
    <w:rPr>
      <w:rFonts w:ascii="Calibri" w:hAnsi="Calibri" w:eastAsia="仿宋_GB2312"/>
      <w:sz w:val="32"/>
      <w:szCs w:val="22"/>
    </w:rPr>
  </w:style>
  <w:style w:type="paragraph" w:styleId="1146" w:customStyle="1">
    <w:name w:val="修订4"/>
    <w:hidden/>
    <w:uiPriority w:val="99"/>
    <w:semiHidden/>
    <w:qFormat/>
    <w:rPr>
      <w:rFonts w:ascii="Times New Roman" w:hAnsi="Times New Roman" w:eastAsia="宋体" w:cs="Times New Roman"/>
      <w:sz w:val="21"/>
      <w:szCs w:val="24"/>
      <w:lang w:val="en-US" w:eastAsia="zh-CN" w:bidi="ar-SA"/>
    </w:rPr>
  </w:style>
  <w:style w:type="paragraph" w:styleId="1147" w:customStyle="1">
    <w:name w:val="正文 A"/>
    <w:next w:val="808"/>
    <w:uiPriority w:val="0"/>
    <w:qFormat/>
    <w:pPr>
      <w:jc w:val="both"/>
      <w:widowControl w:val="off"/>
    </w:pPr>
    <w:rPr>
      <w:rFonts w:ascii="Times New Roman" w:hAnsi="Times New Roman" w:eastAsia="ヒラギノ角ゴ Pro W3" w:cs="Times New Roman"/>
      <w:color w:val="000000"/>
      <w:sz w:val="21"/>
      <w:lang w:val="en-US" w:eastAsia="zh-CN" w:bidi="ar-SA"/>
    </w:rPr>
  </w:style>
  <w:style w:type="paragraph" w:styleId="1148" w:customStyle="1">
    <w:name w:val="无间距"/>
    <w:uiPriority w:val="0"/>
    <w:qFormat/>
    <w:pPr>
      <w:jc w:val="both"/>
      <w:widowControl w:val="off"/>
    </w:pPr>
    <w:rPr>
      <w:rFonts w:ascii="Calibri" w:hAnsi="Calibri" w:eastAsia="宋体" w:cs="Times New Roman"/>
      <w:sz w:val="21"/>
      <w:szCs w:val="22"/>
      <w:lang w:val="en-US" w:eastAsia="zh-CN" w:bidi="ar-SA"/>
    </w:rPr>
  </w:style>
  <w:style w:type="paragraph" w:styleId="1149" w:customStyle="1">
    <w:name w:val="*正文"/>
    <w:basedOn w:val="788"/>
    <w:uiPriority w:val="0"/>
    <w:qFormat/>
    <w:pPr>
      <w:spacing w:line="360" w:lineRule="auto"/>
      <w:widowControl/>
    </w:pPr>
    <w:rPr>
      <w:rFonts w:ascii="仿宋_GB2312" w:eastAsia="仿宋_GB2312"/>
      <w:sz w:val="24"/>
      <w:szCs w:val="28"/>
    </w:rPr>
  </w:style>
  <w:style w:type="table" w:styleId="1150" w:customStyle="1">
    <w:name w:val="Table Normal"/>
    <w:uiPriority w:val="0"/>
    <w:semiHidden/>
    <w:unhideWhenUsed/>
    <w:qFormat/>
    <w:tblPr>
      <w:tblCellMar>
        <w:left w:w="0" w:type="dxa"/>
        <w:top w:w="0" w:type="dxa"/>
        <w:right w:w="0" w:type="dxa"/>
        <w:bottom w:w="0" w:type="dxa"/>
      </w:tblCellMar>
    </w:tblPr>
  </w:style>
  <w:style w:type="character" w:styleId="1151" w:customStyle="1">
    <w:name w:val="form-textarea-print1"/>
    <w:uiPriority w:val="0"/>
    <w:qFormat/>
    <w:rPr>
      <w:rFonts w:hint="default" w:ascii="微软雅黑" w:hAnsi="微软雅黑" w:eastAsia="宋体" w:cs="Times New Roman"/>
      <w:sz w:val="18"/>
      <w:szCs w:val="18"/>
    </w:rPr>
  </w:style>
  <w:style w:type="character" w:styleId="1152" w:customStyle="1">
    <w:name w:val="cke_colorbox"/>
    <w:basedOn w:val="798"/>
    <w:uiPriority w:val="0"/>
    <w:qFormat/>
  </w:style>
  <w:style w:type="character" w:styleId="1153" w:customStyle="1">
    <w:name w:val="cke_colorbox1"/>
    <w:basedOn w:val="798"/>
    <w:uiPriority w:val="0"/>
    <w:qFormat/>
  </w:style>
  <w:style w:type="character" w:styleId="1154" w:customStyle="1">
    <w:name w:val="pwdtips_alert"/>
    <w:basedOn w:val="798"/>
    <w:uiPriority w:val="0"/>
    <w:qFormat/>
    <w:rPr>
      <w:shd w:val="clear" w:color="auto" w:fill="ffeaa6"/>
    </w:rPr>
  </w:style>
  <w:style w:type="character" w:styleId="1155" w:customStyle="1">
    <w:name w:val="l-btn-left"/>
    <w:basedOn w:val="798"/>
    <w:uiPriority w:val="0"/>
    <w:qFormat/>
  </w:style>
  <w:style w:type="character" w:styleId="1156" w:customStyle="1">
    <w:name w:val="l-btn-left1"/>
    <w:basedOn w:val="798"/>
    <w:uiPriority w:val="0"/>
    <w:qFormat/>
  </w:style>
  <w:style w:type="character" w:styleId="1157" w:customStyle="1">
    <w:name w:val="l-btn-left2"/>
    <w:basedOn w:val="798"/>
    <w:uiPriority w:val="0"/>
    <w:qFormat/>
  </w:style>
  <w:style w:type="character" w:styleId="1158" w:customStyle="1">
    <w:name w:val="l-btn-left3"/>
    <w:basedOn w:val="798"/>
    <w:uiPriority w:val="0"/>
    <w:qFormat/>
  </w:style>
  <w:style w:type="character" w:styleId="1159" w:customStyle="1">
    <w:name w:val="combo2"/>
    <w:basedOn w:val="798"/>
    <w:uiPriority w:val="0"/>
    <w:qFormat/>
  </w:style>
  <w:style w:type="character" w:styleId="1160" w:customStyle="1">
    <w:name w:val="l-btn-empty"/>
    <w:basedOn w:val="798"/>
    <w:uiPriority w:val="0"/>
    <w:qFormat/>
  </w:style>
  <w:style w:type="character" w:styleId="1161" w:customStyle="1">
    <w:name w:val="red"/>
    <w:basedOn w:val="798"/>
    <w:uiPriority w:val="0"/>
    <w:qFormat/>
    <w:rPr>
      <w:color w:val="ff0000"/>
    </w:rPr>
  </w:style>
  <w:style w:type="character" w:styleId="1162" w:customStyle="1">
    <w:name w:val="l-btn-text"/>
    <w:basedOn w:val="798"/>
    <w:uiPriority w:val="0"/>
    <w:qFormat/>
    <w:rPr>
      <w:color w:val="1864ac"/>
      <w:sz w:val="14"/>
      <w:szCs w:val="14"/>
    </w:rPr>
  </w:style>
  <w:style w:type="character" w:styleId="1163" w:customStyle="1">
    <w:name w:val="l-btn-text1"/>
    <w:basedOn w:val="798"/>
    <w:uiPriority w:val="0"/>
    <w:qFormat/>
  </w:style>
  <w:style w:type="character" w:styleId="1164" w:customStyle="1">
    <w:name w:val="green"/>
    <w:basedOn w:val="798"/>
    <w:uiPriority w:val="0"/>
    <w:qFormat/>
    <w:rPr>
      <w:color w:val="00a521"/>
    </w:rPr>
  </w:style>
  <w:style w:type="character" w:styleId="1165" w:customStyle="1">
    <w:name w:val="valueinfo"/>
    <w:basedOn w:val="798"/>
    <w:uiPriority w:val="0"/>
    <w:qFormat/>
    <w:rPr>
      <w:color w:val="666666"/>
    </w:rPr>
  </w:style>
  <w:style w:type="character" w:styleId="1166" w:customStyle="1">
    <w:name w:val="tree-file2"/>
    <w:basedOn w:val="798"/>
    <w:uiPriority w:val="0"/>
    <w:qFormat/>
  </w:style>
  <w:style w:type="character" w:styleId="1167" w:customStyle="1">
    <w:name w:val="vainfo"/>
    <w:basedOn w:val="798"/>
    <w:uiPriority w:val="0"/>
    <w:qFormat/>
    <w:rPr>
      <w:color w:val="ff0000"/>
      <w:shd w:val="clear" w:color="auto" w:fill="ffe4e4"/>
    </w:rPr>
  </w:style>
  <w:style w:type="character" w:styleId="1168" w:customStyle="1">
    <w:name w:val="pwdtips_ok"/>
    <w:basedOn w:val="798"/>
    <w:uiPriority w:val="0"/>
    <w:qFormat/>
    <w:rPr>
      <w:shd w:val="clear" w:color="auto" w:fill="b4ffa6"/>
    </w:rPr>
  </w:style>
  <w:style w:type="character" w:styleId="1169" w:customStyle="1">
    <w:name w:val="pwdtips_error"/>
    <w:basedOn w:val="798"/>
    <w:uiPriority w:val="0"/>
    <w:qFormat/>
    <w:rPr>
      <w:shd w:val="clear" w:color="auto" w:fill="ffa6a6"/>
    </w:rPr>
  </w:style>
  <w:style w:type="character" w:styleId="1170" w:customStyle="1">
    <w:name w:val="tree-title4"/>
    <w:basedOn w:val="798"/>
    <w:uiPriority w:val="0"/>
    <w:qFormat/>
    <w:rPr>
      <w:color w:val="1864ac"/>
    </w:rPr>
  </w:style>
  <w:style w:type="character" w:styleId="1171" w:customStyle="1">
    <w:name w:val="tree-title5"/>
    <w:basedOn w:val="798"/>
    <w:uiPriority w:val="0"/>
    <w:qFormat/>
    <w:rPr>
      <w:color w:val="ffffff"/>
      <w:shd w:val="clear" w:color="auto" w:fill="3366cc"/>
    </w:rPr>
  </w:style>
  <w:style w:type="character" w:styleId="1172" w:customStyle="1">
    <w:name w:val="info"/>
    <w:basedOn w:val="798"/>
    <w:uiPriority w:val="0"/>
    <w:qFormat/>
  </w:style>
  <w:style w:type="character" w:styleId="1173" w:customStyle="1">
    <w:name w:val="topic"/>
    <w:basedOn w:val="798"/>
    <w:uiPriority w:val="0"/>
    <w:qFormat/>
    <w:rPr>
      <w:color w:val="ff0000"/>
    </w:rPr>
  </w:style>
  <w:style w:type="paragraph" w:styleId="1174" w:customStyle="1">
    <w:name w:val="_Style 213"/>
    <w:basedOn w:val="788"/>
    <w:next w:val="800"/>
    <w:uiPriority w:val="34"/>
    <w:qFormat/>
    <w:pPr>
      <w:ind w:firstLine="420"/>
      <w:jc w:val="left"/>
      <w:spacing w:line="360" w:lineRule="atLeast"/>
    </w:pPr>
    <w:rPr>
      <w:rFonts w:ascii="Arial" w:hAnsi="Arial"/>
      <w:sz w:val="24"/>
    </w:rPr>
  </w:style>
  <w:style w:type="paragraph" w:styleId="1175" w:customStyle="1">
    <w:name w:val="修订5"/>
    <w:hidden/>
    <w:uiPriority w:val="99"/>
    <w:semiHidden/>
    <w:qFormat/>
    <w:rPr>
      <w:rFonts w:ascii="Times New Roman" w:hAnsi="Times New Roman" w:eastAsia="宋体" w:cs="Times New Roman"/>
      <w:sz w:val="21"/>
      <w:szCs w:val="24"/>
      <w:lang w:val="en-US" w:eastAsia="zh-CN" w:bidi="ar-SA"/>
    </w:rPr>
  </w:style>
  <w:style w:type="paragraph" w:styleId="1176" w:customStyle="1">
    <w:name w:val="修订6"/>
    <w:hidden/>
    <w:uiPriority w:val="99"/>
    <w:semiHidden/>
    <w:qFormat/>
    <w:rPr>
      <w:rFonts w:ascii="Times New Roman" w:hAnsi="Times New Roman" w:eastAsia="宋体" w:cs="Times New Roman"/>
      <w:sz w:val="21"/>
      <w:szCs w:val="24"/>
      <w:lang w:val="en-US" w:eastAsia="zh-CN" w:bidi="ar-SA"/>
    </w:rPr>
  </w:style>
  <w:style w:type="character" w:styleId="1177" w:customStyle="1">
    <w:name w:val="NormalCharacter"/>
    <w:uiPriority w:val="0"/>
    <w:semiHidden/>
    <w:qFormat/>
    <w:rPr>
      <w:rFonts w:ascii="Calibri" w:hAnsi="Calibri" w:eastAsia="宋体"/>
      <w:sz w:val="21"/>
      <w:szCs w:val="24"/>
      <w:lang w:val="en-US" w:eastAsia="zh-CN" w:bidi="ar-SA"/>
    </w:rPr>
  </w:style>
  <w:style w:type="paragraph" w:styleId="1178">
    <w:name w:val="No Spacing"/>
    <w:uiPriority w:val="1"/>
    <w:qFormat/>
    <w:pPr>
      <w:jc w:val="both"/>
      <w:widowControl w:val="off"/>
    </w:pPr>
    <w:rPr>
      <w:rFonts w:ascii="Times New Roman" w:hAnsi="Times New Roman" w:eastAsia="宋体" w:cs="Times New Roman"/>
      <w:sz w:val="21"/>
      <w:lang w:val="en-US" w:eastAsia="zh-CN" w:bidi="ar-SA"/>
    </w:rPr>
  </w:style>
  <w:style w:type="paragraph" w:styleId="1179" w:customStyle="1">
    <w:name w:val="列表段落2"/>
    <w:basedOn w:val="788"/>
    <w:uiPriority w:val="0"/>
    <w:qFormat/>
    <w:pPr>
      <w:ind w:firstLine="420"/>
    </w:pPr>
    <w:rPr>
      <w:szCs w:val="21"/>
    </w:rPr>
  </w:style>
  <w:style w:type="paragraph" w:styleId="1180" w:customStyle="1">
    <w:name w:val="Table Text"/>
    <w:basedOn w:val="788"/>
    <w:uiPriority w:val="0"/>
    <w:semiHidden/>
    <w:qFormat/>
    <w:rPr>
      <w:rFonts w:ascii="宋体" w:hAnsi="宋体" w:cs="宋体"/>
      <w:szCs w:val="21"/>
      <w:lang w:eastAsia="en-US"/>
    </w:rPr>
  </w:style>
  <w:style w:type="paragraph" w:styleId="1181" w:customStyle="1">
    <w:name w:val="标准文本"/>
    <w:basedOn w:val="788"/>
    <w:uiPriority w:val="0"/>
    <w:qFormat/>
    <w:pPr>
      <w:ind w:firstLine="480"/>
      <w:spacing w:line="360" w:lineRule="auto"/>
    </w:pPr>
    <w:rPr>
      <w:rFonts w:ascii="Calibri" w:hAnsi="Calibri" w:cs="宋体"/>
    </w:rPr>
  </w:style>
  <w:style w:type="character" w:styleId="1182" w:customStyle="1">
    <w:name w:val="active6"/>
    <w:basedOn w:val="798"/>
    <w:uiPriority w:val="0"/>
    <w:qFormat/>
    <w:rPr>
      <w:color w:val="ffffff"/>
      <w:shd w:val="clear" w:color="auto" w:fill="0f5bb9"/>
    </w:rPr>
  </w:style>
  <w:style w:type="paragraph" w:styleId="1183" w:customStyle="1">
    <w:name w:val="0"/>
    <w:basedOn w:val="788"/>
    <w:uiPriority w:val="0"/>
    <w:qFormat/>
    <w:pPr>
      <w:widowControl/>
    </w:pPr>
    <w:rPr>
      <w:szCs w:val="20"/>
    </w:rPr>
  </w:style>
  <w:style w:type="character" w:styleId="1184" w:customStyle="1">
    <w:name w:val="15"/>
    <w:basedOn w:val="798"/>
    <w:uiPriority w:val="0"/>
    <w:qFormat/>
    <w:rPr>
      <w:rFonts w:hint="eastAsia" w:ascii="宋体" w:hAnsi="宋体" w:eastAsia="宋体"/>
      <w:b/>
      <w:bCs/>
      <w:color w:val="000000"/>
      <w:sz w:val="28"/>
      <w:szCs w:val="28"/>
    </w:rPr>
  </w:style>
  <w:style w:type="character" w:styleId="1185" w:customStyle="1">
    <w:name w:val="16"/>
    <w:basedOn w:val="798"/>
    <w:uiPriority w:val="0"/>
    <w:qFormat/>
    <w:rPr>
      <w:rFonts w:hint="eastAsia" w:ascii="宋体" w:hAnsi="宋体" w:eastAsia="宋体"/>
      <w:color w:val="000000"/>
      <w:sz w:val="28"/>
      <w:szCs w:val="28"/>
    </w:rPr>
  </w:style>
  <w:style w:type="character" w:styleId="1186" w:customStyle="1">
    <w:name w:val="17"/>
    <w:basedOn w:val="798"/>
    <w:uiPriority w:val="0"/>
    <w:qFormat/>
    <w:rPr>
      <w:rFonts w:hint="eastAsia" w:ascii="宋体" w:hAnsi="宋体" w:eastAsia="宋体"/>
      <w:color w:val="000000"/>
      <w:sz w:val="28"/>
      <w:szCs w:val="28"/>
    </w:rPr>
  </w:style>
  <w:style w:type="paragraph" w:styleId="1187" w:customStyle="1">
    <w:name w:val="正文缩进1"/>
    <w:basedOn w:val="788"/>
    <w:uiPriority w:val="99"/>
    <w:qFormat/>
    <w:pPr>
      <w:ind w:firstLine="420"/>
    </w:pPr>
    <w:rPr>
      <w:b/>
      <w:sz w:val="24"/>
    </w:rPr>
  </w:style>
  <w:style w:type="paragraph" w:styleId="1188" w:customStyle="1">
    <w:name w:val="正文文本11"/>
    <w:basedOn w:val="788"/>
    <w:next w:val="1189"/>
    <w:uiPriority w:val="99"/>
    <w:qFormat/>
    <w:rPr>
      <w:rFonts w:ascii="华文中宋" w:eastAsia="华文中宋"/>
      <w:bCs/>
      <w:sz w:val="28"/>
    </w:rPr>
  </w:style>
  <w:style w:type="paragraph" w:styleId="1189" w:customStyle="1">
    <w:name w:val="正文首行缩进11"/>
    <w:basedOn w:val="1188"/>
    <w:uiPriority w:val="0"/>
    <w:qFormat/>
    <w:pPr>
      <w:ind w:firstLine="420"/>
    </w:pPr>
  </w:style>
  <w:style w:type="paragraph" w:styleId="1190" w:customStyle="1">
    <w:name w:val="普通(网站)11"/>
    <w:basedOn w:val="788"/>
    <w:uiPriority w:val="0"/>
    <w:qFormat/>
    <w:pPr>
      <w:jc w:val="left"/>
      <w:spacing w:beforeAutospacing="1" w:afterAutospacing="1"/>
    </w:pPr>
    <w:rPr>
      <w:sz w:val="24"/>
    </w:rPr>
  </w:style>
  <w:style w:type="paragraph" w:styleId="1191" w:customStyle="1">
    <w:name w:val="纯文本1"/>
    <w:basedOn w:val="788"/>
    <w:uiPriority w:val="0"/>
    <w:qFormat/>
    <w:pPr>
      <w:jc w:val="left"/>
      <w:widowControl/>
    </w:pPr>
    <w:rPr>
      <w:rFonts w:ascii="宋体" w:hAnsi="Courier New"/>
    </w:rPr>
  </w:style>
  <w:style w:type="character" w:styleId="1192" w:customStyle="1">
    <w:name w:val="强调1"/>
    <w:uiPriority w:val="0"/>
    <w:qFormat/>
    <w:rPr>
      <w:rFonts w:ascii="Times New Roman" w:hAnsi="Times New Roman" w:eastAsia="宋体" w:cs="Times New Roman"/>
    </w:rPr>
  </w:style>
  <w:style w:type="character" w:styleId="1193" w:customStyle="1">
    <w:name w:val="未处理的提及1"/>
    <w:basedOn w:val="798"/>
    <w:uiPriority w:val="99"/>
    <w:semiHidden/>
    <w:unhideWhenUsed/>
    <w:qFormat/>
    <w:rPr>
      <w:color w:val="605e5c"/>
      <w:shd w:val="clear" w:color="auto" w:fill="e1dfdd"/>
    </w:rPr>
  </w:style>
  <w:style w:type="character" w:styleId="1194" w:customStyle="1">
    <w:name w:val="正文文本首行缩进 字符"/>
    <w:basedOn w:val="1063"/>
    <w:link w:val="836"/>
    <w:uiPriority w:val="99"/>
    <w:semiHidden/>
    <w:qFormat/>
    <w:rPr>
      <w:rFonts w:eastAsia="幼圆"/>
      <w:b w:val="0"/>
      <w:bCs w:val="0"/>
      <w:sz w:val="21"/>
      <w:szCs w:val="24"/>
    </w:rPr>
  </w:style>
  <w:style w:type="table" w:styleId="1195" w:customStyle="1">
    <w:name w:val="网格型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96" w:customStyle="1">
    <w:name w:val="Revision"/>
    <w:hidden/>
    <w:uiPriority w:val="99"/>
    <w:unhideWhenUsed/>
    <w:qFormat/>
    <w:rPr>
      <w:rFonts w:ascii="Times New Roman" w:hAnsi="Times New Roman" w:eastAsia="宋体" w:cs="Times New Roman"/>
      <w:sz w:val="21"/>
      <w:szCs w:val="24"/>
      <w:lang w:val="en-US" w:eastAsia="zh-CN" w:bidi="ar-SA"/>
    </w:rPr>
  </w:style>
  <w:style w:type="paragraph" w:styleId="1197" w:customStyle="1">
    <w:name w:val="正文首行缩进1"/>
    <w:basedOn w:val="1198"/>
    <w:uiPriority w:val="0"/>
    <w:qFormat/>
    <w:pPr>
      <w:ind w:firstLine="200"/>
      <w:spacing w:line="360" w:lineRule="auto"/>
    </w:pPr>
    <w:rPr>
      <w:rFonts w:ascii="仿宋_GB2312" w:hAnsi="Times New Roman" w:eastAsia="仿宋_GB2312"/>
      <w:sz w:val="30"/>
      <w:szCs w:val="30"/>
    </w:rPr>
  </w:style>
  <w:style w:type="paragraph" w:styleId="1198" w:customStyle="1">
    <w:name w:val="正文文本1"/>
    <w:basedOn w:val="788"/>
    <w:next w:val="788"/>
    <w:uiPriority w:val="0"/>
    <w:qFormat/>
    <w:rPr>
      <w:rFonts w:ascii="楷体_GB2312" w:hAnsi="Arial" w:eastAsia="楷体_GB2312"/>
      <w:sz w:val="28"/>
      <w:szCs w:val="28"/>
    </w:rPr>
  </w:style>
  <w:style w:type="numbering" w:styleId="122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879C6DC-D133-416E-AA2D-274183C570C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路紫明</cp:lastModifiedBy>
  <cp:revision>94</cp:revision>
  <dcterms:created xsi:type="dcterms:W3CDTF">2025-02-22T08:31:00Z</dcterms:created>
  <dcterms:modified xsi:type="dcterms:W3CDTF">2026-09-08T02:56:08Z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B24636243A394FFE8F80623A57DEBE3E_13</vt:lpwstr>
  </property>
  <property fmtid="{D5CDD505-2E9C-101B-9397-08002B2CF9AE}" pid="4" name="KSOTemplateDocerSaveRecord">
    <vt:lpwstr>eyJoZGlkIjoiZWQ0NWNmOWM0MTYxMDU5NDhmNTYxMTc1NGJlYTk1ODAiLCJ1c2VySWQiOiIyMTc3NzUyNDEifQ==</vt:lpwstr>
  </property>
</Properties>
</file>