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5"/>
      <w:r/>
      <w:bookmarkStart w:id="1" w:name="OLE_LINK12"/>
      <w:r/>
      <w:r/>
    </w:p>
    <w:p>
      <w:pPr>
        <w:pStyle w:val="84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江苏省中西医结合医院脊柱内窥镜手术系统</w:t>
      </w:r>
      <w:r/>
    </w:p>
    <w:p>
      <w:pPr>
        <w:pStyle w:val="84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4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color w:val="auto"/>
          <w:sz w:val="48"/>
          <w:szCs w:val="48"/>
          <w:highlight w:val="none"/>
          <w:lang w:val="en-US" w:bidi="ar-SA"/>
        </w:rPr>
        <mc:AlternateContent>
          <mc:Choice Requires="wpg">
            <w:drawing>
              <wp:inline xmlns:wp="http://schemas.openxmlformats.org/drawingml/2006/wordprocessingDrawing" distT="0" distB="0" distL="0" distR="0">
                <wp:extent cx="1718310" cy="2132330"/>
                <wp:effectExtent l="0" t="0" r="0" b="0"/>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我的插图-1"/>
                        <pic:cNvPicPr>
                          <a:picLocks noChangeAspect="1"/>
                        </pic:cNvPicPr>
                        <pic:nvPr/>
                      </pic:nvPicPr>
                      <pic:blipFill>
                        <a:blip r:embed="rId14"/>
                        <a:stretch/>
                      </pic:blipFill>
                      <pic:spPr bwMode="auto">
                        <a:xfrm>
                          <a:off x="0" y="0"/>
                          <a:ext cx="171831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3pt;height:167.9pt;mso-wrap-distance-left:0.0pt;mso-wrap-distance-top:0.0pt;mso-wrap-distance-right:0.0pt;mso-wrap-distance-bottom:0.0pt;" stroked="f">
                <v:path textboxrect="0,0,0,0"/>
                <v:imagedata r:id="rId14"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Ansi="Times New Roman" w:cs="Times New Roman"/>
          <w:color w:val="auto"/>
          <w:sz w:val="21"/>
          <w:szCs w:val="21"/>
          <w:highlight w:val="none"/>
          <w:lang w:val="en-US" w:bidi="ar-SA"/>
        </w:rPr>
      </w:pPr>
      <w:r>
        <w:rPr>
          <w:rFonts w:hint="eastAsia" w:cs="Times New Roman"/>
          <w:b/>
          <w:color w:val="auto"/>
          <w:sz w:val="36"/>
          <w:szCs w:val="36"/>
          <w:highlight w:val="none"/>
          <w:lang w:val="en-US" w:bidi="ar-SA"/>
        </w:rPr>
        <w:t xml:space="preserve">项目编号：JSZC-320000-SNZX-G2026-0141</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采购人：江苏省中医药研究院（省中西医结合医院）</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日期：二〇二六年九月</w:t>
      </w:r>
      <w:r>
        <w:rPr>
          <w:rFonts w:hint="eastAsia" w:cs="Times New Roman"/>
          <w:b/>
          <w:color w:val="auto"/>
          <w:sz w:val="36"/>
          <w:szCs w:val="36"/>
          <w:highlight w:val="none"/>
          <w:lang w:val="en-US" w:bidi="ar-SA"/>
        </w:rPr>
        <w:br w:type="page" w:clear="all"/>
      </w:r>
      <w:r/>
    </w:p>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08"/>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08"/>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08"/>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_Toc9832 \h </w:instrText>
      </w:r>
      <w:r>
        <w:rPr>
          <w:rFonts w:hint="eastAsia"/>
          <w:color w:val="auto"/>
          <w:sz w:val="28"/>
          <w:szCs w:val="28"/>
          <w:highlight w:val="none"/>
        </w:rPr>
        <w:fldChar w:fldCharType="separate"/>
      </w:r>
      <w:r>
        <w:rPr>
          <w:color w:val="auto"/>
          <w:sz w:val="28"/>
          <w:szCs w:val="28"/>
          <w:highlight w:val="none"/>
        </w:rPr>
        <w:t xml:space="preserve">18</w:t>
      </w:r>
      <w:r>
        <w:rPr>
          <w:rFonts w:hint="eastAsia"/>
          <w:color w:val="auto"/>
          <w:sz w:val="28"/>
          <w:szCs w:val="28"/>
          <w:highlight w:val="none"/>
        </w:rPr>
        <w:fldChar w:fldCharType="end"/>
      </w:r>
      <w:r>
        <w:rPr>
          <w:rFonts w:hint="eastAsia"/>
          <w:color w:val="auto"/>
          <w:sz w:val="28"/>
          <w:szCs w:val="28"/>
          <w:highlight w:val="none"/>
        </w:rPr>
        <w:fldChar w:fldCharType="end"/>
      </w:r>
      <w:r/>
    </w:p>
    <w:p>
      <w:pPr>
        <w:pStyle w:val="808"/>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808"/>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27</w:t>
      </w:r>
      <w:r>
        <w:rPr>
          <w:color w:val="auto"/>
          <w:sz w:val="28"/>
          <w:szCs w:val="28"/>
          <w:highlight w:val="none"/>
        </w:rPr>
        <w:fldChar w:fldCharType="end"/>
      </w:r>
      <w:r/>
    </w:p>
    <w:p>
      <w:pPr>
        <w:pStyle w:val="808"/>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第六章投标文件格式及附件</w:t>
      </w:r>
      <w:r>
        <w:rPr>
          <w:rFonts w:hint="eastAsia"/>
          <w:color w:val="auto"/>
          <w:sz w:val="28"/>
          <w:szCs w:val="28"/>
          <w:highlight w:val="none"/>
        </w:rPr>
        <w:tab/>
      </w:r>
      <w:r>
        <w:rPr>
          <w:color w:val="auto"/>
          <w:sz w:val="28"/>
          <w:szCs w:val="28"/>
          <w:highlight w:val="none"/>
        </w:rPr>
        <w:t xml:space="preserve">36</w:t>
      </w:r>
      <w:r>
        <w:rPr>
          <w:color w:val="auto"/>
          <w:sz w:val="28"/>
          <w:szCs w:val="28"/>
          <w:highlight w:val="none"/>
        </w:rPr>
        <w:fldChar w:fldCharType="end"/>
      </w:r>
      <w:r/>
    </w:p>
    <w:p>
      <w:pPr>
        <w:pStyle w:val="846"/>
        <w:ind w:left="0" w:firstLine="0"/>
        <w:spacing w:line="480" w:lineRule="auto"/>
        <w:rPr>
          <w:color w:val="auto"/>
          <w:highlight w:val="none"/>
          <w:lang w:val="en-US"/>
        </w:rPr>
      </w:pPr>
      <w:r>
        <w:rPr>
          <w:rFonts w:hint="eastAsia"/>
          <w:color w:val="auto"/>
          <w:sz w:val="28"/>
          <w:szCs w:val="28"/>
          <w:highlight w:val="none"/>
          <w:lang w:val="en-US"/>
        </w:rPr>
        <w:fldChar w:fldCharType="end"/>
      </w:r>
      <w:r/>
    </w:p>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江苏省中西医结合医院脊柱内窥镜手术系统</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10</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14</w:t>
      </w:r>
      <w:r>
        <w:rPr>
          <w:rFonts w:hint="eastAsia"/>
          <w:color w:val="auto"/>
          <w:sz w:val="24"/>
          <w:szCs w:val="24"/>
          <w:highlight w:val="none"/>
          <w:u w:val="single"/>
          <w:lang w:val="en-US" w:bidi="ar-SA"/>
        </w:rPr>
        <w:t xml:space="preserve">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val="en-US"/>
        </w:rPr>
        <w:t xml:space="preserve">JSZC-320000-SNZX-G2026-0141</w:t>
      </w:r>
      <w:r/>
    </w:p>
    <w:p>
      <w:pPr>
        <w:ind w:firstLine="480"/>
        <w:spacing w:line="360" w:lineRule="auto"/>
        <w:rPr>
          <w:color w:val="auto"/>
          <w:sz w:val="24"/>
          <w:szCs w:val="24"/>
          <w:highlight w:val="none"/>
        </w:rPr>
      </w:pPr>
      <w:r>
        <w:rPr>
          <w:rFonts w:hint="eastAsia"/>
          <w:color w:val="auto"/>
          <w:sz w:val="24"/>
          <w:szCs w:val="24"/>
          <w:highlight w:val="none"/>
        </w:rPr>
        <w:t xml:space="preserve">项目名称：江苏省中西医结合医院</w:t>
      </w:r>
      <w:bookmarkStart w:id="3" w:name="OLE_LINK26"/>
      <w:r/>
      <w:bookmarkStart w:id="4" w:name="OLE_LINK25"/>
      <w:r>
        <w:rPr>
          <w:rFonts w:hint="eastAsia"/>
          <w:color w:val="auto"/>
          <w:sz w:val="24"/>
          <w:szCs w:val="24"/>
          <w:highlight w:val="none"/>
        </w:rPr>
        <w:t xml:space="preserve">脊柱内窥镜手术系统</w:t>
      </w:r>
      <w:bookmarkEnd w:id="3"/>
      <w:r/>
      <w:bookmarkEnd w:id="4"/>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180</w:t>
      </w:r>
      <w:r>
        <w:rPr>
          <w:rFonts w:hint="eastAsia"/>
          <w:color w:val="auto"/>
          <w:sz w:val="24"/>
          <w:szCs w:val="24"/>
          <w:highlight w:val="none"/>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180</w:t>
      </w:r>
      <w:r>
        <w:rPr>
          <w:rFonts w:hint="eastAsia"/>
          <w:color w:val="auto"/>
          <w:sz w:val="24"/>
          <w:szCs w:val="24"/>
          <w:highlight w:val="none"/>
        </w:rPr>
        <w:t xml:space="preserve">万元，投标报价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rPr>
      </w:pPr>
      <w:r>
        <w:rPr>
          <w:rFonts w:hint="eastAsia"/>
          <w:color w:val="auto"/>
          <w:sz w:val="24"/>
          <w:szCs w:val="24"/>
          <w:highlight w:val="none"/>
        </w:rPr>
        <w:t xml:space="preserve">采购需求：</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包号</w:t>
            </w:r>
            <w:r/>
          </w:p>
        </w:tc>
        <w:tc>
          <w:tcPr>
            <w:tcW w:w="153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项目名称</w:t>
            </w:r>
            <w:r/>
          </w:p>
        </w:tc>
        <w:tc>
          <w:tcPr>
            <w:tcW w:w="66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数量</w:t>
            </w:r>
            <w:r/>
          </w:p>
        </w:tc>
        <w:tc>
          <w:tcPr>
            <w:tcW w:w="176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简要技术需求</w:t>
            </w:r>
            <w:r/>
          </w:p>
        </w:tc>
        <w:tc>
          <w:tcPr>
            <w:tcW w:w="152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rPr>
              <w:t xml:space="preserve">合同履行期限</w:t>
            </w:r>
            <w:r/>
          </w:p>
        </w:tc>
        <w:tc>
          <w:tcPr>
            <w:tcW w:w="112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预算金额</w:t>
            </w:r>
            <w:r/>
          </w:p>
          <w:p>
            <w:pPr>
              <w:pStyle w:val="816"/>
              <w:jc w:val="center"/>
              <w:spacing w:before="0" w:beforeAutospacing="0" w:after="0" w:afterAutospacing="0" w:line="360" w:lineRule="auto"/>
              <w:rPr>
                <w:rFonts w:ascii="Arial" w:hAnsi="Arial" w:cs="Arial"/>
                <w:color w:val="auto"/>
                <w:sz w:val="21"/>
                <w:szCs w:val="21"/>
                <w:highlight w:val="none"/>
              </w:rPr>
            </w:pPr>
            <w:r>
              <w:rPr>
                <w:b/>
                <w:bCs/>
                <w:color w:val="auto"/>
                <w:sz w:val="21"/>
                <w:szCs w:val="21"/>
                <w:highlight w:val="none"/>
                <w:lang w:val="en-US"/>
              </w:rPr>
              <w:t xml:space="preserve">（万元人民币）</w:t>
            </w:r>
            <w:r/>
          </w:p>
        </w:tc>
        <w:tc>
          <w:tcPr>
            <w:tcW w:w="1070" w:type="dxa"/>
            <w:vAlign w:val="center"/>
            <w:textDirection w:val="lrTb"/>
            <w:noWrap w:val="false"/>
          </w:tcPr>
          <w:p>
            <w:pPr>
              <w:pStyle w:val="816"/>
              <w:jc w:val="center"/>
              <w:spacing w:before="0" w:beforeAutospacing="0" w:after="0" w:afterAutospacing="0" w:line="360" w:lineRule="auto"/>
              <w:rPr>
                <w:b/>
                <w:bCs/>
                <w:color w:val="auto"/>
                <w:sz w:val="21"/>
                <w:szCs w:val="21"/>
                <w:highlight w:val="none"/>
              </w:rPr>
            </w:pPr>
            <w:r>
              <w:rPr>
                <w:rFonts w:hint="eastAsia" w:cs="Times New Roman"/>
                <w:b/>
                <w:bCs/>
                <w:color w:val="auto"/>
                <w:sz w:val="21"/>
                <w:szCs w:val="21"/>
                <w:highlight w:val="none"/>
                <w:lang w:val="en-US"/>
              </w:rPr>
              <w:t xml:space="preserve">最高限价</w:t>
            </w:r>
            <w:r/>
          </w:p>
          <w:p>
            <w:pPr>
              <w:pStyle w:val="816"/>
              <w:jc w:val="center"/>
              <w:spacing w:before="0" w:beforeAutospacing="0" w:after="0" w:afterAutospacing="0" w:line="360" w:lineRule="auto"/>
              <w:rPr>
                <w:rFonts w:ascii="Arial" w:hAnsi="Arial" w:cs="Arial"/>
                <w:b/>
                <w:bCs/>
                <w:color w:val="auto"/>
                <w:sz w:val="21"/>
                <w:szCs w:val="21"/>
                <w:highlight w:val="none"/>
              </w:rPr>
            </w:pPr>
            <w:r>
              <w:rPr>
                <w:b/>
                <w:bCs/>
                <w:color w:val="auto"/>
                <w:sz w:val="21"/>
                <w:szCs w:val="21"/>
                <w:highlight w:val="none"/>
                <w:lang w:val="en-US"/>
              </w:rPr>
              <w:t xml:space="preserve">（万元人民币）</w:t>
            </w:r>
            <w:r/>
          </w:p>
        </w:tc>
        <w:tc>
          <w:tcPr>
            <w:tcW w:w="10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b/>
                <w:bCs/>
                <w:color w:val="auto"/>
                <w:sz w:val="21"/>
                <w:szCs w:val="21"/>
                <w:highlight w:val="none"/>
                <w:lang w:val="en-US"/>
              </w:rPr>
              <w:t xml:space="preserve">是否接受进口产品</w:t>
            </w:r>
            <w:r/>
          </w:p>
        </w:tc>
      </w:tr>
      <w:tr>
        <w:trPr/>
        <w:tc>
          <w:tcPr>
            <w:tcW w:w="535"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w:t>
            </w:r>
            <w:r/>
          </w:p>
        </w:tc>
        <w:tc>
          <w:tcPr>
            <w:tcW w:w="1530" w:type="dxa"/>
            <w:vAlign w:val="center"/>
            <w:textDirection w:val="lrTb"/>
            <w:noWrap w:val="false"/>
          </w:tcPr>
          <w:p>
            <w:pPr>
              <w:jc w:val="both"/>
              <w:spacing w:line="360" w:lineRule="auto"/>
              <w:rPr>
                <w:color w:val="auto"/>
                <w:sz w:val="24"/>
                <w:szCs w:val="24"/>
                <w:highlight w:val="none"/>
              </w:rPr>
            </w:pPr>
            <w:r>
              <w:rPr>
                <w:rFonts w:hint="eastAsia"/>
                <w:color w:val="auto"/>
                <w:sz w:val="24"/>
                <w:szCs w:val="24"/>
                <w:highlight w:val="none"/>
              </w:rPr>
              <w:t xml:space="preserve">脊柱内窥镜手术系统</w:t>
            </w:r>
            <w:r/>
          </w:p>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1套</w:t>
            </w:r>
            <w:r/>
          </w:p>
        </w:tc>
        <w:tc>
          <w:tcPr>
            <w:tcW w:w="17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Times New Roman" w:hAnsi="Times New Roman" w:cs="Times New Roman"/>
                <w:color w:val="auto"/>
                <w:sz w:val="21"/>
                <w:szCs w:val="21"/>
                <w:highlight w:val="none"/>
              </w:rPr>
              <w:t xml:space="preserve">详见</w:t>
            </w:r>
            <w:r>
              <w:rPr>
                <w:rFonts w:hint="eastAsia" w:ascii="Times New Roman" w:hAnsi="Times New Roman" w:cs="Times New Roman"/>
                <w:color w:val="auto"/>
                <w:sz w:val="21"/>
                <w:szCs w:val="21"/>
                <w:highlight w:val="none"/>
                <w:lang w:val="en-US"/>
              </w:rPr>
              <w:t xml:space="preserve">招标</w:t>
            </w:r>
            <w:r>
              <w:rPr>
                <w:rFonts w:ascii="Times New Roman" w:hAnsi="Times New Roman" w:cs="Times New Roman"/>
                <w:color w:val="auto"/>
                <w:sz w:val="21"/>
                <w:szCs w:val="21"/>
                <w:highlight w:val="none"/>
              </w:rPr>
              <w:t xml:space="preserve">文件</w:t>
            </w:r>
            <w:r/>
          </w:p>
        </w:tc>
        <w:tc>
          <w:tcPr>
            <w:tcW w:w="152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合同签订生效后</w:t>
            </w:r>
            <w:r>
              <w:rPr>
                <w:rFonts w:ascii="Arial" w:hAnsi="Arial" w:cs="Arial"/>
                <w:color w:val="auto"/>
                <w:sz w:val="21"/>
                <w:szCs w:val="21"/>
                <w:highlight w:val="none"/>
                <w:lang w:val="en-US"/>
              </w:rPr>
              <w:t xml:space="preserve">60天内</w:t>
            </w:r>
            <w:r/>
          </w:p>
        </w:tc>
        <w:tc>
          <w:tcPr>
            <w:tcW w:w="112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7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不接受</w:t>
            </w:r>
            <w:r/>
          </w:p>
        </w:tc>
      </w:tr>
    </w:tbl>
    <w:p>
      <w:pPr>
        <w:spacing w:line="360" w:lineRule="auto"/>
        <w:rPr>
          <w:color w:val="auto"/>
          <w:sz w:val="24"/>
          <w:szCs w:val="24"/>
          <w:highlight w:val="none"/>
        </w:rPr>
      </w:pPr>
      <w:r>
        <w:rPr>
          <w:color w:val="auto"/>
          <w:sz w:val="24"/>
          <w:szCs w:val="24"/>
          <w:highlight w:val="none"/>
        </w:rPr>
      </w:r>
      <w:r/>
    </w:p>
    <w:p>
      <w:pPr>
        <w:pStyle w:val="795"/>
        <w:ind w:firstLine="480"/>
        <w:spacing w:line="360" w:lineRule="auto"/>
        <w:rPr>
          <w:color w:val="auto"/>
          <w:sz w:val="24"/>
          <w:szCs w:val="24"/>
          <w:highlight w:val="none"/>
          <w:lang w:val="en-US"/>
        </w:rPr>
      </w:pPr>
      <w:r>
        <w:rPr>
          <w:rFonts w:hint="eastAsia"/>
          <w:color w:val="auto"/>
          <w:sz w:val="24"/>
          <w:szCs w:val="24"/>
          <w:highlight w:val="none"/>
          <w:lang w:val="en-US"/>
        </w:rPr>
        <w:t xml:space="preserve">合同履行期限</w:t>
      </w:r>
      <w:r>
        <w:rPr>
          <w:rFonts w:hint="eastAsia"/>
          <w:color w:val="auto"/>
          <w:sz w:val="24"/>
          <w:szCs w:val="24"/>
          <w:highlight w:val="none"/>
        </w:rPr>
        <w:t xml:space="preserve">：</w:t>
      </w:r>
      <w:bookmarkStart w:id="5" w:name="OLE_LINK28"/>
      <w:r/>
      <w:bookmarkStart w:id="6" w:name="OLE_LINK27"/>
      <w:r>
        <w:rPr>
          <w:rFonts w:hint="eastAsia"/>
          <w:color w:val="auto"/>
          <w:sz w:val="24"/>
          <w:szCs w:val="24"/>
          <w:highlight w:val="none"/>
        </w:rPr>
        <w:t xml:space="preserve">合同签订生效后60天内</w:t>
      </w:r>
      <w:bookmarkEnd w:id="5"/>
      <w:r/>
      <w:bookmarkEnd w:id="6"/>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7" w:name="二、申请人的资格要求："/>
      <w:r/>
      <w:bookmarkEnd w:id="7"/>
      <w:r>
        <w:rPr>
          <w:rFonts w:hint="eastAsia"/>
          <w:b/>
          <w:bCs/>
          <w:color w:val="auto"/>
          <w:sz w:val="24"/>
          <w:szCs w:val="24"/>
          <w:highlight w:val="none"/>
        </w:rPr>
        <w:t xml:space="preserve">二、申请人的资格要求：</w:t>
      </w:r>
      <w:r/>
    </w:p>
    <w:p>
      <w:pPr>
        <w:pStyle w:val="84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利润表）（法人或者其他组织成立未满三个月的可以不提供），或其银行出具的资信证书（复印件）（开标前六个月内），或其上一年度经审计的财务报告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4、有依法缴纳税收和社会保障资金的良好记录（提供参加本次采购活动前一年内至少一个月依法缴纳增值税或企业所得税的凭据，及社会保障资金的相关材料复印件加盖公章）；</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84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（1）本项目整体专门面向中小企业采购工程。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（2）本项目整体专门面向小微企业采购工程。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（3）本项目通过以下第（）种方式预留部分采购份额采购中小企业工程：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①本项目要求供应商以联合体形式参加，中小企业合同金额应当达到的比例为/%。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②本项目要求供应商进行合同分包，中小企业合同金额应当达到的比例为/%。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（4）本项目为非预留份额的采购项目或采购包，执行价格扣除优惠政策，具体详见第三章。</w:t>
      </w:r>
      <w:r/>
    </w:p>
    <w:p>
      <w:pPr>
        <w:pStyle w:val="846"/>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8" w:name="三、获取招标文件"/>
      <w:r/>
      <w:bookmarkEnd w:id="8"/>
      <w:r/>
      <w:r/>
    </w:p>
    <w:p>
      <w:pPr>
        <w:pStyle w:val="84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1）根据国家相关政策规定，属于医疗器械监督管理的设备，需具备以下特定资格：</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1)供应商须提供有效期内的医疗器械产品注册证或产品备案凭证（提供复印件加盖公章）；</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2)若投标供应商为代理商，须具有有效期内的《医疗器械经营许可证》或医疗器械经营备案凭证（提供复印件加盖公章）；</w:t>
      </w:r>
      <w:r/>
    </w:p>
    <w:p>
      <w:pPr>
        <w:pStyle w:val="846"/>
        <w:contextualSpacing/>
        <w:ind w:left="0" w:firstLine="480"/>
        <w:spacing w:line="360" w:lineRule="auto"/>
        <w:tabs>
          <w:tab w:val="left" w:pos="1061" w:leader="none"/>
        </w:tabs>
        <w:rPr>
          <w:color w:val="auto"/>
          <w:sz w:val="24"/>
          <w:szCs w:val="24"/>
          <w:highlight w:val="none"/>
        </w:rPr>
      </w:pPr>
      <w:r>
        <w:rPr>
          <w:color w:val="auto"/>
          <w:sz w:val="24"/>
          <w:szCs w:val="24"/>
          <w:highlight w:val="none"/>
        </w:rPr>
        <w:t xml:space="preserve">3)若投标供应商为生产商，须具有有效期内的《医疗器械生产许可证》或生产备案凭证（提供复印件加盖公章）。</w:t>
      </w:r>
      <w:r/>
    </w:p>
    <w:p>
      <w:pPr>
        <w:pStyle w:val="846"/>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三、获取招标文件</w:t>
      </w:r>
      <w:r/>
    </w:p>
    <w:p>
      <w:pPr>
        <w:contextualSpacing/>
        <w:ind w:firstLine="480"/>
        <w:spacing w:line="360" w:lineRule="auto"/>
        <w:rPr>
          <w:color w:val="auto"/>
          <w:sz w:val="24"/>
          <w:szCs w:val="24"/>
          <w:highlight w:val="none"/>
          <w:lang w:val="en-US"/>
        </w:rPr>
      </w:pPr>
      <w:r/>
      <w:bookmarkStart w:id="9" w:name="四、提交投标文件截止时间、开标时间和地点"/>
      <w:r/>
      <w:bookmarkEnd w:id="9"/>
      <w:r>
        <w:rPr>
          <w:rFonts w:hint="eastAsia"/>
          <w:color w:val="auto"/>
          <w:sz w:val="24"/>
          <w:szCs w:val="24"/>
          <w:highlight w:val="none"/>
          <w:lang w:val="en-US"/>
        </w:rPr>
        <w:t xml:space="preserve">时间：自招标文件公告发布之日起5个工作日</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地点：江苏政府采购网苏采云系统</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方式：网上下载</w:t>
      </w:r>
      <w:r/>
    </w:p>
    <w:p>
      <w:pPr>
        <w:contextualSpacing/>
        <w:ind w:firstLine="480"/>
        <w:spacing w:line="360" w:lineRule="auto"/>
        <w:rPr>
          <w:color w:val="auto"/>
          <w:sz w:val="24"/>
          <w:szCs w:val="24"/>
          <w:highlight w:val="none"/>
        </w:rPr>
      </w:pPr>
      <w:r>
        <w:rPr>
          <w:rFonts w:hint="eastAsia"/>
          <w:color w:val="auto"/>
          <w:sz w:val="24"/>
          <w:szCs w:val="24"/>
          <w:highlight w:val="none"/>
          <w:lang w:val="en-US"/>
        </w:rPr>
        <w:t xml:space="preserve">售价：0元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10</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14</w:t>
      </w:r>
      <w:r>
        <w:rPr>
          <w:rFonts w:hint="eastAsia"/>
          <w:color w:val="auto"/>
          <w:sz w:val="24"/>
          <w:szCs w:val="24"/>
          <w:highlight w:val="none"/>
          <w:u w:val="single"/>
          <w:lang w:val="en-US" w:bidi="ar-SA"/>
        </w:rPr>
        <w:t xml:space="preserve">点30分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10" w:name="七、对本次招标提出询问，请按以下方式联系。"/>
      <w:r/>
      <w:bookmarkEnd w:id="10"/>
      <w:r/>
      <w:bookmarkStart w:id="11"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（3）拒绝列入失信被执行人、重大税收违法失信主体、政府采购严重违法失信行为记录名单中的供应商参加本项目的采购活动。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795"/>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（1）政府采购促进中小企业发展</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（2）政府采购支持监狱企业发展</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（3）政府采购促进残疾人就业</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（4）政府采购鼓励采购节能环保产品</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w:t>
      </w:r>
      <w:r>
        <w:rPr>
          <w:rFonts w:hint="eastAsia"/>
          <w:color w:val="auto"/>
          <w:sz w:val="24"/>
          <w:szCs w:val="24"/>
          <w:highlight w:val="none"/>
          <w:lang w:val="en-US"/>
        </w:rPr>
        <w:t xml:space="preserve">不接受</w:t>
      </w:r>
      <w:r>
        <w:rPr>
          <w:color w:val="auto"/>
          <w:sz w:val="24"/>
          <w:szCs w:val="24"/>
          <w:highlight w:val="none"/>
          <w:lang w:val="en-US"/>
        </w:rPr>
        <w:t xml:space="preserve">。</w:t>
      </w:r>
      <w:r/>
    </w:p>
    <w:p>
      <w:pPr>
        <w:pStyle w:val="79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11"/>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江苏省中医药研究院（省中西医结合医院）</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南京市栖霞区红山路十字街100号</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025-85630179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w:t>
      </w:r>
      <w:r/>
    </w:p>
    <w:p>
      <w:pPr>
        <w:ind w:firstLine="480"/>
        <w:spacing w:line="360" w:lineRule="auto"/>
        <w:tabs>
          <w:tab w:val="left" w:pos="1617" w:leader="none"/>
          <w:tab w:val="left" w:pos="2457" w:leader="none"/>
          <w:tab w:val="left" w:pos="7076" w:leader="none"/>
        </w:tabs>
        <w:rPr>
          <w:color w:val="auto"/>
          <w:highlight w:val="non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color w:val="auto"/>
          <w:sz w:val="36"/>
          <w:highlight w:val="none"/>
        </w:rPr>
        <w:outlineLvl w:val="0"/>
      </w:pPr>
      <w:r/>
      <w:bookmarkStart w:id="12" w:name="一、项目基本情况"/>
      <w:r/>
      <w:bookmarkEnd w:id="12"/>
      <w:r/>
      <w:bookmarkStart w:id="13" w:name="_Toc15993"/>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ascii="黑体" w:eastAsia="黑体"/>
          <w:color w:val="auto"/>
          <w:sz w:val="36"/>
          <w:highlight w:val="none"/>
        </w:rPr>
      </w:r>
      <w:r/>
    </w:p>
    <w:p>
      <w:pPr>
        <w:ind w:left="2024" w:right="2064"/>
        <w:jc w:val="center"/>
        <w:spacing w:before="49"/>
        <w:rPr>
          <w:rFonts w:ascii="黑体" w:eastAsia="黑体"/>
          <w:color w:val="auto"/>
          <w:sz w:val="36"/>
          <w:highlight w:val="none"/>
        </w:rPr>
        <w:outlineLvl w:val="0"/>
      </w:pPr>
      <w:r>
        <w:rPr>
          <w:rFonts w:hint="eastAsia" w:ascii="黑体" w:eastAsia="黑体"/>
          <w:color w:val="auto"/>
          <w:sz w:val="36"/>
          <w:highlight w:val="none"/>
        </w:rPr>
        <w:t xml:space="preserve">第二章供应商须知</w:t>
      </w:r>
      <w:bookmarkEnd w:id="13"/>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795"/>
        <w:ind w:firstLine="420"/>
        <w:spacing w:line="360" w:lineRule="auto"/>
        <w:rPr>
          <w:color w:val="auto"/>
          <w:highlight w:val="none"/>
        </w:rPr>
      </w:pPr>
      <w:r/>
      <w:bookmarkStart w:id="14" w:name="1、适用法律"/>
      <w:r/>
      <w:bookmarkEnd w:id="14"/>
      <w:r>
        <w:rPr>
          <w:rFonts w:hint="eastAsia"/>
          <w:color w:val="auto"/>
          <w:highlight w:val="none"/>
        </w:rPr>
        <w:t xml:space="preserve">1、适用法律</w:t>
      </w:r>
      <w:r/>
    </w:p>
    <w:p>
      <w:pPr>
        <w:pStyle w:val="795"/>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5" w:name="2、定义"/>
      <w:r/>
      <w:bookmarkEnd w:id="15"/>
      <w:r>
        <w:rPr>
          <w:rFonts w:hint="eastAsia"/>
          <w:b/>
          <w:color w:val="auto"/>
          <w:sz w:val="21"/>
          <w:szCs w:val="21"/>
          <w:highlight w:val="none"/>
        </w:rPr>
        <w:t xml:space="preserve">2、定义</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2.1</w:t>
      </w: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2.2</w:t>
      </w: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2.3</w:t>
      </w:r>
      <w:r>
        <w:rPr>
          <w:rFonts w:hint="eastAsia"/>
          <w:color w:val="auto"/>
          <w:sz w:val="21"/>
          <w:szCs w:val="21"/>
          <w:highlight w:val="none"/>
        </w:rPr>
        <w:t xml:space="preserve">“用户或使用单位”是指使用服务的单位。 </w:t>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3.1</w:t>
      </w:r>
      <w:r>
        <w:rPr>
          <w:rFonts w:hint="eastAsia"/>
          <w:color w:val="auto"/>
          <w:sz w:val="21"/>
          <w:szCs w:val="21"/>
          <w:highlight w:val="none"/>
          <w:lang w:val="en-US"/>
        </w:rPr>
        <w:t xml:space="preserve"> </w:t>
      </w: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3.2</w:t>
      </w:r>
      <w:r>
        <w:rPr>
          <w:rFonts w:hint="eastAsia"/>
          <w:color w:val="auto"/>
          <w:sz w:val="21"/>
          <w:szCs w:val="21"/>
          <w:highlight w:val="none"/>
          <w:lang w:val="en-US"/>
        </w:rPr>
        <w:t xml:space="preserve"> </w:t>
      </w: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3.3</w:t>
      </w:r>
      <w:r>
        <w:rPr>
          <w:rFonts w:hint="eastAsia"/>
          <w:color w:val="auto"/>
          <w:sz w:val="21"/>
          <w:szCs w:val="21"/>
          <w:highlight w:val="none"/>
          <w:lang w:val="en-US"/>
        </w:rPr>
        <w:t xml:space="preserve"> </w:t>
      </w: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3.4</w:t>
      </w:r>
      <w:r>
        <w:rPr>
          <w:rFonts w:hint="eastAsia"/>
          <w:color w:val="auto"/>
          <w:sz w:val="21"/>
          <w:szCs w:val="21"/>
          <w:highlight w:val="none"/>
          <w:lang w:val="en-US"/>
        </w:rPr>
        <w:t xml:space="preserve"> </w:t>
      </w: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3.5</w:t>
      </w:r>
      <w:r>
        <w:rPr>
          <w:rFonts w:hint="eastAsia"/>
          <w:color w:val="auto"/>
          <w:sz w:val="21"/>
          <w:szCs w:val="21"/>
          <w:highlight w:val="none"/>
          <w:lang w:val="en-US"/>
        </w:rPr>
        <w:t xml:space="preserve"> </w:t>
      </w: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3.6</w:t>
      </w:r>
      <w:r>
        <w:rPr>
          <w:rFonts w:hint="eastAsia"/>
          <w:color w:val="auto"/>
          <w:sz w:val="21"/>
          <w:szCs w:val="21"/>
          <w:highlight w:val="none"/>
          <w:lang w:val="en-US"/>
        </w:rPr>
        <w:t xml:space="preserve"> </w:t>
      </w: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846"/>
        <w:numPr>
          <w:ilvl w:val="1"/>
          <w:numId w:val="0"/>
        </w:numPr>
        <w:ind w:firstLine="420"/>
        <w:spacing w:line="360" w:lineRule="auto"/>
        <w:tabs>
          <w:tab w:val="left" w:pos="1114" w:leader="none"/>
        </w:tabs>
        <w:rPr>
          <w:color w:val="auto"/>
          <w:sz w:val="21"/>
          <w:szCs w:val="21"/>
          <w:highlight w:val="none"/>
        </w:rPr>
      </w:pPr>
      <w:r>
        <w:rPr>
          <w:color w:val="auto"/>
          <w:sz w:val="21"/>
          <w:szCs w:val="21"/>
          <w:highlight w:val="none"/>
        </w:rPr>
        <w:t xml:space="preserve">3.7</w:t>
      </w:r>
      <w:r>
        <w:rPr>
          <w:rFonts w:hint="eastAsia"/>
          <w:color w:val="auto"/>
          <w:sz w:val="21"/>
          <w:szCs w:val="21"/>
          <w:highlight w:val="none"/>
          <w:lang w:val="en-US"/>
        </w:rPr>
        <w:t xml:space="preserve"> </w:t>
      </w: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w:t>
      </w:r>
      <w:r>
        <w:rPr>
          <w:rFonts w:hint="eastAsia"/>
          <w:color w:val="auto"/>
          <w:sz w:val="21"/>
          <w:szCs w:val="21"/>
          <w:highlight w:val="none"/>
          <w:lang w:val="en-US"/>
        </w:rPr>
        <w:t xml:space="preserve"> </w:t>
      </w:r>
      <w:r>
        <w:rPr>
          <w:color w:val="auto"/>
          <w:sz w:val="21"/>
          <w:szCs w:val="21"/>
          <w:highlight w:val="none"/>
        </w:rPr>
        <w:t xml:space="preserve">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4.1</w:t>
      </w: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4.2</w:t>
      </w: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4.3</w:t>
      </w: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6" w:name="5、招标文件的澄清、修改"/>
      <w:r/>
      <w:bookmarkEnd w:id="16"/>
      <w:r>
        <w:rPr>
          <w:rFonts w:hint="eastAsia"/>
          <w:b/>
          <w:color w:val="auto"/>
          <w:sz w:val="21"/>
          <w:szCs w:val="21"/>
          <w:highlight w:val="none"/>
        </w:rPr>
        <w:t xml:space="preserve">5、招标文件的澄清、修改</w:t>
      </w:r>
      <w:r/>
    </w:p>
    <w:p>
      <w:pPr>
        <w:pStyle w:val="846"/>
        <w:numPr>
          <w:ilvl w:val="1"/>
          <w:numId w:val="0"/>
        </w:numPr>
        <w:ind w:firstLine="420"/>
        <w:spacing w:line="360" w:lineRule="auto"/>
        <w:tabs>
          <w:tab w:val="left" w:pos="956" w:leader="none"/>
        </w:tabs>
        <w:rPr>
          <w:color w:val="auto"/>
          <w:sz w:val="21"/>
          <w:szCs w:val="21"/>
          <w:highlight w:val="none"/>
        </w:rPr>
      </w:pPr>
      <w:r>
        <w:rPr>
          <w:color w:val="auto"/>
          <w:spacing w:val="-2"/>
          <w:sz w:val="19"/>
          <w:szCs w:val="19"/>
          <w:highlight w:val="none"/>
        </w:rPr>
        <w:t xml:space="preserve">5.1</w:t>
      </w: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846"/>
        <w:numPr>
          <w:ilvl w:val="1"/>
          <w:numId w:val="0"/>
        </w:numPr>
        <w:ind w:firstLine="420"/>
        <w:spacing w:line="360" w:lineRule="auto"/>
        <w:tabs>
          <w:tab w:val="left" w:pos="1059" w:leader="none"/>
        </w:tabs>
        <w:rPr>
          <w:color w:val="auto"/>
          <w:sz w:val="21"/>
          <w:szCs w:val="21"/>
          <w:highlight w:val="none"/>
        </w:rPr>
      </w:pPr>
      <w:r>
        <w:rPr>
          <w:color w:val="auto"/>
          <w:spacing w:val="-2"/>
          <w:sz w:val="19"/>
          <w:szCs w:val="19"/>
          <w:highlight w:val="none"/>
        </w:rPr>
        <w:t xml:space="preserve">5.2</w:t>
      </w: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846"/>
        <w:numPr>
          <w:ilvl w:val="1"/>
          <w:numId w:val="0"/>
        </w:numPr>
        <w:ind w:firstLine="420"/>
        <w:spacing w:line="360" w:lineRule="auto"/>
        <w:tabs>
          <w:tab w:val="left" w:pos="1059" w:leader="none"/>
        </w:tabs>
        <w:rPr>
          <w:b/>
          <w:color w:val="auto"/>
          <w:sz w:val="21"/>
          <w:szCs w:val="21"/>
          <w:highlight w:val="none"/>
        </w:rPr>
      </w:pPr>
      <w:r>
        <w:rPr>
          <w:color w:val="auto"/>
          <w:spacing w:val="-2"/>
          <w:sz w:val="19"/>
          <w:szCs w:val="19"/>
          <w:highlight w:val="none"/>
        </w:rPr>
        <w:t xml:space="preserve">5.3</w:t>
      </w:r>
      <w:r>
        <w:rPr>
          <w:rFonts w:hint="eastAsia"/>
          <w:color w:val="auto"/>
          <w:sz w:val="21"/>
          <w:szCs w:val="21"/>
          <w:highlight w:val="none"/>
        </w:rPr>
        <w:t xml:space="preserve">供应商应在投标截止时间前关注原采购信息发布媒体上有关本招标项目有无变更公告。  </w:t>
      </w:r>
      <w:bookmarkStart w:id="17" w:name="三、投标"/>
      <w:r/>
      <w:bookmarkEnd w:id="17"/>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846"/>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8" w:name="8、投标费用"/>
      <w:r/>
      <w:bookmarkEnd w:id="18"/>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招标代理服务费：本次采购，成交供应商按苏招协【2022】002《江苏省招标代理服务收费指导价》的80%向招标代理机构支付招标服务费。该项费用请供应商综合考虑在投标报价中，后期招标人不单独列支，必须在领取中标通知书前向招标代理机构支付招标服务费。</w:t>
      </w:r>
      <w:r>
        <w:rPr>
          <w:bCs/>
          <w:color w:val="auto"/>
          <w:sz w:val="21"/>
          <w:szCs w:val="21"/>
          <w:highlight w:val="none"/>
          <w:lang w:val="en-US"/>
        </w:rPr>
        <w:t xml:space="preserve">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846"/>
        <w:numPr>
          <w:ilvl w:val="1"/>
          <w:numId w:val="0"/>
        </w:numPr>
        <w:ind w:firstLine="420"/>
        <w:spacing w:line="360" w:lineRule="auto"/>
        <w:tabs>
          <w:tab w:val="left" w:pos="1006" w:leader="none"/>
        </w:tabs>
        <w:rPr>
          <w:color w:val="auto"/>
          <w:sz w:val="21"/>
          <w:szCs w:val="21"/>
          <w:highlight w:val="none"/>
        </w:rPr>
      </w:pPr>
      <w:r>
        <w:rPr>
          <w:color w:val="auto"/>
          <w:sz w:val="21"/>
          <w:szCs w:val="21"/>
          <w:highlight w:val="none"/>
        </w:rPr>
        <w:t xml:space="preserve">9.1</w:t>
      </w: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46"/>
        <w:numPr>
          <w:ilvl w:val="1"/>
          <w:numId w:val="0"/>
        </w:numPr>
        <w:ind w:firstLine="420"/>
        <w:spacing w:line="360" w:lineRule="auto"/>
        <w:tabs>
          <w:tab w:val="left" w:pos="1049" w:leader="none"/>
        </w:tabs>
        <w:rPr>
          <w:color w:val="auto"/>
          <w:sz w:val="21"/>
          <w:szCs w:val="21"/>
          <w:highlight w:val="none"/>
        </w:rPr>
      </w:pPr>
      <w:r>
        <w:rPr>
          <w:color w:val="auto"/>
          <w:sz w:val="21"/>
          <w:szCs w:val="21"/>
          <w:highlight w:val="none"/>
        </w:rPr>
        <w:t xml:space="preserve">9.2</w:t>
      </w: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84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9.3</w:t>
      </w:r>
      <w:r>
        <w:rPr>
          <w:rFonts w:hint="eastAsia"/>
          <w:color w:val="auto"/>
          <w:sz w:val="21"/>
          <w:szCs w:val="21"/>
          <w:highlight w:val="none"/>
        </w:rPr>
        <w:t xml:space="preserve">投标文件由商务部分、技术部分、价格部分，以及其他部分组成。 </w:t>
      </w:r>
      <w:r/>
    </w:p>
    <w:p>
      <w:pPr>
        <w:pStyle w:val="84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795"/>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b/>
          <w:color w:val="auto"/>
          <w:highlight w:val="none"/>
        </w:rPr>
        <w:t xml:space="preserve">★</w:t>
      </w:r>
      <w:r>
        <w:rPr>
          <w:rFonts w:hint="eastAsia"/>
          <w:color w:val="auto"/>
          <w:highlight w:val="none"/>
        </w:rPr>
        <w:t xml:space="preserve">”项目不得有缺失或无效。</w:t>
      </w:r>
      <w:r/>
    </w:p>
    <w:p>
      <w:pPr>
        <w:pStyle w:val="84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投标申请及声明；</w:t>
      </w:r>
      <w:r/>
    </w:p>
    <w:p>
      <w:pPr>
        <w:pStyle w:val="84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846"/>
        <w:numPr>
          <w:ilvl w:val="0"/>
          <w:numId w:val="1"/>
        </w:numPr>
        <w:ind w:firstLine="442"/>
        <w:spacing w:line="360" w:lineRule="auto"/>
        <w:tabs>
          <w:tab w:val="left" w:pos="1169" w:leader="none"/>
        </w:tabs>
        <w:rPr>
          <w:color w:val="auto"/>
          <w:sz w:val="21"/>
          <w:szCs w:val="21"/>
          <w:highlight w:val="none"/>
        </w:rPr>
      </w:pPr>
      <w:r>
        <w:rPr>
          <w:rFonts w:hint="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846"/>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b/>
          <w:color w:val="auto"/>
          <w:szCs w:val="21"/>
          <w:highlight w:val="none"/>
        </w:rPr>
        <w:t xml:space="preserve">★</w:t>
      </w:r>
      <w:r>
        <w:rPr>
          <w:rFonts w:hint="eastAsia"/>
          <w:color w:val="auto"/>
          <w:sz w:val="21"/>
          <w:szCs w:val="21"/>
          <w:highlight w:val="none"/>
        </w:rPr>
        <w:t xml:space="preserve">《商务条款偏离表》；</w:t>
      </w:r>
      <w:r/>
    </w:p>
    <w:p>
      <w:pPr>
        <w:pStyle w:val="846"/>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84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11.1</w:t>
      </w: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11.2</w:t>
      </w:r>
      <w:r>
        <w:rPr>
          <w:rFonts w:hint="eastAsia"/>
          <w:color w:val="auto"/>
          <w:sz w:val="21"/>
          <w:szCs w:val="21"/>
          <w:highlight w:val="none"/>
        </w:rPr>
        <w:t xml:space="preserve">若技术性能无特殊说明，则按国家有关部门最新颁布的标准及规范为准；</w:t>
      </w:r>
      <w:r/>
    </w:p>
    <w:p>
      <w:pPr>
        <w:pStyle w:val="84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11.3</w:t>
      </w:r>
      <w:r>
        <w:rPr>
          <w:rFonts w:hint="eastAsia"/>
          <w:color w:val="auto"/>
          <w:sz w:val="21"/>
          <w:szCs w:val="21"/>
          <w:highlight w:val="none"/>
        </w:rPr>
        <w:t xml:space="preserve">提供的服务如与招标文件要求有不符之处，应说明其差别之所在，并在《技术条款偏离表》中逐条予以说明。</w:t>
      </w:r>
      <w:r/>
    </w:p>
    <w:p>
      <w:pPr>
        <w:pStyle w:val="846"/>
        <w:numPr>
          <w:ilvl w:val="1"/>
          <w:numId w:val="0"/>
        </w:numPr>
        <w:ind w:firstLine="420"/>
        <w:spacing w:line="360" w:lineRule="auto"/>
        <w:tabs>
          <w:tab w:val="left" w:pos="1164" w:leader="none"/>
        </w:tabs>
        <w:rPr>
          <w:b/>
          <w:color w:val="auto"/>
          <w:sz w:val="21"/>
          <w:szCs w:val="21"/>
          <w:highlight w:val="none"/>
        </w:rPr>
      </w:pPr>
      <w:r>
        <w:rPr>
          <w:b/>
          <w:color w:val="auto"/>
          <w:spacing w:val="-2"/>
          <w:sz w:val="21"/>
          <w:szCs w:val="21"/>
          <w:highlight w:val="none"/>
        </w:rPr>
        <w:t xml:space="preserve">11.4</w:t>
      </w: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b/>
          <w:color w:val="auto"/>
          <w:szCs w:val="21"/>
          <w:highlight w:val="none"/>
        </w:rPr>
        <w:t xml:space="preserve">★</w:t>
      </w:r>
      <w:r>
        <w:rPr>
          <w:rFonts w:hint="eastAsia"/>
          <w:b/>
          <w:color w:val="auto"/>
          <w:sz w:val="21"/>
          <w:szCs w:val="21"/>
          <w:highlight w:val="none"/>
        </w:rPr>
        <w:t xml:space="preserve">项目不得有缺失或无效：</w:t>
      </w:r>
      <w:r/>
    </w:p>
    <w:p>
      <w:pPr>
        <w:pStyle w:val="846"/>
        <w:ind w:left="0"/>
        <w:spacing w:line="360" w:lineRule="auto"/>
        <w:tabs>
          <w:tab w:val="left" w:pos="1164" w:leader="none"/>
        </w:tabs>
        <w:rPr>
          <w:bCs/>
          <w:color w:val="auto"/>
          <w:sz w:val="21"/>
          <w:szCs w:val="21"/>
          <w:highlight w:val="none"/>
        </w:rPr>
      </w:pPr>
      <w:r>
        <w:rPr>
          <w:color w:val="auto"/>
          <w:spacing w:val="-1"/>
          <w:sz w:val="19"/>
          <w:szCs w:val="19"/>
          <w:highlight w:val="none"/>
        </w:rPr>
        <w:t xml:space="preserve">（1）</w:t>
      </w:r>
      <w:r>
        <w:rPr>
          <w:rFonts w:hint="eastAsia"/>
          <w:bCs/>
          <w:color w:val="auto"/>
          <w:sz w:val="21"/>
          <w:szCs w:val="21"/>
          <w:highlight w:val="none"/>
        </w:rPr>
        <w:t xml:space="preserve">拟投入本项目人员配备表；</w:t>
      </w:r>
      <w:r/>
    </w:p>
    <w:p>
      <w:pPr>
        <w:pStyle w:val="846"/>
        <w:ind w:left="0"/>
        <w:spacing w:line="360" w:lineRule="auto"/>
        <w:tabs>
          <w:tab w:val="left" w:pos="1163" w:leader="none"/>
        </w:tabs>
        <w:rPr>
          <w:color w:val="auto"/>
          <w:sz w:val="21"/>
          <w:szCs w:val="21"/>
          <w:highlight w:val="none"/>
        </w:rPr>
      </w:pPr>
      <w:r>
        <w:rPr>
          <w:color w:val="auto"/>
          <w:spacing w:val="-1"/>
          <w:sz w:val="19"/>
          <w:szCs w:val="19"/>
          <w:highlight w:val="none"/>
        </w:rPr>
        <w:t xml:space="preserve">（2）</w:t>
      </w:r>
      <w:r>
        <w:rPr>
          <w:rFonts w:hint="eastAsia"/>
          <w:color w:val="auto"/>
          <w:sz w:val="21"/>
          <w:szCs w:val="21"/>
          <w:highlight w:val="none"/>
        </w:rPr>
        <w:t xml:space="preserve">项目实施方案；</w:t>
      </w:r>
      <w:r/>
    </w:p>
    <w:p>
      <w:pPr>
        <w:pStyle w:val="846"/>
        <w:ind w:left="0"/>
        <w:spacing w:line="360" w:lineRule="auto"/>
        <w:tabs>
          <w:tab w:val="left" w:pos="1164" w:leader="none"/>
        </w:tabs>
        <w:rPr>
          <w:color w:val="auto"/>
          <w:sz w:val="21"/>
          <w:szCs w:val="21"/>
          <w:highlight w:val="none"/>
        </w:rPr>
      </w:pPr>
      <w:r>
        <w:rPr>
          <w:color w:val="auto"/>
          <w:spacing w:val="-1"/>
          <w:sz w:val="19"/>
          <w:szCs w:val="19"/>
          <w:highlight w:val="none"/>
        </w:rPr>
        <w:t xml:space="preserve">（3）</w:t>
      </w:r>
      <w:r>
        <w:rPr>
          <w:rFonts w:hint="eastAsia"/>
          <w:color w:val="auto"/>
          <w:sz w:val="21"/>
          <w:szCs w:val="21"/>
          <w:highlight w:val="none"/>
        </w:rPr>
        <w:t xml:space="preserve">服务承诺；</w:t>
      </w:r>
      <w:r/>
    </w:p>
    <w:p>
      <w:pPr>
        <w:pStyle w:val="846"/>
        <w:ind w:left="0" w:firstLine="442"/>
        <w:spacing w:line="360" w:lineRule="auto"/>
        <w:tabs>
          <w:tab w:val="left" w:pos="1163" w:leader="none"/>
        </w:tabs>
        <w:rPr>
          <w:color w:val="auto"/>
          <w:sz w:val="21"/>
          <w:szCs w:val="21"/>
          <w:highlight w:val="none"/>
        </w:rPr>
      </w:pPr>
      <w:r>
        <w:rPr>
          <w:color w:val="auto"/>
          <w:spacing w:val="-1"/>
          <w:sz w:val="19"/>
          <w:szCs w:val="19"/>
          <w:highlight w:val="none"/>
        </w:rPr>
        <w:t xml:space="preserve">（4）</w:t>
      </w:r>
      <w:r>
        <w:rPr>
          <w:rFonts w:hint="eastAsia"/>
          <w:b/>
          <w:color w:val="auto"/>
          <w:szCs w:val="21"/>
          <w:highlight w:val="none"/>
        </w:rPr>
        <w:t xml:space="preserve">★</w:t>
      </w:r>
      <w:r>
        <w:rPr>
          <w:rFonts w:hint="eastAsia"/>
          <w:color w:val="auto"/>
          <w:sz w:val="21"/>
          <w:szCs w:val="21"/>
          <w:highlight w:val="none"/>
        </w:rPr>
        <w:t xml:space="preserve">《技术条款偏离表》；</w:t>
      </w:r>
      <w:r/>
    </w:p>
    <w:p>
      <w:pPr>
        <w:pStyle w:val="846"/>
        <w:ind w:left="0"/>
        <w:spacing w:line="360" w:lineRule="auto"/>
        <w:tabs>
          <w:tab w:val="left" w:pos="1163" w:leader="none"/>
        </w:tabs>
        <w:rPr>
          <w:b/>
          <w:color w:val="auto"/>
          <w:sz w:val="21"/>
          <w:szCs w:val="21"/>
          <w:highlight w:val="none"/>
        </w:rPr>
      </w:pPr>
      <w:r>
        <w:rPr>
          <w:color w:val="auto"/>
          <w:spacing w:val="-1"/>
          <w:sz w:val="19"/>
          <w:szCs w:val="19"/>
          <w:highlight w:val="none"/>
        </w:rPr>
        <w:t xml:space="preserve">（5）</w:t>
      </w:r>
      <w:r>
        <w:rPr>
          <w:rFonts w:hint="eastAsia"/>
          <w:color w:val="auto"/>
          <w:sz w:val="21"/>
          <w:szCs w:val="21"/>
          <w:highlight w:val="none"/>
        </w:rPr>
        <w:t xml:space="preserve">供应商认为需要提供的其他技术资料。</w:t>
      </w:r>
      <w:r/>
    </w:p>
    <w:p>
      <w:pPr>
        <w:pStyle w:val="84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84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795"/>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795"/>
        <w:ind w:firstLine="422"/>
        <w:spacing w:line="360" w:lineRule="auto"/>
        <w:rPr>
          <w:b/>
          <w:color w:val="auto"/>
          <w:highlight w:val="none"/>
        </w:rPr>
      </w:pPr>
      <w:r>
        <w:rPr>
          <w:rFonts w:hint="eastAsia"/>
          <w:b/>
          <w:color w:val="auto"/>
          <w:highlight w:val="none"/>
        </w:rPr>
        <w:t xml:space="preserve">14、投标有效期</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14.1</w:t>
      </w: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14.2</w:t>
      </w: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15.1</w:t>
      </w: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84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846"/>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9" w:name="四、开标、评标与确定中标供应商"/>
      <w:r/>
      <w:bookmarkEnd w:id="19"/>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84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846"/>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84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846"/>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846"/>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846"/>
        <w:ind w:left="0"/>
        <w:spacing w:line="360" w:lineRule="auto"/>
        <w:tabs>
          <w:tab w:val="left" w:pos="1163" w:leader="none"/>
        </w:tabs>
        <w:rPr>
          <w:color w:val="auto"/>
          <w:sz w:val="21"/>
          <w:szCs w:val="21"/>
          <w:highlight w:val="none"/>
        </w:rPr>
      </w:pPr>
      <w:r/>
      <w:bookmarkStart w:id="20" w:name="20.2.1.1采购人代表将依法对投标人的资格进行审查。"/>
      <w:r/>
      <w:bookmarkEnd w:id="20"/>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846"/>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846"/>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46"/>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84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846"/>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846"/>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84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846"/>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846"/>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84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846"/>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84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84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846"/>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84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846"/>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23.1</w:t>
      </w:r>
      <w:r>
        <w:rPr>
          <w:rFonts w:hint="eastAsia"/>
          <w:color w:val="auto"/>
          <w:sz w:val="21"/>
          <w:szCs w:val="21"/>
          <w:highlight w:val="none"/>
        </w:rPr>
        <w:t xml:space="preserve">招标代理将采取必要措施，保证评标在严格保密的情况下进行。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23.2</w:t>
      </w:r>
      <w:r>
        <w:rPr>
          <w:rFonts w:hint="eastAsia"/>
          <w:color w:val="auto"/>
          <w:sz w:val="21"/>
          <w:szCs w:val="21"/>
          <w:highlight w:val="none"/>
        </w:rPr>
        <w:t xml:space="preserve">任何单位和个人不得非法干预、影响评标办法的确定，以及评标过程和结果。</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23.3</w:t>
      </w: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21" w:name="五、签订合同"/>
      <w:r/>
      <w:bookmarkEnd w:id="21"/>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24.1</w:t>
      </w: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24.2</w:t>
      </w: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84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24.3</w:t>
      </w: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24.4</w:t>
      </w: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22" w:name="六、询问、质疑、投诉和诚实信用"/>
      <w:r/>
      <w:bookmarkEnd w:id="22"/>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795"/>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26.1</w:t>
      </w: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846"/>
        <w:numPr>
          <w:ilvl w:val="1"/>
          <w:numId w:val="0"/>
        </w:numPr>
        <w:ind w:firstLine="420"/>
        <w:spacing w:line="360" w:lineRule="auto"/>
        <w:tabs>
          <w:tab w:val="left" w:pos="1155" w:leader="none"/>
        </w:tabs>
        <w:rPr>
          <w:color w:val="auto"/>
          <w:sz w:val="21"/>
          <w:szCs w:val="21"/>
          <w:highlight w:val="none"/>
        </w:rPr>
      </w:pPr>
      <w:r>
        <w:rPr>
          <w:color w:val="auto"/>
          <w:sz w:val="21"/>
          <w:szCs w:val="21"/>
          <w:highlight w:val="none"/>
        </w:rPr>
        <w:t xml:space="preserve">26.2</w:t>
      </w: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26.3</w:t>
      </w: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84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26.4</w:t>
      </w:r>
      <w:r>
        <w:rPr>
          <w:rFonts w:hint="eastAsia"/>
          <w:color w:val="auto"/>
          <w:sz w:val="21"/>
          <w:szCs w:val="21"/>
          <w:highlight w:val="none"/>
        </w:rPr>
        <w:t xml:space="preserve">上述应知其权益受到损害之日是指：</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对招标文件提出质疑的，为投标文件公告期限届满之日起计算；</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对采购过程提出质疑的，自采购程序环节结束之日起计算；</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对中标结果提出质疑的，自中标结果公告期限届满之日起计算。</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26.5</w:t>
      </w: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质疑项目名称、项目编号、包号、招标公告发布时间、开标时间；</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提起质疑的日期、具体的质疑事项及事实根据（具体条款）；</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46"/>
        <w:ind w:left="0"/>
        <w:spacing w:line="360" w:lineRule="auto"/>
        <w:tabs>
          <w:tab w:val="left" w:pos="1163" w:leader="none"/>
        </w:tabs>
        <w:rPr>
          <w:color w:val="auto"/>
          <w:sz w:val="21"/>
          <w:szCs w:val="21"/>
          <w:highlight w:val="none"/>
        </w:rPr>
      </w:pPr>
      <w:r>
        <w:rPr>
          <w:color w:val="auto"/>
          <w:sz w:val="19"/>
          <w:szCs w:val="19"/>
          <w:highlight w:val="none"/>
        </w:rPr>
        <w:t xml:space="preserve">（4）</w:t>
      </w:r>
      <w:r>
        <w:rPr>
          <w:rFonts w:hint="eastAsia"/>
          <w:color w:val="auto"/>
          <w:sz w:val="21"/>
          <w:szCs w:val="21"/>
          <w:highlight w:val="none"/>
        </w:rPr>
        <w:t xml:space="preserve">质疑供应商名称、地址、邮编、联系人、联系电话（包括座机、手机、传真号码等）；</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（5）</w:t>
      </w: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846"/>
        <w:ind w:left="0"/>
        <w:spacing w:line="360" w:lineRule="auto"/>
        <w:tabs>
          <w:tab w:val="left" w:pos="1167" w:leader="none"/>
        </w:tabs>
        <w:rPr>
          <w:color w:val="auto"/>
          <w:sz w:val="21"/>
          <w:szCs w:val="21"/>
          <w:highlight w:val="none"/>
        </w:rPr>
      </w:pPr>
      <w:r>
        <w:rPr>
          <w:color w:val="auto"/>
          <w:sz w:val="19"/>
          <w:szCs w:val="19"/>
          <w:highlight w:val="none"/>
        </w:rPr>
        <w:t xml:space="preserve">（6）</w:t>
      </w:r>
      <w:r>
        <w:rPr>
          <w:rFonts w:hint="eastAsia"/>
          <w:color w:val="auto"/>
          <w:sz w:val="21"/>
          <w:szCs w:val="21"/>
          <w:highlight w:val="none"/>
        </w:rPr>
        <w:t xml:space="preserve">供应商委托代理质疑的，应当向被质疑人提交授权委托书，并载明委托代理的具体权限和事项。</w:t>
      </w:r>
      <w:r/>
    </w:p>
    <w:p>
      <w:pPr>
        <w:pStyle w:val="84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26.6</w:t>
      </w: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795"/>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28.1</w:t>
      </w: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28.2</w:t>
      </w: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28.3</w:t>
      </w: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4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28.4</w:t>
      </w:r>
      <w:r>
        <w:rPr>
          <w:rFonts w:hint="eastAsia"/>
          <w:color w:val="auto"/>
          <w:sz w:val="21"/>
          <w:szCs w:val="21"/>
          <w:highlight w:val="none"/>
        </w:rPr>
        <w:t xml:space="preserve">供应商不得虚假承诺，否则，按照提供虚假材料谋取中标成交处理。</w:t>
      </w:r>
      <w:r/>
    </w:p>
    <w:p>
      <w:pPr>
        <w:pStyle w:val="846"/>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3" w:name="_Toc9832"/>
      <w:r>
        <w:rPr>
          <w:rFonts w:hint="eastAsia" w:ascii="黑体" w:eastAsia="黑体"/>
          <w:b/>
          <w:color w:val="auto"/>
          <w:sz w:val="36"/>
          <w:highlight w:val="none"/>
        </w:rPr>
        <w:t xml:space="preserve">第三章 评标标准</w:t>
      </w:r>
      <w:bookmarkEnd w:id="23"/>
      <w:r/>
      <w:r/>
    </w:p>
    <w:p>
      <w:pPr>
        <w:ind w:firstLine="440"/>
        <w:spacing w:line="360" w:lineRule="auto"/>
        <w:rPr>
          <w:rStyle w:val="997"/>
          <w:rFonts w:ascii="宋体" w:hAnsi="宋体" w:cs="宋体"/>
          <w:color w:val="auto"/>
          <w:highlight w:val="none"/>
          <w:lang w:val="en-US"/>
        </w:rPr>
      </w:pPr>
      <w:r>
        <w:rPr>
          <w:rFonts w:hint="eastAsia"/>
          <w:color w:val="auto"/>
          <w:highlight w:val="none"/>
        </w:rPr>
        <w:t xml:space="preserve">本项目评标方法采用综合评分法，综合评分的主要因素是：价格、投标产品技术参数响应同类产品业绩、</w:t>
      </w:r>
      <w:r>
        <w:rPr>
          <w:rFonts w:hint="eastAsia"/>
          <w:color w:val="auto"/>
          <w:highlight w:val="none"/>
          <w:lang w:val="en-US"/>
        </w:rPr>
        <w:t xml:space="preserve">同类产品业绩、项目实施方案、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bookmarkStart w:id="24" w:name="_Toc12644"/>
      <w:r/>
      <w:r/>
    </w:p>
    <w:tbl>
      <w:tblPr>
        <w:tblStyle w:val="790"/>
        <w:tblW w:w="10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513"/>
        <w:gridCol w:w="7126"/>
        <w:gridCol w:w="830"/>
      </w:tblGrid>
      <w:tr>
        <w:trPr>
          <w:jc w:val="center"/>
          <w:trHeight w:val="310"/>
          <w:tblHeader/>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序号</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评分因素</w:t>
            </w:r>
            <w:r/>
          </w:p>
        </w:tc>
        <w:tc>
          <w:tcPr>
            <w:tcW w:w="7126"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评分标准</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分值</w:t>
            </w:r>
            <w:r/>
          </w:p>
        </w:tc>
      </w:tr>
      <w:tr>
        <w:trPr>
          <w:jc w:val="center"/>
          <w:trHeight w:val="810"/>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1</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报价</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30</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2</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投标产品</w:t>
            </w:r>
            <w:r/>
          </w:p>
          <w:p>
            <w:pPr>
              <w:jc w:val="center"/>
              <w:spacing w:line="360" w:lineRule="auto"/>
              <w:widowControl/>
              <w:rPr>
                <w:color w:val="auto"/>
                <w:szCs w:val="21"/>
                <w:highlight w:val="none"/>
              </w:rPr>
            </w:pPr>
            <w:r>
              <w:rPr>
                <w:rFonts w:hint="eastAsia"/>
                <w:color w:val="auto"/>
                <w:szCs w:val="21"/>
                <w:highlight w:val="none"/>
              </w:rPr>
              <w:t xml:space="preserve">技术参数</w:t>
            </w:r>
            <w:r/>
          </w:p>
          <w:p>
            <w:pPr>
              <w:jc w:val="center"/>
              <w:spacing w:line="360" w:lineRule="auto"/>
              <w:widowControl/>
              <w:rPr>
                <w:color w:val="auto"/>
                <w:szCs w:val="21"/>
                <w:highlight w:val="none"/>
              </w:rPr>
            </w:pPr>
            <w:r>
              <w:rPr>
                <w:rFonts w:hint="eastAsia"/>
                <w:color w:val="auto"/>
                <w:szCs w:val="21"/>
                <w:highlight w:val="none"/>
              </w:rPr>
              <w:t xml:space="preserve">响应</w:t>
            </w:r>
            <w:r/>
          </w:p>
        </w:tc>
        <w:tc>
          <w:tcPr>
            <w:tcW w:w="712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根据投标产品对招标文件技术参数的响应程度：全部响应即满足招标文件技术参数要求的得</w:t>
            </w:r>
            <w:r>
              <w:rPr>
                <w:color w:val="auto"/>
                <w:szCs w:val="21"/>
                <w:highlight w:val="none"/>
              </w:rPr>
              <w:t xml:space="preserve">28</w:t>
            </w:r>
            <w:r>
              <w:rPr>
                <w:rFonts w:hint="eastAsia"/>
                <w:color w:val="auto"/>
                <w:szCs w:val="21"/>
                <w:highlight w:val="none"/>
              </w:rPr>
              <w:t xml:space="preserve">分，带★号参数为关键参数，负偏离一项作无效投标处理；带▲的为重要参数，负偏离的每项扣</w:t>
            </w:r>
            <w:r>
              <w:rPr>
                <w:color w:val="auto"/>
                <w:szCs w:val="21"/>
                <w:highlight w:val="none"/>
              </w:rPr>
              <w:t xml:space="preserve">3</w:t>
            </w:r>
            <w:r>
              <w:rPr>
                <w:rFonts w:hint="eastAsia"/>
                <w:color w:val="auto"/>
                <w:szCs w:val="21"/>
                <w:highlight w:val="none"/>
              </w:rPr>
              <w:t xml:space="preserve">分；一般参数有负偏离的每项扣</w:t>
            </w:r>
            <w:r>
              <w:rPr>
                <w:color w:val="auto"/>
                <w:szCs w:val="21"/>
                <w:highlight w:val="none"/>
              </w:rPr>
              <w:t xml:space="preserve">1</w:t>
            </w:r>
            <w:r>
              <w:rPr>
                <w:rFonts w:hint="eastAsia"/>
                <w:color w:val="auto"/>
                <w:szCs w:val="21"/>
                <w:highlight w:val="none"/>
              </w:rPr>
              <w:t xml:space="preserve">分，扣完为止。</w:t>
            </w:r>
            <w:r/>
          </w:p>
          <w:p>
            <w:pPr>
              <w:spacing w:line="360" w:lineRule="auto"/>
              <w:rPr>
                <w:color w:val="auto"/>
                <w:szCs w:val="21"/>
                <w:highlight w:val="none"/>
              </w:rPr>
            </w:pPr>
            <w:r>
              <w:rPr>
                <w:color w:val="auto"/>
                <w:szCs w:val="21"/>
                <w:highlight w:val="none"/>
              </w:rPr>
              <w:t xml:space="preserve">（供应商须在技术条款偏离表中逐条进行应答，列明所投产品详细技术特性，并说明偏离情况。▲号指标参数须提供第三方检验报告或者</w:t>
            </w:r>
            <w:r>
              <w:rPr>
                <w:rFonts w:hint="eastAsia"/>
                <w:color w:val="auto"/>
                <w:szCs w:val="21"/>
                <w:highlight w:val="none"/>
              </w:rPr>
              <w:t xml:space="preserve">技术支持资料（如厂家证明、白皮书、彩页、手册、说明书等）</w:t>
            </w:r>
            <w:r>
              <w:rPr>
                <w:color w:val="auto"/>
                <w:szCs w:val="21"/>
                <w:highlight w:val="none"/>
              </w:rPr>
              <w:t xml:space="preserve">，如果参数后带括号要求提供相关证明材料的，则另须提供相关证明材料，并在技术条款偏离表中详细标明所在投标文件中的页码和位置，未提供材料的，评审时不予认可；其他参数以技术条款偏离中应答为准）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830" w:type="dxa"/>
            <w:vAlign w:val="center"/>
            <w:textDirection w:val="lrTb"/>
            <w:noWrap w:val="false"/>
          </w:tcPr>
          <w:p>
            <w:pPr>
              <w:ind w:firstLine="220"/>
              <w:jc w:val="both"/>
              <w:rPr>
                <w:color w:val="auto"/>
                <w:szCs w:val="21"/>
                <w:highlight w:val="none"/>
                <w:lang w:val="en-US"/>
              </w:rPr>
            </w:pPr>
            <w:r>
              <w:rPr>
                <w:rFonts w:hint="eastAsia"/>
                <w:color w:val="auto"/>
                <w:szCs w:val="21"/>
                <w:highlight w:val="none"/>
                <w:lang w:val="en-US"/>
              </w:rPr>
              <w:t xml:space="preserve">28</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3</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同类</w:t>
            </w:r>
            <w:r/>
          </w:p>
          <w:p>
            <w:pPr>
              <w:jc w:val="center"/>
              <w:spacing w:line="360" w:lineRule="auto"/>
              <w:widowControl/>
              <w:rPr>
                <w:color w:val="auto"/>
                <w:szCs w:val="21"/>
                <w:highlight w:val="none"/>
              </w:rPr>
            </w:pPr>
            <w:r>
              <w:rPr>
                <w:rFonts w:hint="eastAsia"/>
                <w:color w:val="auto"/>
                <w:szCs w:val="21"/>
                <w:highlight w:val="none"/>
              </w:rPr>
              <w:t xml:space="preserve">产品业绩</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自20</w:t>
            </w:r>
            <w:r>
              <w:rPr>
                <w:color w:val="auto"/>
                <w:szCs w:val="21"/>
                <w:highlight w:val="none"/>
              </w:rPr>
              <w:t xml:space="preserve">2</w:t>
            </w:r>
            <w:r>
              <w:rPr>
                <w:rFonts w:hint="eastAsia"/>
                <w:color w:val="auto"/>
                <w:szCs w:val="21"/>
                <w:highlight w:val="none"/>
                <w:lang w:val="en-US"/>
              </w:rPr>
              <w:t xml:space="preserve">3</w:t>
            </w:r>
            <w:r>
              <w:rPr>
                <w:rFonts w:hint="eastAsia"/>
                <w:color w:val="auto"/>
                <w:szCs w:val="21"/>
                <w:highlight w:val="none"/>
              </w:rPr>
              <w:t xml:space="preserve">年</w:t>
            </w:r>
            <w:r>
              <w:rPr>
                <w:color w:val="auto"/>
                <w:szCs w:val="21"/>
                <w:highlight w:val="none"/>
                <w:lang w:val="en-US"/>
              </w:rPr>
              <w:t xml:space="preserve">9</w:t>
            </w:r>
            <w:r>
              <w:rPr>
                <w:rFonts w:hint="eastAsia"/>
                <w:color w:val="auto"/>
                <w:szCs w:val="21"/>
                <w:highlight w:val="none"/>
              </w:rPr>
              <w:t xml:space="preserve">月1日（</w:t>
            </w:r>
            <w:r>
              <w:rPr>
                <w:rFonts w:hint="eastAsia"/>
                <w:color w:val="auto"/>
                <w:szCs w:val="21"/>
                <w:highlight w:val="none"/>
                <w:lang w:val="en-US"/>
              </w:rPr>
              <w:t xml:space="preserve">含）</w:t>
            </w:r>
            <w:r>
              <w:rPr>
                <w:rFonts w:hint="eastAsia"/>
                <w:color w:val="auto"/>
                <w:szCs w:val="21"/>
                <w:highlight w:val="none"/>
              </w:rPr>
              <w:t xml:space="preserve">以来，供应商</w:t>
            </w:r>
            <w:r>
              <w:rPr>
                <w:rFonts w:hint="eastAsia"/>
                <w:color w:val="auto"/>
                <w:szCs w:val="21"/>
                <w:highlight w:val="none"/>
                <w:lang w:val="en-US" w:eastAsia="zh-CN"/>
              </w:rPr>
              <w:t xml:space="preserve">或制造商</w:t>
            </w:r>
            <w:r>
              <w:rPr>
                <w:rFonts w:hint="eastAsia"/>
                <w:color w:val="auto"/>
                <w:szCs w:val="21"/>
                <w:highlight w:val="none"/>
              </w:rPr>
              <w:t xml:space="preserve">具有同型号产品的销售业绩，每提供1个业绩得</w:t>
            </w:r>
            <w:r>
              <w:rPr>
                <w:color w:val="auto"/>
                <w:szCs w:val="21"/>
                <w:highlight w:val="none"/>
              </w:rPr>
              <w:t xml:space="preserve">5</w:t>
            </w:r>
            <w:r>
              <w:rPr>
                <w:rFonts w:hint="eastAsia"/>
                <w:color w:val="auto"/>
                <w:szCs w:val="21"/>
                <w:highlight w:val="none"/>
              </w:rPr>
              <w:t xml:space="preserve">分，最多得</w:t>
            </w:r>
            <w:r>
              <w:rPr>
                <w:color w:val="auto"/>
                <w:szCs w:val="21"/>
                <w:highlight w:val="none"/>
              </w:rPr>
              <w:t xml:space="preserve">10</w:t>
            </w:r>
            <w:bookmarkStart w:id="47" w:name="_GoBack"/>
            <w:r/>
            <w:bookmarkEnd w:id="47"/>
            <w:r>
              <w:rPr>
                <w:rFonts w:hint="eastAsia"/>
                <w:color w:val="auto"/>
                <w:szCs w:val="21"/>
                <w:highlight w:val="none"/>
              </w:rPr>
              <w:t xml:space="preserve">分，不满足或未提供的得0分。</w:t>
            </w:r>
            <w:r/>
          </w:p>
          <w:p>
            <w:pPr>
              <w:spacing w:line="360" w:lineRule="auto"/>
              <w:widowControl/>
              <w:rPr>
                <w:color w:val="auto"/>
                <w:szCs w:val="21"/>
                <w:highlight w:val="none"/>
              </w:rPr>
            </w:pPr>
            <w:r>
              <w:rPr>
                <w:rFonts w:hint="eastAsia"/>
                <w:color w:val="auto"/>
                <w:szCs w:val="21"/>
                <w:highlight w:val="none"/>
              </w:rPr>
              <w:t xml:space="preserve">【提供合同复印件加盖供应商公章，内容应体现评审要素、清晰可见，否则视为未提供】。</w:t>
            </w:r>
            <w:r/>
          </w:p>
        </w:tc>
        <w:tc>
          <w:tcPr>
            <w:tcW w:w="830"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10</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4</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项目实施方案</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供应商根据项目具体的实施情况制定整体实施方案、安装方案、进度安排、设备使用维护、验收方案。</w:t>
            </w:r>
            <w:r/>
          </w:p>
          <w:p>
            <w:pPr>
              <w:spacing w:line="360" w:lineRule="auto"/>
              <w:widowControl/>
              <w:rPr>
                <w:color w:val="auto"/>
                <w:szCs w:val="21"/>
                <w:highlight w:val="none"/>
              </w:rPr>
            </w:pPr>
            <w:r>
              <w:rPr>
                <w:rFonts w:hint="eastAsia"/>
                <w:color w:val="auto"/>
                <w:szCs w:val="21"/>
                <w:highlight w:val="none"/>
              </w:rPr>
              <w:t xml:space="preserve">方案完整全面，进度安排合理和可执行性高得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方案较完整，进度安排较合理得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方案简单，可执行性一般得4分；</w:t>
            </w:r>
            <w:r/>
          </w:p>
          <w:p>
            <w:pPr>
              <w:spacing w:line="360" w:lineRule="auto"/>
              <w:widowControl/>
              <w:rPr>
                <w:color w:val="auto"/>
                <w:szCs w:val="21"/>
                <w:highlight w:val="none"/>
              </w:rPr>
            </w:pPr>
            <w:r>
              <w:rPr>
                <w:rFonts w:hint="eastAsia"/>
                <w:color w:val="auto"/>
                <w:szCs w:val="21"/>
                <w:highlight w:val="none"/>
              </w:rPr>
              <w:t xml:space="preserve">方案不完整得</w:t>
            </w:r>
            <w:r>
              <w:rPr>
                <w:color w:val="auto"/>
                <w:szCs w:val="21"/>
                <w:highlight w:val="none"/>
              </w:rPr>
              <w:t xml:space="preserve">2</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8</w:t>
            </w:r>
            <w:r/>
          </w:p>
        </w:tc>
      </w:tr>
      <w:tr>
        <w:trPr>
          <w:jc w:val="center"/>
          <w:trHeight w:val="562"/>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5</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售后服务</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供应商提供针对本项目的售后服务方案，方案内容包括售后服务机构组织架构、人员岗位设置、拟配备人员岗位职责等内容。</w:t>
            </w:r>
            <w:r/>
          </w:p>
          <w:p>
            <w:pPr>
              <w:spacing w:line="360" w:lineRule="auto"/>
              <w:widowControl/>
              <w:rPr>
                <w:color w:val="auto"/>
                <w:szCs w:val="21"/>
                <w:highlight w:val="none"/>
              </w:rPr>
            </w:pPr>
            <w:r>
              <w:rPr>
                <w:rFonts w:hint="eastAsia"/>
                <w:color w:val="auto"/>
                <w:szCs w:val="21"/>
                <w:highlight w:val="none"/>
              </w:rPr>
              <w:t xml:space="preserve">方案内容清晰详实，贴切实际、实用性强得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方案内容较为详实，贴切实际，具备一定实用性得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方案内容不太详实，实用性较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方案内容不合理，粗糙、无实用性无可行性得</w:t>
            </w:r>
            <w:r>
              <w:rPr>
                <w:color w:val="auto"/>
                <w:szCs w:val="21"/>
                <w:highlight w:val="none"/>
              </w:rPr>
              <w:t xml:space="preserve">2</w:t>
            </w:r>
            <w:r>
              <w:rPr>
                <w:rFonts w:hint="eastAsia"/>
                <w:color w:val="auto"/>
                <w:szCs w:val="21"/>
                <w:highlight w:val="none"/>
              </w:rPr>
              <w:t xml:space="preserve">分。</w:t>
            </w:r>
            <w:r/>
          </w:p>
          <w:p>
            <w:pPr>
              <w:spacing w:line="360" w:lineRule="auto"/>
              <w:rPr>
                <w:color w:val="auto"/>
                <w:sz w:val="21"/>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rPr>
              <w:t xml:space="preserve">8</w:t>
            </w:r>
            <w:r/>
          </w:p>
        </w:tc>
      </w:tr>
      <w:tr>
        <w:trPr>
          <w:jc w:val="center"/>
          <w:trHeight w:val="264"/>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6</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质量保证措施   </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供应商提供针对本项目的质量保证措施，内容包括质量目标、质量保证体系认证、质量目标等。</w:t>
            </w:r>
            <w:r/>
          </w:p>
          <w:p>
            <w:pPr>
              <w:spacing w:line="360" w:lineRule="auto"/>
              <w:widowControl/>
              <w:rPr>
                <w:color w:val="auto"/>
                <w:szCs w:val="21"/>
                <w:highlight w:val="none"/>
              </w:rPr>
            </w:pPr>
            <w:r>
              <w:rPr>
                <w:rFonts w:hint="eastAsia"/>
                <w:color w:val="auto"/>
                <w:szCs w:val="21"/>
                <w:highlight w:val="none"/>
              </w:rPr>
              <w:t xml:space="preserve">有明确的质量目标、健全的质量保证体系认证，措施可靠且针对性强得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有较为明确的质量目标、质量保证体系认证，措施具有一定针对性得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明确的质量目标、质量保证体系认证较差，针对性措施较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质量目标不明确，缺乏质量保证体系、措施一般无太大针对性得</w:t>
            </w:r>
            <w:r>
              <w:rPr>
                <w:color w:val="auto"/>
                <w:szCs w:val="21"/>
                <w:highlight w:val="none"/>
              </w:rPr>
              <w:t xml:space="preserve">2</w:t>
            </w:r>
            <w:r>
              <w:rPr>
                <w:rFonts w:hint="eastAsia"/>
                <w:color w:val="auto"/>
                <w:szCs w:val="21"/>
                <w:highlight w:val="none"/>
              </w:rPr>
              <w:t xml:space="preserve">分。</w:t>
            </w:r>
            <w:r/>
          </w:p>
          <w:p>
            <w:pPr>
              <w:spacing w:line="360" w:lineRule="auto"/>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rPr>
              <w:t xml:space="preserve">8</w:t>
            </w:r>
            <w:r/>
          </w:p>
        </w:tc>
      </w:tr>
      <w:tr>
        <w:trPr>
          <w:jc w:val="center"/>
          <w:trHeight w:val="1083"/>
        </w:trPr>
        <w:tc>
          <w:tcPr>
            <w:tcW w:w="719"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lang w:val="en-US"/>
              </w:rPr>
              <w:t xml:space="preserve">7</w:t>
            </w:r>
            <w:r/>
          </w:p>
        </w:tc>
        <w:tc>
          <w:tcPr>
            <w:tcW w:w="1513"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人员培训</w:t>
            </w:r>
            <w:r/>
          </w:p>
          <w:p>
            <w:pPr>
              <w:jc w:val="center"/>
              <w:spacing w:line="360" w:lineRule="auto"/>
              <w:widowControl/>
              <w:rPr>
                <w:color w:val="auto"/>
                <w:szCs w:val="21"/>
                <w:highlight w:val="none"/>
              </w:rPr>
            </w:pPr>
            <w:r>
              <w:rPr>
                <w:rFonts w:hint="eastAsia"/>
                <w:color w:val="auto"/>
                <w:szCs w:val="21"/>
                <w:highlight w:val="none"/>
              </w:rPr>
              <w:t xml:space="preserve">方案</w:t>
            </w:r>
            <w:r/>
          </w:p>
        </w:tc>
        <w:tc>
          <w:tcPr>
            <w:tcW w:w="7126"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根据供应商提供的结合本项目实际情况编制的技术培训方案进行横向对比，包括培训总体方案概述、培训理念、培训计划、培训次数等，</w:t>
            </w:r>
            <w:r/>
          </w:p>
          <w:p>
            <w:pPr>
              <w:spacing w:line="360" w:lineRule="auto"/>
              <w:widowControl/>
              <w:rPr>
                <w:color w:val="auto"/>
                <w:szCs w:val="21"/>
                <w:highlight w:val="none"/>
              </w:rPr>
            </w:pPr>
            <w:r>
              <w:rPr>
                <w:rFonts w:hint="eastAsia"/>
                <w:color w:val="auto"/>
                <w:szCs w:val="21"/>
                <w:highlight w:val="none"/>
              </w:rPr>
              <w:t xml:space="preserve">方案内容清晰详实，贴切实际、实用性强得</w:t>
            </w:r>
            <w:r>
              <w:rPr>
                <w:color w:val="auto"/>
                <w:szCs w:val="21"/>
                <w:highlight w:val="none"/>
              </w:rPr>
              <w:t xml:space="preserve">8</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方案内容较为详实，贴切实际，具备一定实用性得</w:t>
            </w:r>
            <w:r>
              <w:rPr>
                <w:color w:val="auto"/>
                <w:szCs w:val="21"/>
                <w:highlight w:val="none"/>
              </w:rPr>
              <w:t xml:space="preserve">6</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方案内容不太详实，实用性较</w:t>
            </w:r>
            <w:r>
              <w:rPr>
                <w:rFonts w:hint="eastAsia"/>
                <w:color w:val="auto"/>
                <w:szCs w:val="21"/>
                <w:highlight w:val="none"/>
                <w:lang w:val="en-US"/>
              </w:rPr>
              <w:t xml:space="preserve">弱</w:t>
            </w:r>
            <w:r>
              <w:rPr>
                <w:rFonts w:hint="eastAsia"/>
                <w:color w:val="auto"/>
                <w:szCs w:val="21"/>
                <w:highlight w:val="none"/>
              </w:rPr>
              <w:t xml:space="preserve">得</w:t>
            </w:r>
            <w:r>
              <w:rPr>
                <w:color w:val="auto"/>
                <w:szCs w:val="21"/>
                <w:highlight w:val="none"/>
              </w:rPr>
              <w:t xml:space="preserve">4</w:t>
            </w:r>
            <w:r>
              <w:rPr>
                <w:rFonts w:hint="eastAsia"/>
                <w:color w:val="auto"/>
                <w:szCs w:val="21"/>
                <w:highlight w:val="none"/>
              </w:rPr>
              <w:t xml:space="preserve">分；</w:t>
            </w:r>
            <w:r/>
          </w:p>
          <w:p>
            <w:pPr>
              <w:spacing w:line="360" w:lineRule="auto"/>
              <w:widowControl/>
              <w:rPr>
                <w:color w:val="auto"/>
                <w:szCs w:val="21"/>
                <w:highlight w:val="none"/>
              </w:rPr>
            </w:pPr>
            <w:r>
              <w:rPr>
                <w:rFonts w:hint="eastAsia"/>
                <w:color w:val="auto"/>
                <w:szCs w:val="21"/>
                <w:highlight w:val="none"/>
              </w:rPr>
              <w:t xml:space="preserve">方案内容不合理，粗糙、无实用性无可行性得</w:t>
            </w:r>
            <w:r>
              <w:rPr>
                <w:color w:val="auto"/>
                <w:szCs w:val="21"/>
                <w:highlight w:val="none"/>
              </w:rPr>
              <w:t xml:space="preserve">2</w:t>
            </w:r>
            <w:r>
              <w:rPr>
                <w:rFonts w:hint="eastAsia"/>
                <w:color w:val="auto"/>
                <w:szCs w:val="21"/>
                <w:highlight w:val="none"/>
              </w:rPr>
              <w:t xml:space="preserve">分。</w:t>
            </w:r>
            <w:r/>
          </w:p>
          <w:p>
            <w:pPr>
              <w:rPr>
                <w:color w:val="auto"/>
                <w:szCs w:val="21"/>
                <w:highlight w:val="none"/>
              </w:rPr>
            </w:pPr>
            <w:r>
              <w:rPr>
                <w:rFonts w:hint="eastAsia"/>
                <w:color w:val="auto"/>
                <w:szCs w:val="21"/>
                <w:highlight w:val="none"/>
              </w:rPr>
              <w:t xml:space="preserve">不提供不得分。</w:t>
            </w:r>
            <w:r/>
          </w:p>
        </w:tc>
        <w:tc>
          <w:tcPr>
            <w:tcW w:w="830" w:type="dxa"/>
            <w:vAlign w:val="center"/>
            <w:textDirection w:val="lrTb"/>
            <w:noWrap w:val="false"/>
          </w:tcPr>
          <w:p>
            <w:pPr>
              <w:jc w:val="center"/>
              <w:rPr>
                <w:color w:val="auto"/>
                <w:szCs w:val="21"/>
                <w:highlight w:val="none"/>
              </w:rPr>
            </w:pPr>
            <w:r>
              <w:rPr>
                <w:color w:val="auto"/>
                <w:szCs w:val="21"/>
                <w:highlight w:val="none"/>
                <w:lang w:val="en-US"/>
              </w:rPr>
              <w:t xml:space="preserve">8</w:t>
            </w:r>
            <w:r/>
          </w:p>
        </w:tc>
      </w:tr>
      <w:tr>
        <w:trPr>
          <w:jc w:val="center"/>
          <w:trHeight w:val="310"/>
        </w:trPr>
        <w:tc>
          <w:tcPr>
            <w:gridSpan w:val="3"/>
            <w:tcW w:w="9358" w:type="dxa"/>
            <w:vAlign w:val="center"/>
            <w:textDirection w:val="lrTb"/>
            <w:noWrap w:val="false"/>
          </w:tcPr>
          <w:p>
            <w:pPr>
              <w:spacing w:line="360" w:lineRule="auto"/>
              <w:widowControl/>
              <w:rPr>
                <w:color w:val="auto"/>
                <w:szCs w:val="21"/>
                <w:highlight w:val="none"/>
              </w:rPr>
            </w:pPr>
            <w:r>
              <w:rPr>
                <w:rFonts w:hint="eastAsia"/>
                <w:color w:val="auto"/>
                <w:szCs w:val="21"/>
                <w:highlight w:val="none"/>
              </w:rPr>
              <w:t xml:space="preserve">合计</w:t>
            </w:r>
            <w:r/>
          </w:p>
        </w:tc>
        <w:tc>
          <w:tcPr>
            <w:tcW w:w="830" w:type="dxa"/>
            <w:vAlign w:val="center"/>
            <w:textDirection w:val="lrTb"/>
            <w:noWrap w:val="false"/>
          </w:tcPr>
          <w:p>
            <w:pPr>
              <w:jc w:val="center"/>
              <w:spacing w:line="360" w:lineRule="auto"/>
              <w:widowControl/>
              <w:rPr>
                <w:color w:val="auto"/>
                <w:szCs w:val="21"/>
                <w:highlight w:val="none"/>
              </w:rPr>
            </w:pPr>
            <w:r>
              <w:rPr>
                <w:rFonts w:hint="eastAsia"/>
                <w:color w:val="auto"/>
                <w:szCs w:val="21"/>
                <w:highlight w:val="none"/>
              </w:rPr>
              <w:t xml:space="preserve">100</w:t>
            </w:r>
            <w:r/>
          </w:p>
        </w:tc>
      </w:tr>
    </w:tbl>
    <w:p>
      <w:pPr>
        <w:rPr>
          <w:rStyle w:val="997"/>
          <w:rFonts w:ascii="宋体" w:hAnsi="宋体" w:cs="宋体"/>
          <w:b/>
          <w:color w:val="auto"/>
          <w:szCs w:val="21"/>
          <w:highlight w:val="none"/>
          <w:lang w:bidi="ar"/>
        </w:rPr>
      </w:pPr>
      <w:r>
        <w:rPr>
          <w:rFonts w:ascii="宋体" w:hAnsi="宋体" w:cs="宋体"/>
          <w:b/>
          <w:color w:val="auto"/>
          <w:szCs w:val="21"/>
          <w:highlight w:val="none"/>
          <w:lang w:bidi="ar"/>
        </w:rPr>
      </w:r>
      <w:r/>
    </w:p>
    <w:p>
      <w:pPr>
        <w:rPr>
          <w:b/>
          <w:color w:val="auto"/>
          <w:highlight w:val="none"/>
        </w:rPr>
      </w:pPr>
      <w:r>
        <w:rPr>
          <w:rStyle w:val="997"/>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997"/>
          <w:rFonts w:hint="eastAsia" w:ascii="宋体" w:hAnsi="宋体" w:cs="宋体"/>
          <w:color w:val="auto"/>
          <w:szCs w:val="21"/>
          <w:highlight w:val="none"/>
          <w:lang w:bidi="ar"/>
        </w:rPr>
        <w:t xml:space="preserve">（3）供应商需按照采购文件的要求提供相应的《中小企业声明函》。 </w:t>
      </w:r>
      <w:r/>
    </w:p>
    <w:p>
      <w:pPr>
        <w:ind w:firstLine="440"/>
        <w:spacing w:line="360" w:lineRule="auto"/>
        <w:rPr>
          <w:color w:val="auto"/>
          <w:highlight w:val="none"/>
        </w:rPr>
      </w:pPr>
      <w:r>
        <w:rPr>
          <w:rStyle w:val="997"/>
          <w:rFonts w:hint="eastAsia" w:ascii="宋体" w:hAnsi="宋体" w:cs="宋体"/>
          <w:color w:val="auto"/>
          <w:szCs w:val="21"/>
          <w:highlight w:val="none"/>
          <w:lang w:bidi="ar"/>
        </w:rPr>
        <w:t xml:space="preserve">（4）企业标准请参照《关于印发中小企业划型标准规定的通知》（工信部联企业[2011]300</w:t>
      </w:r>
      <w:r>
        <w:rPr>
          <w:rStyle w:val="997"/>
          <w:color w:val="auto"/>
          <w:szCs w:val="21"/>
          <w:highlight w:val="none"/>
          <w:lang w:bidi="ar"/>
        </w:rPr>
        <w:t xml:space="preserve"> </w:t>
      </w:r>
      <w:r>
        <w:rPr>
          <w:rStyle w:val="997"/>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b/>
          <w:color w:val="auto"/>
          <w:highlight w:val="none"/>
        </w:rPr>
      </w:pPr>
      <w:r>
        <w:rPr>
          <w:rStyle w:val="997"/>
          <w:rFonts w:hint="eastAsia" w:ascii="宋体" w:hAnsi="宋体" w:cs="宋体"/>
          <w:b/>
          <w:bCs/>
          <w:color w:val="auto"/>
          <w:szCs w:val="21"/>
          <w:highlight w:val="none"/>
          <w:lang w:val="en-US" w:bidi="ar"/>
        </w:rPr>
        <w:t xml:space="preserve">6</w:t>
      </w:r>
      <w:r>
        <w:rPr>
          <w:rStyle w:val="997"/>
          <w:rFonts w:hint="eastAsia" w:ascii="宋体" w:hAnsi="宋体" w:cs="宋体"/>
          <w:b/>
          <w:bCs/>
          <w:color w:val="auto"/>
          <w:szCs w:val="21"/>
          <w:highlight w:val="none"/>
          <w:lang w:bidi="ar"/>
        </w:rPr>
        <w:t xml:space="preserve">、所有认证、证明和业绩除上表要求外均须提供有效的证明材料复印件加盖公章。</w:t>
      </w:r>
      <w:r/>
    </w:p>
    <w:p>
      <w:pPr>
        <w:contextualSpacing/>
        <w:jc w:val="center"/>
        <w:spacing w:line="360" w:lineRule="auto"/>
        <w:rPr>
          <w:rFonts w:ascii="Times New Roman" w:hAnsi="Times New Roman" w:cs="Times New Roman"/>
          <w:b/>
          <w:color w:val="auto"/>
          <w:sz w:val="44"/>
          <w:szCs w:val="44"/>
          <w:highlight w:val="none"/>
          <w:lang w:val="en-US" w:bidi="ar-SA"/>
        </w:rPr>
      </w:pPr>
      <w:r>
        <w:rPr>
          <w:rFonts w:hint="eastAsia" w:ascii="黑体" w:eastAsia="黑体"/>
          <w:b/>
          <w:color w:val="auto"/>
          <w:sz w:val="36"/>
          <w:highlight w:val="none"/>
        </w:rPr>
        <w:br w:type="page" w:clear="all"/>
      </w:r>
      <w:r>
        <w:rPr>
          <w:rFonts w:hint="eastAsia" w:ascii="黑体" w:eastAsia="黑体"/>
          <w:b/>
          <w:color w:val="auto"/>
          <w:sz w:val="36"/>
          <w:highlight w:val="none"/>
        </w:rPr>
        <w:t xml:space="preserve">第四章 招标项目的技术规格、要求和数量等</w:t>
      </w:r>
      <w:bookmarkEnd w:id="24"/>
      <w:r/>
      <w:bookmarkStart w:id="25" w:name="_Toc17931"/>
      <w:r/>
      <w:r/>
    </w:p>
    <w:p>
      <w:pPr>
        <w:contextualSpacing/>
        <w:spacing w:line="360" w:lineRule="auto"/>
        <w:rPr>
          <w:b/>
          <w:color w:val="auto"/>
          <w:highlight w:val="none"/>
          <w:lang w:val="en-US" w:bidi="ar-SA"/>
        </w:rPr>
      </w:pPr>
      <w:r>
        <w:rPr>
          <w:rFonts w:hint="eastAsia"/>
          <w:b/>
          <w:color w:val="auto"/>
          <w:highlight w:val="none"/>
          <w:lang w:val="en-US" w:bidi="ar-SA"/>
        </w:rPr>
        <w:t xml:space="preserve">一、采购清单</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包号</w:t>
            </w:r>
            <w:r/>
          </w:p>
        </w:tc>
        <w:tc>
          <w:tcPr>
            <w:tcW w:w="153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项目名称</w:t>
            </w:r>
            <w:r/>
          </w:p>
        </w:tc>
        <w:tc>
          <w:tcPr>
            <w:tcW w:w="66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数量</w:t>
            </w:r>
            <w:r/>
          </w:p>
        </w:tc>
        <w:tc>
          <w:tcPr>
            <w:tcW w:w="176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简要技术需求</w:t>
            </w:r>
            <w:r/>
          </w:p>
        </w:tc>
        <w:tc>
          <w:tcPr>
            <w:tcW w:w="152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rPr>
              <w:t xml:space="preserve">合同履行期限</w:t>
            </w:r>
            <w:r/>
          </w:p>
        </w:tc>
        <w:tc>
          <w:tcPr>
            <w:tcW w:w="1120" w:type="dxa"/>
            <w:vAlign w:val="center"/>
            <w:textDirection w:val="lrTb"/>
            <w:noWrap w:val="false"/>
          </w:tcPr>
          <w:p>
            <w:pPr>
              <w:pStyle w:val="816"/>
              <w:jc w:val="center"/>
              <w:spacing w:before="0" w:beforeAutospacing="0" w:after="0" w:afterAutospacing="0" w:line="360" w:lineRule="auto"/>
              <w:rPr>
                <w:rFonts w:ascii="Arial" w:hAnsi="Arial" w:cs="Arial"/>
                <w:b/>
                <w:bCs/>
                <w:color w:val="auto"/>
                <w:sz w:val="21"/>
                <w:szCs w:val="21"/>
                <w:highlight w:val="none"/>
              </w:rPr>
            </w:pPr>
            <w:r>
              <w:rPr>
                <w:rFonts w:hint="eastAsia" w:ascii="Arial" w:hAnsi="Arial" w:cs="Arial"/>
                <w:b/>
                <w:bCs/>
                <w:color w:val="auto"/>
                <w:sz w:val="21"/>
                <w:szCs w:val="21"/>
                <w:highlight w:val="none"/>
                <w:lang w:val="en-US"/>
              </w:rPr>
              <w:t xml:space="preserve">预算金额</w:t>
            </w:r>
            <w:r/>
          </w:p>
          <w:p>
            <w:pPr>
              <w:pStyle w:val="816"/>
              <w:jc w:val="center"/>
              <w:spacing w:before="0" w:beforeAutospacing="0" w:after="0" w:afterAutospacing="0" w:line="360" w:lineRule="auto"/>
              <w:rPr>
                <w:rFonts w:ascii="Arial" w:hAnsi="Arial" w:cs="Arial"/>
                <w:color w:val="auto"/>
                <w:sz w:val="21"/>
                <w:szCs w:val="21"/>
                <w:highlight w:val="none"/>
              </w:rPr>
            </w:pPr>
            <w:r>
              <w:rPr>
                <w:b/>
                <w:bCs/>
                <w:color w:val="auto"/>
                <w:sz w:val="21"/>
                <w:szCs w:val="21"/>
                <w:highlight w:val="none"/>
                <w:lang w:val="en-US"/>
              </w:rPr>
              <w:t xml:space="preserve">（万元人民币）</w:t>
            </w:r>
            <w:r/>
          </w:p>
        </w:tc>
        <w:tc>
          <w:tcPr>
            <w:tcW w:w="1070" w:type="dxa"/>
            <w:vAlign w:val="center"/>
            <w:textDirection w:val="lrTb"/>
            <w:noWrap w:val="false"/>
          </w:tcPr>
          <w:p>
            <w:pPr>
              <w:pStyle w:val="816"/>
              <w:jc w:val="center"/>
              <w:spacing w:before="0" w:beforeAutospacing="0" w:after="0" w:afterAutospacing="0" w:line="360" w:lineRule="auto"/>
              <w:rPr>
                <w:b/>
                <w:bCs/>
                <w:color w:val="auto"/>
                <w:sz w:val="21"/>
                <w:szCs w:val="21"/>
                <w:highlight w:val="none"/>
              </w:rPr>
            </w:pPr>
            <w:r>
              <w:rPr>
                <w:rFonts w:hint="eastAsia" w:cs="Times New Roman"/>
                <w:b/>
                <w:bCs/>
                <w:color w:val="auto"/>
                <w:sz w:val="21"/>
                <w:szCs w:val="21"/>
                <w:highlight w:val="none"/>
                <w:lang w:val="en-US"/>
              </w:rPr>
              <w:t xml:space="preserve">最高限价</w:t>
            </w:r>
            <w:r/>
          </w:p>
          <w:p>
            <w:pPr>
              <w:pStyle w:val="816"/>
              <w:jc w:val="center"/>
              <w:spacing w:before="0" w:beforeAutospacing="0" w:after="0" w:afterAutospacing="0" w:line="360" w:lineRule="auto"/>
              <w:rPr>
                <w:rFonts w:ascii="Arial" w:hAnsi="Arial" w:cs="Arial"/>
                <w:b/>
                <w:bCs/>
                <w:color w:val="auto"/>
                <w:sz w:val="21"/>
                <w:szCs w:val="21"/>
                <w:highlight w:val="none"/>
              </w:rPr>
            </w:pPr>
            <w:r>
              <w:rPr>
                <w:b/>
                <w:bCs/>
                <w:color w:val="auto"/>
                <w:sz w:val="21"/>
                <w:szCs w:val="21"/>
                <w:highlight w:val="none"/>
                <w:lang w:val="en-US"/>
              </w:rPr>
              <w:t xml:space="preserve">（万元人民币）</w:t>
            </w:r>
            <w:r/>
          </w:p>
        </w:tc>
        <w:tc>
          <w:tcPr>
            <w:tcW w:w="10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b/>
                <w:bCs/>
                <w:color w:val="auto"/>
                <w:sz w:val="21"/>
                <w:szCs w:val="21"/>
                <w:highlight w:val="none"/>
                <w:lang w:val="en-US"/>
              </w:rPr>
              <w:t xml:space="preserve">是否接受进口产品</w:t>
            </w:r>
            <w:r/>
          </w:p>
        </w:tc>
      </w:tr>
      <w:tr>
        <w:trPr/>
        <w:tc>
          <w:tcPr>
            <w:tcW w:w="535"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w:t>
            </w:r>
            <w:r/>
          </w:p>
        </w:tc>
        <w:tc>
          <w:tcPr>
            <w:tcW w:w="1530" w:type="dxa"/>
            <w:vAlign w:val="center"/>
            <w:textDirection w:val="lrTb"/>
            <w:noWrap w:val="false"/>
          </w:tcPr>
          <w:p>
            <w:pPr>
              <w:jc w:val="both"/>
              <w:spacing w:line="360" w:lineRule="auto"/>
              <w:rPr>
                <w:color w:val="auto"/>
                <w:sz w:val="24"/>
                <w:szCs w:val="24"/>
                <w:highlight w:val="none"/>
              </w:rPr>
            </w:pPr>
            <w:r>
              <w:rPr>
                <w:rFonts w:hint="eastAsia"/>
                <w:color w:val="auto"/>
                <w:sz w:val="24"/>
                <w:szCs w:val="24"/>
                <w:highlight w:val="none"/>
              </w:rPr>
              <w:t xml:space="preserve">脊柱内窥镜手术系统</w:t>
            </w:r>
            <w:r/>
          </w:p>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1套</w:t>
            </w:r>
            <w:r/>
          </w:p>
        </w:tc>
        <w:tc>
          <w:tcPr>
            <w:tcW w:w="17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Times New Roman" w:hAnsi="Times New Roman" w:cs="Times New Roman"/>
                <w:color w:val="auto"/>
                <w:sz w:val="21"/>
                <w:szCs w:val="21"/>
                <w:highlight w:val="none"/>
              </w:rPr>
              <w:t xml:space="preserve">详见</w:t>
            </w:r>
            <w:r>
              <w:rPr>
                <w:rFonts w:hint="eastAsia" w:ascii="Times New Roman" w:hAnsi="Times New Roman" w:cs="Times New Roman"/>
                <w:color w:val="auto"/>
                <w:sz w:val="21"/>
                <w:szCs w:val="21"/>
                <w:highlight w:val="none"/>
                <w:lang w:val="en-US"/>
              </w:rPr>
              <w:t xml:space="preserve">招标</w:t>
            </w:r>
            <w:r>
              <w:rPr>
                <w:rFonts w:ascii="Times New Roman" w:hAnsi="Times New Roman" w:cs="Times New Roman"/>
                <w:color w:val="auto"/>
                <w:sz w:val="21"/>
                <w:szCs w:val="21"/>
                <w:highlight w:val="none"/>
              </w:rPr>
              <w:t xml:space="preserve">文件</w:t>
            </w:r>
            <w:r/>
          </w:p>
        </w:tc>
        <w:tc>
          <w:tcPr>
            <w:tcW w:w="152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合同签订生效后</w:t>
            </w:r>
            <w:r>
              <w:rPr>
                <w:rFonts w:ascii="Arial" w:hAnsi="Arial" w:cs="Arial"/>
                <w:color w:val="auto"/>
                <w:sz w:val="21"/>
                <w:szCs w:val="21"/>
                <w:highlight w:val="none"/>
                <w:lang w:val="en-US"/>
              </w:rPr>
              <w:t xml:space="preserve">60天内</w:t>
            </w:r>
            <w:r/>
          </w:p>
        </w:tc>
        <w:tc>
          <w:tcPr>
            <w:tcW w:w="112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7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ascii="Arial" w:hAnsi="Arial" w:cs="Arial"/>
                <w:color w:val="auto"/>
                <w:sz w:val="21"/>
                <w:szCs w:val="21"/>
                <w:highlight w:val="none"/>
                <w:lang w:val="en-US"/>
              </w:rPr>
              <w:t xml:space="preserve">180</w:t>
            </w:r>
            <w:r/>
          </w:p>
        </w:tc>
        <w:tc>
          <w:tcPr>
            <w:tcW w:w="1060" w:type="dxa"/>
            <w:vAlign w:val="center"/>
            <w:textDirection w:val="lrTb"/>
            <w:noWrap w:val="false"/>
          </w:tcPr>
          <w:p>
            <w:pPr>
              <w:pStyle w:val="816"/>
              <w:jc w:val="center"/>
              <w:spacing w:before="0" w:beforeAutospacing="0" w:after="0" w:afterAutospacing="0" w:line="360" w:lineRule="auto"/>
              <w:rPr>
                <w:rFonts w:ascii="Arial" w:hAnsi="Arial" w:cs="Arial"/>
                <w:color w:val="auto"/>
                <w:sz w:val="21"/>
                <w:szCs w:val="21"/>
                <w:highlight w:val="none"/>
              </w:rPr>
            </w:pPr>
            <w:r>
              <w:rPr>
                <w:rFonts w:hint="eastAsia" w:ascii="Arial" w:hAnsi="Arial" w:cs="Arial"/>
                <w:color w:val="auto"/>
                <w:sz w:val="21"/>
                <w:szCs w:val="21"/>
                <w:highlight w:val="none"/>
                <w:lang w:val="en-US"/>
              </w:rPr>
              <w:t xml:space="preserve">不接受</w:t>
            </w:r>
            <w:r/>
          </w:p>
        </w:tc>
      </w:tr>
    </w:tbl>
    <w:p>
      <w:pPr>
        <w:contextualSpacing/>
        <w:spacing w:line="360" w:lineRule="auto"/>
        <w:rPr>
          <w:b/>
          <w:color w:val="auto"/>
          <w:highlight w:val="none"/>
          <w:lang w:val="en-US" w:bidi="ar-SA"/>
        </w:rPr>
      </w:pPr>
      <w:r>
        <w:rPr>
          <w:b/>
          <w:color w:val="auto"/>
          <w:highlight w:val="none"/>
          <w:lang w:val="en-US" w:bidi="ar-SA"/>
        </w:rPr>
      </w:r>
      <w:r/>
    </w:p>
    <w:p>
      <w:pPr>
        <w:contextualSpacing/>
        <w:spacing w:line="360" w:lineRule="auto"/>
        <w:rPr>
          <w:rFonts w:ascii="Times New Roman" w:hAnsi="Times New Roman" w:cs="Times New Roman"/>
          <w:b/>
          <w:color w:val="auto"/>
          <w:sz w:val="44"/>
          <w:szCs w:val="44"/>
          <w:highlight w:val="none"/>
          <w:lang w:val="en-US" w:bidi="ar-SA"/>
        </w:rPr>
      </w:pPr>
      <w:r>
        <w:rPr>
          <w:rFonts w:hint="eastAsia"/>
          <w:b/>
          <w:color w:val="auto"/>
          <w:highlight w:val="none"/>
          <w:lang w:val="en-US" w:bidi="ar-SA"/>
        </w:rPr>
        <w:t xml:space="preserve">二、技术要求</w:t>
      </w:r>
      <w:r/>
    </w:p>
    <w:p>
      <w:pPr>
        <w:ind w:firstLine="442"/>
        <w:jc w:val="both"/>
        <w:keepLines/>
        <w:keepNext/>
        <w:spacing w:line="360" w:lineRule="auto"/>
        <w:rPr>
          <w:b/>
          <w:color w:val="auto"/>
          <w:highlight w:val="none"/>
          <w:lang w:val="en-US" w:bidi="ar-SA"/>
        </w:rPr>
        <w:outlineLvl w:val="1"/>
      </w:pPr>
      <w:r>
        <w:rPr>
          <w:rFonts w:hint="eastAsia"/>
          <w:b/>
          <w:color w:val="auto"/>
          <w:highlight w:val="none"/>
          <w:lang w:val="en-US" w:bidi="ar-SA"/>
        </w:rPr>
        <w:t xml:space="preserve">脊柱内窥镜手术系统  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 配置基本要求（至少包含）</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1.1 内窥镜摄像系统（1套）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1.2 骨科手术动力系统（1套）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1.3 侧路脊柱内镜手术系统器械（共2套）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1.4 后路脊柱内镜手术系统器械（共2套）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1.5 动力系统配套刀具（共2套）</w:t>
      </w:r>
      <w:r/>
    </w:p>
    <w:p>
      <w:pPr>
        <w:ind w:firstLine="440"/>
        <w:jc w:val="both"/>
        <w:spacing w:line="360" w:lineRule="auto"/>
        <w:rPr>
          <w:bCs/>
          <w:color w:val="auto"/>
          <w:highlight w:val="none"/>
          <w:lang w:val="en-US" w:bidi="ar-SA"/>
        </w:rPr>
      </w:pPr>
      <w:r>
        <w:rPr>
          <w:bCs/>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（一）内窥镜摄像系统（1套）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1、主机1台</w:t>
      </w:r>
      <w:r/>
    </w:p>
    <w:p>
      <w:pPr>
        <w:ind w:firstLine="440"/>
        <w:jc w:val="both"/>
        <w:spacing w:line="360" w:lineRule="auto"/>
        <w:rPr>
          <w:color w:val="auto"/>
          <w:highlight w:val="none"/>
          <w:lang w:val="en-US" w:bidi="ar-SA"/>
        </w:rPr>
      </w:pPr>
      <w:r>
        <w:rPr>
          <w:rFonts w:hint="eastAsia"/>
          <w:color w:val="auto"/>
          <w:highlight w:val="none"/>
          <w:lang w:val="en-US" w:bidi="ar-SA"/>
        </w:rPr>
        <w:t xml:space="preserve">1.1</w:t>
      </w:r>
      <w:r>
        <w:rPr>
          <w:rFonts w:hint="eastAsia"/>
          <w:bCs/>
          <w:color w:val="auto"/>
          <w:highlight w:val="none"/>
          <w:lang w:val="en-US" w:bidi="ar-SA"/>
        </w:rPr>
        <w:t xml:space="preserve">、全数字化摄像系统：全4</w:t>
      </w:r>
      <w:r>
        <w:rPr>
          <w:rFonts w:hint="eastAsia"/>
          <w:color w:val="auto"/>
          <w:highlight w:val="none"/>
          <w:lang w:val="en-US" w:bidi="ar-SA"/>
        </w:rPr>
        <w:t xml:space="preserve">K成像</w:t>
      </w:r>
      <w:r/>
    </w:p>
    <w:p>
      <w:pPr>
        <w:ind w:firstLine="440"/>
        <w:jc w:val="both"/>
        <w:spacing w:line="360" w:lineRule="auto"/>
        <w:rPr>
          <w:color w:val="auto"/>
          <w:highlight w:val="none"/>
          <w:lang w:val="en-US" w:bidi="ar-SA"/>
        </w:rPr>
      </w:pPr>
      <w:r>
        <w:rPr>
          <w:rFonts w:hint="eastAsia"/>
          <w:color w:val="auto"/>
          <w:highlight w:val="none"/>
          <w:lang w:val="en-US" w:bidi="ar-SA"/>
        </w:rPr>
        <w:t xml:space="preserve">1.2</w:t>
      </w:r>
      <w:r>
        <w:rPr>
          <w:rFonts w:hint="eastAsia"/>
          <w:bCs/>
          <w:color w:val="auto"/>
          <w:highlight w:val="none"/>
          <w:lang w:val="en-US" w:bidi="ar-SA"/>
        </w:rPr>
        <w:t xml:space="preserve">、</w:t>
      </w:r>
      <w:r>
        <w:rPr>
          <w:rFonts w:hint="eastAsia"/>
          <w:color w:val="auto"/>
          <w:highlight w:val="none"/>
          <w:lang w:val="en-US" w:bidi="ar-SA"/>
        </w:rPr>
        <w:t xml:space="preserve">4K主机与LED冷光源一体化7寸触摸屏控制设计；</w:t>
      </w:r>
      <w:r/>
    </w:p>
    <w:p>
      <w:pPr>
        <w:ind w:firstLine="440"/>
        <w:jc w:val="both"/>
        <w:spacing w:line="360" w:lineRule="auto"/>
        <w:rPr>
          <w:color w:val="auto"/>
          <w:highlight w:val="none"/>
          <w:lang w:val="en-US" w:bidi="ar-SA"/>
        </w:rPr>
      </w:pPr>
      <w:r>
        <w:rPr>
          <w:rFonts w:hint="eastAsia"/>
          <w:color w:val="auto"/>
          <w:highlight w:val="none"/>
          <w:lang w:val="en-US" w:bidi="ar-SA"/>
        </w:rPr>
        <w:t xml:space="preserve">1.3</w:t>
      </w:r>
      <w:r>
        <w:rPr>
          <w:rFonts w:hint="eastAsia"/>
          <w:bCs/>
          <w:color w:val="auto"/>
          <w:highlight w:val="none"/>
          <w:lang w:val="en-US" w:bidi="ar-SA"/>
        </w:rPr>
        <w:t xml:space="preserve">、</w:t>
      </w:r>
      <w:r>
        <w:rPr>
          <w:rFonts w:hint="eastAsia"/>
          <w:color w:val="auto"/>
          <w:highlight w:val="none"/>
          <w:lang w:val="en-US" w:bidi="ar-SA"/>
        </w:rPr>
        <w:t xml:space="preserve">摄像主机：分辨率≥3840×2160，逐行扫描；</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1.4</w:t>
      </w:r>
      <w:r>
        <w:rPr>
          <w:rFonts w:hint="eastAsia"/>
          <w:bCs/>
          <w:color w:val="auto"/>
          <w:highlight w:val="none"/>
          <w:lang w:val="en-US" w:bidi="ar-SA"/>
        </w:rPr>
        <w:t xml:space="preserve">、成像器:4K超高清CMOS图像传感器；</w:t>
      </w:r>
      <w:r/>
    </w:p>
    <w:p>
      <w:pPr>
        <w:ind w:firstLine="440"/>
        <w:jc w:val="both"/>
        <w:spacing w:line="360" w:lineRule="auto"/>
        <w:rPr>
          <w:color w:val="auto"/>
          <w:highlight w:val="none"/>
          <w:lang w:val="en-US" w:bidi="ar-SA"/>
        </w:rPr>
      </w:pPr>
      <w:r>
        <w:rPr>
          <w:rFonts w:hint="eastAsia"/>
          <w:color w:val="auto"/>
          <w:highlight w:val="none"/>
          <w:lang w:val="en-US" w:bidi="ar-SA"/>
        </w:rPr>
        <w:t xml:space="preserve">1.5、白平衡：一键调节白平衡，并具有自动记忆功能；</w:t>
      </w:r>
      <w:r/>
    </w:p>
    <w:p>
      <w:pPr>
        <w:ind w:firstLine="440"/>
        <w:jc w:val="both"/>
        <w:spacing w:line="360" w:lineRule="auto"/>
        <w:rPr>
          <w:color w:val="auto"/>
          <w:highlight w:val="none"/>
          <w:lang w:val="en-US" w:bidi="ar-SA"/>
        </w:rPr>
      </w:pPr>
      <w:r>
        <w:rPr>
          <w:rFonts w:hint="eastAsia"/>
          <w:color w:val="auto"/>
          <w:highlight w:val="none"/>
          <w:lang w:val="en-US" w:bidi="ar-SA"/>
        </w:rPr>
        <w:t xml:space="preserve">▲1.6</w:t>
      </w:r>
      <w:r>
        <w:rPr>
          <w:rFonts w:hint="eastAsia"/>
          <w:bCs/>
          <w:color w:val="auto"/>
          <w:highlight w:val="none"/>
          <w:lang w:val="en-US" w:bidi="ar-SA"/>
        </w:rPr>
        <w:t xml:space="preserve">、</w:t>
      </w:r>
      <w:r>
        <w:rPr>
          <w:rFonts w:hint="eastAsia"/>
          <w:color w:val="auto"/>
          <w:highlight w:val="none"/>
          <w:lang w:val="en-US" w:bidi="ar-SA"/>
        </w:rPr>
        <w:t xml:space="preserve">摄像</w:t>
      </w:r>
      <w:bookmarkStart w:id="26" w:name="_Hlk225147702"/>
      <w:r>
        <w:rPr>
          <w:rFonts w:hint="eastAsia"/>
          <w:color w:val="auto"/>
          <w:highlight w:val="none"/>
          <w:lang w:val="en-US" w:bidi="ar-SA"/>
        </w:rPr>
        <w:t xml:space="preserve">主机</w:t>
      </w:r>
      <w:bookmarkEnd w:id="26"/>
      <w:r>
        <w:rPr>
          <w:rFonts w:hint="eastAsia"/>
          <w:color w:val="auto"/>
          <w:highlight w:val="none"/>
          <w:lang w:val="en-US" w:bidi="ar-SA"/>
        </w:rPr>
        <w:t xml:space="preserve">具备4K和全高清输出，视频输出接口:3G-SDI/DVI/12G-SDI/HDMI2.0；</w:t>
      </w:r>
      <w:r/>
    </w:p>
    <w:p>
      <w:pPr>
        <w:ind w:firstLine="440"/>
        <w:jc w:val="both"/>
        <w:spacing w:line="360" w:lineRule="auto"/>
        <w:rPr>
          <w:color w:val="auto"/>
          <w:highlight w:val="none"/>
          <w:lang w:val="en-US" w:bidi="ar-SA"/>
        </w:rPr>
      </w:pPr>
      <w:r>
        <w:rPr>
          <w:rFonts w:hint="eastAsia"/>
          <w:color w:val="auto"/>
          <w:highlight w:val="none"/>
          <w:lang w:val="en-US" w:bidi="ar-SA"/>
        </w:rPr>
        <w:t xml:space="preserve">▲1.7</w:t>
      </w:r>
      <w:r>
        <w:rPr>
          <w:rFonts w:hint="eastAsia"/>
          <w:bCs/>
          <w:color w:val="auto"/>
          <w:highlight w:val="none"/>
          <w:lang w:val="en-US" w:bidi="ar-SA"/>
        </w:rPr>
        <w:t xml:space="preserve">、</w:t>
      </w:r>
      <w:r>
        <w:rPr>
          <w:rFonts w:hint="eastAsia"/>
          <w:color w:val="auto"/>
          <w:highlight w:val="none"/>
          <w:lang w:val="en-US" w:bidi="ar-SA"/>
        </w:rPr>
        <w:t xml:space="preserve">双镜显示:DVI接口视频设备接入及3G-SDI接口视频设备接入时，均可实现双镜功能支持右上右下、左下左上、并列和关闭六种模式选择；</w:t>
      </w:r>
      <w:r/>
    </w:p>
    <w:p>
      <w:pPr>
        <w:ind w:firstLine="440"/>
        <w:jc w:val="both"/>
        <w:spacing w:line="360" w:lineRule="auto"/>
        <w:rPr>
          <w:color w:val="auto"/>
          <w:highlight w:val="none"/>
          <w:lang w:val="en-US" w:bidi="ar-SA"/>
        </w:rPr>
      </w:pPr>
      <w:r>
        <w:rPr>
          <w:rFonts w:hint="eastAsia"/>
          <w:color w:val="auto"/>
          <w:highlight w:val="none"/>
          <w:lang w:val="en-US" w:bidi="ar-SA"/>
        </w:rPr>
        <w:t xml:space="preserve">1.8</w:t>
      </w:r>
      <w:r>
        <w:rPr>
          <w:rFonts w:hint="eastAsia"/>
          <w:bCs/>
          <w:color w:val="auto"/>
          <w:highlight w:val="none"/>
          <w:lang w:val="en-US" w:bidi="ar-SA"/>
        </w:rPr>
        <w:t xml:space="preserve">、支持多种</w:t>
      </w:r>
      <w:r>
        <w:rPr>
          <w:rFonts w:hint="eastAsia"/>
          <w:color w:val="auto"/>
          <w:highlight w:val="none"/>
          <w:lang w:val="en-US" w:bidi="ar-SA"/>
        </w:rPr>
        <w:t xml:space="preserve">色调，及自定义色调调节模式；</w:t>
      </w:r>
      <w:r/>
    </w:p>
    <w:p>
      <w:pPr>
        <w:ind w:firstLine="440"/>
        <w:jc w:val="both"/>
        <w:spacing w:line="360" w:lineRule="auto"/>
        <w:rPr>
          <w:color w:val="auto"/>
          <w:highlight w:val="none"/>
          <w:lang w:val="en-US" w:bidi="ar-SA"/>
        </w:rPr>
      </w:pPr>
      <w:r>
        <w:rPr>
          <w:rFonts w:hint="eastAsia"/>
          <w:color w:val="auto"/>
          <w:highlight w:val="none"/>
          <w:lang w:val="en-US" w:bidi="ar-SA"/>
        </w:rPr>
        <w:t xml:space="preserve">▲1.9</w:t>
      </w:r>
      <w:r>
        <w:rPr>
          <w:rFonts w:hint="eastAsia"/>
          <w:bCs/>
          <w:color w:val="auto"/>
          <w:highlight w:val="none"/>
          <w:lang w:val="en-US" w:bidi="ar-SA"/>
        </w:rPr>
        <w:t xml:space="preserve">、</w:t>
      </w:r>
      <w:r>
        <w:rPr>
          <w:rFonts w:hint="eastAsia"/>
          <w:color w:val="auto"/>
          <w:highlight w:val="none"/>
          <w:lang w:val="en-US" w:bidi="ar-SA"/>
        </w:rPr>
        <w:t xml:space="preserve">冷光源采用高亮度LED照明技术，色温5000-7000K,亮度可调，使用寿命不低于5万小时，支持休眠模式。</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2、摄像头3个</w:t>
      </w:r>
      <w:r/>
    </w:p>
    <w:p>
      <w:pPr>
        <w:ind w:firstLine="440"/>
        <w:jc w:val="both"/>
        <w:spacing w:line="360" w:lineRule="auto"/>
        <w:rPr>
          <w:color w:val="auto"/>
          <w:highlight w:val="none"/>
          <w:lang w:val="en-US" w:bidi="ar-SA"/>
        </w:rPr>
      </w:pPr>
      <w:r>
        <w:rPr>
          <w:rFonts w:hint="eastAsia"/>
          <w:color w:val="auto"/>
          <w:highlight w:val="none"/>
          <w:lang w:val="en-US" w:bidi="ar-SA"/>
        </w:rPr>
        <w:t xml:space="preserve">2.1</w:t>
      </w:r>
      <w:r>
        <w:rPr>
          <w:rFonts w:hint="eastAsia"/>
          <w:bCs/>
          <w:color w:val="auto"/>
          <w:highlight w:val="none"/>
          <w:lang w:val="en-US" w:bidi="ar-SA"/>
        </w:rPr>
        <w:t xml:space="preserve">、摄像头具有IPX8级防水，电缆长度≥3米。</w:t>
      </w:r>
      <w:r/>
    </w:p>
    <w:p>
      <w:pPr>
        <w:ind w:firstLine="440"/>
        <w:jc w:val="both"/>
        <w:spacing w:line="360" w:lineRule="auto"/>
        <w:rPr>
          <w:color w:val="auto"/>
          <w:highlight w:val="none"/>
          <w:lang w:val="en-US" w:bidi="ar-SA"/>
        </w:rPr>
      </w:pPr>
      <w:r>
        <w:rPr>
          <w:rFonts w:hint="eastAsia"/>
          <w:color w:val="auto"/>
          <w:highlight w:val="none"/>
          <w:lang w:val="en-US" w:bidi="ar-SA"/>
        </w:rPr>
        <w:t xml:space="preserve">2.2</w:t>
      </w:r>
      <w:r>
        <w:rPr>
          <w:rFonts w:hint="eastAsia"/>
          <w:bCs/>
          <w:color w:val="auto"/>
          <w:highlight w:val="none"/>
          <w:lang w:val="en-US" w:bidi="ar-SA"/>
        </w:rPr>
        <w:t xml:space="preserve">、</w:t>
      </w:r>
      <w:r>
        <w:rPr>
          <w:rFonts w:hint="eastAsia"/>
          <w:color w:val="auto"/>
          <w:highlight w:val="none"/>
          <w:lang w:val="en-US" w:bidi="ar-SA"/>
        </w:rPr>
        <w:t xml:space="preserve">卡口：4K专用可变焦卡口，变焦范围F14-32具备齐焦变焦技术。</w:t>
      </w:r>
      <w:r/>
    </w:p>
    <w:p>
      <w:pPr>
        <w:ind w:firstLine="440"/>
        <w:jc w:val="both"/>
        <w:spacing w:line="360" w:lineRule="auto"/>
        <w:rPr>
          <w:color w:val="auto"/>
          <w:highlight w:val="none"/>
          <w:lang w:val="en-US" w:bidi="ar-SA"/>
        </w:rPr>
      </w:pPr>
      <w:r>
        <w:rPr>
          <w:rFonts w:hint="eastAsia"/>
          <w:color w:val="auto"/>
          <w:highlight w:val="none"/>
          <w:lang w:val="en-US" w:bidi="ar-SA"/>
        </w:rPr>
        <w:t xml:space="preserve">2.3</w:t>
      </w:r>
      <w:r>
        <w:rPr>
          <w:rFonts w:hint="eastAsia"/>
          <w:bCs/>
          <w:color w:val="auto"/>
          <w:highlight w:val="none"/>
          <w:lang w:val="en-US" w:bidi="ar-SA"/>
        </w:rPr>
        <w:t xml:space="preserve">、</w:t>
      </w:r>
      <w:r>
        <w:rPr>
          <w:rFonts w:hint="eastAsia"/>
          <w:color w:val="auto"/>
          <w:highlight w:val="none"/>
          <w:lang w:val="en-US" w:bidi="ar-SA"/>
        </w:rPr>
        <w:t xml:space="preserve">具有电子放大功能，最高放大五倍十级可调(X1.0~X5.0:缩小范围:X0.5~XI.0)</w:t>
      </w:r>
      <w:r/>
    </w:p>
    <w:p>
      <w:pPr>
        <w:ind w:firstLine="440"/>
        <w:jc w:val="both"/>
        <w:spacing w:line="360" w:lineRule="auto"/>
        <w:rPr>
          <w:color w:val="auto"/>
          <w:highlight w:val="none"/>
          <w:lang w:val="en-US" w:bidi="ar-SA"/>
        </w:rPr>
      </w:pPr>
      <w:r>
        <w:rPr>
          <w:rFonts w:hint="eastAsia"/>
          <w:color w:val="auto"/>
          <w:highlight w:val="none"/>
          <w:lang w:val="en-US" w:bidi="ar-SA"/>
        </w:rPr>
        <w:t xml:space="preserve">2.4</w:t>
      </w:r>
      <w:r>
        <w:rPr>
          <w:rFonts w:hint="eastAsia"/>
          <w:bCs/>
          <w:color w:val="auto"/>
          <w:highlight w:val="none"/>
          <w:lang w:val="en-US" w:bidi="ar-SA"/>
        </w:rPr>
        <w:t xml:space="preserve">、</w:t>
      </w:r>
      <w:r>
        <w:rPr>
          <w:rFonts w:hint="eastAsia"/>
          <w:color w:val="auto"/>
          <w:highlight w:val="none"/>
          <w:lang w:val="en-US" w:bidi="ar-SA"/>
        </w:rPr>
        <w:t xml:space="preserve">摄像头手柄功能:具有多个可编程按键(可选择:AWB、录像、缩小、放大、抓图、光源亮度+、光源亮度-、冻结、色调、降噪、暗区改善、高亮抑制、翻转、增益、锐度、饱和度、对比度和去摩尔纹)</w:t>
      </w:r>
      <w:r/>
    </w:p>
    <w:p>
      <w:pPr>
        <w:ind w:firstLine="442"/>
        <w:jc w:val="both"/>
        <w:spacing w:line="360" w:lineRule="auto"/>
        <w:widowControl/>
        <w:rPr>
          <w:b/>
          <w:color w:val="auto"/>
          <w:highlight w:val="none"/>
          <w:lang w:val="en-US" w:bidi="ar-SA"/>
        </w:rPr>
      </w:pPr>
      <w:r>
        <w:rPr>
          <w:b/>
          <w:color w:val="auto"/>
          <w:highlight w:val="none"/>
          <w:lang w:val="en-US" w:bidi="ar-SA"/>
        </w:rPr>
      </w:r>
      <w:r/>
    </w:p>
    <w:p>
      <w:pPr>
        <w:ind w:firstLine="442"/>
        <w:jc w:val="both"/>
        <w:spacing w:line="360" w:lineRule="auto"/>
        <w:widowControl/>
        <w:rPr>
          <w:b/>
          <w:color w:val="auto"/>
          <w:highlight w:val="none"/>
          <w:lang w:val="en-US" w:bidi="ar-SA"/>
        </w:rPr>
      </w:pPr>
      <w:r>
        <w:rPr>
          <w:rFonts w:hint="eastAsia"/>
          <w:b/>
          <w:color w:val="auto"/>
          <w:highlight w:val="none"/>
          <w:lang w:val="en-US" w:bidi="ar-SA"/>
        </w:rPr>
        <w:t xml:space="preserve">（二）骨科手术动力系统（1套）</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1.总体要求：适用于骨科或其它外科手术中对人体骨组织和（或）软组织的钻削、铣削、锯切、磨削、刨削处理。</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2.主机1台</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2.1、支持开放式手术、后路和侧路微创手术的钻削、铣削、锯切、磨削、刨削等功能，双动力输出接口，7寸彩色液晶屏，触摸式菜单操作界面，并支持戴手套操作。</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2.2、最大输出功率≥100W，电机具有自动识别功能。</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w:t>
      </w:r>
      <w:r>
        <w:rPr>
          <w:rFonts w:hint="eastAsia"/>
          <w:bCs/>
          <w:color w:val="auto"/>
          <w:highlight w:val="none"/>
          <w:lang w:val="en-US" w:bidi="ar-SA"/>
        </w:rPr>
        <w:t xml:space="preserve">2.3、</w:t>
      </w:r>
      <w:r>
        <w:rPr>
          <w:rFonts w:hint="eastAsia"/>
          <w:color w:val="auto"/>
          <w:highlight w:val="none"/>
          <w:lang w:val="en-US" w:bidi="ar-SA"/>
        </w:rPr>
        <w:t xml:space="preserve">微电脑控制平台，恒速驱动控制系统，负载转速误差在±10%范围。</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2.4、</w:t>
      </w:r>
      <w:r>
        <w:rPr>
          <w:rFonts w:hint="eastAsia"/>
          <w:color w:val="auto"/>
          <w:highlight w:val="none"/>
          <w:lang w:val="en-US" w:bidi="ar-SA"/>
        </w:rPr>
        <w:t xml:space="preserve">系统自诊断和保护技术。</w:t>
      </w:r>
      <w:r/>
    </w:p>
    <w:p>
      <w:pPr>
        <w:ind w:firstLine="440"/>
        <w:jc w:val="both"/>
        <w:spacing w:line="360" w:lineRule="auto"/>
        <w:rPr>
          <w:color w:val="auto"/>
          <w:highlight w:val="none"/>
          <w:lang w:val="en-US" w:bidi="ar-SA"/>
        </w:rPr>
      </w:pPr>
      <w:r>
        <w:rPr>
          <w:rFonts w:hint="eastAsia"/>
          <w:bCs/>
          <w:color w:val="auto"/>
          <w:highlight w:val="none"/>
          <w:lang w:val="en-US" w:bidi="ar-SA"/>
        </w:rPr>
        <w:t xml:space="preserve">2.5、</w:t>
      </w:r>
      <w:r>
        <w:rPr>
          <w:rFonts w:hint="eastAsia"/>
          <w:color w:val="auto"/>
          <w:highlight w:val="none"/>
          <w:lang w:val="en-US" w:bidi="ar-SA"/>
        </w:rPr>
        <w:t xml:space="preserve">具有刀具识别功能，自动匹配推荐使用参数。</w:t>
      </w:r>
      <w:r/>
    </w:p>
    <w:p>
      <w:pPr>
        <w:ind w:firstLine="440"/>
        <w:jc w:val="both"/>
        <w:spacing w:line="360" w:lineRule="auto"/>
        <w:rPr>
          <w:color w:val="auto"/>
          <w:highlight w:val="none"/>
          <w:lang w:val="en-US" w:bidi="ar-SA"/>
        </w:rPr>
      </w:pPr>
      <w:r>
        <w:rPr>
          <w:rFonts w:hint="eastAsia"/>
          <w:color w:val="auto"/>
          <w:highlight w:val="none"/>
          <w:lang w:val="en-US" w:bidi="ar-SA"/>
        </w:rPr>
        <w:t xml:space="preserve">2.6</w:t>
      </w:r>
      <w:r>
        <w:rPr>
          <w:rFonts w:hint="eastAsia"/>
          <w:bCs/>
          <w:color w:val="auto"/>
          <w:highlight w:val="none"/>
          <w:lang w:val="en-US" w:bidi="ar-SA"/>
        </w:rPr>
        <w:t xml:space="preserve">、</w:t>
      </w:r>
      <w:r>
        <w:rPr>
          <w:rFonts w:hint="eastAsia"/>
          <w:color w:val="auto"/>
          <w:highlight w:val="none"/>
          <w:lang w:val="en-US" w:bidi="ar-SA"/>
        </w:rPr>
        <w:t xml:space="preserve">操作界面清晰简洁，基础功能包括工作模式切换，正反转调节，转速调节，最高限速调节，手控和脚控均可实现转速调节，功能切换等 ，主机带可调速蠕动泵及配套喷水嘴，运行参数可调。</w:t>
      </w:r>
      <w:r/>
    </w:p>
    <w:p>
      <w:pPr>
        <w:ind w:firstLine="440"/>
        <w:jc w:val="both"/>
        <w:spacing w:line="360" w:lineRule="auto"/>
        <w:rPr>
          <w:color w:val="auto"/>
          <w:highlight w:val="none"/>
          <w:lang w:val="en-US" w:bidi="ar-SA"/>
        </w:rPr>
      </w:pPr>
      <w:r>
        <w:rPr>
          <w:rFonts w:hint="eastAsia"/>
          <w:color w:val="auto"/>
          <w:highlight w:val="none"/>
          <w:lang w:val="en-US" w:bidi="ar-SA"/>
        </w:rPr>
        <w:t xml:space="preserve">2.7</w:t>
      </w:r>
      <w:r>
        <w:rPr>
          <w:rFonts w:hint="eastAsia"/>
          <w:bCs/>
          <w:color w:val="auto"/>
          <w:highlight w:val="none"/>
          <w:lang w:val="en-US" w:bidi="ar-SA"/>
        </w:rPr>
        <w:t xml:space="preserve">、</w:t>
      </w:r>
      <w:r>
        <w:rPr>
          <w:rFonts w:hint="eastAsia"/>
          <w:color w:val="auto"/>
          <w:highlight w:val="none"/>
          <w:lang w:val="en-US" w:bidi="ar-SA"/>
        </w:rPr>
        <w:t xml:space="preserve">脚踏开关具有无级变速控制功能；运行参数可调。</w:t>
      </w:r>
      <w:r/>
    </w:p>
    <w:p>
      <w:pPr>
        <w:ind w:firstLine="440"/>
        <w:jc w:val="both"/>
        <w:spacing w:line="360" w:lineRule="auto"/>
        <w:rPr>
          <w:color w:val="auto"/>
          <w:highlight w:val="none"/>
          <w:lang w:val="en-US" w:bidi="ar-SA"/>
        </w:rPr>
      </w:pPr>
      <w:r>
        <w:rPr>
          <w:rFonts w:hint="eastAsia"/>
          <w:color w:val="auto"/>
          <w:highlight w:val="none"/>
          <w:lang w:val="en-US" w:bidi="ar-SA"/>
        </w:rPr>
        <w:t xml:space="preserve">2.8</w:t>
      </w:r>
      <w:r>
        <w:rPr>
          <w:rFonts w:hint="eastAsia"/>
          <w:bCs/>
          <w:color w:val="auto"/>
          <w:highlight w:val="none"/>
          <w:lang w:val="en-US" w:bidi="ar-SA"/>
        </w:rPr>
        <w:t xml:space="preserve">、</w:t>
      </w:r>
      <w:r>
        <w:rPr>
          <w:rFonts w:hint="eastAsia"/>
          <w:color w:val="auto"/>
          <w:highlight w:val="none"/>
          <w:lang w:val="en-US" w:bidi="ar-SA"/>
        </w:rPr>
        <w:t xml:space="preserve">BF型电气安全设计和100-240V宽电压电源设计。</w:t>
      </w:r>
      <w:r/>
    </w:p>
    <w:p>
      <w:pPr>
        <w:ind w:firstLine="440"/>
        <w:jc w:val="both"/>
        <w:spacing w:line="360" w:lineRule="auto"/>
        <w:rPr>
          <w:color w:val="auto"/>
          <w:highlight w:val="none"/>
          <w:lang w:val="en-US" w:bidi="ar-SA"/>
        </w:rPr>
      </w:pPr>
      <w:r>
        <w:rPr>
          <w:rFonts w:hint="eastAsia"/>
          <w:color w:val="auto"/>
          <w:highlight w:val="none"/>
          <w:lang w:val="en-US" w:bidi="ar-SA"/>
        </w:rPr>
        <w:t xml:space="preserve">3.脚踏开关1个</w:t>
      </w:r>
      <w:r/>
    </w:p>
    <w:p>
      <w:pPr>
        <w:ind w:firstLine="440"/>
        <w:jc w:val="both"/>
        <w:spacing w:line="360" w:lineRule="auto"/>
        <w:rPr>
          <w:color w:val="auto"/>
          <w:highlight w:val="none"/>
          <w:lang w:val="en-US" w:bidi="ar-SA"/>
        </w:rPr>
      </w:pPr>
      <w:r>
        <w:rPr>
          <w:rFonts w:hint="eastAsia"/>
          <w:color w:val="auto"/>
          <w:highlight w:val="none"/>
          <w:lang w:val="en-US" w:bidi="ar-SA"/>
        </w:rPr>
        <w:t xml:space="preserve">3.1</w:t>
      </w:r>
      <w:r>
        <w:rPr>
          <w:rFonts w:hint="eastAsia"/>
          <w:bCs/>
          <w:color w:val="auto"/>
          <w:highlight w:val="none"/>
          <w:lang w:val="en-US" w:bidi="ar-SA"/>
        </w:rPr>
        <w:t xml:space="preserve">、</w:t>
      </w:r>
      <w:r>
        <w:rPr>
          <w:rFonts w:hint="eastAsia"/>
          <w:color w:val="auto"/>
          <w:highlight w:val="none"/>
          <w:lang w:val="en-US" w:bidi="ar-SA"/>
        </w:rPr>
        <w:t xml:space="preserve">线缆长＞3m，无级调速，可进行功能切换及注水流量调节。</w:t>
      </w:r>
      <w:r/>
    </w:p>
    <w:p>
      <w:pPr>
        <w:ind w:firstLine="440"/>
        <w:jc w:val="both"/>
        <w:spacing w:line="360" w:lineRule="auto"/>
        <w:rPr>
          <w:color w:val="auto"/>
          <w:highlight w:val="none"/>
          <w:lang w:val="en-US" w:bidi="ar-SA"/>
        </w:rPr>
      </w:pPr>
      <w:r>
        <w:rPr>
          <w:rFonts w:hint="eastAsia"/>
          <w:color w:val="auto"/>
          <w:highlight w:val="none"/>
          <w:lang w:val="en-US" w:bidi="ar-SA"/>
        </w:rPr>
        <w:t xml:space="preserve">3.2</w:t>
      </w:r>
      <w:r>
        <w:rPr>
          <w:rFonts w:hint="eastAsia"/>
          <w:bCs/>
          <w:color w:val="auto"/>
          <w:highlight w:val="none"/>
          <w:lang w:val="en-US" w:bidi="ar-SA"/>
        </w:rPr>
        <w:t xml:space="preserve">、</w:t>
      </w:r>
      <w:r>
        <w:rPr>
          <w:rFonts w:hint="eastAsia"/>
          <w:color w:val="auto"/>
          <w:highlight w:val="none"/>
          <w:lang w:val="en-US" w:bidi="ar-SA"/>
        </w:rPr>
        <w:t xml:space="preserve">IPX8防水等级，防滑、防侧翻。</w:t>
      </w:r>
      <w:r/>
    </w:p>
    <w:p>
      <w:pPr>
        <w:ind w:firstLine="440"/>
        <w:jc w:val="both"/>
        <w:spacing w:line="360" w:lineRule="auto"/>
        <w:rPr>
          <w:color w:val="auto"/>
          <w:highlight w:val="none"/>
          <w:lang w:val="en-US" w:bidi="ar-SA"/>
        </w:rPr>
      </w:pPr>
      <w:r>
        <w:rPr>
          <w:rFonts w:hint="eastAsia"/>
          <w:color w:val="auto"/>
          <w:highlight w:val="none"/>
          <w:lang w:val="en-US" w:bidi="ar-SA"/>
        </w:rPr>
        <w:t xml:space="preserve">4.手柄2个</w:t>
      </w:r>
      <w:r/>
    </w:p>
    <w:p>
      <w:pPr>
        <w:ind w:firstLine="440"/>
        <w:jc w:val="both"/>
        <w:spacing w:line="360" w:lineRule="auto"/>
        <w:rPr>
          <w:color w:val="auto"/>
          <w:highlight w:val="none"/>
          <w:lang w:val="en-US" w:bidi="ar-SA"/>
        </w:rPr>
      </w:pPr>
      <w:r>
        <w:rPr>
          <w:rFonts w:hint="eastAsia"/>
          <w:color w:val="auto"/>
          <w:highlight w:val="none"/>
          <w:lang w:val="en-US" w:bidi="ar-SA"/>
        </w:rPr>
        <w:t xml:space="preserve">4.1</w:t>
      </w:r>
      <w:r>
        <w:rPr>
          <w:rFonts w:hint="eastAsia"/>
          <w:bCs/>
          <w:color w:val="auto"/>
          <w:highlight w:val="none"/>
          <w:lang w:val="en-US" w:bidi="ar-SA"/>
        </w:rPr>
        <w:t xml:space="preserve">、</w:t>
      </w:r>
      <w:r>
        <w:rPr>
          <w:rFonts w:hint="eastAsia"/>
          <w:color w:val="auto"/>
          <w:highlight w:val="none"/>
          <w:lang w:val="en-US" w:bidi="ar-SA"/>
        </w:rPr>
        <w:t xml:space="preserve">脊柱磨手柄用于骨科或其他外科微创手术中对骨组织的磨削处理。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w:t>
      </w:r>
      <w:r>
        <w:rPr>
          <w:rFonts w:hint="eastAsia"/>
          <w:color w:val="auto"/>
          <w:highlight w:val="none"/>
          <w:lang w:val="en-US" w:bidi="ar-SA"/>
        </w:rPr>
        <w:t xml:space="preserve">4.2</w:t>
      </w:r>
      <w:r>
        <w:rPr>
          <w:rFonts w:hint="eastAsia"/>
          <w:bCs/>
          <w:color w:val="auto"/>
          <w:highlight w:val="none"/>
          <w:lang w:val="en-US" w:bidi="ar-SA"/>
        </w:rPr>
        <w:t xml:space="preserve">、</w:t>
      </w:r>
      <w:r>
        <w:rPr>
          <w:rFonts w:hint="eastAsia"/>
          <w:color w:val="auto"/>
          <w:highlight w:val="none"/>
          <w:lang w:val="en-US" w:bidi="ar-SA"/>
        </w:rPr>
        <w:t xml:space="preserve">可根据手术需要采用执笔式或握持式操作。外形小巧，人机性好。内置大功率微电机，操作简单、方便，灵活，具有更高的可靠性和安全性。</w:t>
      </w:r>
      <w:r/>
    </w:p>
    <w:p>
      <w:pPr>
        <w:ind w:firstLine="440"/>
        <w:jc w:val="both"/>
        <w:spacing w:line="360" w:lineRule="auto"/>
        <w:rPr>
          <w:color w:val="auto"/>
          <w:highlight w:val="none"/>
          <w:lang w:val="en-US" w:bidi="ar-SA"/>
        </w:rPr>
      </w:pPr>
      <w:r>
        <w:rPr>
          <w:rFonts w:hint="eastAsia"/>
          <w:color w:val="auto"/>
          <w:highlight w:val="none"/>
          <w:lang w:val="en-US" w:bidi="ar-SA"/>
        </w:rPr>
        <w:t xml:space="preserve">4.3</w:t>
      </w:r>
      <w:r>
        <w:rPr>
          <w:rFonts w:hint="eastAsia"/>
          <w:bCs/>
          <w:color w:val="auto"/>
          <w:highlight w:val="none"/>
          <w:lang w:val="en-US" w:bidi="ar-SA"/>
        </w:rPr>
        <w:t xml:space="preserve">、</w:t>
      </w:r>
      <w:r>
        <w:rPr>
          <w:rFonts w:hint="eastAsia"/>
          <w:color w:val="auto"/>
          <w:highlight w:val="none"/>
          <w:lang w:val="en-US" w:bidi="ar-SA"/>
        </w:rPr>
        <w:t xml:space="preserve">内置大功率微电机，单向转速设置范围不小于：8000〜25000r/min。</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4.4</w:t>
      </w:r>
      <w:r>
        <w:rPr>
          <w:rFonts w:hint="eastAsia"/>
          <w:bCs/>
          <w:color w:val="auto"/>
          <w:highlight w:val="none"/>
          <w:lang w:val="en-US" w:bidi="ar-SA"/>
        </w:rPr>
        <w:t xml:space="preserve">、</w:t>
      </w:r>
      <w:r>
        <w:rPr>
          <w:rFonts w:hint="eastAsia"/>
          <w:color w:val="auto"/>
          <w:highlight w:val="none"/>
          <w:lang w:val="en-US" w:bidi="ar-SA"/>
        </w:rPr>
        <w:t xml:space="preserve">可高温灭菌和密封设计：清洁、灭菌更彻底降低感染风险。</w:t>
      </w:r>
      <w:r>
        <w:rPr>
          <w:rFonts w:hint="eastAsia"/>
          <w:bCs/>
          <w:color w:val="auto"/>
          <w:highlight w:val="none"/>
          <w:lang w:val="en-US" w:bidi="ar-SA"/>
        </w:rPr>
        <w:t xml:space="preserve">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 </w:t>
      </w:r>
      <w:r/>
    </w:p>
    <w:p>
      <w:pPr>
        <w:ind w:firstLine="442"/>
        <w:jc w:val="both"/>
        <w:spacing w:line="360" w:lineRule="auto"/>
        <w:rPr>
          <w:b/>
          <w:color w:val="auto"/>
          <w:highlight w:val="none"/>
          <w:lang w:val="en-US" w:bidi="ar-SA"/>
        </w:rPr>
      </w:pPr>
      <w:r>
        <w:rPr>
          <w:rFonts w:hint="eastAsia"/>
          <w:b/>
          <w:color w:val="auto"/>
          <w:highlight w:val="none"/>
          <w:lang w:val="en-US" w:bidi="ar-SA"/>
        </w:rPr>
        <w:t xml:space="preserve">（三）侧路脊柱内镜手术系统器械（共2套）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一、每套包含内窥镜1支，参数要求：</w:t>
      </w:r>
      <w:r/>
    </w:p>
    <w:p>
      <w:pPr>
        <w:ind w:firstLine="440"/>
        <w:jc w:val="both"/>
        <w:spacing w:line="360" w:lineRule="auto"/>
        <w:rPr>
          <w:bCs/>
          <w:color w:val="auto"/>
          <w:highlight w:val="none"/>
          <w:lang w:val="en-US" w:bidi="ar-SA"/>
        </w:rPr>
      </w:pPr>
      <w:r/>
      <w:bookmarkStart w:id="27" w:name="_Hlk106700782"/>
      <w:r>
        <w:rPr>
          <w:rFonts w:hint="eastAsia"/>
          <w:bCs/>
          <w:color w:val="auto"/>
          <w:highlight w:val="none"/>
          <w:lang w:val="en-US" w:bidi="ar-SA"/>
        </w:rPr>
        <w:t xml:space="preserve">1.1、内窥镜适用于脊柱外科手术；     </w:t>
      </w:r>
      <w:r/>
    </w:p>
    <w:p>
      <w:pPr>
        <w:ind w:firstLine="440"/>
        <w:jc w:val="both"/>
        <w:spacing w:line="360" w:lineRule="auto"/>
        <w:rPr>
          <w:color w:val="auto"/>
          <w:highlight w:val="none"/>
          <w:lang w:val="en-US" w:bidi="ar-SA"/>
        </w:rPr>
      </w:pPr>
      <w:r>
        <w:rPr>
          <w:rFonts w:hint="eastAsia"/>
          <w:color w:val="auto"/>
          <w:highlight w:val="none"/>
          <w:lang w:val="en-US" w:bidi="ar-SA"/>
        </w:rPr>
        <w:t xml:space="preserve">1.2、视向角30° ；    </w:t>
      </w:r>
      <w:r/>
    </w:p>
    <w:p>
      <w:pPr>
        <w:ind w:firstLine="440"/>
        <w:jc w:val="both"/>
        <w:spacing w:line="360" w:lineRule="auto"/>
        <w:rPr>
          <w:color w:val="auto"/>
          <w:highlight w:val="none"/>
          <w:lang w:val="en-US" w:bidi="ar-SA"/>
        </w:rPr>
      </w:pPr>
      <w:r>
        <w:rPr>
          <w:rFonts w:hint="eastAsia"/>
          <w:color w:val="auto"/>
          <w:highlight w:val="none"/>
          <w:lang w:val="en-US" w:bidi="ar-SA"/>
        </w:rPr>
        <w:t xml:space="preserve">1.3、视场角≥75°；     </w:t>
      </w:r>
      <w:r/>
    </w:p>
    <w:p>
      <w:pPr>
        <w:ind w:firstLine="440"/>
        <w:jc w:val="both"/>
        <w:spacing w:line="360" w:lineRule="auto"/>
        <w:rPr>
          <w:bCs/>
          <w:color w:val="auto"/>
          <w:highlight w:val="none"/>
          <w:lang w:val="en-US" w:bidi="ar-SA"/>
        </w:rPr>
      </w:pPr>
      <w:r>
        <w:rPr>
          <w:rFonts w:hint="eastAsia"/>
          <w:color w:val="auto"/>
          <w:highlight w:val="none"/>
          <w:lang w:val="en-US" w:bidi="ar-SA"/>
        </w:rPr>
        <w:t xml:space="preserve">1.4、内窥镜具有的手术器械进出通道直径≥3.7mm；</w:t>
      </w:r>
      <w:r/>
    </w:p>
    <w:p>
      <w:pPr>
        <w:ind w:firstLine="440"/>
        <w:jc w:val="both"/>
        <w:spacing w:line="360" w:lineRule="auto"/>
        <w:rPr>
          <w:color w:val="auto"/>
          <w:highlight w:val="none"/>
          <w:lang w:val="en-US" w:bidi="ar-SA"/>
        </w:rPr>
      </w:pPr>
      <w:r>
        <w:rPr>
          <w:rFonts w:hint="eastAsia"/>
          <w:color w:val="auto"/>
          <w:highlight w:val="none"/>
          <w:lang w:val="en-US" w:bidi="ar-SA"/>
        </w:rPr>
        <w:t xml:space="preserve">1.5、有效工作长度（插入人体部分）</w:t>
      </w:r>
      <w:bookmarkStart w:id="28" w:name="_Hlk178932688"/>
      <w:r>
        <w:rPr>
          <w:rFonts w:hint="eastAsia"/>
          <w:color w:val="auto"/>
          <w:highlight w:val="none"/>
          <w:lang w:val="en-US" w:bidi="ar-SA"/>
        </w:rPr>
        <w:t xml:space="preserve">＜180mm</w:t>
      </w:r>
      <w:bookmarkEnd w:id="28"/>
      <w:r>
        <w:rPr>
          <w:rFonts w:hint="eastAsia"/>
          <w:color w:val="auto"/>
          <w:highlight w:val="none"/>
          <w:lang w:val="en-US" w:bidi="ar-SA"/>
        </w:rPr>
        <w:t xml:space="preserve">；    </w:t>
      </w:r>
      <w:r/>
    </w:p>
    <w:p>
      <w:pPr>
        <w:ind w:firstLine="440"/>
        <w:jc w:val="both"/>
        <w:spacing w:line="360" w:lineRule="auto"/>
        <w:rPr>
          <w:color w:val="auto"/>
          <w:highlight w:val="none"/>
          <w:lang w:val="en-US" w:bidi="ar-SA"/>
        </w:rPr>
      </w:pPr>
      <w:r>
        <w:rPr>
          <w:rFonts w:hint="eastAsia"/>
          <w:color w:val="auto"/>
          <w:highlight w:val="none"/>
          <w:lang w:val="en-US" w:bidi="ar-SA"/>
        </w:rPr>
        <w:t xml:space="preserve">1.6、灌注和吸引通道各1个，直径≥1.5mm；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1.7、内窥镜镜体为一体成型，便于握持和捆扎无菌套。</w:t>
      </w:r>
      <w:bookmarkEnd w:id="27"/>
      <w:r/>
      <w:r/>
    </w:p>
    <w:p>
      <w:pPr>
        <w:ind w:firstLine="440"/>
        <w:jc w:val="both"/>
        <w:spacing w:line="360" w:lineRule="auto"/>
        <w:rPr>
          <w:color w:val="auto"/>
          <w:highlight w:val="none"/>
          <w:lang w:val="en-US" w:bidi="ar-SA"/>
        </w:rPr>
      </w:pPr>
      <w:r>
        <w:rPr>
          <w:color w:val="auto"/>
          <w:highlight w:val="none"/>
          <w:lang w:val="en-US" w:bidi="ar-SA"/>
        </w:rPr>
      </w:r>
      <w:r/>
    </w:p>
    <w:p>
      <w:pPr>
        <w:ind w:firstLine="440"/>
        <w:jc w:val="both"/>
        <w:spacing w:line="360" w:lineRule="auto"/>
        <w:rPr>
          <w:color w:val="auto"/>
          <w:highlight w:val="none"/>
          <w:lang w:val="en-US" w:bidi="ar-SA"/>
        </w:rPr>
      </w:pPr>
      <w:r>
        <w:rPr>
          <w:rFonts w:hint="eastAsia"/>
          <w:bCs/>
          <w:color w:val="auto"/>
          <w:highlight w:val="none"/>
          <w:lang w:val="en-US" w:bidi="ar-SA"/>
        </w:rPr>
        <w:t xml:space="preserve">2、手术器械参数及配置要求</w:t>
      </w:r>
      <w:r>
        <w:rPr>
          <w:rFonts w:hint="eastAsia"/>
          <w:b/>
          <w:color w:val="auto"/>
          <w:highlight w:val="none"/>
          <w:lang w:val="en-US" w:bidi="ar-SA"/>
        </w:rPr>
        <w:t xml:space="preserve">：</w:t>
      </w:r>
      <w:r/>
    </w:p>
    <w:p>
      <w:pPr>
        <w:ind w:firstLine="440"/>
        <w:jc w:val="both"/>
        <w:spacing w:line="360" w:lineRule="auto"/>
        <w:rPr>
          <w:color w:val="auto"/>
          <w:highlight w:val="none"/>
          <w:lang w:val="en-US" w:bidi="ar-SA"/>
        </w:rPr>
      </w:pPr>
      <w:r>
        <w:rPr>
          <w:rFonts w:hint="eastAsia"/>
          <w:color w:val="auto"/>
          <w:highlight w:val="none"/>
          <w:lang w:val="en-US" w:bidi="ar-SA"/>
        </w:rPr>
        <w:t xml:space="preserve">2.1、扩张管1支，</w:t>
      </w:r>
      <w:bookmarkStart w:id="29" w:name="_Hlk106700951"/>
      <w:r>
        <w:rPr>
          <w:rFonts w:hint="eastAsia"/>
          <w:color w:val="auto"/>
          <w:highlight w:val="none"/>
          <w:lang w:val="en-US" w:bidi="ar-SA"/>
        </w:rPr>
        <w:t xml:space="preserve">内径1.0mm～1.5mm，外径</w:t>
      </w:r>
      <w:bookmarkStart w:id="30" w:name="_Hlk179899811"/>
      <w:r>
        <w:rPr>
          <w:rFonts w:hint="eastAsia"/>
          <w:color w:val="auto"/>
          <w:highlight w:val="none"/>
          <w:lang w:val="en-US" w:bidi="ar-SA"/>
        </w:rPr>
        <w:t xml:space="preserve">4.0mm～4.5mm</w:t>
      </w:r>
      <w:bookmarkEnd w:id="30"/>
      <w:r>
        <w:rPr>
          <w:rFonts w:hint="eastAsia"/>
          <w:color w:val="auto"/>
          <w:highlight w:val="none"/>
          <w:lang w:val="en-US" w:bidi="ar-SA"/>
        </w:rPr>
        <w:t xml:space="preserve">，长度＞220mm</w:t>
      </w:r>
      <w:bookmarkEnd w:id="29"/>
      <w:r>
        <w:rPr>
          <w:rFonts w:hint="eastAsia"/>
          <w:color w:val="auto"/>
          <w:highlight w:val="none"/>
          <w:lang w:val="en-US" w:bidi="ar-SA"/>
        </w:rPr>
        <w:t xml:space="preserve">；</w:t>
      </w:r>
      <w:r/>
    </w:p>
    <w:p>
      <w:pPr>
        <w:ind w:firstLine="440"/>
        <w:jc w:val="both"/>
        <w:spacing w:line="360" w:lineRule="auto"/>
        <w:rPr>
          <w:color w:val="auto"/>
          <w:highlight w:val="none"/>
          <w:lang w:val="en-US" w:bidi="ar-SA"/>
        </w:rPr>
      </w:pPr>
      <w:r>
        <w:rPr>
          <w:rFonts w:hint="eastAsia"/>
          <w:color w:val="auto"/>
          <w:highlight w:val="none"/>
          <w:lang w:val="en-US" w:bidi="ar-SA"/>
        </w:rPr>
        <w:t xml:space="preserve">2.2、扩张管1支，内径＞4.0mm，外径</w:t>
      </w:r>
      <w:bookmarkStart w:id="31" w:name="_Hlk179899868"/>
      <w:r>
        <w:rPr>
          <w:rFonts w:hint="eastAsia"/>
          <w:color w:val="auto"/>
          <w:highlight w:val="none"/>
          <w:lang w:val="en-US" w:bidi="ar-SA"/>
        </w:rPr>
        <w:t xml:space="preserve">7.0mm～8.0mm</w:t>
      </w:r>
      <w:bookmarkEnd w:id="31"/>
      <w:r>
        <w:rPr>
          <w:rFonts w:hint="eastAsia"/>
          <w:color w:val="auto"/>
          <w:highlight w:val="none"/>
          <w:lang w:val="en-US" w:bidi="ar-SA"/>
        </w:rPr>
        <w:t xml:space="preserve">，长度＞200mm。</w:t>
      </w:r>
      <w:r/>
    </w:p>
    <w:p>
      <w:pPr>
        <w:ind w:firstLine="440"/>
        <w:jc w:val="both"/>
        <w:spacing w:line="360" w:lineRule="auto"/>
        <w:rPr>
          <w:color w:val="auto"/>
          <w:highlight w:val="none"/>
          <w:lang w:val="en-US" w:bidi="ar-SA"/>
        </w:rPr>
      </w:pPr>
      <w:r>
        <w:rPr>
          <w:rFonts w:hint="eastAsia"/>
          <w:color w:val="auto"/>
          <w:highlight w:val="none"/>
          <w:lang w:val="en-US" w:bidi="ar-SA"/>
        </w:rPr>
        <w:t xml:space="preserve">2.3、扩张管1支，内径＞7.5mm，外径＜9.5mm，长度</w:t>
      </w:r>
      <w:bookmarkStart w:id="32" w:name="_Hlk179900340"/>
      <w:r>
        <w:rPr>
          <w:rFonts w:hint="eastAsia"/>
          <w:color w:val="auto"/>
          <w:highlight w:val="none"/>
          <w:lang w:val="en-US" w:bidi="ar-SA"/>
        </w:rPr>
        <w:t xml:space="preserve">＞180mm</w:t>
      </w:r>
      <w:bookmarkEnd w:id="32"/>
      <w:r>
        <w:rPr>
          <w:rFonts w:hint="eastAsia"/>
          <w:color w:val="auto"/>
          <w:highlight w:val="none"/>
          <w:lang w:val="en-US" w:bidi="ar-SA"/>
        </w:rPr>
        <w:t xml:space="preserve">。</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2.4、调整套管1支，外径＜8.0mm，长度＞190mm；</w:t>
      </w:r>
      <w:r/>
    </w:p>
    <w:p>
      <w:pPr>
        <w:ind w:firstLine="440"/>
        <w:jc w:val="both"/>
        <w:spacing w:line="360" w:lineRule="auto"/>
        <w:rPr>
          <w:color w:val="auto"/>
          <w:highlight w:val="none"/>
          <w:lang w:val="en-US" w:bidi="ar-SA"/>
        </w:rPr>
      </w:pPr>
      <w:r>
        <w:rPr>
          <w:rFonts w:hint="eastAsia"/>
          <w:color w:val="auto"/>
          <w:highlight w:val="none"/>
          <w:lang w:val="en-US" w:bidi="ar-SA"/>
        </w:rPr>
        <w:t xml:space="preserve">边缘具有贯通的偏心内切圆，内切圆直径≥4.2mm。</w:t>
      </w:r>
      <w:r/>
    </w:p>
    <w:p>
      <w:pPr>
        <w:ind w:firstLine="440"/>
        <w:jc w:val="both"/>
        <w:spacing w:line="360" w:lineRule="auto"/>
        <w:rPr>
          <w:color w:val="auto"/>
          <w:highlight w:val="none"/>
          <w:lang w:val="en-US" w:bidi="ar-SA"/>
        </w:rPr>
      </w:pPr>
      <w:r>
        <w:rPr>
          <w:rFonts w:hint="eastAsia"/>
          <w:bCs/>
          <w:color w:val="auto"/>
          <w:highlight w:val="none"/>
          <w:lang w:val="en-US" w:bidi="ar-SA"/>
        </w:rPr>
        <w:t xml:space="preserve">▲</w:t>
      </w:r>
      <w:r>
        <w:rPr>
          <w:rFonts w:hint="eastAsia"/>
          <w:color w:val="auto"/>
          <w:highlight w:val="none"/>
          <w:lang w:val="en-US" w:bidi="ar-SA"/>
        </w:rPr>
        <w:t xml:space="preserve">2.5、工作套管1支，前端为阶梯型斜面并带锯齿；内径</w:t>
      </w:r>
      <w:bookmarkStart w:id="33" w:name="_Hlk179901246"/>
      <w:r>
        <w:rPr>
          <w:rFonts w:hint="eastAsia"/>
          <w:color w:val="auto"/>
          <w:highlight w:val="none"/>
          <w:lang w:val="en-US" w:bidi="ar-SA"/>
        </w:rPr>
        <w:t xml:space="preserve">≥</w:t>
      </w:r>
      <w:bookmarkEnd w:id="33"/>
      <w:r>
        <w:rPr>
          <w:rFonts w:hint="eastAsia"/>
          <w:color w:val="auto"/>
          <w:highlight w:val="none"/>
          <w:lang w:val="en-US" w:bidi="ar-SA"/>
        </w:rPr>
        <w:t xml:space="preserve">7.5mm，外径≤9.0mm，长度＞160mm。</w:t>
      </w:r>
      <w:r/>
    </w:p>
    <w:p>
      <w:pPr>
        <w:ind w:firstLine="440"/>
        <w:jc w:val="both"/>
        <w:spacing w:line="360" w:lineRule="auto"/>
        <w:rPr>
          <w:color w:val="auto"/>
          <w:highlight w:val="none"/>
          <w:lang w:val="en-US" w:bidi="ar-SA"/>
        </w:rPr>
      </w:pPr>
      <w:r>
        <w:rPr>
          <w:rFonts w:hint="eastAsia"/>
          <w:color w:val="auto"/>
          <w:highlight w:val="none"/>
          <w:lang w:val="en-US" w:bidi="ar-SA"/>
        </w:rPr>
        <w:t xml:space="preserve">2.6、细齿环锯1支，长度＞180 mm，内径≥6.5 mm，外径＜8.0 mm。</w:t>
      </w:r>
      <w:r/>
    </w:p>
    <w:p>
      <w:pPr>
        <w:ind w:firstLine="440"/>
        <w:jc w:val="both"/>
        <w:spacing w:line="360" w:lineRule="auto"/>
        <w:rPr>
          <w:color w:val="auto"/>
          <w:highlight w:val="none"/>
          <w:lang w:val="en-US" w:bidi="ar-SA"/>
        </w:rPr>
      </w:pPr>
      <w:r>
        <w:rPr>
          <w:rFonts w:hint="eastAsia"/>
          <w:color w:val="auto"/>
          <w:highlight w:val="none"/>
          <w:lang w:val="en-US" w:bidi="ar-SA"/>
        </w:rPr>
        <w:t xml:space="preserve">2.7、细齿扩孔钻1支，长度＞180 mm，内径≥6.5 mm，外径＜8.0 mm。</w:t>
      </w:r>
      <w:r/>
    </w:p>
    <w:p>
      <w:pPr>
        <w:ind w:firstLine="440"/>
        <w:jc w:val="both"/>
        <w:spacing w:line="360" w:lineRule="auto"/>
        <w:rPr>
          <w:color w:val="auto"/>
          <w:highlight w:val="none"/>
          <w:lang w:val="en-US" w:bidi="ar-SA"/>
        </w:rPr>
      </w:pPr>
      <w:r>
        <w:rPr>
          <w:rFonts w:hint="eastAsia"/>
          <w:color w:val="auto"/>
          <w:highlight w:val="none"/>
          <w:lang w:val="en-US" w:bidi="ar-SA"/>
        </w:rPr>
        <w:t xml:space="preserve">2.8、扩张管1支，内径</w:t>
      </w:r>
      <w:bookmarkStart w:id="34" w:name="_Hlk106689514"/>
      <w:r/>
      <w:bookmarkStart w:id="35" w:name="_Hlk186650220"/>
      <w:r>
        <w:rPr>
          <w:rFonts w:hint="eastAsia"/>
          <w:color w:val="auto"/>
          <w:highlight w:val="none"/>
          <w:lang w:val="en-US" w:bidi="ar-SA"/>
        </w:rPr>
        <w:t xml:space="preserve">＞</w:t>
      </w:r>
      <w:bookmarkEnd w:id="34"/>
      <w:r>
        <w:rPr>
          <w:rFonts w:hint="eastAsia"/>
          <w:color w:val="auto"/>
          <w:highlight w:val="none"/>
          <w:lang w:val="en-US" w:bidi="ar-SA"/>
        </w:rPr>
        <w:t xml:space="preserve">4.0mm</w:t>
      </w:r>
      <w:bookmarkEnd w:id="35"/>
      <w:r>
        <w:rPr>
          <w:rFonts w:hint="eastAsia"/>
          <w:color w:val="auto"/>
          <w:highlight w:val="none"/>
          <w:lang w:val="en-US" w:bidi="ar-SA"/>
        </w:rPr>
        <w:t xml:space="preserve">，外径6.0mm～7.0mm，长度＞200mm。</w:t>
      </w:r>
      <w:r/>
    </w:p>
    <w:p>
      <w:pPr>
        <w:ind w:firstLine="440"/>
        <w:jc w:val="both"/>
        <w:spacing w:line="360" w:lineRule="auto"/>
        <w:rPr>
          <w:color w:val="auto"/>
          <w:highlight w:val="none"/>
          <w:lang w:val="en-US" w:bidi="ar-SA"/>
        </w:rPr>
      </w:pPr>
      <w:r>
        <w:rPr>
          <w:rFonts w:hint="eastAsia"/>
          <w:color w:val="auto"/>
          <w:highlight w:val="none"/>
          <w:lang w:val="en-US" w:bidi="ar-SA"/>
        </w:rPr>
        <w:t xml:space="preserve">2.9、工作套管1支，前端斜面，后端带T型把手；内径≥6.5mm，外径＜8.0mm，长度＞175mm。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2.10、透明工作套管1支，前端斜面，后端带把手；内径＞6.5mm，外径＜8.5mm，长度＞175mm。</w:t>
      </w:r>
      <w:r/>
    </w:p>
    <w:p>
      <w:pPr>
        <w:ind w:firstLine="440"/>
        <w:jc w:val="both"/>
        <w:spacing w:line="360" w:lineRule="auto"/>
        <w:rPr>
          <w:color w:val="auto"/>
          <w:highlight w:val="none"/>
          <w:lang w:val="en-US" w:bidi="ar-SA"/>
        </w:rPr>
      </w:pPr>
      <w:r>
        <w:rPr>
          <w:rFonts w:hint="eastAsia"/>
          <w:color w:val="auto"/>
          <w:highlight w:val="none"/>
          <w:lang w:val="en-US" w:bidi="ar-SA"/>
        </w:rPr>
        <w:t xml:space="preserve">2.11、骨科通条1支，外径＞6.0mm，长度≤250mm。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2.12、神经拉钩1支，直径</w:t>
      </w:r>
      <w:bookmarkStart w:id="36" w:name="_Hlk179900468"/>
      <w:r>
        <w:rPr>
          <w:rFonts w:hint="eastAsia"/>
          <w:color w:val="auto"/>
          <w:highlight w:val="none"/>
          <w:lang w:val="en-US" w:bidi="ar-SA"/>
        </w:rPr>
        <w:t xml:space="preserve">≤</w:t>
      </w:r>
      <w:bookmarkEnd w:id="36"/>
      <w:r>
        <w:rPr>
          <w:rFonts w:hint="eastAsia"/>
          <w:color w:val="auto"/>
          <w:highlight w:val="none"/>
          <w:lang w:val="en-US" w:bidi="ar-SA"/>
        </w:rPr>
        <w:t xml:space="preserve">2.7mm，长度＞320mm。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2.13、剥离子1支，直径≤2.5mm，长度＞320mm。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2.14、神经探棒2支，工作长度≥300mm，内径＞2.0mm，外径≤3.5mm，</w:t>
      </w:r>
      <w:r/>
    </w:p>
    <w:p>
      <w:pPr>
        <w:ind w:firstLine="440"/>
        <w:jc w:val="both"/>
        <w:spacing w:line="360" w:lineRule="auto"/>
        <w:rPr>
          <w:color w:val="auto"/>
          <w:highlight w:val="none"/>
          <w:lang w:val="en-US" w:bidi="ar-SA"/>
        </w:rPr>
      </w:pPr>
      <w:r>
        <w:rPr>
          <w:rFonts w:hint="eastAsia"/>
          <w:color w:val="auto"/>
          <w:highlight w:val="none"/>
          <w:lang w:val="en-US" w:bidi="ar-SA"/>
        </w:rPr>
        <w:t xml:space="preserve">内芯可在外管内伸缩，前端露出外管时能弧形上翘，后端可外接注射器推注药物至手术区域。</w:t>
      </w:r>
      <w:r/>
    </w:p>
    <w:p>
      <w:pPr>
        <w:ind w:firstLine="440"/>
        <w:jc w:val="both"/>
        <w:spacing w:line="360" w:lineRule="auto"/>
        <w:rPr>
          <w:color w:val="auto"/>
          <w:highlight w:val="none"/>
          <w:lang w:val="en-US" w:bidi="ar-SA"/>
        </w:rPr>
      </w:pPr>
      <w:r>
        <w:rPr>
          <w:rFonts w:hint="eastAsia"/>
          <w:color w:val="auto"/>
          <w:highlight w:val="none"/>
          <w:lang w:val="en-US" w:bidi="ar-SA"/>
        </w:rPr>
        <w:t xml:space="preserve">2.15、骨铲1支，工作端直径≤2.7mm，长度≥320mm。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2.16、骨锤1把，工作端为可耐高温塑料。</w:t>
      </w:r>
      <w:r/>
    </w:p>
    <w:p>
      <w:pPr>
        <w:ind w:firstLine="440"/>
        <w:jc w:val="both"/>
        <w:spacing w:line="360" w:lineRule="auto"/>
        <w:rPr>
          <w:color w:val="auto"/>
          <w:highlight w:val="none"/>
          <w:lang w:val="en-US" w:bidi="ar-SA"/>
        </w:rPr>
      </w:pPr>
      <w:r>
        <w:rPr>
          <w:rFonts w:hint="eastAsia"/>
          <w:color w:val="auto"/>
          <w:highlight w:val="none"/>
          <w:lang w:val="en-US" w:bidi="ar-SA"/>
        </w:rPr>
        <w:t xml:space="preserve">2.17、抓钳4把，咬切钳1把，尖圆形抓钳1把，弹簧抓钳1把：</w:t>
      </w:r>
      <w:r/>
    </w:p>
    <w:p>
      <w:pPr>
        <w:ind w:firstLine="440"/>
        <w:jc w:val="both"/>
        <w:spacing w:line="360" w:lineRule="auto"/>
        <w:rPr>
          <w:color w:val="auto"/>
          <w:highlight w:val="none"/>
          <w:lang w:val="en-US" w:bidi="ar-SA"/>
        </w:rPr>
      </w:pPr>
      <w:r>
        <w:rPr>
          <w:rFonts w:hint="eastAsia"/>
          <w:color w:val="auto"/>
          <w:highlight w:val="none"/>
          <w:lang w:val="en-US" w:bidi="ar-SA"/>
        </w:rPr>
        <w:t xml:space="preserve">2.17.1  抓钳2把，工作端为勺型。直径≥3.5mm，长度≥320mm。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2.17.2  </w:t>
      </w:r>
      <w:r>
        <w:rPr>
          <w:rFonts w:hint="eastAsia"/>
          <w:color w:val="auto"/>
          <w:highlight w:val="none"/>
          <w:lang w:val="en-US" w:bidi="ar-SA"/>
        </w:rPr>
        <w:t xml:space="preserve">抓钳1把，工作端为勺型。直径≤2.8mm，长度≥320mm。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2.17.3  弧形抓钳1把，直径≤2.8mm，钳口上翘角度≥30°，长度≥320mm。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2.17.4  咬切钳1把，头端上翘角度≥15°，直径≤2.8mm，长度≥320mm。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2.17.5  尖圆形抓钳1把，直径≤2.8mm，长度≥320mm。</w:t>
      </w:r>
      <w:r/>
    </w:p>
    <w:p>
      <w:pPr>
        <w:ind w:firstLine="440"/>
        <w:jc w:val="both"/>
        <w:spacing w:line="360" w:lineRule="auto"/>
        <w:rPr>
          <w:color w:val="auto"/>
          <w:highlight w:val="none"/>
          <w:lang w:val="en-US" w:bidi="ar-SA"/>
        </w:rPr>
      </w:pPr>
      <w:r>
        <w:rPr>
          <w:rFonts w:hint="eastAsia"/>
          <w:color w:val="auto"/>
          <w:highlight w:val="none"/>
          <w:lang w:val="en-US" w:bidi="ar-SA"/>
        </w:rPr>
        <w:t xml:space="preserve">2.17.6  弹簧抓钳1把，直径≤2.7mm，长度≥330mm。</w:t>
      </w:r>
      <w:r/>
    </w:p>
    <w:p>
      <w:pPr>
        <w:ind w:firstLine="442"/>
        <w:jc w:val="both"/>
        <w:spacing w:line="360" w:lineRule="auto"/>
        <w:rPr>
          <w:color w:val="auto"/>
          <w:highlight w:val="none"/>
          <w:lang w:val="en-US" w:bidi="ar-SA"/>
        </w:rPr>
      </w:pPr>
      <w:r>
        <w:rPr>
          <w:rFonts w:hint="eastAsia"/>
          <w:b/>
          <w:color w:val="auto"/>
          <w:highlight w:val="none"/>
          <w:lang w:val="en-US" w:bidi="ar-SA"/>
        </w:rPr>
        <w:t xml:space="preserve">▲</w:t>
      </w:r>
      <w:r>
        <w:rPr>
          <w:rFonts w:hint="eastAsia"/>
          <w:color w:val="auto"/>
          <w:highlight w:val="none"/>
          <w:lang w:val="en-US" w:bidi="ar-SA"/>
        </w:rPr>
        <w:t xml:space="preserve">2.18、咬骨鞘管2把，配套手柄1把，鞘管与手柄能快速装配和拆卸，装配后的咬骨钳具有过载保护功能：</w:t>
      </w:r>
      <w:r/>
    </w:p>
    <w:p>
      <w:pPr>
        <w:ind w:firstLine="440"/>
        <w:jc w:val="both"/>
        <w:spacing w:line="360" w:lineRule="auto"/>
        <w:rPr>
          <w:color w:val="auto"/>
          <w:highlight w:val="none"/>
          <w:lang w:val="en-US" w:bidi="ar-SA"/>
        </w:rPr>
      </w:pPr>
      <w:r/>
      <w:bookmarkStart w:id="37" w:name="_Hlk178869956"/>
      <w:r>
        <w:rPr>
          <w:rFonts w:hint="eastAsia"/>
          <w:color w:val="auto"/>
          <w:highlight w:val="none"/>
          <w:lang w:val="en-US" w:bidi="ar-SA"/>
        </w:rPr>
        <w:t xml:space="preserve">2.18.1  咬骨鞘管1把，直径≤3.5mm，工作长度≥320mm，钳口为40°，咬合口宽度≤1.5mm。</w:t>
      </w:r>
      <w:bookmarkEnd w:id="37"/>
      <w:r/>
      <w:r/>
    </w:p>
    <w:p>
      <w:pPr>
        <w:ind w:firstLine="440"/>
        <w:jc w:val="both"/>
        <w:spacing w:line="360" w:lineRule="auto"/>
        <w:rPr>
          <w:color w:val="auto"/>
          <w:highlight w:val="none"/>
          <w:lang w:val="en-US" w:bidi="ar-SA"/>
        </w:rPr>
      </w:pPr>
      <w:r/>
      <w:bookmarkStart w:id="38" w:name="_Hlk178870073"/>
      <w:r>
        <w:rPr>
          <w:rFonts w:hint="eastAsia"/>
          <w:color w:val="auto"/>
          <w:highlight w:val="none"/>
          <w:lang w:val="en-US" w:bidi="ar-SA"/>
        </w:rPr>
        <w:t xml:space="preserve">2.18.2  咬骨鞘管1把，</w:t>
      </w:r>
      <w:bookmarkEnd w:id="38"/>
      <w:r>
        <w:rPr>
          <w:rFonts w:hint="eastAsia"/>
          <w:color w:val="auto"/>
          <w:highlight w:val="none"/>
          <w:lang w:val="en-US" w:bidi="ar-SA"/>
        </w:rPr>
        <w:t xml:space="preserve">直径≤3.5mm，工作长度≥320mm，钳口为40°，咬合口宽度≥2.7mm。</w:t>
      </w:r>
      <w:r/>
    </w:p>
    <w:p>
      <w:pPr>
        <w:ind w:firstLine="440"/>
        <w:jc w:val="both"/>
        <w:spacing w:line="360" w:lineRule="auto"/>
        <w:rPr>
          <w:color w:val="auto"/>
          <w:highlight w:val="none"/>
          <w:lang w:val="en-US" w:bidi="ar-SA"/>
        </w:rPr>
      </w:pPr>
      <w:r>
        <w:rPr>
          <w:rFonts w:hint="eastAsia"/>
          <w:color w:val="auto"/>
          <w:highlight w:val="none"/>
          <w:lang w:val="en-US" w:bidi="ar-SA"/>
        </w:rPr>
        <w:t xml:space="preserve">2.18.3  可拆卸式咬骨鞘管手柄2把，内置弹簧，带过载保护功能。通过按键方式实现鞘管的拆卸。</w:t>
      </w:r>
      <w:r/>
    </w:p>
    <w:p>
      <w:pPr>
        <w:ind w:firstLine="440"/>
        <w:jc w:val="both"/>
        <w:spacing w:line="360" w:lineRule="auto"/>
        <w:rPr>
          <w:color w:val="auto"/>
          <w:highlight w:val="none"/>
          <w:lang w:val="en-US" w:bidi="ar-SA"/>
        </w:rPr>
      </w:pPr>
      <w:r>
        <w:rPr>
          <w:rFonts w:hint="eastAsia"/>
          <w:color w:val="auto"/>
          <w:highlight w:val="none"/>
          <w:lang w:val="en-US" w:bidi="ar-SA"/>
        </w:rPr>
        <w:t xml:space="preserve">2.19、定位针1支，外径≤1.5mm，工作长度≥150mm。</w:t>
      </w:r>
      <w:r/>
    </w:p>
    <w:p>
      <w:pPr>
        <w:ind w:firstLine="440"/>
        <w:jc w:val="both"/>
        <w:spacing w:line="360" w:lineRule="auto"/>
        <w:rPr>
          <w:color w:val="auto"/>
          <w:highlight w:val="none"/>
          <w:lang w:val="en-US" w:bidi="ar-SA"/>
        </w:rPr>
      </w:pPr>
      <w:r>
        <w:rPr>
          <w:rFonts w:hint="eastAsia"/>
          <w:color w:val="auto"/>
          <w:highlight w:val="none"/>
          <w:lang w:val="en-US" w:bidi="ar-SA"/>
        </w:rPr>
        <w:t xml:space="preserve">2.20、能归类放置全部器械的不锈钢灭菌盒1个，独立放置内窥镜的不锈钢灭菌盒1个。</w:t>
      </w:r>
      <w:r/>
    </w:p>
    <w:p>
      <w:pPr>
        <w:ind w:firstLine="440"/>
        <w:jc w:val="both"/>
        <w:spacing w:line="360" w:lineRule="auto"/>
        <w:rPr>
          <w:color w:val="auto"/>
          <w:highlight w:val="none"/>
          <w:lang w:val="en-US" w:bidi="ar-SA"/>
        </w:rPr>
      </w:pPr>
      <w:r>
        <w:rPr>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（四）后路脊柱内镜手术系统器械（共2套）</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一、每套包含内窥镜1支，参数要求：</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1.1、内窥镜注册证载明的适用范围为“适用于脊柱外科手术” 。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1.2、视向角30° 。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1.3、视场角≥75°。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1.4、内窥镜具有的手术器械进出通道直径≥3.7mm。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1.5、有效工作长度（插入人体部分）＜130mm。    </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1.6、灌注和吸引通道各1个，直径≥1.5mm。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▲1.7、内窥镜镜体为一体成型，便于握持和捆扎无菌套。</w:t>
      </w:r>
      <w:r/>
    </w:p>
    <w:p>
      <w:pPr>
        <w:ind w:firstLine="440"/>
        <w:jc w:val="both"/>
        <w:spacing w:line="360" w:lineRule="auto"/>
        <w:rPr>
          <w:bCs/>
          <w:color w:val="auto"/>
          <w:highlight w:val="none"/>
          <w:lang w:val="en-US" w:bidi="ar-SA"/>
        </w:rPr>
      </w:pPr>
      <w:r>
        <w:rPr>
          <w:bCs/>
          <w:color w:val="auto"/>
          <w:highlight w:val="none"/>
          <w:lang w:val="en-US" w:bidi="ar-SA"/>
        </w:rPr>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2、手术器械参数及配置要求：</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2.1、扩张管1支，内径1.0mm～1.5mm，外径4.0mm～4.5mm，长度＞220mm。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2.2、扩张管1支，内径＞4.0mm，外径6.0mm～7.0mm，长度＞200mm。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2.3、双通道扩张管1支，含2个1.5mm通道，外径＜6.5mm，长度＞220mm。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▲2.4、透明工作套管1支，前端斜面，后端带把手；内径≥6.5mm，外径≤9.0mm，长度＜130mm。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2.5、工作套管1支，前端斜面，后端带T型把手；内径≥6.5mm，外径＜8.0mm，长度＜130mm。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2.6、镜下扩孔钻1支，长度＞240 mm，内径≥2.5 mm，外径≤3.5 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2.7、配合镜下扩孔钻使用的球形手柄手柄一个。</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2.8、神经拉钩1支，直径≤2.7mm，长度＞270mm。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2.9、剥离子1支，直径≤2.5mm，长度＞270mm。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2.10、剥离子1支，直径≤3.0mm，长度＞270mm ，可变角度（0°/ 20°/ 45°）。</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2.11、骨铲1支，工作端直径≤2.7mm，长度≥285mm。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2.12、骨锤1把，工作端为可耐高温塑料。</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2.13、抓钳4把，咬切钳1把，尖圆形抓钳1把，弹簧抓钳1把：</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2.13.1  抓钳2把，工作端为勺型。直径≥3.5mm，长度≥275mm。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2.13.2  抓钳1把，工作端为勺型。直径≤2.8mm，长度≥275mm。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2.13.3  弧形抓钳1把，直径≤2.8mm，钳口上翘角度≥30°，长度≥275mm。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2.13.4  咬切钳1把，头端上翘角度≥15°，直径≤2.8mm，长度≥275mm。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2.13.5  </w:t>
      </w:r>
      <w:r>
        <w:rPr>
          <w:rFonts w:hint="eastAsia"/>
          <w:color w:val="auto"/>
          <w:highlight w:val="none"/>
          <w:lang w:val="en-US" w:bidi="ar-SA"/>
        </w:rPr>
        <w:t xml:space="preserve">尖圆形抓钳1把，直径≤2.8mm，长度≥275mm。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2.13.6  弹簧抓钳1把，直径≤2.7mm，长度≥330mm。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▲2.14、咬骨鞘管2把，配套手柄2把，鞘管与手柄能快速装配和拆卸，装配后的咬骨钳具有过载保护功能：</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2.14.1  咬骨鞘管1把，直径≤3.5mm，工作长度≥250mm，钳口为40°，咬合口宽度≤1.5mm。      2.14.2  咬骨鞘管1把，直径≤3.5mm，工作长度≥250mm，钳口为40°，咬合口宽度≥2.7mm。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2.14.3  可拆卸式咬骨鞘管手柄2把，内置弹簧，带过载保护功能。通过按键方式实现鞘管的拆卸。</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2.15、定位针1支，外径≤1.5mm，工作长度≥150mm。</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2.16、能归类放置全部器械的不锈钢灭菌盒1个，独立放置内窥镜的不锈钢灭菌盒1个。</w:t>
      </w:r>
      <w:r/>
    </w:p>
    <w:p>
      <w:pPr>
        <w:ind w:firstLine="440"/>
        <w:jc w:val="both"/>
        <w:spacing w:line="360" w:lineRule="auto"/>
        <w:rPr>
          <w:bCs/>
          <w:color w:val="auto"/>
          <w:highlight w:val="none"/>
          <w:lang w:val="en-US" w:bidi="ar-SA"/>
        </w:rPr>
      </w:pPr>
      <w:r>
        <w:rPr>
          <w:bCs/>
          <w:color w:val="auto"/>
          <w:highlight w:val="none"/>
          <w:lang w:val="en-US" w:bidi="ar-SA"/>
        </w:rPr>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（五）动力系统配套刀具（共2套）</w:t>
      </w:r>
      <w:r/>
    </w:p>
    <w:p>
      <w:pPr>
        <w:pStyle w:val="794"/>
        <w:ind w:firstLine="440"/>
        <w:rPr>
          <w:color w:val="auto"/>
          <w:highlight w:val="none"/>
          <w:lang w:val="en-US" w:bidi="ar-SA"/>
        </w:rPr>
      </w:pPr>
      <w:r>
        <w:rPr>
          <w:rFonts w:hint="eastAsia"/>
          <w:color w:val="auto"/>
          <w:highlight w:val="none"/>
          <w:lang w:val="en-US" w:bidi="ar-SA"/>
        </w:rPr>
        <w:t xml:space="preserve">1.每套包含变向磨钻头2个：</w:t>
      </w:r>
      <w:r/>
    </w:p>
    <w:p>
      <w:pPr>
        <w:ind w:firstLine="440"/>
        <w:jc w:val="both"/>
        <w:spacing w:line="360" w:lineRule="auto"/>
        <w:rPr>
          <w:color w:val="auto"/>
          <w:highlight w:val="none"/>
          <w:lang w:val="en-US" w:bidi="ar-SA"/>
        </w:rPr>
      </w:pPr>
      <w:r>
        <w:rPr>
          <w:rFonts w:hint="eastAsia"/>
          <w:color w:val="auto"/>
          <w:highlight w:val="none"/>
          <w:lang w:val="en-US" w:bidi="ar-SA"/>
        </w:rPr>
        <w:t xml:space="preserve">1.1、应用：用于骨科或其他外科微创手术中对骨组织的磨削处理。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1.2</w:t>
      </w:r>
      <w:r>
        <w:rPr>
          <w:rFonts w:hint="eastAsia"/>
          <w:bCs/>
          <w:color w:val="auto"/>
          <w:highlight w:val="none"/>
          <w:lang w:val="en-US" w:bidi="ar-SA"/>
        </w:rPr>
        <w:t xml:space="preserve">、</w:t>
      </w:r>
      <w:r>
        <w:rPr>
          <w:rFonts w:hint="eastAsia"/>
          <w:color w:val="auto"/>
          <w:highlight w:val="none"/>
          <w:lang w:val="en-US" w:bidi="ar-SA"/>
        </w:rPr>
        <w:t xml:space="preserve">有效长度系列：</w:t>
      </w:r>
      <w:r>
        <w:rPr>
          <w:rFonts w:hint="eastAsia"/>
          <w:bCs/>
          <w:color w:val="auto"/>
          <w:highlight w:val="none"/>
          <w:lang w:val="en-US" w:bidi="ar-SA"/>
        </w:rPr>
        <w:t xml:space="preserve">≥</w:t>
      </w:r>
      <w:r>
        <w:rPr>
          <w:rFonts w:hint="eastAsia"/>
          <w:color w:val="auto"/>
          <w:highlight w:val="none"/>
          <w:lang w:val="en-US" w:bidi="ar-SA"/>
        </w:rPr>
        <w:t xml:space="preserve">290mm；外刀管直径系列：φ3.5mm。</w:t>
      </w:r>
      <w:r/>
    </w:p>
    <w:p>
      <w:pPr>
        <w:ind w:firstLine="440"/>
        <w:jc w:val="both"/>
        <w:spacing w:line="360" w:lineRule="auto"/>
        <w:rPr>
          <w:color w:val="auto"/>
          <w:highlight w:val="none"/>
          <w:lang w:val="en-US" w:bidi="ar-SA"/>
        </w:rPr>
      </w:pPr>
      <w:r>
        <w:rPr>
          <w:rFonts w:hint="eastAsia"/>
          <w:color w:val="auto"/>
          <w:highlight w:val="none"/>
          <w:lang w:val="en-US" w:bidi="ar-SA"/>
        </w:rPr>
        <w:t xml:space="preserve">▲</w:t>
      </w:r>
      <w:r>
        <w:rPr>
          <w:rFonts w:hint="eastAsia"/>
          <w:color w:val="auto"/>
          <w:highlight w:val="none"/>
          <w:lang w:val="en-US" w:bidi="ar-SA"/>
        </w:rPr>
        <w:t xml:space="preserve">1.3</w:t>
      </w:r>
      <w:r>
        <w:rPr>
          <w:rFonts w:hint="eastAsia"/>
          <w:bCs/>
          <w:color w:val="auto"/>
          <w:highlight w:val="none"/>
          <w:lang w:val="en-US" w:bidi="ar-SA"/>
        </w:rPr>
        <w:t xml:space="preserve">、</w:t>
      </w:r>
      <w:r>
        <w:rPr>
          <w:rFonts w:hint="eastAsia"/>
          <w:color w:val="auto"/>
          <w:highlight w:val="none"/>
          <w:lang w:val="en-US" w:bidi="ar-SA"/>
        </w:rPr>
        <w:t xml:space="preserve">刀具头部具有弯曲角度0-36°无级调节功能，0-360°无级周向调节功能，刀具具有头部窗口方向拨纽，可以在不将刀具取出的情况下，进行窗口方向调节，使用更便捷。</w:t>
      </w:r>
      <w:r/>
    </w:p>
    <w:p>
      <w:pPr>
        <w:ind w:firstLine="440"/>
        <w:jc w:val="both"/>
        <w:spacing w:line="360" w:lineRule="auto"/>
        <w:rPr>
          <w:color w:val="auto"/>
          <w:highlight w:val="none"/>
          <w:lang w:val="en-US" w:bidi="ar-SA"/>
        </w:rPr>
      </w:pPr>
      <w:r>
        <w:rPr>
          <w:rFonts w:hint="eastAsia"/>
          <w:color w:val="auto"/>
          <w:highlight w:val="none"/>
          <w:lang w:val="en-US" w:bidi="ar-SA"/>
        </w:rPr>
        <w:t xml:space="preserve">2.每套包含直脊柱钻头2个：</w:t>
      </w:r>
      <w:r/>
    </w:p>
    <w:p>
      <w:pPr>
        <w:ind w:firstLine="440"/>
        <w:jc w:val="both"/>
        <w:spacing w:line="360" w:lineRule="auto"/>
        <w:rPr>
          <w:color w:val="auto"/>
          <w:highlight w:val="none"/>
          <w:lang w:val="en-US" w:bidi="ar-SA"/>
        </w:rPr>
      </w:pPr>
      <w:r>
        <w:rPr>
          <w:rFonts w:hint="eastAsia"/>
          <w:color w:val="auto"/>
          <w:highlight w:val="none"/>
          <w:lang w:val="en-US" w:bidi="ar-SA"/>
        </w:rPr>
        <w:t xml:space="preserve">2.1、应用：用于骨科或其他外科微创手术中对骨组织的磨削处理。</w:t>
      </w:r>
      <w:r/>
    </w:p>
    <w:p>
      <w:pPr>
        <w:ind w:firstLine="440"/>
        <w:jc w:val="both"/>
        <w:spacing w:line="360" w:lineRule="auto"/>
        <w:rPr>
          <w:color w:val="auto"/>
          <w:highlight w:val="none"/>
          <w:lang w:val="en-US" w:bidi="ar-SA"/>
        </w:rPr>
      </w:pPr>
      <w:r>
        <w:rPr>
          <w:rFonts w:hint="eastAsia"/>
          <w:color w:val="auto"/>
          <w:highlight w:val="none"/>
          <w:lang w:val="en-US" w:bidi="ar-SA"/>
        </w:rPr>
        <w:t xml:space="preserve">2.2、刀具种类丰富，具有球形、柱形、金刚石等形状，部分型号具有保护鞘。</w:t>
      </w:r>
      <w:r/>
    </w:p>
    <w:p>
      <w:pPr>
        <w:ind w:firstLine="440"/>
        <w:jc w:val="both"/>
        <w:spacing w:line="360" w:lineRule="auto"/>
        <w:rPr>
          <w:color w:val="auto"/>
          <w:highlight w:val="none"/>
          <w:lang w:val="en-US" w:bidi="ar-SA"/>
        </w:rPr>
      </w:pPr>
      <w:r>
        <w:rPr>
          <w:rFonts w:hint="eastAsia"/>
          <w:color w:val="auto"/>
          <w:highlight w:val="none"/>
          <w:lang w:val="en-US" w:bidi="ar-SA"/>
        </w:rPr>
        <w:t xml:space="preserve">2.3</w:t>
      </w:r>
      <w:r>
        <w:rPr>
          <w:rFonts w:hint="eastAsia"/>
          <w:bCs/>
          <w:color w:val="auto"/>
          <w:highlight w:val="none"/>
          <w:lang w:val="en-US" w:bidi="ar-SA"/>
        </w:rPr>
        <w:t xml:space="preserve">、</w:t>
      </w:r>
      <w:r>
        <w:rPr>
          <w:rFonts w:hint="eastAsia"/>
          <w:color w:val="auto"/>
          <w:highlight w:val="none"/>
          <w:lang w:val="en-US" w:bidi="ar-SA"/>
        </w:rPr>
        <w:t xml:space="preserve">长度系列：</w:t>
      </w:r>
      <w:r>
        <w:rPr>
          <w:rFonts w:hint="eastAsia"/>
          <w:bCs/>
          <w:color w:val="auto"/>
          <w:highlight w:val="none"/>
          <w:lang w:val="en-US" w:bidi="ar-SA"/>
        </w:rPr>
        <w:t xml:space="preserve">≥</w:t>
      </w:r>
      <w:r>
        <w:rPr>
          <w:rFonts w:hint="eastAsia"/>
          <w:color w:val="auto"/>
          <w:highlight w:val="none"/>
          <w:lang w:val="en-US" w:bidi="ar-SA"/>
        </w:rPr>
        <w:t xml:space="preserve">290mm；外刀管直径系列：φ2.5mm、φ3.0mm、φ3.5mm、φ4.0mm。</w:t>
      </w:r>
      <w:bookmarkStart w:id="39" w:name="_Toc186207370"/>
      <w:r/>
      <w:bookmarkStart w:id="40" w:name="_Toc514054482"/>
      <w:r/>
      <w:bookmarkStart w:id="41" w:name="_Toc9306"/>
      <w:r/>
      <w:r/>
    </w:p>
    <w:p>
      <w:pPr>
        <w:jc w:val="both"/>
        <w:spacing w:line="360" w:lineRule="auto"/>
        <w:rPr>
          <w:color w:val="auto"/>
          <w:highlight w:val="none"/>
          <w:lang w:val="en-US" w:bidi="ar-SA"/>
        </w:rPr>
      </w:pPr>
      <w:r>
        <w:rPr>
          <w:rFonts w:hint="eastAsia"/>
          <w:color w:val="auto"/>
          <w:highlight w:val="none"/>
          <w:lang w:val="en-US" w:bidi="ar-SA"/>
        </w:rPr>
        <w:t xml:space="preserve">三、</w:t>
      </w:r>
      <w:r>
        <w:rPr>
          <w:rFonts w:hint="eastAsia"/>
          <w:b/>
          <w:color w:val="auto"/>
          <w:highlight w:val="none"/>
          <w:lang w:val="en-US" w:bidi="ar-SA"/>
        </w:rPr>
        <w:t xml:space="preserve">商务要求</w:t>
      </w:r>
      <w:bookmarkEnd w:id="39"/>
      <w:r>
        <w:rPr>
          <w:rFonts w:hint="eastAsia"/>
          <w:b/>
          <w:color w:val="auto"/>
          <w:highlight w:val="none"/>
          <w:lang w:val="en-US" w:bidi="ar-SA"/>
        </w:rPr>
        <w:t xml:space="preserve">（不满足作无效投标文件处理）</w:t>
      </w:r>
      <w:r/>
    </w:p>
    <w:p>
      <w:pPr>
        <w:ind w:firstLine="440"/>
        <w:jc w:val="both"/>
        <w:keepLines/>
        <w:keepNext/>
        <w:spacing w:line="360" w:lineRule="auto"/>
        <w:rPr>
          <w:bCs/>
          <w:color w:val="auto"/>
          <w:highlight w:val="none"/>
          <w:lang w:val="en-US" w:bidi="ar-SA"/>
        </w:rPr>
        <w:outlineLvl w:val="1"/>
      </w:pPr>
      <w:r>
        <w:rPr>
          <w:rFonts w:hint="eastAsia"/>
          <w:bCs/>
          <w:color w:val="auto"/>
          <w:highlight w:val="none"/>
          <w:lang w:val="en-US" w:bidi="ar-SA"/>
        </w:rPr>
        <w:t xml:space="preserve">1、交货期：均要求合同签订生效后60天内。</w:t>
      </w:r>
      <w:r/>
    </w:p>
    <w:p>
      <w:pPr>
        <w:ind w:firstLine="442"/>
        <w:jc w:val="both"/>
        <w:spacing w:line="360" w:lineRule="auto"/>
        <w:widowControl/>
        <w:rPr>
          <w:bCs/>
          <w:color w:val="auto"/>
          <w:highlight w:val="none"/>
          <w:lang w:val="en-US" w:bidi="ar-SA"/>
        </w:rPr>
      </w:pPr>
      <w:r>
        <w:rPr>
          <w:rFonts w:hint="eastAsia"/>
          <w:b/>
          <w:color w:val="auto"/>
          <w:highlight w:val="none"/>
          <w:lang w:val="en-US" w:bidi="ar-SA"/>
        </w:rPr>
        <w:t xml:space="preserve">★</w:t>
      </w:r>
      <w:r>
        <w:rPr>
          <w:rFonts w:hint="eastAsia"/>
          <w:bCs/>
          <w:color w:val="auto"/>
          <w:highlight w:val="none"/>
          <w:lang w:val="en-US" w:bidi="ar-SA"/>
        </w:rPr>
        <w:t xml:space="preserve">2、质保期：主机设备免费保修≥5年，镜头及器械免费保修≥18个月，自验收报告确认签字之日起，开始进入质保期。（须提供加盖公章的承诺书原件。）</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3、售后服务承诺：</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（1）在质保期内，如有损坏或质量不合格者，卖方应及时给予修复和更换，其修理和更换应免费。正常修理周期和修理期间需提供免费备品，保障医院使用。</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（2）在质保期外，卖方为仪器提供终身维修服务，只收取配件费，无其他费用。</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（3）承诺在硬件条件允许的情况下，终身免费升级软件，并对新软件的功能免费培训。</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4、培训：负责对采购人、最终用户的操作、维修人员在项目所在地进行业务培训，请投标人自报可以提供业务培训的人数及天数，并应达到能熟练操作并能排除常见故障的标准。</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5、交货地点：采购人指定地点。</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6、调试和验收</w:t>
      </w:r>
      <w:r>
        <w:rPr>
          <w:bCs/>
          <w:color w:val="auto"/>
          <w:highlight w:val="none"/>
          <w:lang w:val="en-US" w:bidi="ar-SA"/>
        </w:rPr>
        <w:t xml:space="preserve"> </w:t>
      </w:r>
      <w:r/>
    </w:p>
    <w:p>
      <w:pPr>
        <w:ind w:firstLine="440"/>
        <w:jc w:val="both"/>
        <w:spacing w:line="360" w:lineRule="auto"/>
        <w:widowControl/>
        <w:rPr>
          <w:bCs/>
          <w:color w:val="auto"/>
          <w:highlight w:val="none"/>
          <w:lang w:val="en-US" w:bidi="ar-SA"/>
        </w:rPr>
      </w:pPr>
      <w:r>
        <w:rPr>
          <w:bCs/>
          <w:color w:val="auto"/>
          <w:highlight w:val="none"/>
          <w:lang w:val="en-US" w:bidi="ar-SA"/>
        </w:rPr>
        <w:t xml:space="preserve">6.1采购人对供应商提交的货物依据招标文件上的技术规格要求和国家有关质量标准进行现场初步验收，外观、说明书符合招标文件技术要求的，给予签收，初步验收不合格的不予签收。</w:t>
      </w:r>
      <w:r/>
    </w:p>
    <w:p>
      <w:pPr>
        <w:ind w:firstLine="440"/>
        <w:jc w:val="both"/>
        <w:spacing w:line="360" w:lineRule="auto"/>
        <w:widowControl/>
        <w:rPr>
          <w:bCs/>
          <w:color w:val="auto"/>
          <w:highlight w:val="none"/>
          <w:lang w:val="en-US" w:bidi="ar-SA"/>
        </w:rPr>
      </w:pPr>
      <w:r>
        <w:rPr>
          <w:bCs/>
          <w:color w:val="auto"/>
          <w:highlight w:val="none"/>
          <w:lang w:val="en-US" w:bidi="ar-SA"/>
        </w:rPr>
        <w:t xml:space="preserve">6.2供应商交货前应对产品作出全面检查和对验收文件进行整理，并列出清单，作为采购人收货验收和使用的技术条件依据，检验的结果应随货物交采购人。</w:t>
      </w:r>
      <w:r/>
    </w:p>
    <w:p>
      <w:pPr>
        <w:ind w:firstLine="440"/>
        <w:jc w:val="both"/>
        <w:spacing w:line="360" w:lineRule="auto"/>
        <w:widowControl/>
        <w:rPr>
          <w:bCs/>
          <w:color w:val="auto"/>
          <w:highlight w:val="none"/>
          <w:lang w:val="en-US" w:bidi="ar-SA"/>
        </w:rPr>
      </w:pPr>
      <w:r>
        <w:rPr>
          <w:bCs/>
          <w:color w:val="auto"/>
          <w:highlight w:val="none"/>
          <w:lang w:val="en-US" w:bidi="ar-SA"/>
        </w:rPr>
        <w:t xml:space="preserve">6.3采购人对供应商提供的货物在使用前进行调试时，供应商需负责安装并培训采购人的使用操作人员，并协助采购人一起调试，直到符合技术要求，采购人才做最终验收。</w:t>
      </w:r>
      <w:r/>
    </w:p>
    <w:p>
      <w:pPr>
        <w:ind w:firstLine="440"/>
        <w:jc w:val="both"/>
        <w:spacing w:line="360" w:lineRule="auto"/>
        <w:widowControl/>
        <w:rPr>
          <w:bCs/>
          <w:color w:val="auto"/>
          <w:highlight w:val="none"/>
          <w:lang w:val="en-US" w:bidi="ar-SA"/>
        </w:rPr>
      </w:pPr>
      <w:r>
        <w:rPr>
          <w:bCs/>
          <w:color w:val="auto"/>
          <w:highlight w:val="none"/>
          <w:lang w:val="en-US" w:bidi="ar-SA"/>
        </w:rPr>
        <w:t xml:space="preserve">6.4对技术复杂的货物，采购人可请国家认可的专业检测机构参与初步验收及最终验收，并由其出具质量检测报告。</w:t>
      </w:r>
      <w:r/>
    </w:p>
    <w:p>
      <w:pPr>
        <w:ind w:firstLine="440"/>
        <w:jc w:val="both"/>
        <w:spacing w:line="360" w:lineRule="auto"/>
        <w:widowControl/>
        <w:rPr>
          <w:bCs/>
          <w:color w:val="auto"/>
          <w:highlight w:val="none"/>
          <w:lang w:val="en-US" w:bidi="ar-SA"/>
        </w:rPr>
      </w:pPr>
      <w:r>
        <w:rPr>
          <w:bCs/>
          <w:color w:val="auto"/>
          <w:highlight w:val="none"/>
          <w:lang w:val="en-US" w:bidi="ar-SA"/>
        </w:rPr>
        <w:t xml:space="preserve">6.5验收时供应商必须在现场，验收完毕后作出验收结果报告；验收费用由供应商承担。</w:t>
      </w:r>
      <w:r/>
    </w:p>
    <w:p>
      <w:pPr>
        <w:ind w:firstLine="440"/>
        <w:jc w:val="both"/>
        <w:spacing w:line="360" w:lineRule="auto"/>
        <w:widowControl/>
        <w:rPr>
          <w:bCs/>
          <w:color w:val="auto"/>
          <w:highlight w:val="none"/>
          <w:lang w:val="en-US" w:bidi="ar-SA"/>
        </w:rPr>
      </w:pPr>
      <w:r>
        <w:rPr>
          <w:bCs/>
          <w:color w:val="auto"/>
          <w:highlight w:val="none"/>
          <w:lang w:val="en-US" w:bidi="ar-SA"/>
        </w:rPr>
        <w:t xml:space="preserve">6.6验收不合格或不符合质量要求，供应商除无条件退货、返工外，还应承担采购人的一切损失。</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7、付款方式：乙方开具符合国家规定的发票，到货安装调试经甲方验收合格并提供原厂保修函后按甲方正常流程付90%，正常使用一年后无息支付10%。</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8、国家强制计量检定设备仪器首检由乙方负责。</w:t>
      </w:r>
      <w:r/>
    </w:p>
    <w:p>
      <w:pPr>
        <w:ind w:firstLine="440"/>
        <w:jc w:val="both"/>
        <w:spacing w:line="360" w:lineRule="auto"/>
        <w:widowControl/>
        <w:rPr>
          <w:bCs/>
          <w:color w:val="auto"/>
          <w:highlight w:val="none"/>
          <w:lang w:val="en-US" w:bidi="ar-SA"/>
        </w:rPr>
      </w:pPr>
      <w:r>
        <w:rPr>
          <w:rFonts w:hint="eastAsia"/>
          <w:bCs/>
          <w:color w:val="auto"/>
          <w:highlight w:val="none"/>
          <w:lang w:val="en-US" w:bidi="ar-SA"/>
        </w:rPr>
        <w:t xml:space="preserve">9、本项目最高限价</w:t>
      </w:r>
      <w:r>
        <w:rPr>
          <w:bCs/>
          <w:color w:val="auto"/>
          <w:highlight w:val="none"/>
          <w:lang w:val="en-US" w:bidi="ar-SA"/>
        </w:rPr>
        <w:t xml:space="preserve">:</w:t>
      </w:r>
      <w:r>
        <w:rPr>
          <w:rFonts w:hint="eastAsia"/>
          <w:bCs/>
          <w:color w:val="auto"/>
          <w:highlight w:val="none"/>
          <w:lang w:val="en-US" w:bidi="ar-SA"/>
        </w:rPr>
        <w:t xml:space="preserve">180万元人民币。</w:t>
      </w:r>
      <w:bookmarkEnd w:id="40"/>
      <w:r/>
      <w:bookmarkEnd w:id="41"/>
      <w:r/>
      <w:r/>
    </w:p>
    <w:p>
      <w:pPr>
        <w:jc w:val="both"/>
        <w:rPr>
          <w:bCs/>
          <w:color w:val="auto"/>
          <w:sz w:val="21"/>
          <w:szCs w:val="21"/>
          <w:highlight w:val="none"/>
          <w:lang w:val="en-US" w:bidi="ar-SA"/>
        </w:rPr>
      </w:pPr>
      <w:r>
        <w:rPr>
          <w:bCs/>
          <w:color w:val="auto"/>
          <w:sz w:val="21"/>
          <w:szCs w:val="21"/>
          <w:highlight w:val="none"/>
          <w:lang w:val="en-US" w:bidi="ar-SA"/>
        </w:rPr>
      </w:r>
      <w:r/>
    </w:p>
    <w:p>
      <w:pPr>
        <w:jc w:val="both"/>
        <w:spacing w:line="360" w:lineRule="auto"/>
        <w:widowControl/>
        <w:rPr>
          <w:color w:val="auto"/>
          <w:szCs w:val="21"/>
          <w:highlight w:val="none"/>
          <w:lang w:val="en-US"/>
        </w:rPr>
        <w:pBdr>
          <w:top w:val="none" w:color="000000" w:sz="0" w:space="0"/>
          <w:left w:val="none" w:color="000000" w:sz="0" w:space="0"/>
          <w:bottom w:val="none" w:color="000000" w:sz="0" w:space="0"/>
          <w:right w:val="none" w:color="000000" w:sz="0" w:space="0"/>
        </w:pBdr>
      </w:pPr>
      <w:r>
        <w:rPr>
          <w:color w:val="auto"/>
          <w:szCs w:val="21"/>
          <w:highlight w:val="none"/>
          <w:lang w:val="en-US"/>
        </w:rPr>
      </w:r>
      <w:r/>
    </w:p>
    <w:p>
      <w:pPr>
        <w:ind w:right="40"/>
        <w:jc w:val="center"/>
        <w:spacing w:before="29"/>
        <w:tabs>
          <w:tab w:val="left" w:pos="1439" w:leader="none"/>
        </w:tabs>
        <w:rPr>
          <w:rFonts w:ascii="黑体" w:eastAsia="黑体"/>
          <w:color w:val="auto"/>
          <w:sz w:val="36"/>
          <w:highlight w:val="none"/>
        </w:rPr>
        <w:outlineLvl w:val="0"/>
      </w:pPr>
      <w:r>
        <w:rPr>
          <w:color w:val="auto"/>
          <w:highlight w:val="none"/>
          <w:lang w:val="en-US"/>
        </w:rPr>
        <w:br w:type="page" w:clear="all"/>
      </w:r>
      <w:r>
        <w:rPr>
          <w:rFonts w:hint="eastAsia" w:ascii="黑体" w:eastAsia="黑体"/>
          <w:color w:val="auto"/>
          <w:sz w:val="36"/>
          <w:highlight w:val="none"/>
        </w:rPr>
        <w:t xml:space="preserve">第五章</w:t>
      </w:r>
      <w:r>
        <w:rPr>
          <w:rFonts w:hint="eastAsia" w:ascii="黑体" w:eastAsia="黑体"/>
          <w:color w:val="auto"/>
          <w:sz w:val="36"/>
          <w:highlight w:val="none"/>
        </w:rPr>
        <w:tab/>
      </w:r>
      <w:bookmarkEnd w:id="25"/>
      <w:r/>
      <w:bookmarkStart w:id="42" w:name="_Toc11634"/>
      <w:r>
        <w:rPr>
          <w:rFonts w:hint="eastAsia" w:ascii="黑体" w:eastAsia="黑体"/>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jc w:val="center"/>
        <w:spacing w:before="240" w:after="240"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合同通用条款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1.定义：除本合同上下文中另有规定外，下列各词语定义如下：</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 “买方”是指在“合同专用条款”中指明的买方。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 “卖方”是指投标文件为买方接受且在“合同专用条款”中被指明的卖方。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 “检验当局”是指位于工作现场或其附近的中国国家质量技术监督局的地方分支机构，或“合同专用条款”规定情况下确定的检验方。</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 “工作现场”是指“合同专用条款”规定的合同货物座落的地方。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1.5“合同货物”是指卖方提供的设备、材料、备件或其中任何一部分，详见合同附件1。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 “技术资料”是指与合同货物的检验、安装、试运行、性能考核、操作以及维修有关的技术指标、规格、图纸和文件。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1.7“技术服务”是指在合同货物的安装、试运行、性能考核、操作、维修以及其他工作等方面卖方给予买方的技术指导、协助以及监督等。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1.8 “技术培训”是指在合同货物的安装、试运行、性能考核、操作、维修以及其他工作等方面卖方给予买方的培训。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1.9“安装”是指有关货物、备件和材料的安装工作，包括按照设计图将零部件放置在适当的位置并连接起来。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1.10 “试运行”是指为验明合同货物的机械性能，在安装完毕后对单台货物和一系列货物分别进行的测试。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1.11 “性能考核”是指根据合同附件3的规定进行的，用以确定合同货物是否达到合同附件2所规定的技术性能和保证指标的考核。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1.12 “验收”是指合同货物在性能考核中达到合同附件2规定的技术性能和保证指标之后，买方对合同货物的接受。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1.13“保证期”是指自验收之日起一定期间内，卖方保证合同货物的适当和稳定运行，并负责消除合同货物存在的任何缺陷。详见合同附件2。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 “合同货币”是指“合同专用条款”规定的本合同项下的支付中所使用的货币。</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1.15“合同价格”是指在卖方完全和适当地履行其合同义务后，买方根据合同规定应支付给卖方的价款。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1.16 “合同生效日”是指在“合同专用条款”规定的所有条件得到履行时的日期。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1.17 “日”是指日历日数。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1.18 “月”是指日历月数。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1.19“知识产权”是指专利权、商标权、著作权等无形财产专有权的统称。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2.合同范围</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2.1买方同意从卖方购买、卖方同意向买方出售和提供“合同专用条款”中规定的“合同货物”以及相关技术服务、技术培训和技术资料。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2.2合同货物的原产地国家和制造商规定见“合同专用条款”中。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3.价格</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3.1本合同总价为“合同专用条款”标明的金额。合同总价是固定价格。</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3.2合同货物的分项价格表详见合同附件1。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4.支付</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4.1买方应根据“合同专用条款”规定的支付方式进行支付。</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5.履约保证金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5.1卖方应在收到中标通知书后30日内，向买方提交“合同专用条款”中所规定金额的履约保证金。</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5.2如果卖方在合同有效期内未能履行本合同项下卖方的义务，买方有权从履约保证金中追索。</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5.3履约保证金应采用本合同货币，或“合同专用条款”中所规定的买方可</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以接受的一种可自由兑换的货币并根据“合同专用条款”的规定采用下述方式之一提交：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银行保函：由买方可接受的的银行。其格式采用招标文件中提供的格式或买方可接受的其他格式；或</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B.银行本票、银行汇票或现金。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5.4本合同第11.5条规定的保证期期满证书签署日期起60日后，履约保函</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失效，其他形式的履约保证金买方将退还卖方。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6.交货和保险</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6.1合同货物大约净重、总毛量、总体积规定见“合同专用条款”。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6.2卖方应按照“合同专用条款”规定的交货期限、批次和交货条件交付合</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同货物。实际交货日期的规定见“合同专用条款”。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6.3装运地点规定见“合同专用条款”。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6.4卸货地点规定见“合同专用条款”。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6.5在“合同专用条款”规定的期限内，卖方应将合同号、货物的名称、装</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运数量、金额、包装件数、总毛重、总体积（立方米）、以及货物准备发运和预计到达卸货地点的时间以传真方式通知买方。如果有易燃货物和危险货物，亦应注明有关细节。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6.6卖方应按“合同专用条款”中的有关规定装运并交付合同货物。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6.7卖方应向一流的保险公司投保金额为装运的合同货物的发票价值110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6.8如果卖方未能按照合同规定的交货期间交货，卖方应按“合同专用条款”</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的规定支付迟交违约金或提供其他救济。迟交违约金的支付不能免除卖方继续交付相关合同货物的义务。</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 包装与标记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7.1除非合同中另有规定，合同货物应由卖方用新的坚固的木箱进行包装</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并采取防潮、防雨、防锈、防腐蚀、防震动及防止其它损坏的必要保护措施，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从而保证合同货物能够经受多次搬运、装卸及远洋和内陆的长途运输。</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7.2卖方应在每个包装箱的邻接四个侧面标明“合同专用条款”规定的内容。 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7.3在合同货物的每件包装中都应附有下列单据：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 装箱明细单副本一式两份；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 质量合格证副本一式两份；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 相关合同货物的技术资料一份；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 需要组装的部件及机器的系统装配图一式两份。</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8.1</w:t>
      </w:r>
      <w:r>
        <w:rPr>
          <w:color w:val="auto"/>
          <w:spacing w:val="-10"/>
          <w:sz w:val="24"/>
          <w:highlight w:val="none"/>
        </w:rPr>
        <w:t xml:space="preserve">卖方应按照</w:t>
      </w:r>
      <w:r>
        <w:rPr>
          <w:color w:val="auto"/>
          <w:sz w:val="24"/>
          <w:highlight w:val="none"/>
        </w:rPr>
        <w:t xml:space="preserve">“合同专用条款”</w:t>
      </w:r>
      <w:r>
        <w:rPr>
          <w:color w:val="auto"/>
          <w:spacing w:val="-10"/>
          <w:sz w:val="24"/>
          <w:highlight w:val="none"/>
        </w:rPr>
        <w:t xml:space="preserve">规定的期限和方式交付技术资料。</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9.检验</w:t>
      </w:r>
      <w:r/>
    </w:p>
    <w:p>
      <w:pPr>
        <w:contextualSpacing/>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9.1卖方或制造商应按照“合同专用条款”的规定对合同货物进行出厂检验。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9.2在“合同专用条款”规定的期限内，买方应申请检验当局就合同货物的</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9.3 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9.4 如果技术资料中规定的检验标准和规格不完全，检验当局有权自行决定按照买方国家的现行标准和／或检验当局认为合适的其它标准进行检验。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10.技术服务和考核验收</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10.1合同货物的安装、试运行、性能考核应按照“合同专用条款”的规定进行。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10.2在安装工作按照技术资料的规定完成后，合同双方应在安装结束后5日内签署安装证书。该证书的签署日期应视为安装工作完成日。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10.3合同双方应按照“合同专用条款”的规定对合同货物进行性能考核。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10.4如果合同附件2所规定的所有保证指标在性能考核中都已经达到，双方授权代表应在性能考核后5日内签署合同货物的验收证书一式四份，双方各持两份。 </w:t>
      </w:r>
      <w:r/>
    </w:p>
    <w:p>
      <w:pPr>
        <w:contextualSpacing/>
        <w:ind w:left="48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10.5如果在本合同第10.3条规定允许的最后一次性能考核中仍有任何指标未达到合同附件2规定的要求，买方有权根据本合同第12条的规定向卖方提出索赔。 </w:t>
      </w:r>
      <w:r/>
    </w:p>
    <w:p>
      <w:pPr>
        <w:contextualSpacing/>
        <w:ind w:left="480" w:firstLine="48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w:t>
      </w:r>
      <w:r>
        <w:rPr>
          <w:color w:val="auto"/>
          <w:sz w:val="24"/>
          <w:highlight w:val="none"/>
        </w:rPr>
        <w:t xml:space="preserve">0.6和/或试运行和/或性能考核因卖方原因发生迟延和/或在其它情况下发生额外费用，双方应根据“合同专用条款”的规定进行处理。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11.保证</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11.1卖方保证合同货物是全新的、技术先进的、质量优越的、没有设计上和材料及工艺上的缺陷、符合合同附件2的规定并且适合于合同规定的用途和目的。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11.2卖方保证所交付的技术资料应是完整的、清楚的和正确的，并且能够满足合同货物安装、试运行、性能考核、操作和维修的要求。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11.3卖方保证及时派遣合格的技术人员提供合同货物运行必需的专业的、正确的和高效的技术服务和技术培训。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11.5合同货物保证期的期限和内容为“合同专用条款”规定的期限和内容。保证期满后，买方应出具合同货物的保证期期满证书正副本各一份。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12.索赔</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12.1如果合同货物在检验、安装、试运行、性能考核和保证期内，卖方未能履行其在本合同项下承担的义务，买方有权向卖方提出索赔并寻求“合同专用条款”中规定的救济方式，救济方式包括：</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C.按质量低劣的程度、买方受损害的程度及损失的数额对合同货物进行降价。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D.拒收货物,并由卖方退还买方合同价款和承担相关的损失和费用包括利息、银行费用、运费、保费、检验费、仓储费、装卸费以及全部保管和维护被拒收货物必需的其它费用。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E.赔偿由卖方违约引起的其他损失。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12.2如果索赔通知是在保证期满后30日内提出的，便应被认为是有效的。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12.3</w:t>
      </w:r>
      <w:r>
        <w:rPr>
          <w:color w:val="auto"/>
          <w:spacing w:val="-5"/>
          <w:sz w:val="24"/>
          <w:highlight w:val="none"/>
        </w:rPr>
        <w:t xml:space="preserve">如果卖方在收到买方索赔要求后</w:t>
      </w:r>
      <w:r>
        <w:rPr>
          <w:color w:val="auto"/>
          <w:sz w:val="24"/>
          <w:highlight w:val="none"/>
        </w:rPr>
        <w:t xml:space="preserve">“合同专用条款”</w:t>
      </w:r>
      <w:r>
        <w:rPr>
          <w:color w:val="auto"/>
          <w:spacing w:val="-5"/>
          <w:sz w:val="24"/>
          <w:highlight w:val="none"/>
        </w:rPr>
        <w:t xml:space="preserve">规定的期限内未能作出回复，该索赔要求将被视为已被卖方接受。如卖方未能在买方发出索赔通知后</w:t>
      </w:r>
      <w:r>
        <w:rPr>
          <w:color w:val="auto"/>
          <w:sz w:val="24"/>
          <w:highlight w:val="none"/>
        </w:rPr>
        <w:t xml:space="preserve">“合同专用条款”</w:t>
      </w:r>
      <w:r>
        <w:rPr>
          <w:color w:val="auto"/>
          <w:spacing w:val="-5"/>
          <w:sz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13.不可抗力</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13.3合同双方应在不可抗力事件结束或其影响消除后立即继续履行其合同义务，合同期限也应相应延长。如果不可抗力事件的影响持续超过“合同专用条款”规定的期限，合同任何一方均有权以书面通知终止合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14.合同的终止</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14.1如果卖方有下述违约行为或“合同专用条款”中规定的其他违约行为，在不妨碍买方采取其它救济手段的情况下，买方可以向卖方发出书面违约通知，全部或部分地终止合同。</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A.卖方在合同规定的交货期后未能按“合同专用条款”中规定的最终期限交付合同货物和/或技术资料；或者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B.卖方未能使合同货物达到合同附件2规定的技术性能和保证指标；或者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C.卖方未能履行合同项下任何其它义务(细微义务除外)，并且在收到买方违约通知后未能按“合同专用条款”中规定的期限对其违约行为作出补救。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14.2如果一方破产或发生资不抵债的情况,合同另一方有权在任何时候发出书面通知终止合同。此种情况下合同的终止不妨碍或影响行使任何可能的其它救济手段。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14.3如果买方认定卖方在竞标或执行合同中有腐败或欺诈行为,买方有权在任何时候发出书面通知终止合同。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A.“腐败行为”系指在招标、采购和合同执行等过程中，为谋求利益、影响相关人员而提供、给予、接受或索取任何有价物的行为。</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14.4在买方全部或部分终止合同的情况下，卖方应按“合同专用条款”的规定对买方给予补偿。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15.争议的解决</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15.1因执行本合同所发生的或者与本合同有关的一切争议将由合同双方通过友好协商解决。如果不能协商一致，合同任何一方有权按“合同专用条款”的规定将争议提交仲裁机构或提交法院判决。</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16.适用法律</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16.1本合同的执行和争议的解决应适用中华人民共和国的法律并按中华人民共和国的法律进行解释。</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17.合同生效及其他</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 本合同在“合同专用条款”规定的条件全部满足后生效。</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17.2合同项下全部权利义务履行完毕后，本合同自动失效。合同有效期最长不超过“合同专用条款”规定的年限。合同到期后，合同项下任何尚未了结的债权和债务不受合同到期的影响。债务人仍应向债权人履行其义务。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17.3双方应各自承担中国税务机构向其征收的与执行本合同有关的税费。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17.4合同双方除非“合同专用条款”另有规定，所有合同文件及相关的修订和合同双方之间的书面联络，应使用中文书就并按中文解释。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17.5对本合同条款的任何补充、增添或修改应以书面方式进行并由双方授权代表签字。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17.6没有另一方的事先同意，合同任何一方不得将合同项下的任何权利和义务转让给第三方。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17.8除非上下文另有要求，本文件中的单数含意包括复数，复数也包括单数。</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17.9合同条款中的标题和边注仅供参考使用，不应视为合同的一部分，也不影响本文的解释。</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17.10合同构成买方和卖方之间就合同主要内容方面的完整协议，并且取代合同签订前所有关于这方面的通讯、协商、协议(不论是书面的，还是口头的)。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17.11合同双方之间的一切联络往来应以书面形式按“合同专用条款”中规定的地址发往合同另一方。有关重要事项的传真应及时用挂号信或快件确认。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18.合同附件</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附件1供货范围和分项价格清单（略）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附件2 技术规格、性能、保证指标和保证（略）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附件3 技术服务、技术培训和验收考核（略） </w:t>
      </w:r>
      <w:r/>
    </w:p>
    <w:p>
      <w:pPr>
        <w:contextualSpacing/>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附件4 预付款银行保函格式 （略）</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合同专用条款</w:t>
      </w:r>
      <w:r/>
    </w:p>
    <w:p>
      <w:pPr>
        <w:contextualSpacing/>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下述关于要采购的货物的具体资料是对招标文件第五部分合同通用条款的主要内容的具体补充和修改，如果与招标文件第五部分合同通用条款有矛盾的话，应以本资料表为准。</w:t>
      </w:r>
      <w:r/>
    </w:p>
    <w:tbl>
      <w:tblPr>
        <w:tblStyle w:val="820"/>
        <w:tblW w:w="102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9122"/>
      </w:tblGrid>
      <w:tr>
        <w:trPr>
          <w:trHeight w:val="65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条款号</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内                     容</w:t>
            </w:r>
            <w:r/>
          </w:p>
        </w:tc>
      </w:tr>
      <w:tr>
        <w:trPr>
          <w:trHeight w:val="33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买方：江苏省中西医结合医院</w:t>
            </w:r>
            <w:r/>
          </w:p>
        </w:tc>
      </w:tr>
      <w:tr>
        <w:trPr>
          <w:trHeight w:val="4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卖方：待定。</w:t>
            </w:r>
            <w:r/>
          </w:p>
        </w:tc>
      </w:tr>
      <w:tr>
        <w:trPr>
          <w:trHeight w:val="38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工作现场：江苏省中西医结合医院指定地点</w:t>
            </w:r>
            <w:r/>
          </w:p>
        </w:tc>
      </w:tr>
      <w:tr>
        <w:trPr>
          <w:trHeight w:val="33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1.14</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合同货币：人民币</w:t>
            </w:r>
            <w:r/>
          </w:p>
        </w:tc>
      </w:tr>
      <w:tr>
        <w:trPr>
          <w:trHeight w:val="78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2.2</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合同货物的原产地：待定</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合同货物的制造商：待定</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付款方式：</w:t>
            </w:r>
            <w:r>
              <w:rPr>
                <w:color w:val="auto"/>
                <w:sz w:val="24"/>
                <w:highlight w:val="none"/>
                <w:lang w:val="en-US"/>
              </w:rPr>
              <w:t xml:space="preserve">乙方开具符合国家规定的发票，到货安装调试经甲方验收合格并提供原厂保修函后按甲方正常流程付90%，正常使用一年后无息支付10%</w:t>
            </w:r>
            <w:r/>
          </w:p>
        </w:tc>
      </w:tr>
      <w:tr>
        <w:trPr>
          <w:trHeight w:val="4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卖方需提供货物大约净重、总毛量、总体积等技术资料</w:t>
            </w:r>
            <w:r/>
          </w:p>
        </w:tc>
      </w:tr>
      <w:tr>
        <w:trPr>
          <w:trHeight w:val="12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交货条件及时限：详见货物需求一览表</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投标人应在“投标报价汇总表”中详细说明“合同签订后货到项目现场的天数（日历日）”，及“接到买方送货通知后所需完成送货的天数（日历日）”。</w:t>
            </w:r>
            <w:r/>
          </w:p>
        </w:tc>
      </w:tr>
      <w:tr>
        <w:trPr>
          <w:trHeight w:val="4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装运地点：待定</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卸货地点：医院现场</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发运前7天。</w:t>
            </w:r>
            <w:r/>
          </w:p>
        </w:tc>
      </w:tr>
      <w:tr>
        <w:trPr>
          <w:trHeight w:val="12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6.6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8.1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ind w:left="360" w:hanging="360"/>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买方提供产品合格证书及说明书。</w:t>
            </w:r>
            <w:r/>
          </w:p>
        </w:tc>
      </w:tr>
      <w:tr>
        <w:trPr>
          <w:trHeight w:val="10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*11.5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质量保证期：自验收报告签字确认日起，开始进入免费质保期，</w:t>
            </w:r>
            <w:r>
              <w:rPr>
                <w:rFonts w:hint="eastAsia"/>
                <w:color w:val="auto"/>
                <w:sz w:val="24"/>
                <w:highlight w:val="none"/>
              </w:rPr>
              <w:t xml:space="preserve">主机设备免费保修≥</w:t>
            </w:r>
            <w:r>
              <w:rPr>
                <w:color w:val="auto"/>
                <w:sz w:val="24"/>
                <w:highlight w:val="none"/>
              </w:rPr>
              <w:t xml:space="preserve">5年，镜头及器械免费保修≥18个月</w:t>
            </w:r>
            <w:r>
              <w:rPr>
                <w:rFonts w:hint="eastAsia"/>
                <w:color w:val="auto"/>
                <w:sz w:val="24"/>
                <w:highlight w:val="none"/>
              </w:rPr>
              <w:t xml:space="preserve">。</w:t>
            </w:r>
            <w:r/>
          </w:p>
        </w:tc>
      </w:tr>
      <w:tr>
        <w:trPr>
          <w:trHeight w:val="64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根据卖方违约的程度，买方有权采取A、B、C、D、E五种救济方式中的任何一种或几种。</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12.3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A.卖方收到买方索赔要求后14天内给予回复。</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C.卖方未能履行合同项下任何其它义务</w:t>
            </w:r>
            <w:r>
              <w:rPr>
                <w:rFonts w:ascii="Arial" w:hAnsi="Arial" w:eastAsia="Arial" w:cs="Arial"/>
                <w:color w:val="auto"/>
                <w:sz w:val="24"/>
                <w:highlight w:val="none"/>
              </w:rPr>
              <w:t xml:space="preserve">(</w:t>
            </w:r>
            <w:r>
              <w:rPr>
                <w:color w:val="auto"/>
                <w:sz w:val="24"/>
                <w:highlight w:val="none"/>
              </w:rPr>
              <w:t xml:space="preserve">细微义务除外</w:t>
            </w:r>
            <w:r>
              <w:rPr>
                <w:rFonts w:ascii="Arial" w:hAnsi="Arial" w:eastAsia="Arial" w:cs="Arial"/>
                <w:color w:val="auto"/>
                <w:sz w:val="24"/>
                <w:highlight w:val="none"/>
              </w:rPr>
              <w:t xml:space="preserve">)</w:t>
            </w:r>
            <w:r>
              <w:rPr>
                <w:color w:val="auto"/>
                <w:sz w:val="24"/>
                <w:highlight w:val="none"/>
              </w:rPr>
              <w:t xml:space="preserve">，并且在收到买方违约通知后14天内仍未对其违约行为作出补救。</w:t>
            </w:r>
            <w:r/>
          </w:p>
        </w:tc>
      </w:tr>
      <w:tr>
        <w:trPr>
          <w:trHeight w:val="6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增加14.1D</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D.未得到买方许可，擅自将本合同货物或服务分包给其他单位。</w:t>
            </w:r>
            <w:r/>
          </w:p>
        </w:tc>
      </w:tr>
      <w:tr>
        <w:trPr>
          <w:trHeight w:val="46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14.4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E.卖方应双倍返还买方已支付的货款（包括定金）。</w:t>
            </w:r>
            <w:r/>
          </w:p>
        </w:tc>
      </w:tr>
      <w:tr>
        <w:trPr>
          <w:trHeight w:val="98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09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15.1</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122" w:type="dxa"/>
            <w:vAlign w:val="center"/>
            <w:textDirection w:val="lrTb"/>
            <w:noWrap w:val="false"/>
          </w:tcPr>
          <w:p>
            <w:pPr>
              <w:jc w:val="both"/>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ind w:right="85"/>
        <w:jc w:val="both"/>
        <w:spacing w:line="360" w:lineRule="auto"/>
        <w:rPr>
          <w:rFonts w:ascii="黑体" w:eastAsia="黑体"/>
          <w:color w:val="auto"/>
          <w:sz w:val="36"/>
          <w:highlight w:val="none"/>
        </w:rPr>
        <w:sectPr>
          <w:headerReference w:type="default" r:id="rId9"/>
          <w:footerReference w:type="default" r:id="rId11"/>
          <w:footnotePr/>
          <w:endnotePr/>
          <w:type w:val="nextPage"/>
          <w:pgSz w:w="11910" w:h="16840" w:orient="portrait"/>
          <w:pgMar w:top="1134" w:right="1134" w:bottom="1134" w:left="1134" w:header="567" w:footer="567" w:gutter="0"/>
          <w:cols w:num="1" w:sep="0" w:space="720" w:equalWidth="1"/>
          <w:docGrid w:linePitch="360"/>
        </w:sectPr>
        <w:outlineLvl w:val="0"/>
      </w:pPr>
      <w:r>
        <w:rPr>
          <w:rFonts w:ascii="黑体" w:eastAsia="黑体"/>
          <w:color w:val="auto"/>
          <w:sz w:val="36"/>
          <w:highlight w:val="none"/>
        </w:rPr>
      </w:r>
      <w:r/>
    </w:p>
    <w:p>
      <w:pPr>
        <w:ind w:right="85"/>
        <w:jc w:val="center"/>
        <w:spacing w:line="360" w:lineRule="auto"/>
        <w:rPr>
          <w:rFonts w:ascii="黑体" w:eastAsia="黑体"/>
          <w:color w:val="auto"/>
          <w:sz w:val="36"/>
          <w:highlight w:val="none"/>
        </w:rPr>
        <w:outlineLvl w:val="0"/>
      </w:pPr>
      <w:r>
        <w:rPr>
          <w:rFonts w:hint="eastAsia" w:ascii="黑体" w:eastAsia="黑体"/>
          <w:color w:val="auto"/>
          <w:sz w:val="36"/>
          <w:highlight w:val="none"/>
        </w:rPr>
        <w:t xml:space="preserve">第六章投标文件格式及附件</w:t>
      </w:r>
      <w:bookmarkEnd w:id="42"/>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b/>
          <w:color w:val="auto"/>
          <w:sz w:val="36"/>
          <w:highlight w:val="none"/>
        </w:rPr>
        <w:t xml:space="preserve">供应商名称：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43" w:name="_Toc489655320"/>
      <w:r>
        <w:rPr>
          <w:rFonts w:hint="eastAsia"/>
          <w:b/>
          <w:bCs/>
          <w:color w:val="auto"/>
          <w:sz w:val="28"/>
          <w:szCs w:val="28"/>
          <w:highlight w:val="none"/>
        </w:rPr>
        <w:t xml:space="preserve">投标文件主要目录</w:t>
      </w:r>
      <w:bookmarkEnd w:id="43"/>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rFonts w:hint="eastAsia"/>
          <w:color w:val="auto"/>
          <w:sz w:val="28"/>
          <w:szCs w:val="28"/>
          <w:highlight w:val="none"/>
          <w14:ligatures w14:val="none"/>
        </w:rPr>
      </w:pPr>
      <w:r>
        <w:rPr>
          <w:rFonts w:hint="eastAsia"/>
          <w:color w:val="auto"/>
          <w:sz w:val="28"/>
          <w:szCs w:val="28"/>
          <w:highlight w:val="none"/>
          <w:lang w:val="en-US" w:bidi="ar-SA"/>
        </w:rPr>
        <w:t xml:space="preserve">九</w:t>
      </w:r>
      <w:r>
        <w:rPr>
          <w:rFonts w:hint="eastAsia"/>
          <w:color w:val="auto"/>
          <w:sz w:val="28"/>
          <w:szCs w:val="28"/>
          <w:highlight w:val="none"/>
          <w:lang w:val="en-US" w:bidi="ar-SA"/>
        </w:rPr>
        <w:t xml:space="preserve">、</w:t>
      </w:r>
      <w:r>
        <w:rPr>
          <w:rFonts w:hint="eastAsia"/>
          <w:color w:val="auto"/>
          <w:sz w:val="28"/>
          <w:szCs w:val="28"/>
          <w:highlight w:val="none"/>
        </w:rPr>
        <w:t xml:space="preserve">相关承诺</w:t>
      </w:r>
      <w:r>
        <w:rPr>
          <w:rFonts w:hint="eastAsia"/>
          <w:color w:val="auto"/>
          <w:sz w:val="28"/>
          <w:szCs w:val="28"/>
          <w:highlight w:val="none"/>
        </w:rPr>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005"/>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b/>
          <w:color w:val="auto"/>
          <w:sz w:val="36"/>
          <w:highlight w:val="none"/>
        </w:rPr>
      </w:pPr>
      <w:r>
        <w:rPr>
          <w:rFonts w:hint="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江苏省中医药研究院（省中西医结合医院）</w:t>
      </w:r>
      <w:r/>
    </w:p>
    <w:p>
      <w:pPr>
        <w:ind w:firstLine="420"/>
        <w:spacing w:line="360" w:lineRule="auto"/>
        <w:rPr>
          <w:color w:val="auto"/>
          <w:sz w:val="21"/>
          <w:szCs w:val="21"/>
          <w:highlight w:val="none"/>
        </w:rPr>
      </w:pPr>
      <w:r>
        <w:rPr>
          <w:color w:val="auto"/>
          <w:sz w:val="21"/>
          <w:szCs w:val="21"/>
          <w:highlight w:val="none"/>
        </w:rPr>
        <w:t xml:space="preserve">根据贵方（项目名称）（项目编号）投标邀请，正式授权下述签字人(姓名和职务)代表供应商（供应商名称），提交投标文件。</w:t>
      </w:r>
      <w:r/>
    </w:p>
    <w:p>
      <w:pPr>
        <w:ind w:firstLine="420"/>
        <w:spacing w:line="360" w:lineRule="auto"/>
        <w:rPr>
          <w:color w:val="auto"/>
          <w:sz w:val="21"/>
          <w:szCs w:val="21"/>
          <w:highlight w:val="none"/>
        </w:rPr>
      </w:pPr>
      <w:r>
        <w:rPr>
          <w:color w:val="auto"/>
          <w:sz w:val="21"/>
          <w:szCs w:val="21"/>
          <w:highlight w:val="none"/>
        </w:rPr>
        <w:t xml:space="preserve">据此函，签字人兹宣布声明和承诺如下：</w:t>
      </w:r>
      <w:r/>
    </w:p>
    <w:p>
      <w:pPr>
        <w:ind w:firstLine="420"/>
        <w:spacing w:line="360" w:lineRule="auto"/>
        <w:rPr>
          <w:color w:val="auto"/>
          <w:sz w:val="21"/>
          <w:highlight w:val="none"/>
        </w:rPr>
      </w:pPr>
      <w:r>
        <w:rPr>
          <w:color w:val="auto"/>
          <w:sz w:val="21"/>
          <w:highlight w:val="none"/>
        </w:rPr>
        <w:t xml:space="preserve">1</w:t>
      </w:r>
      <w:r>
        <w:rPr>
          <w:rFonts w:hint="eastAsia"/>
          <w:color w:val="auto"/>
          <w:sz w:val="21"/>
          <w:highlight w:val="none"/>
        </w:rPr>
        <w:t xml:space="preserve">、</w:t>
      </w:r>
      <w:r>
        <w:rPr>
          <w:color w:val="auto"/>
          <w:sz w:val="21"/>
          <w:highlight w:val="none"/>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auto"/>
          <w:sz w:val="21"/>
          <w:highlight w:val="none"/>
        </w:rPr>
      </w:pPr>
      <w:r>
        <w:rPr>
          <w:color w:val="auto"/>
          <w:sz w:val="21"/>
          <w:highlight w:val="none"/>
        </w:rPr>
        <w:t xml:space="preserve">2</w:t>
      </w:r>
      <w:r>
        <w:rPr>
          <w:rFonts w:hint="eastAsia"/>
          <w:color w:val="auto"/>
          <w:sz w:val="21"/>
          <w:highlight w:val="none"/>
        </w:rPr>
        <w:t xml:space="preserve">、</w:t>
      </w:r>
      <w:r>
        <w:rPr>
          <w:color w:val="auto"/>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highlight w:val="none"/>
        </w:rPr>
      </w:pPr>
      <w:r>
        <w:rPr>
          <w:color w:val="auto"/>
          <w:sz w:val="21"/>
          <w:highlight w:val="none"/>
        </w:rPr>
        <w:t xml:space="preserve">3</w:t>
      </w:r>
      <w:r>
        <w:rPr>
          <w:rFonts w:hint="eastAsia"/>
          <w:color w:val="auto"/>
          <w:sz w:val="21"/>
          <w:highlight w:val="none"/>
        </w:rPr>
        <w:t xml:space="preserve">、</w:t>
      </w:r>
      <w:r>
        <w:rPr>
          <w:color w:val="auto"/>
          <w:sz w:val="21"/>
          <w:highlight w:val="none"/>
        </w:rPr>
        <w:t xml:space="preserve">我们同意在本项目招标文件中规定的开标之日起</w:t>
      </w:r>
      <w:r>
        <w:rPr>
          <w:rFonts w:hint="eastAsia"/>
          <w:color w:val="auto"/>
          <w:sz w:val="21"/>
          <w:highlight w:val="none"/>
        </w:rPr>
        <w:t xml:space="preserve">6</w:t>
      </w:r>
      <w:r>
        <w:rPr>
          <w:color w:val="auto"/>
          <w:sz w:val="21"/>
          <w:highlight w:val="none"/>
        </w:rPr>
        <w:t xml:space="preserve">0天内遵守本投标文件中的承诺且在此期限期满之前均具有约束力。</w:t>
      </w:r>
      <w:r/>
    </w:p>
    <w:p>
      <w:pPr>
        <w:ind w:firstLine="420"/>
        <w:spacing w:line="360" w:lineRule="auto"/>
        <w:rPr>
          <w:color w:val="auto"/>
          <w:sz w:val="21"/>
          <w:highlight w:val="none"/>
        </w:rPr>
      </w:pPr>
      <w:r>
        <w:rPr>
          <w:color w:val="auto"/>
          <w:sz w:val="21"/>
          <w:highlight w:val="none"/>
        </w:rPr>
        <w:t xml:space="preserve">4</w:t>
      </w:r>
      <w:r>
        <w:rPr>
          <w:rFonts w:hint="eastAsia"/>
          <w:color w:val="auto"/>
          <w:sz w:val="21"/>
          <w:highlight w:val="none"/>
        </w:rPr>
        <w:t xml:space="preserve">、</w:t>
      </w:r>
      <w:r>
        <w:rPr>
          <w:color w:val="auto"/>
          <w:sz w:val="21"/>
          <w:highlight w:val="none"/>
        </w:rPr>
        <w:t xml:space="preserve">我们愿意向采购代理机构提供任何与本次招标有关的其他资料，并保证已提供和将要提供的文件是真实的、准确的。</w:t>
      </w:r>
      <w:r/>
    </w:p>
    <w:p>
      <w:pPr>
        <w:ind w:firstLine="420"/>
        <w:spacing w:line="360" w:lineRule="auto"/>
        <w:rPr>
          <w:color w:val="auto"/>
          <w:sz w:val="21"/>
          <w:highlight w:val="none"/>
        </w:rPr>
      </w:pPr>
      <w:r>
        <w:rPr>
          <w:color w:val="auto"/>
          <w:sz w:val="21"/>
          <w:highlight w:val="none"/>
        </w:rPr>
        <w:t xml:space="preserve">5</w:t>
      </w:r>
      <w:r>
        <w:rPr>
          <w:rFonts w:hint="eastAsia"/>
          <w:color w:val="auto"/>
          <w:sz w:val="21"/>
          <w:highlight w:val="none"/>
        </w:rPr>
        <w:t xml:space="preserve">、</w:t>
      </w:r>
      <w:r>
        <w:rPr>
          <w:color w:val="auto"/>
          <w:sz w:val="21"/>
          <w:highlight w:val="none"/>
        </w:rPr>
        <w:t xml:space="preserve">我们理解，你们无义务必须接受投标价最低的投标，并有权拒绝所有的投标。</w:t>
      </w:r>
      <w:r/>
    </w:p>
    <w:p>
      <w:pPr>
        <w:ind w:firstLine="420"/>
        <w:spacing w:line="360" w:lineRule="auto"/>
        <w:rPr>
          <w:color w:val="auto"/>
          <w:sz w:val="21"/>
          <w:highlight w:val="none"/>
        </w:rPr>
      </w:pPr>
      <w:r>
        <w:rPr>
          <w:color w:val="auto"/>
          <w:sz w:val="21"/>
          <w:highlight w:val="none"/>
        </w:rPr>
        <w:t xml:space="preserve">6</w:t>
      </w:r>
      <w:r>
        <w:rPr>
          <w:rFonts w:hint="eastAsia"/>
          <w:color w:val="auto"/>
          <w:sz w:val="21"/>
          <w:highlight w:val="none"/>
        </w:rPr>
        <w:t xml:space="preserve">、</w:t>
      </w:r>
      <w:r>
        <w:rPr>
          <w:color w:val="auto"/>
          <w:sz w:val="21"/>
          <w:highlight w:val="none"/>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auto"/>
          <w:sz w:val="21"/>
          <w:szCs w:val="21"/>
          <w:highlight w:val="none"/>
        </w:rPr>
      </w:pPr>
      <w:r>
        <w:rPr>
          <w:color w:val="auto"/>
          <w:sz w:val="21"/>
          <w:highlight w:val="none"/>
        </w:rPr>
        <w:t xml:space="preserve">7</w:t>
      </w:r>
      <w:r>
        <w:rPr>
          <w:rFonts w:hint="eastAsia"/>
          <w:color w:val="auto"/>
          <w:sz w:val="21"/>
          <w:highlight w:val="none"/>
        </w:rPr>
        <w:t xml:space="preserve">、</w:t>
      </w:r>
      <w:r>
        <w:rPr>
          <w:color w:val="auto"/>
          <w:sz w:val="21"/>
          <w:highlight w:val="none"/>
        </w:rPr>
        <w:t xml:space="preserve">其它说明：</w:t>
      </w:r>
      <w:r/>
    </w:p>
    <w:p>
      <w:pPr>
        <w:ind w:firstLine="420"/>
        <w:spacing w:line="360" w:lineRule="auto"/>
        <w:rPr>
          <w:color w:val="auto"/>
          <w:sz w:val="21"/>
          <w:szCs w:val="21"/>
          <w:highlight w:val="none"/>
        </w:rPr>
      </w:pPr>
      <w:r>
        <w:rPr>
          <w:color w:val="auto"/>
          <w:sz w:val="21"/>
          <w:szCs w:val="21"/>
          <w:highlight w:val="none"/>
        </w:rPr>
        <w:t xml:space="preserve">8、与本投标有关的正式联系方式为：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目录二、法定代表人授权书格</w:t>
      </w:r>
      <w:r/>
    </w:p>
    <w:p>
      <w:pPr>
        <w:jc w:val="center"/>
        <w:spacing w:line="360" w:lineRule="auto"/>
        <w:rPr>
          <w:b/>
          <w:color w:val="auto"/>
          <w:sz w:val="36"/>
          <w:highlight w:val="none"/>
        </w:rPr>
      </w:pPr>
      <w:r>
        <w:rPr>
          <w:rFonts w:hint="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供应商名称（公章）：</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被授权人：（签字）</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pStyle w:val="1006"/>
        <w:jc w:val="both"/>
        <w:keepLines w:val="0"/>
        <w:keepNext w:val="0"/>
        <w:widowControl/>
        <w:rPr>
          <w:rFonts w:hAnsi="Times New Roman" w:cs="Times New Roman"/>
          <w:b w:val="0"/>
          <w:bCs w:val="0"/>
          <w:color w:val="auto"/>
          <w:sz w:val="21"/>
          <w:szCs w:val="21"/>
          <w:highlight w:val="none"/>
          <w:lang w:bidi="ar-SA"/>
        </w:rPr>
      </w:pPr>
      <w:r>
        <w:rPr>
          <w:rFonts w:hint="eastAsia" w:hAnsi="Times New Roman" w:cs="Times New Roman"/>
          <w:b w:val="0"/>
          <w:bCs w:val="0"/>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pStyle w:val="1006"/>
        <w:keepLines w:val="0"/>
        <w:keepNext w:val="0"/>
        <w:widowControl/>
        <w:rPr>
          <w:color w:val="auto"/>
          <w:sz w:val="21"/>
          <w:highlight w:val="none"/>
        </w:rPr>
      </w:pPr>
      <w:r>
        <w:rPr>
          <w:color w:val="auto"/>
          <w:sz w:val="21"/>
          <w:highlight w:val="none"/>
        </w:rPr>
        <w:t xml:space="preserve">目录三、开标一览表格式</w:t>
      </w:r>
      <w:r/>
    </w:p>
    <w:p>
      <w:pPr>
        <w:pStyle w:val="1006"/>
        <w:jc w:val="center"/>
        <w:keepLines w:val="0"/>
        <w:keepNext w:val="0"/>
        <w:widowControl/>
        <w:rPr>
          <w:color w:val="auto"/>
          <w:highlight w:val="none"/>
        </w:rPr>
      </w:pPr>
      <w:r>
        <w:rPr>
          <w:rStyle w:val="1007"/>
          <w:rFonts w:hint="eastAsia" w:cs="宋体"/>
          <w:b/>
          <w:bCs w:val="0"/>
          <w:color w:val="auto"/>
          <w:sz w:val="36"/>
          <w:szCs w:val="36"/>
          <w:highlight w:val="none"/>
        </w:rPr>
        <w:t xml:space="preserve">开标一览表（总价）</w:t>
      </w:r>
      <w:r/>
    </w:p>
    <w:p>
      <w:pPr>
        <w:pStyle w:val="1009"/>
        <w:rPr>
          <w:color w:val="auto"/>
          <w:sz w:val="21"/>
          <w:szCs w:val="20"/>
          <w:highlight w:val="none"/>
        </w:rPr>
      </w:pPr>
      <w:r>
        <w:rPr>
          <w:rFonts w:hint="eastAsia"/>
          <w:color w:val="auto"/>
          <w:sz w:val="21"/>
          <w:szCs w:val="20"/>
          <w:highlight w:val="none"/>
        </w:rPr>
        <w:t xml:space="preserve">投标人全称（CA公章）：供应商名称 </w:t>
      </w:r>
      <w:r/>
    </w:p>
    <w:p>
      <w:pPr>
        <w:pStyle w:val="1009"/>
        <w:rPr>
          <w:color w:val="auto"/>
          <w:sz w:val="21"/>
          <w:szCs w:val="20"/>
          <w:highlight w:val="none"/>
        </w:rPr>
      </w:pPr>
      <w:r>
        <w:rPr>
          <w:rFonts w:hint="eastAsia"/>
          <w:color w:val="auto"/>
          <w:sz w:val="21"/>
          <w:szCs w:val="20"/>
          <w:highlight w:val="none"/>
        </w:rPr>
        <w:t xml:space="preserve">项目名称：</w:t>
      </w:r>
      <w:r/>
    </w:p>
    <w:p>
      <w:pPr>
        <w:pStyle w:val="1009"/>
        <w:rPr>
          <w:color w:val="auto"/>
          <w:sz w:val="21"/>
          <w:szCs w:val="20"/>
          <w:highlight w:val="none"/>
        </w:rPr>
      </w:pPr>
      <w:r>
        <w:rPr>
          <w:rFonts w:hint="eastAsia"/>
          <w:color w:val="auto"/>
          <w:sz w:val="21"/>
          <w:szCs w:val="20"/>
          <w:highlight w:val="none"/>
        </w:rPr>
        <w:t xml:space="preserve">项目编号：</w:t>
      </w:r>
      <w:r/>
    </w:p>
    <w:p>
      <w:pPr>
        <w:pStyle w:val="1009"/>
        <w:rPr>
          <w:color w:val="auto"/>
          <w:highlight w:val="none"/>
        </w:rPr>
      </w:pPr>
      <w:r>
        <w:rPr>
          <w:rFonts w:hint="eastAsia"/>
          <w:color w:val="auto"/>
          <w:sz w:val="21"/>
          <w:szCs w:val="20"/>
          <w:highlight w:val="none"/>
        </w:rPr>
        <w:t xml:space="preserve">分包号：</w:t>
      </w:r>
      <w:r/>
    </w:p>
    <w:tbl>
      <w:tblPr>
        <w:tblStyle w:val="790"/>
        <w:tblW w:w="4515" w:type="pct"/>
        <w:tblCellSpacing w:w="15" w:type="dxa"/>
        <w:tblInd w:w="-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8"/>
      </w:tblGrid>
      <w:tr>
        <w:trPr>
          <w:tblCellSpacing w:w="15" w:type="dxa"/>
          <w:trHeight w:val="810"/>
        </w:trPr>
        <w:tc>
          <w:tcPr>
            <w:tcW w:w="898" w:type="dxa"/>
            <w:vAlign w:val="center"/>
            <w:textDirection w:val="lrTb"/>
            <w:noWrap w:val="false"/>
          </w:tcPr>
          <w:p>
            <w:pPr>
              <w:pStyle w:val="1009"/>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009"/>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009"/>
              <w:rPr>
                <w:color w:val="auto"/>
                <w:sz w:val="21"/>
                <w:szCs w:val="21"/>
                <w:highlight w:val="none"/>
              </w:rPr>
            </w:pPr>
            <w:r>
              <w:rPr>
                <w:rFonts w:hint="eastAsia"/>
                <w:color w:val="auto"/>
                <w:sz w:val="21"/>
                <w:szCs w:val="21"/>
                <w:highlight w:val="none"/>
              </w:rPr>
              <w:t xml:space="preserve"> </w:t>
            </w:r>
            <w:r>
              <w:rPr>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年</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月</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b/>
          <w:color w:val="auto"/>
          <w:sz w:val="36"/>
          <w:highlight w:val="none"/>
        </w:rPr>
      </w:pPr>
      <w:r>
        <w:rPr>
          <w:rFonts w:hint="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790"/>
        <w:tblW w:w="10348" w:type="dxa"/>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b/>
          <w:color w:val="auto"/>
          <w:sz w:val="36"/>
          <w:highlight w:val="none"/>
        </w:rPr>
      </w:pPr>
      <w:r>
        <w:rPr>
          <w:b/>
          <w:color w:val="auto"/>
          <w:sz w:val="36"/>
          <w:highlight w:val="none"/>
        </w:rPr>
        <w:t xml:space="preserve">技术条款偏离表</w:t>
      </w:r>
      <w:r/>
    </w:p>
    <w:p>
      <w:pPr>
        <w:jc w:val="center"/>
        <w:spacing w:line="360" w:lineRule="auto"/>
        <w:rPr>
          <w:b/>
          <w:color w:val="auto"/>
          <w:sz w:val="36"/>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79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color w:val="auto"/>
          <w:sz w:val="21"/>
          <w:szCs w:val="21"/>
          <w:highlight w:val="none"/>
        </w:rPr>
        <w:t xml:space="preserve">供应商名称：（盖章）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b/>
          <w:color w:val="auto"/>
          <w:sz w:val="36"/>
          <w:highlight w:val="none"/>
        </w:rPr>
      </w:pPr>
      <w:r>
        <w:rPr>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color w:val="auto"/>
          <w:sz w:val="21"/>
          <w:szCs w:val="21"/>
          <w:highlight w:val="none"/>
        </w:rPr>
        <w:t xml:space="preserve">供应商名称：（盖章）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b/>
          <w:color w:val="auto"/>
          <w:sz w:val="36"/>
          <w:highlight w:val="none"/>
        </w:rPr>
      </w:pPr>
      <w:r>
        <w:rPr>
          <w:rFonts w:hint="eastAsia"/>
          <w:b/>
          <w:color w:val="auto"/>
          <w:sz w:val="36"/>
          <w:highlight w:val="none"/>
        </w:rPr>
        <w:t xml:space="preserve">技术</w:t>
      </w:r>
      <w:r>
        <w:rPr>
          <w:b/>
          <w:color w:val="auto"/>
          <w:sz w:val="36"/>
          <w:highlight w:val="none"/>
        </w:rPr>
        <w:t xml:space="preserve">方案（</w:t>
      </w:r>
      <w:r>
        <w:rPr>
          <w:rFonts w:hint="eastAsia"/>
          <w:b/>
          <w:color w:val="auto"/>
          <w:sz w:val="36"/>
          <w:highlight w:val="none"/>
        </w:rPr>
        <w:t xml:space="preserve">内容自拟</w:t>
      </w:r>
      <w:r>
        <w:rPr>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b/>
          <w:color w:val="auto"/>
          <w:sz w:val="36"/>
          <w:highlight w:val="none"/>
        </w:rPr>
      </w:pPr>
      <w:r>
        <w:rPr>
          <w:rFonts w:hint="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790"/>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b/>
          <w:color w:val="auto"/>
          <w:sz w:val="36"/>
          <w:highlight w:val="none"/>
        </w:rPr>
        <w:t xml:space="preserve">相关承诺</w:t>
      </w:r>
      <w:r>
        <w:rPr>
          <w:b/>
          <w:color w:val="auto"/>
          <w:sz w:val="36"/>
          <w:highlight w:val="none"/>
        </w:rPr>
        <w:t xml:space="preserve">（若有</w:t>
      </w:r>
      <w:r>
        <w:rPr>
          <w:color w:val="auto"/>
          <w:sz w:val="36"/>
          <w:highlight w:val="none"/>
        </w:rPr>
        <w:t xml:space="preserve">）</w:t>
      </w:r>
      <w:r/>
    </w:p>
    <w:p>
      <w:pPr>
        <w:pStyle w:val="795"/>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b/>
          <w:color w:val="auto"/>
          <w:sz w:val="36"/>
          <w:highlight w:val="none"/>
        </w:rPr>
      </w:pPr>
      <w:r>
        <w:rPr>
          <w:b/>
          <w:color w:val="auto"/>
          <w:sz w:val="36"/>
          <w:highlight w:val="none"/>
        </w:rPr>
        <w:t xml:space="preserve">投标需要的其他证明文件及材料（若有）</w:t>
      </w:r>
      <w:r/>
    </w:p>
    <w:p>
      <w:pPr>
        <w:pStyle w:val="795"/>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黑体" w:hAnsi="黑体" w:eastAsia="黑体" w:cs="Times New Roman"/>
          <w:b/>
          <w:color w:val="auto"/>
          <w:sz w:val="24"/>
          <w:szCs w:val="24"/>
          <w:highlight w:val="none"/>
        </w:rPr>
      </w:pPr>
      <w:r>
        <w:rPr>
          <w:rFonts w:hint="eastAsia" w:ascii="黑体" w:hAnsi="黑体" w:eastAsia="黑体" w:cs="Times New Roman"/>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注：</w:t>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pStyle w:val="798"/>
        <w:ind w:left="1320"/>
        <w:rPr>
          <w:color w:val="auto"/>
          <w:highlight w:val="none"/>
        </w:rPr>
      </w:pPr>
      <w:r>
        <w:rPr>
          <w:color w:val="auto"/>
          <w:highlight w:val="none"/>
        </w:rPr>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江苏省中医药研究院（省中西医结合医院）</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44" w:name="残疾人福利性单位声明函"/>
      <w:r/>
      <w:bookmarkEnd w:id="44"/>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45" w:name="附件五、属于监狱企业的证明文件"/>
      <w:r/>
      <w:bookmarkEnd w:id="45"/>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46" w:name="OLE_LINK31"/>
      <w:r/>
      <w:r/>
    </w:p>
    <w:p>
      <w:pPr>
        <w:spacing w:line="360" w:lineRule="auto"/>
        <w:rPr>
          <w:b/>
          <w:color w:val="auto"/>
          <w:sz w:val="21"/>
          <w:highlight w:val="none"/>
        </w:rPr>
      </w:pPr>
      <w:r>
        <w:rPr>
          <w:b/>
          <w:color w:val="auto"/>
          <w:sz w:val="21"/>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rPr>
          <w:color w:val="auto"/>
          <w:highlight w:val="none"/>
        </w:rPr>
      </w:pPr>
      <w:r>
        <w:rPr>
          <w:color w:val="auto"/>
          <w:highlight w:val="none"/>
        </w:rPr>
      </w:r>
      <w:r/>
    </w:p>
    <w:p>
      <w:pPr>
        <w:pStyle w:val="798"/>
        <w:ind w:left="1320"/>
        <w:rPr>
          <w:color w:val="auto"/>
          <w:highlight w:val="none"/>
        </w:rPr>
      </w:pPr>
      <w:r>
        <w:rPr>
          <w:color w:val="auto"/>
          <w:highlight w:val="none"/>
        </w:rPr>
      </w:r>
      <w:r/>
    </w:p>
    <w:p>
      <w:pPr>
        <w:pStyle w:val="798"/>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w:t>
      </w:r>
      <w:r>
        <w:rPr>
          <w:rFonts w:hint="eastAsia"/>
          <w:b/>
          <w:color w:val="auto"/>
          <w:sz w:val="21"/>
          <w:highlight w:val="none"/>
        </w:rPr>
        <w:t xml:space="preserve">关</w:t>
      </w:r>
      <w:r>
        <w:rPr>
          <w:rFonts w:hint="eastAsia"/>
          <w:b/>
          <w:color w:val="auto"/>
          <w:sz w:val="21"/>
          <w:highlight w:val="none"/>
        </w:rPr>
        <w:t xml:space="preserve">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本公司（单位）郑重声明，根据《国务院办公厅关于在政府采购中实施本国产品标准及相关政策的通知》（国办发〔</w:t>
      </w:r>
      <w:r>
        <w:rPr>
          <w:rFonts w:hint="eastAsia"/>
          <w:color w:val="auto"/>
          <w:highlight w:val="none"/>
          <w:shd w:val="clear" w:color="auto" w:fill="ffffff"/>
        </w:rPr>
        <w:t xml:space="preserve">2025</w:t>
      </w:r>
      <w:r>
        <w:rPr>
          <w:rFonts w:hint="eastAsia" w:cs="微软雅黑"/>
          <w:color w:val="auto"/>
          <w:highlight w:val="none"/>
          <w:shd w:val="clear" w:color="auto" w:fill="ffffff"/>
        </w:rPr>
        <w:t xml:space="preserve">〕</w:t>
      </w:r>
      <w:r>
        <w:rPr>
          <w:rFonts w:hint="eastAsia"/>
          <w:color w:val="auto"/>
          <w:highlight w:val="none"/>
          <w:shd w:val="clear" w:color="auto" w:fill="ffffff"/>
        </w:rPr>
        <w:t xml:space="preserve">34</w:t>
      </w:r>
      <w:r>
        <w:rPr>
          <w:rFonts w:hint="eastAsia" w:cs="微软雅黑"/>
          <w:color w:val="auto"/>
          <w:highlight w:val="none"/>
          <w:shd w:val="clear" w:color="auto" w:fill="ffffff"/>
        </w:rPr>
        <w:t xml:space="preserve">号）的规定，本公司（单位）提供的以下产品属于本国产品。具体情况如下：</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823"/>
          <w:rFonts w:hint="eastAsia" w:cs="微软雅黑"/>
          <w:color w:val="auto"/>
          <w:highlight w:val="none"/>
          <w:u w:val="single"/>
          <w:shd w:val="clear" w:color="auto" w:fill="ffffff"/>
        </w:rPr>
        <w:t xml:space="preserve">（产品名称</w:t>
      </w:r>
      <w:r>
        <w:rPr>
          <w:rStyle w:val="823"/>
          <w:rFonts w:hint="eastAsia"/>
          <w:color w:val="auto"/>
          <w:highlight w:val="none"/>
          <w:u w:val="single"/>
          <w:shd w:val="clear" w:color="auto" w:fill="ffffff"/>
        </w:rPr>
        <w:t xml:space="preserve">1</w:t>
      </w:r>
      <w:r>
        <w:rPr>
          <w:rStyle w:val="823"/>
          <w:rFonts w:hint="eastAsia" w:cs="微软雅黑"/>
          <w:color w:val="auto"/>
          <w:highlight w:val="none"/>
          <w:u w:val="single"/>
          <w:shd w:val="clear" w:color="auto" w:fill="ffffff"/>
        </w:rPr>
        <w:t xml:space="preserve">）</w:t>
      </w:r>
      <w:r>
        <w:rPr>
          <w:rStyle w:val="823"/>
          <w:rFonts w:hint="eastAsia"/>
          <w:color w:val="auto"/>
          <w:highlight w:val="none"/>
          <w:shd w:val="clear" w:color="auto" w:fill="ffffff"/>
          <w:vertAlign w:val="superscript"/>
        </w:rPr>
        <w:t xml:space="preserve">1</w:t>
      </w:r>
      <w:r>
        <w:rPr>
          <w:rFonts w:hint="eastAsia" w:cs="微软雅黑"/>
          <w:color w:val="auto"/>
          <w:highlight w:val="none"/>
          <w:shd w:val="clear" w:color="auto" w:fill="ffffff"/>
        </w:rPr>
        <w:t xml:space="preserve">，</w:t>
      </w:r>
      <w:r>
        <w:rPr>
          <w:rFonts w:hint="eastAsia" w:cs="微软雅黑"/>
          <w:color w:val="auto"/>
          <w:highlight w:val="none"/>
          <w:u w:val="single"/>
          <w:shd w:val="clear" w:color="auto" w:fill="ffffff"/>
        </w:rPr>
        <w:t xml:space="preserve">生产厂为</w:t>
      </w:r>
      <w:r>
        <w:rPr>
          <w:rStyle w:val="823"/>
          <w:rFonts w:hint="eastAsia" w:cs="微软雅黑"/>
          <w:color w:val="auto"/>
          <w:highlight w:val="none"/>
          <w:u w:val="single"/>
          <w:shd w:val="clear" w:color="auto" w:fill="ffffff"/>
        </w:rPr>
        <w:t xml:space="preserve">（厂名）</w:t>
      </w:r>
      <w:r>
        <w:rPr>
          <w:rStyle w:val="823"/>
          <w:rFonts w:hint="eastAsia"/>
          <w:color w:val="auto"/>
          <w:highlight w:val="none"/>
          <w:shd w:val="clear" w:color="auto" w:fill="ffffff"/>
          <w:vertAlign w:val="superscript"/>
        </w:rPr>
        <w:t xml:space="preserve">2</w:t>
      </w:r>
      <w:r>
        <w:rPr>
          <w:rFonts w:hint="eastAsia" w:cs="微软雅黑"/>
          <w:color w:val="auto"/>
          <w:highlight w:val="none"/>
          <w:shd w:val="clear" w:color="auto" w:fill="ffffff"/>
        </w:rPr>
        <w:t xml:space="preserve">，厂址为</w:t>
      </w:r>
      <w:r>
        <w:rPr>
          <w:rStyle w:val="823"/>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1</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（规定比例）</w:t>
      </w:r>
      <w:r>
        <w:rPr>
          <w:rStyle w:val="823"/>
          <w:rFonts w:hint="eastAsia"/>
          <w:color w:val="auto"/>
          <w:highlight w:val="none"/>
          <w:shd w:val="clear" w:color="auto" w:fill="ffffff"/>
          <w:vertAlign w:val="superscript"/>
        </w:rPr>
        <w:t xml:space="preserve">3</w:t>
      </w:r>
      <w:r>
        <w:rPr>
          <w:rFonts w:hint="eastAsia" w:cs="微软雅黑"/>
          <w:strike/>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1</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23"/>
          <w:rFonts w:hint="eastAsia" w:cs="微软雅黑"/>
          <w:strike/>
          <w:color w:val="auto"/>
          <w:highlight w:val="none"/>
          <w:u w:val="single"/>
          <w:shd w:val="clear" w:color="auto" w:fill="ffffff"/>
        </w:rPr>
        <w:t xml:space="preserve">（关键组件）</w:t>
      </w:r>
      <w:r>
        <w:rPr>
          <w:rStyle w:val="823"/>
          <w:rFonts w:hint="eastAsia"/>
          <w:color w:val="auto"/>
          <w:highlight w:val="none"/>
          <w:shd w:val="clear" w:color="auto" w:fill="ffffff"/>
          <w:vertAlign w:val="superscript"/>
        </w:rPr>
        <w:t xml:space="preserve">4</w:t>
      </w:r>
      <w:r>
        <w:rPr>
          <w:rFonts w:hint="eastAsia" w:cs="微软雅黑"/>
          <w:strike/>
          <w:color w:val="auto"/>
          <w:highlight w:val="none"/>
          <w:shd w:val="clear" w:color="auto" w:fill="ffffff"/>
        </w:rPr>
        <w:t xml:space="preserve">在中国境内生产。</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1</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23"/>
          <w:rFonts w:hint="eastAsia" w:cs="微软雅黑"/>
          <w:strike/>
          <w:color w:val="auto"/>
          <w:highlight w:val="none"/>
          <w:u w:val="single"/>
          <w:shd w:val="clear" w:color="auto" w:fill="ffffff"/>
        </w:rPr>
        <w:t xml:space="preserve">（关键工序）</w:t>
      </w:r>
      <w:r>
        <w:rPr>
          <w:rStyle w:val="823"/>
          <w:rFonts w:hint="eastAsia"/>
          <w:color w:val="auto"/>
          <w:highlight w:val="none"/>
          <w:shd w:val="clear" w:color="auto" w:fill="ffffff"/>
          <w:vertAlign w:val="superscript"/>
        </w:rPr>
        <w:t xml:space="preserve">5</w:t>
      </w:r>
      <w:r>
        <w:rPr>
          <w:rFonts w:hint="eastAsia" w:cs="微软雅黑"/>
          <w:strike/>
          <w:color w:val="auto"/>
          <w:highlight w:val="none"/>
          <w:shd w:val="clear" w:color="auto" w:fill="ffffff"/>
        </w:rPr>
        <w:t xml:space="preserve">在中国境内完成。</w:t>
      </w:r>
      <w:r/>
    </w:p>
    <w:p>
      <w:pPr>
        <w:pStyle w:val="816"/>
        <w:ind w:firstLine="420"/>
        <w:spacing w:before="24" w:beforeAutospacing="0" w:after="24" w:afterAutospacing="0" w:line="360" w:lineRule="auto"/>
        <w:shd w:val="clear" w:color="auto" w:fill="ffffff"/>
        <w:rPr>
          <w:strike/>
          <w:color w:val="auto"/>
          <w:highlight w:val="none"/>
        </w:rPr>
      </w:pPr>
      <w:r>
        <w:rPr>
          <w:rFonts w:hint="eastAsia"/>
          <w:color w:val="auto"/>
          <w:highlight w:val="none"/>
          <w:shd w:val="clear" w:color="auto" w:fill="ffffff"/>
        </w:rPr>
        <w:t xml:space="preserve">2.</w:t>
      </w:r>
      <w:r>
        <w:rPr>
          <w:rStyle w:val="823"/>
          <w:rFonts w:hint="eastAsia" w:cs="微软雅黑"/>
          <w:color w:val="auto"/>
          <w:highlight w:val="none"/>
          <w:u w:val="single"/>
          <w:shd w:val="clear" w:color="auto" w:fill="ffffff"/>
        </w:rPr>
        <w:t xml:space="preserve">（产品名称</w:t>
      </w:r>
      <w:r>
        <w:rPr>
          <w:rStyle w:val="823"/>
          <w:rFonts w:hint="eastAsia"/>
          <w:color w:val="auto"/>
          <w:highlight w:val="none"/>
          <w:u w:val="single"/>
          <w:shd w:val="clear" w:color="auto" w:fill="ffffff"/>
        </w:rPr>
        <w:t xml:space="preserve">2</w:t>
      </w:r>
      <w:r>
        <w:rPr>
          <w:rStyle w:val="823"/>
          <w:rFonts w:hint="eastAsia" w:cs="微软雅黑"/>
          <w:color w:val="auto"/>
          <w:highlight w:val="none"/>
          <w:u w:val="single"/>
          <w:shd w:val="clear" w:color="auto" w:fill="ffffff"/>
        </w:rPr>
        <w:t xml:space="preserve">）</w:t>
      </w:r>
      <w:r>
        <w:rPr>
          <w:rFonts w:hint="eastAsia" w:cs="微软雅黑"/>
          <w:color w:val="auto"/>
          <w:highlight w:val="none"/>
          <w:shd w:val="clear" w:color="auto" w:fill="ffffff"/>
        </w:rPr>
        <w:t xml:space="preserve">，生产厂为</w:t>
      </w:r>
      <w:r>
        <w:rPr>
          <w:rStyle w:val="823"/>
          <w:rFonts w:hint="eastAsia" w:cs="微软雅黑"/>
          <w:color w:val="auto"/>
          <w:highlight w:val="none"/>
          <w:u w:val="single"/>
          <w:shd w:val="clear" w:color="auto" w:fill="ffffff"/>
        </w:rPr>
        <w:t xml:space="preserve">（厂名）</w:t>
      </w:r>
      <w:r>
        <w:rPr>
          <w:rFonts w:hint="eastAsia" w:cs="微软雅黑"/>
          <w:color w:val="auto"/>
          <w:highlight w:val="none"/>
          <w:shd w:val="clear" w:color="auto" w:fill="ffffff"/>
        </w:rPr>
        <w:t xml:space="preserve">，厂址为</w:t>
      </w:r>
      <w:r>
        <w:rPr>
          <w:rStyle w:val="823"/>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2</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（规定比例）</w:t>
      </w:r>
      <w:r>
        <w:rPr>
          <w:rFonts w:hint="eastAsia" w:cs="微软雅黑"/>
          <w:strike/>
          <w:color w:val="auto"/>
          <w:highlight w:val="none"/>
          <w:shd w:val="clear" w:color="auto" w:fill="ffffff"/>
        </w:rPr>
        <w:t xml:space="preserve">。</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2</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23"/>
          <w:rFonts w:hint="eastAsia" w:cs="微软雅黑"/>
          <w:strike/>
          <w:color w:val="auto"/>
          <w:highlight w:val="none"/>
          <w:u w:val="single"/>
          <w:shd w:val="clear" w:color="auto" w:fill="ffffff"/>
        </w:rPr>
        <w:t xml:space="preserve">（关键组件）</w:t>
      </w:r>
      <w:r>
        <w:rPr>
          <w:rFonts w:hint="eastAsia" w:cs="微软雅黑"/>
          <w:strike/>
          <w:color w:val="auto"/>
          <w:highlight w:val="none"/>
          <w:shd w:val="clear" w:color="auto" w:fill="ffffff"/>
        </w:rPr>
        <w:t xml:space="preserve">在中国境内生产。</w:t>
      </w:r>
      <w:r>
        <w:rPr>
          <w:rStyle w:val="823"/>
          <w:rFonts w:hint="eastAsia" w:cs="微软雅黑"/>
          <w:strike/>
          <w:color w:val="auto"/>
          <w:highlight w:val="none"/>
          <w:u w:val="single"/>
          <w:shd w:val="clear" w:color="auto" w:fill="ffffff"/>
        </w:rPr>
        <w:t xml:space="preserve">（产品名称</w:t>
      </w:r>
      <w:r>
        <w:rPr>
          <w:rStyle w:val="823"/>
          <w:rFonts w:hint="eastAsia"/>
          <w:strike/>
          <w:color w:val="auto"/>
          <w:highlight w:val="none"/>
          <w:u w:val="single"/>
          <w:shd w:val="clear" w:color="auto" w:fill="ffffff"/>
        </w:rPr>
        <w:t xml:space="preserve">2</w:t>
      </w:r>
      <w:r>
        <w:rPr>
          <w:rStyle w:val="823"/>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23"/>
          <w:rFonts w:hint="eastAsia" w:cs="微软雅黑"/>
          <w:strike/>
          <w:color w:val="auto"/>
          <w:highlight w:val="none"/>
          <w:u w:val="single"/>
          <w:shd w:val="clear" w:color="auto" w:fill="ffffff"/>
        </w:rPr>
        <w:t xml:space="preserve">（关键工序）</w:t>
      </w:r>
      <w:r>
        <w:rPr>
          <w:rFonts w:hint="eastAsia" w:cs="微软雅黑"/>
          <w:strike/>
          <w:color w:val="auto"/>
          <w:highlight w:val="none"/>
          <w:shd w:val="clear" w:color="auto" w:fill="ffffff"/>
        </w:rPr>
        <w:t xml:space="preserve">在中国境内完成。</w:t>
      </w:r>
      <w:r/>
    </w:p>
    <w:p>
      <w:pPr>
        <w:pStyle w:val="816"/>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816"/>
        <w:ind w:firstLine="420"/>
        <w:spacing w:before="24" w:beforeAutospacing="0" w:after="24" w:afterAutospacing="0" w:line="360" w:lineRule="auto"/>
        <w:shd w:val="clear" w:color="auto" w:fill="ffffff"/>
        <w:rPr>
          <w:color w:val="auto"/>
          <w:highlight w:val="none"/>
          <w:shd w:val="clear" w:color="auto" w:fill="ffffff"/>
        </w:rPr>
      </w:pPr>
      <w:r>
        <w:rPr>
          <w:rFonts w:hint="eastAsia" w:cs="微软雅黑"/>
          <w:color w:val="auto"/>
          <w:highlight w:val="none"/>
          <w:shd w:val="clear" w:color="auto" w:fill="ffffff"/>
        </w:rPr>
        <w:t xml:space="preserve">本采购包中提供的符合本国产品标准的产品成本之和占该采购包提供的全部产品成本之和的比例为</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s="微软雅黑"/>
          <w:color w:val="auto"/>
          <w:highlight w:val="none"/>
          <w:shd w:val="clear" w:color="auto" w:fill="ffffff"/>
        </w:rPr>
        <w:t xml:space="preserve">。</w:t>
      </w:r>
      <w:r/>
    </w:p>
    <w:p>
      <w:pPr>
        <w:pStyle w:val="816"/>
        <w:ind w:firstLine="420"/>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本公司（单位）对上述声明内容的真实性负责。如有虚假，愿承担相应法律责任。</w:t>
      </w:r>
      <w:r/>
    </w:p>
    <w:p>
      <w:pPr>
        <w:pStyle w:val="816"/>
        <w:jc w:val="right"/>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公司（单位）名称（盖章）：　</w:t>
      </w:r>
      <w:r>
        <w:rPr>
          <w:rFonts w:hint="eastAsia"/>
          <w:color w:val="auto"/>
          <w:highlight w:val="none"/>
          <w:shd w:val="clear" w:color="auto" w:fill="ffffff"/>
        </w:rPr>
        <w:t xml:space="preserve">        </w:t>
      </w:r>
      <w:r/>
    </w:p>
    <w:p>
      <w:pPr>
        <w:pStyle w:val="816"/>
        <w:jc w:val="right"/>
        <w:spacing w:before="24" w:beforeAutospacing="0" w:after="24" w:afterAutospacing="0" w:line="360" w:lineRule="auto"/>
        <w:shd w:val="clear" w:color="auto" w:fill="ffffff"/>
        <w:rPr>
          <w:color w:val="auto"/>
          <w:sz w:val="28"/>
          <w:szCs w:val="28"/>
          <w:highlight w:val="none"/>
        </w:rPr>
      </w:pPr>
      <w:r>
        <w:rPr>
          <w:rFonts w:hint="eastAsia" w:cs="微软雅黑"/>
          <w:color w:val="auto"/>
          <w:highlight w:val="none"/>
          <w:shd w:val="clear" w:color="auto" w:fill="ffffff"/>
        </w:rPr>
        <w:t xml:space="preserve">日期：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年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月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日</w:t>
      </w:r>
      <w:r>
        <w:rPr>
          <w:rFonts w:hint="eastAsia"/>
          <w:color w:val="auto"/>
          <w:highlight w:val="none"/>
          <w:shd w:val="clear" w:color="auto" w:fill="ffffff"/>
        </w:rPr>
        <w:t xml:space="preserve">    </w:t>
      </w:r>
      <w:r>
        <w:rPr>
          <w:rFonts w:hint="eastAsia"/>
          <w:color w:val="auto"/>
          <w:sz w:val="28"/>
          <w:szCs w:val="28"/>
          <w:highlight w:val="none"/>
          <w:shd w:val="clear" w:color="auto" w:fill="ffffff"/>
        </w:rPr>
        <w:t xml:space="preserve">     </w:t>
      </w:r>
      <w:r/>
    </w:p>
    <w:p>
      <w:pPr>
        <w:pStyle w:val="816"/>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816"/>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Fonts w:hint="eastAsia" w:cs="微软雅黑"/>
          <w:color w:val="auto"/>
          <w:sz w:val="21"/>
          <w:szCs w:val="21"/>
          <w:highlight w:val="none"/>
          <w:shd w:val="clear" w:color="auto" w:fill="ffffff"/>
        </w:rPr>
        <w:t xml:space="preserve">产品如有型号，请在</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产品名称</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栏一并填写。</w:t>
      </w:r>
      <w:r/>
    </w:p>
    <w:p>
      <w:pPr>
        <w:pStyle w:val="816"/>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Fonts w:hint="eastAsia" w:cs="微软雅黑"/>
          <w:color w:val="auto"/>
          <w:sz w:val="21"/>
          <w:szCs w:val="21"/>
          <w:highlight w:val="none"/>
          <w:shd w:val="clear" w:color="auto" w:fill="ffffff"/>
        </w:rPr>
        <w:t xml:space="preserve">生产厂名与厂址应与生产厂营业执照载明的相关信息保持一致。</w:t>
      </w:r>
      <w:r/>
    </w:p>
    <w:p>
      <w:pPr>
        <w:pStyle w:val="816"/>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w:t>
      </w:r>
      <w:r>
        <w:rPr>
          <w:rFonts w:hint="eastAsia" w:cs="微软雅黑"/>
          <w:b/>
          <w:bCs/>
          <w:color w:val="auto"/>
          <w:sz w:val="21"/>
          <w:szCs w:val="21"/>
          <w:highlight w:val="none"/>
          <w:shd w:val="clear" w:color="auto" w:fill="ffffff"/>
        </w:rPr>
        <w:t xml:space="preserve">该产品的中国境内生产的组件成本占比相关要求实施前，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规定比例</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816"/>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w:t>
      </w:r>
      <w:r>
        <w:rPr>
          <w:rFonts w:hint="eastAsia" w:cs="微软雅黑"/>
          <w:b/>
          <w:bCs/>
          <w:color w:val="auto"/>
          <w:sz w:val="21"/>
          <w:szCs w:val="21"/>
          <w:highlight w:val="none"/>
          <w:shd w:val="clear" w:color="auto" w:fill="ffffff"/>
        </w:rPr>
        <w:t xml:space="preserve">该产品的关键组件要求实施前，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关键组件</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816"/>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w:t>
      </w:r>
      <w:r>
        <w:rPr>
          <w:rFonts w:hint="eastAsia" w:cs="微软雅黑"/>
          <w:b/>
          <w:bCs/>
          <w:color w:val="auto"/>
          <w:sz w:val="21"/>
          <w:szCs w:val="21"/>
          <w:highlight w:val="none"/>
          <w:shd w:val="clear" w:color="auto" w:fill="ffffff"/>
        </w:rPr>
        <w:t xml:space="preserve">该产品的关键工序要求实施前，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关键工序</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816"/>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6.</w:t>
      </w:r>
      <w:r>
        <w:rPr>
          <w:rFonts w:hint="eastAsia"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auto"/>
          <w:sz w:val="21"/>
          <w:szCs w:val="21"/>
          <w:highlight w:val="none"/>
          <w:shd w:val="clear" w:color="auto" w:fill="ffffff"/>
        </w:rPr>
        <w:t xml:space="preserve">20%</w:t>
      </w:r>
      <w:r>
        <w:rPr>
          <w:rFonts w:hint="eastAsia" w:cs="微软雅黑"/>
          <w:color w:val="auto"/>
          <w:sz w:val="21"/>
          <w:szCs w:val="21"/>
          <w:highlight w:val="none"/>
          <w:shd w:val="clear" w:color="auto" w:fill="ffffff"/>
        </w:rPr>
        <w:t xml:space="preserve">的价格扣除，用扣除后的价格参与评审。供应商未填写比例数值，或比例数值未达到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的，将不享受本国产品价格评审优惠。</w:t>
      </w:r>
      <w:bookmarkEnd w:id="46"/>
      <w:r/>
      <w:r/>
    </w:p>
    <w:p>
      <w:pPr>
        <w:pStyle w:val="1001"/>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26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26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48</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220" cy="236220"/>
              <wp:effectExtent l="0" t="0" r="0" b="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c826bae80687e3a7b3b8bc243736336"/>
                      <pic:cNvPicPr>
                        <a:picLocks noChangeAspect="1"/>
                      </pic:cNvPicPr>
                      <pic:nvPr/>
                    </pic:nvPicPr>
                    <pic:blipFill>
                      <a:blip r:embed="rId1"/>
                      <a:stretch/>
                    </pic:blipFill>
                    <pic:spPr bwMode="auto">
                      <a:xfrm>
                        <a:off x="0" y="0"/>
                        <a:ext cx="137922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9"/>
    <w:link w:val="780"/>
    <w:uiPriority w:val="9"/>
    <w:rPr>
      <w:rFonts w:ascii="Arial" w:hAnsi="Arial" w:eastAsia="Arial" w:cs="Arial"/>
      <w:sz w:val="40"/>
      <w:szCs w:val="40"/>
    </w:rPr>
  </w:style>
  <w:style w:type="character" w:styleId="743">
    <w:name w:val="Heading 2 Char"/>
    <w:basedOn w:val="789"/>
    <w:link w:val="781"/>
    <w:uiPriority w:val="9"/>
    <w:rPr>
      <w:rFonts w:ascii="Arial" w:hAnsi="Arial" w:eastAsia="Arial" w:cs="Arial"/>
      <w:sz w:val="34"/>
    </w:rPr>
  </w:style>
  <w:style w:type="character" w:styleId="744">
    <w:name w:val="Heading 3 Char"/>
    <w:basedOn w:val="789"/>
    <w:link w:val="782"/>
    <w:uiPriority w:val="9"/>
    <w:rPr>
      <w:rFonts w:ascii="Arial" w:hAnsi="Arial" w:eastAsia="Arial" w:cs="Arial"/>
      <w:sz w:val="30"/>
      <w:szCs w:val="30"/>
    </w:rPr>
  </w:style>
  <w:style w:type="character" w:styleId="745">
    <w:name w:val="Heading 4 Char"/>
    <w:basedOn w:val="789"/>
    <w:link w:val="783"/>
    <w:uiPriority w:val="9"/>
    <w:rPr>
      <w:rFonts w:ascii="Arial" w:hAnsi="Arial" w:eastAsia="Arial" w:cs="Arial"/>
      <w:b/>
      <w:bCs/>
      <w:sz w:val="26"/>
      <w:szCs w:val="26"/>
    </w:rPr>
  </w:style>
  <w:style w:type="character" w:styleId="746">
    <w:name w:val="Heading 5 Char"/>
    <w:basedOn w:val="789"/>
    <w:link w:val="784"/>
    <w:uiPriority w:val="9"/>
    <w:rPr>
      <w:rFonts w:ascii="Arial" w:hAnsi="Arial" w:eastAsia="Arial" w:cs="Arial"/>
      <w:b/>
      <w:bCs/>
      <w:sz w:val="24"/>
      <w:szCs w:val="24"/>
    </w:rPr>
  </w:style>
  <w:style w:type="character" w:styleId="747">
    <w:name w:val="Heading 6 Char"/>
    <w:basedOn w:val="789"/>
    <w:link w:val="785"/>
    <w:uiPriority w:val="9"/>
    <w:rPr>
      <w:rFonts w:ascii="Arial" w:hAnsi="Arial" w:eastAsia="Arial" w:cs="Arial"/>
      <w:b/>
      <w:bCs/>
      <w:sz w:val="22"/>
      <w:szCs w:val="22"/>
    </w:rPr>
  </w:style>
  <w:style w:type="character" w:styleId="748">
    <w:name w:val="Heading 7 Char"/>
    <w:basedOn w:val="789"/>
    <w:link w:val="786"/>
    <w:uiPriority w:val="9"/>
    <w:rPr>
      <w:rFonts w:ascii="Arial" w:hAnsi="Arial" w:eastAsia="Arial" w:cs="Arial"/>
      <w:b/>
      <w:bCs/>
      <w:i/>
      <w:iCs/>
      <w:sz w:val="22"/>
      <w:szCs w:val="22"/>
    </w:rPr>
  </w:style>
  <w:style w:type="character" w:styleId="749">
    <w:name w:val="Heading 8 Char"/>
    <w:basedOn w:val="789"/>
    <w:link w:val="787"/>
    <w:uiPriority w:val="9"/>
    <w:rPr>
      <w:rFonts w:ascii="Arial" w:hAnsi="Arial" w:eastAsia="Arial" w:cs="Arial"/>
      <w:i/>
      <w:iCs/>
      <w:sz w:val="22"/>
      <w:szCs w:val="22"/>
    </w:rPr>
  </w:style>
  <w:style w:type="character" w:styleId="750">
    <w:name w:val="Heading 9 Char"/>
    <w:basedOn w:val="789"/>
    <w:link w:val="788"/>
    <w:uiPriority w:val="9"/>
    <w:rPr>
      <w:rFonts w:ascii="Arial" w:hAnsi="Arial" w:eastAsia="Arial" w:cs="Arial"/>
      <w:i/>
      <w:iCs/>
      <w:sz w:val="21"/>
      <w:szCs w:val="21"/>
    </w:rPr>
  </w:style>
  <w:style w:type="character" w:styleId="751">
    <w:name w:val="Title Char"/>
    <w:basedOn w:val="789"/>
    <w:link w:val="817"/>
    <w:uiPriority w:val="10"/>
    <w:rPr>
      <w:sz w:val="48"/>
      <w:szCs w:val="48"/>
    </w:rPr>
  </w:style>
  <w:style w:type="character" w:styleId="752">
    <w:name w:val="Subtitle Char"/>
    <w:basedOn w:val="789"/>
    <w:link w:val="810"/>
    <w:uiPriority w:val="11"/>
    <w:rPr>
      <w:sz w:val="24"/>
      <w:szCs w:val="24"/>
    </w:rPr>
  </w:style>
  <w:style w:type="character" w:styleId="753">
    <w:name w:val="Quote Char"/>
    <w:link w:val="848"/>
    <w:uiPriority w:val="29"/>
    <w:rPr>
      <w:i/>
    </w:rPr>
  </w:style>
  <w:style w:type="character" w:styleId="754">
    <w:name w:val="Intense Quote Char"/>
    <w:link w:val="850"/>
    <w:uiPriority w:val="30"/>
    <w:rPr>
      <w:i/>
    </w:rPr>
  </w:style>
  <w:style w:type="character" w:styleId="755">
    <w:name w:val="Header Char"/>
    <w:basedOn w:val="789"/>
    <w:link w:val="807"/>
    <w:uiPriority w:val="99"/>
  </w:style>
  <w:style w:type="character" w:styleId="756">
    <w:name w:val="Caption Char"/>
    <w:basedOn w:val="793"/>
    <w:link w:val="806"/>
    <w:uiPriority w:val="99"/>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11"/>
    <w:uiPriority w:val="99"/>
    <w:rPr>
      <w:sz w:val="18"/>
    </w:rPr>
  </w:style>
  <w:style w:type="character" w:styleId="777">
    <w:name w:val="Endnote Text Char"/>
    <w:link w:val="804"/>
    <w:uiPriority w:val="99"/>
    <w:rPr>
      <w:sz w:val="20"/>
    </w:rPr>
  </w:style>
  <w:style w:type="paragraph" w:styleId="778">
    <w:name w:val="TOC Heading"/>
    <w:uiPriority w:val="39"/>
    <w:unhideWhenUsed/>
  </w:style>
  <w:style w:type="paragraph" w:styleId="779" w:default="1">
    <w:name w:val="Normal"/>
    <w:uiPriority w:val="1"/>
    <w:qFormat/>
    <w:pPr>
      <w:widowControl w:val="off"/>
    </w:pPr>
    <w:rPr>
      <w:rFonts w:ascii="宋体" w:hAnsi="宋体" w:eastAsia="宋体" w:cs="宋体"/>
      <w:sz w:val="22"/>
      <w:szCs w:val="22"/>
      <w:lang w:val="zh-CN" w:eastAsia="zh-CN" w:bidi="zh-CN"/>
    </w:rPr>
  </w:style>
  <w:style w:type="paragraph" w:styleId="780">
    <w:name w:val="Heading 1"/>
    <w:basedOn w:val="779"/>
    <w:next w:val="779"/>
    <w:link w:val="827"/>
    <w:uiPriority w:val="1"/>
    <w:qFormat/>
    <w:pPr>
      <w:ind w:right="35"/>
      <w:jc w:val="center"/>
      <w:outlineLvl w:val="0"/>
    </w:pPr>
    <w:rPr>
      <w:b/>
      <w:bCs/>
      <w:sz w:val="72"/>
      <w:szCs w:val="72"/>
    </w:rPr>
  </w:style>
  <w:style w:type="paragraph" w:styleId="781">
    <w:name w:val="Heading 2"/>
    <w:basedOn w:val="779"/>
    <w:next w:val="779"/>
    <w:link w:val="1013"/>
    <w:uiPriority w:val="1"/>
    <w:qFormat/>
    <w:pPr>
      <w:ind w:left="218"/>
      <w:outlineLvl w:val="1"/>
    </w:pPr>
    <w:rPr>
      <w:b/>
      <w:bCs/>
      <w:sz w:val="32"/>
      <w:szCs w:val="32"/>
    </w:rPr>
  </w:style>
  <w:style w:type="paragraph" w:styleId="782">
    <w:name w:val="Heading 3"/>
    <w:basedOn w:val="779"/>
    <w:next w:val="779"/>
    <w:link w:val="829"/>
    <w:uiPriority w:val="1"/>
    <w:qFormat/>
    <w:pPr>
      <w:ind w:left="218"/>
      <w:outlineLvl w:val="2"/>
    </w:pPr>
    <w:rPr>
      <w:sz w:val="28"/>
      <w:szCs w:val="28"/>
    </w:rPr>
  </w:style>
  <w:style w:type="paragraph" w:styleId="783">
    <w:name w:val="Heading 4"/>
    <w:basedOn w:val="779"/>
    <w:next w:val="779"/>
    <w:link w:val="830"/>
    <w:uiPriority w:val="1"/>
    <w:qFormat/>
    <w:pPr>
      <w:ind w:left="218"/>
      <w:outlineLvl w:val="3"/>
    </w:pPr>
    <w:rPr>
      <w:sz w:val="24"/>
      <w:szCs w:val="24"/>
    </w:rPr>
  </w:style>
  <w:style w:type="paragraph" w:styleId="784">
    <w:name w:val="Heading 5"/>
    <w:basedOn w:val="779"/>
    <w:next w:val="779"/>
    <w:link w:val="831"/>
    <w:uiPriority w:val="9"/>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32"/>
    <w:uiPriority w:val="9"/>
    <w:qFormat/>
    <w:pPr>
      <w:keepLines/>
      <w:keepNext/>
      <w:spacing w:before="320" w:after="200"/>
      <w:outlineLvl w:val="5"/>
    </w:pPr>
    <w:rPr>
      <w:rFonts w:ascii="Arial" w:hAnsi="Arial" w:eastAsia="Arial" w:cs="Arial"/>
      <w:b/>
      <w:bCs/>
    </w:rPr>
  </w:style>
  <w:style w:type="paragraph" w:styleId="786">
    <w:name w:val="Heading 7"/>
    <w:basedOn w:val="779"/>
    <w:next w:val="779"/>
    <w:link w:val="833"/>
    <w:uiPriority w:val="9"/>
    <w:qFormat/>
    <w:pPr>
      <w:keepLines/>
      <w:keepNext/>
      <w:spacing w:before="320" w:after="200"/>
      <w:outlineLvl w:val="6"/>
    </w:pPr>
    <w:rPr>
      <w:rFonts w:ascii="Arial" w:hAnsi="Arial" w:eastAsia="Arial" w:cs="Arial"/>
      <w:b/>
      <w:bCs/>
      <w:i/>
      <w:iCs/>
    </w:rPr>
  </w:style>
  <w:style w:type="paragraph" w:styleId="787">
    <w:name w:val="Heading 8"/>
    <w:basedOn w:val="779"/>
    <w:next w:val="779"/>
    <w:link w:val="834"/>
    <w:uiPriority w:val="9"/>
    <w:qFormat/>
    <w:pPr>
      <w:keepLines/>
      <w:keepNext/>
      <w:spacing w:before="320" w:after="200"/>
      <w:outlineLvl w:val="7"/>
    </w:pPr>
    <w:rPr>
      <w:rFonts w:ascii="Arial" w:hAnsi="Arial" w:eastAsia="Arial" w:cs="Arial"/>
      <w:i/>
      <w:iCs/>
    </w:rPr>
  </w:style>
  <w:style w:type="paragraph" w:styleId="788">
    <w:name w:val="Heading 9"/>
    <w:basedOn w:val="779"/>
    <w:next w:val="779"/>
    <w:link w:val="835"/>
    <w:uiPriority w:val="9"/>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Normal Indent"/>
    <w:basedOn w:val="779"/>
    <w:uiPriority w:val="0"/>
    <w:qFormat/>
    <w:pPr>
      <w:ind w:firstLine="420"/>
      <w:spacing w:line="360" w:lineRule="auto"/>
    </w:pPr>
    <w:rPr>
      <w:rFonts w:ascii="Times New Roman" w:hAnsi="Times New Roman"/>
      <w:sz w:val="24"/>
      <w:szCs w:val="21"/>
    </w:rPr>
  </w:style>
  <w:style w:type="paragraph" w:styleId="793">
    <w:name w:val="Caption"/>
    <w:basedOn w:val="779"/>
    <w:next w:val="779"/>
    <w:uiPriority w:val="35"/>
    <w:qFormat/>
    <w:pPr>
      <w:spacing w:line="276" w:lineRule="auto"/>
    </w:pPr>
    <w:rPr>
      <w:b/>
      <w:bCs/>
      <w:color w:val="4f81bd"/>
      <w:sz w:val="18"/>
      <w:szCs w:val="18"/>
    </w:rPr>
  </w:style>
  <w:style w:type="paragraph" w:styleId="794">
    <w:name w:val="annotation text"/>
    <w:basedOn w:val="779"/>
    <w:link w:val="836"/>
    <w:uiPriority w:val="0"/>
    <w:qFormat/>
  </w:style>
  <w:style w:type="paragraph" w:styleId="795">
    <w:name w:val="Body Text"/>
    <w:basedOn w:val="779"/>
    <w:next w:val="779"/>
    <w:uiPriority w:val="1"/>
    <w:qFormat/>
    <w:rPr>
      <w:sz w:val="21"/>
      <w:szCs w:val="21"/>
    </w:rPr>
  </w:style>
  <w:style w:type="paragraph" w:styleId="796">
    <w:name w:val="Body Text Indent"/>
    <w:basedOn w:val="779"/>
    <w:uiPriority w:val="0"/>
    <w:qFormat/>
    <w:pPr>
      <w:ind w:firstLine="301"/>
      <w:spacing w:line="200" w:lineRule="exact"/>
    </w:pPr>
    <w:rPr>
      <w:rFonts w:hAnsi="Courier New"/>
      <w:spacing w:val="-4"/>
      <w:sz w:val="18"/>
      <w:szCs w:val="20"/>
    </w:rPr>
  </w:style>
  <w:style w:type="paragraph" w:styleId="797">
    <w:name w:val="Block Text"/>
    <w:basedOn w:val="779"/>
    <w:uiPriority w:val="99"/>
    <w:unhideWhenUsed/>
    <w:qFormat/>
    <w:pPr>
      <w:ind w:left="1440" w:right="1440"/>
      <w:spacing w:after="120"/>
    </w:pPr>
  </w:style>
  <w:style w:type="paragraph" w:styleId="798">
    <w:name w:val="index 4"/>
    <w:basedOn w:val="779"/>
    <w:next w:val="779"/>
    <w:uiPriority w:val="0"/>
    <w:unhideWhenUsed/>
    <w:qFormat/>
    <w:pPr>
      <w:ind w:left="600"/>
    </w:pPr>
    <w:rPr>
      <w:b/>
      <w:position w:val="-10"/>
      <w:sz w:val="24"/>
      <w:szCs w:val="20"/>
    </w:rPr>
  </w:style>
  <w:style w:type="paragraph" w:styleId="799">
    <w:name w:val="toc 5"/>
    <w:basedOn w:val="779"/>
    <w:next w:val="779"/>
    <w:uiPriority w:val="39"/>
    <w:unhideWhenUsed/>
    <w:qFormat/>
    <w:pPr>
      <w:ind w:left="1134"/>
      <w:spacing w:after="57"/>
    </w:pPr>
  </w:style>
  <w:style w:type="paragraph" w:styleId="800">
    <w:name w:val="toc 3"/>
    <w:basedOn w:val="779"/>
    <w:next w:val="779"/>
    <w:uiPriority w:val="39"/>
    <w:unhideWhenUsed/>
    <w:qFormat/>
    <w:pPr>
      <w:ind w:left="567"/>
      <w:spacing w:after="57"/>
    </w:pPr>
  </w:style>
  <w:style w:type="paragraph" w:styleId="801">
    <w:name w:val="Plain Text"/>
    <w:basedOn w:val="779"/>
    <w:link w:val="837"/>
    <w:uiPriority w:val="0"/>
    <w:unhideWhenUsed/>
    <w:qFormat/>
    <w:rPr>
      <w:rFonts w:hAnsi="Courier New"/>
    </w:rPr>
  </w:style>
  <w:style w:type="paragraph" w:styleId="802">
    <w:name w:val="toc 8"/>
    <w:basedOn w:val="779"/>
    <w:next w:val="779"/>
    <w:uiPriority w:val="39"/>
    <w:unhideWhenUsed/>
    <w:qFormat/>
    <w:pPr>
      <w:ind w:left="1984"/>
      <w:spacing w:after="57"/>
    </w:pPr>
  </w:style>
  <w:style w:type="paragraph" w:styleId="803">
    <w:name w:val="Date"/>
    <w:basedOn w:val="779"/>
    <w:next w:val="779"/>
    <w:uiPriority w:val="0"/>
    <w:qFormat/>
    <w:pPr>
      <w:ind w:left="100"/>
    </w:pPr>
    <w:rPr>
      <w:rFonts w:ascii="Times New Roman" w:hAnsi="Times New Roman" w:cs="Times New Roman"/>
      <w:sz w:val="28"/>
    </w:rPr>
  </w:style>
  <w:style w:type="paragraph" w:styleId="804">
    <w:name w:val="endnote text"/>
    <w:basedOn w:val="779"/>
    <w:link w:val="838"/>
    <w:uiPriority w:val="99"/>
    <w:unhideWhenUsed/>
    <w:qFormat/>
    <w:rPr>
      <w:sz w:val="20"/>
    </w:rPr>
  </w:style>
  <w:style w:type="paragraph" w:styleId="805">
    <w:name w:val="Balloon Text"/>
    <w:basedOn w:val="779"/>
    <w:link w:val="839"/>
    <w:uiPriority w:val="0"/>
    <w:qFormat/>
    <w:rPr>
      <w:sz w:val="18"/>
      <w:szCs w:val="18"/>
    </w:rPr>
  </w:style>
  <w:style w:type="paragraph" w:styleId="806">
    <w:name w:val="Footer"/>
    <w:basedOn w:val="779"/>
    <w:link w:val="840"/>
    <w:uiPriority w:val="0"/>
    <w:qFormat/>
    <w:pPr>
      <w:tabs>
        <w:tab w:val="center" w:pos="4153" w:leader="none"/>
        <w:tab w:val="right" w:pos="8306" w:leader="none"/>
      </w:tabs>
    </w:pPr>
    <w:rPr>
      <w:sz w:val="18"/>
    </w:rPr>
  </w:style>
  <w:style w:type="paragraph" w:styleId="807">
    <w:name w:val="Header"/>
    <w:basedOn w:val="779"/>
    <w:link w:val="84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8">
    <w:name w:val="toc 1"/>
    <w:basedOn w:val="779"/>
    <w:next w:val="779"/>
    <w:uiPriority w:val="0"/>
    <w:qFormat/>
  </w:style>
  <w:style w:type="paragraph" w:styleId="809">
    <w:name w:val="toc 4"/>
    <w:basedOn w:val="779"/>
    <w:next w:val="779"/>
    <w:uiPriority w:val="39"/>
    <w:unhideWhenUsed/>
    <w:qFormat/>
    <w:pPr>
      <w:ind w:left="850"/>
      <w:spacing w:after="57"/>
    </w:pPr>
  </w:style>
  <w:style w:type="paragraph" w:styleId="810">
    <w:name w:val="Subtitle"/>
    <w:basedOn w:val="779"/>
    <w:next w:val="779"/>
    <w:link w:val="842"/>
    <w:uiPriority w:val="11"/>
    <w:qFormat/>
    <w:pPr>
      <w:spacing w:before="200" w:after="200"/>
    </w:pPr>
    <w:rPr>
      <w:sz w:val="24"/>
      <w:szCs w:val="24"/>
    </w:rPr>
  </w:style>
  <w:style w:type="paragraph" w:styleId="811">
    <w:name w:val="footnote text"/>
    <w:basedOn w:val="779"/>
    <w:link w:val="843"/>
    <w:uiPriority w:val="99"/>
    <w:unhideWhenUsed/>
    <w:qFormat/>
    <w:pPr>
      <w:spacing w:after="40"/>
    </w:pPr>
    <w:rPr>
      <w:sz w:val="18"/>
    </w:rPr>
  </w:style>
  <w:style w:type="paragraph" w:styleId="812">
    <w:name w:val="toc 6"/>
    <w:basedOn w:val="779"/>
    <w:next w:val="779"/>
    <w:uiPriority w:val="39"/>
    <w:unhideWhenUsed/>
    <w:qFormat/>
    <w:pPr>
      <w:ind w:left="1417"/>
      <w:spacing w:after="57"/>
    </w:pPr>
  </w:style>
  <w:style w:type="paragraph" w:styleId="813">
    <w:name w:val="table of figures"/>
    <w:basedOn w:val="779"/>
    <w:next w:val="779"/>
    <w:uiPriority w:val="99"/>
    <w:unhideWhenUsed/>
    <w:qFormat/>
  </w:style>
  <w:style w:type="paragraph" w:styleId="814">
    <w:name w:val="toc 2"/>
    <w:basedOn w:val="779"/>
    <w:next w:val="779"/>
    <w:uiPriority w:val="39"/>
    <w:unhideWhenUsed/>
    <w:qFormat/>
    <w:pPr>
      <w:ind w:left="283"/>
      <w:spacing w:after="57"/>
    </w:pPr>
  </w:style>
  <w:style w:type="paragraph" w:styleId="815">
    <w:name w:val="toc 9"/>
    <w:basedOn w:val="779"/>
    <w:next w:val="779"/>
    <w:uiPriority w:val="39"/>
    <w:unhideWhenUsed/>
    <w:qFormat/>
    <w:pPr>
      <w:ind w:left="2268"/>
      <w:spacing w:after="57"/>
    </w:pPr>
  </w:style>
  <w:style w:type="paragraph" w:styleId="816">
    <w:name w:val="Normal (Web)"/>
    <w:basedOn w:val="779"/>
    <w:uiPriority w:val="0"/>
    <w:qFormat/>
    <w:pPr>
      <w:spacing w:before="100" w:beforeAutospacing="1" w:after="100" w:afterAutospacing="1"/>
      <w:widowControl/>
    </w:pPr>
    <w:rPr>
      <w:sz w:val="24"/>
      <w:szCs w:val="24"/>
    </w:rPr>
  </w:style>
  <w:style w:type="paragraph" w:styleId="817">
    <w:name w:val="Title"/>
    <w:basedOn w:val="779"/>
    <w:next w:val="779"/>
    <w:link w:val="844"/>
    <w:uiPriority w:val="10"/>
    <w:qFormat/>
    <w:pPr>
      <w:contextualSpacing/>
      <w:spacing w:before="300" w:after="200"/>
    </w:pPr>
    <w:rPr>
      <w:sz w:val="48"/>
      <w:szCs w:val="48"/>
    </w:rPr>
  </w:style>
  <w:style w:type="paragraph" w:styleId="818">
    <w:name w:val="annotation subject"/>
    <w:basedOn w:val="794"/>
    <w:next w:val="794"/>
    <w:link w:val="845"/>
    <w:uiPriority w:val="0"/>
    <w:qFormat/>
    <w:rPr>
      <w:b/>
      <w:bCs/>
    </w:rPr>
  </w:style>
  <w:style w:type="paragraph" w:styleId="819">
    <w:name w:val="Body Text First Indent 2"/>
    <w:basedOn w:val="796"/>
    <w:uiPriority w:val="0"/>
    <w:unhideWhenUsed/>
    <w:qFormat/>
    <w:pPr>
      <w:ind w:left="420" w:firstLine="420"/>
      <w:spacing w:after="120" w:line="360" w:lineRule="auto"/>
    </w:pPr>
    <w:rPr>
      <w:sz w:val="24"/>
    </w:rPr>
  </w:style>
  <w:style w:type="table" w:styleId="820">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uiPriority w:val="0"/>
    <w:qFormat/>
    <w:rPr>
      <w:b/>
    </w:rPr>
  </w:style>
  <w:style w:type="character" w:styleId="822">
    <w:name w:val="endnote reference"/>
    <w:uiPriority w:val="99"/>
    <w:unhideWhenUsed/>
    <w:qFormat/>
    <w:rPr>
      <w:vertAlign w:val="superscript"/>
    </w:rPr>
  </w:style>
  <w:style w:type="character" w:styleId="823">
    <w:name w:val="Emphasis"/>
    <w:uiPriority w:val="0"/>
    <w:qFormat/>
    <w:rPr>
      <w:i/>
    </w:rPr>
  </w:style>
  <w:style w:type="character" w:styleId="824">
    <w:name w:val="Hyperlink"/>
    <w:uiPriority w:val="0"/>
    <w:unhideWhenUsed/>
    <w:qFormat/>
    <w:rPr>
      <w:color w:val="0000ff"/>
      <w:u w:val="single"/>
    </w:rPr>
  </w:style>
  <w:style w:type="character" w:styleId="825">
    <w:name w:val="annotation reference"/>
    <w:uiPriority w:val="0"/>
    <w:qFormat/>
    <w:rPr>
      <w:sz w:val="21"/>
      <w:szCs w:val="21"/>
    </w:rPr>
  </w:style>
  <w:style w:type="character" w:styleId="826">
    <w:name w:val="footnote reference"/>
    <w:uiPriority w:val="99"/>
    <w:unhideWhenUsed/>
    <w:qFormat/>
    <w:rPr>
      <w:vertAlign w:val="superscript"/>
    </w:rPr>
  </w:style>
  <w:style w:type="character" w:styleId="827" w:customStyle="1">
    <w:name w:val="标题 1 字符"/>
    <w:link w:val="780"/>
    <w:uiPriority w:val="9"/>
    <w:qFormat/>
    <w:rPr>
      <w:rFonts w:ascii="Arial" w:hAnsi="Arial" w:eastAsia="Arial" w:cs="Arial"/>
      <w:sz w:val="40"/>
      <w:szCs w:val="40"/>
    </w:rPr>
  </w:style>
  <w:style w:type="character" w:styleId="828" w:customStyle="1">
    <w:name w:val="标题 2 字符"/>
    <w:uiPriority w:val="9"/>
    <w:qFormat/>
    <w:rPr>
      <w:rFonts w:ascii="Arial" w:hAnsi="Arial" w:eastAsia="Arial" w:cs="Arial"/>
      <w:sz w:val="34"/>
    </w:rPr>
  </w:style>
  <w:style w:type="character" w:styleId="829" w:customStyle="1">
    <w:name w:val="标题 3 字符"/>
    <w:link w:val="782"/>
    <w:uiPriority w:val="9"/>
    <w:qFormat/>
    <w:rPr>
      <w:rFonts w:ascii="Arial" w:hAnsi="Arial" w:eastAsia="Arial" w:cs="Arial"/>
      <w:sz w:val="30"/>
      <w:szCs w:val="30"/>
    </w:rPr>
  </w:style>
  <w:style w:type="character" w:styleId="830" w:customStyle="1">
    <w:name w:val="标题 4 字符"/>
    <w:link w:val="783"/>
    <w:uiPriority w:val="9"/>
    <w:qFormat/>
    <w:rPr>
      <w:rFonts w:ascii="Arial" w:hAnsi="Arial" w:eastAsia="Arial" w:cs="Arial"/>
      <w:b/>
      <w:bCs/>
      <w:sz w:val="26"/>
      <w:szCs w:val="26"/>
    </w:rPr>
  </w:style>
  <w:style w:type="character" w:styleId="831" w:customStyle="1">
    <w:name w:val="标题 5 字符"/>
    <w:link w:val="784"/>
    <w:uiPriority w:val="9"/>
    <w:qFormat/>
    <w:rPr>
      <w:rFonts w:ascii="Arial" w:hAnsi="Arial" w:eastAsia="Arial" w:cs="Arial"/>
      <w:b/>
      <w:bCs/>
      <w:sz w:val="24"/>
      <w:szCs w:val="24"/>
    </w:rPr>
  </w:style>
  <w:style w:type="character" w:styleId="832" w:customStyle="1">
    <w:name w:val="标题 6 字符"/>
    <w:link w:val="785"/>
    <w:uiPriority w:val="9"/>
    <w:qFormat/>
    <w:rPr>
      <w:rFonts w:ascii="Arial" w:hAnsi="Arial" w:eastAsia="Arial" w:cs="Arial"/>
      <w:b/>
      <w:bCs/>
      <w:sz w:val="22"/>
      <w:szCs w:val="22"/>
    </w:rPr>
  </w:style>
  <w:style w:type="character" w:styleId="833" w:customStyle="1">
    <w:name w:val="标题 7 字符"/>
    <w:link w:val="786"/>
    <w:uiPriority w:val="9"/>
    <w:qFormat/>
    <w:rPr>
      <w:rFonts w:ascii="Arial" w:hAnsi="Arial" w:eastAsia="Arial" w:cs="Arial"/>
      <w:b/>
      <w:bCs/>
      <w:i/>
      <w:iCs/>
      <w:sz w:val="22"/>
      <w:szCs w:val="22"/>
    </w:rPr>
  </w:style>
  <w:style w:type="character" w:styleId="834" w:customStyle="1">
    <w:name w:val="标题 8 字符"/>
    <w:link w:val="787"/>
    <w:uiPriority w:val="9"/>
    <w:qFormat/>
    <w:rPr>
      <w:rFonts w:ascii="Arial" w:hAnsi="Arial" w:eastAsia="Arial" w:cs="Arial"/>
      <w:i/>
      <w:iCs/>
      <w:sz w:val="22"/>
      <w:szCs w:val="22"/>
    </w:rPr>
  </w:style>
  <w:style w:type="character" w:styleId="835" w:customStyle="1">
    <w:name w:val="标题 9 字符"/>
    <w:link w:val="788"/>
    <w:uiPriority w:val="9"/>
    <w:qFormat/>
    <w:rPr>
      <w:rFonts w:ascii="Arial" w:hAnsi="Arial" w:eastAsia="Arial" w:cs="Arial"/>
      <w:i/>
      <w:iCs/>
      <w:sz w:val="21"/>
      <w:szCs w:val="21"/>
    </w:rPr>
  </w:style>
  <w:style w:type="character" w:styleId="836" w:customStyle="1">
    <w:name w:val="批注文字 字符"/>
    <w:link w:val="794"/>
    <w:uiPriority w:val="0"/>
    <w:qFormat/>
    <w:rPr>
      <w:rFonts w:ascii="宋体" w:hAnsi="宋体" w:cs="宋体"/>
      <w:sz w:val="22"/>
      <w:szCs w:val="22"/>
      <w:lang w:val="zh-CN" w:bidi="zh-CN"/>
    </w:rPr>
  </w:style>
  <w:style w:type="character" w:styleId="837" w:customStyle="1">
    <w:name w:val="纯文本 字符"/>
    <w:link w:val="801"/>
    <w:uiPriority w:val="99"/>
    <w:qFormat/>
    <w:rPr>
      <w:rFonts w:ascii="宋体" w:hAnsi="Courier New" w:cs="宋体"/>
      <w:sz w:val="22"/>
      <w:szCs w:val="22"/>
      <w:lang w:val="zh-CN" w:bidi="zh-CN"/>
    </w:rPr>
  </w:style>
  <w:style w:type="character" w:styleId="838" w:customStyle="1">
    <w:name w:val="尾注文本 字符"/>
    <w:link w:val="804"/>
    <w:uiPriority w:val="99"/>
    <w:qFormat/>
    <w:rPr>
      <w:sz w:val="20"/>
    </w:rPr>
  </w:style>
  <w:style w:type="character" w:styleId="839" w:customStyle="1">
    <w:name w:val="批注框文本 字符"/>
    <w:link w:val="805"/>
    <w:uiPriority w:val="0"/>
    <w:qFormat/>
    <w:rPr>
      <w:rFonts w:ascii="宋体" w:hAnsi="宋体" w:cs="宋体"/>
      <w:sz w:val="18"/>
      <w:szCs w:val="18"/>
      <w:lang w:val="zh-CN" w:bidi="zh-CN"/>
    </w:rPr>
  </w:style>
  <w:style w:type="character" w:styleId="840" w:customStyle="1">
    <w:name w:val="页脚 字符"/>
    <w:link w:val="806"/>
    <w:uiPriority w:val="99"/>
    <w:qFormat/>
  </w:style>
  <w:style w:type="character" w:styleId="841" w:customStyle="1">
    <w:name w:val="页眉 字符"/>
    <w:link w:val="807"/>
    <w:uiPriority w:val="99"/>
    <w:qFormat/>
  </w:style>
  <w:style w:type="character" w:styleId="842" w:customStyle="1">
    <w:name w:val="副标题 字符"/>
    <w:link w:val="810"/>
    <w:uiPriority w:val="11"/>
    <w:qFormat/>
    <w:rPr>
      <w:sz w:val="24"/>
      <w:szCs w:val="24"/>
    </w:rPr>
  </w:style>
  <w:style w:type="character" w:styleId="843" w:customStyle="1">
    <w:name w:val="脚注文本 字符"/>
    <w:link w:val="811"/>
    <w:uiPriority w:val="99"/>
    <w:qFormat/>
    <w:rPr>
      <w:sz w:val="18"/>
    </w:rPr>
  </w:style>
  <w:style w:type="character" w:styleId="844" w:customStyle="1">
    <w:name w:val="标题 字符"/>
    <w:link w:val="817"/>
    <w:uiPriority w:val="10"/>
    <w:qFormat/>
    <w:rPr>
      <w:sz w:val="48"/>
      <w:szCs w:val="48"/>
    </w:rPr>
  </w:style>
  <w:style w:type="character" w:styleId="845" w:customStyle="1">
    <w:name w:val="批注主题 字符"/>
    <w:link w:val="818"/>
    <w:uiPriority w:val="0"/>
    <w:qFormat/>
    <w:rPr>
      <w:rFonts w:ascii="宋体" w:hAnsi="宋体" w:cs="宋体"/>
      <w:b/>
      <w:bCs/>
      <w:sz w:val="22"/>
      <w:szCs w:val="22"/>
      <w:lang w:val="zh-CN" w:bidi="zh-CN"/>
    </w:rPr>
  </w:style>
  <w:style w:type="paragraph" w:styleId="846">
    <w:name w:val="List Paragraph"/>
    <w:basedOn w:val="779"/>
    <w:uiPriority w:val="1"/>
    <w:qFormat/>
    <w:pPr>
      <w:ind w:left="218" w:firstLine="420"/>
    </w:pPr>
  </w:style>
  <w:style w:type="paragraph" w:styleId="847">
    <w:name w:val="No Spacing"/>
    <w:uiPriority w:val="1"/>
    <w:qFormat/>
    <w:rPr>
      <w:rFonts w:ascii="Times New Roman" w:hAnsi="Times New Roman" w:eastAsia="宋体" w:cs="Times New Roman"/>
      <w:lang w:val="en-US" w:eastAsia="zh-CN" w:bidi="ar-SA"/>
    </w:rPr>
  </w:style>
  <w:style w:type="paragraph" w:styleId="848">
    <w:name w:val="Quote"/>
    <w:basedOn w:val="779"/>
    <w:next w:val="779"/>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79"/>
    <w:next w:val="779"/>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Footer Char"/>
    <w:uiPriority w:val="99"/>
    <w:qFormat/>
  </w:style>
  <w:style w:type="table" w:styleId="853" w:customStyle="1">
    <w:name w:val="Table Grid Light"/>
    <w:basedOn w:val="79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54" w:customStyle="1">
    <w:name w:val="无格式表格 11"/>
    <w:basedOn w:val="79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9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9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9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9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网格表 1 浅色1"/>
    <w:basedOn w:val="79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0" w:customStyle="1">
    <w:name w:val="Grid Table 1 Light - Accent 1"/>
    <w:basedOn w:val="79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7B4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1" w:customStyle="1">
    <w:name w:val="Grid Table 1 Light - Accent 2"/>
    <w:basedOn w:val="79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2" w:customStyle="1">
    <w:name w:val="Grid Table 1 Light - Accent 3"/>
    <w:basedOn w:val="79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3" w:customStyle="1">
    <w:name w:val="Grid Table 1 Light - Accent 4"/>
    <w:basedOn w:val="79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1 Light - Accent 5"/>
    <w:basedOn w:val="79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5" w:customStyle="1">
    <w:name w:val="Grid Table 1 Light - Accent 6"/>
    <w:basedOn w:val="79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6" w:customStyle="1">
    <w:name w:val="网格表 21"/>
    <w:basedOn w:val="79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2 - Accent 1"/>
    <w:basedOn w:val="79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2 - Accent 2"/>
    <w:basedOn w:val="79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2 - Accent 3"/>
    <w:basedOn w:val="79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2 - Accent 4"/>
    <w:basedOn w:val="79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2 - Accent 5"/>
    <w:basedOn w:val="79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2 - Accent 6"/>
    <w:basedOn w:val="79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网格表 31"/>
    <w:basedOn w:val="79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3 - Accent 1"/>
    <w:basedOn w:val="79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3 - Accent 2"/>
    <w:basedOn w:val="79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3 - Accent 3"/>
    <w:basedOn w:val="79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3 - Accent 4"/>
    <w:basedOn w:val="79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3 - Accent 5"/>
    <w:basedOn w:val="79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3 - Accent 6"/>
    <w:basedOn w:val="79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网格表 41"/>
    <w:basedOn w:val="79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4 - Accent 1"/>
    <w:basedOn w:val="790"/>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4 - Accent 2"/>
    <w:basedOn w:val="790"/>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4 - Accent 3"/>
    <w:basedOn w:val="790"/>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4 - Accent 4"/>
    <w:basedOn w:val="790"/>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 Accent 5"/>
    <w:basedOn w:val="790"/>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4 - Accent 6"/>
    <w:basedOn w:val="790"/>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网格表 5 深色1"/>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5 Dark- Accent 1"/>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5 Dark - Accent 2"/>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5 Dark - Accent 3"/>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5 Dark- Accent 4"/>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5 Dark - Accent 5"/>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5 Dark - Accent 6"/>
    <w:basedOn w:val="79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网格表 6 彩色1"/>
    <w:basedOn w:val="79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cbcbcb" w:fill="cbcbcb"/>
      </w:tcPr>
    </w:tblStylePr>
    <w:tblStylePr w:type="band1Vert">
      <w:tcPr>
        <w:shd w:val="clear" w:color="cbcbcb" w:fill="cbcbcb"/>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895" w:customStyle="1">
    <w:name w:val="Grid Table 6 Colorful - Accent 1"/>
    <w:basedOn w:val="790"/>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b/>
        <w:color w:val="4f81bd"/>
      </w:rPr>
    </w:tblStylePr>
    <w:tblStylePr w:type="firstRow">
      <w:rPr>
        <w:b/>
        <w:color w:val="4f81b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4f81bd"/>
      </w:rPr>
    </w:tblStylePr>
    <w:tblStylePr w:type="lastRow">
      <w:rPr>
        <w:b/>
        <w:color w:val="4f81bd"/>
      </w:rPr>
    </w:tblStylePr>
  </w:style>
  <w:style w:type="table" w:styleId="896" w:customStyle="1">
    <w:name w:val="Grid Table 6 Colorful - Accent 2"/>
    <w:basedOn w:val="790"/>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blStylePr>
  </w:style>
  <w:style w:type="table" w:styleId="897" w:customStyle="1">
    <w:name w:val="Grid Table 6 Colorful - Accent 3"/>
    <w:basedOn w:val="790"/>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98" w:customStyle="1">
    <w:name w:val="Grid Table 6 Colorful - Accent 4"/>
    <w:basedOn w:val="790"/>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blStylePr>
  </w:style>
  <w:style w:type="table" w:styleId="899" w:customStyle="1">
    <w:name w:val="Grid Table 6 Colorful - Accent 5"/>
    <w:basedOn w:val="790"/>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0" w:customStyle="1">
    <w:name w:val="Grid Table 6 Colorful - Accent 6"/>
    <w:basedOn w:val="790"/>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1" w:customStyle="1">
    <w:name w:val="网格表 7 彩色1"/>
    <w:basedOn w:val="79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f2f2f2" w:fill="f2f2f2"/>
      </w:tcPr>
    </w:tblStylePr>
    <w:tblStylePr w:type="band1Vert">
      <w:tcPr>
        <w:shd w:val="clear" w:color="f2f2f2" w:fill="f2f2f2"/>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7 Colorful - Accent 1"/>
    <w:basedOn w:val="790"/>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rFonts w:ascii="Arial" w:hAnsi="Arial"/>
        <w:i/>
        <w:color w:val="4f81b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4f81b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4f81b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4f81b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7 Colorful - Accent 2"/>
    <w:basedOn w:val="790"/>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b/>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7 Colorful - Accent 3"/>
    <w:basedOn w:val="790"/>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7 Colorful - Accent 4"/>
    <w:basedOn w:val="790"/>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7 Colorful - Accent 5"/>
    <w:basedOn w:val="790"/>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7 Colorful - Accent 6"/>
    <w:basedOn w:val="790"/>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清单表 1 浅色1"/>
    <w:basedOn w:val="790"/>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1 Light - Accent 1"/>
    <w:basedOn w:val="790"/>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1 Light - Accent 2"/>
    <w:basedOn w:val="790"/>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1 Light - Accent 3"/>
    <w:basedOn w:val="790"/>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1 Light - Accent 4"/>
    <w:basedOn w:val="790"/>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1 Light - Accent 5"/>
    <w:basedOn w:val="790"/>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1 Light - Accent 6"/>
    <w:basedOn w:val="790"/>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清单表 21"/>
    <w:basedOn w:val="79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916" w:customStyle="1">
    <w:name w:val="List Table 2 - Accent 1"/>
    <w:basedOn w:val="790"/>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17" w:customStyle="1">
    <w:name w:val="List Table 2 - Accent 2"/>
    <w:basedOn w:val="790"/>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style>
  <w:style w:type="table" w:styleId="918" w:customStyle="1">
    <w:name w:val="List Table 2 - Accent 3"/>
    <w:basedOn w:val="790"/>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19" w:customStyle="1">
    <w:name w:val="List Table 2 - Accent 4"/>
    <w:basedOn w:val="790"/>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20" w:customStyle="1">
    <w:name w:val="List Table 2 - Accent 5"/>
    <w:basedOn w:val="790"/>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21" w:customStyle="1">
    <w:name w:val="List Table 2 - Accent 6"/>
    <w:basedOn w:val="790"/>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22" w:customStyle="1">
    <w:name w:val="清单表 31"/>
    <w:basedOn w:val="79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3" w:customStyle="1">
    <w:name w:val="List Table 3 - Accent 1"/>
    <w:basedOn w:val="790"/>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3 - Accent 2"/>
    <w:basedOn w:val="790"/>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left w:val="none" w:color="000000" w:sz="4" w:space="0"/>
          <w:bottom w:val="single" w:color="D996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695" w:sz="4" w:space="0"/>
          <w:bottom w:val="none" w:color="000000" w:sz="4" w:space="0"/>
          <w:right w:val="single" w:color="D996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5" w:customStyle="1">
    <w:name w:val="List Table 3 - Accent 3"/>
    <w:basedOn w:val="790"/>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left w:val="none" w:color="000000" w:sz="4" w:space="0"/>
          <w:bottom w:val="single" w:color="C3D69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B" w:sz="4" w:space="0"/>
          <w:bottom w:val="none" w:color="000000" w:sz="4" w:space="0"/>
          <w:right w:val="single" w:color="C3D69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6" w:customStyle="1">
    <w:name w:val="List Table 3 - Accent 4"/>
    <w:basedOn w:val="790"/>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7" w:customStyle="1">
    <w:name w:val="List Table 3 - Accent 5"/>
    <w:basedOn w:val="790"/>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8" w:customStyle="1">
    <w:name w:val="List Table 3 - Accent 6"/>
    <w:basedOn w:val="790"/>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9" w:customStyle="1">
    <w:name w:val="清单表 41"/>
    <w:basedOn w:val="79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0" w:customStyle="1">
    <w:name w:val="List Table 4 - Accent 1"/>
    <w:basedOn w:val="790"/>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4 - Accent 2"/>
    <w:basedOn w:val="790"/>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2" w:customStyle="1">
    <w:name w:val="List Table 4 - Accent 3"/>
    <w:basedOn w:val="790"/>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3" w:customStyle="1">
    <w:name w:val="List Table 4 - Accent 4"/>
    <w:basedOn w:val="790"/>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4" w:customStyle="1">
    <w:name w:val="List Table 4 - Accent 5"/>
    <w:basedOn w:val="790"/>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5" w:customStyle="1">
    <w:name w:val="List Table 4 - Accent 6"/>
    <w:basedOn w:val="790"/>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6" w:customStyle="1">
    <w:name w:val="清单表 5 深色1"/>
    <w:basedOn w:val="79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937" w:customStyle="1">
    <w:name w:val="List Table 5 Dark - Accent 1"/>
    <w:basedOn w:val="790"/>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38" w:customStyle="1">
    <w:name w:val="List Table 5 Dark - Accent 2"/>
    <w:basedOn w:val="790"/>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695" w:fill="d996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6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695" w:fill="d99695"/>
        <w:tcBorders>
          <w:top w:val="single" w:color="D996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695" w:sz="32" w:space="0"/>
          <w:insideH w:val="none" w:color="000000" w:sz="4" w:space="0"/>
          <w:insideV w:val="none" w:color="000000" w:sz="4" w:space="0"/>
        </w:tcBorders>
      </w:tcPr>
    </w:tblStylePr>
    <w:tblStylePr w:type="lastRow">
      <w:rPr>
        <w:rFonts w:ascii="Arial" w:hAnsi="Arial"/>
        <w:b/>
        <w:color w:val="ffffff"/>
        <w:sz w:val="22"/>
      </w:rPr>
    </w:tblStylePr>
  </w:style>
  <w:style w:type="table" w:styleId="939" w:customStyle="1">
    <w:name w:val="List Table 5 Dark - Accent 3"/>
    <w:basedOn w:val="790"/>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b" w:fill="c3d69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b" w:fill="c3d69b"/>
        <w:tcBorders>
          <w:top w:val="single" w:color="C3D69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B" w:sz="32" w:space="0"/>
          <w:insideH w:val="none" w:color="000000" w:sz="4" w:space="0"/>
          <w:insideV w:val="none" w:color="000000" w:sz="4" w:space="0"/>
        </w:tcBorders>
      </w:tcPr>
    </w:tblStylePr>
    <w:tblStylePr w:type="lastRow">
      <w:rPr>
        <w:rFonts w:ascii="Arial" w:hAnsi="Arial"/>
        <w:b/>
        <w:color w:val="ffffff"/>
        <w:sz w:val="22"/>
      </w:rPr>
    </w:tblStylePr>
  </w:style>
  <w:style w:type="table" w:styleId="940" w:customStyle="1">
    <w:name w:val="List Table 5 Dark - Accent 4"/>
    <w:basedOn w:val="790"/>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41" w:customStyle="1">
    <w:name w:val="List Table 5 Dark - Accent 5"/>
    <w:basedOn w:val="790"/>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42" w:customStyle="1">
    <w:name w:val="List Table 5 Dark - Accent 6"/>
    <w:basedOn w:val="790"/>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清单表 6 彩色1"/>
    <w:basedOn w:val="790"/>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6 Colorful - Accent 1"/>
    <w:basedOn w:val="790"/>
    <w:uiPriority w:val="99"/>
    <w:qFormat/>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0"/>
      </w:rPr>
    </w:tblStylePr>
    <w:tblStylePr w:type="lastRow">
      <w:rPr>
        <w:b/>
        <w:color w:val="2a4a7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2"/>
    <w:basedOn w:val="790"/>
    <w:uiPriority w:val="99"/>
    <w:qFormat/>
    <w:tblPr>
      <w:tblBorders>
        <w:top w:val="single" w:color="D99695" w:sz="4" w:space="0"/>
        <w:bottom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6 Colorful - Accent 3"/>
    <w:basedOn w:val="790"/>
    <w:uiPriority w:val="99"/>
    <w:qFormat/>
    <w:tblPr>
      <w:tblBorders>
        <w:top w:val="single" w:color="C3D69B" w:sz="4" w:space="0"/>
        <w:bottom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cPr>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List Table 6 Colorful - Accent 4"/>
    <w:basedOn w:val="790"/>
    <w:uiPriority w:val="99"/>
    <w:qFormat/>
    <w:tblPr>
      <w:tblBorders>
        <w:top w:val="single" w:color="B2A1C6" w:sz="4" w:space="0"/>
        <w:bottom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5"/>
    <w:basedOn w:val="790"/>
    <w:uiPriority w:val="99"/>
    <w:qFormat/>
    <w:tblPr>
      <w:tblBorders>
        <w:top w:val="single" w:color="92CCDC" w:sz="4" w:space="0"/>
        <w:bottom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b/>
        <w:color w:val="4bacc6"/>
      </w:rPr>
    </w:tblStylePr>
    <w:tblStylePr w:type="firstRow">
      <w:rPr>
        <w:b/>
        <w:color w:val="4bacc6"/>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4bacc6"/>
      </w:rPr>
    </w:tblStylePr>
    <w:tblStylePr w:type="lastRow">
      <w:rPr>
        <w:b/>
        <w:color w:val="4bacc6"/>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6 Colorful - Accent 6"/>
    <w:basedOn w:val="790"/>
    <w:uiPriority w:val="99"/>
    <w:qFormat/>
    <w:tblPr>
      <w:tblBorders>
        <w:top w:val="single" w:color="FAC090" w:sz="4" w:space="0"/>
        <w:bottom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b/>
        <w:color w:val="f79646"/>
      </w:rPr>
    </w:tblStylePr>
    <w:tblStylePr w:type="firstRow">
      <w:rPr>
        <w:b/>
        <w:color w:val="f79646"/>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79646"/>
      </w:rPr>
    </w:tblStylePr>
    <w:tblStylePr w:type="lastRow">
      <w:rPr>
        <w:b/>
        <w:color w:val="f79646"/>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清单表 7 彩色1"/>
    <w:basedOn w:val="790"/>
    <w:uiPriority w:val="99"/>
    <w:qFormat/>
    <w:tblPr>
      <w:tblBorders>
        <w:right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7 Colorful - Accent 1"/>
    <w:basedOn w:val="790"/>
    <w:uiPriority w:val="99"/>
    <w:qFormat/>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7 Colorful - Accent 2"/>
    <w:basedOn w:val="790"/>
    <w:uiPriority w:val="99"/>
    <w:qFormat/>
    <w:tblPr>
      <w:tblBorders>
        <w:right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i/>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7 Colorful - Accent 3"/>
    <w:basedOn w:val="790"/>
    <w:uiPriority w:val="99"/>
    <w:qFormat/>
    <w:tblPr>
      <w:tblBorders>
        <w:right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C3D69B" w:sz="4" w:space="0"/>
          <w:insideH w:val="none" w:color="000000" w:sz="4" w:space="0"/>
          <w:insideV w:val="none" w:color="000000" w:sz="4" w:space="0"/>
        </w:tcBorders>
      </w:tcPr>
    </w:tblStylePr>
    <w:tblStylePr w:type="firstRow">
      <w:rPr>
        <w:rFonts w:ascii="Arial" w:hAnsi="Arial"/>
        <w:i/>
        <w:color w:val="9bbb59"/>
        <w:sz w:val="22"/>
      </w:rPr>
      <w:tcPr>
        <w:shd w:val="clear" w:color="ffffff" w:fill="ffffff"/>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C3D69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bbb59"/>
        <w:sz w:val="22"/>
      </w:rPr>
      <w:tcPr>
        <w:shd w:val="clear" w:color="ffffff" w:fill="ffffff"/>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7 Colorful - Accent 4"/>
    <w:basedOn w:val="790"/>
    <w:uiPriority w:val="99"/>
    <w:qFormat/>
    <w:tblPr>
      <w:tblBorders>
        <w:right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7 Colorful - Accent 5"/>
    <w:basedOn w:val="790"/>
    <w:uiPriority w:val="99"/>
    <w:qFormat/>
    <w:tblPr>
      <w:tblBorders>
        <w:right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rFonts w:ascii="Arial" w:hAnsi="Arial"/>
        <w:i/>
        <w:color w:val="4bacc6"/>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4bacc6"/>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4bacc6"/>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4bacc6"/>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7 Colorful - Accent 6"/>
    <w:basedOn w:val="790"/>
    <w:uiPriority w:val="99"/>
    <w:qFormat/>
    <w:tblPr>
      <w:tblBorders>
        <w:right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rFonts w:ascii="Arial" w:hAnsi="Arial"/>
        <w:i/>
        <w:color w:val="f79646"/>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79646"/>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79646"/>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79646"/>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8"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9"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0"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1"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2"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3"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4" w:customStyle="1">
    <w:name w:val="Bordered &amp; Lined - Accent"/>
    <w:basedOn w:val="790"/>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5" w:customStyle="1">
    <w:name w:val="Bordered &amp; Lined - Accent 1"/>
    <w:basedOn w:val="790"/>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6" w:customStyle="1">
    <w:name w:val="Bordered &amp; Lined - Accent 2"/>
    <w:basedOn w:val="790"/>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7" w:customStyle="1">
    <w:name w:val="Bordered &amp; Lined - Accent 3"/>
    <w:basedOn w:val="790"/>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8" w:customStyle="1">
    <w:name w:val="Bordered &amp; Lined - Accent 4"/>
    <w:basedOn w:val="790"/>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9" w:customStyle="1">
    <w:name w:val="Bordered &amp; Lined - Accent 5"/>
    <w:basedOn w:val="790"/>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0" w:customStyle="1">
    <w:name w:val="Bordered &amp; Lined - Accent 6"/>
    <w:basedOn w:val="790"/>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1" w:customStyle="1">
    <w:name w:val="Bordered"/>
    <w:basedOn w:val="79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Bordered - Accent 1"/>
    <w:basedOn w:val="79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 Accent 2"/>
    <w:basedOn w:val="79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6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6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Bordered - Accent 3"/>
    <w:basedOn w:val="79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4"/>
    <w:basedOn w:val="79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 Accent 5"/>
    <w:basedOn w:val="79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Bordered - Accent 6"/>
    <w:basedOn w:val="79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8" w:customStyle="1">
    <w:name w:val="TOC 标题1"/>
    <w:uiPriority w:val="39"/>
    <w:unhideWhenUsed/>
    <w:qFormat/>
    <w:rPr>
      <w:rFonts w:ascii="Times New Roman" w:hAnsi="Times New Roman" w:eastAsia="宋体" w:cs="Times New Roman"/>
      <w:lang w:val="en-US" w:eastAsia="zh-CN" w:bidi="ar-SA"/>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Table Paragraph"/>
    <w:basedOn w:val="779"/>
    <w:uiPriority w:val="1"/>
    <w:qFormat/>
  </w:style>
  <w:style w:type="character" w:styleId="981" w:customStyle="1">
    <w:name w:val="font31"/>
    <w:uiPriority w:val="0"/>
    <w:qFormat/>
    <w:rPr>
      <w:rFonts w:hint="default" w:ascii="Times New Roman" w:hAnsi="Times New Roman" w:cs="Times New Roman"/>
      <w:color w:val="000000"/>
      <w:sz w:val="20"/>
      <w:szCs w:val="20"/>
      <w:u w:val="none"/>
    </w:rPr>
  </w:style>
  <w:style w:type="character" w:styleId="982" w:customStyle="1">
    <w:name w:val="font41"/>
    <w:uiPriority w:val="0"/>
    <w:qFormat/>
    <w:rPr>
      <w:rFonts w:hint="default" w:ascii="方正仿宋简体" w:hAnsi="方正仿宋简体" w:eastAsia="方正仿宋简体" w:cs="方正仿宋简体"/>
      <w:color w:val="000000"/>
      <w:sz w:val="20"/>
      <w:szCs w:val="20"/>
      <w:u w:val="none"/>
    </w:rPr>
  </w:style>
  <w:style w:type="character" w:styleId="983" w:customStyle="1">
    <w:name w:val="font11"/>
    <w:uiPriority w:val="0"/>
    <w:qFormat/>
    <w:rPr>
      <w:rFonts w:hint="eastAsia" w:ascii="宋体" w:hAnsi="宋体" w:eastAsia="宋体" w:cs="宋体"/>
      <w:color w:val="000000"/>
      <w:sz w:val="20"/>
      <w:szCs w:val="20"/>
      <w:u w:val="none"/>
    </w:rPr>
  </w:style>
  <w:style w:type="paragraph" w:styleId="984" w:customStyle="1">
    <w:name w:val="列出段落1"/>
    <w:basedOn w:val="779"/>
    <w:uiPriority w:val="99"/>
    <w:qFormat/>
    <w:pPr>
      <w:ind w:firstLine="420"/>
    </w:pPr>
  </w:style>
  <w:style w:type="paragraph" w:styleId="985" w:customStyle="1">
    <w:name w:val="标题 21"/>
    <w:basedOn w:val="779"/>
    <w:uiPriority w:val="1"/>
    <w:qFormat/>
    <w:pPr>
      <w:outlineLvl w:val="2"/>
    </w:pPr>
    <w:rPr>
      <w:rFonts w:ascii="黑体" w:hAnsi="黑体" w:eastAsia="黑体" w:cs="黑体"/>
      <w:sz w:val="36"/>
      <w:szCs w:val="36"/>
    </w:rPr>
  </w:style>
  <w:style w:type="paragraph" w:styleId="986" w:customStyle="1">
    <w:name w:val="标题 51"/>
    <w:basedOn w:val="779"/>
    <w:uiPriority w:val="1"/>
    <w:qFormat/>
    <w:pPr>
      <w:ind w:left="638"/>
      <w:outlineLvl w:val="5"/>
    </w:pPr>
    <w:rPr>
      <w:b/>
      <w:bCs/>
      <w:sz w:val="21"/>
      <w:szCs w:val="21"/>
    </w:rPr>
  </w:style>
  <w:style w:type="paragraph" w:styleId="987" w:customStyle="1">
    <w:name w:val="Body text|1"/>
    <w:basedOn w:val="779"/>
    <w:uiPriority w:val="0"/>
    <w:qFormat/>
    <w:pPr>
      <w:ind w:firstLine="400"/>
      <w:spacing w:after="180" w:line="410" w:lineRule="auto"/>
    </w:pPr>
    <w:rPr>
      <w:color w:val="1b1626"/>
      <w:sz w:val="30"/>
      <w:szCs w:val="30"/>
      <w:lang w:val="zh-TW" w:eastAsia="zh-TW" w:bidi="zh-TW"/>
    </w:rPr>
  </w:style>
  <w:style w:type="paragraph" w:styleId="988" w:customStyle="1">
    <w:name w:val="Heading #2|1"/>
    <w:basedOn w:val="779"/>
    <w:uiPriority w:val="0"/>
    <w:qFormat/>
    <w:pPr>
      <w:ind w:firstLine="700"/>
      <w:spacing w:after="180" w:line="584" w:lineRule="exact"/>
      <w:outlineLvl w:val="1"/>
    </w:pPr>
    <w:rPr>
      <w:b/>
      <w:bCs/>
      <w:color w:val="1b1626"/>
      <w:sz w:val="30"/>
      <w:szCs w:val="30"/>
      <w:lang w:val="zh-TW" w:eastAsia="zh-TW" w:bidi="zh-TW"/>
    </w:rPr>
  </w:style>
  <w:style w:type="paragraph" w:styleId="989" w:customStyle="1">
    <w:name w:val="表内文字居左"/>
    <w:basedOn w:val="779"/>
    <w:uiPriority w:val="0"/>
    <w:qFormat/>
    <w:rPr>
      <w:sz w:val="24"/>
      <w:szCs w:val="24"/>
    </w:rPr>
  </w:style>
  <w:style w:type="paragraph" w:styleId="990" w:customStyle="1">
    <w:name w:val="正文-首缩2"/>
    <w:basedOn w:val="779"/>
    <w:uiPriority w:val="0"/>
    <w:qFormat/>
    <w:pPr>
      <w:ind w:firstLine="200"/>
      <w:spacing w:line="360" w:lineRule="auto"/>
    </w:pPr>
    <w:rPr>
      <w:rFonts w:ascii="Times New Roman" w:hAnsi="Times New Roman" w:cs="Times New Roman"/>
      <w:sz w:val="28"/>
      <w:szCs w:val="28"/>
    </w:rPr>
  </w:style>
  <w:style w:type="paragraph" w:styleId="991" w:customStyle="1">
    <w:name w:val="正文首行缩进 211"/>
    <w:basedOn w:val="796"/>
    <w:uiPriority w:val="0"/>
    <w:qFormat/>
    <w:pPr>
      <w:ind w:firstLine="420"/>
      <w:spacing w:before="100" w:beforeAutospacing="1" w:line="360" w:lineRule="auto"/>
    </w:pPr>
    <w:rPr>
      <w:rFonts w:hAnsi="宋体"/>
      <w:sz w:val="20"/>
    </w:rPr>
  </w:style>
  <w:style w:type="paragraph" w:styleId="992" w:customStyle="1">
    <w:name w:val="正文首行缩进 21"/>
    <w:basedOn w:val="796"/>
    <w:uiPriority w:val="0"/>
    <w:qFormat/>
    <w:pPr>
      <w:ind w:firstLine="420"/>
      <w:spacing w:before="100" w:beforeAutospacing="1" w:line="360" w:lineRule="auto"/>
    </w:pPr>
    <w:rPr>
      <w:rFonts w:hAnsi="宋体"/>
      <w:sz w:val="20"/>
    </w:rPr>
  </w:style>
  <w:style w:type="paragraph" w:styleId="993" w:customStyle="1">
    <w:name w:val="WPSOffice手动目录 1"/>
    <w:uiPriority w:val="0"/>
    <w:qFormat/>
    <w:rPr>
      <w:rFonts w:ascii="Times New Roman" w:hAnsi="Times New Roman" w:eastAsia="宋体" w:cs="Times New Roman"/>
      <w:lang w:val="en-US" w:eastAsia="zh-CN" w:bidi="ar-SA"/>
    </w:rPr>
  </w:style>
  <w:style w:type="paragraph" w:styleId="994" w:customStyle="1">
    <w:name w:val="二级目录"/>
    <w:next w:val="779"/>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995" w:customStyle="1">
    <w:name w:val="font01"/>
    <w:uiPriority w:val="0"/>
    <w:qFormat/>
    <w:rPr>
      <w:rFonts w:hint="eastAsia" w:ascii="宋体" w:hAnsi="宋体" w:eastAsia="宋体" w:cs="宋体"/>
      <w:color w:val="000000"/>
      <w:sz w:val="22"/>
      <w:szCs w:val="22"/>
      <w:u w:val="none"/>
    </w:rPr>
  </w:style>
  <w:style w:type="paragraph" w:styleId="996" w:customStyle="1">
    <w:name w:val="彩色列表1"/>
    <w:basedOn w:val="779"/>
    <w:uiPriority w:val="0"/>
    <w:qFormat/>
    <w:pPr>
      <w:ind w:firstLine="420"/>
    </w:pPr>
    <w:rPr>
      <w:rFonts w:ascii="Times New Roman" w:hAnsi="Times New Roman" w:cs="Times New Roman"/>
      <w:szCs w:val="21"/>
    </w:rPr>
  </w:style>
  <w:style w:type="character" w:styleId="997" w:customStyle="1">
    <w:name w:val="15"/>
    <w:uiPriority w:val="0"/>
    <w:qFormat/>
    <w:rPr>
      <w:rFonts w:hint="default" w:ascii="Times New Roman" w:hAnsi="Times New Roman" w:cs="Times New Roman"/>
    </w:rPr>
  </w:style>
  <w:style w:type="paragraph" w:styleId="998" w:customStyle="1">
    <w:name w:val="Table Text"/>
    <w:basedOn w:val="779"/>
    <w:uiPriority w:val="0"/>
    <w:semiHidden/>
    <w:qFormat/>
    <w:rPr>
      <w:rFonts w:ascii="Arial" w:hAnsi="Arial" w:eastAsia="Arial" w:cs="Arial"/>
      <w:sz w:val="21"/>
      <w:szCs w:val="21"/>
      <w:lang w:val="en-US" w:eastAsia="en-US" w:bidi="ar-SA"/>
    </w:rPr>
  </w:style>
  <w:style w:type="character" w:styleId="999" w:customStyle="1">
    <w:name w:val="font61"/>
    <w:uiPriority w:val="0"/>
    <w:qFormat/>
    <w:rPr>
      <w:rFonts w:hint="default" w:ascii="Times New Roman" w:hAnsi="Times New Roman" w:cs="Times New Roman"/>
      <w:color w:val="000000"/>
      <w:sz w:val="20"/>
      <w:szCs w:val="20"/>
      <w:u w:val="none"/>
    </w:rPr>
  </w:style>
  <w:style w:type="character" w:styleId="1000" w:customStyle="1">
    <w:name w:val="font51"/>
    <w:uiPriority w:val="0"/>
    <w:qFormat/>
    <w:rPr>
      <w:rFonts w:hint="eastAsia" w:ascii="微软雅黑" w:hAnsi="微软雅黑" w:eastAsia="微软雅黑" w:cs="微软雅黑"/>
      <w:color w:val="000000"/>
      <w:sz w:val="20"/>
      <w:szCs w:val="20"/>
      <w:u w:val="none"/>
    </w:rPr>
  </w:style>
  <w:style w:type="paragraph" w:styleId="1001" w:customStyle="1">
    <w:name w:val="列表段落1"/>
    <w:basedOn w:val="779"/>
    <w:uiPriority w:val="99"/>
    <w:qFormat/>
    <w:pPr>
      <w:contextualSpacing/>
      <w:ind w:left="720"/>
      <w:widowControl/>
    </w:pPr>
    <w:rPr>
      <w:rFonts w:ascii="Arial" w:hAnsi="Arial" w:eastAsia="黑体" w:cs="Times New Roman"/>
      <w:sz w:val="24"/>
      <w:szCs w:val="24"/>
      <w:lang w:val="en-US" w:eastAsia="en-US" w:bidi="ar-SA"/>
    </w:rPr>
  </w:style>
  <w:style w:type="paragraph" w:styleId="10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3" w:customStyle="1">
    <w:name w:val="正文文本首行缩进 21"/>
    <w:basedOn w:val="779"/>
    <w:uiPriority w:val="0"/>
    <w:qFormat/>
    <w:pPr>
      <w:ind w:left="420" w:firstLine="420"/>
      <w:jc w:val="both"/>
      <w:spacing w:after="120"/>
    </w:pPr>
    <w:rPr>
      <w:rFonts w:ascii="Times New Roman" w:hAnsi="Times New Roman" w:cs="Times New Roman"/>
      <w:sz w:val="21"/>
      <w:szCs w:val="24"/>
      <w:lang w:val="en-US" w:bidi="ar-SA"/>
    </w:rPr>
  </w:style>
  <w:style w:type="paragraph" w:styleId="1004" w:customStyle="1">
    <w:name w:val="纯文本111"/>
    <w:basedOn w:val="779"/>
    <w:uiPriority w:val="0"/>
    <w:qFormat/>
    <w:pPr>
      <w:jc w:val="both"/>
    </w:pPr>
    <w:rPr>
      <w:rFonts w:hAnsi="Courier New" w:cs="Courier New"/>
      <w:sz w:val="21"/>
      <w:szCs w:val="21"/>
      <w:lang w:val="en-US" w:bidi="ar-SA"/>
    </w:rPr>
  </w:style>
  <w:style w:type="paragraph" w:styleId="1005" w:customStyle="1">
    <w:name w:val="正文文本1"/>
    <w:basedOn w:val="779"/>
    <w:next w:val="779"/>
    <w:uiPriority w:val="99"/>
    <w:qFormat/>
    <w:pPr>
      <w:spacing w:after="120"/>
    </w:pPr>
    <w:rPr>
      <w:sz w:val="24"/>
    </w:rPr>
  </w:style>
  <w:style w:type="paragraph" w:styleId="1006" w:customStyle="1">
    <w:name w:val="标题 11"/>
    <w:basedOn w:val="779"/>
    <w:next w:val="779"/>
    <w:uiPriority w:val="99"/>
    <w:qFormat/>
    <w:pPr>
      <w:keepLines/>
      <w:keepNext/>
      <w:spacing w:before="340" w:after="330" w:line="576" w:lineRule="auto"/>
      <w:outlineLvl w:val="0"/>
    </w:pPr>
    <w:rPr>
      <w:b/>
      <w:bCs/>
      <w:sz w:val="44"/>
      <w:szCs w:val="44"/>
    </w:rPr>
  </w:style>
  <w:style w:type="character" w:styleId="1007" w:customStyle="1">
    <w:name w:val="要点1"/>
    <w:uiPriority w:val="99"/>
    <w:qFormat/>
    <w:rPr>
      <w:rFonts w:cs="Times New Roman"/>
      <w:b/>
    </w:rPr>
  </w:style>
  <w:style w:type="character" w:styleId="1008" w:customStyle="1">
    <w:name w:val="默认段落字体1"/>
    <w:uiPriority w:val="1"/>
    <w:unhideWhenUsed/>
    <w:qFormat/>
  </w:style>
  <w:style w:type="paragraph" w:styleId="1009" w:customStyle="1">
    <w:name w:val="普通(网站)1"/>
    <w:basedOn w:val="779"/>
    <w:uiPriority w:val="0"/>
    <w:qFormat/>
    <w:pPr>
      <w:spacing w:before="100" w:beforeAutospacing="1" w:after="100" w:afterAutospacing="1"/>
      <w:widowControl/>
    </w:pPr>
    <w:rPr>
      <w:sz w:val="24"/>
    </w:rPr>
  </w:style>
  <w:style w:type="paragraph" w:styleId="1010" w:customStyle="1">
    <w:name w:val="正文文本12"/>
    <w:basedOn w:val="779"/>
    <w:next w:val="1011"/>
    <w:uiPriority w:val="0"/>
    <w:unhideWhenUsed/>
    <w:qFormat/>
    <w:pPr>
      <w:spacing w:after="120"/>
    </w:pPr>
  </w:style>
  <w:style w:type="paragraph" w:styleId="1011" w:customStyle="1">
    <w:name w:val="日期11"/>
    <w:basedOn w:val="779"/>
    <w:next w:val="779"/>
    <w:uiPriority w:val="0"/>
    <w:qFormat/>
    <w:rPr>
      <w:rFonts w:ascii="Arial" w:hAnsi="Arial" w:cs="Arial"/>
      <w:b/>
      <w:sz w:val="28"/>
    </w:rPr>
  </w:style>
  <w:style w:type="character" w:styleId="1012" w:customStyle="1">
    <w:name w:val="批注文字 Char"/>
    <w:uiPriority w:val="0"/>
    <w:qFormat/>
    <w:rPr>
      <w:rFonts w:ascii="宋体" w:hAnsi="宋体" w:cs="宋体"/>
      <w:sz w:val="22"/>
      <w:szCs w:val="22"/>
      <w:lang w:val="zh-CN" w:bidi="zh-CN"/>
    </w:rPr>
  </w:style>
  <w:style w:type="character" w:styleId="1013" w:customStyle="1">
    <w:name w:val="标题 2 字符1"/>
    <w:link w:val="781"/>
    <w:uiPriority w:val="0"/>
    <w:qFormat/>
    <w:rPr>
      <w:rFonts w:ascii="Times New Roman" w:hAnsi="Times New Roman" w:eastAsia="楷体_GB2312" w:cs="楷体_GB2312"/>
      <w:sz w:val="32"/>
      <w:szCs w:val="32"/>
    </w:rPr>
  </w:style>
  <w:style w:type="paragraph" w:styleId="1014" w:customStyle="1">
    <w:name w:val="页脚1"/>
    <w:basedOn w:val="779"/>
    <w:uiPriority w:val="99"/>
    <w:qFormat/>
    <w:pPr>
      <w:tabs>
        <w:tab w:val="center" w:pos="4153" w:leader="none"/>
        <w:tab w:val="right" w:pos="8306" w:leader="none"/>
      </w:tabs>
    </w:pPr>
    <w:rPr>
      <w:rFonts w:ascii="Calibri" w:hAnsi="Calibri"/>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jp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E6D584-07A1-4B07-83FA-30BB9212F42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33</cp:revision>
  <dcterms:created xsi:type="dcterms:W3CDTF">2026-05-27T01:15:00Z</dcterms:created>
  <dcterms:modified xsi:type="dcterms:W3CDTF">2026-09-15T08:59:43Z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2052-12.1.0.28505</vt:lpwstr>
  </property>
  <property fmtid="{D5CDD505-2E9C-101B-9397-08002B2CF9AE}" pid="6" name="ICV">
    <vt:lpwstr>4D8FEF0A118D4AB8B1CF5FACCF4A2103_13</vt:lpwstr>
  </property>
  <property fmtid="{D5CDD505-2E9C-101B-9397-08002B2CF9AE}" pid="7" name="KSOTemplateDocerSaveRecord">
    <vt:lpwstr>eyJoZGlkIjoiNTAxY2VhMGVjNTNlNjMxODdiMjhiYjhmNDUxNjJkNmEiLCJ1c2VySWQiOiIxODUyMzkyNjcxIn0=</vt:lpwstr>
  </property>
</Properties>
</file>