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4"/>
        <w:ind w:firstLine="0"/>
        <w:rPr>
          <w:rFonts w:hint="eastAsia" w:eastAsia="黑体"/>
          <w:b/>
          <w:bCs/>
          <w:sz w:val="84"/>
        </w:rPr>
      </w:pPr>
      <w:r>
        <w:rPr>
          <w:rFonts w:hint="eastAsia" w:eastAsia="黑体"/>
          <w:b/>
          <w:bCs/>
          <w:sz w:val="84"/>
        </w:rPr>
      </w:r>
      <w:r/>
    </w:p>
    <w:p>
      <w:pPr>
        <w:pStyle w:val="1044"/>
        <w:ind w:firstLine="0"/>
        <w:jc w:val="center"/>
        <w:rPr>
          <w:rFonts w:hint="eastAsia" w:ascii="方正小标宋_GBK" w:hAnsi="方正小标宋_GBK" w:eastAsia="方正小标宋_GBK" w:cs="方正小标宋_GBK"/>
          <w:b w:val="0"/>
          <w:bCs w:val="0"/>
          <w:sz w:val="60"/>
          <w:szCs w:val="60"/>
        </w:rPr>
      </w:pPr>
      <w:r>
        <w:rPr>
          <w:rFonts w:hint="eastAsia" w:ascii="方正小标宋_GBK" w:hAnsi="方正小标宋_GBK" w:eastAsia="方正小标宋_GBK" w:cs="方正小标宋_GBK"/>
          <w:b w:val="0"/>
          <w:bCs w:val="0"/>
          <w:sz w:val="60"/>
          <w:szCs w:val="60"/>
        </w:rPr>
        <w:t xml:space="preserve">招　标　文　件</w:t>
      </w:r>
      <w:r>
        <w:rPr>
          <w:rFonts w:hint="eastAsia" w:ascii="方正小标宋_GBK" w:hAnsi="方正小标宋_GBK" w:eastAsia="方正小标宋_GBK" w:cs="方正小标宋_GBK"/>
          <w:b w:val="0"/>
          <w:bCs w:val="0"/>
          <w:sz w:val="60"/>
          <w:szCs w:val="60"/>
        </w:rPr>
      </w:r>
      <w:r/>
    </w:p>
    <w:p>
      <w:pPr>
        <w:pStyle w:val="1044"/>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1044"/>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57"/>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项目名称：江苏开放大学终身学习服务智能体建设</w:t>
      </w:r>
      <w:r>
        <w:rPr>
          <w:rFonts w:hint="eastAsia" w:ascii="方正黑体_GBK" w:hAnsi="方正黑体_GBK" w:eastAsia="方正黑体_GBK" w:cs="方正黑体_GBK"/>
          <w:b w:val="0"/>
          <w:bCs w:val="0"/>
          <w:color w:val="000000"/>
          <w:sz w:val="28"/>
          <w:szCs w:val="28"/>
        </w:rPr>
      </w:r>
      <w:r/>
    </w:p>
    <w:p>
      <w:pPr>
        <w:pStyle w:val="957"/>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JSZC-320000-SCZX-G2026-0364</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957"/>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1044"/>
        <w:ind w:firstLine="0"/>
        <w:spacing w:before="0" w:after="0"/>
        <w:rPr>
          <w:rFonts w:hint="eastAsia" w:ascii="宋体" w:hAnsi="宋体"/>
          <w:sz w:val="28"/>
          <w:szCs w:val="28"/>
        </w:rPr>
      </w:pPr>
      <w:r>
        <w:rPr>
          <w:rFonts w:hint="eastAsia" w:ascii="宋体" w:hAnsi="宋体"/>
          <w:sz w:val="28"/>
          <w:szCs w:val="28"/>
        </w:rPr>
      </w:r>
      <w:r/>
    </w:p>
    <w:p>
      <w:pPr>
        <w:pStyle w:val="95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57"/>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8</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44"/>
        <w:ind w:firstLine="0"/>
        <w:rPr>
          <w:rFonts w:hint="eastAsia"/>
          <w:u w:val="single"/>
        </w:rPr>
      </w:pPr>
      <w:r>
        <w:rPr>
          <w:rFonts w:hint="eastAsia"/>
        </w:rPr>
        <w:t xml:space="preserve">                        </w:t>
      </w:r>
      <w:r>
        <w:rPr>
          <w:rFonts w:hint="eastAsia"/>
          <w:u w:val="single"/>
        </w:rPr>
      </w:r>
      <w:r/>
    </w:p>
    <w:p>
      <w:pPr>
        <w:pStyle w:val="1044"/>
        <w:ind w:firstLine="0"/>
        <w:jc w:val="center"/>
        <w:rPr>
          <w:rFonts w:hint="eastAsia"/>
        </w:rPr>
      </w:pPr>
      <w:r>
        <w:rPr>
          <w:rFonts w:hint="eastAsia"/>
        </w:rPr>
      </w:r>
      <w:r/>
    </w:p>
    <w:p>
      <w:pPr>
        <w:pStyle w:val="957"/>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57"/>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7"/>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95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95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42</w:t>
      </w:r>
      <w:r>
        <w:rPr>
          <w:rFonts w:ascii="方正黑体_GBK" w:hAnsi="方正黑体_GBK" w:eastAsia="方正黑体_GBK" w:cs="方正黑体_GBK"/>
          <w:color w:val="000000"/>
          <w:sz w:val="28"/>
          <w:szCs w:val="28"/>
          <w:lang w:val="en-US" w:eastAsia="zh-CN"/>
        </w:rPr>
      </w:r>
      <w:r/>
    </w:p>
    <w:p>
      <w:pPr>
        <w:pStyle w:val="957"/>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47</w:t>
      </w:r>
      <w:r>
        <w:rPr>
          <w:rFonts w:ascii="方正黑体_GBK" w:hAnsi="方正黑体_GBK" w:eastAsia="方正黑体_GBK" w:cs="方正黑体_GBK"/>
          <w:color w:val="000000"/>
          <w:sz w:val="28"/>
          <w:szCs w:val="28"/>
          <w:lang w:val="en-US" w:eastAsia="zh-CN"/>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rPr>
          <w:rFonts w:hint="eastAsia"/>
        </w:rPr>
      </w:pPr>
      <w:r>
        <w:rPr>
          <w:rFonts w:hint="eastAsia"/>
        </w:rPr>
      </w:r>
      <w:r/>
    </w:p>
    <w:p>
      <w:pPr>
        <w:pStyle w:val="957"/>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受〔江苏开放大学〕的委托，江苏省政府采购中心就〔江苏开放大学终身学习服务智能体建设〕(JSZC-320000-SCZX-G2026-0364)项目进行公开招标采购，欢迎符合条件的供应商投标。</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(江苏开放大学终身学习服务智能体建设)</w:t>
      </w:r>
      <w:r>
        <w:rPr>
          <w:rFonts w:hint="eastAsia" w:ascii="方正仿宋_GBK" w:hAnsi="方正仿宋_GBK" w:eastAsia="方正仿宋_GBK" w:cs="方正仿宋_GBK"/>
          <w:sz w:val="28"/>
          <w:szCs w:val="28"/>
        </w:rPr>
        <w:t xml:space="preserve"> 招标</w:t>
      </w:r>
      <w:r>
        <w:rPr>
          <w:rFonts w:hint="eastAsia" w:ascii="方正仿宋_GBK" w:hAnsi="方正仿宋_GBK" w:eastAsia="方正仿宋_GBK" w:cs="方正仿宋_GBK"/>
          <w:sz w:val="28"/>
          <w:szCs w:val="28"/>
          <w:highlight w:val="none"/>
        </w:rPr>
        <w:t xml:space="preserve">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bCs/>
          <w:color w:val="000000"/>
          <w:sz w:val="28"/>
          <w:szCs w:val="28"/>
          <w:highlight w:val="none"/>
          <w:u w:val="none"/>
        </w:rPr>
        <w:t xml:space="preserve">月9</w:t>
      </w:r>
      <w:r>
        <w:rPr>
          <w:rFonts w:hint="eastAsia" w:ascii="方正仿宋_GBK" w:hAnsi="方正仿宋_GBK" w:eastAsia="方正仿宋_GBK" w:cs="方正仿宋_GBK"/>
          <w:bCs/>
          <w:color w:val="000000"/>
          <w:sz w:val="28"/>
          <w:szCs w:val="28"/>
          <w:highlight w:val="none"/>
          <w:u w:val="none"/>
        </w:rPr>
        <w:t xml:space="preserve">日</w:t>
      </w:r>
      <w:r>
        <w:rPr>
          <w:rFonts w:hint="eastAsia"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w:t>
      </w:r>
      <w:r>
        <w:rPr>
          <w:rFonts w:hint="eastAsia" w:ascii="方正仿宋_GBK" w:hAnsi="方正仿宋_GBK" w:eastAsia="方正仿宋_GBK" w:cs="方正仿宋_GBK"/>
          <w:bCs/>
          <w:sz w:val="28"/>
          <w:szCs w:val="28"/>
          <w:highlight w:val="none"/>
        </w:rPr>
        <w:t xml:space="preserve">（北京时间）</w:t>
      </w:r>
      <w:r>
        <w:rPr>
          <w:rFonts w:hint="eastAsia" w:ascii="方正仿宋_GBK" w:hAnsi="方正仿宋_GBK" w:eastAsia="方正仿宋_GBK" w:cs="方正仿宋_GBK"/>
          <w:bCs/>
          <w:sz w:val="28"/>
          <w:szCs w:val="28"/>
          <w:highlight w:val="none"/>
        </w:rPr>
        <w:t xml:space="preserve">前递交投标文件</w:t>
      </w:r>
      <w:r>
        <w:rPr>
          <w:rFonts w:hint="eastAsia" w:ascii="方正仿宋_GBK" w:hAnsi="方正仿宋_GBK" w:eastAsia="方正仿宋_GBK" w:cs="方正仿宋_GBK"/>
          <w:sz w:val="28"/>
          <w:szCs w:val="28"/>
          <w:highlight w:val="none"/>
        </w:rPr>
        <w:t xml:space="preserve">。</w:t>
      </w:r>
      <w:r>
        <w:rPr>
          <w:rFonts w:ascii="宋体" w:hAnsi="宋体"/>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：JSZC-320000-SCZX-G2026-0364</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江苏开放大学终身学习服务智能体建设</w:t>
      </w:r>
      <w:r>
        <w:rPr>
          <w:rFonts w:hint="eastAsia" w:ascii="方正仿宋_GBK" w:hAnsi="方正仿宋_GBK" w:eastAsia="方正仿宋_GBK" w:cs="方正仿宋_GBK"/>
          <w:color w:val="000000"/>
          <w:sz w:val="28"/>
          <w:szCs w:val="28"/>
          <w:lang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7"/>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7"/>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sz w:val="28"/>
                <w:szCs w:val="28"/>
                <w:lang w:val="en-US" w:eastAsia="zh-CN"/>
              </w:rPr>
            </w:r>
            <w:r/>
          </w:p>
        </w:tc>
      </w:tr>
    </w:tbl>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5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5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57"/>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70</w:t>
            </w:r>
            <w:r>
              <w:rPr>
                <w:rFonts w:ascii="方正仿宋_GBK" w:hAnsi="方正仿宋_GBK" w:eastAsia="方正仿宋_GBK" w:cs="方正仿宋_GBK"/>
                <w:color w:val="000000"/>
                <w:sz w:val="28"/>
                <w:szCs w:val="28"/>
                <w:lang w:val="en-US" w:eastAsia="zh-CN"/>
              </w:rPr>
            </w:r>
            <w:r/>
          </w:p>
        </w:tc>
      </w:tr>
    </w:tbl>
    <w:p>
      <w:pPr>
        <w:pStyle w:val="957"/>
        <w:numPr>
          <w:ilvl w:val="0"/>
          <w:numId w:val="4"/>
        </w:numPr>
        <w:ind w:firstLine="560"/>
        <w:keepLines w:val="0"/>
        <w:keepNext w:val="0"/>
        <w:pageBreakBefore w:val="0"/>
        <w:spacing w:line="400" w:lineRule="exact"/>
        <w:widowControl w:val="off"/>
        <w:tabs>
          <w:tab w:val="left" w:pos="312" w:leader="none"/>
        </w:tabs>
        <w:rPr>
          <w:rFonts w:hint="eastAsia" w:ascii="Times New Roman" w:hAnsi="Times New Roman" w:eastAsia="方正仿宋_GBK" w:cs="Times New Roman"/>
          <w:color w:val="000000"/>
          <w:sz w:val="28"/>
          <w:szCs w:val="28"/>
          <w:lang w:val="en-US" w:eastAsia="zh-CN"/>
        </w:rPr>
      </w:pPr>
      <w:r/>
      <w:bookmarkStart w:id="12" w:name="_Toc28359080"/>
      <w:r/>
      <w:bookmarkStart w:id="13" w:name="_Toc35393622"/>
      <w:r/>
      <w:bookmarkStart w:id="14" w:name="_Toc38985264"/>
      <w:r/>
      <w:bookmarkStart w:id="15" w:name="_Toc35393791"/>
      <w:r/>
      <w:bookmarkStart w:id="16" w:name="_Toc28359003"/>
      <w:r>
        <w:rPr>
          <w:rFonts w:hint="eastAsia" w:ascii="方正仿宋_GBK" w:hAnsi="方正仿宋_GBK" w:eastAsia="方正仿宋_GBK" w:cs="方正仿宋_GBK"/>
          <w:color w:val="000000"/>
          <w:sz w:val="28"/>
          <w:szCs w:val="28"/>
        </w:rPr>
        <w:t xml:space="preserve">采购需求(简介)：</w:t>
      </w:r>
      <w:r>
        <w:rPr>
          <w:rFonts w:hint="eastAsia" w:ascii="Times New Roman" w:hAnsi="Times New Roman" w:eastAsia="方正仿宋_GBK" w:cs="Times New Roman"/>
          <w:color w:val="000000"/>
          <w:sz w:val="28"/>
          <w:szCs w:val="28"/>
          <w:lang w:val="en-US" w:eastAsia="zh-CN"/>
        </w:rPr>
        <w:t xml:space="preserve">为落实《国务院关于深入实施“人工智能+”行动的意见》文件精神，凸显江苏开放大学在构建江苏终身教育体系中的地位和作用，实现学历提升、非学历培训与就业资源的整合，拟开发一款终身学习服务的智能体。（详细内容见本招标文件第四章）</w:t>
      </w:r>
      <w:r>
        <w:rPr>
          <w:rFonts w:hint="eastAsia" w:ascii="Times New Roman" w:hAnsi="Times New Roman" w:eastAsia="方正仿宋_GBK" w:cs="Times New Roman"/>
          <w:color w:val="000000"/>
          <w:sz w:val="28"/>
          <w:szCs w:val="28"/>
          <w:lang w:val="en-US" w:eastAsia="zh-CN"/>
        </w:rPr>
      </w:r>
      <w:r/>
    </w:p>
    <w:p>
      <w:pPr>
        <w:pStyle w:val="957"/>
        <w:numPr>
          <w:ilvl w:val="0"/>
          <w:numId w:val="4"/>
        </w:numPr>
        <w:ind w:firstLine="560"/>
        <w:keepLines w:val="0"/>
        <w:keepNext w:val="0"/>
        <w:pageBreakBefore w:val="0"/>
        <w:spacing w:line="400" w:lineRule="exact"/>
        <w:widowControl w:val="off"/>
        <w:tabs>
          <w:tab w:val="left" w:pos="312" w:leader="none"/>
        </w:tabs>
        <w:rPr>
          <w:rFonts w:hint="eastAsia" w:ascii="Times New Roman" w:hAnsi="Times New Roman" w:eastAsia="方正仿宋_GBK" w:cs="Times New Roman"/>
          <w:color w:val="000000"/>
          <w:sz w:val="28"/>
          <w:szCs w:val="28"/>
          <w:lang w:val="en-US" w:eastAsia="zh-CN"/>
        </w:rPr>
      </w:pPr>
      <w:r>
        <w:rPr>
          <w:rFonts w:hint="eastAsia" w:ascii="Times New Roman" w:hAnsi="Times New Roman" w:eastAsia="方正仿宋_GBK" w:cs="Times New Roman"/>
          <w:color w:val="000000"/>
          <w:sz w:val="28"/>
          <w:szCs w:val="28"/>
          <w:lang w:val="en-US" w:eastAsia="zh-CN"/>
        </w:rPr>
        <w:t xml:space="preserve">合同履行期限：合同签订之日起90日历天内。</w:t>
      </w:r>
      <w:r>
        <w:rPr>
          <w:rFonts w:hint="eastAsia" w:ascii="Times New Roman" w:hAnsi="Times New Roman" w:eastAsia="方正仿宋_GBK" w:cs="Times New Roman"/>
          <w:color w:val="000000"/>
          <w:sz w:val="28"/>
          <w:szCs w:val="28"/>
          <w:lang w:val="en-US" w:eastAsia="zh-CN"/>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28359004"/>
      <w:r/>
      <w:bookmarkStart w:id="19" w:name="_Toc38985265"/>
      <w:r/>
      <w:bookmarkStart w:id="20" w:name="_Toc35393623"/>
      <w:r/>
      <w:bookmarkStart w:id="21"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7"/>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57"/>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7"/>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38985267"/>
      <w:r/>
      <w:bookmarkStart w:id="24" w:name="_Toc28359084"/>
      <w:r/>
      <w:bookmarkStart w:id="25" w:name="_Toc28359007"/>
      <w:r/>
      <w:bookmarkStart w:id="26" w:name="_Toc35393625"/>
      <w:r/>
      <w:bookmarkStart w:id="27" w:name="_Toc38985266"/>
      <w:r/>
      <w:bookmarkStart w:id="28" w:name="_Toc35393793"/>
      <w:r/>
      <w:bookmarkStart w:id="29" w:name="_Toc35393624"/>
      <w:r/>
      <w:bookmarkStart w:id="30" w:name="_Toc28359005"/>
      <w:r/>
      <w:bookmarkStart w:id="31" w:name="_Toc28359082"/>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29"/>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5393795"/>
      <w:r/>
      <w:bookmarkStart w:id="33" w:name="_Toc35393626"/>
      <w:r/>
      <w:bookmarkStart w:id="34"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35393796"/>
      <w:r/>
      <w:bookmarkStart w:id="37" w:name="_Toc28359008"/>
      <w:r/>
      <w:bookmarkStart w:id="38" w:name="_Toc38985269"/>
      <w:r/>
      <w:bookmarkStart w:id="39"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7"/>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7"/>
        <w:ind w:left="1079" w:hanging="300"/>
        <w:jc w:val="left"/>
        <w:spacing w:line="400" w:lineRule="exact"/>
        <w:rPr>
          <w:rFonts w:hint="eastAsia" w:ascii="方正仿宋_GBK" w:hAnsi="方正仿宋_GBK" w:eastAsia="方正仿宋_GBK" w:cs="方正仿宋_GBK"/>
          <w:color w:val="000000"/>
          <w:sz w:val="28"/>
          <w:szCs w:val="28"/>
          <w:highlight w:val="none"/>
          <w:u w:val="single"/>
        </w:rPr>
      </w:pPr>
      <w:r/>
      <w:bookmarkStart w:id="40" w:name="_Toc28359009"/>
      <w:r/>
      <w:bookmarkStart w:id="41" w:name="_Toc28359086"/>
      <w:r>
        <w:rPr>
          <w:rFonts w:hint="eastAsia" w:ascii="方正仿宋_GBK" w:hAnsi="方正仿宋_GBK" w:eastAsia="方正仿宋_GBK" w:cs="方正仿宋_GBK"/>
          <w:color w:val="000000"/>
          <w:sz w:val="28"/>
          <w:szCs w:val="28"/>
          <w:highlight w:val="none"/>
        </w:rPr>
        <w:t xml:space="preserve">名 称：</w:t>
      </w:r>
      <w:r>
        <w:rPr>
          <w:rFonts w:hint="eastAsia" w:ascii="方正仿宋_GBK" w:hAnsi="方正仿宋_GBK" w:eastAsia="方正仿宋_GBK" w:cs="方正仿宋_GBK"/>
          <w:color w:val="000000"/>
          <w:sz w:val="28"/>
          <w:szCs w:val="28"/>
          <w:highlight w:val="none"/>
          <w:u w:val="single"/>
        </w:rPr>
        <w:t xml:space="preserve">江苏开放大学   　     </w:t>
      </w:r>
      <w:r>
        <w:rPr>
          <w:rFonts w:hint="eastAsia" w:ascii="方正仿宋_GBK" w:hAnsi="方正仿宋_GBK" w:eastAsia="方正仿宋_GBK" w:cs="方正仿宋_GBK"/>
          <w:color w:val="000000"/>
          <w:sz w:val="28"/>
          <w:szCs w:val="28"/>
          <w:highlight w:val="none"/>
          <w:u w:val="single"/>
        </w:rPr>
      </w:r>
      <w:r/>
    </w:p>
    <w:p>
      <w:pPr>
        <w:pStyle w:val="957"/>
        <w:ind w:left="1079" w:hanging="30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地址：</w:t>
      </w:r>
      <w:r>
        <w:rPr>
          <w:rFonts w:hint="eastAsia" w:ascii="方正仿宋_GBK" w:hAnsi="方正仿宋_GBK" w:eastAsia="方正仿宋_GBK" w:cs="方正仿宋_GBK"/>
          <w:color w:val="000000"/>
          <w:sz w:val="28"/>
          <w:szCs w:val="28"/>
          <w:highlight w:val="none"/>
          <w:u w:val="single"/>
        </w:rPr>
        <w:t xml:space="preserve"> 江苏省南京市江东北路399号 </w:t>
      </w:r>
      <w:r>
        <w:rPr>
          <w:rFonts w:hint="eastAsia" w:ascii="方正仿宋_GBK" w:hAnsi="方正仿宋_GBK" w:eastAsia="方正仿宋_GBK" w:cs="方正仿宋_GBK"/>
          <w:color w:val="000000"/>
          <w:sz w:val="28"/>
          <w:szCs w:val="28"/>
          <w:highlight w:val="none"/>
          <w:u w:val="single"/>
        </w:rPr>
      </w:r>
      <w:r/>
    </w:p>
    <w:p>
      <w:pPr>
        <w:pStyle w:val="957"/>
        <w:ind w:left="1079" w:hanging="300"/>
        <w:jc w:val="left"/>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吕老师         </w:t>
      </w:r>
      <w:r>
        <w:rPr>
          <w:rFonts w:hint="eastAsia" w:ascii="方正仿宋_GBK" w:hAnsi="方正仿宋_GBK" w:eastAsia="方正仿宋_GBK" w:cs="方正仿宋_GBK"/>
          <w:color w:val="000000"/>
          <w:sz w:val="28"/>
          <w:szCs w:val="28"/>
          <w:highlight w:val="none"/>
          <w:u w:val="single"/>
        </w:rPr>
      </w:r>
      <w:r/>
    </w:p>
    <w:p>
      <w:pPr>
        <w:pStyle w:val="957"/>
        <w:ind w:left="1079" w:hanging="300"/>
        <w:jc w:val="left"/>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r>
        <w:rPr>
          <w:rFonts w:hint="eastAsia" w:ascii="方正仿宋_GBK" w:hAnsi="方正仿宋_GBK" w:eastAsia="方正仿宋_GBK" w:cs="方正仿宋_GBK"/>
          <w:color w:val="000000"/>
          <w:sz w:val="28"/>
          <w:szCs w:val="28"/>
          <w:highlight w:val="none"/>
          <w:u w:val="single"/>
        </w:rPr>
        <w:t xml:space="preserve">　025-86265605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r>
      <w:r/>
    </w:p>
    <w:p>
      <w:pPr>
        <w:pStyle w:val="957"/>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7"/>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57"/>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唐雪菲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徐小聪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color w:val="000000"/>
          <w:sz w:val="28"/>
          <w:szCs w:val="28"/>
        </w:rPr>
      </w:r>
      <w:r/>
    </w:p>
    <w:p>
      <w:pPr>
        <w:pStyle w:val="957"/>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025-83668562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83668516</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lang w:val="en-US" w:eastAsia="zh-CN"/>
        </w:rPr>
        <w:t xml:space="preserve"> </w:t>
      </w:r>
      <w:r>
        <w:rPr>
          <w:rFonts w:hint="eastAsia" w:ascii="方正仿宋_GB2312" w:hAnsi="方正仿宋_GB2312" w:eastAsia="方正仿宋_GB2312" w:cs="方正仿宋_GB2312"/>
          <w:i w:val="0"/>
          <w:iCs w:val="0"/>
          <w:caps w:val="0"/>
          <w:spacing w:val="0"/>
          <w:sz w:val="28"/>
          <w:szCs w:val="28"/>
          <w:u w:val="single"/>
          <w:shd w:val="clear" w:color="auto" w:fill="auto"/>
        </w:rPr>
        <w:t xml:space="preserve"> </w:t>
      </w:r>
      <w:bookmarkEnd w:id="42"/>
      <w:r>
        <w:rPr>
          <w:rFonts w:hint="eastAsia" w:ascii="方正仿宋_GB2312" w:hAnsi="方正仿宋_GB2312" w:eastAsia="方正仿宋_GB2312" w:cs="方正仿宋_GB2312"/>
          <w:color w:val="000000"/>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7"/>
        <w:ind w:right="840"/>
        <w:rPr>
          <w:rFonts w:hint="eastAsia" w:ascii="宋体" w:hAnsi="宋体"/>
          <w:color w:val="000000"/>
          <w:sz w:val="24"/>
          <w:szCs w:val="24"/>
        </w:rPr>
      </w:pPr>
      <w:r>
        <w:rPr>
          <w:rFonts w:hint="eastAsia" w:ascii="宋体" w:hAnsi="宋体"/>
          <w:color w:val="000000"/>
          <w:sz w:val="24"/>
          <w:szCs w:val="24"/>
        </w:rPr>
      </w:r>
      <w:r/>
    </w:p>
    <w:p>
      <w:pPr>
        <w:pStyle w:val="957"/>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20823274"/>
      <w:r/>
      <w:bookmarkStart w:id="45" w:name="_Toc16938518"/>
      <w:r/>
      <w:bookmarkStart w:id="46" w:name="_Toc120614213"/>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7"/>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20823285"/>
      <w:r/>
      <w:bookmarkStart w:id="49" w:name="_Toc462564072"/>
      <w:r/>
      <w:bookmarkStart w:id="50" w:name="_Toc16938529"/>
      <w:r/>
      <w:bookmarkStart w:id="51" w:name="_Toc513029213"/>
      <w:r/>
      <w:bookmarkStart w:id="52" w:name="_Toc120614216"/>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20823286"/>
      <w:r/>
      <w:bookmarkStart w:id="54" w:name="_Toc16938530"/>
      <w:r/>
      <w:bookmarkStart w:id="55" w:name="_Toc513029214"/>
      <w:r/>
      <w:bookmarkStart w:id="56"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462564074"/>
      <w:r/>
      <w:bookmarkStart w:id="58" w:name="_Toc20823287"/>
      <w:r/>
      <w:bookmarkStart w:id="59" w:name="_Toc16938531"/>
      <w:r/>
      <w:bookmarkStart w:id="60" w:name="_Toc513029215"/>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70360"/>
      <w:r/>
      <w:bookmarkEnd w:id="61"/>
      <w:r/>
      <w:bookmarkStart w:id="62" w:name="_Hlt26954838"/>
      <w:r/>
      <w:bookmarkEnd w:id="62"/>
      <w:r/>
      <w:bookmarkStart w:id="63" w:name="_Hlt26668975"/>
      <w:r/>
      <w:bookmarkEnd w:id="63"/>
      <w:r/>
      <w:bookmarkStart w:id="64" w:name="_Toc49090509"/>
      <w:r/>
      <w:bookmarkStart w:id="65" w:name="_Toc14577357"/>
      <w:r/>
      <w:bookmarkStart w:id="66" w:name="_Toc513029219"/>
      <w:r/>
      <w:bookmarkStart w:id="67" w:name="_Toc49090507"/>
      <w:r/>
      <w:bookmarkStart w:id="68" w:name="_Toc513029216"/>
      <w:r/>
      <w:bookmarkStart w:id="69"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954731"/>
      <w:r/>
      <w:bookmarkEnd w:id="75"/>
      <w:r/>
      <w:bookmarkStart w:id="76" w:name="_Hlt26670486"/>
      <w:r/>
      <w:bookmarkEnd w:id="76"/>
      <w:r/>
      <w:bookmarkStart w:id="77" w:name="_Hlt26670482"/>
      <w:r/>
      <w:bookmarkEnd w:id="77"/>
      <w:r/>
      <w:bookmarkStart w:id="78" w:name="_Hlt26668983"/>
      <w:r/>
      <w:bookmarkEnd w:id="78"/>
      <w:r/>
      <w:bookmarkStart w:id="79" w:name="_Hlt26954848"/>
      <w:r/>
      <w:bookmarkEnd w:id="79"/>
      <w:r/>
      <w:bookmarkStart w:id="80" w:name="_Hlt26670403"/>
      <w:r/>
      <w:bookmarkEnd w:id="80"/>
      <w:r/>
      <w:bookmarkStart w:id="81" w:name="_Hlt26954842"/>
      <w:r/>
      <w:bookmarkEnd w:id="81"/>
      <w:r/>
      <w:bookmarkStart w:id="82" w:name="_Hlt26670425"/>
      <w:r/>
      <w:bookmarkEnd w:id="82"/>
      <w:r/>
      <w:bookmarkStart w:id="83" w:name="_Hlt26954846"/>
      <w:r/>
      <w:bookmarkEnd w:id="83"/>
      <w:r/>
      <w:bookmarkStart w:id="84" w:name="_Hlt26954844"/>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49090510"/>
      <w:r/>
      <w:bookmarkStart w:id="86"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954850"/>
      <w:r/>
      <w:bookmarkEnd w:id="87"/>
      <w:r/>
      <w:bookmarkStart w:id="88" w:name="_Hlt26954734"/>
      <w:r/>
      <w:bookmarkEnd w:id="88"/>
      <w:r/>
      <w:bookmarkStart w:id="89" w:name="_Hlt26670489"/>
      <w:r/>
      <w:bookmarkEnd w:id="89"/>
      <w:r/>
      <w:bookmarkStart w:id="90" w:name="_Toc49090511"/>
      <w:r/>
      <w:bookmarkStart w:id="91"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20823296"/>
      <w:r/>
      <w:bookmarkStart w:id="95" w:name="_Toc16938540"/>
      <w:r/>
      <w:bookmarkStart w:id="96" w:name="_Toc120614217"/>
      <w:r/>
      <w:bookmarkStart w:id="97" w:name="_Toc513029224"/>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513029225"/>
      <w:r/>
      <w:bookmarkStart w:id="99" w:name="_Toc20823297"/>
      <w:r/>
      <w:bookmarkStart w:id="100" w:name="_Toc16938541"/>
      <w:r/>
      <w:bookmarkStart w:id="101"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16938542"/>
      <w:r/>
      <w:bookmarkStart w:id="103" w:name="_Toc20823298"/>
      <w:r/>
      <w:bookmarkStart w:id="104" w:name="_Toc513029226"/>
      <w:r>
        <w:rPr>
          <w:rFonts w:hint="eastAsia" w:ascii="方正仿宋_GBK" w:hAnsi="方正仿宋_GBK" w:eastAsia="方正仿宋_GBK" w:cs="方正仿宋_GBK"/>
          <w:bCs/>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513029227"/>
      <w:r/>
      <w:bookmarkStart w:id="106" w:name="_Toc20823299"/>
      <w:r/>
      <w:bookmarkStart w:id="107"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1"/>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20823300"/>
      <w:r/>
      <w:bookmarkStart w:id="109" w:name="_Toc16938544"/>
      <w:r/>
      <w:bookmarkStart w:id="110"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20823301"/>
      <w:r/>
      <w:bookmarkStart w:id="112" w:name="_Toc16938545"/>
      <w:r/>
      <w:bookmarkStart w:id="113" w:name="_Toc120614218"/>
      <w:r/>
      <w:bookmarkStart w:id="114" w:name="_Toc513029229"/>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16938546"/>
      <w:r/>
      <w:bookmarkStart w:id="116" w:name="_Toc20823302"/>
      <w:r/>
      <w:bookmarkStart w:id="117" w:name="_Toc513029230"/>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16938547"/>
      <w:r/>
      <w:bookmarkStart w:id="119" w:name="_Toc20823303"/>
      <w:r/>
      <w:bookmarkStart w:id="120"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w:t>
      </w:r>
      <w:r>
        <w:rPr>
          <w:rFonts w:hint="eastAsia" w:ascii="方正仿宋_GBK" w:hAnsi="方正仿宋_GBK" w:eastAsia="方正仿宋_GBK" w:cs="方正仿宋_GBK"/>
          <w:sz w:val="28"/>
          <w:szCs w:val="28"/>
          <w:lang w:eastAsia="zh-CN"/>
        </w:rPr>
        <w:t xml:space="preserve">候选人</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20823304"/>
      <w:r/>
      <w:bookmarkStart w:id="122" w:name="_Toc513029232"/>
      <w:r/>
      <w:bookmarkStart w:id="123" w:name="_Toc16938548"/>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7"/>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16938549"/>
      <w:r/>
      <w:bookmarkStart w:id="125" w:name="_Toc20823305"/>
      <w:r/>
      <w:bookmarkStart w:id="126" w:name="_Toc513029233"/>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16938550"/>
      <w:r/>
      <w:bookmarkStart w:id="128" w:name="_Toc20823306"/>
      <w:r/>
      <w:bookmarkStart w:id="129" w:name="_Toc513029234"/>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（3）投标报价低于采购项目最高限价60%的，即投标报价&lt;采购项目最高限价×60%；</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20823307"/>
      <w:r/>
      <w:bookmarkStart w:id="131" w:name="_Toc513029235"/>
      <w:r/>
      <w:bookmarkStart w:id="132" w:name="_Toc16938551"/>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20823310"/>
      <w:r/>
      <w:bookmarkStart w:id="136" w:name="_Toc16938554"/>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57"/>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513029236"/>
      <w:r/>
      <w:bookmarkStart w:id="140" w:name="_Toc20823308"/>
      <w:r/>
      <w:bookmarkStart w:id="141" w:name="_Toc16938552"/>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20823309"/>
      <w:r/>
      <w:bookmarkStart w:id="143" w:name="_Toc513029237"/>
      <w:r/>
      <w:bookmarkStart w:id="144" w:name="_Toc16938553"/>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513029242"/>
      <w:r/>
      <w:bookmarkStart w:id="146" w:name="_Toc479757207"/>
      <w:r/>
      <w:bookmarkStart w:id="147" w:name="_Toc20823314"/>
      <w:r/>
      <w:bookmarkStart w:id="148" w:name="_Toc120614221"/>
      <w:r/>
      <w:bookmarkStart w:id="149" w:name="_Toc16938558"/>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71"/>
        <w:spacing w:line="400" w:lineRule="exact"/>
        <w:rPr>
          <w:rFonts w:hint="eastAsia" w:ascii="宋体" w:hAnsi="宋体"/>
          <w:bCs/>
          <w:sz w:val="24"/>
        </w:rPr>
      </w:pPr>
      <w:r>
        <w:rPr>
          <w:rFonts w:hint="eastAsia" w:ascii="宋体" w:hAnsi="宋体"/>
          <w:bCs/>
          <w:sz w:val="24"/>
        </w:rPr>
      </w:r>
      <w:r/>
    </w:p>
    <w:p>
      <w:pPr>
        <w:pStyle w:val="957"/>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8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50" w:name="_Toc16938559"/>
      <w:r/>
      <w:bookmarkStart w:id="151" w:name="_Toc20823315"/>
      <w:r/>
      <w:bookmarkStart w:id="152" w:name="_Toc513029243"/>
      <w:r>
        <w:rPr>
          <w:rFonts w:hint="eastAsia" w:ascii="方正黑体_GBK" w:hAnsi="方正黑体_GBK" w:eastAsia="方正黑体_GBK" w:cs="方正黑体_GBK"/>
          <w:b w:val="0"/>
          <w:bCs w:val="0"/>
          <w:spacing w:val="-20"/>
          <w:sz w:val="28"/>
          <w:szCs w:val="28"/>
        </w:rPr>
      </w:r>
      <w:r/>
    </w:p>
    <w:p>
      <w:pPr>
        <w:pStyle w:val="98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57"/>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5"/>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5"/>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5"/>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9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120614244"/>
      <w:r/>
      <w:bookmarkStart w:id="156" w:name="_Toc16938590"/>
      <w:r/>
      <w:bookmarkStart w:id="157" w:name="_Toc20823346"/>
      <w:r/>
      <w:bookmarkStart w:id="158" w:name="_Toc479757211"/>
      <w:r/>
      <w:bookmarkStart w:id="159"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26554093"/>
      <w:r/>
      <w:bookmarkStart w:id="161" w:name="_Toc49090575"/>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939"/>
        <w:gridCol w:w="3550"/>
        <w:gridCol w:w="2438"/>
      </w:tblGrid>
      <w:tr>
        <w:trPr>
          <w:cantSplit/>
          <w:trHeight w:val="701"/>
        </w:trPr>
        <w:tc>
          <w:tcPr>
            <w:tcW w:w="790"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939"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550"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939"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550" w:type="dxa"/>
            <w:vAlign w:val="top"/>
            <w:textDirection w:val="lrTb"/>
            <w:noWrap w:val="false"/>
          </w:tcPr>
          <w:p>
            <w:pPr>
              <w:pStyle w:val="957"/>
              <w:jc w:val="center"/>
              <w:spacing w:line="0" w:lineRule="atLeast"/>
              <w:tabs>
                <w:tab w:val="left" w:pos="2020" w:leader="none"/>
              </w:tabs>
              <w:rPr>
                <w:rFonts w:hint="eastAsia" w:ascii="方正仿宋_GBK" w:hAnsi="方正仿宋_GBK" w:eastAsia="方正仿宋_GBK" w:cs="方正仿宋_GBK"/>
                <w:sz w:val="28"/>
                <w:szCs w:val="28"/>
                <w:u w:val="none"/>
                <w:lang w:val="en-US" w:eastAsia="zh-CN"/>
              </w:rPr>
            </w:pPr>
            <w:r>
              <w:rPr>
                <w:rFonts w:hint="eastAsia" w:ascii="方正仿宋_GBK" w:hAnsi="方正仿宋_GBK" w:eastAsia="方正仿宋_GBK" w:cs="方正仿宋_GBK"/>
                <w:sz w:val="28"/>
                <w:szCs w:val="28"/>
                <w:highlight w:val="none"/>
              </w:rPr>
              <w:t xml:space="preserve">江苏开放大学终身学习服务智能体建设</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957"/>
              <w:jc w:val="center"/>
              <w:spacing w:line="0" w:lineRule="atLeast"/>
              <w:tabs>
                <w:tab w:val="left" w:pos="2020" w:leader="none"/>
              </w:tabs>
              <w:rPr>
                <w:rFonts w:hint="eastAsia" w:ascii="Times New Roman" w:hAnsi="Times New Roman" w:eastAsia="方正仿宋_GBK" w:cs="Times New Roman"/>
                <w:color w:val="000000"/>
                <w:sz w:val="28"/>
                <w:szCs w:val="28"/>
                <w:u w:val="none"/>
                <w:lang w:val="en-US" w:eastAsia="zh-CN" w:bidi="ar-SA"/>
              </w:rPr>
            </w:pPr>
            <w:r>
              <w:rPr>
                <w:highlight w:val="none"/>
              </w:rPr>
              <w:fldChar w:fldCharType="begin"/>
            </w:r>
            <w:r>
              <w:rPr>
                <w:highlight w:val="none"/>
              </w:rPr>
              <w:instrText xml:space="preserve"> HYPERLINK "https://baike.baidu.com/item/%E8%BD%AF%E4%BB%B6%E5%92%8C</w:instrText>
            </w:r>
            <w:r>
              <w:rPr>
                <w:highlight w:val="none"/>
              </w:rPr>
              <w:instrText xml:space="preserve">%E4%BF%A1%E6%81%AF%E6%8A%80%E6%9C%AF%E6%9C%8D%E5%8A%A1%E4%B8%9A/60200450?fromModule=lemma_inlink" \o "https://baike.baidu.com/item/%E8%BD%AF%E4%BB%B6%E5%92%8C%E4%BF%A1%E6%81%AF%E6%8A%80%E6%9C%AF%E6%9C%8D%E5%8A%A1%E4%B8%9A/60200450?fromModule=lemma_inlink" </w:instrText>
            </w:r>
            <w:r>
              <w:rPr>
                <w:highlight w:val="none"/>
              </w:rPr>
              <w:fldChar w:fldCharType="separate"/>
            </w:r>
            <w:r>
              <w:rPr>
                <w:rFonts w:hint="eastAsia" w:ascii="方正仿宋_GBK" w:hAnsi="方正仿宋_GBK" w:eastAsia="方正仿宋_GBK" w:cs="方正仿宋_GBK"/>
                <w:sz w:val="28"/>
                <w:szCs w:val="28"/>
                <w:highlight w:val="none"/>
              </w:rPr>
              <w:t xml:space="preserve">软件和信息技术服务业</w:t>
            </w:r>
            <w:r>
              <w:rPr>
                <w:rFonts w:hint="eastAsia" w:ascii="方正仿宋_GBK" w:hAnsi="方正仿宋_GBK" w:eastAsia="方正仿宋_GBK" w:cs="方正仿宋_GBK"/>
                <w:sz w:val="28"/>
                <w:szCs w:val="28"/>
                <w:highlight w:val="none"/>
              </w:rPr>
              <w:fldChar w:fldCharType="end"/>
            </w:r>
            <w:r>
              <w:rPr>
                <w:rFonts w:hint="eastAsia" w:ascii="Times New Roman" w:hAnsi="Times New Roman" w:eastAsia="方正仿宋_GBK" w:cs="Times New Roman"/>
                <w:color w:val="000000"/>
                <w:sz w:val="28"/>
                <w:szCs w:val="28"/>
                <w:u w:val="none"/>
                <w:lang w:val="en-US" w:eastAsia="zh-CN" w:bidi="ar-SA"/>
              </w:rPr>
            </w:r>
            <w:r/>
          </w:p>
        </w:tc>
      </w:tr>
    </w:tbl>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57"/>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57"/>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57"/>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57"/>
        <w:ind w:firstLine="562"/>
        <w:jc w:val="left"/>
        <w:keepLines w:val="0"/>
        <w:keepNext w:val="0"/>
        <w:pageBreakBefore w:val="0"/>
        <w:spacing w:line="400" w:lineRule="exact"/>
        <w:widowControl w:val="off"/>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注：本项目为服务项目，不涉及本国产品。</w:t>
      </w:r>
      <w:r>
        <w:rPr>
          <w:rFonts w:ascii="方正仿宋_GBK" w:hAnsi="方正仿宋_GBK" w:eastAsia="方正仿宋_GBK" w:cs="方正仿宋_GBK"/>
          <w:b/>
          <w:bCs/>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lang w:val="en-US" w:eastAsia="zh-CN"/>
        </w:rPr>
        <w:t xml:space="preserve">采购清单</w:t>
      </w:r>
      <w:r>
        <w:rPr>
          <w:rFonts w:hint="eastAsia" w:ascii="方正黑体_GBK" w:hAnsi="方正黑体_GBK" w:eastAsia="方正黑体_GBK" w:cs="方正黑体_GBK"/>
          <w:b w:val="0"/>
          <w:bCs/>
          <w:sz w:val="28"/>
          <w:szCs w:val="28"/>
          <w:lang w:val="en-US" w:eastAsia="zh-CN"/>
        </w:rPr>
      </w:r>
      <w:r/>
    </w:p>
    <w:p>
      <w:pPr>
        <w:pStyle w:val="988"/>
        <w:rPr>
          <w:rFonts w:hint="eastAsia" w:ascii="宋体" w:hAnsi="宋体" w:eastAsia="宋体"/>
          <w:color w:val="000000"/>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eastAsia="zh-CN"/>
        </w:rPr>
        <w:t xml:space="preserve">软件</w:t>
      </w:r>
      <w:r>
        <w:rPr>
          <w:rFonts w:hint="eastAsia" w:ascii="宋体" w:hAnsi="宋体" w:eastAsia="宋体" w:cs="宋体"/>
          <w:b/>
          <w:color w:val="000000"/>
          <w:sz w:val="24"/>
          <w:szCs w:val="24"/>
          <w:highlight w:val="none"/>
        </w:rPr>
        <w:t xml:space="preserve">采购清单</w:t>
      </w:r>
      <w:r>
        <w:rPr>
          <w:rFonts w:hint="eastAsia" w:ascii="宋体" w:hAnsi="宋体" w:eastAsia="宋体"/>
          <w:color w:val="000000"/>
          <w:highlight w:val="none"/>
        </w:rPr>
      </w:r>
      <w:r/>
    </w:p>
    <w:tbl>
      <w:tblPr>
        <w:tblStyle w:val="102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0"/>
        <w:gridCol w:w="4535"/>
        <w:gridCol w:w="850"/>
        <w:gridCol w:w="850"/>
      </w:tblGrid>
      <w:tr>
        <w:trPr/>
        <w:tc>
          <w:tcPr>
            <w:shd w:val="clear" w:color="auto" w:fill="d9e2f3"/>
            <w:tcW w:w="850" w:type="dxa"/>
            <w:vAlign w:val="top"/>
            <w:textDirection w:val="lrTb"/>
            <w:noWrap w:val="false"/>
          </w:tcPr>
          <w:p>
            <w:pPr>
              <w:pStyle w:val="957"/>
              <w:jc w:val="center"/>
              <w:rPr>
                <w:sz w:val="24"/>
                <w:szCs w:val="24"/>
                <w:highlight w:val="none"/>
              </w:rPr>
            </w:pPr>
            <w:r>
              <w:rPr>
                <w:rFonts w:ascii="宋体" w:hAnsi="宋体"/>
                <w:b/>
                <w:sz w:val="24"/>
                <w:szCs w:val="24"/>
                <w:highlight w:val="none"/>
              </w:rPr>
              <w:t xml:space="preserve">序号</w:t>
            </w:r>
            <w:r>
              <w:rPr>
                <w:sz w:val="24"/>
                <w:szCs w:val="24"/>
                <w:highlight w:val="none"/>
              </w:rPr>
            </w:r>
            <w:r/>
          </w:p>
        </w:tc>
        <w:tc>
          <w:tcPr>
            <w:shd w:val="clear" w:color="auto" w:fill="d9e2f3"/>
            <w:tcW w:w="4535" w:type="dxa"/>
            <w:vAlign w:val="top"/>
            <w:textDirection w:val="lrTb"/>
            <w:noWrap w:val="false"/>
          </w:tcPr>
          <w:p>
            <w:pPr>
              <w:pStyle w:val="957"/>
              <w:jc w:val="center"/>
              <w:rPr>
                <w:sz w:val="24"/>
                <w:szCs w:val="24"/>
                <w:highlight w:val="none"/>
              </w:rPr>
            </w:pPr>
            <w:r>
              <w:rPr>
                <w:rFonts w:ascii="宋体" w:hAnsi="宋体"/>
                <w:b/>
                <w:sz w:val="24"/>
                <w:szCs w:val="24"/>
                <w:highlight w:val="none"/>
              </w:rPr>
              <w:t xml:space="preserve">服务名称</w:t>
            </w:r>
            <w:r>
              <w:rPr>
                <w:sz w:val="24"/>
                <w:szCs w:val="24"/>
                <w:highlight w:val="none"/>
              </w:rPr>
            </w:r>
            <w:r/>
          </w:p>
        </w:tc>
        <w:tc>
          <w:tcPr>
            <w:shd w:val="clear" w:color="auto" w:fill="d9e2f3"/>
            <w:tcW w:w="850" w:type="dxa"/>
            <w:vAlign w:val="top"/>
            <w:textDirection w:val="lrTb"/>
            <w:noWrap w:val="false"/>
          </w:tcPr>
          <w:p>
            <w:pPr>
              <w:pStyle w:val="957"/>
              <w:jc w:val="center"/>
              <w:rPr>
                <w:sz w:val="24"/>
                <w:szCs w:val="24"/>
                <w:highlight w:val="none"/>
              </w:rPr>
            </w:pPr>
            <w:r>
              <w:rPr>
                <w:rFonts w:ascii="宋体" w:hAnsi="宋体"/>
                <w:b/>
                <w:sz w:val="24"/>
                <w:szCs w:val="24"/>
                <w:highlight w:val="none"/>
              </w:rPr>
              <w:t xml:space="preserve">数量</w:t>
            </w:r>
            <w:r>
              <w:rPr>
                <w:sz w:val="24"/>
                <w:szCs w:val="24"/>
                <w:highlight w:val="none"/>
              </w:rPr>
            </w:r>
            <w:r/>
          </w:p>
        </w:tc>
        <w:tc>
          <w:tcPr>
            <w:shd w:val="clear" w:color="auto" w:fill="d9e2f3"/>
            <w:tcW w:w="850" w:type="dxa"/>
            <w:vAlign w:val="top"/>
            <w:textDirection w:val="lrTb"/>
            <w:noWrap w:val="false"/>
          </w:tcPr>
          <w:p>
            <w:pPr>
              <w:pStyle w:val="957"/>
              <w:jc w:val="center"/>
              <w:rPr>
                <w:sz w:val="24"/>
                <w:szCs w:val="24"/>
                <w:highlight w:val="none"/>
              </w:rPr>
            </w:pPr>
            <w:r>
              <w:rPr>
                <w:rFonts w:ascii="宋体" w:hAnsi="宋体"/>
                <w:b/>
                <w:sz w:val="24"/>
                <w:szCs w:val="24"/>
                <w:highlight w:val="none"/>
              </w:rPr>
              <w:t xml:space="preserve">单位</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前端用户端系统（Web端+微信小程序）</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2</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后端核心服务系统（Java Spring Boot）</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3</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AI智能体引擎（核心智能模块）</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4</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数据采集与治理体系</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5</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数据存储与知识库系统</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6</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智能用户洞察看板（管理员端）</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7</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职业能力评估与画像系统</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8</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个性化推荐与规划引擎</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9</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系统集成与部署运维</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r>
        <w:trPr/>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10</w:t>
            </w:r>
            <w:r>
              <w:rPr>
                <w:sz w:val="24"/>
                <w:szCs w:val="24"/>
                <w:highlight w:val="none"/>
              </w:rPr>
            </w:r>
            <w:r/>
          </w:p>
        </w:tc>
        <w:tc>
          <w:tcPr>
            <w:tcW w:w="4535" w:type="dxa"/>
            <w:vAlign w:val="top"/>
            <w:textDirection w:val="lrTb"/>
            <w:noWrap w:val="false"/>
          </w:tcPr>
          <w:p>
            <w:pPr>
              <w:pStyle w:val="957"/>
              <w:rPr>
                <w:sz w:val="24"/>
                <w:szCs w:val="24"/>
                <w:highlight w:val="none"/>
              </w:rPr>
            </w:pPr>
            <w:r>
              <w:rPr>
                <w:rFonts w:ascii="宋体" w:hAnsi="宋体"/>
                <w:sz w:val="24"/>
                <w:szCs w:val="24"/>
                <w:highlight w:val="none"/>
              </w:rPr>
              <w:t xml:space="preserve">安全合规体系</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1</w:t>
            </w:r>
            <w:r>
              <w:rPr>
                <w:sz w:val="24"/>
                <w:szCs w:val="24"/>
                <w:highlight w:val="none"/>
              </w:rPr>
            </w:r>
            <w:r/>
          </w:p>
        </w:tc>
        <w:tc>
          <w:tcPr>
            <w:tcW w:w="850" w:type="dxa"/>
            <w:vAlign w:val="top"/>
            <w:textDirection w:val="lrTb"/>
            <w:noWrap w:val="false"/>
          </w:tcPr>
          <w:p>
            <w:pPr>
              <w:pStyle w:val="957"/>
              <w:rPr>
                <w:sz w:val="24"/>
                <w:szCs w:val="24"/>
                <w:highlight w:val="none"/>
              </w:rPr>
            </w:pPr>
            <w:r>
              <w:rPr>
                <w:rFonts w:ascii="宋体" w:hAnsi="宋体"/>
                <w:sz w:val="24"/>
                <w:szCs w:val="24"/>
                <w:highlight w:val="none"/>
              </w:rPr>
              <w:t xml:space="preserve">项</w:t>
            </w:r>
            <w:r>
              <w:rPr>
                <w:sz w:val="24"/>
                <w:szCs w:val="24"/>
                <w:highlight w:val="none"/>
              </w:rPr>
            </w:r>
            <w:r/>
          </w:p>
        </w:tc>
      </w:tr>
    </w:tbl>
    <w:p>
      <w:pPr>
        <w:pStyle w:val="995"/>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ascii="方正黑体_GBK" w:hAnsi="方正黑体_GBK" w:eastAsia="方正黑体_GBK" w:cs="方正黑体_GBK"/>
          <w:b w:val="0"/>
          <w:bCs/>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四、</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本项目技术要求涵盖前端用户端、后端核心服务、AI智能体引擎、数据采集与治理、数据存储与知识库、智能用户洞察看板、职业能力评估与画像系统、个性化推荐与规划引擎、系统集成与部署运维、安全合规体系共十大核心模块，共计106项功能点。</w:t>
      </w:r>
      <w:r>
        <w:rPr>
          <w:rFonts w:hint="eastAsia" w:ascii="方正仿宋_GBK" w:hAnsi="方正仿宋_GBK" w:eastAsia="方正仿宋_GBK" w:cs="方正仿宋_GBK"/>
          <w:bCs/>
          <w:sz w:val="28"/>
          <w:szCs w:val="28"/>
        </w:rPr>
      </w:r>
      <w:r/>
    </w:p>
    <w:p>
      <w:pPr>
        <w:pStyle w:val="960"/>
        <w:numPr>
          <w:ilvl w:val="0"/>
          <w:numId w:val="5"/>
        </w:numPr>
        <w:rPr>
          <w:rFonts w:hint="eastAsia" w:ascii="黑体" w:hAnsi="黑体" w:eastAsia="黑体"/>
          <w:sz w:val="24"/>
          <w:szCs w:val="24"/>
          <w:highlight w:val="none"/>
          <w:lang w:eastAsia="zh-CN"/>
        </w:rPr>
      </w:pPr>
      <w:r>
        <w:rPr>
          <w:rFonts w:ascii="黑体" w:hAnsi="黑体" w:eastAsia="黑体"/>
          <w:sz w:val="24"/>
          <w:szCs w:val="24"/>
          <w:highlight w:val="none"/>
          <w:lang w:eastAsia="zh-CN"/>
        </w:rPr>
        <w:t xml:space="preserve">总体要求</w:t>
      </w:r>
      <w:r>
        <w:rPr>
          <w:rFonts w:hint="eastAsia" w:ascii="黑体" w:hAnsi="黑体" w:eastAsia="黑体"/>
          <w:sz w:val="24"/>
          <w:szCs w:val="24"/>
          <w:highlight w:val="none"/>
          <w:lang w:eastAsia="zh-CN"/>
        </w:rPr>
      </w:r>
      <w:r/>
    </w:p>
    <w:p>
      <w:pPr>
        <w:pStyle w:val="960"/>
        <w:rPr>
          <w:rFonts w:hint="eastAsia" w:ascii="黑体" w:hAnsi="黑体" w:eastAsia="黑体"/>
          <w:sz w:val="24"/>
          <w:szCs w:val="24"/>
          <w:highlight w:val="none"/>
          <w:lang w:eastAsia="zh-CN"/>
        </w:rPr>
      </w:pPr>
      <w:r>
        <w:rPr>
          <w:rFonts w:hint="eastAsia" w:ascii="黑体" w:hAnsi="黑体" w:eastAsia="黑体"/>
          <w:sz w:val="24"/>
          <w:szCs w:val="24"/>
          <w:highlight w:val="none"/>
          <w:lang w:eastAsia="zh-CN"/>
        </w:rPr>
        <w:t xml:space="preserve">1、系统总体架构要求</w:t>
      </w:r>
      <w:r>
        <w:rPr>
          <w:rFonts w:hint="eastAsia" w:ascii="黑体" w:hAnsi="黑体" w:eastAsia="黑体"/>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本项目采用六层架构设计，各层职责明确、解耦清晰，确保系统的高可用、高扩展与高安全：</w:t>
      </w:r>
      <w:r>
        <w:rPr>
          <w:sz w:val="24"/>
          <w:szCs w:val="24"/>
          <w:highlight w:val="none"/>
        </w:rPr>
      </w:r>
      <w:r/>
    </w:p>
    <w:tbl>
      <w:tblPr>
        <w:tblStyle w:val="102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835"/>
        <w:gridCol w:w="4535"/>
      </w:tblGrid>
      <w:tr>
        <w:trPr/>
        <w:tc>
          <w:tcPr>
            <w:shd w:val="clear" w:color="auto" w:fill="d9e2f3"/>
            <w:tcW w:w="1417" w:type="dxa"/>
            <w:vAlign w:val="top"/>
            <w:textDirection w:val="lrTb"/>
            <w:noWrap w:val="false"/>
          </w:tcPr>
          <w:p>
            <w:pPr>
              <w:pStyle w:val="957"/>
              <w:jc w:val="center"/>
              <w:rPr>
                <w:sz w:val="24"/>
                <w:szCs w:val="24"/>
                <w:highlight w:val="none"/>
              </w:rPr>
            </w:pPr>
            <w:r>
              <w:rPr>
                <w:b/>
                <w:sz w:val="24"/>
                <w:szCs w:val="24"/>
                <w:highlight w:val="none"/>
              </w:rPr>
              <w:t xml:space="preserve">层级</w:t>
            </w:r>
            <w:r>
              <w:rPr>
                <w:sz w:val="24"/>
                <w:szCs w:val="24"/>
                <w:highlight w:val="none"/>
              </w:rPr>
            </w:r>
            <w:r/>
          </w:p>
        </w:tc>
        <w:tc>
          <w:tcPr>
            <w:shd w:val="clear" w:color="auto" w:fill="d9e2f3"/>
            <w:tcW w:w="2835" w:type="dxa"/>
            <w:vAlign w:val="top"/>
            <w:textDirection w:val="lrTb"/>
            <w:noWrap w:val="false"/>
          </w:tcPr>
          <w:p>
            <w:pPr>
              <w:pStyle w:val="957"/>
              <w:jc w:val="center"/>
              <w:rPr>
                <w:sz w:val="24"/>
                <w:szCs w:val="24"/>
                <w:highlight w:val="none"/>
              </w:rPr>
            </w:pPr>
            <w:r>
              <w:rPr>
                <w:b/>
                <w:sz w:val="24"/>
                <w:szCs w:val="24"/>
                <w:highlight w:val="none"/>
              </w:rPr>
              <w:t xml:space="preserve">核心技术</w:t>
            </w:r>
            <w:r>
              <w:rPr>
                <w:sz w:val="24"/>
                <w:szCs w:val="24"/>
                <w:highlight w:val="none"/>
              </w:rPr>
            </w:r>
            <w:r/>
          </w:p>
        </w:tc>
        <w:tc>
          <w:tcPr>
            <w:shd w:val="clear" w:color="auto" w:fill="d9e2f3"/>
            <w:tcW w:w="4535" w:type="dxa"/>
            <w:vAlign w:val="top"/>
            <w:textDirection w:val="lrTb"/>
            <w:noWrap w:val="false"/>
          </w:tcPr>
          <w:p>
            <w:pPr>
              <w:pStyle w:val="957"/>
              <w:jc w:val="center"/>
              <w:rPr>
                <w:sz w:val="24"/>
                <w:szCs w:val="24"/>
                <w:highlight w:val="none"/>
              </w:rPr>
            </w:pPr>
            <w:r>
              <w:rPr>
                <w:b/>
                <w:sz w:val="24"/>
                <w:szCs w:val="24"/>
                <w:highlight w:val="none"/>
              </w:rPr>
              <w:t xml:space="preserve">职责说明</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表现层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Web端(PC) React/Vue、微信小程序</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用户交互界面、数据呈现、多端会话同步、Markdown/Mermaid渲染</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接入层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Nginx / API Gateway</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负载均衡、反向代理、SSL终结、限流、安全防护</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应用层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Java Spring Boot</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业务逻辑、用户管理、会话管理、RBAC权限控制、JWT鉴权</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能力层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多智能体平台 + SearXNG + PaddleOCR + DeepSeek</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AI智能体编排、联网搜索、OCR识别、大模型推理</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数据层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MySQL + Redis + Milvus向量数据库</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结构化存储、缓存加速、RAG知识库语义检索</w:t>
            </w:r>
            <w:r>
              <w:rPr>
                <w:sz w:val="24"/>
                <w:szCs w:val="24"/>
                <w:highlight w:val="none"/>
              </w:rPr>
            </w:r>
            <w:r/>
          </w:p>
        </w:tc>
      </w:tr>
      <w:tr>
        <w:trPr/>
        <w:tc>
          <w:tcPr>
            <w:tcW w:w="1417" w:type="dxa"/>
            <w:vAlign w:val="top"/>
            <w:textDirection w:val="lrTb"/>
            <w:noWrap w:val="false"/>
          </w:tcPr>
          <w:p>
            <w:pPr>
              <w:pStyle w:val="957"/>
              <w:rPr>
                <w:sz w:val="24"/>
                <w:szCs w:val="24"/>
                <w:highlight w:val="none"/>
              </w:rPr>
            </w:pPr>
            <w:r>
              <w:rPr>
                <w:sz w:val="24"/>
                <w:szCs w:val="24"/>
                <w:highlight w:val="none"/>
              </w:rPr>
              <w:t xml:space="preserve">基础设施层</w:t>
            </w:r>
            <w:r>
              <w:rPr>
                <w:sz w:val="24"/>
                <w:szCs w:val="24"/>
                <w:highlight w:val="none"/>
              </w:rPr>
            </w:r>
            <w:r/>
          </w:p>
        </w:tc>
        <w:tc>
          <w:tcPr>
            <w:tcW w:w="2835" w:type="dxa"/>
            <w:vAlign w:val="top"/>
            <w:textDirection w:val="lrTb"/>
            <w:noWrap w:val="false"/>
          </w:tcPr>
          <w:p>
            <w:pPr>
              <w:pStyle w:val="957"/>
              <w:rPr>
                <w:sz w:val="24"/>
                <w:szCs w:val="24"/>
                <w:highlight w:val="none"/>
              </w:rPr>
            </w:pPr>
            <w:r>
              <w:rPr>
                <w:sz w:val="24"/>
                <w:szCs w:val="24"/>
                <w:highlight w:val="none"/>
              </w:rPr>
              <w:t xml:space="preserve">Linux服务器 + Docker</w:t>
            </w:r>
            <w:r>
              <w:rPr>
                <w:sz w:val="24"/>
                <w:szCs w:val="24"/>
                <w:highlight w:val="none"/>
              </w:rPr>
            </w:r>
            <w:r/>
          </w:p>
        </w:tc>
        <w:tc>
          <w:tcPr>
            <w:tcW w:w="4535" w:type="dxa"/>
            <w:vAlign w:val="top"/>
            <w:textDirection w:val="lrTb"/>
            <w:noWrap w:val="false"/>
          </w:tcPr>
          <w:p>
            <w:pPr>
              <w:pStyle w:val="957"/>
              <w:rPr>
                <w:sz w:val="24"/>
                <w:szCs w:val="24"/>
                <w:highlight w:val="none"/>
              </w:rPr>
            </w:pPr>
            <w:r>
              <w:rPr>
                <w:sz w:val="24"/>
                <w:szCs w:val="24"/>
                <w:highlight w:val="none"/>
              </w:rPr>
              <w:t xml:space="preserve">容器化部署、环境一致性保障、数据备份与恢复</w:t>
            </w:r>
            <w:r>
              <w:rPr>
                <w:sz w:val="24"/>
                <w:szCs w:val="24"/>
                <w:highlight w:val="none"/>
              </w:rPr>
            </w:r>
            <w:r/>
          </w:p>
        </w:tc>
      </w:tr>
    </w:tbl>
    <w:p>
      <w:pPr>
        <w:pStyle w:val="957"/>
        <w:rPr>
          <w:sz w:val="24"/>
          <w:szCs w:val="24"/>
          <w:highlight w:val="none"/>
        </w:rPr>
      </w:pP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系统总体架构需满足以下要求：</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采用微服务架构设计，各服务模块独立部署、独立扩展，支持灰度发布与滚动更新；</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2、▲支持水平扩展能力，通过增加节点实现性能线性提升，满足全省200万+</w:t>
      </w:r>
      <w:r>
        <w:rPr>
          <w:rFonts w:ascii="宋体" w:hAnsi="宋体" w:eastAsia="宋体"/>
          <w:sz w:val="24"/>
          <w:szCs w:val="24"/>
          <w:highlight w:val="none"/>
        </w:rPr>
        <w:t xml:space="preserve">注册用户，系统支持并发用户数≥</w:t>
      </w:r>
      <w:r>
        <w:rPr>
          <w:rFonts w:hint="eastAsia" w:ascii="宋体" w:hAnsi="宋体" w:eastAsia="宋体"/>
          <w:sz w:val="24"/>
          <w:szCs w:val="24"/>
          <w:highlight w:val="none"/>
        </w:rPr>
        <w:t xml:space="preserve">1</w:t>
      </w:r>
      <w:r>
        <w:rPr>
          <w:rFonts w:ascii="宋体" w:hAnsi="宋体" w:eastAsia="宋体"/>
          <w:sz w:val="24"/>
          <w:szCs w:val="24"/>
          <w:highlight w:val="none"/>
        </w:rPr>
        <w:t xml:space="preserve">0,000</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3、▲系统响应时间：AI对话首字响应≤</w:t>
      </w:r>
      <w:r>
        <w:rPr>
          <w:rFonts w:hint="eastAsia"/>
          <w:sz w:val="24"/>
          <w:szCs w:val="24"/>
          <w:highlight w:val="none"/>
        </w:rPr>
        <w:t xml:space="preserve">10</w:t>
      </w:r>
      <w:r>
        <w:rPr>
          <w:sz w:val="24"/>
          <w:szCs w:val="24"/>
          <w:highlight w:val="none"/>
        </w:rPr>
        <w:t xml:space="preserve">秒，完整响应≤</w:t>
      </w:r>
      <w:r>
        <w:rPr>
          <w:rFonts w:hint="eastAsia"/>
          <w:sz w:val="24"/>
          <w:szCs w:val="24"/>
          <w:highlight w:val="none"/>
        </w:rPr>
        <w:t xml:space="preserve">30</w:t>
      </w:r>
      <w:r>
        <w:rPr>
          <w:sz w:val="24"/>
          <w:szCs w:val="24"/>
          <w:highlight w:val="none"/>
        </w:rPr>
        <w:t xml:space="preserve">秒；页面加载≤</w:t>
      </w:r>
      <w:r>
        <w:rPr>
          <w:rFonts w:hint="eastAsia"/>
          <w:sz w:val="24"/>
          <w:szCs w:val="24"/>
          <w:highlight w:val="none"/>
        </w:rPr>
        <w:t xml:space="preserve">4</w:t>
      </w:r>
      <w:r>
        <w:rPr>
          <w:sz w:val="24"/>
          <w:szCs w:val="24"/>
          <w:highlight w:val="none"/>
        </w:rPr>
        <w:t xml:space="preserve">秒；接口响应≤</w:t>
      </w:r>
      <w:r>
        <w:rPr>
          <w:rFonts w:hint="eastAsia"/>
          <w:sz w:val="24"/>
          <w:szCs w:val="24"/>
          <w:highlight w:val="none"/>
        </w:rPr>
        <w:t xml:space="preserve">20</w:t>
      </w:r>
      <w:r>
        <w:rPr>
          <w:sz w:val="24"/>
          <w:szCs w:val="24"/>
          <w:highlight w:val="none"/>
        </w:rPr>
        <w:t xml:space="preserve">00毫秒；</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4、▲系统可用性≥99%，支持故障自动切换与熔断降级</w:t>
      </w:r>
      <w:r>
        <w:rPr>
          <w:rFonts w:hint="eastAsia"/>
          <w:sz w:val="24"/>
          <w:szCs w:val="24"/>
          <w:highlight w:val="none"/>
        </w:rPr>
        <w:t xml:space="preserve">(</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支持并发用户数≥10000，峰值并发≥50000；</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数据安全：全站HTTPS加密、敏感数据脱敏存储、数据库定期备份与灾难恢复。</w:t>
      </w:r>
      <w:r>
        <w:rPr>
          <w:sz w:val="24"/>
          <w:szCs w:val="24"/>
          <w:highlight w:val="none"/>
        </w:rPr>
      </w:r>
      <w:r/>
    </w:p>
    <w:p>
      <w:pPr>
        <w:pStyle w:val="960"/>
        <w:rPr>
          <w:sz w:val="24"/>
          <w:szCs w:val="24"/>
          <w:highlight w:val="none"/>
        </w:rPr>
      </w:pPr>
      <w:r>
        <w:rPr>
          <w:rFonts w:hint="eastAsia" w:ascii="黑体" w:hAnsi="黑体" w:eastAsia="黑体"/>
          <w:sz w:val="24"/>
          <w:szCs w:val="24"/>
          <w:highlight w:val="none"/>
          <w:lang w:eastAsia="zh-CN"/>
        </w:rPr>
        <w:t xml:space="preserve">2、●</w:t>
      </w:r>
      <w:r>
        <w:rPr>
          <w:rFonts w:ascii="黑体" w:hAnsi="黑体" w:eastAsia="黑体"/>
          <w:sz w:val="24"/>
          <w:szCs w:val="24"/>
          <w:highlight w:val="none"/>
        </w:rPr>
        <w:t xml:space="preserve">核心技术栈汇总</w:t>
      </w:r>
      <w:r>
        <w:rPr>
          <w:sz w:val="24"/>
          <w:szCs w:val="24"/>
          <w:highlight w:val="none"/>
        </w:rPr>
      </w:r>
      <w:r/>
    </w:p>
    <w:tbl>
      <w:tblPr>
        <w:tblStyle w:val="1027"/>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01"/>
        <w:gridCol w:w="3969"/>
        <w:gridCol w:w="2268"/>
      </w:tblGrid>
      <w:tr>
        <w:trPr/>
        <w:tc>
          <w:tcPr>
            <w:shd w:val="clear" w:color="auto" w:fill="d9e2f3"/>
            <w:tcW w:w="1701" w:type="dxa"/>
            <w:vAlign w:val="top"/>
            <w:textDirection w:val="lrTb"/>
            <w:noWrap w:val="false"/>
          </w:tcPr>
          <w:p>
            <w:pPr>
              <w:pStyle w:val="957"/>
              <w:jc w:val="center"/>
              <w:rPr>
                <w:sz w:val="24"/>
                <w:szCs w:val="24"/>
                <w:highlight w:val="none"/>
              </w:rPr>
            </w:pPr>
            <w:r>
              <w:rPr>
                <w:b/>
                <w:sz w:val="24"/>
                <w:szCs w:val="24"/>
                <w:highlight w:val="none"/>
              </w:rPr>
              <w:t xml:space="preserve">技术类别</w:t>
            </w:r>
            <w:r>
              <w:rPr>
                <w:sz w:val="24"/>
                <w:szCs w:val="24"/>
                <w:highlight w:val="none"/>
              </w:rPr>
            </w:r>
            <w:r/>
          </w:p>
        </w:tc>
        <w:tc>
          <w:tcPr>
            <w:shd w:val="clear" w:color="auto" w:fill="d9e2f3"/>
            <w:tcW w:w="3969" w:type="dxa"/>
            <w:vAlign w:val="top"/>
            <w:textDirection w:val="lrTb"/>
            <w:noWrap w:val="false"/>
          </w:tcPr>
          <w:p>
            <w:pPr>
              <w:pStyle w:val="957"/>
              <w:jc w:val="center"/>
              <w:rPr>
                <w:sz w:val="24"/>
                <w:szCs w:val="24"/>
                <w:highlight w:val="none"/>
              </w:rPr>
            </w:pPr>
            <w:r>
              <w:rPr>
                <w:b/>
                <w:sz w:val="24"/>
                <w:szCs w:val="24"/>
                <w:highlight w:val="none"/>
              </w:rPr>
              <w:t xml:space="preserve">技术组件</w:t>
            </w:r>
            <w:r>
              <w:rPr>
                <w:sz w:val="24"/>
                <w:szCs w:val="24"/>
                <w:highlight w:val="none"/>
              </w:rPr>
            </w:r>
            <w:r/>
          </w:p>
        </w:tc>
        <w:tc>
          <w:tcPr>
            <w:shd w:val="clear" w:color="auto" w:fill="d9e2f3"/>
            <w:tcW w:w="2268" w:type="dxa"/>
            <w:vAlign w:val="top"/>
            <w:textDirection w:val="lrTb"/>
            <w:noWrap w:val="false"/>
          </w:tcPr>
          <w:p>
            <w:pPr>
              <w:pStyle w:val="957"/>
              <w:jc w:val="center"/>
              <w:rPr>
                <w:sz w:val="24"/>
                <w:szCs w:val="24"/>
                <w:highlight w:val="none"/>
              </w:rPr>
            </w:pPr>
            <w:r>
              <w:rPr>
                <w:b/>
                <w:sz w:val="24"/>
                <w:szCs w:val="24"/>
                <w:highlight w:val="none"/>
              </w:rPr>
              <w:t xml:space="preserve">备注</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大模型/AI</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DeepSeek、BERT、Embedding模型、NLP(jieba/聚类)</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核心智能能力</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后端框架</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Java Spring Boot、Python(爬虫/数据处理)</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业务逻辑与数据采集</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智能体平台</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通用智能体架构</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多Agent协作编排</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数据库</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MySQL(结构化)、Redis(缓存)、Milvus(RAG)</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多层级混合存储</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搜索引擎</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SearXNG(联网搜索)</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实时信息获取</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OCR</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百度飞桨 PaddleOCR</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非结构化数据解析</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爬虫框架</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Firecrawl、模块化爬虫接口</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就业数据自动采集</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前端技术</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Web端(React/Vue)、微信小程序、Markdown/Mermaid渲染</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多终端用户界面</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部署运维</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Docker、Nginx、Linux、HTTPS/SSL</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容器化部署运维</w:t>
            </w:r>
            <w:r>
              <w:rPr>
                <w:sz w:val="24"/>
                <w:szCs w:val="24"/>
                <w:highlight w:val="none"/>
              </w:rPr>
            </w:r>
            <w:r/>
          </w:p>
        </w:tc>
      </w:tr>
      <w:tr>
        <w:trPr/>
        <w:tc>
          <w:tcPr>
            <w:tcW w:w="1701" w:type="dxa"/>
            <w:vAlign w:val="top"/>
            <w:textDirection w:val="lrTb"/>
            <w:noWrap w:val="false"/>
          </w:tcPr>
          <w:p>
            <w:pPr>
              <w:pStyle w:val="957"/>
              <w:rPr>
                <w:sz w:val="24"/>
                <w:szCs w:val="24"/>
                <w:highlight w:val="none"/>
              </w:rPr>
            </w:pPr>
            <w:r>
              <w:rPr>
                <w:sz w:val="24"/>
                <w:szCs w:val="24"/>
                <w:highlight w:val="none"/>
              </w:rPr>
              <w:t xml:space="preserve">安全机制</w:t>
            </w:r>
            <w:r>
              <w:rPr>
                <w:sz w:val="24"/>
                <w:szCs w:val="24"/>
                <w:highlight w:val="none"/>
              </w:rPr>
            </w:r>
            <w:r/>
          </w:p>
        </w:tc>
        <w:tc>
          <w:tcPr>
            <w:tcW w:w="3969" w:type="dxa"/>
            <w:vAlign w:val="top"/>
            <w:textDirection w:val="lrTb"/>
            <w:noWrap w:val="false"/>
          </w:tcPr>
          <w:p>
            <w:pPr>
              <w:pStyle w:val="957"/>
              <w:rPr>
                <w:sz w:val="24"/>
                <w:szCs w:val="24"/>
                <w:highlight w:val="none"/>
              </w:rPr>
            </w:pPr>
            <w:r>
              <w:rPr>
                <w:sz w:val="24"/>
                <w:szCs w:val="24"/>
                <w:highlight w:val="none"/>
              </w:rPr>
              <w:t xml:space="preserve">JWT双Token、RBAC、数据脱敏、HTTPS</w:t>
            </w:r>
            <w:r>
              <w:rPr>
                <w:sz w:val="24"/>
                <w:szCs w:val="24"/>
                <w:highlight w:val="none"/>
              </w:rPr>
            </w:r>
            <w:r/>
          </w:p>
        </w:tc>
        <w:tc>
          <w:tcPr>
            <w:tcW w:w="2268" w:type="dxa"/>
            <w:vAlign w:val="top"/>
            <w:textDirection w:val="lrTb"/>
            <w:noWrap w:val="false"/>
          </w:tcPr>
          <w:p>
            <w:pPr>
              <w:pStyle w:val="957"/>
              <w:rPr>
                <w:sz w:val="24"/>
                <w:szCs w:val="24"/>
                <w:highlight w:val="none"/>
              </w:rPr>
            </w:pPr>
            <w:r>
              <w:rPr>
                <w:sz w:val="24"/>
                <w:szCs w:val="24"/>
                <w:highlight w:val="none"/>
              </w:rPr>
              <w:t xml:space="preserve">全链路安全防护</w:t>
            </w:r>
            <w:r>
              <w:rPr>
                <w:sz w:val="24"/>
                <w:szCs w:val="24"/>
                <w:highlight w:val="none"/>
              </w:rPr>
            </w:r>
            <w:r/>
          </w:p>
        </w:tc>
      </w:tr>
    </w:tbl>
    <w:p>
      <w:pPr>
        <w:pStyle w:val="957"/>
        <w:spacing w:after="60" w:line="440" w:lineRule="exact"/>
        <w:rPr>
          <w:rFonts w:hint="eastAsia" w:ascii="黑体" w:hAnsi="黑体" w:eastAsia="黑体"/>
          <w:b/>
          <w:bCs/>
          <w:sz w:val="28"/>
          <w:szCs w:val="28"/>
          <w:highlight w:val="none"/>
        </w:rPr>
      </w:pPr>
      <w:r>
        <w:rPr>
          <w:rFonts w:hint="eastAsia" w:ascii="黑体" w:hAnsi="黑体" w:eastAsia="黑体"/>
          <w:b/>
          <w:bCs/>
          <w:sz w:val="28"/>
          <w:szCs w:val="28"/>
          <w:highlight w:val="none"/>
        </w:rPr>
      </w:r>
      <w:r/>
    </w:p>
    <w:p>
      <w:pPr>
        <w:pStyle w:val="1049"/>
        <w:numPr>
          <w:ilvl w:val="0"/>
          <w:numId w:val="5"/>
        </w:numPr>
        <w:spacing w:after="60" w:line="440" w:lineRule="exact"/>
        <w:rPr>
          <w:rFonts w:hint="eastAsia" w:ascii="黑体" w:hAnsi="黑体" w:eastAsia="黑体"/>
          <w:b/>
          <w:bCs/>
          <w:sz w:val="28"/>
          <w:szCs w:val="28"/>
          <w:highlight w:val="none"/>
        </w:rPr>
      </w:pPr>
      <w:r>
        <w:rPr>
          <w:rFonts w:hint="eastAsia" w:ascii="黑体" w:hAnsi="黑体" w:eastAsia="黑体"/>
          <w:b/>
          <w:bCs/>
          <w:sz w:val="28"/>
          <w:szCs w:val="28"/>
          <w:highlight w:val="none"/>
        </w:rPr>
        <w:t xml:space="preserve">软件功能要求</w:t>
      </w:r>
      <w:r>
        <w:rPr>
          <w:rFonts w:hint="eastAsia" w:ascii="黑体" w:hAnsi="黑体" w:eastAsia="黑体"/>
          <w:b/>
          <w:bCs/>
          <w:sz w:val="28"/>
          <w:szCs w:val="28"/>
          <w:highlight w:val="none"/>
        </w:rPr>
      </w:r>
      <w:r/>
    </w:p>
    <w:p>
      <w:pPr>
        <w:pStyle w:val="961"/>
        <w:rPr>
          <w:highlight w:val="none"/>
          <w:lang w:eastAsia="zh-CN"/>
        </w:rPr>
      </w:pPr>
      <w:r>
        <w:rPr>
          <w:rFonts w:ascii="黑体" w:hAnsi="黑体"/>
          <w:highlight w:val="none"/>
          <w:lang w:eastAsia="zh-CN"/>
        </w:rPr>
        <w:t xml:space="preserve">1. 前端用户端系统（Web端+微信小程序）</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前端用户端系统是用户与智能体交互的直接界面，支持Web端（PC）与微信小程序双端实时同步，提供智能对话、职业评测、学习计划、资讯浏览、个人中心等全场景服务能力。系统采用</w:t>
      </w:r>
      <w:r>
        <w:rPr>
          <w:rFonts w:hint="eastAsia"/>
          <w:sz w:val="24"/>
          <w:szCs w:val="24"/>
          <w:highlight w:val="none"/>
        </w:rPr>
        <w:t xml:space="preserve">前后端分离</w:t>
      </w:r>
      <w:r>
        <w:rPr>
          <w:sz w:val="24"/>
          <w:szCs w:val="24"/>
          <w:highlight w:val="none"/>
        </w:rPr>
        <w:t xml:space="preserve">框架，原生支持Markdown与Mermaid图表渲染，具备断网恢复、会话持久化、懒加载等高级特性，确保多终端无缝体验。</w:t>
      </w:r>
      <w:r>
        <w:rPr>
          <w:sz w:val="24"/>
          <w:szCs w:val="24"/>
          <w:highlight w:val="none"/>
        </w:rPr>
      </w:r>
      <w:r/>
    </w:p>
    <w:p>
      <w:pPr>
        <w:pStyle w:val="963"/>
        <w:rPr>
          <w:highlight w:val="none"/>
          <w:lang w:eastAsia="zh-CN"/>
        </w:rPr>
      </w:pPr>
      <w:r>
        <w:rPr>
          <w:rFonts w:ascii="黑体" w:hAnsi="黑体"/>
          <w:highlight w:val="none"/>
          <w:lang w:eastAsia="zh-CN"/>
        </w:rPr>
        <w:t xml:space="preserve">1.1 智能对话交互</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1、▲支持AI对话交互界面，支持流式推送、多轮对话，对话内容支持文本、图标、表格、图表等多种格式渲染展示；</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支持Markdown格式原生渲染，包括标题、列表、代码块、表格等；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3、▲支持Mermaid图表原生渲染，包括流程图、时序图、甘特图、雷达图等，实现专业排版格式可视化展示；</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支持对话内容中关键信息高亮、引用块、折叠区域等富文本展示；</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支持对话内容的复制、收藏、分享操作。</w:t>
      </w:r>
      <w:r>
        <w:rPr>
          <w:sz w:val="24"/>
          <w:szCs w:val="24"/>
          <w:highlight w:val="none"/>
        </w:rPr>
      </w:r>
      <w:r/>
    </w:p>
    <w:p>
      <w:pPr>
        <w:pStyle w:val="963"/>
        <w:rPr>
          <w:highlight w:val="none"/>
          <w:lang w:eastAsia="zh-CN"/>
        </w:rPr>
      </w:pPr>
      <w:r>
        <w:rPr>
          <w:rFonts w:ascii="黑体" w:hAnsi="黑体"/>
          <w:highlight w:val="none"/>
          <w:lang w:eastAsia="zh-CN"/>
        </w:rPr>
        <w:t xml:space="preserve">1.2 职业功能服务</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1、▲支持AI生成可执行学习计划功能，用户可通过对话获取个性化学习计划，系统自动跟踪计划执行进度；</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支持标准化职业能力测评体系，涵盖性格特质、职业潜能、能力倾向、学习风格等维度，测评完成后自动生成分析报告；</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支持教育政策、职业资讯、行业动态等文章内容浏览；</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支持对话片段、文章内容、学习计划等关键信息收藏与分类管理；</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支持高频问题TOP榜动态排名展示，热门专业/职业关注排行展示。</w:t>
      </w:r>
      <w:r>
        <w:rPr>
          <w:sz w:val="24"/>
          <w:szCs w:val="24"/>
          <w:highlight w:val="none"/>
        </w:rPr>
      </w:r>
      <w:r/>
    </w:p>
    <w:p>
      <w:pPr>
        <w:pStyle w:val="963"/>
        <w:rPr>
          <w:highlight w:val="none"/>
          <w:lang w:eastAsia="zh-CN"/>
        </w:rPr>
      </w:pPr>
      <w:r>
        <w:rPr>
          <w:rFonts w:ascii="黑体" w:hAnsi="黑体"/>
          <w:highlight w:val="none"/>
          <w:lang w:eastAsia="zh-CN"/>
        </w:rPr>
        <w:t xml:space="preserve">1.3 个人中心与多端同步</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支持个人中心功能，包括个人信息管理、专属画像查看、历史对话管理、收藏内容管理等；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2、▲支持12小时内对话续聊功能，用户可在12小时内继续未完成的对话，保持上下文连贯性；</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支持多历史对话管理，用户可创建、切换、删除多个独立对话会话；</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4、▲支持Web端与微信小程序双端实时同步，对话记录全平台互通，多终端会话状态实时一致；</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支持断网恢复与会话持久化机制，异常断线后自动恢复对话状态，确保用户体验连续性。</w:t>
      </w:r>
      <w:r>
        <w:rPr>
          <w:sz w:val="24"/>
          <w:szCs w:val="24"/>
          <w:highlight w:val="none"/>
        </w:rPr>
      </w:r>
      <w:r/>
    </w:p>
    <w:p>
      <w:pPr>
        <w:pStyle w:val="963"/>
        <w:rPr>
          <w:highlight w:val="none"/>
          <w:lang w:eastAsia="zh-CN"/>
        </w:rPr>
      </w:pPr>
      <w:r>
        <w:rPr>
          <w:rFonts w:ascii="黑体" w:hAnsi="黑体"/>
          <w:highlight w:val="none"/>
          <w:lang w:eastAsia="zh-CN"/>
        </w:rPr>
        <w:t xml:space="preserve">1.4 性能优化与嵌入能力</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支持大规模内容懒加载与分段加载机制，优化首屏加载速度与滚动性能；</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支持无缝嵌入第三方平台能力，可对接江苏开放大学、联盟单位等已有系统；</w:t>
      </w:r>
      <w:r>
        <w:rPr>
          <w:sz w:val="24"/>
          <w:szCs w:val="24"/>
          <w:highlight w:val="none"/>
        </w:rPr>
      </w:r>
      <w:r/>
    </w:p>
    <w:p>
      <w:pPr>
        <w:pStyle w:val="957"/>
        <w:ind w:firstLine="482"/>
        <w:spacing w:after="60" w:line="440" w:lineRule="exact"/>
        <w:rPr>
          <w:rFonts w:eastAsia="宋体"/>
          <w:sz w:val="24"/>
          <w:szCs w:val="24"/>
          <w:highlight w:val="none"/>
          <w:lang w:val="en-US" w:eastAsia="zh-CN"/>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支持独立Web端入口</w:t>
      </w:r>
      <w:r>
        <w:rPr>
          <w:rFonts w:hint="eastAsia"/>
          <w:sz w:val="24"/>
          <w:szCs w:val="24"/>
          <w:highlight w:val="none"/>
          <w:lang w:val="en-US" w:eastAsia="zh-CN"/>
        </w:rPr>
        <w:t xml:space="preserve">访问系统</w:t>
      </w:r>
      <w:r>
        <w:rPr>
          <w:rFonts w:eastAsia="宋体"/>
          <w:sz w:val="24"/>
          <w:szCs w:val="24"/>
          <w:highlight w:val="none"/>
          <w:lang w:val="en-US" w:eastAsia="zh-CN"/>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lang w:val="en-US" w:eastAsia="zh-CN"/>
        </w:rPr>
        <w:t xml:space="preserve">支持</w:t>
      </w:r>
      <w:r>
        <w:rPr>
          <w:sz w:val="24"/>
          <w:szCs w:val="24"/>
          <w:highlight w:val="none"/>
        </w:rPr>
        <w:t xml:space="preserve">微信小程序端入口访问系统；</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w:t>
      </w:r>
      <w:r>
        <w:rPr>
          <w:rFonts w:hint="eastAsia"/>
          <w:sz w:val="24"/>
          <w:szCs w:val="24"/>
          <w:highlight w:val="none"/>
        </w:rPr>
        <w:t xml:space="preserve">●</w:t>
      </w:r>
      <w:r>
        <w:rPr>
          <w:sz w:val="24"/>
          <w:szCs w:val="24"/>
          <w:highlight w:val="none"/>
        </w:rPr>
        <w:t xml:space="preserve">支持响应式布局设计，自动适配PC、平板、手机等多终端屏幕尺寸；</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6</w:t>
      </w:r>
      <w:r>
        <w:rPr>
          <w:sz w:val="24"/>
          <w:szCs w:val="24"/>
          <w:highlight w:val="none"/>
        </w:rPr>
        <w:t xml:space="preserve">、▲支持系统使用数据图表可视化展示，包括访问量趋势、用户活跃度、功能使用分布等。</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2. 后端核心服务系统</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后端核心服务系统，提供用户管理、会话管理、权限控制、内容管理、日志监控、消息推送等基础服务能力。系统采用微服务架构设计，支持JWT双Token鉴权机制，确保系统安全性与高可用性。</w:t>
      </w:r>
      <w:r>
        <w:rPr>
          <w:sz w:val="24"/>
          <w:szCs w:val="24"/>
          <w:highlight w:val="none"/>
        </w:rPr>
      </w:r>
      <w:r/>
    </w:p>
    <w:p>
      <w:pPr>
        <w:pStyle w:val="963"/>
        <w:rPr>
          <w:highlight w:val="none"/>
          <w:lang w:eastAsia="zh-CN"/>
        </w:rPr>
      </w:pPr>
      <w:r>
        <w:rPr>
          <w:rFonts w:ascii="黑体" w:hAnsi="黑体"/>
          <w:highlight w:val="none"/>
          <w:lang w:eastAsia="zh-CN"/>
        </w:rPr>
        <w:t xml:space="preserve">2.1 用户与会话管理</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支持用户注册</w:t>
      </w:r>
      <w:r>
        <w:rPr>
          <w:rFonts w:hint="eastAsia"/>
          <w:sz w:val="24"/>
          <w:szCs w:val="24"/>
          <w:highlight w:val="none"/>
        </w:rPr>
        <w:t xml:space="preserve">(手机号、微信号)</w:t>
      </w:r>
      <w:r>
        <w:rPr>
          <w:sz w:val="24"/>
          <w:szCs w:val="24"/>
          <w:highlight w:val="none"/>
        </w:rPr>
        <w:t xml:space="preserve">、登录</w:t>
      </w:r>
      <w:r>
        <w:rPr>
          <w:rFonts w:hint="eastAsia"/>
          <w:sz w:val="24"/>
          <w:szCs w:val="24"/>
          <w:highlight w:val="none"/>
        </w:rPr>
        <w:t xml:space="preserve">（短信验证码、微信一键登录）</w:t>
      </w:r>
      <w:r>
        <w:rPr>
          <w:sz w:val="24"/>
          <w:szCs w:val="24"/>
          <w:highlight w:val="none"/>
        </w:rPr>
        <w:t xml:space="preserve">、信息管理、角色分配等全流程用户管理功能；</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2、▲支持会话创建、管理、持久化功能，确保多端会话状态实时同步；</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支持游客、普通用户、管理员三级RBAC权限控制模型，实现细粒度权限管理；</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支持游客访问控制机制，包括轮次限制（默认20次）</w:t>
      </w:r>
      <w:r>
        <w:rPr>
          <w:rFonts w:hint="eastAsia"/>
          <w:sz w:val="24"/>
          <w:szCs w:val="24"/>
          <w:highlight w:val="none"/>
          <w:lang w:eastAsia="zh-CN"/>
        </w:rPr>
        <w:t xml:space="preserve">；</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lang w:val="en-US" w:eastAsia="zh-CN"/>
        </w:rPr>
        <w:t xml:space="preserve">支持</w:t>
      </w:r>
      <w:r>
        <w:rPr>
          <w:sz w:val="24"/>
          <w:szCs w:val="24"/>
          <w:highlight w:val="none"/>
        </w:rPr>
        <w:t xml:space="preserve">防脚本批量调用等安全策略。</w:t>
      </w:r>
      <w:r>
        <w:rPr>
          <w:sz w:val="24"/>
          <w:szCs w:val="24"/>
          <w:highlight w:val="none"/>
        </w:rPr>
      </w:r>
      <w:r/>
    </w:p>
    <w:p>
      <w:pPr>
        <w:pStyle w:val="963"/>
        <w:rPr>
          <w:highlight w:val="none"/>
        </w:rPr>
      </w:pPr>
      <w:r>
        <w:rPr>
          <w:rFonts w:ascii="黑体" w:hAnsi="黑体"/>
          <w:highlight w:val="none"/>
        </w:rPr>
        <w:t xml:space="preserve">2.2 安全鉴权机制</w:t>
      </w:r>
      <w:r>
        <w:rPr>
          <w:highlight w:val="none"/>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支持JWT双Token鉴权机制，Access Token（30分钟有效）+ Refresh Token（7-30天有效），实现无感刷新；</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支持Token黑名单机制，用户登出或异常Token即时失效，防止重放攻击；</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支持数据脱敏处理，用户敏感信息（身份证号、手机号等）脱敏存储与传输；</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支持全站HTTPS加密传输，SSL证书配置，确保传输层安全；</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支持API Gateway统一入口管理，包括请求路由、限流控制、安全防护等功能。</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6、●配合甲方进行二级等保相关网络安全方面认证工作。</w:t>
      </w:r>
      <w:r>
        <w:rPr>
          <w:sz w:val="24"/>
          <w:szCs w:val="24"/>
          <w:highlight w:val="none"/>
        </w:rPr>
      </w:r>
      <w:r/>
    </w:p>
    <w:p>
      <w:pPr>
        <w:pStyle w:val="963"/>
        <w:rPr>
          <w:highlight w:val="none"/>
          <w:lang w:eastAsia="zh-CN"/>
        </w:rPr>
      </w:pPr>
      <w:r>
        <w:rPr>
          <w:rFonts w:ascii="黑体" w:hAnsi="黑体"/>
          <w:highlight w:val="none"/>
          <w:lang w:eastAsia="zh-CN"/>
        </w:rPr>
        <w:t xml:space="preserve">2.3 内容与监控管理</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支持内容管理CMS功能，包括文章发布、资讯管理、资源配置、内容审核等；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支持操作日志、访问日志、异常日志等多维度日志监控功能；</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3、▲支持基于用户标签的智能消息推送功能，实现精准内容触达；</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支持系统运行状态实时监控，包括CPU、内存、磁盘、网络等资源监控；</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支持接口调用统计与性能分析，包括响应时间、成功率、错误率等指标。</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3. AI智能体引擎（核心智能模块）</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AI智能体引擎是本项目的核心智能模块，采用纯代码自研方式构建，不使用可视化编排平台，智能体运行时、RAG管线、工具调度全部源码级实现</w:t>
      </w:r>
      <w:r>
        <w:rPr>
          <w:rFonts w:hint="eastAsia"/>
          <w:sz w:val="24"/>
          <w:szCs w:val="24"/>
          <w:highlight w:val="none"/>
        </w:rPr>
        <w:t xml:space="preserve">。</w:t>
      </w:r>
      <w:r>
        <w:rPr>
          <w:sz w:val="24"/>
          <w:szCs w:val="24"/>
          <w:highlight w:val="none"/>
        </w:rPr>
        <w:t xml:space="preserve">引擎采用多智能体协作架构，实现</w:t>
      </w:r>
      <w:r>
        <w:rPr>
          <w:rFonts w:hint="eastAsia"/>
          <w:sz w:val="24"/>
          <w:szCs w:val="24"/>
          <w:highlight w:val="none"/>
        </w:rPr>
        <w:t xml:space="preserve">“</w:t>
      </w:r>
      <w:r>
        <w:rPr>
          <w:sz w:val="24"/>
          <w:szCs w:val="24"/>
          <w:highlight w:val="none"/>
        </w:rPr>
        <w:t xml:space="preserve">意图识别Agent—智能体协同调度—综合方案生成”的多级智能处理流水线，集成联网搜索、简历解析、知识库检索等核心技能，支持流畅连贯的多轮对话，具备提示词优化、记忆管理、等高级能力。</w:t>
      </w:r>
      <w:r>
        <w:rPr>
          <w:sz w:val="24"/>
          <w:szCs w:val="24"/>
          <w:highlight w:val="none"/>
        </w:rPr>
      </w:r>
      <w:r/>
    </w:p>
    <w:p>
      <w:pPr>
        <w:pStyle w:val="963"/>
        <w:rPr>
          <w:highlight w:val="none"/>
          <w:lang w:eastAsia="zh-CN"/>
        </w:rPr>
      </w:pPr>
      <w:r>
        <w:rPr>
          <w:rFonts w:ascii="黑体" w:hAnsi="黑体"/>
          <w:highlight w:val="none"/>
          <w:lang w:eastAsia="zh-CN"/>
        </w:rPr>
        <w:t xml:space="preserve">3.1 多智能体协作架构</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支持意图识别Agent，自动判断用户意图（职业规划、岗位查询、政策咨询、技能测评、学习推荐等），准确率不低于90%；</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支持多智能体协作架构，多个专业Agent（联网搜索Agent、简历解析Agent、知识库检索Agent、职业规划Agent等）协同工作，实现任务自动分发与调度；</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●智能体要支持用户记忆功能，能够对用户情况做到真实了解，实现系统的“千人面”，为用户提供个性化服务。</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支持智能体之间的消息传递与状态同步，确保协作流程的完整性与一致性。</w:t>
      </w:r>
      <w:r>
        <w:rPr>
          <w:sz w:val="24"/>
          <w:szCs w:val="24"/>
          <w:highlight w:val="none"/>
        </w:rPr>
      </w:r>
      <w:r/>
    </w:p>
    <w:p>
      <w:pPr>
        <w:pStyle w:val="963"/>
        <w:rPr>
          <w:highlight w:val="none"/>
          <w:lang w:eastAsia="zh-CN"/>
        </w:rPr>
      </w:pPr>
      <w:r>
        <w:rPr>
          <w:rFonts w:ascii="黑体" w:hAnsi="黑体"/>
          <w:highlight w:val="none"/>
          <w:lang w:eastAsia="zh-CN"/>
        </w:rPr>
        <w:t xml:space="preserve">3.2 核心智能Agent</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1、▲支持联网搜索Agent，集成SearXNG搜索引擎，实时联网获取最新就业政策、招聘信息、行业动态等；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2、▲支持简历解析Agent，自动解析用户上传的简历文件（PDF/Word），提取关键信息（教育背景、工作经历、技能证书等）</w:t>
      </w:r>
      <w:r>
        <w:rPr>
          <w:rFonts w:hint="eastAsia"/>
          <w:sz w:val="24"/>
          <w:szCs w:val="24"/>
          <w:highlight w:val="none"/>
        </w:rPr>
        <w:t xml:space="preserve">。</w:t>
      </w:r>
      <w:r>
        <w:rPr>
          <w:rFonts w:ascii="宋体" w:hAnsi="宋体"/>
          <w:sz w:val="24"/>
          <w:szCs w:val="24"/>
          <w:highlight w:val="none"/>
        </w:rPr>
        <w:t xml:space="preserve">解析准确率以标准评测集字段级评估为准：PDF/Word文本型简历不低于95%；并支持人工复核兜底修正，综合解析准确率不低于95%</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支持知识库检索Agent，基于向量数据库RAG（检索增强生成）技术，从官方知识库中精准检索相关信息，缓解大模型"幻觉"问题；</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支持个人信息查询Agent，基于用户画像提供个性化查询服务；</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支持能力差异分析Agent，自动比对用户画像与目标岗位能力要求，生成可视化能力差距分析报告；</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支持职业规划Agent，基于用户画像、能力测评结果与就业市场数据，生成多路径职业发展方案。</w:t>
      </w:r>
      <w:r>
        <w:rPr>
          <w:sz w:val="24"/>
          <w:szCs w:val="24"/>
          <w:highlight w:val="none"/>
        </w:rPr>
      </w:r>
      <w:r/>
    </w:p>
    <w:p>
      <w:pPr>
        <w:pStyle w:val="963"/>
        <w:rPr>
          <w:highlight w:val="none"/>
          <w:lang w:eastAsia="zh-CN"/>
        </w:rPr>
      </w:pPr>
      <w:r>
        <w:rPr>
          <w:rFonts w:ascii="黑体" w:hAnsi="黑体"/>
          <w:highlight w:val="none"/>
          <w:lang w:eastAsia="zh-CN"/>
        </w:rPr>
        <w:t xml:space="preserve">3.3 大模型与RAG能力</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支持RAG检索增强生成技术，结合向量检索与大模型生成，从权威知识库中提取精准信息，有效缓解大模型"幻觉"问题；</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支持Prompt Engineering提示词持续优化机制，针对不同业务场景优化提示词模板，提升输出质量；</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3、▲支持对话历史记忆管理与上下文连续性保持，多轮对话中准确理解用户意图变化；</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w:t>
      </w:r>
      <w:r>
        <w:rPr>
          <w:sz w:val="24"/>
          <w:szCs w:val="24"/>
          <w:highlight w:val="none"/>
        </w:rPr>
        <w:t xml:space="preserve">支持多模型灵活切换能力，兼容DeepSeek、BERT等多种大语言模型，可根据任务需求选择最优模型。</w:t>
      </w:r>
      <w:r>
        <w:rPr>
          <w:sz w:val="24"/>
          <w:szCs w:val="24"/>
          <w:highlight w:val="none"/>
        </w:rPr>
      </w:r>
      <w:r/>
    </w:p>
    <w:p>
      <w:pPr>
        <w:pStyle w:val="963"/>
        <w:rPr>
          <w:rFonts w:hint="eastAsia" w:ascii="黑体" w:hAnsi="黑体"/>
          <w:highlight w:val="none"/>
          <w:lang w:eastAsia="zh-CN"/>
        </w:rPr>
      </w:pPr>
      <w:r>
        <w:rPr>
          <w:rFonts w:hint="eastAsia" w:ascii="黑体" w:hAnsi="黑体"/>
          <w:highlight w:val="none"/>
          <w:lang w:eastAsia="zh-CN"/>
        </w:rPr>
        <w:t xml:space="preserve">3.4 幻觉与安全兜底机制</w:t>
      </w:r>
      <w:r>
        <w:rPr>
          <w:rFonts w:hint="eastAsia" w:ascii="黑体" w:hAnsi="黑体"/>
          <w:highlight w:val="none"/>
          <w:lang w:eastAsia="zh-CN"/>
        </w:rPr>
      </w:r>
      <w:r/>
    </w:p>
    <w:p>
      <w:pPr>
        <w:pStyle w:val="957"/>
        <w:ind w:firstLine="482"/>
        <w:spacing w:after="60" w:line="440" w:lineRule="exact"/>
        <w:rPr>
          <w:sz w:val="24"/>
          <w:szCs w:val="24"/>
          <w:highlight w:val="none"/>
        </w:rPr>
      </w:pPr>
      <w:r>
        <w:rPr>
          <w:rFonts w:hint="eastAsia"/>
          <w:sz w:val="24"/>
          <w:szCs w:val="24"/>
          <w:highlight w:val="none"/>
        </w:rPr>
        <w:t xml:space="preserve">1、▲支持强制溯源机制：知识库类答案必须携带来源条目；检索无命中时禁止模型自由发挥，明确回复”未在权威资料中找到对应内容”；</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2、▲支持忠实度校验机制：生成答案与检索片段做一致性校验，校验不通过则自动重新生成或降级为检索内容直出；</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3、●支持事实直读机制：岗位薪资、证书目录、课程信息等事实类查询走结构化数据库直读，不经模型生成，天然免疫幻觉；</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4、●支持人工兜底机制：结合知识库质量人工评测闭环，幻觉样本当周逐条回流修复，评测报告留痕可查。</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4. 数据采集与治理体系</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数据采集与治理体系是智能体知识库的数据基础保障，建立覆盖全省13地市的就业数据采集体系，整合400+院校招生数据、7532个教学点资源、3000+门课程信息。采用全自动化采集流水线，实现"URL采集—正文下载—清洗—OCR—打标—入库"全流程自动化，支持天级增量更新与来源溯源。</w:t>
      </w:r>
      <w:r>
        <w:rPr>
          <w:sz w:val="24"/>
          <w:szCs w:val="24"/>
          <w:highlight w:val="none"/>
        </w:rPr>
      </w:r>
      <w:r/>
    </w:p>
    <w:p>
      <w:pPr>
        <w:pStyle w:val="963"/>
        <w:rPr>
          <w:highlight w:val="none"/>
          <w:lang w:eastAsia="zh-CN"/>
        </w:rPr>
      </w:pPr>
      <w:r>
        <w:rPr>
          <w:rFonts w:ascii="黑体" w:hAnsi="黑体"/>
          <w:highlight w:val="none"/>
          <w:lang w:eastAsia="zh-CN"/>
        </w:rPr>
        <w:t xml:space="preserve">4.1 多源数据采集</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1、▲支持对接"就在江苏"等官方招聘平台数据采集，覆盖全省13个设区市，招聘数据量7000+条且持续更新；</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2、▲支持天级增量更新机制，自动化增量采集，每日凌晨定时同步刷新数据；</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支持省/市人社厅职业教育数据对接，涵盖400+院校招生与专业数据</w:t>
      </w:r>
      <w:r>
        <w:rPr>
          <w:rFonts w:hint="eastAsia"/>
          <w:sz w:val="24"/>
          <w:szCs w:val="24"/>
          <w:highlight w:val="none"/>
        </w:rPr>
        <w:t xml:space="preserve">、专业技能培训与认证机构点</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支持阳光教育平台数据整合，覆盖7532个教学点资源信息；</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5、▲支持江苏学习在线、南京大学/苏州大学</w:t>
      </w:r>
      <w:r>
        <w:rPr>
          <w:rFonts w:hint="eastAsia"/>
          <w:sz w:val="24"/>
          <w:szCs w:val="24"/>
          <w:highlight w:val="none"/>
        </w:rPr>
        <w:t xml:space="preserve">等联盟单位</w:t>
      </w:r>
      <w:r>
        <w:rPr>
          <w:sz w:val="24"/>
          <w:szCs w:val="24"/>
          <w:highlight w:val="none"/>
        </w:rPr>
        <w:t xml:space="preserve">继续教育</w:t>
      </w:r>
      <w:r>
        <w:rPr>
          <w:rFonts w:hint="eastAsia"/>
          <w:sz w:val="24"/>
          <w:szCs w:val="24"/>
          <w:highlight w:val="none"/>
        </w:rPr>
        <w:t xml:space="preserve">资源</w:t>
      </w:r>
      <w:r>
        <w:rPr>
          <w:sz w:val="24"/>
          <w:szCs w:val="24"/>
          <w:highlight w:val="none"/>
        </w:rPr>
        <w:t xml:space="preserve">、江苏工匠课堂等在线视频资源整合，课程资源3000+门；</w:t>
      </w:r>
      <w:r>
        <w:rPr>
          <w:sz w:val="24"/>
          <w:szCs w:val="24"/>
          <w:highlight w:val="none"/>
        </w:rPr>
      </w:r>
      <w:r/>
    </w:p>
    <w:p>
      <w:pPr>
        <w:pStyle w:val="963"/>
        <w:rPr>
          <w:highlight w:val="none"/>
          <w:lang w:eastAsia="zh-CN"/>
        </w:rPr>
      </w:pPr>
      <w:r>
        <w:rPr>
          <w:rFonts w:ascii="黑体" w:hAnsi="黑体"/>
          <w:highlight w:val="none"/>
          <w:lang w:eastAsia="zh-CN"/>
        </w:rPr>
        <w:t xml:space="preserve">4.2 数据清洗与标准化</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支持OCR识别与清洗功能，集成PaddleOCR/飞桨框架，实现PDF、表格等非结构化数据的自动解析；</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支持Markdown格式化规整功能，将非结构化数据转化为标准化文本格式；</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支持大模型自动打标功能，AI自动对采集数据进行分类、标签生成、岗位归类、技能标注与行业标签入库；</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4、▲支持全自动化采集流水线，实现"URL采集→正文下载→清洗→OCR→打标→入库"全流程自动化；</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支持数据来源溯源机制，全链路追踪数据来源，确保数据合规性与可审计性；</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支持结构化标签标准化，统一数据格式与标签体系，确保多源数据的一致性与可比性。</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5. 数据存储与知识库系统</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数据存储与知识库系统采用多层级混合存储架构，融合MySQL关系型数据库、Redis缓存数据库与向量数据库，支撑结构化数据存储、缓存加速与RAG知识库检索三大核心能力。系统支持双路检索机制与Embedding模型集成，确保知识检索的高效性与准确性。</w:t>
      </w:r>
      <w:r>
        <w:rPr>
          <w:sz w:val="24"/>
          <w:szCs w:val="24"/>
          <w:highlight w:val="none"/>
        </w:rPr>
      </w:r>
      <w:r/>
    </w:p>
    <w:p>
      <w:pPr>
        <w:pStyle w:val="963"/>
        <w:rPr>
          <w:highlight w:val="none"/>
          <w:lang w:eastAsia="zh-CN"/>
        </w:rPr>
      </w:pPr>
      <w:r>
        <w:rPr>
          <w:rFonts w:ascii="黑体" w:hAnsi="黑体"/>
          <w:highlight w:val="none"/>
          <w:lang w:eastAsia="zh-CN"/>
        </w:rPr>
        <w:t xml:space="preserve">5.1 多层级存储架构</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支持MySQL关系型数据库，存储用户信息、会话记录、文章内容、系统配置等结构化数据；</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支持Redis缓存数据库，用于验证码缓存、Token黑名单管理、临时会话存储、多端状态同步等高速缓存场景；</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支持向量数据库（Milvus），用于Embedding处理后的知识文档存储与语义检索，支撑RAG核心能力；</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支持数据层级化存储，按数据维度分层存储与高效索引，优化查询性能。</w:t>
      </w:r>
      <w:r>
        <w:rPr>
          <w:sz w:val="24"/>
          <w:szCs w:val="24"/>
          <w:highlight w:val="none"/>
        </w:rPr>
      </w:r>
      <w:r/>
    </w:p>
    <w:p>
      <w:pPr>
        <w:pStyle w:val="963"/>
        <w:rPr>
          <w:highlight w:val="none"/>
          <w:lang w:eastAsia="zh-CN"/>
        </w:rPr>
      </w:pPr>
      <w:r>
        <w:rPr>
          <w:rFonts w:ascii="黑体" w:hAnsi="黑体"/>
          <w:highlight w:val="none"/>
          <w:lang w:eastAsia="zh-CN"/>
        </w:rPr>
        <w:t xml:space="preserve">5.2 检索与索引能力</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1、▲支持双路检索机制，矢量语义检索（基于向量相似度）+ 结构化精确检索（基于关键词/条件），两种检索方式协同工作提升召回率与准确率</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支持Embedding模型集成，基于BERT等语义向量生成模型，将文本转化为高维语义向量；</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支持知识库索引优化，包括IVF_FLAT、IVF_PQ等索引类型，检索速度毫秒级响应；</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支持知识库的增量更新与版本管理，新增数据自动向量化并更新索引。</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6. 智能用户洞察看板（管理员端）</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智能用户洞察看板是面向管理员的数据分析与管理平台，通过整合多源用户数据，构建全维度分析模型，实现高频问题自动识别、用户属性全景展示、热门职业持续追踪，为课程体系优化、资源精准调配与战略决策提供数据驱动支撑。</w:t>
      </w:r>
      <w:r>
        <w:rPr>
          <w:sz w:val="24"/>
          <w:szCs w:val="24"/>
          <w:highlight w:val="none"/>
        </w:rPr>
      </w:r>
      <w:r/>
    </w:p>
    <w:p>
      <w:pPr>
        <w:pStyle w:val="963"/>
        <w:rPr>
          <w:highlight w:val="none"/>
          <w:lang w:eastAsia="zh-CN"/>
        </w:rPr>
      </w:pPr>
      <w:r>
        <w:rPr>
          <w:rFonts w:ascii="黑体" w:hAnsi="黑体"/>
          <w:highlight w:val="none"/>
          <w:lang w:eastAsia="zh-CN"/>
        </w:rPr>
        <w:t xml:space="preserve">6.1 数据可视化与分析</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支持Web管理后台统一管理入口，提供功能配置、权限管理、数据查看等能力；</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2、▲支持高频问题TOP榜功能，实时分析用户咨询热点，自动排名展示；支持热门职业TOP榜功能，关注度排行可视化展示，反映就业市场趋势；</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、▲支持用户画像分布看板，包括年龄分布、性别比例、学历层次、职业方向等维度的图表展示；</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4</w:t>
      </w:r>
      <w:r>
        <w:rPr>
          <w:sz w:val="24"/>
          <w:szCs w:val="24"/>
          <w:highlight w:val="none"/>
        </w:rPr>
        <w:t xml:space="preserve">、</w:t>
      </w:r>
      <w:r>
        <w:rPr>
          <w:rFonts w:hint="eastAsia"/>
          <w:sz w:val="24"/>
          <w:szCs w:val="24"/>
          <w:highlight w:val="none"/>
        </w:rPr>
        <w:t xml:space="preserve">●</w:t>
      </w:r>
      <w:r>
        <w:rPr>
          <w:sz w:val="24"/>
          <w:szCs w:val="24"/>
          <w:highlight w:val="none"/>
        </w:rPr>
        <w:t xml:space="preserve">支持系统使用分析功能，包括访问量、活跃度、留存率、转化率等关键指标统计；</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lang w:val="en-US" w:eastAsia="zh-CN"/>
        </w:rPr>
        <w:t xml:space="preserve">5</w:t>
      </w:r>
      <w:r>
        <w:rPr>
          <w:sz w:val="24"/>
          <w:szCs w:val="24"/>
          <w:highlight w:val="none"/>
        </w:rPr>
        <w:t xml:space="preserve">、</w:t>
      </w:r>
      <w:r>
        <w:rPr>
          <w:rFonts w:hint="eastAsia"/>
          <w:sz w:val="24"/>
          <w:szCs w:val="24"/>
          <w:highlight w:val="none"/>
        </w:rPr>
        <w:t xml:space="preserve">●</w:t>
      </w:r>
      <w:r>
        <w:rPr>
          <w:sz w:val="24"/>
          <w:szCs w:val="24"/>
          <w:highlight w:val="none"/>
        </w:rPr>
        <w:t xml:space="preserve">支持用户行为深度分析，包括对话频次、功能使用路径、流失节点等趋势洞察。</w:t>
      </w:r>
      <w:r>
        <w:rPr>
          <w:sz w:val="24"/>
          <w:szCs w:val="24"/>
          <w:highlight w:val="none"/>
        </w:rPr>
      </w:r>
      <w:r/>
    </w:p>
    <w:p>
      <w:pPr>
        <w:pStyle w:val="963"/>
        <w:rPr>
          <w:highlight w:val="none"/>
          <w:lang w:eastAsia="zh-CN"/>
        </w:rPr>
      </w:pPr>
      <w:r>
        <w:rPr>
          <w:rFonts w:ascii="黑体" w:hAnsi="黑体"/>
          <w:highlight w:val="none"/>
          <w:lang w:eastAsia="zh-CN"/>
        </w:rPr>
        <w:t xml:space="preserve">6.2 管理与决策支持</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支持内容管理后台，包括文章/资讯/资源的发布、编辑、审核、下架等全生命周期管理；</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支持日志与监控看板，系统运行状态实时监控，异常告警自动通知；</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3、▲支持NLP用户标签自动生成功能，集成jieba分词、BERT聚类等技术，自动提取用户兴趣标签与需求标签；</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4、▲支持决策支持数据导出功能，为课程优化、资源调配、战略规划提供数据支撑，支持Excel/PDF等格式导出。</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7. 职业能力评估与画像系统</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职业能力评估与画像系统是智能体实现个性化服务的数据基础，通过多源数据融合与BERT语义向量引擎，构建涵盖技能标签、经验标签、兴趣标签、能力标签的多维度立体化动态用户画像。系统支持标准化测评体系与动态画像迭代，确保画像的科学性与时效性。</w:t>
      </w:r>
      <w:r>
        <w:rPr>
          <w:sz w:val="24"/>
          <w:szCs w:val="24"/>
          <w:highlight w:val="none"/>
        </w:rPr>
      </w:r>
      <w:r/>
    </w:p>
    <w:p>
      <w:pPr>
        <w:pStyle w:val="963"/>
        <w:rPr>
          <w:highlight w:val="none"/>
          <w:lang w:eastAsia="zh-CN"/>
        </w:rPr>
      </w:pPr>
      <w:r>
        <w:rPr>
          <w:rFonts w:ascii="黑体" w:hAnsi="黑体"/>
          <w:highlight w:val="none"/>
          <w:lang w:eastAsia="zh-CN"/>
        </w:rPr>
        <w:t xml:space="preserve">7.1 多源数据融合</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1、▲支持多源数据融合能力，整合对话记录、注册信息、简历数据、测评结果、学习行为等多源数据，构建全景用户视图；</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支持BERT语义向量引擎，对多源数据进行语义处理与关键信息提取，生成高维语义特征向量；</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支持结构化标签画像体系，涵盖技能标签、经验标签、兴趣标签、能力标签等多维度标签；</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4、▲支持动态画像迭代机制，持续学习用户行为数据，实时更新画像，确保画像的时效性与准确性。</w:t>
      </w:r>
      <w:r>
        <w:rPr>
          <w:sz w:val="24"/>
          <w:szCs w:val="24"/>
          <w:highlight w:val="none"/>
        </w:rPr>
      </w:r>
      <w:r/>
    </w:p>
    <w:p>
      <w:pPr>
        <w:pStyle w:val="963"/>
        <w:rPr>
          <w:highlight w:val="none"/>
          <w:lang w:eastAsia="zh-CN"/>
        </w:rPr>
      </w:pPr>
      <w:r>
        <w:rPr>
          <w:rFonts w:ascii="黑体" w:hAnsi="黑体"/>
          <w:highlight w:val="none"/>
          <w:lang w:eastAsia="zh-CN"/>
        </w:rPr>
        <w:t xml:space="preserve">7.2 测评与能力模型</w:t>
      </w:r>
      <w:r>
        <w:rPr>
          <w:highlight w:val="none"/>
          <w:lang w:eastAsia="zh-CN"/>
        </w:rPr>
      </w:r>
      <w:r/>
    </w:p>
    <w:p>
      <w:pPr>
        <w:pStyle w:val="957"/>
        <w:spacing w:after="60" w:line="440" w:lineRule="exact"/>
        <w:rPr>
          <w:sz w:val="24"/>
          <w:szCs w:val="24"/>
          <w:highlight w:val="none"/>
        </w:rPr>
      </w:pPr>
      <w:r>
        <w:rPr>
          <w:sz w:val="24"/>
          <w:szCs w:val="24"/>
          <w:highlight w:val="none"/>
        </w:rPr>
        <w:t xml:space="preserve">1、▲支持标准化测评体系，涵盖性格特质测评、职业潜能评估、能力倾向测试、学习风格诊断四大维度；</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2、▲支持目标岗位能力模型管理，对岗位能力要求进行结构化管理，包括核心技能、加分技能、经验要求等维度；</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支持测评结果的量化分析与可视化呈现，生成雷达图、能力对比图等直观展示；</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支持测评数据的持续积累与趋势分析，追踪用户能力成长轨迹。</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8. 个性化推荐与规划引擎</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个性化推荐与规划引擎是智能体实现"因职成业"精准导航的核心模块，基于用户画像、能力测评结果与就业市场数据，动态生成个性化职业发展路径与学习计划。</w:t>
      </w:r>
      <w:r>
        <w:rPr>
          <w:sz w:val="24"/>
          <w:szCs w:val="24"/>
          <w:highlight w:val="none"/>
        </w:rPr>
      </w:r>
      <w:r/>
    </w:p>
    <w:p>
      <w:pPr>
        <w:pStyle w:val="963"/>
        <w:rPr>
          <w:highlight w:val="none"/>
          <w:lang w:eastAsia="zh-CN"/>
        </w:rPr>
      </w:pPr>
      <w:r>
        <w:rPr>
          <w:rFonts w:ascii="黑体" w:hAnsi="黑体"/>
          <w:highlight w:val="none"/>
          <w:lang w:eastAsia="zh-CN"/>
        </w:rPr>
        <w:t xml:space="preserve">8.1 能力分析与匹配</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1、▲支持技能缺口分析功能，自动比对用户画像与目标岗位能力要求，量化呈现能力差距，生成可视化差距分析报告；</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支持证书/课程推荐功能，基于能力缺口分析结果，针对性推荐证书备考方案与课程模块；</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3、▲支持岗位市场洞察能力，提供热门岗位趋势分析、技能需求变化、薪资行情走势等市场情报；</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4、▲支持职业路径规划功能，生成晋升、转行、副业等多路径职业发展方案，支持方案对比与优化。</w:t>
      </w:r>
      <w:r>
        <w:rPr>
          <w:sz w:val="24"/>
          <w:szCs w:val="24"/>
          <w:highlight w:val="none"/>
        </w:rPr>
      </w:r>
      <w:r/>
    </w:p>
    <w:p>
      <w:pPr>
        <w:pStyle w:val="963"/>
        <w:rPr>
          <w:highlight w:val="none"/>
          <w:lang w:eastAsia="zh-CN"/>
        </w:rPr>
      </w:pPr>
      <w:r>
        <w:rPr>
          <w:rFonts w:ascii="黑体" w:hAnsi="黑体"/>
          <w:highlight w:val="none"/>
          <w:lang w:eastAsia="zh-CN"/>
        </w:rPr>
        <w:t xml:space="preserve">8.2 推荐与规划执行</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1、▲支持求职匹配推荐功能，基于用户画像与职业意向，</w:t>
      </w:r>
      <w:r>
        <w:rPr>
          <w:rFonts w:hint="eastAsia"/>
          <w:sz w:val="24"/>
          <w:szCs w:val="24"/>
          <w:highlight w:val="none"/>
        </w:rPr>
        <w:t xml:space="preserve">根据岗位模型</w:t>
      </w:r>
      <w:r>
        <w:rPr>
          <w:sz w:val="24"/>
          <w:szCs w:val="24"/>
          <w:highlight w:val="none"/>
        </w:rPr>
        <w:t xml:space="preserve">精准匹配岗位并推荐，提升人岗匹配效率；</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支持阶段性目标拆解功能，将长期职业目标分解为可执行的短期行动计划，明确每阶段目标与执行要求；</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3、▲支持学习待办自动生成功能，根据用户学习节奏与就业目标节点，自动生成学习任务清单；</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4、▲支持动态迭代调整功能，根据用户执行进展与反馈，实时优化规划方案与推荐内容；</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5、▲支持终身教育路径规划能力，</w:t>
      </w:r>
      <w:r>
        <w:rPr>
          <w:rFonts w:hint="eastAsia"/>
          <w:sz w:val="24"/>
          <w:szCs w:val="24"/>
          <w:highlight w:val="none"/>
        </w:rPr>
        <w:t xml:space="preserve">包括学历和非学历路径，</w:t>
      </w:r>
      <w:r>
        <w:rPr>
          <w:sz w:val="24"/>
          <w:szCs w:val="24"/>
          <w:highlight w:val="none"/>
        </w:rPr>
        <w:t xml:space="preserve">覆盖全生命周期的职业发展规划，从首次职业探索到银发价值实现；</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6、▲支持资源精准推送功能，匹配技能培训、学历提升、转行课程等资源，确保推送内容与用户需求高度匹配。</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9. 系统集成与部署运维</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系统集成与部署运维模块采用Docker容器化部署方案，确保应用、数据库、中间件的统一容器化管理与环境一致性保障。系统支持Linux服务器部署、Nginx负载均衡、域名与HTTPS配置、公网/校园网双网接入，具备数据库锁机制、Redis状态同步、断点续传、多端会话隔离、数据备份与恢复等高级运维能力。</w:t>
      </w:r>
      <w:r>
        <w:rPr>
          <w:sz w:val="24"/>
          <w:szCs w:val="24"/>
          <w:highlight w:val="none"/>
        </w:rPr>
      </w:r>
      <w:r/>
    </w:p>
    <w:p>
      <w:pPr>
        <w:pStyle w:val="963"/>
        <w:rPr>
          <w:highlight w:val="none"/>
          <w:lang w:eastAsia="zh-CN"/>
        </w:rPr>
      </w:pPr>
      <w:r>
        <w:rPr>
          <w:rFonts w:ascii="黑体" w:hAnsi="黑体"/>
          <w:highlight w:val="none"/>
          <w:lang w:eastAsia="zh-CN"/>
        </w:rPr>
        <w:t xml:space="preserve">9.1 容器化部署与网络</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支持Docker容器化部署，应用、数据库、中间件统一容器化，确保环境一致性与快速部署能力；</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支持Linux服务器部署，适配校方指定服务器环境；</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支持Nginx负载均衡，包括反向代理、静态资源加速、SSL终结等功能；</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支持域名绑定与HTTPS/SSL证书部署，确保全站加密传输；</w:t>
      </w:r>
      <w:r>
        <w:rPr>
          <w:sz w:val="24"/>
          <w:szCs w:val="24"/>
          <w:highlight w:val="none"/>
        </w:rPr>
      </w:r>
      <w:r/>
    </w:p>
    <w:p>
      <w:pPr>
        <w:pStyle w:val="963"/>
        <w:rPr>
          <w:highlight w:val="none"/>
          <w:lang w:eastAsia="zh-CN"/>
        </w:rPr>
      </w:pPr>
      <w:r>
        <w:rPr>
          <w:rFonts w:ascii="黑体" w:hAnsi="黑体"/>
          <w:highlight w:val="none"/>
          <w:lang w:eastAsia="zh-CN"/>
        </w:rPr>
        <w:t xml:space="preserve">9.2 高可用与数据安全</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支持数据库锁机制，保障并发操作下的数据一致性；</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支持Redis状态同步，多端会话状态实时同步，确保用户体验连续性；</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w:t>
      </w:r>
      <w:r>
        <w:rPr>
          <w:sz w:val="24"/>
          <w:szCs w:val="24"/>
          <w:highlight w:val="none"/>
        </w:rPr>
        <w:t xml:space="preserve">支持多端会话隔离，多会话并行操作时内容互不干扰；</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w:t>
      </w:r>
      <w:r>
        <w:rPr>
          <w:sz w:val="24"/>
          <w:szCs w:val="24"/>
          <w:highlight w:val="none"/>
        </w:rPr>
        <w:t xml:space="preserve">支持数据备份与恢复方案，定期自动备份，提供灾难恢复机制，确保数据安全。</w:t>
      </w:r>
      <w:r>
        <w:rPr>
          <w:sz w:val="24"/>
          <w:szCs w:val="24"/>
          <w:highlight w:val="none"/>
        </w:rPr>
      </w:r>
      <w:r/>
    </w:p>
    <w:p>
      <w:pPr>
        <w:pStyle w:val="957"/>
        <w:rPr>
          <w:sz w:val="24"/>
          <w:szCs w:val="24"/>
          <w:highlight w:val="none"/>
        </w:rPr>
      </w:pPr>
      <w:r>
        <w:rPr>
          <w:sz w:val="24"/>
          <w:szCs w:val="24"/>
          <w:highlight w:val="none"/>
        </w:rPr>
      </w:r>
      <w:r/>
    </w:p>
    <w:p>
      <w:pPr>
        <w:pStyle w:val="961"/>
        <w:rPr>
          <w:sz w:val="24"/>
          <w:szCs w:val="24"/>
          <w:highlight w:val="none"/>
          <w:lang w:eastAsia="zh-CN"/>
        </w:rPr>
      </w:pPr>
      <w:r>
        <w:rPr>
          <w:rFonts w:ascii="黑体" w:hAnsi="黑体"/>
          <w:sz w:val="24"/>
          <w:szCs w:val="24"/>
          <w:highlight w:val="none"/>
          <w:lang w:eastAsia="zh-CN"/>
        </w:rPr>
        <w:t xml:space="preserve">10. 安全合规体系</w:t>
      </w:r>
      <w:r>
        <w:rPr>
          <w:sz w:val="24"/>
          <w:szCs w:val="24"/>
          <w:highlight w:val="none"/>
          <w:lang w:eastAsia="zh-CN"/>
        </w:rPr>
      </w:r>
      <w:r/>
    </w:p>
    <w:p>
      <w:pPr>
        <w:pStyle w:val="957"/>
        <w:ind w:firstLine="482"/>
        <w:spacing w:after="60" w:line="440" w:lineRule="exact"/>
        <w:rPr>
          <w:sz w:val="24"/>
          <w:szCs w:val="24"/>
          <w:highlight w:val="none"/>
        </w:rPr>
      </w:pPr>
      <w:r>
        <w:rPr>
          <w:sz w:val="24"/>
          <w:szCs w:val="24"/>
          <w:highlight w:val="none"/>
        </w:rPr>
        <w:t xml:space="preserve">安全合规体系贯穿系统全生命周期，涵盖身份认证、数据保护、传输加密、访问控制、合规审查等多个维度，确保系统满足国家网络安全法律法规要求与教育行业数据安全标准。</w:t>
      </w:r>
      <w:r>
        <w:rPr>
          <w:sz w:val="24"/>
          <w:szCs w:val="24"/>
          <w:highlight w:val="none"/>
        </w:rPr>
      </w:r>
      <w:r/>
    </w:p>
    <w:p>
      <w:pPr>
        <w:pStyle w:val="963"/>
        <w:rPr>
          <w:highlight w:val="none"/>
        </w:rPr>
      </w:pPr>
      <w:r>
        <w:rPr>
          <w:rFonts w:ascii="黑体" w:hAnsi="黑体"/>
          <w:highlight w:val="none"/>
        </w:rPr>
        <w:t xml:space="preserve">10.1 身份认证与访问控制</w:t>
      </w:r>
      <w:r>
        <w:rPr>
          <w:highlight w:val="none"/>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支持JWT双Token鉴权机制，短时Access Token（30分钟）+ 长时Refresh Token（7-30天），实现无感刷新与安全认证；</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支持RBAC权限模型，游客、普通用户、管理员三级角色细粒度权限控制；</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支持Token黑名单机制，用户登出或异常Token即时失效，防止未授权访问；</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支持游客防滥用机制，包括访问轮次限制（默认20次）、防脚本批量调用等安全策略。</w:t>
      </w:r>
      <w:r>
        <w:rPr>
          <w:sz w:val="24"/>
          <w:szCs w:val="24"/>
          <w:highlight w:val="none"/>
        </w:rPr>
      </w:r>
      <w:r/>
    </w:p>
    <w:p>
      <w:pPr>
        <w:pStyle w:val="963"/>
        <w:rPr>
          <w:highlight w:val="none"/>
          <w:lang w:eastAsia="zh-CN"/>
        </w:rPr>
      </w:pPr>
      <w:r>
        <w:rPr>
          <w:rFonts w:ascii="黑体" w:hAnsi="黑体"/>
          <w:highlight w:val="none"/>
          <w:lang w:eastAsia="zh-CN"/>
        </w:rPr>
        <w:t xml:space="preserve">10.2 数据安全与合规</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支持数据脱敏处理，用户敏感信息（身份证号、手机号等）脱敏存储与展示；</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支持全站HTTPS加密传输，SSL证书配置，确保传输层安全；</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支持前端内存存储机制，敏感信息不落盘，仅存在于内存中，防止数据泄露；</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4、▲支持合规性评审机制，数据采集前进行合规审查，确保数据来源合法合规；</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5</w:t>
      </w:r>
      <w:r>
        <w:rPr>
          <w:sz w:val="24"/>
          <w:szCs w:val="24"/>
          <w:highlight w:val="none"/>
        </w:rPr>
        <w:t xml:space="preserve">、</w:t>
      </w:r>
      <w:r>
        <w:rPr>
          <w:rFonts w:hint="eastAsia"/>
          <w:sz w:val="24"/>
          <w:szCs w:val="24"/>
          <w:highlight w:val="none"/>
        </w:rPr>
        <w:t xml:space="preserve">●</w:t>
      </w:r>
      <w:r>
        <w:rPr>
          <w:sz w:val="24"/>
          <w:szCs w:val="24"/>
          <w:highlight w:val="none"/>
        </w:rPr>
        <w:t xml:space="preserve">支持数据全生命周期安全管理，包括采集、存储、传输、使用、销毁各环节的安全控制。</w:t>
      </w:r>
      <w:r>
        <w:rPr>
          <w:sz w:val="24"/>
          <w:szCs w:val="24"/>
          <w:highlight w:val="none"/>
        </w:rPr>
      </w:r>
      <w:r/>
    </w:p>
    <w:p>
      <w:pPr>
        <w:pStyle w:val="957"/>
        <w:rPr>
          <w:sz w:val="24"/>
          <w:szCs w:val="24"/>
          <w:highlight w:val="none"/>
        </w:rPr>
      </w:pPr>
      <w:r>
        <w:rPr>
          <w:sz w:val="24"/>
          <w:szCs w:val="24"/>
          <w:highlight w:val="none"/>
        </w:rPr>
      </w:r>
      <w:r/>
    </w:p>
    <w:p>
      <w:pPr>
        <w:pStyle w:val="960"/>
        <w:rPr>
          <w:sz w:val="24"/>
          <w:szCs w:val="24"/>
          <w:highlight w:val="none"/>
          <w:lang w:eastAsia="zh-CN"/>
        </w:rPr>
      </w:pPr>
      <w:r>
        <w:rPr>
          <w:rFonts w:ascii="黑体" w:hAnsi="黑体" w:eastAsia="黑体"/>
          <w:sz w:val="24"/>
          <w:szCs w:val="24"/>
          <w:highlight w:val="none"/>
          <w:lang w:eastAsia="zh-CN"/>
        </w:rPr>
        <w:t xml:space="preserve">（</w:t>
      </w:r>
      <w:r>
        <w:rPr>
          <w:rFonts w:hint="eastAsia" w:ascii="黑体" w:hAnsi="黑体" w:eastAsia="黑体"/>
          <w:sz w:val="24"/>
          <w:szCs w:val="24"/>
          <w:highlight w:val="none"/>
          <w:lang w:eastAsia="zh-CN"/>
        </w:rPr>
        <w:t xml:space="preserve">二</w:t>
      </w:r>
      <w:r>
        <w:rPr>
          <w:rFonts w:ascii="黑体" w:hAnsi="黑体" w:eastAsia="黑体"/>
          <w:sz w:val="24"/>
          <w:szCs w:val="24"/>
          <w:highlight w:val="none"/>
          <w:lang w:eastAsia="zh-CN"/>
        </w:rPr>
        <w:t xml:space="preserve">）其他需求</w:t>
      </w:r>
      <w:r>
        <w:rPr>
          <w:sz w:val="24"/>
          <w:szCs w:val="24"/>
          <w:highlight w:val="none"/>
          <w:lang w:eastAsia="zh-CN"/>
        </w:rPr>
      </w:r>
      <w:r/>
    </w:p>
    <w:p>
      <w:pPr>
        <w:pStyle w:val="963"/>
        <w:rPr>
          <w:highlight w:val="none"/>
          <w:lang w:eastAsia="zh-CN"/>
        </w:rPr>
      </w:pPr>
      <w:r>
        <w:rPr>
          <w:rFonts w:ascii="黑体" w:hAnsi="黑体"/>
          <w:highlight w:val="none"/>
          <w:lang w:eastAsia="zh-CN"/>
        </w:rPr>
        <w:t xml:space="preserve">1. UI宣传等设计</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投标人需根据采购单位实际需求围绕本平台提供推广宣传、文创类产品设计推出、外宣大屏内容及UI个性化设计等服务，包括但不限于：</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w:t>
      </w:r>
      <w:r>
        <w:rPr>
          <w:sz w:val="24"/>
          <w:szCs w:val="24"/>
          <w:highlight w:val="none"/>
        </w:rPr>
        <w:t xml:space="preserve">平台整体UI视觉设计方案，包括色彩体系、图标体系、组件规范等；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推广宣传材料设计，包括宣传册、海报、展板等；</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微信小程序与Web端的界面交互设计优化方案；</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外宣大屏内容设计与数据可视化方案。</w:t>
      </w:r>
      <w:r>
        <w:rPr>
          <w:sz w:val="24"/>
          <w:szCs w:val="24"/>
          <w:highlight w:val="none"/>
        </w:rPr>
      </w:r>
      <w:r/>
    </w:p>
    <w:p>
      <w:pPr>
        <w:pStyle w:val="963"/>
        <w:rPr>
          <w:highlight w:val="none"/>
          <w:lang w:eastAsia="zh-CN"/>
        </w:rPr>
      </w:pPr>
      <w:r>
        <w:rPr>
          <w:rFonts w:ascii="黑体" w:hAnsi="黑体"/>
          <w:highlight w:val="none"/>
          <w:lang w:eastAsia="zh-CN"/>
        </w:rPr>
        <w:t xml:space="preserve">2. 第三方系统对接</w:t>
      </w:r>
      <w:r>
        <w:rPr>
          <w:highlight w:val="none"/>
          <w:lang w:eastAsia="zh-CN"/>
        </w:rPr>
      </w:r>
      <w:r/>
    </w:p>
    <w:p>
      <w:pPr>
        <w:pStyle w:val="957"/>
        <w:ind w:firstLine="482"/>
        <w:spacing w:after="60" w:line="440" w:lineRule="exact"/>
        <w:rPr>
          <w:sz w:val="24"/>
          <w:szCs w:val="24"/>
          <w:highlight w:val="none"/>
        </w:rPr>
      </w:pPr>
      <w:r>
        <w:rPr>
          <w:sz w:val="24"/>
          <w:szCs w:val="24"/>
          <w:highlight w:val="none"/>
        </w:rPr>
        <w:t xml:space="preserve">投标人需提供完备的系统集成对接方案，实现与以下第三方系统的对接：</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1、</w:t>
      </w:r>
      <w:r>
        <w:rPr>
          <w:rFonts w:hint="eastAsia"/>
          <w:sz w:val="24"/>
          <w:szCs w:val="24"/>
          <w:highlight w:val="none"/>
        </w:rPr>
        <w:t xml:space="preserve">●通过"就在江苏"平台发布的招聘数据，经标准化清洗后实时同步至本地岗位资源池，并预留官方 API 直连切换接口</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sz w:val="24"/>
          <w:szCs w:val="24"/>
          <w:highlight w:val="none"/>
        </w:rPr>
        <w:t xml:space="preserve">2、</w:t>
      </w:r>
      <w:r>
        <w:rPr>
          <w:rFonts w:hint="eastAsia"/>
          <w:sz w:val="24"/>
          <w:szCs w:val="24"/>
          <w:highlight w:val="none"/>
        </w:rPr>
        <w:t xml:space="preserve">●</w:t>
      </w:r>
      <w:r>
        <w:rPr>
          <w:rFonts w:hint="eastAsia"/>
          <w:sz w:val="24"/>
          <w:szCs w:val="24"/>
          <w:highlight w:val="none"/>
          <w:lang w:val="en-US" w:eastAsia="zh-CN"/>
        </w:rPr>
        <w:t xml:space="preserve">通</w:t>
      </w:r>
      <w:r>
        <w:rPr>
          <w:rFonts w:hint="eastAsia"/>
          <w:sz w:val="24"/>
          <w:szCs w:val="24"/>
          <w:highlight w:val="none"/>
        </w:rPr>
        <w:t xml:space="preserve">过江苏学习在线、江苏工匠课堂等官方平台公开课程目录与元数据，经人工审核后无缝导流至推荐引擎，并预留标准接口升级通道</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3</w:t>
      </w:r>
      <w:r>
        <w:rPr>
          <w:sz w:val="24"/>
          <w:szCs w:val="24"/>
          <w:highlight w:val="none"/>
        </w:rPr>
        <w:t xml:space="preserve">、</w:t>
      </w:r>
      <w:r>
        <w:rPr>
          <w:rFonts w:hint="eastAsia"/>
          <w:sz w:val="24"/>
          <w:szCs w:val="24"/>
          <w:highlight w:val="none"/>
        </w:rPr>
        <w:t xml:space="preserve">●聚合省人社厅公开发布的备案机构公示信息，建立权威认证机构知识库，支持资质状态自动校验与官方 API 预留对接</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4</w:t>
      </w:r>
      <w:r>
        <w:rPr>
          <w:sz w:val="24"/>
          <w:szCs w:val="24"/>
          <w:highlight w:val="none"/>
        </w:rPr>
        <w:t xml:space="preserve">、</w:t>
      </w:r>
      <w:r>
        <w:rPr>
          <w:rFonts w:hint="eastAsia"/>
          <w:sz w:val="24"/>
          <w:szCs w:val="24"/>
          <w:highlight w:val="none"/>
        </w:rPr>
        <w:t xml:space="preserve">●通过采集阳光教育平台官方公示的教学点地址、专业与招生状态等公开信息，并预留平台直连接口</w:t>
      </w:r>
      <w:r>
        <w:rPr>
          <w:sz w:val="24"/>
          <w:szCs w:val="24"/>
          <w:highlight w:val="none"/>
        </w:rPr>
        <w:t xml:space="preserve">；</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5、●汇聚南京大学、苏州大学等省内重点高校继续教育学院公开发布的招生简章与专业目录，通过语义解析提取结构化数据，构建高校继续教育资源索引并预留官方数据接口</w:t>
      </w:r>
      <w:r>
        <w:rPr>
          <w:sz w:val="24"/>
          <w:szCs w:val="24"/>
          <w:highlight w:val="none"/>
        </w:rPr>
        <w:t xml:space="preserve">。</w:t>
      </w:r>
      <w:r>
        <w:rPr>
          <w:sz w:val="24"/>
          <w:szCs w:val="24"/>
          <w:highlight w:val="none"/>
        </w:rPr>
      </w:r>
      <w:r/>
    </w:p>
    <w:p>
      <w:pPr>
        <w:pStyle w:val="957"/>
        <w:ind w:firstLine="482"/>
        <w:spacing w:after="60" w:line="440" w:lineRule="exact"/>
        <w:rPr>
          <w:rFonts w:hint="eastAsia" w:eastAsia="宋体"/>
          <w:sz w:val="24"/>
          <w:szCs w:val="24"/>
          <w:highlight w:val="none"/>
          <w:lang w:val="en-US" w:eastAsia="zh-CN"/>
        </w:rPr>
      </w:pPr>
      <w:r>
        <w:rPr>
          <w:rFonts w:hint="eastAsia" w:eastAsia="宋体"/>
          <w:sz w:val="24"/>
          <w:szCs w:val="24"/>
          <w:highlight w:val="none"/>
          <w:lang w:val="en-US" w:eastAsia="zh-CN"/>
        </w:rPr>
      </w:r>
      <w:r/>
    </w:p>
    <w:p>
      <w:pPr>
        <w:pStyle w:val="963"/>
        <w:rPr>
          <w:highlight w:val="none"/>
          <w:lang w:eastAsia="zh-CN"/>
        </w:rPr>
      </w:pPr>
      <w:r>
        <w:rPr>
          <w:rFonts w:hint="eastAsia" w:ascii="黑体" w:hAnsi="黑体"/>
          <w:highlight w:val="none"/>
          <w:lang w:val="en-US" w:eastAsia="zh-CN"/>
        </w:rPr>
        <w:t xml:space="preserve">3</w:t>
      </w:r>
      <w:r>
        <w:rPr>
          <w:rFonts w:ascii="黑体" w:hAnsi="黑体"/>
          <w:highlight w:val="none"/>
          <w:lang w:eastAsia="zh-CN"/>
        </w:rPr>
        <w:t xml:space="preserve">. 第三方系统对接操作手册</w:t>
      </w:r>
      <w:r>
        <w:rPr>
          <w:highlight w:val="none"/>
          <w:lang w:eastAsia="zh-CN"/>
        </w:rPr>
      </w:r>
      <w:r/>
    </w:p>
    <w:p>
      <w:pPr>
        <w:pStyle w:val="957"/>
        <w:ind w:firstLine="482"/>
        <w:spacing w:after="60" w:line="440" w:lineRule="exact"/>
        <w:rPr>
          <w:sz w:val="24"/>
          <w:szCs w:val="24"/>
          <w:highlight w:val="none"/>
        </w:rPr>
      </w:pPr>
      <w:r>
        <w:rPr>
          <w:rFonts w:hint="eastAsia"/>
          <w:sz w:val="24"/>
          <w:szCs w:val="24"/>
          <w:highlight w:val="none"/>
        </w:rPr>
        <w:t xml:space="preserve">●</w:t>
      </w:r>
      <w:r>
        <w:rPr>
          <w:sz w:val="24"/>
          <w:szCs w:val="24"/>
          <w:highlight w:val="none"/>
        </w:rPr>
        <w:t xml:space="preserve">投标人需提供完备的系统集成对接操作手册，用于指导第三方系统按照标准集成流程与本项目完成集成，包括但不限于接口开发规范、数据交换格式、认证鉴权流程、异常处理机制等。</w:t>
      </w:r>
      <w:r>
        <w:rPr>
          <w:sz w:val="24"/>
          <w:szCs w:val="24"/>
          <w:highlight w:val="none"/>
        </w:rPr>
      </w:r>
      <w:r/>
    </w:p>
    <w:p>
      <w:pPr>
        <w:pStyle w:val="963"/>
        <w:rPr>
          <w:highlight w:val="none"/>
          <w:lang w:eastAsia="zh-CN"/>
        </w:rPr>
      </w:pPr>
      <w:r>
        <w:rPr>
          <w:rFonts w:hint="eastAsia" w:ascii="黑体" w:hAnsi="黑体"/>
          <w:highlight w:val="none"/>
          <w:lang w:val="en-US" w:eastAsia="zh-CN"/>
        </w:rPr>
        <w:t xml:space="preserve">4</w:t>
      </w:r>
      <w:r>
        <w:rPr>
          <w:rFonts w:ascii="黑体" w:hAnsi="黑体"/>
          <w:highlight w:val="none"/>
          <w:lang w:eastAsia="zh-CN"/>
        </w:rPr>
        <w:t xml:space="preserve">. 平台应用集成开发规范</w:t>
      </w:r>
      <w:r>
        <w:rPr>
          <w:highlight w:val="none"/>
          <w:lang w:eastAsia="zh-CN"/>
        </w:rPr>
      </w:r>
      <w:r/>
    </w:p>
    <w:p>
      <w:pPr>
        <w:pStyle w:val="957"/>
        <w:ind w:firstLine="482"/>
        <w:spacing w:after="60" w:line="440" w:lineRule="exact"/>
        <w:rPr>
          <w:sz w:val="24"/>
          <w:szCs w:val="24"/>
          <w:highlight w:val="none"/>
        </w:rPr>
      </w:pPr>
      <w:r>
        <w:rPr>
          <w:rFonts w:hint="eastAsia"/>
          <w:sz w:val="24"/>
          <w:szCs w:val="24"/>
          <w:highlight w:val="none"/>
        </w:rPr>
        <w:t xml:space="preserve">●</w:t>
      </w:r>
      <w:r>
        <w:rPr>
          <w:sz w:val="24"/>
          <w:szCs w:val="24"/>
          <w:highlight w:val="none"/>
        </w:rPr>
        <w:t xml:space="preserve">投标人需提供完备的应用集成开发规范，包括但不限于接口开发规范、UI开发规范、数据安全规范、性能优化规范等。</w:t>
      </w:r>
      <w:r>
        <w:rPr>
          <w:sz w:val="24"/>
          <w:szCs w:val="24"/>
          <w:highlight w:val="none"/>
        </w:rPr>
      </w:r>
      <w:r/>
    </w:p>
    <w:p>
      <w:pPr>
        <w:pStyle w:val="963"/>
        <w:rPr>
          <w:highlight w:val="none"/>
          <w:lang w:eastAsia="zh-CN"/>
        </w:rPr>
      </w:pPr>
      <w:r>
        <w:rPr>
          <w:rFonts w:hint="eastAsia" w:ascii="黑体" w:hAnsi="黑体"/>
          <w:highlight w:val="none"/>
          <w:lang w:val="en-US" w:eastAsia="zh-CN"/>
        </w:rPr>
        <w:t xml:space="preserve">5</w:t>
      </w:r>
      <w:r>
        <w:rPr>
          <w:rFonts w:ascii="黑体" w:hAnsi="黑体"/>
          <w:highlight w:val="none"/>
          <w:lang w:eastAsia="zh-CN"/>
        </w:rPr>
        <w:t xml:space="preserve">. 用户使用手册</w:t>
      </w:r>
      <w:r>
        <w:rPr>
          <w:highlight w:val="none"/>
          <w:lang w:eastAsia="zh-CN"/>
        </w:rPr>
      </w:r>
      <w:r/>
    </w:p>
    <w:p>
      <w:pPr>
        <w:pStyle w:val="957"/>
        <w:ind w:firstLine="482"/>
        <w:spacing w:after="60" w:line="440" w:lineRule="exact"/>
        <w:rPr>
          <w:sz w:val="24"/>
          <w:szCs w:val="24"/>
          <w:highlight w:val="none"/>
        </w:rPr>
      </w:pPr>
      <w:r>
        <w:rPr>
          <w:rFonts w:hint="eastAsia"/>
          <w:sz w:val="24"/>
          <w:szCs w:val="24"/>
          <w:highlight w:val="none"/>
        </w:rPr>
        <w:t xml:space="preserve">●</w:t>
      </w:r>
      <w:r>
        <w:rPr>
          <w:sz w:val="24"/>
          <w:szCs w:val="24"/>
          <w:highlight w:val="none"/>
        </w:rPr>
        <w:t xml:space="preserve">投标人需依据用户角色、应用场景，提供本项目涉及应用功能的详细、易懂的用户使用手册</w:t>
      </w:r>
      <w:r>
        <w:rPr>
          <w:rFonts w:hint="eastAsia"/>
          <w:sz w:val="24"/>
          <w:szCs w:val="24"/>
          <w:highlight w:val="none"/>
          <w:lang w:eastAsia="zh-CN"/>
        </w:rPr>
        <w:t xml:space="preserve">；</w:t>
      </w:r>
      <w:r>
        <w:rPr>
          <w:sz w:val="24"/>
          <w:szCs w:val="24"/>
          <w:highlight w:val="none"/>
        </w:rPr>
      </w:r>
      <w:r/>
    </w:p>
    <w:p>
      <w:pPr>
        <w:pStyle w:val="957"/>
        <w:ind w:firstLine="482"/>
        <w:spacing w:after="60" w:line="440" w:lineRule="exact"/>
        <w:rPr>
          <w:sz w:val="24"/>
          <w:szCs w:val="24"/>
          <w:highlight w:val="none"/>
        </w:rPr>
      </w:pPr>
      <w:r>
        <w:rPr>
          <w:rFonts w:hint="eastAsia"/>
          <w:sz w:val="24"/>
          <w:szCs w:val="24"/>
          <w:highlight w:val="none"/>
        </w:rPr>
        <w:t xml:space="preserve">●</w:t>
      </w:r>
      <w:r>
        <w:rPr>
          <w:rFonts w:hint="eastAsia"/>
          <w:sz w:val="24"/>
          <w:szCs w:val="24"/>
          <w:highlight w:val="none"/>
          <w:lang w:val="en-US" w:eastAsia="zh-CN"/>
        </w:rPr>
        <w:t xml:space="preserve">投标人需提供</w:t>
      </w:r>
      <w:r>
        <w:rPr>
          <w:sz w:val="24"/>
          <w:szCs w:val="24"/>
          <w:highlight w:val="none"/>
        </w:rPr>
        <w:t xml:space="preserve">包括Web端使用手册、微信小程序使用手册等。</w:t>
      </w:r>
      <w:r>
        <w:rPr>
          <w:sz w:val="24"/>
          <w:szCs w:val="24"/>
          <w:highlight w:val="none"/>
        </w:rPr>
      </w:r>
      <w:r/>
    </w:p>
    <w:p>
      <w:pPr>
        <w:pStyle w:val="995"/>
        <w:ind w:firstLine="560"/>
        <w:keepLines w:val="0"/>
        <w:keepNext w:val="0"/>
        <w:pageBreakBefore w:val="0"/>
        <w:spacing w:before="120" w:after="120" w:line="400" w:lineRule="exact"/>
        <w:widowControl w:val="off"/>
        <w:rPr>
          <w:rFonts w:ascii="方正黑体_GBK" w:hAnsi="方正黑体_GBK" w:eastAsia="方正黑体_GBK" w:cs="方正黑体_GBK"/>
          <w:b w:val="0"/>
          <w:bCs/>
          <w:sz w:val="28"/>
          <w:szCs w:val="28"/>
          <w:lang w:val="en-US" w:eastAsia="zh-CN"/>
        </w:rPr>
      </w:pPr>
      <w:r>
        <w:rPr>
          <w:rFonts w:ascii="方正黑体_GBK" w:hAnsi="方正黑体_GBK" w:eastAsia="方正黑体_GBK" w:cs="方正黑体_GBK"/>
          <w:b w:val="0"/>
          <w:bCs/>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pStyle w:val="957"/>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57"/>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57"/>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95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（一）验收要求</w:t>
      </w:r>
      <w:r>
        <w:rPr>
          <w:rFonts w:hint="eastAsia" w:ascii="宋体" w:hAnsi="宋体" w:cs="宋体"/>
          <w:b/>
          <w:bCs/>
          <w:color w:val="000000"/>
          <w:sz w:val="24"/>
          <w:szCs w:val="24"/>
          <w:highlight w:val="non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系统上线后10个工作日内为安装调试、试运行阶段，系统正常运行后可组织验收。应用系统建设应严格按照国家有关规定进行，验收前投标人需提供完整的项目验收方案。验收方案至少包含项目实施（包括调研、标准版部署、基础数据迁移、初期培训）、初验收、试运行和最终验收等流程、时间要求以及形式等内容。</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方应按照所约定的内容和时间进行交付，且所交付的文档与文件应该是电子版式及纸质形式。包含但不限于《需求规格说明书》、《概要设计文档》、《详细设计文档》、《数据库设计文档》、《软件测试报告》、《实施培训方案》、《测试用例》、《产品安装部署文档》、《用户操作手册》、《数据调研报告》。</w:t>
      </w:r>
      <w:r>
        <w:rPr>
          <w:rFonts w:hint="eastAsia" w:ascii="方正仿宋_GBK" w:hAnsi="方正仿宋_GBK" w:eastAsia="方正仿宋_GBK" w:cs="方正仿宋_GBK"/>
          <w:bCs/>
          <w:color w:val="000000"/>
          <w:sz w:val="28"/>
          <w:szCs w:val="28"/>
          <w:lang w:val="en-US" w:eastAsia="zh-CN"/>
        </w:rPr>
      </w:r>
      <w:r/>
    </w:p>
    <w:p>
      <w:pPr>
        <w:pStyle w:val="957"/>
        <w:ind w:firstLine="480"/>
        <w:spacing w:line="360" w:lineRule="auto"/>
        <w:widowControl/>
        <w:rPr>
          <w:rFonts w:hint="eastAsia" w:ascii="方正仿宋_GBK" w:hAnsi="方正仿宋_GBK" w:eastAsia="方正仿宋_GBK" w:cs="方正仿宋_GBK"/>
          <w:b w:val="0"/>
          <w:bCs/>
          <w:i/>
          <w:color w:val="000000"/>
          <w:sz w:val="28"/>
          <w:szCs w:val="28"/>
          <w:highlight w:val="none"/>
          <w:u w:val="single"/>
        </w:rPr>
      </w:pPr>
      <w:r>
        <w:rPr>
          <w:rFonts w:hint="eastAsia" w:ascii="方正仿宋_GBK" w:hAnsi="方正仿宋_GBK" w:eastAsia="方正仿宋_GBK" w:cs="方正仿宋_GBK"/>
          <w:b w:val="0"/>
          <w:bCs/>
          <w:i/>
          <w:color w:val="000000"/>
          <w:sz w:val="28"/>
          <w:szCs w:val="28"/>
          <w:highlight w:val="none"/>
          <w:u w:val="single"/>
        </w:rPr>
        <w:t xml:space="preserve">中标供应商须在项目最终验收后，</w:t>
      </w:r>
      <w:r>
        <w:rPr>
          <w:rFonts w:hint="eastAsia" w:ascii="方正仿宋_GBK" w:hAnsi="方正仿宋_GBK" w:eastAsia="方正仿宋_GBK" w:cs="方正仿宋_GBK"/>
          <w:b w:val="0"/>
          <w:bCs/>
          <w:i/>
          <w:color w:val="000000"/>
          <w:sz w:val="28"/>
          <w:szCs w:val="28"/>
          <w:highlight w:val="none"/>
          <w:u w:val="single"/>
          <w:lang w:val="en-US" w:eastAsia="zh-CN"/>
        </w:rPr>
        <w:t xml:space="preserve">完整交付</w:t>
      </w:r>
      <w:r>
        <w:rPr>
          <w:rFonts w:hint="eastAsia" w:ascii="方正仿宋_GBK" w:hAnsi="方正仿宋_GBK" w:eastAsia="方正仿宋_GBK" w:cs="方正仿宋_GBK"/>
          <w:b w:val="0"/>
          <w:bCs/>
          <w:i/>
          <w:color w:val="000000"/>
          <w:sz w:val="28"/>
          <w:szCs w:val="28"/>
          <w:highlight w:val="none"/>
          <w:u w:val="single"/>
        </w:rPr>
        <w:t xml:space="preserve">为本项目专属定制开发模块完整源代码；供应商自有的通用底层AI引擎及基础开发框架，须在本项目范围内授予采购人永久、</w:t>
      </w:r>
      <w:r>
        <w:rPr>
          <w:rFonts w:hint="eastAsia" w:ascii="方正仿宋_GBK" w:hAnsi="方正仿宋_GBK" w:eastAsia="方正仿宋_GBK" w:cs="方正仿宋_GBK"/>
          <w:b w:val="0"/>
          <w:bCs/>
          <w:i/>
          <w:color w:val="000000"/>
          <w:sz w:val="28"/>
          <w:szCs w:val="28"/>
          <w:highlight w:val="none"/>
          <w:u w:val="single"/>
          <w:lang w:val="en-US" w:eastAsia="zh-CN"/>
        </w:rPr>
        <w:t xml:space="preserve">无偿、</w:t>
      </w:r>
      <w:r>
        <w:rPr>
          <w:rFonts w:hint="eastAsia" w:ascii="方正仿宋_GBK" w:hAnsi="方正仿宋_GBK" w:eastAsia="方正仿宋_GBK" w:cs="方正仿宋_GBK"/>
          <w:b w:val="0"/>
          <w:bCs/>
          <w:i/>
          <w:color w:val="000000"/>
          <w:sz w:val="28"/>
          <w:szCs w:val="28"/>
          <w:highlight w:val="none"/>
          <w:u w:val="single"/>
        </w:rPr>
        <w:t xml:space="preserve">不可撤销的使用权。</w:t>
      </w:r>
      <w:r>
        <w:rPr>
          <w:rFonts w:hint="eastAsia" w:ascii="方正仿宋_GBK" w:hAnsi="方正仿宋_GBK" w:eastAsia="方正仿宋_GBK" w:cs="方正仿宋_GBK"/>
          <w:b w:val="0"/>
          <w:bCs/>
          <w:i/>
          <w:color w:val="000000"/>
          <w:sz w:val="28"/>
          <w:szCs w:val="28"/>
          <w:highlight w:val="none"/>
          <w:u w:val="single"/>
        </w:rPr>
      </w:r>
      <w:r/>
    </w:p>
    <w:p>
      <w:pPr>
        <w:pStyle w:val="95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（二）知识产权要求</w:t>
      </w:r>
      <w:r>
        <w:rPr>
          <w:rFonts w:hint="eastAsia" w:ascii="宋体" w:hAnsi="宋体" w:cs="宋体"/>
          <w:b/>
          <w:bCs/>
          <w:color w:val="000000"/>
          <w:sz w:val="24"/>
          <w:szCs w:val="24"/>
          <w:highlight w:val="none"/>
        </w:rPr>
      </w:r>
      <w:r/>
    </w:p>
    <w:p>
      <w:pPr>
        <w:pStyle w:val="957"/>
        <w:ind w:firstLine="480"/>
        <w:spacing w:line="360" w:lineRule="auto"/>
        <w:widowControl/>
        <w:rPr>
          <w:rFonts w:hint="eastAsia" w:ascii="方正仿宋_GBK" w:hAnsi="方正仿宋_GBK" w:eastAsia="方正仿宋_GBK" w:cs="方正仿宋_GBK"/>
          <w:b w:val="0"/>
          <w:bCs/>
          <w:i/>
          <w:color w:val="000000"/>
          <w:sz w:val="28"/>
          <w:szCs w:val="28"/>
          <w:highlight w:val="none"/>
          <w:u w:val="single"/>
        </w:rPr>
      </w:pPr>
      <w:r>
        <w:rPr>
          <w:rFonts w:hint="eastAsia" w:ascii="方正仿宋_GBK" w:hAnsi="方正仿宋_GBK" w:eastAsia="方正仿宋_GBK" w:cs="方正仿宋_GBK"/>
          <w:b w:val="0"/>
          <w:bCs/>
          <w:i/>
          <w:color w:val="000000"/>
          <w:sz w:val="28"/>
          <w:szCs w:val="28"/>
          <w:highlight w:val="none"/>
          <w:u w:val="single"/>
        </w:rPr>
        <w:t xml:space="preserve">投标人应保证使用方在使用本项目产品或其任何一部分时不受第三方提出侵犯其专利权、商标权和工业设计权等知识产权的指控，如果第三方提出侵权指控，供应商须与第三方交涉并承担可能发生的一切法律责任和费用，采购人不承担任何连带责任和赔偿责任。</w:t>
      </w:r>
      <w:r>
        <w:rPr>
          <w:rFonts w:hint="eastAsia" w:ascii="方正仿宋_GBK" w:hAnsi="方正仿宋_GBK" w:eastAsia="方正仿宋_GBK" w:cs="方正仿宋_GBK"/>
          <w:b w:val="0"/>
          <w:bCs/>
          <w:i/>
          <w:color w:val="000000"/>
          <w:sz w:val="28"/>
          <w:szCs w:val="28"/>
          <w:highlight w:val="none"/>
          <w:u w:val="single"/>
        </w:rPr>
      </w:r>
      <w:r/>
    </w:p>
    <w:p>
      <w:pPr>
        <w:pStyle w:val="957"/>
        <w:spacing w:line="360" w:lineRule="auto"/>
        <w:widowControl/>
        <w:rPr>
          <w:rFonts w:hint="eastAsia" w:ascii="方正仿宋_GBK" w:hAnsi="方正仿宋_GBK" w:eastAsia="方正仿宋_GBK" w:cs="方正仿宋_GBK"/>
          <w:b w:val="0"/>
          <w:bCs/>
          <w:color w:val="000000"/>
          <w:sz w:val="28"/>
          <w:szCs w:val="28"/>
          <w:highlight w:val="none"/>
        </w:rPr>
      </w:pPr>
      <w:r>
        <w:rPr>
          <w:rFonts w:hint="eastAsia" w:ascii="方正仿宋_GBK" w:hAnsi="方正仿宋_GBK" w:eastAsia="方正仿宋_GBK" w:cs="方正仿宋_GBK"/>
          <w:b w:val="0"/>
          <w:bCs/>
          <w:color w:val="000000"/>
          <w:sz w:val="28"/>
          <w:szCs w:val="28"/>
          <w:highlight w:val="none"/>
        </w:rPr>
        <w:t xml:space="preserve">（三）保密要求</w:t>
      </w:r>
      <w:r>
        <w:rPr>
          <w:rFonts w:hint="eastAsia" w:ascii="方正仿宋_GBK" w:hAnsi="方正仿宋_GBK" w:eastAsia="方正仿宋_GBK" w:cs="方正仿宋_GBK"/>
          <w:b w:val="0"/>
          <w:bCs/>
          <w:color w:val="000000"/>
          <w:sz w:val="28"/>
          <w:szCs w:val="28"/>
          <w:highlight w:val="none"/>
        </w:rPr>
      </w:r>
      <w:r/>
    </w:p>
    <w:p>
      <w:pPr>
        <w:pStyle w:val="957"/>
        <w:ind w:firstLine="480"/>
        <w:spacing w:line="360" w:lineRule="auto"/>
        <w:widowControl/>
        <w:rPr>
          <w:rFonts w:hint="eastAsia" w:ascii="方正仿宋_GBK" w:hAnsi="方正仿宋_GBK" w:eastAsia="方正仿宋_GBK" w:cs="方正仿宋_GBK"/>
          <w:b w:val="0"/>
          <w:bCs/>
          <w:i/>
          <w:color w:val="000000"/>
          <w:sz w:val="28"/>
          <w:szCs w:val="28"/>
          <w:highlight w:val="none"/>
          <w:u w:val="single"/>
        </w:rPr>
      </w:pPr>
      <w:r>
        <w:rPr>
          <w:rFonts w:hint="eastAsia" w:ascii="方正仿宋_GBK" w:hAnsi="方正仿宋_GBK" w:eastAsia="方正仿宋_GBK" w:cs="方正仿宋_GBK"/>
          <w:b w:val="0"/>
          <w:bCs/>
          <w:i/>
          <w:color w:val="000000"/>
          <w:sz w:val="28"/>
          <w:szCs w:val="28"/>
          <w:highlight w:val="none"/>
          <w:u w:val="single"/>
        </w:rPr>
        <w:t xml:space="preserve">投标人不得向第三方泄露采购人提供的技术文件等资料。</w:t>
      </w:r>
      <w:r>
        <w:rPr>
          <w:rFonts w:hint="eastAsia" w:ascii="方正仿宋_GBK" w:hAnsi="方正仿宋_GBK" w:eastAsia="方正仿宋_GBK" w:cs="方正仿宋_GBK"/>
          <w:b w:val="0"/>
          <w:bCs/>
          <w:i/>
          <w:color w:val="000000"/>
          <w:sz w:val="28"/>
          <w:szCs w:val="28"/>
          <w:highlight w:val="none"/>
          <w:u w:val="single"/>
        </w:rPr>
      </w:r>
      <w:r/>
    </w:p>
    <w:p>
      <w:pPr>
        <w:pStyle w:val="95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7"/>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57"/>
        <w:spacing w:line="360" w:lineRule="auto"/>
        <w:widowControl/>
        <w:rPr>
          <w:rFonts w:ascii="宋体" w:hAnsi="宋体" w:eastAsia="宋体" w:cs="宋体"/>
          <w:i/>
          <w:iCs/>
          <w:color w:val="000000"/>
          <w:sz w:val="24"/>
          <w:szCs w:val="24"/>
          <w:highlight w:val="none"/>
          <w:u w:val="single"/>
          <w:lang w:val="en-US" w:eastAsia="zh-CN"/>
        </w:rPr>
      </w:pPr>
      <w:r>
        <w:rPr>
          <w:rFonts w:hint="eastAsia" w:ascii="宋体" w:hAnsi="宋体" w:cs="宋体"/>
          <w:b/>
          <w:bCs/>
          <w:color w:val="000000"/>
          <w:sz w:val="24"/>
          <w:szCs w:val="24"/>
          <w:highlight w:val="none"/>
        </w:rPr>
        <w:t xml:space="preserve">（四）项目实施周期、实施地点</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服务期</w:t>
      </w:r>
      <w:r>
        <w:rPr>
          <w:rFonts w:hint="eastAsia" w:ascii="宋体" w:hAnsi="宋体" w:cs="宋体"/>
          <w:b/>
          <w:bCs/>
          <w:color w:val="000000"/>
          <w:sz w:val="24"/>
          <w:szCs w:val="24"/>
          <w:highlight w:val="none"/>
          <w:lang w:val="en-US" w:eastAsia="zh-CN"/>
        </w:rPr>
        <w:t xml:space="preserve">及驻场服务要求</w:t>
      </w:r>
      <w:r>
        <w:rPr>
          <w:rFonts w:ascii="宋体" w:hAnsi="宋体" w:eastAsia="宋体" w:cs="宋体"/>
          <w:i/>
          <w:iCs/>
          <w:color w:val="000000"/>
          <w:sz w:val="24"/>
          <w:szCs w:val="24"/>
          <w:highlight w:val="none"/>
          <w:u w:val="single"/>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1.项目实施周期：合同签订之日起90日历天内。</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2.项目实施地点：采购人指定地点。</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3.质保期/服务期：自项目验收之日起，中标人提供2年售后服务（包含于本次投标总报价中）。</w:t>
      </w:r>
      <w:r>
        <w:rPr>
          <w:rFonts w:hint="eastAsia" w:ascii="方正仿宋_GBK" w:hAnsi="方正仿宋_GBK" w:eastAsia="方正仿宋_GBK" w:cs="方正仿宋_GBK"/>
          <w:bCs/>
          <w:color w:val="000000"/>
          <w:sz w:val="28"/>
          <w:szCs w:val="28"/>
          <w:lang w:val="en-US" w:eastAsia="zh-CN"/>
        </w:rPr>
      </w:r>
      <w:r/>
    </w:p>
    <w:p>
      <w:pPr>
        <w:pStyle w:val="957"/>
        <w:ind w:firstLine="480"/>
        <w:spacing w:line="360" w:lineRule="auto"/>
        <w:rPr>
          <w:rFonts w:ascii="方正仿宋_GBK" w:hAnsi="方正仿宋_GBK" w:eastAsia="方正仿宋_GBK" w:cs="方正仿宋_GBK"/>
          <w:b w:val="0"/>
          <w:bCs/>
          <w:i/>
          <w:color w:val="000000"/>
          <w:sz w:val="28"/>
          <w:szCs w:val="28"/>
          <w:highlight w:val="none"/>
          <w:u w:val="single"/>
          <w:lang w:val="en-US" w:eastAsia="zh-CN"/>
        </w:rPr>
      </w:pPr>
      <w:r>
        <w:rPr>
          <w:rFonts w:hint="eastAsia" w:ascii="宋体" w:hAnsi="宋体" w:cs="宋体"/>
          <w:iCs/>
          <w:color w:val="000000"/>
          <w:sz w:val="24"/>
          <w:szCs w:val="24"/>
          <w:highlight w:val="none"/>
          <w:lang w:val="en-US" w:eastAsia="zh-CN"/>
        </w:rPr>
        <w:t xml:space="preserve">4.</w:t>
      </w:r>
      <w:r>
        <w:rPr>
          <w:rFonts w:hint="eastAsia" w:ascii="方正仿宋_GBK" w:hAnsi="方正仿宋_GBK" w:eastAsia="方正仿宋_GBK" w:cs="方正仿宋_GBK"/>
          <w:b w:val="0"/>
          <w:bCs/>
          <w:i/>
          <w:color w:val="000000"/>
          <w:sz w:val="28"/>
          <w:szCs w:val="28"/>
          <w:highlight w:val="none"/>
          <w:u w:val="single"/>
        </w:rPr>
        <w:t xml:space="preserve">投标人需承诺项目建设期内至少提供</w:t>
      </w:r>
      <w:r>
        <w:rPr>
          <w:rFonts w:hint="eastAsia" w:ascii="方正仿宋_GBK" w:hAnsi="方正仿宋_GBK" w:eastAsia="方正仿宋_GBK" w:cs="方正仿宋_GBK"/>
          <w:b w:val="0"/>
          <w:bCs/>
          <w:i/>
          <w:color w:val="000000"/>
          <w:sz w:val="28"/>
          <w:szCs w:val="28"/>
          <w:highlight w:val="none"/>
          <w:u w:val="single"/>
          <w:lang w:val="en-US" w:eastAsia="zh-CN"/>
        </w:rPr>
        <w:t xml:space="preserve">5</w:t>
      </w:r>
      <w:r>
        <w:rPr>
          <w:rFonts w:hint="eastAsia" w:ascii="方正仿宋_GBK" w:hAnsi="方正仿宋_GBK" w:eastAsia="方正仿宋_GBK" w:cs="方正仿宋_GBK"/>
          <w:b w:val="0"/>
          <w:bCs/>
          <w:i/>
          <w:color w:val="000000"/>
          <w:sz w:val="28"/>
          <w:szCs w:val="28"/>
          <w:highlight w:val="none"/>
          <w:u w:val="single"/>
        </w:rPr>
        <w:t xml:space="preserve">人驻场服务。</w:t>
      </w:r>
      <w:r>
        <w:rPr>
          <w:rFonts w:ascii="方正仿宋_GBK" w:hAnsi="方正仿宋_GBK" w:eastAsia="方正仿宋_GBK" w:cs="方正仿宋_GBK"/>
          <w:b w:val="0"/>
          <w:bCs/>
          <w:i/>
          <w:color w:val="000000"/>
          <w:sz w:val="28"/>
          <w:szCs w:val="28"/>
          <w:highlight w:val="none"/>
          <w:u w:val="single"/>
          <w:lang w:val="en-US" w:eastAsia="zh-CN"/>
        </w:rPr>
      </w:r>
      <w:r/>
    </w:p>
    <w:p>
      <w:pPr>
        <w:pStyle w:val="957"/>
        <w:spacing w:line="360" w:lineRule="auto"/>
        <w:widowControl/>
        <w:rPr>
          <w:rFonts w:hint="eastAsia" w:ascii="宋体" w:hAnsi="宋体" w:cs="宋体"/>
          <w:i/>
          <w:iCs/>
          <w:color w:val="000000"/>
          <w:sz w:val="24"/>
          <w:szCs w:val="24"/>
          <w:highlight w:val="none"/>
          <w:u w:val="single"/>
        </w:rPr>
      </w:pPr>
      <w:r>
        <w:rPr>
          <w:rFonts w:hint="eastAsia" w:ascii="宋体" w:hAnsi="宋体" w:cs="宋体"/>
          <w:b/>
          <w:bCs/>
          <w:color w:val="000000"/>
          <w:sz w:val="24"/>
          <w:szCs w:val="24"/>
          <w:highlight w:val="none"/>
        </w:rPr>
        <w:t xml:space="preserve">（五）付款方式</w:t>
      </w:r>
      <w:r>
        <w:rPr>
          <w:rFonts w:hint="eastAsia" w:ascii="宋体" w:hAnsi="宋体" w:cs="宋体"/>
          <w:i/>
          <w:iCs/>
          <w:color w:val="000000"/>
          <w:sz w:val="24"/>
          <w:szCs w:val="24"/>
          <w:highlight w:val="none"/>
          <w:u w:val="singl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第一次付款：在合同签订之日起30个工作日内，招标方向乙方支付合同总金额30%的款项；</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第二次付款：在系统开发完成并试运行成功后，招标方向乙方支付合同总金额60%的款项；</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第三次付款：在系统完成最终检测并且通过由招标方组织的验收后，招标方向乙方支付合同总金额10%的款项。</w:t>
      </w:r>
      <w:r>
        <w:rPr>
          <w:rFonts w:hint="eastAsia" w:ascii="方正仿宋_GBK" w:hAnsi="方正仿宋_GBK" w:eastAsia="方正仿宋_GBK" w:cs="方正仿宋_GBK"/>
          <w:bCs/>
          <w:color w:val="000000"/>
          <w:sz w:val="28"/>
          <w:szCs w:val="28"/>
          <w:lang w:val="en-US" w:eastAsia="zh-CN"/>
        </w:rPr>
      </w:r>
      <w:r/>
    </w:p>
    <w:p>
      <w:pPr>
        <w:pStyle w:val="958"/>
        <w:ind w:firstLine="560"/>
        <w:jc w:val="both"/>
        <w:rPr>
          <w:rFonts w:hint="eastAsia" w:ascii="方正黑体_GBK" w:hAnsi="方正黑体_GBK" w:eastAsia="方正黑体_GBK" w:cs="方正黑体_GBK"/>
          <w:b w:val="0"/>
          <w:bCs/>
          <w:sz w:val="28"/>
          <w:szCs w:val="28"/>
          <w:lang w:val="en-US" w:eastAsia="zh-CN" w:bidi="ar-SA"/>
        </w:rPr>
      </w:pPr>
      <w:r/>
      <w:bookmarkStart w:id="162" w:name="_Toc120614281"/>
      <w:r>
        <w:rPr>
          <w:rFonts w:hint="eastAsia" w:ascii="方正黑体_GBK" w:hAnsi="方正黑体_GBK" w:eastAsia="方正黑体_GBK" w:cs="方正黑体_GBK"/>
          <w:b w:val="0"/>
          <w:bCs/>
          <w:sz w:val="28"/>
          <w:szCs w:val="28"/>
          <w:lang w:val="en-US" w:eastAsia="zh-CN" w:bidi="ar-SA"/>
        </w:rPr>
        <w:t xml:space="preserve">五、履约能力要求</w:t>
      </w:r>
      <w:r>
        <w:rPr>
          <w:rFonts w:hint="eastAsia" w:ascii="方正黑体_GBK" w:hAnsi="方正黑体_GBK" w:eastAsia="方正黑体_GBK" w:cs="方正黑体_GBK"/>
          <w:b w:val="0"/>
          <w:bCs/>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1、业绩：为保证项目质量，供应商应具备类似开发项目建设成功经验。</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2、人员要求：在项目建设期间，投标人须为本项目配置完整、专业的项目团队，团队成员须包含项目经理、技术负责人及项目实施人员，各类人员配置须满足以下要求，确保团队具备完成本项目的专业能力：</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（1）项目经理：须具备相应专业资质，可提供电子信息工程高级工程师、软件设计师、系统架构师、信息系统项目管理师等证书中的任意一项或多项，资质证书须真实有效。</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项目实施人员：须独立于项目经理配置，团队人数须满足项目实施需求，每位实施人员可提供电子信息高级工程师、信息系统项目管理师、网络工程师、系统架构设计师等证书中的任意一项，同一人员持有多个上述证书仅按1人核算，不重复计数，所有资质证书须真实有效。</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3、投标人应具备成熟的开发能力，具有类似本项目涵盖的知识图谱检索、AI算力画像、数据开放与交互式平台等软著。</w:t>
      </w:r>
      <w:r>
        <w:rPr>
          <w:rFonts w:hint="eastAsia" w:ascii="方正仿宋_GBK" w:hAnsi="方正仿宋_GBK" w:eastAsia="方正仿宋_GBK" w:cs="方正仿宋_GBK"/>
          <w:bCs/>
          <w:color w:val="000000"/>
          <w:sz w:val="28"/>
          <w:szCs w:val="28"/>
          <w:lang w:val="en-US" w:eastAsia="zh-CN"/>
        </w:rPr>
      </w:r>
      <w:r/>
    </w:p>
    <w:p>
      <w:pPr>
        <w:pStyle w:val="995"/>
        <w:numPr>
          <w:ilvl w:val="0"/>
          <w:numId w:val="6"/>
        </w:numPr>
        <w:ind w:left="-140"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方案要求</w:t>
      </w:r>
      <w:r>
        <w:rPr>
          <w:rFonts w:hint="eastAsia" w:ascii="方正黑体_GBK" w:hAnsi="方正黑体_GBK" w:eastAsia="方正黑体_GBK" w:cs="方正黑体_GBK"/>
          <w:b w:val="0"/>
          <w:bCs/>
          <w:sz w:val="28"/>
          <w:szCs w:val="28"/>
          <w:lang w:val="en-US" w:eastAsia="zh-CN"/>
        </w:rPr>
      </w:r>
      <w:r/>
    </w:p>
    <w:p>
      <w:pPr>
        <w:pStyle w:val="995"/>
        <w:numPr>
          <w:ilvl w:val="0"/>
          <w:numId w:val="0"/>
        </w:numPr>
        <w:ind w:left="42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6.1项目实施方案</w:t>
      </w:r>
      <w:r>
        <w:rPr>
          <w:rFonts w:hint="eastAsia" w:ascii="方正黑体_GBK" w:hAnsi="方正黑体_GBK" w:eastAsia="方正黑体_GBK" w:cs="方正黑体_GBK"/>
          <w:b w:val="0"/>
          <w:bCs/>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投标人基于对本项目需求的理解制定详细的实施方案，包括项目组织、人员安排、实施计划、系统架构设计、风险管理等。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1．项目组织：投标人应具有健全的项目管理制度和流程，确保项目实施的顺利。</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2．人员安排：成立针对本项目的项目工作组，并配备合格的项目实施人员。在项目建设期间，投标人需为本项目配备专属项目团队，并且要求项目团队分工合理、职责明确，以确保项目的顺利交付。</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中标方应保证项目团队的主要人员稳定，在未经采购人同意的情况下中标方不得随意更换项目人员。招标方或中标方认为需要更换项目团队成员时，均应提早一周向对方申明原因，中标方应提出新的符合技术规范书要求的项目团队成员人选，经招标方同意并办理交接手续后方可更换。</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3．实施计划：对任务、时间和资源进行合理规划，分阶段制定计划，便于项目推进。</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4．系统架构设计：须采用模块化、可扩展的架构设计，确保能够灵活应对未来功能扩展和数据增长。</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5．风险管理：需对项目可能存在的风险进行全面识别和评估，包括需求风险、技术风险、管理风险、安全风险等，针对不同的风险制定相应控制措施、应对策略及预案，降低风险对项目的影响。</w:t>
      </w:r>
      <w:r>
        <w:rPr>
          <w:rFonts w:hint="eastAsia" w:ascii="方正仿宋_GBK" w:hAnsi="方正仿宋_GBK" w:eastAsia="方正仿宋_GBK" w:cs="方正仿宋_GBK"/>
          <w:bCs/>
          <w:color w:val="000000"/>
          <w:sz w:val="28"/>
          <w:szCs w:val="28"/>
          <w:lang w:val="en-US" w:eastAsia="zh-CN"/>
        </w:rPr>
      </w:r>
      <w:r/>
    </w:p>
    <w:p>
      <w:pPr>
        <w:pStyle w:val="995"/>
        <w:numPr>
          <w:ilvl w:val="0"/>
          <w:numId w:val="0"/>
        </w:numPr>
        <w:ind w:left="420" w:firstLine="28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6.2项目质量管理方案</w:t>
      </w:r>
      <w:r>
        <w:rPr>
          <w:rFonts w:hint="eastAsia" w:ascii="方正黑体_GBK" w:hAnsi="方正黑体_GBK" w:eastAsia="方正黑体_GBK" w:cs="方正黑体_GBK"/>
          <w:b w:val="0"/>
          <w:bCs/>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为确保项目的质量达到既定标准，投标人应详细阐述项目质量管理方案，包括质量标准、质量管理体系、质量控制措施等。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1．质量标准：项目需严格遵守国家及行业关于数据安全、软件开发等方面的相关法律法规、标准规范及最佳实践。</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2．质量管理体系：投标人需建立完善的质量管理体系，包括质量策划、质量控制、质量保证和质量改进等环节，确保项目全生命周期的质量管理。</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3．质量控制措施：在项目关键节点（如需求分析、设计、开发、测试等阶段）进行严格的评审与检查，确保各阶段输出物的质量符合预期。</w:t>
      </w:r>
      <w:r>
        <w:rPr>
          <w:rFonts w:hint="eastAsia" w:ascii="方正仿宋_GBK" w:hAnsi="方正仿宋_GBK" w:eastAsia="方正仿宋_GBK" w:cs="方正仿宋_GBK"/>
          <w:bCs/>
          <w:color w:val="000000"/>
          <w:sz w:val="28"/>
          <w:szCs w:val="28"/>
          <w:lang w:val="en-US" w:eastAsia="zh-CN"/>
        </w:rPr>
      </w:r>
      <w:r/>
    </w:p>
    <w:p>
      <w:pPr>
        <w:pStyle w:val="995"/>
        <w:numPr>
          <w:ilvl w:val="0"/>
          <w:numId w:val="0"/>
        </w:numPr>
        <w:ind w:left="420" w:firstLine="28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6.3项目测试管理方案</w:t>
      </w:r>
      <w:r>
        <w:rPr>
          <w:rFonts w:hint="eastAsia" w:ascii="方正黑体_GBK" w:hAnsi="方正黑体_GBK" w:eastAsia="方正黑体_GBK" w:cs="方正黑体_GBK"/>
          <w:b w:val="0"/>
          <w:bCs/>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投标人需制定详细的项目测试管理方案，包括测试计划、测试用例设计、测试执行以及测试报告等。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1．测试计划：包括但不限于测试目标、范围、策略、时间安排等，确保测试工作有序进行。</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2．测试用例设计：每个测试用例应包含测试步骤、前置条件、预期结果等，确保测试执行的准确性和可重复性。能够根据测试用例的重要性合理划分优先级，确保关键功能得到优先测试。</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3．测试执行：建立有效的缺陷管理流程，及时记录、跟踪、分析和修复测试过程中发现的缺陷。</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4．测试报告：对测试结果进行分析，制定优化方案，并形成测试报告。</w:t>
      </w:r>
      <w:r>
        <w:rPr>
          <w:rFonts w:hint="eastAsia" w:ascii="方正仿宋_GBK" w:hAnsi="方正仿宋_GBK" w:eastAsia="方正仿宋_GBK" w:cs="方正仿宋_GBK"/>
          <w:bCs/>
          <w:color w:val="000000"/>
          <w:sz w:val="28"/>
          <w:szCs w:val="28"/>
          <w:lang w:val="en-US" w:eastAsia="zh-CN"/>
        </w:rPr>
      </w:r>
      <w:r/>
    </w:p>
    <w:p>
      <w:pPr>
        <w:pStyle w:val="957"/>
        <w:rPr>
          <w:sz w:val="24"/>
          <w:szCs w:val="24"/>
          <w:highlight w:val="none"/>
        </w:rPr>
      </w:pPr>
      <w:r>
        <w:rPr>
          <w:sz w:val="24"/>
          <w:szCs w:val="24"/>
          <w:highlight w:val="none"/>
        </w:rPr>
      </w:r>
      <w:r/>
    </w:p>
    <w:p>
      <w:pPr>
        <w:pStyle w:val="958"/>
        <w:ind w:firstLine="560"/>
        <w:jc w:val="both"/>
        <w:rPr>
          <w:rFonts w:hint="eastAsia" w:ascii="方正黑体_GBK" w:hAnsi="方正黑体_GBK" w:eastAsia="方正黑体_GBK" w:cs="方正黑体_GBK"/>
          <w:b w:val="0"/>
          <w:bCs/>
          <w:sz w:val="28"/>
          <w:szCs w:val="28"/>
          <w:lang w:val="en-US" w:eastAsia="zh-CN" w:bidi="ar-SA"/>
        </w:rPr>
      </w:pPr>
      <w:r>
        <w:rPr>
          <w:rFonts w:hint="eastAsia" w:ascii="方正黑体_GBK" w:hAnsi="方正黑体_GBK" w:eastAsia="方正黑体_GBK" w:cs="方正黑体_GBK"/>
          <w:b w:val="0"/>
          <w:bCs/>
          <w:sz w:val="28"/>
          <w:szCs w:val="28"/>
          <w:lang w:val="en-US" w:eastAsia="zh-CN" w:bidi="ar-SA"/>
        </w:rPr>
        <w:t xml:space="preserve">6.4培训方案</w:t>
      </w:r>
      <w:r>
        <w:rPr>
          <w:rFonts w:hint="eastAsia" w:ascii="方正黑体_GBK" w:hAnsi="方正黑体_GBK" w:eastAsia="方正黑体_GBK" w:cs="方正黑体_GBK"/>
          <w:b w:val="0"/>
          <w:bCs/>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1．投标人需制定完善的培训方案，包括但不限于培训内容、培训计划、培训方法、培训课时等。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培训内容：对采购人主要技术人员和骨干用户提供使用及维护培训，对采购人主要技术人员提供对系统开发用到的主要技术培训，如操作系统、数据库、开发工具的厂家认证培训，以及应用系统平台的二次开发培训。</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3．培训计划：投标人在采购人现场的培训，投标人必须无偿提供培训资料、讲稿的电子稿、培训用文字资料和讲义等相关用品，所有的资料必须是中文书写，同时允许采购人在单位内部使用。</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4、培训对象分类：投标人须针对各个不同使用对象，提供不同的培训计划</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方正仿宋_GBK" w:hAnsi="方正仿宋_GBK" w:eastAsia="方正仿宋_GBK" w:cs="方正仿宋_GBK"/>
          <w:bCs/>
          <w:color w:val="000000"/>
          <w:sz w:val="28"/>
          <w:szCs w:val="28"/>
          <w:lang w:val="en-US" w:eastAsia="zh-CN"/>
        </w:rPr>
        <w:t xml:space="preserve"> 培训对象包括：（1）系统管理员：系统部署、配置管理、日常运维、安全防护等；（2）业务管理员：内容管理、用户管理、数据分析、运营推广等；（3）终端用户：Web端与微信小程序的使用操作、职业测评、对话交互等</w:t>
      </w:r>
      <w:r>
        <w:rPr>
          <w:rFonts w:hint="eastAsia" w:ascii="宋体" w:hAnsi="宋体" w:cs="宋体"/>
          <w:color w:val="000000"/>
          <w:sz w:val="24"/>
          <w:szCs w:val="24"/>
          <w:highlight w:val="none"/>
          <w:lang w:val="en-US" w:eastAsia="zh-CN"/>
        </w:rPr>
      </w:r>
      <w:r/>
    </w:p>
    <w:p>
      <w:pPr>
        <w:pStyle w:val="957"/>
        <w:ind w:firstLine="560"/>
        <w:keepLines w:val="0"/>
        <w:keepNext w:val="0"/>
        <w:pageBreakBefore w:val="0"/>
        <w:spacing w:line="400" w:lineRule="exact"/>
        <w:widowControl w:val="off"/>
        <w:rPr>
          <w:rFonts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5、培训课时</w:t>
      </w:r>
      <w:r>
        <w:rPr>
          <w:rFonts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投标人需提供不少于4小时的培训课时，投标人可根据培训对象理解程度，自行增加培训课时</w:t>
      </w:r>
      <w:r>
        <w:rPr>
          <w:rFonts w:hint="eastAsia" w:ascii="方正仿宋_GBK" w:hAnsi="方正仿宋_GBK" w:eastAsia="方正仿宋_GBK" w:cs="方正仿宋_GBK"/>
          <w:bCs/>
          <w:color w:val="000000"/>
          <w:sz w:val="28"/>
          <w:szCs w:val="28"/>
          <w:lang w:val="en-US" w:eastAsia="zh-CN"/>
        </w:rPr>
      </w:r>
      <w:r/>
    </w:p>
    <w:p>
      <w:pPr>
        <w:pStyle w:val="958"/>
        <w:ind w:firstLine="560"/>
        <w:jc w:val="both"/>
        <w:rPr>
          <w:rFonts w:hint="eastAsia" w:ascii="方正黑体_GBK" w:hAnsi="方正黑体_GBK" w:eastAsia="方正黑体_GBK" w:cs="方正黑体_GBK"/>
          <w:b w:val="0"/>
          <w:bCs/>
          <w:sz w:val="28"/>
          <w:szCs w:val="28"/>
          <w:lang w:val="en-US" w:eastAsia="zh-CN" w:bidi="ar-SA"/>
        </w:rPr>
      </w:pPr>
      <w:r>
        <w:rPr>
          <w:rFonts w:hint="eastAsia" w:ascii="方正黑体_GBK" w:hAnsi="方正黑体_GBK" w:eastAsia="方正黑体_GBK" w:cs="方正黑体_GBK"/>
          <w:b w:val="0"/>
          <w:bCs/>
          <w:sz w:val="28"/>
          <w:szCs w:val="28"/>
          <w:lang w:val="en-US" w:eastAsia="zh-CN" w:bidi="ar-SA"/>
        </w:rPr>
        <w:t xml:space="preserve">6.5售后服务</w:t>
      </w:r>
      <w:r>
        <w:rPr>
          <w:rFonts w:ascii="方正黑体_GBK" w:hAnsi="方正黑体_GBK" w:eastAsia="方正黑体_GBK" w:cs="方正黑体_GBK"/>
          <w:b w:val="0"/>
          <w:bCs/>
          <w:sz w:val="28"/>
          <w:szCs w:val="28"/>
          <w:lang w:val="en-US" w:eastAsia="zh-CN" w:bidi="ar-SA"/>
        </w:rPr>
        <w:t xml:space="preserve">方案</w:t>
      </w:r>
      <w:r>
        <w:rPr>
          <w:rFonts w:hint="eastAsia" w:ascii="方正黑体_GBK" w:hAnsi="方正黑体_GBK" w:eastAsia="方正黑体_GBK" w:cs="方正黑体_GBK"/>
          <w:b w:val="0"/>
          <w:bCs/>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1.质保期服务：本项目自验收合格之日起，系统质保期二年（包含于总投标报价中），质保期内对系统进行升级和维护。</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2.响应时间要求：两年的免费运维期内，供应商需安排不少于1位人员且是开发团队中的人员进行驻场运维服务，7×24小时响应投标人运维要求。</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巡检内容：服务器巡检每半个月一次，生成巡检报告。巡检内容包含：服务器运行状态、服务器安全状态、服务器性能监控、服务器进程与服务检查、服务器磁盘空间检查、服务器漏洞修补、服务器的隐患及处理意见。</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4.应用系统的日常运维。包括根据合同约定的业务需求变更，应用系统运行过程中出现的BUG修复，应用系统日常运行性能监控，应用系统日志管理和备份及运行期间出现的紧急事件等。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5.系统运维提供必要的运维工具。如：Jenkins、OSWatch、Lynis、rkhunter、cvechecker、HertzBeat等。</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6.网络安全服务：在重大安全事件期间，提供专人值守服务，确保应用程序运行正常。协助甲方完成网络防护工作，对于第三方扫描发现的漏洞问题，应根据严重程度逐步进行修复，保证系统安全。</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7.在运维期间，投标人遵守保密原则。对于校方的网络、主机、系统软件、应用软件等的密码、核心参数、业务数据等负有保密责任，不得随意复制和传播。</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8.合同履行期内，投标人根据采购人使用要求，提供技术指导和咨询服务，提供多种方式和途径的技术支持服务。</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9.系统上线后，所产生的一切费用均由中标人支付，例如第三方插件以及系统补丁等。</w:t>
      </w:r>
      <w:r>
        <w:rPr>
          <w:rFonts w:hint="eastAsia" w:ascii="方正仿宋_GBK" w:hAnsi="方正仿宋_GBK" w:eastAsia="方正仿宋_GBK" w:cs="方正仿宋_GBK"/>
          <w:bCs/>
          <w:color w:val="000000"/>
          <w:sz w:val="28"/>
          <w:szCs w:val="28"/>
          <w:lang w:val="en-US" w:eastAsia="zh-CN"/>
        </w:rPr>
      </w:r>
      <w:r/>
    </w:p>
    <w:p>
      <w:pPr>
        <w:pStyle w:val="99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七</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1.项目属性:服务类项目。</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2.进口产品投标</w:t>
      </w:r>
      <w:r>
        <w:rPr>
          <w:rFonts w:hint="eastAsia" w:ascii="方正仿宋_GBK" w:hAnsi="方正仿宋_GBK" w:eastAsia="方正仿宋_GBK" w:cs="方正仿宋_GBK"/>
          <w:bCs/>
          <w:color w:val="000000"/>
          <w:sz w:val="28"/>
          <w:szCs w:val="28"/>
          <w:lang w:val="en-US" w:eastAsia="zh-C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72"/>
        <w:gridCol w:w="2763"/>
      </w:tblGrid>
      <w:tr>
        <w:trPr/>
        <w:tc>
          <w:tcPr>
            <w:tcW w:w="1872" w:type="dxa"/>
            <w:vAlign w:val="top"/>
            <w:textDirection w:val="lrTb"/>
            <w:noWrap w:val="false"/>
          </w:tcPr>
          <w:p>
            <w:pPr>
              <w:pStyle w:val="95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采购包号</w:t>
            </w:r>
            <w:r>
              <w:rPr>
                <w:rFonts w:hint="eastAsia" w:ascii="方正仿宋_GBK" w:hAnsi="方正仿宋_GBK" w:eastAsia="方正仿宋_GBK" w:cs="方正仿宋_GBK"/>
                <w:bCs/>
                <w:color w:val="000000"/>
                <w:sz w:val="28"/>
                <w:szCs w:val="28"/>
                <w:lang w:val="en-US" w:eastAsia="zh-CN"/>
              </w:rPr>
            </w:r>
            <w:r/>
          </w:p>
        </w:tc>
        <w:tc>
          <w:tcPr>
            <w:tcW w:w="2763" w:type="dxa"/>
            <w:vAlign w:val="top"/>
            <w:textDirection w:val="lrTb"/>
            <w:noWrap w:val="false"/>
          </w:tcPr>
          <w:p>
            <w:pPr>
              <w:pStyle w:val="957"/>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是否接受进口产品投标（是/否）</w:t>
            </w:r>
            <w:r>
              <w:rPr>
                <w:rFonts w:hint="eastAsia" w:ascii="方正仿宋_GBK" w:hAnsi="方正仿宋_GBK" w:eastAsia="方正仿宋_GBK" w:cs="方正仿宋_GBK"/>
                <w:bCs/>
                <w:color w:val="000000"/>
                <w:sz w:val="28"/>
                <w:szCs w:val="28"/>
                <w:lang w:val="en-US" w:eastAsia="zh-CN"/>
              </w:rPr>
            </w:r>
            <w:r/>
          </w:p>
        </w:tc>
      </w:tr>
      <w:tr>
        <w:trPr>
          <w:trHeight w:val="417"/>
        </w:trPr>
        <w:tc>
          <w:tcPr>
            <w:tcW w:w="1872" w:type="dxa"/>
            <w:vAlign w:val="top"/>
            <w:textDirection w:val="lrTb"/>
            <w:noWrap w:val="false"/>
          </w:tcPr>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w:t>
            </w:r>
            <w:r>
              <w:rPr>
                <w:rFonts w:hint="eastAsia" w:ascii="方正仿宋_GBK" w:hAnsi="方正仿宋_GBK" w:eastAsia="方正仿宋_GBK" w:cs="方正仿宋_GBK"/>
                <w:bCs/>
                <w:color w:val="000000"/>
                <w:sz w:val="28"/>
                <w:szCs w:val="28"/>
                <w:lang w:val="en-US" w:eastAsia="zh-CN"/>
              </w:rPr>
            </w:r>
            <w:r/>
          </w:p>
        </w:tc>
        <w:tc>
          <w:tcPr>
            <w:tcW w:w="2763" w:type="dxa"/>
            <w:vAlign w:val="top"/>
            <w:textDirection w:val="lrTb"/>
            <w:noWrap w:val="false"/>
          </w:tcPr>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否</w:t>
            </w:r>
            <w:r>
              <w:rPr>
                <w:rFonts w:hint="eastAsia" w:ascii="方正仿宋_GBK" w:hAnsi="方正仿宋_GBK" w:eastAsia="方正仿宋_GBK" w:cs="方正仿宋_GBK"/>
                <w:bCs/>
                <w:color w:val="000000"/>
                <w:sz w:val="28"/>
                <w:szCs w:val="28"/>
                <w:lang w:val="en-US" w:eastAsia="zh-CN"/>
              </w:rPr>
            </w:r>
            <w:r/>
          </w:p>
        </w:tc>
      </w:tr>
    </w:tbl>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3.演示要求：上传视频演示</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bCs/>
          <w:color w:val="000000"/>
          <w:sz w:val="28"/>
          <w:szCs w:val="28"/>
          <w:lang w:val="en-US" w:eastAsia="zh-CN"/>
        </w:rPr>
        <w:t xml:space="preserve">投标人需按照招标文件规定的演示内容制作演示视频文件，视频文件的格式为</w:t>
      </w:r>
      <w:r>
        <w:rPr>
          <w:rFonts w:hint="eastAsia" w:ascii="Times New Roman" w:hAnsi="Times New Roman" w:eastAsia="方正仿宋_GBK" w:cs="Times New Roman"/>
          <w:color w:val="000000"/>
          <w:sz w:val="28"/>
          <w:szCs w:val="28"/>
          <w:u w:val="none"/>
          <w:lang w:val="en-US" w:eastAsia="zh-CN" w:bidi="ar-SA"/>
        </w:rPr>
        <w:t xml:space="preserve">X.mp4</w:t>
      </w:r>
      <w:r>
        <w:rPr>
          <w:rFonts w:hint="eastAsia" w:ascii="方正仿宋_GBK" w:hAnsi="方正仿宋_GBK" w:eastAsia="方正仿宋_GBK" w:cs="方正仿宋_GBK"/>
          <w:bCs/>
          <w:color w:val="000000"/>
          <w:sz w:val="28"/>
          <w:szCs w:val="28"/>
          <w:lang w:val="en-US" w:eastAsia="zh-CN"/>
        </w:rPr>
        <w:t xml:space="preserve">或</w:t>
      </w:r>
      <w:r>
        <w:rPr>
          <w:rFonts w:hint="eastAsia" w:ascii="Times New Roman" w:hAnsi="Times New Roman" w:eastAsia="方正仿宋_GBK" w:cs="Times New Roman"/>
          <w:color w:val="000000"/>
          <w:sz w:val="28"/>
          <w:szCs w:val="28"/>
          <w:u w:val="none"/>
          <w:lang w:val="en-US" w:eastAsia="zh-CN" w:bidi="ar-SA"/>
        </w:rPr>
        <w:t xml:space="preserve">X.avi</w:t>
      </w:r>
      <w:r>
        <w:rPr>
          <w:rFonts w:hint="eastAsia" w:ascii="方正仿宋_GBK" w:hAnsi="方正仿宋_GBK" w:eastAsia="方正仿宋_GBK" w:cs="方正仿宋_GBK"/>
          <w:bCs/>
          <w:color w:val="000000"/>
          <w:sz w:val="28"/>
          <w:szCs w:val="28"/>
          <w:lang w:val="en-US" w:eastAsia="zh-CN"/>
        </w:rPr>
        <w:t xml:space="preserve">，投标人须将视频文件分段压缩为</w:t>
      </w:r>
      <w:r>
        <w:rPr>
          <w:rFonts w:hint="eastAsia" w:ascii="Times New Roman" w:hAnsi="Times New Roman" w:eastAsia="方正仿宋_GBK" w:cs="Times New Roman"/>
          <w:color w:val="000000"/>
          <w:sz w:val="28"/>
          <w:szCs w:val="28"/>
          <w:u w:val="none"/>
          <w:lang w:val="en-US" w:eastAsia="zh-CN" w:bidi="ar-SA"/>
        </w:rPr>
        <w:t xml:space="preserve">X.zip</w:t>
      </w:r>
      <w:r>
        <w:rPr>
          <w:rFonts w:hint="eastAsia" w:ascii="方正仿宋_GBK" w:hAnsi="方正仿宋_GBK" w:eastAsia="方正仿宋_GBK" w:cs="方正仿宋_GBK"/>
          <w:bCs/>
          <w:color w:val="000000"/>
          <w:sz w:val="28"/>
          <w:szCs w:val="28"/>
          <w:lang w:val="en-US" w:eastAsia="zh-CN"/>
        </w:rPr>
        <w:t xml:space="preserve">文件上传（单个文件不得大于</w:t>
      </w:r>
      <w:r>
        <w:rPr>
          <w:rFonts w:hint="eastAsia" w:ascii="Times New Roman" w:hAnsi="Times New Roman" w:eastAsia="方正仿宋_GBK" w:cs="Times New Roman"/>
          <w:color w:val="000000"/>
          <w:sz w:val="28"/>
          <w:szCs w:val="28"/>
          <w:u w:val="none"/>
          <w:lang w:val="en-US" w:eastAsia="zh-CN" w:bidi="ar-SA"/>
        </w:rPr>
        <w:t xml:space="preserve">50M</w:t>
      </w:r>
      <w:r>
        <w:rPr>
          <w:rFonts w:hint="eastAsia" w:ascii="方正仿宋_GBK" w:hAnsi="方正仿宋_GBK" w:eastAsia="方正仿宋_GBK" w:cs="方正仿宋_GBK"/>
          <w:bCs/>
          <w:color w:val="000000"/>
          <w:sz w:val="28"/>
          <w:szCs w:val="28"/>
          <w:lang w:val="en-US" w:eastAsia="zh-CN"/>
        </w:rPr>
        <w:t xml:space="preserve">，所有文件总共不得大于</w:t>
      </w:r>
      <w:r>
        <w:rPr>
          <w:rFonts w:hint="eastAsia" w:ascii="Times New Roman" w:hAnsi="Times New Roman" w:eastAsia="方正仿宋_GBK" w:cs="Times New Roman"/>
          <w:color w:val="000000"/>
          <w:sz w:val="28"/>
          <w:szCs w:val="28"/>
          <w:u w:val="none"/>
          <w:lang w:val="en-US" w:eastAsia="zh-CN" w:bidi="ar-SA"/>
        </w:rPr>
        <w:t xml:space="preserve">300M）</w:t>
      </w:r>
      <w:r>
        <w:rPr>
          <w:rFonts w:hint="eastAsia" w:ascii="方正仿宋_GBK" w:hAnsi="方正仿宋_GBK" w:eastAsia="方正仿宋_GBK" w:cs="方正仿宋_GBK"/>
          <w:bCs/>
          <w:color w:val="000000"/>
          <w:sz w:val="28"/>
          <w:szCs w:val="28"/>
          <w:lang w:val="en-US" w:eastAsia="zh-CN"/>
        </w:rPr>
        <w:t xml:space="preserve">。文件上传方式见《操作手册》规定，上传的演示视频将作为投标文件的组成部分，视频时长总计不超过15分钟</w:t>
      </w:r>
      <w:r>
        <w:rPr>
          <w:rFonts w:ascii="宋体" w:hAnsi="宋体"/>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2.演示内容如下：</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演示内容建议涵盖以下核心功能：</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（1）AI智能对话交互演示：展示多轮对话、流式推送、Markdown/Mermaid渲染等功能；</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（2）职业能力测评与画像生成演示：展示标准化测评流程与动态画像生成过程；</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（3）职业规划方案生成演示：展示双维规划模型生成个性化职业发展路径的过程；</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（4）知识库RAG检索演示：展示从官方知识库中精准检索信息并生成回答的过程；</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（5）数据看板演示：展示用户洞察看板的高频问题TOP榜、用户画像分布等可视化分析功能；</w:t>
      </w:r>
      <w:r>
        <w:rPr>
          <w:rFonts w:hint="eastAsia" w:ascii="方正仿宋_GBK" w:hAnsi="方正仿宋_GBK" w:eastAsia="方正仿宋_GBK" w:cs="方正仿宋_GBK"/>
          <w:bCs/>
          <w:color w:val="000000"/>
          <w:sz w:val="28"/>
          <w:szCs w:val="28"/>
          <w:lang w:val="en-US" w:eastAsia="zh-CN"/>
        </w:rPr>
      </w:r>
      <w:r/>
    </w:p>
    <w:p>
      <w:pPr>
        <w:pStyle w:val="957"/>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（6）多端同步演示：展示Web端与微信小程序双端实时同步能力。</w:t>
      </w:r>
      <w:r>
        <w:rPr>
          <w:rFonts w:hint="eastAsia" w:ascii="方正黑体_GBK" w:hAnsi="方正黑体_GBK" w:eastAsia="方正黑体_GBK" w:cs="方正黑体_GBK"/>
          <w:b w:val="0"/>
          <w:bCs/>
          <w:sz w:val="28"/>
          <w:szCs w:val="28"/>
          <w:lang w:val="en-US" w:eastAsia="zh-CN"/>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7"/>
        <w:rPr>
          <w:rFonts w:hint="eastAsia" w:ascii="黑体" w:eastAsia="黑体"/>
          <w:bCs/>
          <w:sz w:val="44"/>
        </w:rPr>
      </w:pPr>
      <w:r>
        <w:rPr>
          <w:rFonts w:hint="eastAsia" w:ascii="黑体" w:eastAsia="黑体"/>
          <w:bCs/>
          <w:sz w:val="44"/>
        </w:rPr>
      </w:r>
      <w:r/>
    </w:p>
    <w:p>
      <w:pPr>
        <w:pStyle w:val="959"/>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7"/>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4"/>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4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4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4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44"/>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4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4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4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4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44"/>
        <w:ind w:firstLine="56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w:t>
      </w:r>
      <w:r>
        <w:rPr>
          <w:rFonts w:hint="eastAsia" w:ascii="宋体" w:hAnsi="宋体"/>
          <w:b/>
          <w:sz w:val="28"/>
          <w:szCs w:val="28"/>
        </w:rPr>
      </w:r>
      <w:r/>
    </w:p>
    <w:p>
      <w:pPr>
        <w:pStyle w:val="1044"/>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1044"/>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1044"/>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57"/>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57"/>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  </w:t>
      </w:r>
      <w:r>
        <w:rPr>
          <w:rFonts w:hint="eastAsia" w:ascii="方正仿宋_GBK" w:hAnsi="方正仿宋_GBK" w:eastAsia="方正仿宋_GBK" w:cs="方正仿宋_GBK"/>
          <w:b/>
          <w:color w:val="000000"/>
          <w:sz w:val="28"/>
          <w:szCs w:val="28"/>
        </w:rPr>
      </w:r>
      <w:r/>
    </w:p>
    <w:tbl>
      <w:tblPr>
        <w:tblpPr w:horzAnchor="page" w:tblpX="1577" w:vertAnchor="text" w:tblpY="394" w:leftFromText="180" w:topFromText="0" w:rightFromText="180" w:bottomFromText="0"/>
        <w:tblW w:w="94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863"/>
        <w:gridCol w:w="7248"/>
        <w:gridCol w:w="695"/>
      </w:tblGrid>
      <w:tr>
        <w:trPr>
          <w:trHeight w:val="473"/>
        </w:trPr>
        <w:tc>
          <w:tcPr>
            <w:tcW w:w="639" w:type="dxa"/>
            <w:vAlign w:val="center"/>
            <w:textDirection w:val="lrTb"/>
            <w:noWrap w:val="false"/>
          </w:tcPr>
          <w:p>
            <w:pPr>
              <w:pStyle w:val="957"/>
              <w:jc w:val="center"/>
              <w:spacing w:line="360" w:lineRule="auto"/>
              <w:rPr>
                <w:rFonts w:cs="宋体"/>
                <w:b/>
                <w:highlight w:val="none"/>
              </w:rPr>
              <w:framePr w:vAnchor="text" w:hAnchor="page" w:x="1577" w:y="394"/>
            </w:pPr>
            <w:r>
              <w:rPr>
                <w:rFonts w:hint="eastAsia" w:cs="宋体"/>
                <w:b/>
                <w:highlight w:val="none"/>
              </w:rPr>
              <w:t xml:space="preserve">序号</w:t>
            </w:r>
            <w:r>
              <w:rPr>
                <w:rFonts w:cs="宋体"/>
                <w:b/>
                <w:highlight w:val="none"/>
              </w:rPr>
            </w:r>
            <w:r/>
          </w:p>
        </w:tc>
        <w:tc>
          <w:tcPr>
            <w:tcW w:w="863" w:type="dxa"/>
            <w:vAlign w:val="center"/>
            <w:textDirection w:val="lrTb"/>
            <w:noWrap w:val="false"/>
          </w:tcPr>
          <w:p>
            <w:pPr>
              <w:pStyle w:val="957"/>
              <w:jc w:val="center"/>
              <w:spacing w:line="360" w:lineRule="auto"/>
              <w:rPr>
                <w:rFonts w:cs="宋体"/>
                <w:b/>
                <w:bCs w:val="0"/>
                <w:highlight w:val="none"/>
              </w:rPr>
              <w:framePr w:vAnchor="text" w:hAnchor="page" w:x="1577" w:y="394"/>
            </w:pPr>
            <w:r>
              <w:rPr>
                <w:rFonts w:hint="eastAsia" w:cs="宋体"/>
                <w:b/>
                <w:bCs w:val="0"/>
                <w:highlight w:val="none"/>
              </w:rPr>
              <w:t xml:space="preserve">评分因素</w:t>
            </w:r>
            <w:r>
              <w:rPr>
                <w:rFonts w:cs="宋体"/>
                <w:b/>
                <w:bCs w:val="0"/>
                <w:highlight w:val="none"/>
              </w:rPr>
            </w:r>
            <w:r/>
          </w:p>
        </w:tc>
        <w:tc>
          <w:tcPr>
            <w:tcW w:w="7248" w:type="dxa"/>
            <w:vAlign w:val="center"/>
            <w:textDirection w:val="lrTb"/>
            <w:noWrap w:val="false"/>
          </w:tcPr>
          <w:p>
            <w:pPr>
              <w:pStyle w:val="957"/>
              <w:jc w:val="center"/>
              <w:spacing w:line="360" w:lineRule="auto"/>
              <w:rPr>
                <w:rFonts w:cs="宋体"/>
                <w:b/>
                <w:bCs w:val="0"/>
                <w:highlight w:val="none"/>
              </w:rPr>
              <w:framePr w:vAnchor="text" w:hAnchor="page" w:x="1577" w:y="394"/>
            </w:pPr>
            <w:r>
              <w:rPr>
                <w:rFonts w:hint="eastAsia" w:cs="宋体"/>
                <w:b/>
                <w:bCs w:val="0"/>
                <w:highlight w:val="none"/>
              </w:rPr>
              <w:t xml:space="preserve">评审标准</w:t>
            </w:r>
            <w:r>
              <w:rPr>
                <w:rFonts w:cs="宋体"/>
                <w:b/>
                <w:bCs w:val="0"/>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bCs w:val="0"/>
                <w:highlight w:val="none"/>
              </w:rPr>
              <w:framePr w:vAnchor="text" w:hAnchor="page" w:x="1577" w:y="394"/>
            </w:pPr>
            <w:r>
              <w:rPr>
                <w:rFonts w:hint="eastAsia" w:ascii="微软雅黑" w:hAnsi="微软雅黑" w:eastAsia="微软雅黑" w:cs="微软雅黑"/>
                <w:b/>
                <w:bCs w:val="0"/>
                <w:highlight w:val="none"/>
              </w:rPr>
              <w:t xml:space="preserve">分值</w:t>
            </w:r>
            <w:r>
              <w:rPr>
                <w:rFonts w:hint="eastAsia" w:ascii="微软雅黑" w:hAnsi="微软雅黑" w:eastAsia="微软雅黑" w:cs="微软雅黑"/>
                <w:b/>
                <w:bCs w:val="0"/>
                <w:highlight w:val="none"/>
              </w:rPr>
            </w:r>
            <w:r/>
          </w:p>
        </w:tc>
      </w:tr>
      <w:tr>
        <w:trPr>
          <w:trHeight w:val="1804"/>
        </w:trPr>
        <w:tc>
          <w:tcPr>
            <w:tcW w:w="639" w:type="dxa"/>
            <w:vAlign w:val="center"/>
            <w:textDirection w:val="lrTb"/>
            <w:noWrap w:val="false"/>
          </w:tcPr>
          <w:p>
            <w:pPr>
              <w:pStyle w:val="957"/>
              <w:jc w:val="center"/>
              <w:spacing w:line="360" w:lineRule="auto"/>
              <w:rPr>
                <w:rFonts w:cs="宋体"/>
                <w:b/>
                <w:highlight w:val="none"/>
              </w:rPr>
              <w:framePr w:vAnchor="text" w:hAnchor="page" w:x="1577" w:y="394"/>
            </w:pPr>
            <w:r>
              <w:rPr>
                <w:rFonts w:hint="eastAsia" w:cs="宋体"/>
                <w:b/>
                <w:highlight w:val="none"/>
              </w:rPr>
              <w:t xml:space="preserve">1</w:t>
            </w:r>
            <w:r>
              <w:rPr>
                <w:rFonts w:cs="宋体"/>
                <w:b/>
                <w:highlight w:val="none"/>
              </w:rPr>
            </w:r>
            <w:r/>
          </w:p>
        </w:tc>
        <w:tc>
          <w:tcPr>
            <w:tcW w:w="863" w:type="dxa"/>
            <w:vAlign w:val="center"/>
            <w:textDirection w:val="lrTb"/>
            <w:noWrap w:val="false"/>
          </w:tcPr>
          <w:p>
            <w:pPr>
              <w:pStyle w:val="957"/>
              <w:jc w:val="center"/>
              <w:spacing w:line="360" w:lineRule="auto"/>
              <w:rPr>
                <w:rFonts w:cs="宋体"/>
                <w:b w:val="0"/>
                <w:bCs/>
                <w:highlight w:val="none"/>
              </w:rPr>
              <w:framePr w:vAnchor="text" w:hAnchor="page" w:x="1577" w:y="394"/>
            </w:pPr>
            <w:r>
              <w:rPr>
                <w:rFonts w:hint="eastAsia" w:cs="宋体"/>
                <w:b w:val="0"/>
                <w:bCs/>
                <w:highlight w:val="none"/>
              </w:rPr>
              <w:t xml:space="preserve">价格</w:t>
            </w:r>
            <w:r>
              <w:rPr>
                <w:rFonts w:cs="宋体"/>
                <w:b w:val="0"/>
                <w:bCs/>
                <w:highlight w:val="none"/>
              </w:rPr>
            </w:r>
            <w:r/>
          </w:p>
        </w:tc>
        <w:tc>
          <w:tcPr>
            <w:tcW w:w="7248" w:type="dxa"/>
            <w:vAlign w:val="center"/>
            <w:textDirection w:val="lrTb"/>
            <w:noWrap w:val="false"/>
          </w:tcPr>
          <w:p>
            <w:pPr>
              <w:pStyle w:val="957"/>
              <w:spacing w:line="360" w:lineRule="auto"/>
              <w:rPr>
                <w:rFonts w:cs="宋体"/>
                <w:highlight w:val="none"/>
              </w:rPr>
              <w:framePr w:vAnchor="text" w:hAnchor="page" w:x="1577" w:y="394"/>
            </w:pPr>
            <w:r>
              <w:rPr>
                <w:rFonts w:hint="eastAsia" w:cs="宋体"/>
                <w:highlight w:val="none"/>
              </w:rPr>
              <w:t xml:space="preserve">采用低价优先法计算，即满足招标文件要求且投标价格最低的投标报价为评标基准价，其价格分为满分。</w:t>
            </w:r>
            <w:r>
              <w:rPr>
                <w:rFonts w:cs="宋体"/>
                <w:highlight w:val="none"/>
              </w:rPr>
            </w:r>
            <w:r/>
          </w:p>
          <w:p>
            <w:pPr>
              <w:pStyle w:val="957"/>
              <w:spacing w:line="360" w:lineRule="auto"/>
              <w:rPr>
                <w:rFonts w:cs="宋体"/>
                <w:highlight w:val="none"/>
              </w:rPr>
              <w:framePr w:vAnchor="text" w:hAnchor="page" w:x="1577" w:y="394"/>
            </w:pPr>
            <w:r>
              <w:rPr>
                <w:rFonts w:hint="eastAsia" w:cs="宋体"/>
                <w:highlight w:val="none"/>
              </w:rPr>
              <w:t xml:space="preserve">其他供应商的价格分统一按照下列公式计算:投标报价得分=(评标基准价/投标报价)×10（小数点保留两位）。</w:t>
            </w:r>
            <w:r>
              <w:rPr>
                <w:rFonts w:cs="宋体"/>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highlight w:val="none"/>
              </w:rPr>
              <w:framePr w:vAnchor="text" w:hAnchor="page" w:x="1577" w:y="394"/>
            </w:pPr>
            <w:r>
              <w:rPr>
                <w:rFonts w:hint="eastAsia" w:ascii="微软雅黑" w:hAnsi="微软雅黑" w:eastAsia="微软雅黑" w:cs="微软雅黑"/>
                <w:b w:val="0"/>
                <w:bCs/>
                <w:highlight w:val="none"/>
              </w:rPr>
              <w:t xml:space="preserve">10</w:t>
            </w:r>
            <w:r>
              <w:rPr>
                <w:rFonts w:hint="eastAsia" w:ascii="微软雅黑" w:hAnsi="微软雅黑" w:eastAsia="微软雅黑" w:cs="微软雅黑"/>
                <w:b w:val="0"/>
                <w:bCs/>
                <w:highlight w:val="none"/>
              </w:rPr>
            </w:r>
            <w:r/>
          </w:p>
        </w:tc>
      </w:tr>
      <w:tr>
        <w:trPr>
          <w:trHeight w:val="2630"/>
        </w:trPr>
        <w:tc>
          <w:tcPr>
            <w:tcW w:w="639" w:type="dxa"/>
            <w:vAlign w:val="center"/>
            <w:textDirection w:val="lrTb"/>
            <w:noWrap w:val="false"/>
          </w:tcPr>
          <w:p>
            <w:pPr>
              <w:pStyle w:val="957"/>
              <w:jc w:val="center"/>
              <w:spacing w:line="360" w:lineRule="auto"/>
              <w:rPr>
                <w:rFonts w:cs="宋体"/>
                <w:b/>
                <w:highlight w:val="none"/>
              </w:rPr>
              <w:framePr w:vAnchor="text" w:hAnchor="page" w:x="1577" w:y="394"/>
            </w:pPr>
            <w:r>
              <w:rPr>
                <w:rFonts w:hint="eastAsia" w:cs="宋体"/>
                <w:b/>
                <w:highlight w:val="none"/>
              </w:rPr>
              <w:t xml:space="preserve">2</w:t>
            </w:r>
            <w:r>
              <w:rPr>
                <w:rFonts w:cs="宋体"/>
                <w:b/>
                <w:highlight w:val="none"/>
              </w:rPr>
            </w:r>
            <w:r/>
          </w:p>
        </w:tc>
        <w:tc>
          <w:tcPr>
            <w:tcW w:w="863" w:type="dxa"/>
            <w:vAlign w:val="center"/>
            <w:textDirection w:val="lrTb"/>
            <w:noWrap w:val="false"/>
          </w:tcPr>
          <w:p>
            <w:pPr>
              <w:pStyle w:val="957"/>
              <w:jc w:val="center"/>
              <w:spacing w:line="360" w:lineRule="auto"/>
              <w:rPr>
                <w:rFonts w:cs="宋体"/>
                <w:b w:val="0"/>
                <w:bCs/>
                <w:highlight w:val="none"/>
              </w:rPr>
              <w:framePr w:vAnchor="text" w:hAnchor="page" w:x="1577" w:y="394"/>
            </w:pPr>
            <w:r>
              <w:rPr>
                <w:rFonts w:hint="eastAsia" w:cs="宋体"/>
                <w:b w:val="0"/>
                <w:bCs/>
                <w:highlight w:val="none"/>
              </w:rPr>
              <w:t xml:space="preserve">技术指标</w:t>
            </w:r>
            <w:r>
              <w:rPr>
                <w:rFonts w:cs="宋体"/>
                <w:b w:val="0"/>
                <w:bCs/>
                <w:highlight w:val="none"/>
              </w:rPr>
            </w:r>
            <w:r/>
          </w:p>
        </w:tc>
        <w:tc>
          <w:tcPr>
            <w:tcW w:w="7248" w:type="dxa"/>
            <w:vAlign w:val="center"/>
            <w:textDirection w:val="lrTb"/>
            <w:noWrap w:val="false"/>
          </w:tcPr>
          <w:p>
            <w:pPr>
              <w:pStyle w:val="957"/>
              <w:spacing w:line="360" w:lineRule="auto"/>
              <w:rPr>
                <w:rFonts w:cs="宋体"/>
                <w:highlight w:val="none"/>
              </w:rPr>
              <w:framePr w:vAnchor="text" w:hAnchor="page" w:x="1577" w:y="394"/>
            </w:pPr>
            <w:r>
              <w:rPr>
                <w:rFonts w:hint="eastAsia" w:cs="宋体"/>
                <w:highlight w:val="none"/>
              </w:rPr>
              <w:t xml:space="preserve">投标产品对招标文件具体需求的响应程度：全部响应即满足招标文件采购需求中“</w:t>
            </w:r>
            <w:r>
              <w:rPr>
                <w:rFonts w:hint="eastAsia" w:cs="宋体"/>
                <w:highlight w:val="none"/>
                <w:lang w:val="en-US" w:eastAsia="zh-CN"/>
              </w:rPr>
              <w:t xml:space="preserve">四</w:t>
            </w:r>
            <w:r>
              <w:rPr>
                <w:rFonts w:hint="eastAsia" w:cs="宋体"/>
                <w:highlight w:val="none"/>
              </w:rPr>
              <w:t xml:space="preserve">、技术要求”</w:t>
            </w:r>
            <w:r>
              <w:rPr>
                <w:rFonts w:hint="eastAsia" w:cs="宋体"/>
                <w:highlight w:val="none"/>
                <w:lang w:val="en-US" w:eastAsia="zh-CN"/>
              </w:rPr>
              <w:t xml:space="preserve">全部条款</w:t>
            </w:r>
            <w:r>
              <w:rPr>
                <w:rFonts w:hint="eastAsia" w:cs="宋体"/>
                <w:highlight w:val="none"/>
              </w:rPr>
              <w:t xml:space="preserve">的得39分，打▲号参数为重要技术要求，有负偏离的每项扣0.5分（共计38项），其他</w:t>
            </w:r>
            <w:r>
              <w:rPr>
                <w:rFonts w:hint="eastAsia" w:cs="宋体"/>
                <w:highlight w:val="none"/>
                <w:lang w:val="en-US" w:eastAsia="zh-CN"/>
              </w:rPr>
              <w:t xml:space="preserve">打</w:t>
            </w:r>
            <w:r>
              <w:rPr>
                <w:rFonts w:hint="eastAsia"/>
                <w:sz w:val="24"/>
                <w:szCs w:val="24"/>
                <w:highlight w:val="none"/>
              </w:rPr>
              <w:t xml:space="preserve">●</w:t>
            </w:r>
            <w:r>
              <w:rPr>
                <w:rFonts w:hint="eastAsia"/>
                <w:sz w:val="24"/>
                <w:szCs w:val="24"/>
                <w:highlight w:val="none"/>
                <w:lang w:val="en-US" w:eastAsia="zh-CN"/>
              </w:rPr>
              <w:t xml:space="preserve">号</w:t>
            </w:r>
            <w:r>
              <w:rPr>
                <w:rFonts w:hint="eastAsia" w:cs="宋体"/>
                <w:highlight w:val="none"/>
              </w:rPr>
              <w:t xml:space="preserve">参数为普通技术要求，有负偏离每项扣0.2分（共计100项），扣完为止。（供应商需按照本采购文件具体功能技术要求在“技术参数响应及偏离表”中如实详细填列所投产品的参数）。</w:t>
            </w:r>
            <w:r>
              <w:rPr>
                <w:rFonts w:cs="宋体"/>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highlight w:val="none"/>
              </w:rPr>
              <w:framePr w:vAnchor="text" w:hAnchor="page" w:x="1577" w:y="394"/>
            </w:pPr>
            <w:r>
              <w:rPr>
                <w:rFonts w:hint="eastAsia" w:ascii="微软雅黑" w:hAnsi="微软雅黑" w:eastAsia="微软雅黑" w:cs="微软雅黑"/>
                <w:b w:val="0"/>
                <w:bCs/>
                <w:highlight w:val="none"/>
              </w:rPr>
              <w:t xml:space="preserve">39</w:t>
            </w:r>
            <w:r>
              <w:rPr>
                <w:rFonts w:hint="eastAsia" w:ascii="微软雅黑" w:hAnsi="微软雅黑" w:eastAsia="微软雅黑" w:cs="微软雅黑"/>
                <w:b w:val="0"/>
                <w:bCs/>
                <w:highlight w:val="none"/>
              </w:rPr>
            </w:r>
            <w:r/>
          </w:p>
        </w:tc>
      </w:tr>
      <w:tr>
        <w:trPr>
          <w:trHeight w:val="567"/>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3．1</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项目实施方案</w:t>
            </w:r>
            <w:r>
              <w:rPr>
                <w:rFonts w:hint="eastAsia" w:ascii="宋体" w:hAnsi="宋体" w:eastAsia="宋体" w:cs="宋体"/>
                <w:b w:val="0"/>
                <w:bCs/>
                <w:sz w:val="21"/>
                <w:szCs w:val="21"/>
                <w:highlight w:val="none"/>
              </w:rPr>
            </w:r>
            <w:r/>
          </w:p>
        </w:tc>
        <w:tc>
          <w:tcPr>
            <w:tcW w:w="7248" w:type="dxa"/>
            <w:vAlign w:val="top"/>
            <w:textDirection w:val="lrTb"/>
            <w:noWrap w:val="false"/>
          </w:tcPr>
          <w:p>
            <w:pPr>
              <w:pStyle w:val="957"/>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评委根据投标文件对第四章“采购需求”中“项目实施方案”响应情况进行评审。</w:t>
            </w:r>
            <w:r>
              <w:rPr>
                <w:rFonts w:hint="eastAsia" w:ascii="宋体" w:hAnsi="宋体" w:eastAsia="宋体" w:cs="宋体"/>
                <w:sz w:val="21"/>
                <w:szCs w:val="21"/>
                <w:highlight w:val="none"/>
                <w:lang w:val="en-US" w:eastAsia="zh-CN"/>
              </w:rPr>
            </w:r>
            <w:r/>
          </w:p>
          <w:p>
            <w:pPr>
              <w:pStyle w:val="957"/>
              <w:numPr>
                <w:ilvl w:val="0"/>
                <w:numId w:val="7"/>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投标文件未符合“项目实施方案”中全部条款要求的，视为不符合招标文件，本项得0分。</w:t>
            </w:r>
            <w:r>
              <w:rPr>
                <w:rFonts w:hint="eastAsia" w:ascii="宋体" w:hAnsi="宋体" w:eastAsia="宋体" w:cs="宋体"/>
                <w:sz w:val="21"/>
                <w:szCs w:val="21"/>
                <w:highlight w:val="none"/>
                <w:lang w:val="en-US" w:eastAsia="zh-CN"/>
              </w:rPr>
            </w:r>
            <w:r/>
          </w:p>
          <w:p>
            <w:pPr>
              <w:pStyle w:val="957"/>
              <w:numPr>
                <w:ilvl w:val="0"/>
                <w:numId w:val="7"/>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投标文件符合“项目实施方案”中全部条款要求的，视为符合招标文件，本项得3分.</w:t>
            </w:r>
            <w:r>
              <w:rPr>
                <w:rFonts w:hint="eastAsia" w:ascii="宋体" w:hAnsi="宋体" w:eastAsia="宋体" w:cs="宋体"/>
                <w:sz w:val="21"/>
                <w:szCs w:val="21"/>
                <w:highlight w:val="none"/>
                <w:lang w:val="en-US" w:eastAsia="zh-CN"/>
              </w:rPr>
            </w:r>
            <w:r/>
          </w:p>
          <w:p>
            <w:pPr>
              <w:pStyle w:val="957"/>
              <w:numPr>
                <w:ilvl w:val="0"/>
                <w:numId w:val="7"/>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rPr>
              <w:t xml:space="preserve">经评委认定，投标文件对“项目实施方案”</w:t>
            </w:r>
            <w:r>
              <w:rPr>
                <w:rFonts w:hint="eastAsia" w:ascii="宋体" w:hAnsi="宋体" w:eastAsia="宋体" w:cs="宋体"/>
                <w:color w:val="000000"/>
                <w:sz w:val="21"/>
                <w:szCs w:val="21"/>
                <w:highlight w:val="none"/>
              </w:rPr>
              <w:t xml:space="preserve">中“人员安排”、“实施计划”、“系统架构设计”</w:t>
            </w:r>
            <w:r>
              <w:rPr>
                <w:rFonts w:hint="eastAsia" w:ascii="宋体" w:hAnsi="宋体" w:eastAsia="宋体" w:cs="宋体"/>
                <w:color w:val="000000"/>
                <w:sz w:val="21"/>
                <w:szCs w:val="21"/>
                <w:highlight w:val="none"/>
                <w:lang w:val="en-US" w:eastAsia="zh-CN"/>
              </w:rPr>
              <w:t xml:space="preserve">三项</w:t>
            </w:r>
            <w:r>
              <w:rPr>
                <w:rFonts w:hint="eastAsia" w:ascii="宋体" w:hAnsi="宋体" w:eastAsia="宋体" w:cs="宋体"/>
                <w:color w:val="000000"/>
                <w:sz w:val="21"/>
                <w:szCs w:val="21"/>
                <w:highlight w:val="none"/>
              </w:rPr>
              <w:t xml:space="preserve">要求的响应内容全部优于招标文件要求的</w:t>
            </w:r>
            <w:r>
              <w:rPr>
                <w:rFonts w:hint="eastAsia" w:ascii="宋体" w:hAnsi="宋体" w:eastAsia="宋体" w:cs="宋体"/>
                <w:sz w:val="21"/>
                <w:szCs w:val="21"/>
                <w:highlight w:val="none"/>
              </w:rPr>
              <w:t xml:space="preserve">（投标文件对“项目实施</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中“人员安排”、“实施计划”、“系统架构设计”外其它要求响应内容符合招标文件要求</w:t>
            </w:r>
            <w:r>
              <w:rPr>
                <w:rFonts w:hint="eastAsia" w:ascii="宋体" w:hAnsi="宋体" w:eastAsia="宋体" w:cs="宋体"/>
                <w:sz w:val="21"/>
                <w:szCs w:val="21"/>
                <w:highlight w:val="none"/>
              </w:rPr>
              <w:t xml:space="preserve">），本项得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lang w:eastAsia="zh-CN"/>
              </w:rPr>
              <w:framePr w:vAnchor="text" w:hAnchor="page" w:x="1577" w:y="394"/>
            </w:pPr>
            <w:r>
              <w:rPr>
                <w:rFonts w:hint="eastAsia" w:ascii="微软雅黑" w:hAnsi="微软雅黑" w:eastAsia="微软雅黑" w:cs="微软雅黑"/>
                <w:b w:val="0"/>
                <w:bCs/>
                <w:sz w:val="21"/>
                <w:szCs w:val="21"/>
                <w:highlight w:val="none"/>
                <w:lang w:val="en-US" w:eastAsia="zh-CN"/>
              </w:rPr>
              <w:t xml:space="preserve">5</w:t>
            </w:r>
            <w:r>
              <w:rPr>
                <w:rFonts w:hint="eastAsia" w:ascii="微软雅黑" w:hAnsi="微软雅黑" w:eastAsia="微软雅黑" w:cs="微软雅黑"/>
                <w:b w:val="0"/>
                <w:bCs/>
                <w:sz w:val="21"/>
                <w:szCs w:val="21"/>
                <w:highlight w:val="none"/>
                <w:lang w:eastAsia="zh-CN"/>
              </w:rPr>
            </w:r>
            <w:r/>
          </w:p>
        </w:tc>
      </w:tr>
      <w:tr>
        <w:trPr>
          <w:trHeight w:val="1399"/>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3.2</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项目质量管理方案</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评委根据投标文件对第四章“采购需求”中“项目质量管理方案”响应情况进行评审。</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（1）投标文件未符合“项目质量管理方案”中全部条款要求的，视为不符合招标文件，本项得0分。</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（2）投标文件符合“项目质量管理方案”中全部条款要求的，视为符合招标文件，本项得3分。</w:t>
            </w:r>
            <w:r>
              <w:rPr>
                <w:rFonts w:hint="eastAsia" w:ascii="宋体" w:hAnsi="宋体" w:eastAsia="宋体" w:cs="宋体"/>
                <w:sz w:val="21"/>
                <w:szCs w:val="21"/>
                <w:highlight w:val="none"/>
                <w:lang w:val="en-US" w:eastAsia="zh-CN"/>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经评委认定，投标文件对“项目质量管理方案”中“质量管理体系”、“质量控制措施”</w:t>
            </w:r>
            <w:r>
              <w:rPr>
                <w:rFonts w:hint="eastAsia" w:ascii="宋体" w:hAnsi="宋体" w:eastAsia="宋体" w:cs="宋体"/>
                <w:color w:val="000000"/>
                <w:sz w:val="21"/>
                <w:szCs w:val="21"/>
                <w:highlight w:val="none"/>
                <w:lang w:val="en-US" w:eastAsia="zh-CN"/>
              </w:rPr>
              <w:t xml:space="preserve">二项</w:t>
            </w:r>
            <w:r>
              <w:rPr>
                <w:rFonts w:hint="eastAsia" w:ascii="宋体" w:hAnsi="宋体" w:eastAsia="宋体" w:cs="宋体"/>
                <w:color w:val="000000"/>
                <w:sz w:val="21"/>
                <w:szCs w:val="21"/>
                <w:highlight w:val="none"/>
              </w:rPr>
              <w:t xml:space="preserve">要求的响应内容全部优于招标文件要求的</w:t>
            </w:r>
            <w:r>
              <w:rPr>
                <w:rFonts w:hint="eastAsia" w:ascii="宋体" w:hAnsi="宋体" w:eastAsia="宋体" w:cs="宋体"/>
                <w:sz w:val="21"/>
                <w:szCs w:val="21"/>
                <w:highlight w:val="none"/>
              </w:rPr>
              <w:t xml:space="preserve">（投标文件对“项目质量</w:t>
            </w:r>
            <w:r>
              <w:rPr>
                <w:rFonts w:hint="eastAsia" w:ascii="宋体" w:hAnsi="宋体" w:eastAsia="宋体" w:cs="宋体"/>
                <w:sz w:val="21"/>
                <w:szCs w:val="21"/>
                <w:highlight w:val="none"/>
                <w:lang w:val="en-US" w:eastAsia="zh-CN"/>
              </w:rPr>
              <w:t xml:space="preserve">管理方案</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中“质量管理体系”、“质量控制措施”外其它要求响应内容符合招标文件要求</w:t>
            </w:r>
            <w:r>
              <w:rPr>
                <w:rFonts w:hint="eastAsia" w:ascii="宋体" w:hAnsi="宋体" w:eastAsia="宋体" w:cs="宋体"/>
                <w:sz w:val="21"/>
                <w:szCs w:val="21"/>
                <w:highlight w:val="none"/>
              </w:rPr>
              <w:t xml:space="preserve">），本项得5分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5</w:t>
            </w:r>
            <w:r>
              <w:rPr>
                <w:rFonts w:hint="eastAsia" w:ascii="微软雅黑" w:hAnsi="微软雅黑" w:eastAsia="微软雅黑" w:cs="微软雅黑"/>
                <w:b w:val="0"/>
                <w:bCs/>
                <w:sz w:val="21"/>
                <w:szCs w:val="21"/>
                <w:highlight w:val="none"/>
              </w:rPr>
            </w:r>
            <w:r/>
          </w:p>
        </w:tc>
      </w:tr>
      <w:tr>
        <w:trPr>
          <w:trHeight w:val="489"/>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3.3</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lang w:val="en-US" w:eastAsia="zh-CN"/>
              </w:rPr>
              <w:t xml:space="preserve">项目</w:t>
            </w:r>
            <w:r>
              <w:rPr>
                <w:rFonts w:hint="eastAsia" w:ascii="宋体" w:hAnsi="宋体" w:eastAsia="宋体" w:cs="宋体"/>
                <w:b w:val="0"/>
                <w:bCs/>
                <w:sz w:val="21"/>
                <w:szCs w:val="21"/>
                <w:highlight w:val="none"/>
              </w:rPr>
              <w:t xml:space="preserve">测试管理方案</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评委根据投标文件对第四章“采购需求”中“项目测试管理方案”响应情况进行评审。</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（1）投标文件未符合“项目测试管理方案”中全部条款要求的，视为不符合招标文件，本项得0分。</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（2）投标文件符合“项目测试管理方案”中全部条款要求的，视为符合招标文件，本项得3分.。</w:t>
            </w:r>
            <w:r>
              <w:rPr>
                <w:rFonts w:hint="eastAsia" w:ascii="宋体" w:hAnsi="宋体" w:eastAsia="宋体" w:cs="宋体"/>
                <w:sz w:val="21"/>
                <w:szCs w:val="21"/>
                <w:highlight w:val="none"/>
                <w:lang w:val="en-US" w:eastAsia="zh-CN"/>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经评委认定，投标文件对“项目测试管理方案”</w:t>
            </w:r>
            <w:r>
              <w:rPr>
                <w:rFonts w:hint="eastAsia" w:ascii="宋体" w:hAnsi="宋体" w:eastAsia="宋体" w:cs="宋体"/>
                <w:color w:val="000000"/>
                <w:sz w:val="21"/>
                <w:szCs w:val="21"/>
                <w:highlight w:val="none"/>
              </w:rPr>
              <w:t xml:space="preserve">中“测试计划”、“测试用例设计”、“测试执行”</w:t>
            </w:r>
            <w:r>
              <w:rPr>
                <w:rFonts w:hint="eastAsia" w:ascii="宋体" w:hAnsi="宋体" w:eastAsia="宋体" w:cs="宋体"/>
                <w:color w:val="000000"/>
                <w:sz w:val="21"/>
                <w:szCs w:val="21"/>
                <w:highlight w:val="none"/>
                <w:lang w:val="en-US" w:eastAsia="zh-CN"/>
              </w:rPr>
              <w:t xml:space="preserve">三项</w:t>
            </w:r>
            <w:r>
              <w:rPr>
                <w:rFonts w:hint="eastAsia" w:ascii="宋体" w:hAnsi="宋体" w:eastAsia="宋体" w:cs="宋体"/>
                <w:color w:val="000000"/>
                <w:sz w:val="21"/>
                <w:szCs w:val="21"/>
                <w:highlight w:val="none"/>
              </w:rPr>
              <w:t xml:space="preserve">要求的响应内容全部优于招标文件要求的（</w:t>
            </w:r>
            <w:r>
              <w:rPr>
                <w:rFonts w:hint="eastAsia" w:ascii="宋体" w:hAnsi="宋体" w:eastAsia="宋体" w:cs="宋体"/>
                <w:sz w:val="21"/>
                <w:szCs w:val="21"/>
                <w:highlight w:val="none"/>
              </w:rPr>
              <w:t xml:space="preserve">投标文件对“项目测试管理</w:t>
            </w:r>
            <w:r>
              <w:rPr>
                <w:rFonts w:hint="eastAsia" w:ascii="宋体" w:hAnsi="宋体" w:eastAsia="宋体" w:cs="宋体"/>
                <w:sz w:val="21"/>
                <w:szCs w:val="21"/>
                <w:highlight w:val="none"/>
                <w:lang w:val="en-US" w:eastAsia="zh-CN"/>
              </w:rPr>
              <w:t xml:space="preserve">方案</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中“测试计划”、“测试用例设计”、“测试执行”外其它要求响应内容符合招标文件要求</w:t>
            </w:r>
            <w:r>
              <w:rPr>
                <w:rFonts w:hint="eastAsia" w:ascii="宋体" w:hAnsi="宋体" w:eastAsia="宋体" w:cs="宋体"/>
                <w:sz w:val="21"/>
                <w:szCs w:val="21"/>
                <w:highlight w:val="none"/>
              </w:rPr>
              <w:t xml:space="preserve">），本项得5分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5</w:t>
            </w:r>
            <w:r>
              <w:rPr>
                <w:rFonts w:hint="eastAsia" w:ascii="微软雅黑" w:hAnsi="微软雅黑" w:eastAsia="微软雅黑" w:cs="微软雅黑"/>
                <w:b w:val="0"/>
                <w:bCs/>
                <w:sz w:val="21"/>
                <w:szCs w:val="21"/>
                <w:highlight w:val="none"/>
              </w:rPr>
            </w:r>
            <w:r/>
          </w:p>
        </w:tc>
      </w:tr>
      <w:tr>
        <w:trPr>
          <w:trHeight w:val="1399"/>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3.4</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培训方案</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评委根据投标文件对第四章“采购需求”中“培训方案”响应情况进行评审。</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（1）投标文件未符合“培训方案”中全部条款要求的，视为不符合招标文件，本项得0分。</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eastAsia="zh-CN"/>
              </w:rPr>
              <w:framePr w:vAnchor="text" w:hAnchor="page" w:x="1577" w:y="394"/>
            </w:pPr>
            <w:r>
              <w:rPr>
                <w:rFonts w:hint="eastAsia" w:ascii="宋体" w:hAnsi="宋体" w:eastAsia="宋体" w:cs="宋体"/>
                <w:sz w:val="21"/>
                <w:szCs w:val="21"/>
                <w:highlight w:val="none"/>
                <w:lang w:val="en-US" w:eastAsia="zh-CN"/>
              </w:rPr>
              <w:t xml:space="preserve">（2）投标文件符合“培训方案”中全部条款要求的，视为符合招标文件，本项得3分.。</w:t>
            </w:r>
            <w:r>
              <w:rPr>
                <w:rFonts w:hint="eastAsia" w:ascii="宋体" w:hAnsi="宋体" w:eastAsia="宋体" w:cs="宋体"/>
                <w:sz w:val="21"/>
                <w:szCs w:val="21"/>
                <w:highlight w:val="none"/>
                <w:lang w:eastAsia="zh-CN"/>
              </w:rPr>
            </w:r>
            <w:r/>
          </w:p>
          <w:p>
            <w:pPr>
              <w:pStyle w:val="957"/>
              <w:spacing w:line="360" w:lineRule="auto"/>
              <w:rPr>
                <w:rFonts w:hint="eastAsia" w:ascii="宋体" w:hAnsi="宋体" w:eastAsia="宋体" w:cs="宋体"/>
                <w:sz w:val="21"/>
                <w:szCs w:val="21"/>
                <w:highlight w:val="none"/>
                <w:lang w:eastAsia="zh-CN"/>
              </w:rPr>
              <w:framePr w:vAnchor="text" w:hAnchor="page" w:x="1577" w:y="394"/>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经评委认定，投标文件对“项目培训方案”</w:t>
            </w:r>
            <w:r>
              <w:rPr>
                <w:rFonts w:hint="eastAsia" w:ascii="宋体" w:hAnsi="宋体" w:eastAsia="宋体" w:cs="宋体"/>
                <w:color w:val="000000"/>
                <w:sz w:val="21"/>
                <w:szCs w:val="21"/>
                <w:highlight w:val="none"/>
              </w:rPr>
              <w:t xml:space="preserve">中“培训内容”、“培训计划”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培训对象分类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三项</w:t>
            </w:r>
            <w:r>
              <w:rPr>
                <w:rFonts w:hint="eastAsia" w:ascii="宋体" w:hAnsi="宋体" w:eastAsia="宋体" w:cs="宋体"/>
                <w:color w:val="000000"/>
                <w:sz w:val="21"/>
                <w:szCs w:val="21"/>
                <w:highlight w:val="none"/>
              </w:rPr>
              <w:t xml:space="preserve">要求的响应内容全部优于招标文件要求的，并提供详细的项目培训方案等内容的（</w:t>
            </w:r>
            <w:r>
              <w:rPr>
                <w:rFonts w:hint="eastAsia" w:ascii="宋体" w:hAnsi="宋体" w:eastAsia="宋体" w:cs="宋体"/>
                <w:sz w:val="21"/>
                <w:szCs w:val="21"/>
                <w:highlight w:val="none"/>
              </w:rPr>
              <w:t xml:space="preserve">投标文件对“项目培训要求”</w:t>
            </w:r>
            <w:r>
              <w:rPr>
                <w:rFonts w:hint="eastAsia" w:ascii="宋体" w:hAnsi="宋体" w:eastAsia="宋体" w:cs="宋体"/>
                <w:color w:val="000000"/>
                <w:sz w:val="21"/>
                <w:szCs w:val="21"/>
                <w:highlight w:val="none"/>
              </w:rPr>
              <w:t xml:space="preserve">中“培训内容”、“培训计划”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培训对象分类</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外其它要求响应内容符合招标文件要求</w:t>
            </w:r>
            <w:r>
              <w:rPr>
                <w:rFonts w:hint="eastAsia" w:ascii="宋体" w:hAnsi="宋体" w:eastAsia="宋体" w:cs="宋体"/>
                <w:sz w:val="21"/>
                <w:szCs w:val="21"/>
                <w:highlight w:val="none"/>
              </w:rPr>
              <w:t xml:space="preserve">），本项得5分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eastAsia="zh-CN"/>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5</w:t>
            </w:r>
            <w:r>
              <w:rPr>
                <w:rFonts w:hint="eastAsia" w:ascii="微软雅黑" w:hAnsi="微软雅黑" w:eastAsia="微软雅黑" w:cs="微软雅黑"/>
                <w:b w:val="0"/>
                <w:bCs/>
                <w:sz w:val="21"/>
                <w:szCs w:val="21"/>
                <w:highlight w:val="none"/>
              </w:rPr>
            </w:r>
            <w:r/>
          </w:p>
        </w:tc>
      </w:tr>
      <w:tr>
        <w:trPr>
          <w:trHeight w:val="1399"/>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3.5</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color w:val="000000"/>
                <w:sz w:val="21"/>
                <w:szCs w:val="21"/>
                <w:highlight w:val="none"/>
              </w:rPr>
              <w:t xml:space="preserve">售后服务方案</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评委根据投标文件对第四章“采购需求”中“售后服务方案”响应情况进行评审。</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val="en-US" w:eastAsia="zh-CN"/>
              </w:rPr>
              <w:framePr w:vAnchor="text" w:hAnchor="page" w:x="1577" w:y="394"/>
            </w:pPr>
            <w:r>
              <w:rPr>
                <w:rFonts w:hint="eastAsia" w:ascii="宋体" w:hAnsi="宋体" w:eastAsia="宋体" w:cs="宋体"/>
                <w:sz w:val="21"/>
                <w:szCs w:val="21"/>
                <w:highlight w:val="none"/>
                <w:lang w:val="en-US" w:eastAsia="zh-CN"/>
              </w:rPr>
              <w:t xml:space="preserve">（1）投标文件未符合“售后服务方案”中全部条款要求的，视为不符合招标文件，本项得0分。</w:t>
            </w:r>
            <w:r>
              <w:rPr>
                <w:rFonts w:hint="eastAsia" w:ascii="宋体" w:hAnsi="宋体" w:eastAsia="宋体" w:cs="宋体"/>
                <w:sz w:val="21"/>
                <w:szCs w:val="21"/>
                <w:highlight w:val="none"/>
                <w:lang w:val="en-US" w:eastAsia="zh-CN"/>
              </w:rPr>
            </w:r>
            <w:r/>
          </w:p>
          <w:p>
            <w:pPr>
              <w:pStyle w:val="957"/>
              <w:numPr>
                <w:ilvl w:val="0"/>
                <w:numId w:val="0"/>
              </w:numPr>
              <w:spacing w:line="360" w:lineRule="auto"/>
              <w:rPr>
                <w:rFonts w:hint="eastAsia" w:ascii="宋体" w:hAnsi="宋体" w:eastAsia="宋体" w:cs="宋体"/>
                <w:sz w:val="21"/>
                <w:szCs w:val="21"/>
                <w:highlight w:val="none"/>
                <w:lang w:eastAsia="zh-CN"/>
              </w:rPr>
              <w:framePr w:vAnchor="text" w:hAnchor="page" w:x="1577" w:y="394"/>
            </w:pPr>
            <w:r>
              <w:rPr>
                <w:rFonts w:hint="eastAsia" w:ascii="宋体" w:hAnsi="宋体" w:eastAsia="宋体" w:cs="宋体"/>
                <w:sz w:val="21"/>
                <w:szCs w:val="21"/>
                <w:highlight w:val="none"/>
                <w:lang w:val="en-US" w:eastAsia="zh-CN"/>
              </w:rPr>
              <w:t xml:space="preserve">（2）投标文件符合“售后服务方案”中全部条款要求的，视为符合招标文件，本项得3分.。</w:t>
            </w:r>
            <w:r>
              <w:rPr>
                <w:rFonts w:hint="eastAsia" w:ascii="宋体" w:hAnsi="宋体" w:eastAsia="宋体" w:cs="宋体"/>
                <w:sz w:val="21"/>
                <w:szCs w:val="21"/>
                <w:highlight w:val="none"/>
                <w:lang w:eastAsia="zh-CN"/>
              </w:rPr>
            </w:r>
            <w:r/>
          </w:p>
          <w:p>
            <w:pPr>
              <w:pStyle w:val="957"/>
              <w:spacing w:line="360" w:lineRule="auto"/>
              <w:rPr>
                <w:rFonts w:hint="eastAsia" w:ascii="宋体" w:hAnsi="宋体" w:eastAsia="宋体" w:cs="宋体"/>
                <w:sz w:val="21"/>
                <w:szCs w:val="21"/>
                <w:highlight w:val="none"/>
                <w:lang w:eastAsia="zh-CN"/>
              </w:rPr>
              <w:framePr w:vAnchor="text" w:hAnchor="page" w:x="1577" w:y="394"/>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经评委认定，投标文件对“售后服务要求”</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响应时间要求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应用系统的日常运维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三项</w:t>
            </w:r>
            <w:r>
              <w:rPr>
                <w:rFonts w:hint="eastAsia" w:ascii="宋体" w:hAnsi="宋体" w:eastAsia="宋体" w:cs="宋体"/>
                <w:color w:val="000000"/>
                <w:sz w:val="21"/>
                <w:szCs w:val="21"/>
                <w:highlight w:val="none"/>
              </w:rPr>
              <w:t xml:space="preserve">要求的响应内容全部优于招标文件要求的，并提供详细的售后服务方案等内容的（</w:t>
            </w:r>
            <w:r>
              <w:rPr>
                <w:rFonts w:hint="eastAsia" w:ascii="宋体" w:hAnsi="宋体" w:eastAsia="宋体" w:cs="宋体"/>
                <w:sz w:val="21"/>
                <w:szCs w:val="21"/>
                <w:highlight w:val="none"/>
              </w:rPr>
              <w:t xml:space="preserve">投标文件对“售后服务要求”</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质保</w:t>
            </w:r>
            <w:r>
              <w:rPr>
                <w:rFonts w:hint="eastAsia" w:ascii="宋体" w:hAnsi="宋体" w:eastAsia="宋体" w:cs="宋体"/>
                <w:color w:val="000000"/>
                <w:sz w:val="21"/>
                <w:szCs w:val="21"/>
                <w:highlight w:val="none"/>
              </w:rPr>
              <w:t xml:space="preserve">期</w:t>
            </w:r>
            <w:r>
              <w:rPr>
                <w:rFonts w:hint="eastAsia" w:ascii="宋体" w:hAnsi="宋体" w:eastAsia="宋体" w:cs="宋体"/>
                <w:color w:val="000000"/>
                <w:sz w:val="21"/>
                <w:szCs w:val="21"/>
                <w:highlight w:val="none"/>
                <w:lang w:val="en-US" w:eastAsia="zh-CN"/>
              </w:rPr>
              <w:t xml:space="preserve">服务</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响应时间要求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应用系统的日常运维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外其它要求响应内容符合招标文件要求</w:t>
            </w:r>
            <w:r>
              <w:rPr>
                <w:rFonts w:hint="eastAsia" w:ascii="宋体" w:hAnsi="宋体" w:eastAsia="宋体" w:cs="宋体"/>
                <w:sz w:val="21"/>
                <w:szCs w:val="21"/>
                <w:highlight w:val="none"/>
              </w:rPr>
              <w:t xml:space="preserve">），本项得5分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lang w:eastAsia="zh-CN"/>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5</w:t>
            </w:r>
            <w:r>
              <w:rPr>
                <w:rFonts w:hint="eastAsia" w:ascii="微软雅黑" w:hAnsi="微软雅黑" w:eastAsia="微软雅黑" w:cs="微软雅黑"/>
                <w:b w:val="0"/>
                <w:bCs/>
                <w:sz w:val="21"/>
                <w:szCs w:val="21"/>
                <w:highlight w:val="none"/>
              </w:rPr>
            </w:r>
            <w:r/>
          </w:p>
        </w:tc>
      </w:tr>
      <w:tr>
        <w:trPr>
          <w:trHeight w:val="1863"/>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4</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企业业绩</w:t>
            </w:r>
            <w:r>
              <w:rPr>
                <w:rFonts w:hint="eastAsia" w:ascii="宋体" w:hAnsi="宋体" w:eastAsia="宋体" w:cs="宋体"/>
                <w:b w:val="0"/>
                <w:bCs/>
                <w:sz w:val="21"/>
                <w:szCs w:val="21"/>
                <w:highlight w:val="none"/>
              </w:rPr>
            </w:r>
            <w:r/>
          </w:p>
        </w:tc>
        <w:tc>
          <w:tcPr>
            <w:tcW w:w="7248" w:type="dxa"/>
            <w:vAlign w:val="top"/>
            <w:textDirection w:val="lrTb"/>
            <w:noWrap w:val="false"/>
          </w:tcPr>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投标人需提供2023年1月1日至今完成的类似开发项目业绩，每提供一个得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分，共</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分；需提供合同复印件加盖供应商公章（须提供合同复印件，时间以合同签订时间为准，且必须含有清晰可见的标的物、合同价以及盖章签字部分所在页）。</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lang w:eastAsia="zh-CN"/>
              </w:rPr>
              <w:framePr w:vAnchor="text" w:hAnchor="page" w:x="1577" w:y="394"/>
            </w:pPr>
            <w:r>
              <w:rPr>
                <w:rFonts w:hint="eastAsia" w:ascii="微软雅黑" w:hAnsi="微软雅黑" w:eastAsia="微软雅黑" w:cs="微软雅黑"/>
                <w:b w:val="0"/>
                <w:bCs/>
                <w:sz w:val="21"/>
                <w:szCs w:val="21"/>
                <w:highlight w:val="none"/>
                <w:lang w:val="en-US" w:eastAsia="zh-CN"/>
              </w:rPr>
              <w:t xml:space="preserve">9</w:t>
            </w:r>
            <w:r>
              <w:rPr>
                <w:rFonts w:hint="eastAsia" w:ascii="微软雅黑" w:hAnsi="微软雅黑" w:eastAsia="微软雅黑" w:cs="微软雅黑"/>
                <w:b w:val="0"/>
                <w:bCs/>
                <w:sz w:val="21"/>
                <w:szCs w:val="21"/>
                <w:highlight w:val="none"/>
                <w:lang w:eastAsia="zh-CN"/>
              </w:rPr>
            </w:r>
            <w:r/>
          </w:p>
        </w:tc>
      </w:tr>
      <w:tr>
        <w:trPr>
          <w:trHeight w:val="3285"/>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5.1</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人员配备</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1、投标人拟投入本项目的项目经理具有</w:t>
            </w:r>
            <w:r>
              <w:rPr>
                <w:rFonts w:hint="eastAsia" w:ascii="宋体" w:hAnsi="宋体" w:eastAsia="宋体" w:cs="宋体"/>
                <w:sz w:val="21"/>
                <w:szCs w:val="21"/>
                <w:highlight w:val="none"/>
                <w:lang w:val="en-US" w:eastAsia="zh-CN"/>
              </w:rPr>
              <w:t xml:space="preserve">电子信息工程</w:t>
            </w:r>
            <w:r>
              <w:rPr>
                <w:rFonts w:hint="eastAsia" w:ascii="宋体" w:hAnsi="宋体" w:eastAsia="宋体" w:cs="宋体"/>
                <w:sz w:val="21"/>
                <w:szCs w:val="21"/>
                <w:highlight w:val="none"/>
              </w:rPr>
              <w:t xml:space="preserve">高级工程师及以上职称证书、信息系统项目管理师、</w:t>
            </w:r>
            <w:r>
              <w:rPr>
                <w:rFonts w:hint="eastAsia" w:ascii="宋体" w:hAnsi="宋体" w:eastAsia="宋体" w:cs="宋体"/>
                <w:sz w:val="21"/>
                <w:szCs w:val="21"/>
                <w:highlight w:val="none"/>
                <w:lang w:val="en-US" w:eastAsia="zh-CN"/>
              </w:rPr>
              <w:t xml:space="preserve">系统架构师</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软件设计师</w:t>
            </w:r>
            <w:r>
              <w:rPr>
                <w:rFonts w:hint="eastAsia" w:ascii="宋体" w:hAnsi="宋体" w:eastAsia="宋体" w:cs="宋体"/>
                <w:sz w:val="21"/>
                <w:szCs w:val="21"/>
                <w:highlight w:val="none"/>
              </w:rPr>
              <w:t xml:space="preserve">，每提供1个证书得1分，最高得4分。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2、投标人拟投入本项目的项目组成员，具有电子信息工程高级工程师</w:t>
            </w:r>
            <w:r>
              <w:rPr>
                <w:rFonts w:hint="eastAsia" w:ascii="宋体" w:hAnsi="宋体" w:eastAsia="宋体" w:cs="宋体"/>
                <w:sz w:val="21"/>
                <w:szCs w:val="21"/>
                <w:highlight w:val="none"/>
                <w:lang w:val="en-US" w:eastAsia="zh-CN"/>
              </w:rPr>
              <w:t xml:space="preserve">及以上职称证书</w:t>
            </w:r>
            <w:r>
              <w:rPr>
                <w:rFonts w:hint="eastAsia" w:ascii="宋体" w:hAnsi="宋体" w:eastAsia="宋体" w:cs="宋体"/>
                <w:sz w:val="21"/>
                <w:szCs w:val="21"/>
                <w:highlight w:val="none"/>
              </w:rPr>
              <w:t xml:space="preserve">、信息系统项目管理师、网络工程师、</w:t>
            </w:r>
            <w:r>
              <w:rPr>
                <w:rFonts w:hint="eastAsia" w:ascii="宋体" w:hAnsi="宋体" w:eastAsia="宋体" w:cs="宋体"/>
                <w:sz w:val="21"/>
                <w:szCs w:val="21"/>
                <w:highlight w:val="none"/>
                <w:lang w:val="en-US" w:eastAsia="zh-CN"/>
              </w:rPr>
              <w:t xml:space="preserve">系统架构设计师</w:t>
            </w:r>
            <w:r>
              <w:rPr>
                <w:rFonts w:hint="eastAsia" w:ascii="宋体" w:hAnsi="宋体" w:eastAsia="宋体" w:cs="宋体"/>
                <w:sz w:val="21"/>
                <w:szCs w:val="21"/>
                <w:highlight w:val="none"/>
              </w:rPr>
              <w:t xml:space="preserve">，每提供一</w:t>
            </w:r>
            <w:r>
              <w:rPr>
                <w:rFonts w:hint="eastAsia" w:ascii="宋体" w:hAnsi="宋体" w:eastAsia="宋体" w:cs="宋体"/>
                <w:sz w:val="21"/>
                <w:szCs w:val="21"/>
                <w:highlight w:val="none"/>
              </w:rPr>
              <w:t xml:space="preserve">类</w:t>
            </w:r>
            <w:r>
              <w:rPr>
                <w:rFonts w:hint="eastAsia" w:ascii="宋体" w:hAnsi="宋体" w:eastAsia="宋体" w:cs="宋体"/>
                <w:sz w:val="21"/>
                <w:szCs w:val="21"/>
                <w:highlight w:val="none"/>
              </w:rPr>
              <w:t xml:space="preserve">证书得1分，最高得4分，一人多证得1分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多人</w:t>
            </w:r>
            <w:r>
              <w:rPr>
                <w:rFonts w:hint="eastAsia" w:ascii="宋体" w:hAnsi="宋体" w:eastAsia="宋体" w:cs="宋体"/>
                <w:sz w:val="21"/>
                <w:szCs w:val="21"/>
                <w:highlight w:val="none"/>
              </w:rPr>
              <w:t xml:space="preserve">一类证</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（提供上述人员</w:t>
            </w:r>
            <w:r>
              <w:rPr>
                <w:rFonts w:hint="eastAsia" w:ascii="宋体" w:hAnsi="宋体" w:eastAsia="宋体" w:cs="宋体"/>
                <w:sz w:val="21"/>
                <w:szCs w:val="21"/>
                <w:highlight w:val="none"/>
                <w:lang w:val="en-US" w:eastAsia="zh-CN"/>
              </w:rPr>
              <w:t xml:space="preserve">由</w:t>
            </w:r>
            <w:r>
              <w:rPr>
                <w:rFonts w:hint="eastAsia" w:ascii="宋体" w:hAnsi="宋体" w:eastAsia="宋体" w:cs="宋体"/>
                <w:sz w:val="21"/>
                <w:szCs w:val="21"/>
                <w:highlight w:val="none"/>
              </w:rPr>
              <w:t xml:space="preserve">行政主管部门颁发的有效证书</w:t>
            </w:r>
            <w:r>
              <w:rPr>
                <w:rFonts w:hint="eastAsia" w:ascii="宋体" w:hAnsi="宋体" w:eastAsia="宋体" w:cs="宋体"/>
                <w:sz w:val="21"/>
                <w:szCs w:val="21"/>
                <w:highlight w:val="none"/>
                <w:lang w:val="en-US" w:eastAsia="zh-CN"/>
              </w:rPr>
              <w:t xml:space="preserve">复印件或扫描件，</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lang w:val="en-US" w:eastAsia="zh-CN"/>
              </w:rPr>
              <w:t xml:space="preserve">投标人</w:t>
            </w:r>
            <w:r>
              <w:rPr>
                <w:rFonts w:hint="eastAsia" w:ascii="宋体" w:hAnsi="宋体" w:eastAsia="宋体" w:cs="宋体"/>
                <w:sz w:val="21"/>
                <w:szCs w:val="21"/>
                <w:highlight w:val="none"/>
              </w:rPr>
              <w:t xml:space="preserve">为其缴纳的近3个月以来任意一个月的社保证明，证明材料缺项或未提供的不得分）</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8</w:t>
            </w:r>
            <w:r>
              <w:rPr>
                <w:rFonts w:hint="eastAsia" w:ascii="微软雅黑" w:hAnsi="微软雅黑" w:eastAsia="微软雅黑" w:cs="微软雅黑"/>
                <w:b w:val="0"/>
                <w:bCs/>
                <w:sz w:val="21"/>
                <w:szCs w:val="21"/>
                <w:highlight w:val="none"/>
              </w:rPr>
            </w:r>
            <w:r/>
          </w:p>
        </w:tc>
      </w:tr>
      <w:tr>
        <w:trPr>
          <w:trHeight w:val="511"/>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5.2</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专业能力</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投标人具有软件著作权证书，包含：“知识图谱检索”、“AI算力画像”、“数据开放与交互式平台”等与本项目相关的关键词，每提供1项证书得1分，最高得3分，未提供不得分。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须提供上述有效期内的相关证书复印件</w:t>
            </w:r>
            <w:r>
              <w:rPr>
                <w:rFonts w:hint="eastAsia" w:ascii="宋体" w:hAnsi="宋体" w:eastAsia="宋体" w:cs="宋体"/>
                <w:sz w:val="21"/>
                <w:szCs w:val="21"/>
                <w:highlight w:val="none"/>
                <w:lang w:val="en-US" w:eastAsia="zh-CN"/>
              </w:rPr>
              <w:t xml:space="preserve">或扫描件</w:t>
            </w:r>
            <w:r>
              <w:rPr>
                <w:rFonts w:hint="eastAsia" w:ascii="宋体" w:hAnsi="宋体" w:eastAsia="宋体" w:cs="宋体"/>
                <w:sz w:val="21"/>
                <w:szCs w:val="21"/>
                <w:highlight w:val="none"/>
              </w:rPr>
              <w:t xml:space="preserve">并加盖投标人公章，不提供不得分。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注：需提供证书扫描件或复印件并加盖投标人公章。如投标文件中提供的著作权名称表述与招标文件描述的关键字样不一致，而该投标文件中能提供相关材料证明投标人拥有著作权的软件具有相同或相似功能和效果，且评标委员会认可的，视同符合要求。</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3</w:t>
            </w:r>
            <w:r>
              <w:rPr>
                <w:rFonts w:hint="eastAsia" w:ascii="微软雅黑" w:hAnsi="微软雅黑" w:eastAsia="微软雅黑" w:cs="微软雅黑"/>
                <w:b w:val="0"/>
                <w:bCs/>
                <w:sz w:val="21"/>
                <w:szCs w:val="21"/>
                <w:highlight w:val="none"/>
              </w:rPr>
            </w:r>
            <w:r/>
          </w:p>
        </w:tc>
      </w:tr>
      <w:tr>
        <w:trPr>
          <w:trHeight w:val="511"/>
        </w:trPr>
        <w:tc>
          <w:tcPr>
            <w:tcW w:w="639" w:type="dxa"/>
            <w:vAlign w:val="center"/>
            <w:textDirection w:val="lrTb"/>
            <w:noWrap w:val="false"/>
          </w:tcPr>
          <w:p>
            <w:pPr>
              <w:pStyle w:val="957"/>
              <w:jc w:val="center"/>
              <w:spacing w:line="360" w:lineRule="auto"/>
              <w:rPr>
                <w:rFonts w:hint="eastAsia" w:ascii="宋体" w:hAnsi="宋体" w:eastAsia="宋体" w:cs="宋体"/>
                <w:b/>
                <w:sz w:val="21"/>
                <w:szCs w:val="21"/>
                <w:highlight w:val="none"/>
              </w:rPr>
              <w:framePr w:vAnchor="text" w:hAnchor="page" w:x="1577" w:y="394"/>
            </w:pPr>
            <w:r>
              <w:rPr>
                <w:rFonts w:hint="eastAsia" w:ascii="宋体" w:hAnsi="宋体" w:eastAsia="宋体" w:cs="宋体"/>
                <w:b/>
                <w:sz w:val="21"/>
                <w:szCs w:val="21"/>
                <w:highlight w:val="none"/>
              </w:rPr>
              <w:t xml:space="preserve">6</w:t>
            </w:r>
            <w:r>
              <w:rPr>
                <w:rFonts w:hint="eastAsia" w:ascii="宋体" w:hAnsi="宋体" w:eastAsia="宋体" w:cs="宋体"/>
                <w:b/>
                <w:sz w:val="21"/>
                <w:szCs w:val="21"/>
                <w:highlight w:val="none"/>
              </w:rPr>
            </w:r>
            <w:r/>
          </w:p>
        </w:tc>
        <w:tc>
          <w:tcPr>
            <w:tcW w:w="863" w:type="dxa"/>
            <w:vAlign w:val="center"/>
            <w:textDirection w:val="lrTb"/>
            <w:noWrap w:val="false"/>
          </w:tcPr>
          <w:p>
            <w:pPr>
              <w:pStyle w:val="957"/>
              <w:jc w:val="center"/>
              <w:spacing w:line="360" w:lineRule="auto"/>
              <w:rPr>
                <w:rFonts w:hint="eastAsia" w:ascii="宋体" w:hAnsi="宋体" w:eastAsia="宋体" w:cs="宋体"/>
                <w:b w:val="0"/>
                <w:bCs/>
                <w:sz w:val="21"/>
                <w:szCs w:val="21"/>
                <w:highlight w:val="none"/>
              </w:rPr>
              <w:framePr w:vAnchor="text" w:hAnchor="page" w:x="1577" w:y="394"/>
            </w:pPr>
            <w:r>
              <w:rPr>
                <w:rFonts w:hint="eastAsia" w:ascii="宋体" w:hAnsi="宋体" w:eastAsia="宋体" w:cs="宋体"/>
                <w:b w:val="0"/>
                <w:bCs/>
                <w:sz w:val="21"/>
                <w:szCs w:val="21"/>
                <w:highlight w:val="none"/>
              </w:rPr>
              <w:t xml:space="preserve">项目演示</w:t>
            </w:r>
            <w:r>
              <w:rPr>
                <w:rFonts w:hint="eastAsia" w:ascii="宋体" w:hAnsi="宋体" w:eastAsia="宋体" w:cs="宋体"/>
                <w:b w:val="0"/>
                <w:bCs/>
                <w:sz w:val="21"/>
                <w:szCs w:val="21"/>
                <w:highlight w:val="none"/>
              </w:rPr>
            </w:r>
            <w:r/>
          </w:p>
        </w:tc>
        <w:tc>
          <w:tcPr>
            <w:tcW w:w="7248" w:type="dxa"/>
            <w:vAlign w:val="center"/>
            <w:textDirection w:val="lrTb"/>
            <w:noWrap w:val="false"/>
          </w:tcPr>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投标人需按照招标文件规定的演示内容制作演示视频文件，视频文件的格式为*.mp4或*.avi，投标人须将视频文件分段压缩为*.zip文件上传（单个文件不得大于50M，所有文件总共不得大于300M）。视频时长总计不超过15分钟。使用真实系统或系统原型演示的最高可得满分，使用ppt、动画、Word等其他形式进行模拟演示的，需乘以系数0.5后为演示的最终得分，不满足演示要求、演示不完整或未演示不得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（1）AI智能对话交互演示：展示多轮对话、流式推送、Markdown/Mermaid渲染等功能；该项最高得1分。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（2）职业能力测评与画像生成演示：展示标准化测评流程与动态画像生成过程；该项最高得1分。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（3）职业规划方案生成演示：展示双维规划模型生成个性化职业发展路径的过程；该项最高得1分。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（4）知识库RAG检索演示：展示从官方知识库中精准检索信息并生成回答的过程；该项最高得1分。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（5）数据看板演示：展示用户洞察看板的高频问题TOP榜、用户画像分布等可视化分析功能；该项最高得1分。</w:t>
            </w:r>
            <w:r>
              <w:rPr>
                <w:rFonts w:hint="eastAsia" w:ascii="宋体" w:hAnsi="宋体" w:eastAsia="宋体" w:cs="宋体"/>
                <w:sz w:val="21"/>
                <w:szCs w:val="21"/>
                <w:highlight w:val="none"/>
              </w:rPr>
            </w:r>
            <w:r/>
          </w:p>
          <w:p>
            <w:pPr>
              <w:pStyle w:val="957"/>
              <w:spacing w:line="360" w:lineRule="auto"/>
              <w:rPr>
                <w:rFonts w:hint="eastAsia" w:ascii="宋体" w:hAnsi="宋体" w:eastAsia="宋体" w:cs="宋体"/>
                <w:sz w:val="21"/>
                <w:szCs w:val="21"/>
                <w:highlight w:val="none"/>
              </w:rPr>
              <w:framePr w:vAnchor="text" w:hAnchor="page" w:x="1577" w:y="394"/>
            </w:pPr>
            <w:r>
              <w:rPr>
                <w:rFonts w:hint="eastAsia" w:ascii="宋体" w:hAnsi="宋体" w:eastAsia="宋体" w:cs="宋体"/>
                <w:sz w:val="21"/>
                <w:szCs w:val="21"/>
                <w:highlight w:val="none"/>
              </w:rPr>
              <w:t xml:space="preserve">（6）多端同步演示：展示Web端与微信小程序双端实时同步能力。该项最高得1分。</w:t>
            </w:r>
            <w:r>
              <w:rPr>
                <w:rFonts w:hint="eastAsia" w:ascii="宋体" w:hAnsi="宋体" w:eastAsia="宋体" w:cs="宋体"/>
                <w:sz w:val="21"/>
                <w:szCs w:val="21"/>
                <w:highlight w:val="none"/>
              </w:rPr>
            </w:r>
            <w:r/>
          </w:p>
        </w:tc>
        <w:tc>
          <w:tcPr>
            <w:tcW w:w="695" w:type="dxa"/>
            <w:vAlign w:val="center"/>
            <w:textDirection w:val="lrTb"/>
            <w:noWrap w:val="false"/>
          </w:tcPr>
          <w:p>
            <w:pPr>
              <w:pStyle w:val="957"/>
              <w:jc w:val="center"/>
              <w:spacing w:line="360" w:lineRule="auto"/>
              <w:rPr>
                <w:rFonts w:hint="eastAsia" w:ascii="微软雅黑" w:hAnsi="微软雅黑" w:eastAsia="微软雅黑" w:cs="微软雅黑"/>
                <w:b w:val="0"/>
                <w:bCs/>
                <w:sz w:val="21"/>
                <w:szCs w:val="21"/>
                <w:highlight w:val="none"/>
              </w:rPr>
              <w:framePr w:vAnchor="text" w:hAnchor="page" w:x="1577" w:y="394"/>
            </w:pPr>
            <w:r>
              <w:rPr>
                <w:rFonts w:hint="eastAsia" w:ascii="微软雅黑" w:hAnsi="微软雅黑" w:eastAsia="微软雅黑" w:cs="微软雅黑"/>
                <w:b w:val="0"/>
                <w:bCs/>
                <w:sz w:val="21"/>
                <w:szCs w:val="21"/>
                <w:highlight w:val="none"/>
              </w:rPr>
              <w:t xml:space="preserve">6</w:t>
            </w:r>
            <w:r>
              <w:rPr>
                <w:rFonts w:hint="eastAsia" w:ascii="微软雅黑" w:hAnsi="微软雅黑" w:eastAsia="微软雅黑" w:cs="微软雅黑"/>
                <w:b w:val="0"/>
                <w:bCs/>
                <w:sz w:val="21"/>
                <w:szCs w:val="21"/>
                <w:highlight w:val="none"/>
              </w:rPr>
            </w:r>
            <w:r/>
          </w:p>
        </w:tc>
      </w:tr>
    </w:tbl>
    <w:p>
      <w:pPr>
        <w:pStyle w:val="957"/>
        <w:ind w:firstLine="422"/>
        <w:jc w:val="left"/>
        <w:pageBreakBefore w:val="0"/>
        <w:spacing w:before="120" w:after="120" w:line="400" w:lineRule="exact"/>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957"/>
        <w:rPr>
          <w:rFonts w:hint="eastAsia"/>
        </w:rPr>
      </w:pPr>
      <w:r>
        <w:rPr>
          <w:rFonts w:hint="eastAsia"/>
        </w:rPr>
      </w:r>
      <w:r/>
    </w:p>
    <w:p>
      <w:pPr>
        <w:pStyle w:val="957"/>
        <w:rPr>
          <w:rFonts w:hint="eastAsia"/>
        </w:rPr>
      </w:pPr>
      <w:r>
        <w:rPr>
          <w:rFonts w:hint="eastAsia"/>
        </w:rPr>
      </w:r>
      <w:r/>
    </w:p>
    <w:p>
      <w:pPr>
        <w:pStyle w:val="958"/>
        <w:rPr>
          <w:rFonts w:ascii="黑体" w:eastAsia="黑体"/>
          <w:bCs/>
          <w:sz w:val="44"/>
        </w:rPr>
      </w:pPr>
      <w:r>
        <w:rPr>
          <w:rFonts w:ascii="黑体" w:eastAsia="黑体"/>
          <w:bCs/>
          <w:sz w:val="44"/>
        </w:rPr>
      </w:r>
      <w:r/>
    </w:p>
    <w:p>
      <w:pPr>
        <w:pStyle w:val="957"/>
        <w:rPr>
          <w:rFonts w:ascii="黑体" w:eastAsia="黑体"/>
          <w:bCs/>
          <w:sz w:val="44"/>
        </w:rPr>
      </w:pPr>
      <w:r>
        <w:rPr>
          <w:rFonts w:ascii="黑体" w:eastAsia="黑体"/>
          <w:bCs/>
          <w:sz w:val="44"/>
        </w:rPr>
      </w:r>
      <w:r/>
    </w:p>
    <w:p>
      <w:pPr>
        <w:pStyle w:val="957"/>
        <w:rPr>
          <w:rFonts w:ascii="黑体" w:eastAsia="黑体"/>
          <w:bCs/>
          <w:sz w:val="44"/>
        </w:rPr>
      </w:pPr>
      <w:r>
        <w:rPr>
          <w:rFonts w:ascii="黑体" w:eastAsia="黑体"/>
          <w:bCs/>
          <w:sz w:val="44"/>
        </w:rPr>
      </w:r>
      <w:r/>
    </w:p>
    <w:p>
      <w:pPr>
        <w:pStyle w:val="957"/>
        <w:rPr>
          <w:rFonts w:ascii="黑体" w:eastAsia="黑体"/>
          <w:bCs/>
          <w:sz w:val="44"/>
        </w:rPr>
      </w:pPr>
      <w:r>
        <w:rPr>
          <w:rFonts w:ascii="黑体" w:eastAsia="黑体"/>
          <w:bCs/>
          <w:sz w:val="44"/>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7"/>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7"/>
        <w:jc w:val="center"/>
        <w:rPr>
          <w:rFonts w:hint="eastAsia" w:ascii="宋体" w:hAnsi="宋体"/>
          <w:b/>
          <w:sz w:val="28"/>
          <w:szCs w:val="28"/>
        </w:rPr>
      </w:pPr>
      <w:r/>
      <w:bookmarkStart w:id="163" w:name="_Hlt26671244"/>
      <w:r/>
      <w:bookmarkEnd w:id="163"/>
      <w:r/>
      <w:bookmarkStart w:id="164" w:name="_Hlt26955039"/>
      <w:r/>
      <w:bookmarkEnd w:id="164"/>
      <w:r/>
      <w:bookmarkStart w:id="165" w:name="_Toc26554094"/>
      <w:r/>
      <w:bookmarkStart w:id="166" w:name="_Toc49090576"/>
      <w:r/>
      <w:bookmarkStart w:id="167" w:name="_Toc120614282"/>
      <w:r>
        <w:rPr>
          <w:rFonts w:hint="eastAsia" w:ascii="宋体" w:hAnsi="宋体"/>
          <w:b/>
          <w:sz w:val="28"/>
          <w:szCs w:val="28"/>
        </w:rPr>
      </w:r>
      <w:r/>
    </w:p>
    <w:p>
      <w:pPr>
        <w:pStyle w:val="957"/>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57"/>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57"/>
        <w:jc w:val="center"/>
        <w:rPr>
          <w:rFonts w:hint="eastAsia" w:ascii="宋体" w:hAnsi="宋体"/>
          <w:b/>
          <w:sz w:val="28"/>
          <w:szCs w:val="28"/>
        </w:rPr>
      </w:pPr>
      <w:r>
        <w:rPr>
          <w:rFonts w:hint="eastAsia" w:ascii="宋体" w:hAnsi="宋体"/>
          <w:b/>
          <w:sz w:val="28"/>
          <w:szCs w:val="28"/>
        </w:rPr>
      </w:r>
      <w:r/>
    </w:p>
    <w:p>
      <w:pPr>
        <w:pStyle w:val="957"/>
        <w:jc w:val="center"/>
        <w:rPr>
          <w:rFonts w:hint="eastAsia" w:ascii="宋体" w:hAnsi="宋体"/>
          <w:b/>
          <w:sz w:val="28"/>
          <w:szCs w:val="28"/>
        </w:rPr>
      </w:pPr>
      <w:r>
        <w:rPr>
          <w:rFonts w:hint="eastAsia" w:ascii="宋体" w:hAnsi="宋体"/>
          <w:b/>
          <w:sz w:val="28"/>
          <w:szCs w:val="28"/>
        </w:rPr>
      </w:r>
      <w:r/>
    </w:p>
    <w:p>
      <w:pPr>
        <w:pStyle w:val="957"/>
        <w:jc w:val="center"/>
        <w:rPr>
          <w:rFonts w:hint="eastAsia" w:ascii="宋体" w:hAnsi="宋体"/>
          <w:b/>
          <w:sz w:val="28"/>
          <w:szCs w:val="28"/>
        </w:rPr>
      </w:pPr>
      <w:r>
        <w:rPr>
          <w:rFonts w:hint="eastAsia" w:ascii="宋体" w:hAnsi="宋体"/>
          <w:b/>
          <w:sz w:val="28"/>
          <w:szCs w:val="28"/>
        </w:rPr>
      </w:r>
      <w:r/>
    </w:p>
    <w:p>
      <w:pPr>
        <w:pStyle w:val="957"/>
        <w:jc w:val="center"/>
        <w:rPr>
          <w:rFonts w:hint="eastAsia" w:ascii="宋体" w:hAnsi="宋体"/>
          <w:b/>
          <w:sz w:val="28"/>
          <w:szCs w:val="28"/>
        </w:rPr>
      </w:pPr>
      <w:r>
        <w:rPr>
          <w:rFonts w:hint="eastAsia" w:ascii="宋体" w:hAnsi="宋体"/>
          <w:b/>
          <w:sz w:val="28"/>
          <w:szCs w:val="28"/>
        </w:rPr>
      </w:r>
      <w:r/>
    </w:p>
    <w:p>
      <w:pPr>
        <w:pStyle w:val="957"/>
        <w:jc w:val="center"/>
        <w:rPr>
          <w:rFonts w:hint="eastAsia" w:ascii="宋体" w:hAnsi="宋体"/>
          <w:b/>
          <w:sz w:val="28"/>
          <w:szCs w:val="28"/>
        </w:rPr>
      </w:pPr>
      <w:r>
        <w:rPr>
          <w:rFonts w:hint="eastAsia" w:ascii="宋体" w:hAnsi="宋体"/>
          <w:b/>
          <w:sz w:val="28"/>
          <w:szCs w:val="28"/>
        </w:rPr>
      </w:r>
      <w:r/>
    </w:p>
    <w:p>
      <w:pPr>
        <w:pStyle w:val="957"/>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57"/>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7"/>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57"/>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57"/>
        <w:jc w:val="center"/>
        <w:spacing w:line="440" w:lineRule="exact"/>
        <w:rPr>
          <w:rFonts w:hint="eastAsia" w:ascii="宋体" w:hAnsi="宋体"/>
          <w:b/>
          <w:bCs/>
          <w:sz w:val="32"/>
          <w:szCs w:val="32"/>
        </w:rPr>
      </w:pPr>
      <w:r>
        <w:rPr>
          <w:rFonts w:hint="eastAsia" w:ascii="宋体" w:hAnsi="宋体"/>
          <w:b/>
          <w:bCs/>
          <w:sz w:val="32"/>
          <w:szCs w:val="32"/>
        </w:rPr>
      </w:r>
      <w:r/>
    </w:p>
    <w:p>
      <w:pPr>
        <w:pStyle w:val="957"/>
        <w:spacing w:line="440" w:lineRule="exact"/>
        <w:rPr>
          <w:rFonts w:ascii="宋体" w:hAnsi="宋体"/>
        </w:rPr>
      </w:pPr>
      <w:r>
        <w:rPr>
          <w:rFonts w:ascii="宋体" w:hAnsi="宋体"/>
        </w:rPr>
      </w:r>
      <w:r/>
    </w:p>
    <w:p>
      <w:pPr>
        <w:pStyle w:val="95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7"/>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57"/>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5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5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57"/>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57"/>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7"/>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7"/>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7"/>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4"/>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7"/>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57"/>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57"/>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7"/>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7"/>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7"/>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7"/>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7"/>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7"/>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7"/>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7"/>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57"/>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4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4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57"/>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44"/>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57"/>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5"/>
      <w:r/>
      <w:bookmarkEnd w:id="166"/>
      <w:r/>
      <w:bookmarkEnd w:id="167"/>
      <w:r/>
      <w:bookmarkStart w:id="1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7"/>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57"/>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7"/>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7"/>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7"/>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57"/>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7"/>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7"/>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7"/>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57"/>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57"/>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57"/>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7"/>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5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57"/>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57"/>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3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3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9"/>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3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57"/>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7"/>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7"/>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7"/>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7"/>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57"/>
        <w:keepLines w:val="0"/>
        <w:keepNext w:val="0"/>
        <w:pageBreakBefore w:val="0"/>
        <w:spacing w:line="400" w:lineRule="exact"/>
        <w:rPr>
          <w:rFonts w:hint="eastAsia"/>
          <w:sz w:val="28"/>
          <w:szCs w:val="28"/>
        </w:rPr>
      </w:pPr>
      <w:r>
        <w:rPr>
          <w:rFonts w:hint="eastAsia"/>
          <w:sz w:val="28"/>
          <w:szCs w:val="28"/>
        </w:rPr>
      </w:r>
      <w:r/>
    </w:p>
    <w:p>
      <w:pPr>
        <w:pStyle w:val="957"/>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57"/>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57"/>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7"/>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7"/>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7"/>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1"/>
        <w:keepLines w:val="0"/>
        <w:keepNext w:val="0"/>
        <w:pageBreakBefore w:val="0"/>
        <w:spacing w:line="400" w:lineRule="exact"/>
        <w:rPr>
          <w:rFonts w:hint="eastAsia"/>
          <w:sz w:val="28"/>
          <w:szCs w:val="28"/>
        </w:rPr>
      </w:pPr>
      <w:r>
        <w:rPr>
          <w:rFonts w:hint="eastAsia"/>
          <w:sz w:val="28"/>
          <w:szCs w:val="28"/>
        </w:rPr>
      </w:r>
      <w:r/>
    </w:p>
    <w:p>
      <w:pPr>
        <w:pStyle w:val="971"/>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center" w:pos="4153" w:leader="none"/>
        <w:tab w:val="right" w:pos="8306" w:leader="none"/>
      </w:tabs>
      <w:rPr>
        <w:rStyle w:val="1029"/>
      </w:rPr>
      <w:framePr w:wrap="around" w:vAnchor="text" w:hAnchor="margin" w:xAlign="center" w:y="1"/>
    </w:pPr>
    <w:r>
      <w:fldChar w:fldCharType="begin"/>
    </w:r>
    <w:r>
      <w:rPr>
        <w:rStyle w:val="1029"/>
      </w:rPr>
      <w:instrText xml:space="preserve">PAGE  </w:instrText>
    </w:r>
    <w:r>
      <w:fldChar w:fldCharType="separate"/>
    </w:r>
    <w:r>
      <w:rPr>
        <w:rStyle w:val="1029"/>
      </w:rPr>
      <w:t xml:space="preserve">1</w:t>
    </w:r>
    <w:r>
      <w:fldChar w:fldCharType="end"/>
    </w:r>
    <w:r>
      <w:rPr>
        <w:rStyle w:val="1029"/>
      </w:rPr>
    </w:r>
    <w:r/>
  </w:p>
  <w:p>
    <w:pPr>
      <w:pStyle w:val="100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57"/>
                    </w:pPr>
                    <w:r/>
                    <w:r/>
                  </w:p>
                </w:txbxContent>
              </v:textbox>
            </v:shape>
          </w:pict>
        </mc:Fallback>
      </mc:AlternateContent>
    </w:r>
    <w:r/>
  </w:p>
  <w:p>
    <w:pPr>
      <w:pStyle w:val="100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57"/>
        <w:ind w:left="-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6"/>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3"/>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4">
    <w:multiLevelType w:val="hybridMultilevel"/>
    <w:lvl w:ilvl="0">
      <w:start w:val="1"/>
      <w:numFmt w:val="decimal"/>
      <w:isLgl w:val="false"/>
      <w:suff w:val="nothing"/>
      <w:lvlText w:val="（%1）"/>
      <w:lvlJc w:val="left"/>
      <w:pPr>
        <w:pStyle w:val="9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abstractNum w:abstractNumId="6">
    <w:multiLevelType w:val="hybridMultilevel"/>
    <w:lvl w:ilvl="0">
      <w:start w:val="1"/>
      <w:numFmt w:val="japaneseCounting"/>
      <w:isLgl w:val="false"/>
      <w:suff w:val="tab"/>
      <w:lvlText w:val="（%1）"/>
      <w:lvlJc w:val="left"/>
      <w:pPr>
        <w:pStyle w:val="957"/>
        <w:ind w:left="840" w:hanging="840"/>
      </w:pPr>
      <w:rPr>
        <w:b w:val="0"/>
        <w:sz w:val="28"/>
      </w:rPr>
    </w:lvl>
    <w:lvl w:ilvl="1">
      <w:start w:val="1"/>
      <w:numFmt w:val="lowerLetter"/>
      <w:isLgl w:val="false"/>
      <w:suff w:val="tab"/>
      <w:lvlText w:val="%2)"/>
      <w:lvlJc w:val="left"/>
      <w:pPr>
        <w:pStyle w:val="957"/>
        <w:ind w:left="840" w:hanging="420"/>
      </w:pPr>
    </w:lvl>
    <w:lvl w:ilvl="2">
      <w:start w:val="1"/>
      <w:numFmt w:val="lowerRoman"/>
      <w:isLgl w:val="false"/>
      <w:suff w:val="tab"/>
      <w:lvlText w:val="%3."/>
      <w:lvlJc w:val="right"/>
      <w:pPr>
        <w:pStyle w:val="957"/>
        <w:ind w:left="1260" w:hanging="420"/>
      </w:pPr>
    </w:lvl>
    <w:lvl w:ilvl="3">
      <w:start w:val="1"/>
      <w:numFmt w:val="decimal"/>
      <w:isLgl w:val="false"/>
      <w:suff w:val="tab"/>
      <w:lvlText w:val="%4."/>
      <w:lvlJc w:val="left"/>
      <w:pPr>
        <w:pStyle w:val="957"/>
        <w:ind w:left="1680" w:hanging="420"/>
      </w:pPr>
    </w:lvl>
    <w:lvl w:ilvl="4">
      <w:start w:val="1"/>
      <w:numFmt w:val="lowerLetter"/>
      <w:isLgl w:val="false"/>
      <w:suff w:val="tab"/>
      <w:lvlText w:val="%5)"/>
      <w:lvlJc w:val="left"/>
      <w:pPr>
        <w:pStyle w:val="957"/>
        <w:ind w:left="2100" w:hanging="420"/>
      </w:pPr>
    </w:lvl>
    <w:lvl w:ilvl="5">
      <w:start w:val="1"/>
      <w:numFmt w:val="lowerRoman"/>
      <w:isLgl w:val="false"/>
      <w:suff w:val="tab"/>
      <w:lvlText w:val="%6."/>
      <w:lvlJc w:val="right"/>
      <w:pPr>
        <w:pStyle w:val="957"/>
        <w:ind w:left="2520" w:hanging="420"/>
      </w:pPr>
    </w:lvl>
    <w:lvl w:ilvl="6">
      <w:start w:val="1"/>
      <w:numFmt w:val="decimal"/>
      <w:isLgl w:val="false"/>
      <w:suff w:val="tab"/>
      <w:lvlText w:val="%7."/>
      <w:lvlJc w:val="left"/>
      <w:pPr>
        <w:pStyle w:val="957"/>
        <w:ind w:left="2940" w:hanging="420"/>
      </w:pPr>
    </w:lvl>
    <w:lvl w:ilvl="7">
      <w:start w:val="1"/>
      <w:numFmt w:val="lowerLetter"/>
      <w:isLgl w:val="false"/>
      <w:suff w:val="tab"/>
      <w:lvlText w:val="%8)"/>
      <w:lvlJc w:val="left"/>
      <w:pPr>
        <w:pStyle w:val="957"/>
        <w:ind w:left="3360" w:hanging="420"/>
      </w:pPr>
    </w:lvl>
    <w:lvl w:ilvl="8">
      <w:start w:val="1"/>
      <w:numFmt w:val="lowerRoman"/>
      <w:isLgl w:val="false"/>
      <w:suff w:val="tab"/>
      <w:lvlText w:val="%9."/>
      <w:lvlJc w:val="right"/>
      <w:pPr>
        <w:pStyle w:val="957"/>
        <w:ind w:left="3780" w:hanging="420"/>
      </w:pPr>
    </w:lvl>
  </w:abstractNum>
  <w:num w:numId="1">
    <w:abstractNumId w:val="5"/>
  </w:num>
  <w:num w:numId="2">
    <w:abstractNumId w:val="2"/>
  </w:num>
  <w:num w:numId="3">
    <w:abstractNumId w:val="3"/>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57"/>
    <w:link w:val="957"/>
    <w:qFormat/>
    <w:pPr>
      <w:jc w:val="both"/>
      <w:widowControl w:val="off"/>
    </w:pPr>
    <w:rPr>
      <w:rFonts w:ascii="Times New Roman" w:hAnsi="Times New Roman"/>
      <w:sz w:val="21"/>
      <w:szCs w:val="21"/>
      <w:lang w:val="en-US" w:eastAsia="zh-CN" w:bidi="ar-SA"/>
    </w:rPr>
  </w:style>
  <w:style w:type="paragraph" w:styleId="958">
    <w:name w:val="标题 1"/>
    <w:basedOn w:val="957"/>
    <w:next w:val="957"/>
    <w:link w:val="969"/>
    <w:qFormat/>
    <w:pPr>
      <w:jc w:val="center"/>
      <w:keepNext/>
      <w:outlineLvl w:val="0"/>
    </w:pPr>
    <w:rPr>
      <w:rFonts w:ascii="楷体_GB2312" w:eastAsia="楷体_GB2312"/>
      <w:sz w:val="28"/>
      <w:szCs w:val="28"/>
    </w:rPr>
  </w:style>
  <w:style w:type="paragraph" w:styleId="959">
    <w:name w:val="标题 2"/>
    <w:basedOn w:val="957"/>
    <w:next w:val="971"/>
    <w:link w:val="970"/>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71"/>
    <w:link w:val="973"/>
    <w:qFormat/>
    <w:pPr>
      <w:keepLines/>
      <w:keepNext/>
      <w:spacing w:before="260" w:after="260" w:line="416" w:lineRule="auto"/>
      <w:outlineLvl w:val="2"/>
    </w:pPr>
    <w:rPr>
      <w:b/>
      <w:bCs/>
      <w:sz w:val="32"/>
      <w:szCs w:val="32"/>
    </w:rPr>
  </w:style>
  <w:style w:type="paragraph" w:styleId="961">
    <w:name w:val="标题 4"/>
    <w:basedOn w:val="957"/>
    <w:next w:val="971"/>
    <w:link w:val="974"/>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1"/>
    <w:link w:val="975"/>
    <w:qFormat/>
    <w:pPr>
      <w:keepNext/>
      <w:outlineLvl w:val="4"/>
    </w:pPr>
    <w:rPr>
      <w:rFonts w:ascii="宋体"/>
      <w:color w:val="000000"/>
      <w:sz w:val="28"/>
      <w:szCs w:val="28"/>
    </w:rPr>
  </w:style>
  <w:style w:type="paragraph" w:styleId="963">
    <w:name w:val="标题 6"/>
    <w:basedOn w:val="957"/>
    <w:next w:val="957"/>
    <w:link w:val="976"/>
    <w:qFormat/>
    <w:pPr>
      <w:numPr>
        <w:ilvl w:val="5"/>
        <w:numId w:val="1"/>
      </w:numPr>
      <w:keepLines/>
      <w:keepNext/>
      <w:spacing w:before="240" w:after="64" w:line="320" w:lineRule="auto"/>
      <w:outlineLvl w:val="5"/>
    </w:pPr>
    <w:rPr>
      <w:rFonts w:ascii="Arial" w:hAnsi="Arial" w:eastAsia="黑体"/>
      <w:b/>
      <w:bCs/>
      <w:sz w:val="24"/>
      <w:szCs w:val="24"/>
    </w:rPr>
  </w:style>
  <w:style w:type="paragraph" w:styleId="964">
    <w:name w:val="标题 7"/>
    <w:basedOn w:val="957"/>
    <w:next w:val="957"/>
    <w:link w:val="977"/>
    <w:qFormat/>
    <w:pPr>
      <w:numPr>
        <w:ilvl w:val="6"/>
        <w:numId w:val="1"/>
      </w:numPr>
      <w:keepLines/>
      <w:keepNext/>
      <w:spacing w:before="240" w:after="64" w:line="320" w:lineRule="auto"/>
      <w:outlineLvl w:val="6"/>
    </w:pPr>
    <w:rPr>
      <w:b/>
      <w:bCs/>
      <w:sz w:val="24"/>
      <w:szCs w:val="24"/>
    </w:rPr>
  </w:style>
  <w:style w:type="paragraph" w:styleId="965">
    <w:name w:val="标题 8"/>
    <w:basedOn w:val="957"/>
    <w:next w:val="957"/>
    <w:link w:val="978"/>
    <w:qFormat/>
    <w:pPr>
      <w:numPr>
        <w:ilvl w:val="7"/>
        <w:numId w:val="1"/>
      </w:numPr>
      <w:keepLines/>
      <w:keepNext/>
      <w:spacing w:before="240" w:after="64" w:line="320" w:lineRule="auto"/>
      <w:outlineLvl w:val="7"/>
    </w:pPr>
    <w:rPr>
      <w:rFonts w:ascii="Arial" w:hAnsi="Arial" w:eastAsia="黑体"/>
      <w:sz w:val="24"/>
      <w:szCs w:val="24"/>
    </w:rPr>
  </w:style>
  <w:style w:type="paragraph" w:styleId="966">
    <w:name w:val="标题 9"/>
    <w:basedOn w:val="957"/>
    <w:next w:val="957"/>
    <w:link w:val="979"/>
    <w:qFormat/>
    <w:pPr>
      <w:numPr>
        <w:ilvl w:val="8"/>
        <w:numId w:val="1"/>
      </w:numPr>
      <w:keepLines/>
      <w:keepNext/>
      <w:spacing w:before="240" w:after="64" w:line="320" w:lineRule="auto"/>
      <w:outlineLvl w:val="8"/>
    </w:pPr>
    <w:rPr>
      <w:rFonts w:ascii="Arial" w:hAnsi="Arial" w:eastAsia="黑体"/>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character" w:styleId="969">
    <w:name w:val="标题 1 Char"/>
    <w:next w:val="969"/>
    <w:link w:val="958"/>
    <w:rPr>
      <w:rFonts w:ascii="楷体_GB2312" w:hAnsi="Times New Roman" w:eastAsia="楷体_GB2312" w:cs="Times New Roman"/>
      <w:sz w:val="28"/>
      <w:szCs w:val="28"/>
    </w:rPr>
  </w:style>
  <w:style w:type="character" w:styleId="970">
    <w:name w:val="标题 2 Char"/>
    <w:next w:val="970"/>
    <w:link w:val="959"/>
    <w:rPr>
      <w:rFonts w:ascii="Arial" w:hAnsi="Arial" w:eastAsia="幼圆" w:cs="Arial"/>
      <w:b/>
      <w:bCs/>
      <w:sz w:val="44"/>
      <w:szCs w:val="44"/>
    </w:rPr>
  </w:style>
  <w:style w:type="paragraph" w:styleId="971">
    <w:name w:val="正文缩进"/>
    <w:basedOn w:val="957"/>
    <w:next w:val="971"/>
    <w:link w:val="972"/>
    <w:pPr>
      <w:ind w:firstLine="420"/>
    </w:pPr>
  </w:style>
  <w:style w:type="character" w:styleId="972">
    <w:name w:val="正文缩进 Char"/>
    <w:next w:val="972"/>
    <w:link w:val="971"/>
    <w:rPr>
      <w:rFonts w:ascii="Times New Roman" w:hAnsi="Times New Roman" w:eastAsia="宋体" w:cs="Times New Roman"/>
      <w:szCs w:val="21"/>
    </w:rPr>
  </w:style>
  <w:style w:type="character" w:styleId="973">
    <w:name w:val="标题 3 Char"/>
    <w:next w:val="973"/>
    <w:link w:val="960"/>
    <w:rPr>
      <w:rFonts w:ascii="Times New Roman" w:hAnsi="Times New Roman" w:eastAsia="宋体" w:cs="Times New Roman"/>
      <w:b/>
      <w:bCs/>
      <w:sz w:val="32"/>
      <w:szCs w:val="32"/>
    </w:rPr>
  </w:style>
  <w:style w:type="character" w:styleId="974">
    <w:name w:val="标题 4 Char"/>
    <w:next w:val="974"/>
    <w:link w:val="961"/>
    <w:rPr>
      <w:rFonts w:ascii="Arial" w:hAnsi="Arial" w:eastAsia="黑体" w:cs="Arial"/>
      <w:b/>
      <w:bCs/>
      <w:sz w:val="28"/>
      <w:szCs w:val="28"/>
    </w:rPr>
  </w:style>
  <w:style w:type="character" w:styleId="975">
    <w:name w:val="标题 5 Char"/>
    <w:next w:val="975"/>
    <w:link w:val="962"/>
    <w:rPr>
      <w:rFonts w:ascii="宋体" w:hAnsi="Times New Roman" w:eastAsia="宋体" w:cs="Times New Roman"/>
      <w:color w:val="000000"/>
      <w:sz w:val="28"/>
      <w:szCs w:val="28"/>
    </w:rPr>
  </w:style>
  <w:style w:type="character" w:styleId="976">
    <w:name w:val="标题 6 Char"/>
    <w:next w:val="976"/>
    <w:link w:val="963"/>
    <w:rPr>
      <w:rFonts w:ascii="Arial" w:hAnsi="Arial" w:eastAsia="黑体" w:cs="Times New Roman"/>
      <w:b/>
      <w:bCs/>
      <w:sz w:val="24"/>
      <w:szCs w:val="24"/>
    </w:rPr>
  </w:style>
  <w:style w:type="character" w:styleId="977">
    <w:name w:val="标题 7 Char"/>
    <w:next w:val="977"/>
    <w:link w:val="964"/>
    <w:rPr>
      <w:rFonts w:ascii="Times New Roman" w:hAnsi="Times New Roman" w:eastAsia="宋体" w:cs="Times New Roman"/>
      <w:b/>
      <w:bCs/>
      <w:sz w:val="24"/>
      <w:szCs w:val="24"/>
    </w:rPr>
  </w:style>
  <w:style w:type="character" w:styleId="978">
    <w:name w:val="标题 8 Char"/>
    <w:next w:val="978"/>
    <w:link w:val="965"/>
    <w:rPr>
      <w:rFonts w:ascii="Arial" w:hAnsi="Arial" w:eastAsia="黑体" w:cs="Times New Roman"/>
      <w:sz w:val="24"/>
      <w:szCs w:val="24"/>
    </w:rPr>
  </w:style>
  <w:style w:type="character" w:styleId="979">
    <w:name w:val="标题 9 Char"/>
    <w:next w:val="979"/>
    <w:link w:val="966"/>
    <w:rPr>
      <w:rFonts w:ascii="Arial" w:hAnsi="Arial" w:eastAsia="黑体" w:cs="Times New Roman"/>
      <w:szCs w:val="21"/>
    </w:rPr>
  </w:style>
  <w:style w:type="paragraph" w:styleId="980">
    <w:name w:val="列表 3"/>
    <w:basedOn w:val="957"/>
    <w:next w:val="980"/>
    <w:link w:val="957"/>
    <w:pPr>
      <w:ind w:left="100" w:hanging="200"/>
    </w:pPr>
  </w:style>
  <w:style w:type="paragraph" w:styleId="981">
    <w:name w:val="目录 7"/>
    <w:basedOn w:val="957"/>
    <w:next w:val="957"/>
    <w:link w:val="957"/>
    <w:semiHidden/>
    <w:pPr>
      <w:ind w:left="1260"/>
      <w:jc w:val="left"/>
    </w:pPr>
  </w:style>
  <w:style w:type="paragraph" w:styleId="982">
    <w:name w:val="文档结构图"/>
    <w:basedOn w:val="957"/>
    <w:next w:val="982"/>
    <w:link w:val="983"/>
    <w:semiHidden/>
    <w:pPr>
      <w:shd w:val="clear" w:color="auto" w:fill="000080"/>
    </w:pPr>
  </w:style>
  <w:style w:type="character" w:styleId="983">
    <w:name w:val="文档结构图 Char"/>
    <w:next w:val="983"/>
    <w:link w:val="982"/>
    <w:semiHidden/>
    <w:rPr>
      <w:rFonts w:ascii="Times New Roman" w:hAnsi="Times New Roman" w:eastAsia="宋体" w:cs="Times New Roman"/>
      <w:szCs w:val="21"/>
      <w:shd w:val="clear" w:color="auto" w:fill="000080"/>
    </w:rPr>
  </w:style>
  <w:style w:type="paragraph" w:styleId="984">
    <w:name w:val="批注文字"/>
    <w:basedOn w:val="957"/>
    <w:next w:val="984"/>
    <w:link w:val="985"/>
    <w:semiHidden/>
    <w:pPr>
      <w:jc w:val="left"/>
    </w:pPr>
  </w:style>
  <w:style w:type="character" w:styleId="985">
    <w:name w:val="批注文字 Char"/>
    <w:next w:val="985"/>
    <w:link w:val="984"/>
    <w:semiHidden/>
    <w:rPr>
      <w:rFonts w:ascii="Times New Roman" w:hAnsi="Times New Roman" w:eastAsia="宋体" w:cs="Times New Roman"/>
      <w:szCs w:val="21"/>
    </w:rPr>
  </w:style>
  <w:style w:type="paragraph" w:styleId="986">
    <w:name w:val="正文文本 3"/>
    <w:basedOn w:val="957"/>
    <w:next w:val="986"/>
    <w:link w:val="987"/>
    <w:rPr>
      <w:rFonts w:ascii="仿宋_GB2312" w:hAnsi="Arial" w:eastAsia="仿宋_GB2312"/>
      <w:sz w:val="32"/>
      <w:szCs w:val="32"/>
    </w:rPr>
  </w:style>
  <w:style w:type="character" w:styleId="987">
    <w:name w:val="正文文本 3 Char"/>
    <w:next w:val="987"/>
    <w:link w:val="986"/>
    <w:rPr>
      <w:rFonts w:ascii="仿宋_GB2312" w:hAnsi="Arial" w:eastAsia="仿宋_GB2312" w:cs="Times New Roman"/>
      <w:sz w:val="32"/>
      <w:szCs w:val="32"/>
    </w:rPr>
  </w:style>
  <w:style w:type="paragraph" w:styleId="988">
    <w:name w:val="正文文本"/>
    <w:basedOn w:val="957"/>
    <w:next w:val="988"/>
    <w:link w:val="989"/>
    <w:rPr>
      <w:rFonts w:ascii="楷体_GB2312" w:hAnsi="Arial" w:eastAsia="楷体_GB2312"/>
      <w:sz w:val="28"/>
      <w:szCs w:val="28"/>
    </w:rPr>
  </w:style>
  <w:style w:type="character" w:styleId="989">
    <w:name w:val="正文文本 Char"/>
    <w:next w:val="989"/>
    <w:link w:val="988"/>
    <w:rPr>
      <w:rFonts w:ascii="楷体_GB2312" w:hAnsi="Arial" w:eastAsia="楷体_GB2312" w:cs="Times New Roman"/>
      <w:sz w:val="28"/>
      <w:szCs w:val="28"/>
    </w:rPr>
  </w:style>
  <w:style w:type="paragraph" w:styleId="990">
    <w:name w:val="正文文本缩进"/>
    <w:basedOn w:val="957"/>
    <w:next w:val="990"/>
    <w:link w:val="991"/>
    <w:pPr>
      <w:ind w:firstLine="645"/>
    </w:pPr>
    <w:rPr>
      <w:rFonts w:ascii="楷体_GB2312" w:eastAsia="楷体_GB2312"/>
      <w:sz w:val="32"/>
      <w:szCs w:val="32"/>
    </w:rPr>
  </w:style>
  <w:style w:type="character" w:styleId="991">
    <w:name w:val="正文文本缩进 Char"/>
    <w:next w:val="991"/>
    <w:link w:val="990"/>
    <w:rPr>
      <w:rFonts w:ascii="楷体_GB2312" w:hAnsi="Times New Roman" w:eastAsia="楷体_GB2312" w:cs="Times New Roman"/>
      <w:sz w:val="32"/>
      <w:szCs w:val="32"/>
    </w:rPr>
  </w:style>
  <w:style w:type="paragraph" w:styleId="992">
    <w:name w:val="列表 2"/>
    <w:basedOn w:val="957"/>
    <w:next w:val="992"/>
    <w:link w:val="957"/>
    <w:pPr>
      <w:ind w:left="100" w:hanging="200"/>
    </w:pPr>
  </w:style>
  <w:style w:type="paragraph" w:styleId="993">
    <w:name w:val="目录 5"/>
    <w:basedOn w:val="957"/>
    <w:next w:val="957"/>
    <w:link w:val="957"/>
    <w:semiHidden/>
    <w:pPr>
      <w:ind w:left="840"/>
      <w:jc w:val="left"/>
    </w:pPr>
  </w:style>
  <w:style w:type="paragraph" w:styleId="994">
    <w:name w:val="目录 3"/>
    <w:basedOn w:val="957"/>
    <w:next w:val="957"/>
    <w:link w:val="957"/>
    <w:semiHidden/>
    <w:pPr>
      <w:ind w:left="420"/>
      <w:jc w:val="left"/>
    </w:pPr>
    <w:rPr>
      <w:i/>
      <w:iCs/>
      <w:szCs w:val="24"/>
    </w:rPr>
  </w:style>
  <w:style w:type="paragraph" w:styleId="995">
    <w:name w:val="纯文本"/>
    <w:basedOn w:val="957"/>
    <w:next w:val="995"/>
    <w:link w:val="996"/>
    <w:rPr>
      <w:rFonts w:ascii="宋体" w:hAnsi="Courier New" w:cs="Courier New"/>
    </w:rPr>
  </w:style>
  <w:style w:type="character" w:styleId="996">
    <w:name w:val="纯文本 Char"/>
    <w:next w:val="996"/>
    <w:link w:val="995"/>
    <w:rPr>
      <w:rFonts w:ascii="宋体" w:hAnsi="Courier New" w:eastAsia="宋体" w:cs="Courier New"/>
      <w:szCs w:val="21"/>
    </w:rPr>
  </w:style>
  <w:style w:type="paragraph" w:styleId="997">
    <w:name w:val="目录 8"/>
    <w:basedOn w:val="957"/>
    <w:next w:val="957"/>
    <w:link w:val="957"/>
    <w:semiHidden/>
    <w:pPr>
      <w:ind w:left="1470"/>
      <w:jc w:val="left"/>
    </w:pPr>
  </w:style>
  <w:style w:type="paragraph" w:styleId="998">
    <w:name w:val="日期"/>
    <w:basedOn w:val="957"/>
    <w:next w:val="957"/>
    <w:link w:val="999"/>
    <w:rPr>
      <w:sz w:val="24"/>
      <w:szCs w:val="24"/>
    </w:rPr>
  </w:style>
  <w:style w:type="character" w:styleId="999">
    <w:name w:val="日期 Char"/>
    <w:next w:val="999"/>
    <w:link w:val="998"/>
    <w:rPr>
      <w:rFonts w:ascii="Times New Roman" w:hAnsi="Times New Roman" w:eastAsia="宋体" w:cs="Times New Roman"/>
      <w:sz w:val="24"/>
      <w:szCs w:val="24"/>
    </w:rPr>
  </w:style>
  <w:style w:type="paragraph" w:styleId="1000">
    <w:name w:val="正文文本缩进 2"/>
    <w:basedOn w:val="957"/>
    <w:next w:val="1000"/>
    <w:link w:val="1001"/>
    <w:pPr>
      <w:ind w:left="630" w:firstLine="645"/>
    </w:pPr>
    <w:rPr>
      <w:rFonts w:ascii="Arial" w:hAnsi="Arial" w:eastAsia="仿宋_GB2312" w:cs="Arial"/>
      <w:sz w:val="32"/>
      <w:szCs w:val="32"/>
    </w:rPr>
  </w:style>
  <w:style w:type="character" w:styleId="1001">
    <w:name w:val="正文文本缩进 2 Char"/>
    <w:next w:val="1001"/>
    <w:link w:val="1000"/>
    <w:rPr>
      <w:rFonts w:ascii="Arial" w:hAnsi="Arial" w:eastAsia="仿宋_GB2312" w:cs="Arial"/>
      <w:sz w:val="32"/>
      <w:szCs w:val="32"/>
    </w:rPr>
  </w:style>
  <w:style w:type="paragraph" w:styleId="1002">
    <w:name w:val="批注框文本"/>
    <w:basedOn w:val="957"/>
    <w:next w:val="1002"/>
    <w:link w:val="1003"/>
    <w:semiHidden/>
    <w:rPr>
      <w:sz w:val="18"/>
      <w:szCs w:val="18"/>
    </w:rPr>
  </w:style>
  <w:style w:type="character" w:styleId="1003">
    <w:name w:val="批注框文本 Char"/>
    <w:next w:val="1003"/>
    <w:link w:val="1002"/>
    <w:semiHidden/>
    <w:rPr>
      <w:rFonts w:ascii="Times New Roman" w:hAnsi="Times New Roman" w:eastAsia="宋体" w:cs="Times New Roman"/>
      <w:sz w:val="18"/>
      <w:szCs w:val="18"/>
    </w:rPr>
  </w:style>
  <w:style w:type="paragraph" w:styleId="1004">
    <w:name w:val="页脚"/>
    <w:basedOn w:val="957"/>
    <w:next w:val="1004"/>
    <w:link w:val="1005"/>
    <w:uiPriority w:val="99"/>
    <w:pPr>
      <w:jc w:val="left"/>
      <w:tabs>
        <w:tab w:val="center" w:pos="4153" w:leader="none"/>
        <w:tab w:val="right" w:pos="8306" w:leader="none"/>
      </w:tabs>
    </w:pPr>
    <w:rPr>
      <w:sz w:val="18"/>
      <w:szCs w:val="18"/>
    </w:rPr>
  </w:style>
  <w:style w:type="character" w:styleId="1005">
    <w:name w:val="页脚 Char"/>
    <w:next w:val="1005"/>
    <w:link w:val="1004"/>
    <w:uiPriority w:val="99"/>
    <w:rPr>
      <w:rFonts w:ascii="Times New Roman" w:hAnsi="Times New Roman" w:eastAsia="宋体" w:cs="Times New Roman"/>
      <w:sz w:val="18"/>
      <w:szCs w:val="18"/>
    </w:rPr>
  </w:style>
  <w:style w:type="paragraph" w:styleId="1006">
    <w:name w:val="页眉"/>
    <w:basedOn w:val="957"/>
    <w:next w:val="1006"/>
    <w:link w:val="1007"/>
    <w:pPr>
      <w:jc w:val="center"/>
      <w:tabs>
        <w:tab w:val="center" w:pos="4153" w:leader="none"/>
        <w:tab w:val="right" w:pos="8306" w:leader="none"/>
      </w:tabs>
      <w:pBdr>
        <w:bottom w:val="single" w:color="000000" w:sz="6" w:space="1"/>
      </w:pBdr>
    </w:pPr>
    <w:rPr>
      <w:sz w:val="18"/>
      <w:szCs w:val="18"/>
    </w:rPr>
  </w:style>
  <w:style w:type="character" w:styleId="1007">
    <w:name w:val="页眉 Char"/>
    <w:next w:val="1007"/>
    <w:link w:val="1006"/>
    <w:rPr>
      <w:rFonts w:ascii="Times New Roman" w:hAnsi="Times New Roman" w:eastAsia="宋体" w:cs="Times New Roman"/>
      <w:sz w:val="18"/>
      <w:szCs w:val="18"/>
    </w:rPr>
  </w:style>
  <w:style w:type="paragraph" w:styleId="1008">
    <w:name w:val="目录 1"/>
    <w:basedOn w:val="957"/>
    <w:next w:val="957"/>
    <w:link w:val="957"/>
    <w:semiHidden/>
    <w:pPr>
      <w:jc w:val="left"/>
      <w:spacing w:before="120" w:after="120" w:line="400" w:lineRule="exact"/>
      <w:tabs>
        <w:tab w:val="right" w:pos="8720" w:leader="dot"/>
      </w:tabs>
    </w:pPr>
    <w:rPr>
      <w:rFonts w:ascii="宋体" w:hAnsi="宋体"/>
      <w:caps/>
      <w:sz w:val="24"/>
      <w:szCs w:val="24"/>
    </w:rPr>
  </w:style>
  <w:style w:type="paragraph" w:styleId="1009">
    <w:name w:val="目录 4"/>
    <w:basedOn w:val="957"/>
    <w:next w:val="957"/>
    <w:link w:val="957"/>
    <w:semiHidden/>
    <w:pPr>
      <w:ind w:left="630"/>
      <w:jc w:val="left"/>
    </w:pPr>
  </w:style>
  <w:style w:type="paragraph" w:styleId="1010">
    <w:name w:val="列表"/>
    <w:basedOn w:val="957"/>
    <w:next w:val="1010"/>
    <w:link w:val="957"/>
    <w:pPr>
      <w:ind w:left="200" w:hanging="200"/>
    </w:pPr>
  </w:style>
  <w:style w:type="paragraph" w:styleId="1011">
    <w:name w:val="目录 6"/>
    <w:basedOn w:val="957"/>
    <w:next w:val="957"/>
    <w:link w:val="957"/>
    <w:semiHidden/>
    <w:pPr>
      <w:ind w:left="1050"/>
      <w:jc w:val="left"/>
    </w:pPr>
  </w:style>
  <w:style w:type="paragraph" w:styleId="1012">
    <w:name w:val="正文文本缩进 3"/>
    <w:basedOn w:val="957"/>
    <w:next w:val="1012"/>
    <w:link w:val="1013"/>
    <w:pPr>
      <w:ind w:left="645" w:firstLine="645"/>
    </w:pPr>
    <w:rPr>
      <w:rFonts w:ascii="Arial" w:hAnsi="Arial" w:eastAsia="仿宋_GB2312" w:cs="Arial"/>
      <w:color w:val="ffff00"/>
      <w:sz w:val="32"/>
      <w:szCs w:val="32"/>
    </w:rPr>
  </w:style>
  <w:style w:type="character" w:styleId="1013">
    <w:name w:val="正文文本缩进 3 Char"/>
    <w:next w:val="1013"/>
    <w:link w:val="1012"/>
    <w:rPr>
      <w:rFonts w:ascii="Arial" w:hAnsi="Arial" w:eastAsia="仿宋_GB2312" w:cs="Arial"/>
      <w:color w:val="ffff00"/>
      <w:sz w:val="32"/>
      <w:szCs w:val="32"/>
    </w:rPr>
  </w:style>
  <w:style w:type="paragraph" w:styleId="1014">
    <w:name w:val="图表目录"/>
    <w:basedOn w:val="957"/>
    <w:next w:val="957"/>
    <w:link w:val="957"/>
    <w:semiHidden/>
    <w:pPr>
      <w:ind w:left="840" w:hanging="420"/>
    </w:pPr>
  </w:style>
  <w:style w:type="paragraph" w:styleId="1015">
    <w:name w:val="目录 2"/>
    <w:basedOn w:val="957"/>
    <w:next w:val="957"/>
    <w:link w:val="957"/>
    <w:semiHidden/>
    <w:pPr>
      <w:ind w:left="210"/>
      <w:jc w:val="left"/>
    </w:pPr>
    <w:rPr>
      <w:smallCaps/>
      <w:szCs w:val="24"/>
    </w:rPr>
  </w:style>
  <w:style w:type="paragraph" w:styleId="1016">
    <w:name w:val="目录 9"/>
    <w:basedOn w:val="957"/>
    <w:next w:val="957"/>
    <w:link w:val="957"/>
    <w:semiHidden/>
    <w:pPr>
      <w:ind w:left="1680"/>
      <w:jc w:val="left"/>
    </w:pPr>
  </w:style>
  <w:style w:type="paragraph" w:styleId="1017">
    <w:name w:val="正文文本 2"/>
    <w:basedOn w:val="957"/>
    <w:next w:val="1017"/>
    <w:link w:val="1018"/>
    <w:pPr>
      <w:jc w:val="center"/>
      <w:widowControl/>
    </w:pPr>
    <w:rPr>
      <w:rFonts w:ascii="楷体_GB2312" w:eastAsia="楷体_GB2312"/>
      <w:sz w:val="28"/>
      <w:szCs w:val="28"/>
    </w:rPr>
  </w:style>
  <w:style w:type="character" w:styleId="1018">
    <w:name w:val="正文文本 2 Char"/>
    <w:next w:val="1018"/>
    <w:link w:val="1017"/>
    <w:rPr>
      <w:rFonts w:ascii="楷体_GB2312" w:hAnsi="Times New Roman" w:eastAsia="楷体_GB2312" w:cs="Times New Roman"/>
      <w:sz w:val="28"/>
      <w:szCs w:val="28"/>
    </w:rPr>
  </w:style>
  <w:style w:type="paragraph" w:styleId="1019">
    <w:name w:val="普通(网站)"/>
    <w:basedOn w:val="957"/>
    <w:next w:val="1019"/>
    <w:link w:val="957"/>
    <w:uiPriority w:val="99"/>
    <w:pPr>
      <w:jc w:val="left"/>
      <w:spacing w:before="100" w:beforeAutospacing="1" w:after="100" w:afterAutospacing="1"/>
      <w:widowControl/>
    </w:pPr>
    <w:rPr>
      <w:rFonts w:ascii="宋体" w:hAnsi="宋体" w:cs="宋体"/>
      <w:sz w:val="24"/>
      <w:szCs w:val="24"/>
    </w:rPr>
  </w:style>
  <w:style w:type="paragraph" w:styleId="1020">
    <w:name w:val="索引 1"/>
    <w:basedOn w:val="957"/>
    <w:next w:val="957"/>
    <w:link w:val="957"/>
    <w:semiHidden/>
    <w:pPr>
      <w:spacing w:line="240" w:lineRule="atLeast"/>
    </w:pPr>
    <w:rPr>
      <w:b/>
      <w:bCs/>
    </w:rPr>
  </w:style>
  <w:style w:type="paragraph" w:styleId="1021">
    <w:name w:val="批注主题"/>
    <w:basedOn w:val="984"/>
    <w:next w:val="984"/>
    <w:link w:val="1022"/>
    <w:semiHidden/>
    <w:rPr>
      <w:b/>
      <w:bCs/>
    </w:rPr>
  </w:style>
  <w:style w:type="character" w:styleId="1022">
    <w:name w:val="批注主题 Char"/>
    <w:next w:val="1022"/>
    <w:link w:val="1021"/>
    <w:semiHidden/>
    <w:rPr>
      <w:rFonts w:ascii="Times New Roman" w:hAnsi="Times New Roman" w:eastAsia="宋体" w:cs="Times New Roman"/>
      <w:b/>
      <w:bCs/>
      <w:szCs w:val="21"/>
    </w:rPr>
  </w:style>
  <w:style w:type="paragraph" w:styleId="1023">
    <w:name w:val="正文首行缩进"/>
    <w:basedOn w:val="957"/>
    <w:next w:val="1023"/>
    <w:link w:val="1024"/>
    <w:pPr>
      <w:ind w:firstLine="200"/>
      <w:spacing w:line="360" w:lineRule="auto"/>
    </w:pPr>
    <w:rPr>
      <w:rFonts w:ascii="仿宋_GB2312" w:eastAsia="仿宋_GB2312"/>
      <w:sz w:val="30"/>
      <w:szCs w:val="30"/>
    </w:rPr>
  </w:style>
  <w:style w:type="character" w:styleId="1024">
    <w:name w:val="正文首行缩进 Char"/>
    <w:next w:val="1024"/>
    <w:link w:val="1023"/>
    <w:rPr>
      <w:rFonts w:ascii="仿宋_GB2312" w:hAnsi="Times New Roman" w:eastAsia="仿宋_GB2312" w:cs="Times New Roman"/>
      <w:sz w:val="30"/>
      <w:szCs w:val="30"/>
    </w:rPr>
  </w:style>
  <w:style w:type="paragraph" w:styleId="1025">
    <w:name w:val="正文首行缩进 2"/>
    <w:basedOn w:val="990"/>
    <w:next w:val="1025"/>
    <w:link w:val="1026"/>
    <w:pPr>
      <w:ind w:firstLine="420"/>
      <w:spacing w:line="360" w:lineRule="auto"/>
    </w:pPr>
    <w:rPr>
      <w:rFonts w:ascii="宋体" w:hAnsi="宋体" w:eastAsia="宋体"/>
      <w:sz w:val="21"/>
      <w:szCs w:val="20"/>
    </w:rPr>
  </w:style>
  <w:style w:type="character" w:styleId="1026">
    <w:name w:val="正文首行缩进 2 Char"/>
    <w:next w:val="1026"/>
    <w:link w:val="1025"/>
    <w:rPr>
      <w:rFonts w:ascii="宋体" w:hAnsi="宋体" w:eastAsia="宋体" w:cs="Times New Roman"/>
      <w:sz w:val="32"/>
      <w:szCs w:val="20"/>
    </w:rPr>
  </w:style>
  <w:style w:type="table" w:styleId="1027">
    <w:name w:val="网格型"/>
    <w:basedOn w:val="968"/>
    <w:next w:val="1027"/>
    <w:link w:val="957"/>
    <w:pPr>
      <w:jc w:val="both"/>
      <w:widowControl w:val="off"/>
    </w:pPr>
    <w:rPr>
      <w:rFonts w:ascii="Times New Roman" w:hAnsi="Times New Roman" w:eastAsia="宋体" w:cs="Times New Roman"/>
      <w:sz w:val="20"/>
      <w:szCs w:val="20"/>
    </w:rPr>
    <w:tblPr/>
  </w:style>
  <w:style w:type="character" w:styleId="1028">
    <w:name w:val="要点"/>
    <w:next w:val="1028"/>
    <w:link w:val="957"/>
    <w:qFormat/>
    <w:rPr>
      <w:b/>
      <w:bCs/>
    </w:rPr>
  </w:style>
  <w:style w:type="character" w:styleId="1029">
    <w:name w:val="页码"/>
    <w:next w:val="1029"/>
    <w:link w:val="957"/>
  </w:style>
  <w:style w:type="character" w:styleId="1030">
    <w:name w:val="已访问的超链接"/>
    <w:next w:val="1030"/>
    <w:link w:val="957"/>
    <w:rPr>
      <w:color w:val="800080"/>
      <w:u w:val="single"/>
    </w:rPr>
  </w:style>
  <w:style w:type="character" w:styleId="1031">
    <w:name w:val="强调"/>
    <w:basedOn w:val="967"/>
    <w:next w:val="1031"/>
    <w:link w:val="957"/>
    <w:qFormat/>
    <w:rPr>
      <w:i/>
    </w:rPr>
  </w:style>
  <w:style w:type="character" w:styleId="1032">
    <w:name w:val="超链接"/>
    <w:next w:val="1032"/>
    <w:link w:val="957"/>
    <w:rPr>
      <w:color w:val="0000ff"/>
      <w:u w:val="single"/>
    </w:rPr>
  </w:style>
  <w:style w:type="character" w:styleId="1033">
    <w:name w:val="批注引用"/>
    <w:next w:val="1033"/>
    <w:link w:val="957"/>
    <w:semiHidden/>
    <w:rPr>
      <w:sz w:val="21"/>
      <w:szCs w:val="21"/>
    </w:rPr>
  </w:style>
  <w:style w:type="character" w:styleId="1034">
    <w:name w:val="font5 Char"/>
    <w:next w:val="1034"/>
    <w:link w:val="957"/>
    <w:rPr>
      <w:rFonts w:ascii="宋体" w:hAnsi="宋体" w:eastAsia="宋体"/>
      <w:sz w:val="28"/>
      <w:szCs w:val="28"/>
      <w:lang w:val="en-US" w:eastAsia="zh-CN" w:bidi="ar-SA"/>
    </w:rPr>
  </w:style>
  <w:style w:type="character" w:styleId="1035">
    <w:name w:val="二级目录 Char"/>
    <w:next w:val="1035"/>
    <w:link w:val="1036"/>
    <w:rPr>
      <w:b/>
      <w:sz w:val="30"/>
      <w:szCs w:val="28"/>
    </w:rPr>
  </w:style>
  <w:style w:type="paragraph" w:styleId="1036">
    <w:name w:val="二级目录"/>
    <w:next w:val="957"/>
    <w:link w:val="1035"/>
    <w:pPr>
      <w:numPr>
        <w:ilvl w:val="0"/>
        <w:numId w:val="2"/>
      </w:numPr>
      <w:tabs>
        <w:tab w:val="left" w:pos="907" w:leader="none"/>
        <w:tab w:val="left" w:pos="1145" w:leader="none"/>
      </w:tabs>
      <w:outlineLvl w:val="1"/>
    </w:pPr>
    <w:rPr>
      <w:b/>
      <w:sz w:val="30"/>
      <w:szCs w:val="28"/>
      <w:lang w:val="en-US" w:eastAsia="zh-CN" w:bidi="ar-SA"/>
    </w:rPr>
  </w:style>
  <w:style w:type="character" w:styleId="1037">
    <w:name w:val="列出段落 Char,Bullet List Char,numbered Char,FooterText Char,List Paragraph1 Char,Paragraphe de liste1 Char"/>
    <w:next w:val="1037"/>
    <w:link w:val="1038"/>
    <w:rPr>
      <w:rFonts w:ascii="Calibri" w:hAnsi="Calibri"/>
      <w:sz w:val="24"/>
      <w:szCs w:val="24"/>
      <w:lang w:eastAsia="en-US" w:bidi="en-US"/>
    </w:rPr>
  </w:style>
  <w:style w:type="paragraph" w:styleId="1038">
    <w:name w:val="列出段落1"/>
    <w:basedOn w:val="957"/>
    <w:next w:val="1038"/>
    <w:link w:val="1037"/>
    <w:qFormat/>
    <w:pPr>
      <w:contextualSpacing/>
      <w:ind w:left="720"/>
      <w:jc w:val="left"/>
      <w:widowControl/>
    </w:pPr>
    <w:rPr>
      <w:rFonts w:ascii="Calibri" w:hAnsi="Calibri" w:eastAsia="宋体" w:cs="Times New Roman"/>
      <w:sz w:val="24"/>
      <w:szCs w:val="24"/>
      <w:lang w:eastAsia="en-US" w:bidi="en-US"/>
    </w:rPr>
  </w:style>
  <w:style w:type="paragraph" w:styleId="1039">
    <w:name w:val="Body Text(ch)"/>
    <w:basedOn w:val="957"/>
    <w:next w:val="988"/>
    <w:link w:val="957"/>
    <w:pPr>
      <w:spacing w:after="120"/>
    </w:pPr>
    <w:rPr>
      <w:rFonts w:ascii="宋体" w:hAnsi="Arial"/>
      <w:bCs/>
      <w:iCs/>
      <w:szCs w:val="24"/>
    </w:rPr>
  </w:style>
  <w:style w:type="paragraph" w:styleId="1040">
    <w:name w:val="xl27"/>
    <w:basedOn w:val="957"/>
    <w:next w:val="1040"/>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1">
    <w:name w:val="xl26"/>
    <w:basedOn w:val="957"/>
    <w:next w:val="1041"/>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2">
    <w:name w:val="Char"/>
    <w:basedOn w:val="957"/>
    <w:next w:val="1042"/>
    <w:link w:val="957"/>
    <w:pPr>
      <w:ind w:firstLine="200"/>
      <w:tabs>
        <w:tab w:val="left" w:pos="360" w:leader="none"/>
      </w:tabs>
    </w:pPr>
    <w:rPr>
      <w:sz w:val="28"/>
      <w:szCs w:val="30"/>
    </w:rPr>
  </w:style>
  <w:style w:type="paragraph" w:styleId="1043">
    <w:name w:val=" Char"/>
    <w:basedOn w:val="982"/>
    <w:next w:val="1043"/>
    <w:link w:val="957"/>
    <w:rPr>
      <w:rFonts w:ascii="Tahoma" w:hAnsi="Tahoma"/>
      <w:sz w:val="24"/>
      <w:szCs w:val="24"/>
    </w:rPr>
  </w:style>
  <w:style w:type="paragraph" w:styleId="1044">
    <w:name w:val="普通正文"/>
    <w:basedOn w:val="957"/>
    <w:next w:val="1044"/>
    <w:link w:val="957"/>
    <w:pPr>
      <w:ind w:firstLine="480"/>
      <w:jc w:val="left"/>
      <w:spacing w:before="120" w:after="120" w:line="360" w:lineRule="auto"/>
    </w:pPr>
    <w:rPr>
      <w:rFonts w:ascii="Arial" w:hAnsi="Arial"/>
      <w:sz w:val="24"/>
      <w:szCs w:val="24"/>
    </w:rPr>
  </w:style>
  <w:style w:type="paragraph" w:styleId="1045">
    <w:name w:val="table_lines"/>
    <w:basedOn w:val="957"/>
    <w:next w:val="1045"/>
    <w:link w:val="957"/>
    <w:pPr>
      <w:jc w:val="left"/>
      <w:widowControl/>
    </w:pPr>
    <w:rPr>
      <w:sz w:val="20"/>
      <w:szCs w:val="20"/>
      <w:lang w:val="de-DE" w:eastAsia="de-DE"/>
    </w:rPr>
  </w:style>
  <w:style w:type="paragraph" w:styleId="1046">
    <w:name w:val="附录1"/>
    <w:next w:val="1046"/>
    <w:link w:val="95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47">
    <w:name w:val="font7"/>
    <w:basedOn w:val="957"/>
    <w:next w:val="1047"/>
    <w:link w:val="957"/>
    <w:pPr>
      <w:jc w:val="left"/>
      <w:spacing w:before="100" w:beforeAutospacing="1" w:after="100" w:afterAutospacing="1"/>
      <w:widowControl/>
    </w:pPr>
    <w:rPr>
      <w:rFonts w:hint="eastAsia" w:ascii="宋体" w:hAnsi="宋体"/>
      <w:sz w:val="18"/>
      <w:szCs w:val="18"/>
    </w:rPr>
  </w:style>
  <w:style w:type="paragraph" w:styleId="1048">
    <w:name w:val=" Char Char Char Char"/>
    <w:basedOn w:val="982"/>
    <w:next w:val="1048"/>
    <w:link w:val="957"/>
    <w:pPr>
      <w:spacing w:line="360" w:lineRule="auto"/>
    </w:pPr>
    <w:rPr>
      <w:rFonts w:ascii="Tahoma" w:hAnsi="Tahoma"/>
      <w:sz w:val="24"/>
      <w:szCs w:val="24"/>
    </w:rPr>
  </w:style>
  <w:style w:type="paragraph" w:styleId="1049">
    <w:name w:val="列出段落"/>
    <w:basedOn w:val="957"/>
    <w:next w:val="1049"/>
    <w:link w:val="957"/>
    <w:qFormat/>
    <w:pPr>
      <w:contextualSpacing/>
      <w:ind w:left="720"/>
      <w:jc w:val="left"/>
      <w:widowControl/>
    </w:pPr>
    <w:rPr>
      <w:rFonts w:ascii="Calibri" w:hAnsi="Calibri"/>
      <w:sz w:val="24"/>
      <w:szCs w:val="24"/>
      <w:lang w:eastAsia="en-US" w:bidi="en-US"/>
    </w:rPr>
  </w:style>
  <w:style w:type="paragraph" w:styleId="1050">
    <w:name w:val="4"/>
    <w:basedOn w:val="957"/>
    <w:next w:val="1012"/>
    <w:link w:val="957"/>
    <w:pPr>
      <w:ind w:firstLine="420"/>
      <w:spacing w:line="360" w:lineRule="auto"/>
    </w:pPr>
    <w:rPr>
      <w:color w:val="ff0000"/>
      <w:sz w:val="24"/>
      <w:szCs w:val="24"/>
    </w:rPr>
  </w:style>
  <w:style w:type="paragraph" w:styleId="1051">
    <w:name w:val="普通 (Web)"/>
    <w:basedOn w:val="957"/>
    <w:next w:val="1051"/>
    <w:link w:val="957"/>
    <w:pPr>
      <w:jc w:val="left"/>
      <w:spacing w:before="100" w:beforeAutospacing="1" w:after="100" w:afterAutospacing="1"/>
      <w:widowControl/>
    </w:pPr>
    <w:rPr>
      <w:rFonts w:ascii="宋体" w:hAnsi="宋体"/>
      <w:sz w:val="24"/>
      <w:szCs w:val="24"/>
    </w:rPr>
  </w:style>
  <w:style w:type="paragraph" w:styleId="1052">
    <w:name w:val=" Char Char Char Char Char Char Char Char Char Char"/>
    <w:basedOn w:val="957"/>
    <w:next w:val="1052"/>
    <w:link w:val="957"/>
    <w:pPr>
      <w:spacing w:line="360" w:lineRule="auto"/>
    </w:pPr>
    <w:rPr>
      <w:sz w:val="24"/>
      <w:szCs w:val="20"/>
    </w:rPr>
  </w:style>
  <w:style w:type="paragraph" w:styleId="1053">
    <w:name w:val="样式1"/>
    <w:basedOn w:val="957"/>
    <w:next w:val="1053"/>
    <w:link w:val="957"/>
    <w:pPr>
      <w:numPr>
        <w:ilvl w:val="0"/>
        <w:numId w:val="3"/>
      </w:numPr>
      <w:tabs>
        <w:tab w:val="left" w:pos="709" w:leader="none"/>
      </w:tabs>
    </w:pPr>
    <w:rPr>
      <w:rFonts w:ascii="宋体" w:hAnsi="宋体"/>
    </w:rPr>
  </w:style>
  <w:style w:type="paragraph" w:styleId="1054">
    <w:name w:val="font6"/>
    <w:basedOn w:val="957"/>
    <w:next w:val="1054"/>
    <w:link w:val="957"/>
    <w:pPr>
      <w:jc w:val="left"/>
      <w:spacing w:before="100" w:beforeAutospacing="1" w:after="100" w:afterAutospacing="1"/>
      <w:widowControl/>
    </w:pPr>
    <w:rPr>
      <w:rFonts w:hint="eastAsia" w:ascii="宋体" w:hAnsi="宋体"/>
      <w:sz w:val="28"/>
      <w:szCs w:val="28"/>
      <w:u w:val="single"/>
    </w:rPr>
  </w:style>
  <w:style w:type="paragraph" w:styleId="1055">
    <w:name w:val="xl25"/>
    <w:basedOn w:val="957"/>
    <w:next w:val="1055"/>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6">
    <w:name w:val="图标"/>
    <w:basedOn w:val="957"/>
    <w:next w:val="957"/>
    <w:link w:val="95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7">
    <w:name w:val="标题3"/>
    <w:basedOn w:val="957"/>
    <w:next w:val="957"/>
    <w:link w:val="957"/>
    <w:pPr>
      <w:ind w:firstLine="624"/>
      <w:spacing w:line="590" w:lineRule="atLeast"/>
    </w:pPr>
    <w:rPr>
      <w:rFonts w:ascii="方正黑体_GBK" w:eastAsia="方正黑体_GBK"/>
      <w:sz w:val="32"/>
      <w:szCs w:val="32"/>
    </w:rPr>
  </w:style>
  <w:style w:type="paragraph" w:styleId="1058">
    <w:name w:val="xl24"/>
    <w:basedOn w:val="957"/>
    <w:next w:val="1058"/>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name w:val="xl29"/>
    <w:basedOn w:val="957"/>
    <w:next w:val="1059"/>
    <w:link w:val="95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0">
    <w:name w:val="Char Char Char Char Char Char Char Char"/>
    <w:basedOn w:val="957"/>
    <w:next w:val="1060"/>
    <w:link w:val="957"/>
    <w:pPr>
      <w:jc w:val="left"/>
      <w:spacing w:after="160" w:line="240" w:lineRule="exact"/>
      <w:widowControl/>
    </w:pPr>
    <w:rPr>
      <w:rFonts w:ascii="Verdana" w:hAnsi="Verdana"/>
      <w:sz w:val="20"/>
      <w:szCs w:val="20"/>
      <w:lang w:eastAsia="en-US"/>
    </w:rPr>
  </w:style>
  <w:style w:type="paragraph" w:styleId="1061">
    <w:name w:val="xl28"/>
    <w:basedOn w:val="957"/>
    <w:next w:val="1061"/>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2">
    <w:name w:val=" Char Char Char Char Char Char Char Char"/>
    <w:basedOn w:val="957"/>
    <w:next w:val="1062"/>
    <w:link w:val="957"/>
    <w:pPr>
      <w:jc w:val="left"/>
      <w:spacing w:after="160" w:line="240" w:lineRule="exact"/>
      <w:widowControl/>
    </w:pPr>
    <w:rPr>
      <w:rFonts w:ascii="Verdana" w:hAnsi="Verdana"/>
      <w:sz w:val="20"/>
      <w:szCs w:val="20"/>
      <w:lang w:eastAsia="en-US"/>
    </w:rPr>
  </w:style>
  <w:style w:type="paragraph" w:styleId="1063">
    <w:name w:val="xl30"/>
    <w:basedOn w:val="957"/>
    <w:next w:val="1063"/>
    <w:link w:val="957"/>
    <w:pPr>
      <w:jc w:val="center"/>
      <w:spacing w:before="100" w:beforeAutospacing="1" w:after="100" w:afterAutospacing="1"/>
      <w:widowControl/>
    </w:pPr>
    <w:rPr>
      <w:rFonts w:ascii="宋体" w:hAnsi="宋体"/>
      <w:b/>
      <w:bCs/>
      <w:sz w:val="36"/>
      <w:szCs w:val="36"/>
    </w:rPr>
  </w:style>
  <w:style w:type="paragraph" w:styleId="1064">
    <w:name w:val="Char Char Char Char"/>
    <w:basedOn w:val="982"/>
    <w:next w:val="1064"/>
    <w:link w:val="957"/>
    <w:pPr>
      <w:spacing w:line="360" w:lineRule="auto"/>
    </w:pPr>
    <w:rPr>
      <w:rFonts w:ascii="Tahoma" w:hAnsi="Tahoma"/>
      <w:sz w:val="24"/>
      <w:szCs w:val="24"/>
    </w:rPr>
  </w:style>
  <w:style w:type="paragraph" w:styleId="1065">
    <w:name w:val="table_1stline"/>
    <w:basedOn w:val="957"/>
    <w:next w:val="1065"/>
    <w:link w:val="957"/>
    <w:pPr>
      <w:jc w:val="left"/>
      <w:spacing w:before="120"/>
      <w:widowControl/>
    </w:pPr>
    <w:rPr>
      <w:bCs/>
      <w:sz w:val="20"/>
      <w:szCs w:val="20"/>
      <w:lang w:val="de-DE" w:eastAsia="de-DE"/>
    </w:rPr>
  </w:style>
  <w:style w:type="paragraph" w:styleId="1066">
    <w:name w:val="font5"/>
    <w:basedOn w:val="957"/>
    <w:next w:val="1066"/>
    <w:link w:val="957"/>
    <w:pPr>
      <w:jc w:val="left"/>
      <w:spacing w:before="100" w:beforeAutospacing="1" w:after="100" w:afterAutospacing="1"/>
      <w:widowControl/>
    </w:pPr>
    <w:rPr>
      <w:rFonts w:hint="eastAsia" w:ascii="宋体" w:hAnsi="宋体"/>
      <w:sz w:val="28"/>
      <w:szCs w:val="28"/>
    </w:rPr>
  </w:style>
  <w:style w:type="paragraph" w:styleId="1067">
    <w:name w:val="标题1"/>
    <w:basedOn w:val="957"/>
    <w:next w:val="957"/>
    <w:link w:val="95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8">
    <w:name w:val="修订"/>
    <w:next w:val="1068"/>
    <w:link w:val="957"/>
    <w:uiPriority w:val="99"/>
    <w:semiHidden/>
    <w:rPr>
      <w:rFonts w:ascii="Times New Roman" w:hAnsi="Times New Roman"/>
      <w:sz w:val="21"/>
      <w:szCs w:val="21"/>
      <w:lang w:val="en-US" w:eastAsia="zh-CN" w:bidi="ar-SA"/>
    </w:rPr>
  </w:style>
  <w:style w:type="paragraph" w:styleId="1069">
    <w:name w:val="无间隔"/>
    <w:next w:val="1069"/>
    <w:link w:val="957"/>
    <w:uiPriority w:val="99"/>
    <w:qFormat/>
    <w:pPr>
      <w:jc w:val="both"/>
      <w:widowControl w:val="off"/>
    </w:pPr>
    <w:rPr>
      <w:rFonts w:ascii="Times New Roman" w:hAnsi="Times New Roman"/>
      <w:sz w:val="21"/>
      <w:szCs w:val="21"/>
      <w:lang w:val="en-US" w:eastAsia="zh-CN" w:bidi="ar-SA"/>
    </w:r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8</cp:revision>
  <dcterms:created xsi:type="dcterms:W3CDTF">2023-03-16T02:16:00Z</dcterms:created>
  <dcterms:modified xsi:type="dcterms:W3CDTF">2026-08-18T01:55:01Z</dcterms:modified>
</cp:coreProperties>
</file>