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8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85"/>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吴江区公安电子数据作战平台建设（一期）项目</w:t>
      </w:r>
      <w:r>
        <w:rPr>
          <w:rFonts w:ascii="Arial" w:hAnsi="Arial"/>
          <w:b/>
          <w:bCs/>
          <w:sz w:val="32"/>
          <w:szCs w:val="24"/>
        </w:rPr>
      </w:r>
      <w:r/>
    </w:p>
    <w:p>
      <w:pPr>
        <w:pStyle w:val="885"/>
        <w:jc w:val="left"/>
        <w:spacing w:before="120" w:after="120" w:line="360" w:lineRule="auto"/>
        <w:rPr>
          <w:b/>
          <w:sz w:val="30"/>
          <w:szCs w:val="30"/>
        </w:rPr>
      </w:pPr>
      <w:r>
        <w:rPr>
          <w:rFonts w:hint="eastAsia" w:ascii="Arial" w:hAnsi="Arial"/>
          <w:b/>
          <w:bCs/>
          <w:sz w:val="32"/>
          <w:szCs w:val="24"/>
        </w:rPr>
        <w:t xml:space="preserve">项目编号：</w:t>
      </w:r>
      <w:r>
        <w:rPr>
          <w:b/>
          <w:sz w:val="30"/>
          <w:szCs w:val="30"/>
        </w:rPr>
        <w:t xml:space="preserve">JSZC-320509-JZCG-C2026-0028</w:t>
      </w:r>
      <w:r>
        <w:rPr>
          <w:b/>
          <w:sz w:val="30"/>
          <w:szCs w:val="30"/>
        </w:rPr>
      </w:r>
      <w:r/>
    </w:p>
    <w:p>
      <w:pPr>
        <w:pStyle w:val="885"/>
        <w:jc w:val="left"/>
        <w:spacing w:before="120" w:after="120" w:line="360" w:lineRule="auto"/>
        <w:rPr>
          <w:rFonts w:hint="eastAsia"/>
          <w:b/>
          <w:sz w:val="30"/>
          <w:szCs w:val="30"/>
        </w:rPr>
      </w:pPr>
      <w:r>
        <w:rPr>
          <w:rFonts w:hint="eastAsia"/>
          <w:b/>
          <w:sz w:val="30"/>
          <w:szCs w:val="30"/>
        </w:rPr>
        <w:t xml:space="preserve">采购类别：</w:t>
      </w:r>
      <w:r>
        <w:rPr>
          <w:rFonts w:hint="eastAsia"/>
          <w:b/>
          <w:sz w:val="30"/>
          <w:szCs w:val="30"/>
        </w:rPr>
        <w:t xml:space="preserve">服务类</w:t>
      </w:r>
      <w:r>
        <w:rPr>
          <w:rFonts w:hint="eastAsia"/>
          <w:b/>
          <w:sz w:val="30"/>
          <w:szCs w:val="30"/>
        </w:rPr>
      </w:r>
      <w:r/>
    </w:p>
    <w:p>
      <w:pPr>
        <w:pStyle w:val="964"/>
        <w:rPr>
          <w:rFonts w:hint="eastAsia"/>
        </w:rPr>
      </w:pPr>
      <w:r>
        <w:rPr>
          <w:rFonts w:hint="eastAsia"/>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pStyle w:val="885"/>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6年9</w:t>
      </w:r>
      <w:r>
        <w:rPr>
          <w:rFonts w:hint="eastAsia" w:ascii="Arial" w:hAnsi="Arial"/>
          <w:b/>
          <w:bCs/>
          <w:sz w:val="32"/>
          <w:szCs w:val="24"/>
        </w:rPr>
        <w:t xml:space="preserve">月</w:t>
      </w:r>
      <w:r/>
    </w:p>
    <w:p>
      <w:pPr>
        <w:pStyle w:val="88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85"/>
        <w:jc w:val="center"/>
        <w:spacing w:before="120" w:after="120" w:line="360" w:lineRule="auto"/>
        <w:rPr>
          <w:rFonts w:hint="eastAsia" w:ascii="Arial" w:hAnsi="Arial"/>
          <w:sz w:val="24"/>
          <w:szCs w:val="24"/>
        </w:rPr>
      </w:pPr>
      <w:r>
        <w:rPr>
          <w:rFonts w:hint="eastAsia" w:ascii="Arial" w:hAnsi="Arial"/>
          <w:sz w:val="24"/>
          <w:szCs w:val="24"/>
        </w:rPr>
      </w:r>
      <w:r/>
    </w:p>
    <w:p>
      <w:pPr>
        <w:pStyle w:val="885"/>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sz w:val="44"/>
          <w:szCs w:val="21"/>
        </w:rPr>
        <w:t xml:space="preserve">总  目  录</w:t>
      </w:r>
      <w:r/>
    </w:p>
    <w:p>
      <w:pPr>
        <w:pStyle w:val="88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8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rPr>
          <w:rFonts w:hint="eastAsia" w:ascii="黑体" w:hAnsi="Showcard Gothic" w:eastAsia="黑体"/>
          <w:sz w:val="32"/>
          <w:szCs w:val="21"/>
        </w:rPr>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……………………………………25</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………………………42</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………………………………47</w:t>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885"/>
        <w:ind w:firstLine="240"/>
        <w:jc w:val="left"/>
        <w:spacing w:before="120" w:after="120" w:line="360" w:lineRule="auto"/>
        <w:rPr>
          <w:rFonts w:ascii="宋体" w:hAnsi="宋体"/>
          <w:sz w:val="24"/>
          <w:szCs w:val="24"/>
        </w:rPr>
      </w:pPr>
      <w:r>
        <w:rPr>
          <w:rFonts w:hint="eastAsia" w:ascii="宋体" w:hAnsi="宋体"/>
          <w:sz w:val="24"/>
          <w:szCs w:val="24"/>
        </w:rPr>
        <w:t xml:space="preserve">  受</w:t>
      </w:r>
      <w:r>
        <w:rPr>
          <w:rFonts w:hint="eastAsia" w:ascii="宋体" w:hAnsi="宋体"/>
          <w:sz w:val="24"/>
          <w:szCs w:val="24"/>
          <w:u w:val="single"/>
        </w:rPr>
        <w:t xml:space="preserve">苏州市公安局吴江分局</w:t>
      </w:r>
      <w:r>
        <w:rPr>
          <w:rFonts w:hint="eastAsia" w:ascii="宋体" w:hAnsi="宋体"/>
          <w:sz w:val="24"/>
          <w:szCs w:val="24"/>
        </w:rPr>
        <w:t xml:space="preserve">的委托，苏州市公共资源交易中心吴江分中心就 </w:t>
      </w:r>
      <w:r>
        <w:rPr>
          <w:rFonts w:ascii="宋体" w:hAnsi="宋体"/>
          <w:sz w:val="24"/>
          <w:szCs w:val="24"/>
          <w:u w:val="single"/>
        </w:rPr>
        <w:t xml:space="preserve">吴江区公安电子数据作战平台建设（一期）项目</w:t>
      </w:r>
      <w:r>
        <w:rPr>
          <w:rFonts w:hint="eastAsia" w:ascii="宋体" w:hAnsi="宋体"/>
          <w:sz w:val="24"/>
          <w:szCs w:val="24"/>
        </w:rPr>
        <w:t xml:space="preserve">进行竞争性磋商采购，欢迎符合条件的供应商参加磋商。</w:t>
      </w:r>
      <w:r>
        <w:rPr>
          <w:rFonts w:ascii="宋体" w:hAnsi="宋体"/>
          <w:sz w:val="24"/>
          <w:szCs w:val="24"/>
        </w:rPr>
      </w:r>
      <w:r/>
    </w:p>
    <w:p>
      <w:pPr>
        <w:pStyle w:val="885"/>
        <w:ind w:firstLine="480"/>
        <w:rPr>
          <w:rFonts w:hint="eastAsia" w:ascii="Arial" w:hAnsi="Arial"/>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Arial" w:hAnsi="Arial"/>
          <w:b/>
          <w:bCs/>
          <w:sz w:val="24"/>
          <w:szCs w:val="24"/>
        </w:rPr>
      </w:r>
      <w:r/>
    </w:p>
    <w:p>
      <w:pPr>
        <w:pStyle w:val="88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吴江区公安电子数据作战平台建设（一期）项目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年9月16日 13点30分（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85"/>
        <w:ind w:firstLine="498"/>
        <w:keepLines/>
        <w:keepNext/>
        <w:spacing w:before="120" w:after="120" w:line="360" w:lineRule="auto"/>
        <w:rPr>
          <w:b/>
          <w:bCs/>
          <w:sz w:val="32"/>
          <w:szCs w:val="32"/>
        </w:rPr>
        <w:outlineLvl w:val="2"/>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85"/>
        <w:ind w:firstLine="480"/>
        <w:rPr>
          <w:rFonts w:hint="eastAsia" w:ascii="宋体" w:hAnsi="宋体"/>
          <w:sz w:val="24"/>
          <w:szCs w:val="24"/>
        </w:rPr>
      </w:pPr>
      <w:r>
        <w:rPr>
          <w:rFonts w:hint="eastAsia" w:ascii="宋体" w:hAnsi="宋体"/>
          <w:sz w:val="24"/>
          <w:szCs w:val="24"/>
        </w:rPr>
        <w:t xml:space="preserve">项目编号： </w:t>
      </w:r>
      <w:r>
        <w:rPr>
          <w:rFonts w:ascii="宋体" w:hAnsi="宋体"/>
          <w:sz w:val="24"/>
          <w:szCs w:val="24"/>
        </w:rPr>
        <w:t xml:space="preserve">JSZC-</w:t>
      </w:r>
      <w:r>
        <w:rPr>
          <w:rFonts w:ascii="宋体" w:hAnsi="宋体"/>
          <w:sz w:val="24"/>
          <w:szCs w:val="24"/>
        </w:rPr>
        <w:t xml:space="preserve">320509-JZCG-C2026-0028</w:t>
      </w:r>
      <w:r>
        <w:rPr>
          <w:rFonts w:hint="eastAsia"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项目名称： </w:t>
      </w:r>
      <w:bookmarkEnd w:id="11"/>
      <w:r>
        <w:rPr>
          <w:rFonts w:ascii="宋体" w:hAnsi="宋体"/>
          <w:sz w:val="24"/>
          <w:szCs w:val="24"/>
        </w:rPr>
        <w:t xml:space="preserve">吴江区公安电子数据作战平台建设（一期）项目</w:t>
      </w:r>
      <w:r>
        <w:rPr>
          <w:rFonts w:hint="eastAsia" w:ascii="宋体" w:hAnsi="宋体"/>
          <w:sz w:val="24"/>
          <w:szCs w:val="24"/>
        </w:rPr>
      </w:r>
      <w:r/>
    </w:p>
    <w:p>
      <w:pPr>
        <w:pStyle w:val="885"/>
        <w:ind w:firstLine="480"/>
        <w:rPr>
          <w:rFonts w:ascii="宋体" w:hAnsi="宋体"/>
          <w:sz w:val="24"/>
          <w:szCs w:val="24"/>
        </w:rPr>
      </w:pPr>
      <w:r>
        <w:rPr>
          <w:rFonts w:hint="eastAsia" w:ascii="宋体" w:hAnsi="宋体"/>
          <w:sz w:val="24"/>
          <w:szCs w:val="24"/>
        </w:rPr>
        <w:t xml:space="preserve">预算金额： </w:t>
      </w:r>
      <w:r>
        <w:rPr>
          <w:rFonts w:ascii="宋体" w:hAnsi="宋体"/>
          <w:sz w:val="24"/>
          <w:szCs w:val="24"/>
        </w:rPr>
        <w:t xml:space="preserve">124.9 万元</w:t>
      </w:r>
      <w:r>
        <w:rPr>
          <w:rFonts w:ascii="宋体" w:hAnsi="宋体"/>
          <w:sz w:val="24"/>
          <w:szCs w:val="24"/>
        </w:rPr>
      </w:r>
      <w:r/>
    </w:p>
    <w:p>
      <w:pPr>
        <w:pStyle w:val="885"/>
        <w:ind w:firstLine="480"/>
        <w:rPr>
          <w:rFonts w:ascii="宋体" w:hAnsi="宋体"/>
          <w:sz w:val="24"/>
          <w:szCs w:val="24"/>
        </w:rPr>
      </w:pPr>
      <w:r>
        <w:rPr>
          <w:rFonts w:hint="eastAsia" w:ascii="宋体" w:hAnsi="宋体"/>
          <w:sz w:val="24"/>
          <w:szCs w:val="24"/>
        </w:rPr>
        <w:t xml:space="preserve">最高限价： </w:t>
      </w:r>
      <w:r>
        <w:rPr>
          <w:rFonts w:ascii="宋体" w:hAnsi="宋体"/>
          <w:sz w:val="24"/>
          <w:szCs w:val="24"/>
        </w:rPr>
        <w:t xml:space="preserve">124.9 万元</w:t>
      </w:r>
      <w:r>
        <w:rPr>
          <w:rFonts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采购方式：竞争性磋商</w:t>
      </w:r>
      <w:r/>
    </w:p>
    <w:p>
      <w:pPr>
        <w:pStyle w:val="885"/>
        <w:ind w:firstLine="480"/>
        <w:rPr>
          <w:rFonts w:hint="eastAsia" w:ascii="PingFang SC" w:hAnsi="PingFang SC" w:cs="PingFang SC"/>
          <w:sz w:val="24"/>
          <w:szCs w:val="24"/>
          <w:shd w:val="clear" w:color="auto" w:fill="ffffff"/>
        </w:rPr>
      </w:pPr>
      <w:r>
        <w:rPr>
          <w:rFonts w:hint="eastAsia" w:ascii="宋体" w:hAnsi="宋体"/>
          <w:sz w:val="24"/>
          <w:szCs w:val="24"/>
        </w:rPr>
        <w:t xml:space="preserve">采购需求： </w:t>
      </w:r>
      <w:r>
        <w:rPr>
          <w:rFonts w:ascii="宋体" w:hAnsi="宋体"/>
          <w:sz w:val="24"/>
          <w:szCs w:val="24"/>
        </w:rPr>
        <w:t xml:space="preserve">吴江区公安电子数据作战平台</w:t>
      </w:r>
      <w:r>
        <w:rPr>
          <w:rFonts w:hint="eastAsia" w:ascii="宋体" w:hAnsi="宋体"/>
          <w:sz w:val="24"/>
          <w:szCs w:val="24"/>
        </w:rPr>
        <w:t xml:space="preserve">的软件开发</w:t>
      </w:r>
      <w:r>
        <w:rPr>
          <w:rFonts w:ascii="宋体" w:hAnsi="宋体"/>
          <w:sz w:val="24"/>
          <w:szCs w:val="24"/>
        </w:rPr>
        <w:t xml:space="preserve">建设</w:t>
      </w:r>
      <w:r>
        <w:rPr>
          <w:rFonts w:hint="eastAsia" w:ascii="宋体" w:hAnsi="宋体"/>
          <w:sz w:val="24"/>
          <w:szCs w:val="24"/>
        </w:rPr>
        <w:t xml:space="preserve">，包括</w:t>
      </w:r>
      <w:r>
        <w:rPr>
          <w:rFonts w:ascii="宋体" w:hAnsi="宋体"/>
          <w:sz w:val="24"/>
          <w:szCs w:val="24"/>
        </w:rPr>
        <w:t xml:space="preserve">电子数据汇聚管理系统</w:t>
      </w:r>
      <w:r>
        <w:rPr>
          <w:rFonts w:hint="eastAsia" w:ascii="宋体" w:hAnsi="宋体"/>
          <w:sz w:val="24"/>
          <w:szCs w:val="24"/>
        </w:rPr>
        <w:t xml:space="preserve">与</w:t>
      </w:r>
      <w:r>
        <w:rPr>
          <w:rFonts w:hint="eastAsia" w:ascii="宋体" w:hAnsi="Courier New" w:cs="Courier New"/>
          <w:sz w:val="24"/>
          <w:szCs w:val="24"/>
        </w:rPr>
        <w:t xml:space="preserve">电子数据分析研判系统。</w:t>
      </w:r>
      <w:r>
        <w:rPr>
          <w:rFonts w:hint="eastAsia" w:ascii="PingFang SC" w:hAnsi="PingFang SC" w:cs="PingFang SC"/>
          <w:sz w:val="24"/>
          <w:szCs w:val="24"/>
          <w:shd w:val="clear" w:color="auto" w:fill="ffffff"/>
        </w:rPr>
      </w:r>
      <w:r/>
    </w:p>
    <w:p>
      <w:pPr>
        <w:pStyle w:val="885"/>
        <w:ind w:firstLine="480"/>
        <w:rPr>
          <w:rStyle w:val="962"/>
        </w:rPr>
      </w:pPr>
      <w:r>
        <w:rPr>
          <w:rFonts w:hint="eastAsia" w:ascii="宋体" w:hAnsi="宋体"/>
          <w:sz w:val="24"/>
          <w:szCs w:val="24"/>
        </w:rPr>
        <w:t xml:space="preserve">合同履行期限：</w:t>
      </w:r>
      <w:r>
        <w:rPr>
          <w:rStyle w:val="962"/>
        </w:rPr>
        <w:t xml:space="preserve">合同签订后，供应商应在90个日历日内完成系统开发、安装、调试并上线试运行（试运行三个月），试运行后正式上线交付使用。</w:t>
      </w:r>
      <w:r>
        <w:rPr>
          <w:rStyle w:val="962"/>
        </w:rPr>
      </w:r>
      <w:r/>
    </w:p>
    <w:p>
      <w:pPr>
        <w:pStyle w:val="964"/>
        <w:ind w:firstLine="420"/>
      </w:pPr>
      <w:r>
        <w:rPr>
          <w:rFonts w:hint="eastAsia"/>
        </w:rPr>
        <w:t xml:space="preserve">本项目（是/否）接受联合体投标：不接受联合体</w:t>
      </w:r>
      <w:r/>
    </w:p>
    <w:p>
      <w:pPr>
        <w:pStyle w:val="964"/>
        <w:ind w:firstLine="420"/>
        <w:rPr>
          <w:rFonts w:hint="eastAsia"/>
        </w:rPr>
      </w:pPr>
      <w:r>
        <w:rPr>
          <w:rFonts w:hint="eastAsia"/>
        </w:rPr>
        <w:t xml:space="preserve">本项目不接受进口产品投标（接受/不接受）</w:t>
      </w:r>
      <w:r/>
    </w:p>
    <w:p>
      <w:pPr>
        <w:pStyle w:val="964"/>
        <w:ind w:firstLine="420"/>
        <w:rPr>
          <w:rFonts w:hint="eastAsia"/>
        </w:rPr>
      </w:pPr>
      <w:r>
        <w:rPr>
          <w:rFonts w:hint="eastAsia"/>
        </w:rPr>
        <w:t xml:space="preserve">采购</w:t>
      </w:r>
      <w:r>
        <w:rPr>
          <w:rFonts w:hint="eastAsia"/>
        </w:rPr>
        <w:t xml:space="preserve">标的对应的中小企业划分标准所属行业：软件和信息技术服务业</w:t>
      </w:r>
      <w:r/>
    </w:p>
    <w:p>
      <w:pPr>
        <w:pStyle w:val="964"/>
        <w:rPr>
          <w:rFonts w:hint="eastAsia"/>
        </w:rPr>
      </w:pPr>
      <w:r>
        <w:rPr>
          <w:rFonts w:hint="eastAsia"/>
        </w:rPr>
      </w:r>
      <w:r/>
    </w:p>
    <w:p>
      <w:pPr>
        <w:pStyle w:val="885"/>
        <w:ind w:firstLine="498"/>
        <w:keepLines/>
        <w:keepNext/>
        <w:spacing w:before="120" w:after="120" w:line="360" w:lineRule="auto"/>
        <w:rPr>
          <w:b/>
          <w:bCs/>
          <w:sz w:val="32"/>
          <w:szCs w:val="32"/>
        </w:rPr>
        <w:outlineLvl w:val="2"/>
      </w:pPr>
      <w:r/>
      <w:bookmarkStart w:id="12" w:name="_Toc28359080"/>
      <w:r/>
      <w:bookmarkStart w:id="13" w:name="_Toc35393622"/>
      <w:r/>
      <w:bookmarkStart w:id="14" w:name="_Toc28359003"/>
      <w:r/>
      <w:bookmarkStart w:id="15" w:name="_Toc38985264"/>
      <w:r/>
      <w:bookmarkStart w:id="16" w:name="_Toc35393791"/>
      <w:r/>
      <w:bookmarkStart w:id="17" w:name="_Toc28359085"/>
      <w:r/>
      <w:bookmarkStart w:id="18" w:name="_Toc35393627"/>
      <w:r/>
      <w:bookmarkStart w:id="19" w:name="_Toc28359008"/>
      <w:r/>
      <w:bookmarkStart w:id="20" w:name="_Toc35393796"/>
      <w:r/>
      <w:bookmarkStart w:id="21" w:name="_Toc38985269"/>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85"/>
        <w:ind w:firstLine="480"/>
        <w:spacing w:line="360" w:lineRule="auto"/>
        <w:rPr>
          <w:rFonts w:ascii="宋体" w:hAnsi="宋体"/>
          <w:sz w:val="24"/>
          <w:szCs w:val="24"/>
        </w:rPr>
      </w:pPr>
      <w:r/>
      <w:bookmarkStart w:id="22" w:name="_Toc35393623"/>
      <w:r/>
      <w:bookmarkStart w:id="23" w:name="_Toc28359004"/>
      <w:r/>
      <w:bookmarkStart w:id="24" w:name="_Toc38985265"/>
      <w:r/>
      <w:bookmarkStart w:id="25" w:name="_Toc35393792"/>
      <w:r/>
      <w:bookmarkStart w:id="26" w:name="_Toc28359081"/>
      <w:r>
        <w:rPr>
          <w:rFonts w:hint="eastAsia" w:ascii="宋体" w:hAnsi="宋体"/>
          <w:sz w:val="24"/>
          <w:szCs w:val="24"/>
        </w:rPr>
        <w:t xml:space="preserve">（一）通用资格要求：</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025</w:t>
      </w:r>
      <w:r>
        <w:rPr>
          <w:rFonts w:hint="eastAsia" w:ascii="宋体" w:hAnsi="宋体"/>
          <w:sz w:val="24"/>
          <w:szCs w:val="24"/>
        </w:rPr>
        <w:t xml:space="preserve">年度经审计的财务报告或投标截止前六个月内银行金融机构出具的资信证明；</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w:t>
      </w:r>
      <w:r>
        <w:rPr>
          <w:rFonts w:hint="eastAsia" w:ascii="宋体" w:hAnsi="宋体"/>
          <w:sz w:val="24"/>
          <w:szCs w:val="24"/>
        </w:rPr>
        <w:t xml:space="preserve">材料；</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rPr>
          <w:rFonts w:ascii="宋体" w:hAnsi="宋体"/>
          <w:sz w:val="24"/>
          <w:szCs w:val="24"/>
        </w:rPr>
      </w:r>
      <w:r/>
    </w:p>
    <w:p>
      <w:pPr>
        <w:pStyle w:val="885"/>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rPr>
          <w:rFonts w:ascii="宋体" w:hAnsi="宋体"/>
          <w:sz w:val="24"/>
          <w:szCs w:val="24"/>
        </w:rPr>
      </w:r>
      <w:r/>
    </w:p>
    <w:p>
      <w:pPr>
        <w:pStyle w:val="885"/>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885"/>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rPr>
          <w:b/>
          <w:bCs/>
          <w:sz w:val="32"/>
          <w:szCs w:val="32"/>
        </w:rPr>
      </w:r>
      <w:r/>
    </w:p>
    <w:p>
      <w:pPr>
        <w:pStyle w:val="885"/>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rPr>
          <w:rFonts w:ascii="宋体" w:hAnsi="宋体" w:cs="宋体"/>
          <w:b/>
          <w:sz w:val="24"/>
          <w:szCs w:val="24"/>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rPr>
          <w:rFonts w:ascii="宋体" w:hAnsi="宋体" w:cs="宋体"/>
          <w:sz w:val="24"/>
          <w:szCs w:val="24"/>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885"/>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四、响应文件提交</w:t>
      </w:r>
      <w:r>
        <w:rPr>
          <w:b/>
          <w:bCs/>
          <w:sz w:val="32"/>
          <w:szCs w:val="32"/>
        </w:rPr>
      </w:r>
      <w:r/>
    </w:p>
    <w:p>
      <w:pPr>
        <w:pStyle w:val="885"/>
        <w:ind w:firstLine="480"/>
        <w:spacing w:line="360" w:lineRule="auto"/>
        <w:rPr>
          <w:rFonts w:ascii="宋体" w:hAnsi="宋体"/>
          <w:bCs/>
          <w:sz w:val="24"/>
          <w:szCs w:val="24"/>
        </w:rPr>
      </w:pPr>
      <w:r>
        <w:rPr>
          <w:rFonts w:hint="eastAsia" w:ascii="宋体" w:hAnsi="宋体"/>
          <w:bCs/>
          <w:sz w:val="24"/>
          <w:szCs w:val="24"/>
        </w:rPr>
        <w:t xml:space="preserve">截止时间：202</w:t>
      </w:r>
      <w:r>
        <w:rPr>
          <w:rFonts w:hint="eastAsia" w:ascii="宋体" w:hAnsi="宋体"/>
          <w:bCs/>
          <w:sz w:val="24"/>
          <w:szCs w:val="24"/>
        </w:rPr>
        <w:t xml:space="preserve">6</w:t>
      </w:r>
      <w:r>
        <w:rPr>
          <w:rFonts w:hint="eastAsia" w:ascii="宋体" w:hAnsi="宋体"/>
          <w:bCs/>
          <w:sz w:val="24"/>
          <w:szCs w:val="24"/>
        </w:rPr>
        <w:t xml:space="preserve">-09</w:t>
      </w:r>
      <w:r>
        <w:rPr>
          <w:rFonts w:hint="eastAsia" w:ascii="宋体" w:hAnsi="宋体"/>
          <w:bCs/>
          <w:sz w:val="24"/>
          <w:szCs w:val="24"/>
        </w:rPr>
        <w:t xml:space="preserve">-16</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rPr>
          <w:rFonts w:ascii="宋体" w:hAnsi="宋体"/>
          <w:bCs/>
          <w:sz w:val="24"/>
          <w:szCs w:val="24"/>
        </w:rPr>
      </w:r>
      <w:r/>
    </w:p>
    <w:p>
      <w:pPr>
        <w:pStyle w:val="885"/>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五、开启</w:t>
      </w:r>
      <w:r>
        <w:rPr>
          <w:b/>
          <w:bCs/>
          <w:sz w:val="32"/>
          <w:szCs w:val="32"/>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时间：202</w:t>
      </w:r>
      <w:r>
        <w:rPr>
          <w:rFonts w:hint="eastAsia" w:ascii="宋体" w:hAnsi="宋体" w:cs="宋体"/>
          <w:sz w:val="24"/>
          <w:szCs w:val="24"/>
        </w:rPr>
        <w:t xml:space="preserve">6</w:t>
      </w:r>
      <w:r>
        <w:rPr>
          <w:rFonts w:hint="eastAsia" w:ascii="宋体" w:hAnsi="宋体" w:cs="宋体"/>
          <w:sz w:val="24"/>
          <w:szCs w:val="24"/>
        </w:rPr>
        <w:t xml:space="preserve">-09</w:t>
      </w:r>
      <w:r>
        <w:rPr>
          <w:rFonts w:hint="eastAsia" w:ascii="宋体" w:hAnsi="宋体" w:cs="宋体"/>
          <w:sz w:val="24"/>
          <w:szCs w:val="24"/>
        </w:rPr>
        <w:t xml:space="preserve">-16</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rPr>
          <w:rFonts w:ascii="宋体" w:hAnsi="宋体" w:cs="宋体"/>
          <w:sz w:val="24"/>
          <w:szCs w:val="24"/>
        </w:rPr>
      </w:r>
      <w:r/>
    </w:p>
    <w:p>
      <w:pPr>
        <w:pStyle w:val="885"/>
        <w:ind w:firstLine="540"/>
        <w:spacing w:line="360" w:lineRule="auto"/>
        <w:rPr>
          <w:b/>
          <w:bCs/>
          <w:sz w:val="32"/>
          <w:szCs w:val="32"/>
        </w:rPr>
      </w:pPr>
      <w:r>
        <w:rPr>
          <w:rFonts w:hint="eastAsia" w:ascii="宋体" w:hAnsi="宋体" w:cs="宋体"/>
          <w:sz w:val="24"/>
          <w:szCs w:val="24"/>
        </w:rPr>
        <w:t xml:space="preserve">地点：</w:t>
      </w:r>
      <w:r>
        <w:rPr>
          <w:rFonts w:ascii="FangSong" w:hAnsi="FangSong" w:eastAsia="FangSong" w:cs="FangSong"/>
          <w:color w:val="000000"/>
          <w:sz w:val="28"/>
        </w:rPr>
        <w:t xml:space="preserve">苏州市吴江区开平路998号3楼不见面开标室6（政府采购）</w:t>
      </w:r>
      <w:r>
        <w:rPr>
          <w:rFonts w:hint="eastAsia" w:ascii="宋体" w:hAnsi="宋体" w:cs="宋体"/>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六、公告期限</w:t>
      </w:r>
      <w:r>
        <w:rPr>
          <w:b/>
          <w:bCs/>
          <w:sz w:val="32"/>
          <w:szCs w:val="32"/>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七、其他补充事宜</w:t>
      </w:r>
      <w:r>
        <w:rPr>
          <w:b/>
          <w:bCs/>
          <w:sz w:val="32"/>
          <w:szCs w:val="32"/>
        </w:rPr>
      </w:r>
      <w:r/>
    </w:p>
    <w:p>
      <w:pPr>
        <w:pStyle w:val="885"/>
        <w:ind w:right="840" w:firstLine="480"/>
        <w:spacing w:line="360" w:lineRule="auto"/>
        <w:rPr>
          <w:rFonts w:hint="eastAsia" w:ascii="宋体" w:hAnsi="宋体"/>
          <w:sz w:val="24"/>
        </w:rPr>
      </w:pPr>
      <w:r>
        <w:rPr>
          <w:rFonts w:hint="eastAsia" w:ascii="宋体" w:hAnsi="宋体"/>
          <w:sz w:val="24"/>
        </w:rPr>
        <w:t xml:space="preserve">1.CA证</w:t>
      </w:r>
      <w:r>
        <w:rPr>
          <w:rFonts w:hint="eastAsia" w:ascii="宋体" w:hAnsi="宋体"/>
          <w:sz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85"/>
        <w:ind w:right="840" w:firstLine="480"/>
        <w:spacing w:line="360" w:lineRule="auto"/>
        <w:rPr>
          <w:rFonts w:hint="eastAsia" w:ascii="宋体" w:hAnsi="宋体"/>
          <w:sz w:val="24"/>
        </w:rPr>
      </w:pPr>
      <w:r>
        <w:rPr>
          <w:rFonts w:hint="eastAsia" w:ascii="宋体" w:hAnsi="宋体"/>
          <w:sz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sz w:val="24"/>
        </w:rPr>
        <w:t xml:space="preserve">，但因供应商资格条件或获取招标文件时间设定不符合有关法律法规规定等原因使供应商权益受损的除外。</w:t>
      </w:r>
      <w:r/>
    </w:p>
    <w:p>
      <w:pPr>
        <w:pStyle w:val="885"/>
        <w:ind w:right="840" w:firstLine="480"/>
        <w:spacing w:line="360" w:lineRule="auto"/>
        <w:rPr>
          <w:rFonts w:hint="eastAsia" w:ascii="宋体" w:hAnsi="宋体"/>
          <w:sz w:val="24"/>
        </w:rPr>
      </w:pPr>
      <w:r>
        <w:rPr>
          <w:rFonts w:hint="eastAsia" w:ascii="宋体" w:hAnsi="宋体"/>
          <w:sz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sz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85"/>
        <w:ind w:right="840" w:firstLine="480"/>
        <w:spacing w:line="360" w:lineRule="auto"/>
        <w:rPr>
          <w:rFonts w:hint="eastAsia" w:ascii="宋体" w:hAnsi="宋体"/>
          <w:sz w:val="24"/>
        </w:rPr>
      </w:pPr>
      <w:r>
        <w:rPr>
          <w:rFonts w:hint="eastAsia" w:ascii="宋体" w:hAnsi="宋体"/>
          <w:sz w:val="24"/>
        </w:rPr>
        <w:t xml:space="preserve">4.有关本次招标的事项若存在变动或修改，敬请及时关注苏州市公共资源交易中心吴江分中心在“江苏政府采购网、苏州市政府采购网”发布的更正公告。</w:t>
      </w:r>
      <w:r/>
    </w:p>
    <w:p>
      <w:pPr>
        <w:pStyle w:val="885"/>
        <w:ind w:right="840" w:firstLine="480"/>
        <w:spacing w:line="360" w:lineRule="auto"/>
        <w:rPr>
          <w:rFonts w:ascii="宋体" w:hAnsi="宋体"/>
          <w:sz w:val="24"/>
          <w:szCs w:val="24"/>
        </w:rPr>
      </w:pPr>
      <w:r>
        <w:rPr>
          <w:rFonts w:hint="eastAsia" w:ascii="宋体" w:hAnsi="宋体"/>
          <w:sz w:val="24"/>
        </w:rPr>
        <w:t xml:space="preserve">5.本</w:t>
      </w:r>
      <w:r>
        <w:rPr>
          <w:rFonts w:hint="eastAsia" w:ascii="宋体" w:hAnsi="宋体"/>
          <w:sz w:val="24"/>
        </w:rPr>
        <w:t xml:space="preserve">次招标不收取投标保证金。</w:t>
      </w:r>
      <w:r>
        <w:rPr>
          <w:rFonts w:ascii="宋体" w:hAnsi="宋体"/>
          <w:sz w:val="24"/>
          <w:szCs w:val="24"/>
        </w:rPr>
      </w:r>
      <w:r/>
    </w:p>
    <w:p>
      <w:pPr>
        <w:pStyle w:val="885"/>
        <w:ind w:firstLine="498"/>
        <w:keepLines/>
        <w:keepNext/>
        <w:spacing w:before="120" w:after="120" w:line="360" w:lineRule="auto"/>
        <w:rPr>
          <w:b/>
          <w:bCs/>
          <w:sz w:val="32"/>
          <w:szCs w:val="32"/>
        </w:rPr>
        <w:outlineLvl w:val="2"/>
      </w:pPr>
      <w:r>
        <w:rPr>
          <w:rFonts w:hint="eastAsia"/>
          <w:b/>
          <w:bCs/>
          <w:sz w:val="32"/>
          <w:szCs w:val="32"/>
        </w:rPr>
        <w:t xml:space="preserve">八、本次磋商联系方式</w:t>
      </w:r>
      <w:bookmarkEnd w:id="17"/>
      <w:r/>
      <w:bookmarkEnd w:id="18"/>
      <w:r/>
      <w:bookmarkEnd w:id="19"/>
      <w:r/>
      <w:bookmarkEnd w:id="20"/>
      <w:r/>
      <w:bookmarkEnd w:id="21"/>
      <w:r>
        <w:rPr>
          <w:b/>
          <w:bCs/>
          <w:sz w:val="32"/>
          <w:szCs w:val="32"/>
        </w:rPr>
      </w:r>
      <w:r/>
    </w:p>
    <w:p>
      <w:pPr>
        <w:pStyle w:val="88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5"/>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苏州市公安局吴江分局</w:t>
      </w:r>
      <w:r>
        <w:rPr>
          <w:rFonts w:hint="eastAsia" w:ascii="宋体" w:hAnsi="宋体"/>
          <w:sz w:val="24"/>
          <w:szCs w:val="24"/>
        </w:rPr>
        <w:t xml:space="preserve"> </w:t>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江苏省苏州市吴江区松陵镇东太湖大道6600号</w:t>
      </w:r>
      <w:r>
        <w:rPr>
          <w:rFonts w:hint="eastAsia" w:ascii="宋体" w:hAnsi="宋体"/>
          <w:sz w:val="24"/>
          <w:szCs w:val="24"/>
        </w:rPr>
        <w:t xml:space="preserve"> </w:t>
      </w:r>
      <w:r>
        <w:rPr>
          <w:rFonts w:ascii="宋体" w:hAnsi="宋体"/>
          <w:sz w:val="24"/>
          <w:szCs w:val="24"/>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t xml:space="preserve">陈万松</w:t>
      </w:r>
      <w:r>
        <w:rPr>
          <w:rFonts w:ascii="宋体" w:hAnsi="宋体"/>
          <w:sz w:val="24"/>
          <w:szCs w:val="24"/>
        </w:rPr>
      </w:r>
      <w:r/>
    </w:p>
    <w:p>
      <w:pPr>
        <w:pStyle w:val="885"/>
        <w:ind w:left="1079" w:hanging="30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7" w:name="_Toc28359086"/>
      <w:r/>
      <w:bookmarkStart w:id="28" w:name="_Toc28359009"/>
      <w:r>
        <w:rPr>
          <w:rFonts w:ascii="宋体" w:hAnsi="宋体"/>
          <w:sz w:val="24"/>
          <w:szCs w:val="24"/>
        </w:rPr>
        <w:t xml:space="preserve">15862588762</w:t>
      </w:r>
      <w:r>
        <w:rPr>
          <w:rFonts w:hint="eastAsia" w:ascii="宋体" w:hAnsi="宋体" w:cs="宋体"/>
          <w:sz w:val="24"/>
          <w:szCs w:val="24"/>
        </w:rPr>
      </w:r>
      <w:r/>
    </w:p>
    <w:p>
      <w:pPr>
        <w:pStyle w:val="885"/>
        <w:ind w:left="1079" w:hanging="300"/>
        <w:jc w:val="left"/>
        <w:spacing w:line="360" w:lineRule="auto"/>
        <w:rPr>
          <w:rFonts w:ascii="宋体" w:hAnsi="宋体"/>
          <w:sz w:val="24"/>
          <w:szCs w:val="24"/>
        </w:rPr>
      </w:pPr>
      <w:r/>
      <w:bookmarkEnd w:id="27"/>
      <w:r/>
      <w:bookmarkEnd w:id="28"/>
      <w:r>
        <w:rPr>
          <w:rFonts w:hint="eastAsia" w:ascii="宋体" w:hAnsi="宋体" w:cs="宋体"/>
          <w:sz w:val="24"/>
          <w:szCs w:val="24"/>
        </w:rPr>
        <w:t xml:space="preserve">2.苏州市公共资源交易中心吴江分中心</w:t>
      </w:r>
      <w:r>
        <w:rPr>
          <w:rFonts w:ascii="宋体" w:hAnsi="宋体"/>
          <w:sz w:val="24"/>
          <w:szCs w:val="24"/>
        </w:rPr>
      </w:r>
      <w:r/>
    </w:p>
    <w:p>
      <w:pPr>
        <w:pStyle w:val="885"/>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rPr>
          <w:rFonts w:ascii="宋体" w:hAnsi="宋体"/>
          <w:sz w:val="24"/>
          <w:szCs w:val="24"/>
        </w:rPr>
      </w:r>
      <w:r/>
    </w:p>
    <w:p>
      <w:pPr>
        <w:pStyle w:val="885"/>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w:t>
      </w:r>
      <w:r>
        <w:rPr>
          <w:rFonts w:hint="eastAsia" w:ascii="宋体" w:hAnsi="宋体"/>
          <w:sz w:val="24"/>
          <w:szCs w:val="24"/>
          <w:u w:val="single"/>
        </w:rPr>
        <w:t xml:space="preserve">工</w:t>
      </w:r>
      <w:r>
        <w:rPr>
          <w:rFonts w:ascii="宋体" w:hAnsi="宋体"/>
          <w:sz w:val="24"/>
          <w:szCs w:val="24"/>
        </w:rPr>
      </w:r>
      <w:r/>
    </w:p>
    <w:p>
      <w:pPr>
        <w:pStyle w:val="885"/>
        <w:ind w:firstLine="720"/>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pStyle w:val="885"/>
        <w:ind w:right="840"/>
        <w:rPr>
          <w:rFonts w:hint="eastAsia" w:ascii="宋体" w:hAnsi="宋体"/>
          <w:sz w:val="24"/>
          <w:szCs w:val="24"/>
        </w:rPr>
      </w:pPr>
      <w:r>
        <w:rPr>
          <w:rFonts w:hint="eastAsia" w:ascii="宋体" w:hAnsi="宋体"/>
          <w:sz w:val="24"/>
          <w:szCs w:val="24"/>
        </w:rPr>
      </w:r>
      <w:r/>
    </w:p>
    <w:p>
      <w:pPr>
        <w:pStyle w:val="953"/>
        <w:ind w:firstLine="480"/>
        <w:rPr>
          <w:rFonts w:hint="eastAsia" w:ascii="宋体" w:hAnsi="宋体"/>
          <w:sz w:val="24"/>
          <w:szCs w:val="24"/>
        </w:rPr>
      </w:pPr>
      <w:r>
        <w:rPr>
          <w:rFonts w:hint="eastAsia" w:ascii="宋体" w:hAnsi="宋体"/>
          <w:sz w:val="24"/>
          <w:szCs w:val="24"/>
        </w:rPr>
      </w:r>
      <w:r/>
    </w:p>
    <w:p>
      <w:pPr>
        <w:pStyle w:val="885"/>
        <w:rPr>
          <w:rFonts w:hint="eastAsia" w:ascii="宋体" w:hAnsi="宋体"/>
          <w:sz w:val="24"/>
          <w:szCs w:val="24"/>
        </w:rPr>
      </w:pPr>
      <w:r>
        <w:rPr>
          <w:rFonts w:hint="eastAsia" w:ascii="宋体" w:hAnsi="宋体"/>
          <w:sz w:val="24"/>
          <w:szCs w:val="24"/>
        </w:rPr>
      </w:r>
      <w:r/>
    </w:p>
    <w:p>
      <w:pPr>
        <w:pStyle w:val="953"/>
        <w:ind w:firstLine="600"/>
        <w:rPr>
          <w:rFonts w:hint="eastAsia"/>
        </w:rPr>
      </w:pPr>
      <w:r>
        <w:rPr>
          <w:rFonts w:hint="eastAsia"/>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85"/>
        <w:ind w:firstLine="498"/>
        <w:keepLines/>
        <w:keepNext/>
        <w:spacing w:before="145" w:after="145" w:line="520" w:lineRule="exact"/>
        <w:rPr>
          <w:rFonts w:ascii="宋体" w:hAnsi="宋体"/>
          <w:b/>
          <w:bCs/>
          <w:sz w:val="32"/>
          <w:szCs w:val="32"/>
        </w:rPr>
        <w:outlineLvl w:val="2"/>
      </w:pPr>
      <w:r/>
      <w:bookmarkStart w:id="30" w:name="_Toc513029242"/>
      <w:r/>
      <w:bookmarkStart w:id="31" w:name="_Toc479757207"/>
      <w:r/>
      <w:bookmarkStart w:id="32" w:name="_Toc20823314"/>
      <w:r/>
      <w:bookmarkStart w:id="33" w:name="_Toc120614221"/>
      <w:r/>
      <w:bookmarkStart w:id="34" w:name="_Toc16938558"/>
      <w:r/>
      <w:bookmarkStart w:id="35" w:name="_Toc16938519"/>
      <w:r/>
      <w:bookmarkStart w:id="36" w:name="_Toc20823275"/>
      <w:r/>
      <w:bookmarkStart w:id="37" w:name="_Toc120614214"/>
      <w:r/>
      <w:bookmarkStart w:id="38" w:name="_Toc513029203"/>
      <w:r>
        <w:rPr>
          <w:rFonts w:hint="eastAsia" w:ascii="宋体" w:hAnsi="宋体"/>
          <w:b/>
          <w:bCs/>
          <w:sz w:val="32"/>
          <w:szCs w:val="32"/>
        </w:rPr>
        <w:t xml:space="preserve">一、总则</w:t>
      </w:r>
      <w:bookmarkEnd w:id="35"/>
      <w:r/>
      <w:bookmarkEnd w:id="36"/>
      <w:r/>
      <w:bookmarkEnd w:id="37"/>
      <w:r/>
      <w:bookmarkEnd w:id="38"/>
      <w:r>
        <w:rPr>
          <w:rFonts w:ascii="宋体" w:hAnsi="宋体"/>
          <w:b/>
          <w:bCs/>
          <w:sz w:val="32"/>
          <w:szCs w:val="32"/>
        </w:rPr>
      </w:r>
      <w:r/>
    </w:p>
    <w:p>
      <w:pPr>
        <w:pStyle w:val="885"/>
        <w:ind w:firstLine="420"/>
        <w:keepLines/>
        <w:keepNext/>
        <w:spacing w:line="520" w:lineRule="exact"/>
        <w:rPr>
          <w:rFonts w:ascii="宋体" w:hAnsi="宋体" w:cs="Arial"/>
          <w:sz w:val="28"/>
          <w:szCs w:val="28"/>
        </w:rPr>
        <w:outlineLvl w:val="3"/>
      </w:pPr>
      <w:r/>
      <w:bookmarkStart w:id="39" w:name="_Hlt16619475"/>
      <w:r/>
      <w:bookmarkEnd w:id="39"/>
      <w:r/>
      <w:bookmarkStart w:id="40" w:name="_Toc458694821"/>
      <w:r/>
      <w:bookmarkStart w:id="41" w:name="_Toc20823276"/>
      <w:r/>
      <w:bookmarkStart w:id="42" w:name="_Toc16938520"/>
      <w:r/>
      <w:bookmarkStart w:id="43" w:name="_Toc513029204"/>
      <w:r>
        <w:rPr>
          <w:rFonts w:ascii="宋体" w:hAnsi="宋体" w:cs="Arial"/>
          <w:sz w:val="28"/>
          <w:szCs w:val="28"/>
        </w:rPr>
        <w:t xml:space="preserve">1</w:t>
      </w:r>
      <w:bookmarkEnd w:id="40"/>
      <w:r>
        <w:rPr>
          <w:rFonts w:hint="eastAsia" w:ascii="宋体" w:hAnsi="宋体" w:cs="Arial"/>
          <w:sz w:val="28"/>
          <w:szCs w:val="28"/>
        </w:rPr>
        <w:t xml:space="preserve">、采购方式</w:t>
      </w:r>
      <w:bookmarkEnd w:id="41"/>
      <w:r/>
      <w:bookmarkEnd w:id="42"/>
      <w:r/>
      <w:bookmarkEnd w:id="43"/>
      <w:r>
        <w:rPr>
          <w:rFonts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Start w:id="44" w:name="_Toc20823277"/>
      <w:r/>
      <w:bookmarkStart w:id="45" w:name="_Toc513029205"/>
      <w:r/>
      <w:bookmarkStart w:id="46" w:name="_Toc16938521"/>
      <w:r>
        <w:rPr>
          <w:rFonts w:ascii="宋体" w:hAnsi="宋体" w:cs="Arial"/>
          <w:sz w:val="28"/>
          <w:szCs w:val="28"/>
        </w:rPr>
        <w:t xml:space="preserve">2</w:t>
      </w:r>
      <w:r>
        <w:rPr>
          <w:rFonts w:hint="eastAsia" w:ascii="宋体" w:hAnsi="宋体" w:cs="Arial"/>
          <w:sz w:val="28"/>
          <w:szCs w:val="28"/>
        </w:rPr>
        <w:t xml:space="preserve">、合格的</w:t>
      </w:r>
      <w:bookmarkEnd w:id="44"/>
      <w:r/>
      <w:bookmarkEnd w:id="45"/>
      <w:r/>
      <w:bookmarkEnd w:id="46"/>
      <w:r>
        <w:rPr>
          <w:rFonts w:hint="eastAsia" w:ascii="宋体" w:hAnsi="宋体" w:cs="Arial"/>
          <w:sz w:val="28"/>
          <w:szCs w:val="28"/>
        </w:rPr>
        <w:t xml:space="preserve">供应商</w:t>
      </w:r>
      <w:r/>
    </w:p>
    <w:p>
      <w:pPr>
        <w:pStyle w:val="885"/>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pStyle w:val="885"/>
        <w:ind w:firstLine="420"/>
        <w:keepLines/>
        <w:keepNext/>
        <w:spacing w:line="520" w:lineRule="exact"/>
        <w:rPr>
          <w:rFonts w:hint="eastAsia" w:ascii="宋体" w:hAnsi="宋体" w:cs="Arial"/>
          <w:sz w:val="28"/>
          <w:szCs w:val="28"/>
        </w:rPr>
        <w:outlineLvl w:val="3"/>
      </w:pPr>
      <w:r/>
      <w:bookmarkStart w:id="47" w:name="_Toc16938522"/>
      <w:r/>
      <w:bookmarkStart w:id="48" w:name="_Toc513029206"/>
      <w:r/>
      <w:bookmarkStart w:id="49" w:name="_Toc20823278"/>
      <w:r>
        <w:rPr>
          <w:rFonts w:ascii="宋体" w:hAnsi="宋体" w:cs="Arial"/>
          <w:sz w:val="28"/>
          <w:szCs w:val="28"/>
        </w:rPr>
        <w:t xml:space="preserve">3</w:t>
      </w:r>
      <w:r>
        <w:rPr>
          <w:rFonts w:hint="eastAsia" w:ascii="宋体" w:hAnsi="宋体" w:cs="Arial"/>
          <w:sz w:val="28"/>
          <w:szCs w:val="28"/>
        </w:rPr>
        <w:t xml:space="preserve">、适用法律</w:t>
      </w:r>
      <w:bookmarkEnd w:id="47"/>
      <w:r/>
      <w:bookmarkEnd w:id="48"/>
      <w:r/>
      <w:bookmarkEnd w:id="49"/>
      <w:r>
        <w:rPr>
          <w:rFonts w:hint="eastAsia" w:ascii="宋体" w:hAnsi="宋体" w:cs="Arial"/>
          <w:sz w:val="28"/>
          <w:szCs w:val="28"/>
        </w:rPr>
      </w:r>
      <w:r/>
    </w:p>
    <w:p>
      <w:pPr>
        <w:pStyle w:val="885"/>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Start w:id="50" w:name="_Toc16938523"/>
      <w:r/>
      <w:bookmarkStart w:id="51" w:name="_Toc513029207"/>
      <w:r/>
      <w:bookmarkStart w:id="52" w:name="_Toc20823279"/>
      <w:r/>
      <w:bookmarkStart w:id="53" w:name="_Toc462564067"/>
      <w:r>
        <w:rPr>
          <w:rFonts w:ascii="宋体" w:hAnsi="宋体" w:cs="Arial"/>
          <w:sz w:val="28"/>
          <w:szCs w:val="28"/>
        </w:rPr>
        <w:t xml:space="preserve">4</w:t>
      </w:r>
      <w:r>
        <w:rPr>
          <w:rFonts w:hint="eastAsia" w:ascii="宋体" w:hAnsi="宋体" w:cs="Arial"/>
          <w:sz w:val="28"/>
          <w:szCs w:val="28"/>
        </w:rPr>
        <w:t xml:space="preserve">、磋商费用</w:t>
      </w:r>
      <w:bookmarkEnd w:id="50"/>
      <w:r/>
      <w:bookmarkEnd w:id="51"/>
      <w:r/>
      <w:bookmarkEnd w:id="52"/>
      <w:r/>
      <w:bookmarkEnd w:id="53"/>
      <w:r>
        <w:rPr>
          <w:rFonts w:hint="eastAsia" w:ascii="宋体" w:hAnsi="宋体" w:cs="Arial"/>
          <w:sz w:val="28"/>
          <w:szCs w:val="28"/>
        </w:rPr>
      </w:r>
      <w:r/>
    </w:p>
    <w:p>
      <w:pPr>
        <w:pStyle w:val="885"/>
        <w:ind w:firstLine="480"/>
        <w:spacing w:line="520" w:lineRule="exact"/>
        <w:rPr>
          <w:rFonts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rPr>
          <w:rFonts w:ascii="宋体" w:hAnsi="宋体"/>
          <w:bCs/>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w:t>
      </w:r>
      <w:r>
        <w:rPr>
          <w:rFonts w:hint="eastAsia" w:ascii="宋体" w:hAnsi="宋体"/>
          <w:sz w:val="24"/>
          <w:szCs w:val="21"/>
        </w:rPr>
        <w:t xml:space="preserve">收取磋商文件工本费与成交服务费。</w:t>
      </w:r>
      <w:r/>
    </w:p>
    <w:p>
      <w:pPr>
        <w:pStyle w:val="885"/>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pStyle w:val="885"/>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85"/>
        <w:ind w:firstLine="321"/>
        <w:keepLines/>
        <w:keepNext/>
        <w:spacing w:before="145" w:after="145" w:line="520" w:lineRule="exact"/>
        <w:rPr>
          <w:rFonts w:hint="eastAsia" w:ascii="宋体" w:hAnsi="宋体"/>
          <w:b/>
          <w:bCs/>
          <w:sz w:val="32"/>
          <w:szCs w:val="32"/>
        </w:rPr>
        <w:outlineLvl w:val="2"/>
      </w:pPr>
      <w:r/>
      <w:bookmarkStart w:id="54" w:name="_Toc16938525"/>
      <w:r/>
      <w:bookmarkStart w:id="55" w:name="_Toc20823281"/>
      <w:r/>
      <w:bookmarkStart w:id="56" w:name="_Toc513029209"/>
      <w:r/>
      <w:bookmarkStart w:id="57" w:name="_Toc120614215"/>
      <w:r>
        <w:rPr>
          <w:rFonts w:hint="eastAsia" w:ascii="宋体" w:hAnsi="宋体"/>
          <w:b/>
          <w:bCs/>
          <w:sz w:val="32"/>
          <w:szCs w:val="32"/>
        </w:rPr>
        <w:t xml:space="preserve">二、</w:t>
      </w:r>
      <w:bookmarkEnd w:id="54"/>
      <w:r/>
      <w:bookmarkEnd w:id="55"/>
      <w:r/>
      <w:bookmarkEnd w:id="56"/>
      <w:r/>
      <w:bookmarkEnd w:id="57"/>
      <w:r>
        <w:rPr>
          <w:rFonts w:hint="eastAsia" w:ascii="宋体" w:hAnsi="宋体"/>
          <w:b/>
          <w:bCs/>
          <w:sz w:val="32"/>
          <w:szCs w:val="32"/>
        </w:rPr>
        <w:t xml:space="preserve">磋商文件</w:t>
      </w:r>
      <w:r/>
    </w:p>
    <w:p>
      <w:pPr>
        <w:pStyle w:val="885"/>
        <w:ind w:firstLine="420"/>
        <w:keepLines/>
        <w:keepNext/>
        <w:spacing w:line="520" w:lineRule="exact"/>
        <w:rPr>
          <w:rFonts w:ascii="宋体" w:hAnsi="宋体" w:cs="Arial"/>
          <w:sz w:val="28"/>
          <w:szCs w:val="28"/>
        </w:rPr>
        <w:outlineLvl w:val="3"/>
      </w:pPr>
      <w:r/>
      <w:bookmarkStart w:id="58" w:name="_Toc16938526"/>
      <w:r/>
      <w:bookmarkStart w:id="59" w:name="_Toc513029210"/>
      <w:r/>
      <w:bookmarkStart w:id="60" w:name="_Toc20823282"/>
      <w:r>
        <w:rPr>
          <w:rFonts w:ascii="宋体" w:hAnsi="宋体" w:cs="Arial"/>
          <w:sz w:val="28"/>
          <w:szCs w:val="28"/>
        </w:rPr>
        <w:t xml:space="preserve">6</w:t>
      </w:r>
      <w:r>
        <w:rPr>
          <w:rFonts w:hint="eastAsia" w:ascii="宋体" w:hAnsi="宋体" w:cs="Arial"/>
          <w:sz w:val="28"/>
          <w:szCs w:val="28"/>
        </w:rPr>
        <w:t xml:space="preserve">、磋商文件构成</w:t>
      </w:r>
      <w:bookmarkEnd w:id="58"/>
      <w:r/>
      <w:bookmarkEnd w:id="59"/>
      <w:r/>
      <w:bookmarkEnd w:id="60"/>
      <w:r>
        <w:rPr>
          <w:rFonts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85"/>
        <w:ind w:firstLine="360"/>
        <w:spacing w:line="520" w:lineRule="exact"/>
        <w:rPr>
          <w:rFonts w:hint="eastAsia" w:ascii="宋体" w:hAnsi="宋体"/>
          <w:sz w:val="24"/>
          <w:szCs w:val="24"/>
        </w:rPr>
      </w:pPr>
      <w:r>
        <w:rPr>
          <w:rFonts w:hint="eastAsia" w:ascii="宋体" w:hAnsi="宋体"/>
          <w:sz w:val="24"/>
          <w:szCs w:val="24"/>
        </w:rPr>
        <w:t xml:space="preserve">（1）磋商邀请</w:t>
      </w:r>
      <w:r/>
    </w:p>
    <w:p>
      <w:pPr>
        <w:pStyle w:val="885"/>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pStyle w:val="885"/>
        <w:ind w:firstLine="360"/>
        <w:spacing w:line="520" w:lineRule="exact"/>
        <w:rPr>
          <w:rFonts w:hint="eastAsia" w:ascii="宋体" w:hAnsi="宋体"/>
          <w:sz w:val="24"/>
          <w:szCs w:val="24"/>
        </w:rPr>
      </w:pPr>
      <w:r>
        <w:rPr>
          <w:rFonts w:hint="eastAsia" w:ascii="宋体" w:hAnsi="宋体"/>
          <w:sz w:val="24"/>
          <w:szCs w:val="24"/>
        </w:rPr>
        <w:t xml:space="preserve">（3）合同文本</w:t>
      </w:r>
      <w:r/>
    </w:p>
    <w:p>
      <w:pPr>
        <w:pStyle w:val="885"/>
        <w:ind w:firstLine="360"/>
        <w:spacing w:line="520" w:lineRule="exact"/>
        <w:rPr>
          <w:rFonts w:hint="eastAsia" w:ascii="宋体" w:hAnsi="宋体"/>
          <w:sz w:val="24"/>
          <w:szCs w:val="24"/>
        </w:rPr>
      </w:pPr>
      <w:r>
        <w:rPr>
          <w:rFonts w:hint="eastAsia" w:ascii="宋体" w:hAnsi="宋体"/>
          <w:sz w:val="24"/>
          <w:szCs w:val="24"/>
        </w:rPr>
        <w:t xml:space="preserve">（4）采购需求</w:t>
      </w:r>
      <w:r/>
    </w:p>
    <w:p>
      <w:pPr>
        <w:pStyle w:val="885"/>
        <w:ind w:firstLine="360"/>
        <w:spacing w:line="520" w:lineRule="exact"/>
        <w:rPr>
          <w:rFonts w:hint="eastAsia" w:ascii="宋体" w:hAnsi="宋体"/>
          <w:sz w:val="24"/>
          <w:szCs w:val="24"/>
        </w:rPr>
      </w:pPr>
      <w:r>
        <w:rPr>
          <w:rFonts w:hint="eastAsia" w:ascii="宋体" w:hAnsi="宋体"/>
          <w:sz w:val="24"/>
          <w:szCs w:val="24"/>
        </w:rPr>
        <w:t xml:space="preserve">（5）评审方法与评审标准</w:t>
      </w:r>
      <w:r/>
    </w:p>
    <w:p>
      <w:pPr>
        <w:pStyle w:val="885"/>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pStyle w:val="885"/>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5"/>
        <w:ind w:firstLine="560"/>
        <w:keepLines/>
        <w:keepNext/>
        <w:spacing w:line="520" w:lineRule="exact"/>
        <w:rPr>
          <w:rFonts w:hint="eastAsia" w:ascii="宋体" w:hAnsi="宋体" w:cs="Arial"/>
          <w:sz w:val="28"/>
          <w:szCs w:val="28"/>
        </w:rPr>
        <w:outlineLvl w:val="3"/>
      </w:pPr>
      <w:r/>
      <w:bookmarkStart w:id="61" w:name="_Toc462564070"/>
      <w:r/>
      <w:bookmarkStart w:id="62" w:name="_Toc513029211"/>
      <w:r/>
      <w:bookmarkStart w:id="63" w:name="_Toc20823283"/>
      <w:r/>
      <w:bookmarkStart w:id="64" w:name="_Toc16938527"/>
      <w:r>
        <w:rPr>
          <w:rFonts w:ascii="宋体" w:hAnsi="宋体" w:cs="Arial"/>
          <w:sz w:val="28"/>
          <w:szCs w:val="28"/>
        </w:rPr>
        <w:t xml:space="preserve">7</w:t>
      </w:r>
      <w:r>
        <w:rPr>
          <w:rFonts w:hint="eastAsia" w:ascii="宋体" w:hAnsi="宋体" w:cs="Arial"/>
          <w:sz w:val="28"/>
          <w:szCs w:val="28"/>
        </w:rPr>
        <w:t xml:space="preserve">、磋商文件的澄清</w:t>
      </w:r>
      <w:bookmarkEnd w:id="61"/>
      <w:r/>
      <w:bookmarkEnd w:id="62"/>
      <w:r/>
      <w:bookmarkEnd w:id="63"/>
      <w:r/>
      <w:bookmarkEnd w:id="64"/>
      <w:r>
        <w:rPr>
          <w:rFonts w:hint="eastAsia" w:ascii="宋体" w:hAnsi="宋体" w:cs="Arial"/>
          <w:sz w:val="28"/>
          <w:szCs w:val="28"/>
        </w:rPr>
      </w:r>
      <w:r/>
    </w:p>
    <w:p>
      <w:pPr>
        <w:pStyle w:val="885"/>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885"/>
        <w:ind w:firstLine="560"/>
        <w:keepLines/>
        <w:keepNext/>
        <w:spacing w:line="520" w:lineRule="exact"/>
        <w:rPr>
          <w:rFonts w:hint="eastAsia" w:ascii="宋体" w:hAnsi="宋体" w:cs="Arial"/>
          <w:sz w:val="28"/>
          <w:szCs w:val="28"/>
        </w:rPr>
        <w:outlineLvl w:val="3"/>
      </w:pPr>
      <w:r/>
      <w:bookmarkStart w:id="65" w:name="_Toc513029212"/>
      <w:r/>
      <w:bookmarkStart w:id="66" w:name="_Toc16938528"/>
      <w:r/>
      <w:bookmarkStart w:id="67" w:name="_Toc462564071"/>
      <w:r/>
      <w:bookmarkStart w:id="68" w:name="_Toc20823284"/>
      <w:r>
        <w:rPr>
          <w:rFonts w:ascii="宋体" w:hAnsi="宋体" w:cs="Arial"/>
          <w:sz w:val="28"/>
          <w:szCs w:val="28"/>
        </w:rPr>
        <w:t xml:space="preserve">8</w:t>
      </w:r>
      <w:r>
        <w:rPr>
          <w:rFonts w:hint="eastAsia" w:ascii="宋体" w:hAnsi="宋体" w:cs="Arial"/>
          <w:sz w:val="28"/>
          <w:szCs w:val="28"/>
        </w:rPr>
        <w:t xml:space="preserve">、磋商文件的澄清和修改</w:t>
      </w:r>
      <w:bookmarkEnd w:id="65"/>
      <w:r/>
      <w:bookmarkEnd w:id="66"/>
      <w:r/>
      <w:bookmarkEnd w:id="67"/>
      <w:r/>
      <w:bookmarkEnd w:id="68"/>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在响应文件提交截止时间前，交易中心可以对磋商文件进行澄清和修改,</w:t>
      </w:r>
      <w:r>
        <w:rPr>
          <w:rFonts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hint="eastAsia" w:ascii="宋体" w:hAnsi="宋体"/>
          <w:sz w:val="24"/>
          <w:szCs w:val="21"/>
        </w:rPr>
        <w:t xml:space="preserve">更正公</w:t>
      </w:r>
      <w:r>
        <w:rPr>
          <w:rFonts w:hint="eastAsia" w:ascii="宋体" w:hAnsi="宋体"/>
          <w:sz w:val="24"/>
          <w:szCs w:val="21"/>
        </w:rPr>
        <w:t xml:space="preserve">告内容将作为磋商文件的组成部分，并对供应商具有约束力。不足5日的，交易中心将顺延提交首次响应文件截止时间。</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pStyle w:val="885"/>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pStyle w:val="885"/>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pStyle w:val="885"/>
        <w:ind w:firstLine="482"/>
        <w:keepLines/>
        <w:keepNext/>
        <w:spacing w:before="145" w:after="145" w:line="520" w:lineRule="exact"/>
        <w:rPr>
          <w:rFonts w:hint="eastAsia" w:ascii="宋体" w:hAnsi="宋体"/>
          <w:b/>
          <w:bCs/>
          <w:sz w:val="32"/>
          <w:szCs w:val="32"/>
        </w:rPr>
        <w:outlineLvl w:val="2"/>
      </w:pPr>
      <w:r/>
      <w:bookmarkStart w:id="69" w:name="_Toc16938529"/>
      <w:r/>
      <w:bookmarkStart w:id="70" w:name="_Toc20823285"/>
      <w:r/>
      <w:bookmarkStart w:id="71" w:name="_Toc513029213"/>
      <w:r/>
      <w:bookmarkStart w:id="72" w:name="_Toc120614216"/>
      <w:r/>
      <w:bookmarkStart w:id="73" w:name="_Toc462564072"/>
      <w:r>
        <w:rPr>
          <w:rFonts w:hint="eastAsia" w:ascii="宋体" w:hAnsi="宋体"/>
          <w:b/>
          <w:bCs/>
          <w:sz w:val="32"/>
          <w:szCs w:val="32"/>
        </w:rPr>
        <w:t xml:space="preserve">三、响应文件的编制</w:t>
      </w:r>
      <w:bookmarkEnd w:id="69"/>
      <w:r/>
      <w:bookmarkEnd w:id="70"/>
      <w:r/>
      <w:bookmarkEnd w:id="71"/>
      <w:r/>
      <w:bookmarkEnd w:id="72"/>
      <w:r/>
      <w:bookmarkEnd w:id="73"/>
      <w:r>
        <w:rPr>
          <w:rFonts w:hint="eastAsia" w:ascii="宋体" w:hAnsi="宋体"/>
          <w:b/>
          <w:bCs/>
          <w:sz w:val="32"/>
          <w:szCs w:val="32"/>
        </w:rPr>
      </w:r>
      <w:r/>
    </w:p>
    <w:p>
      <w:pPr>
        <w:pStyle w:val="885"/>
        <w:ind w:firstLine="560"/>
        <w:keepLines/>
        <w:keepNext/>
        <w:spacing w:line="520" w:lineRule="exact"/>
        <w:rPr>
          <w:rFonts w:ascii="宋体" w:hAnsi="宋体" w:cs="Arial"/>
          <w:b/>
          <w:sz w:val="28"/>
          <w:szCs w:val="28"/>
        </w:rPr>
        <w:outlineLvl w:val="3"/>
      </w:pPr>
      <w:r/>
      <w:bookmarkStart w:id="74" w:name="_Toc513029214"/>
      <w:r/>
      <w:bookmarkStart w:id="75" w:name="_Toc462564073"/>
      <w:r/>
      <w:bookmarkStart w:id="76" w:name="_Toc16938530"/>
      <w:r/>
      <w:bookmarkStart w:id="77" w:name="_Toc20823286"/>
      <w:r>
        <w:rPr>
          <w:rFonts w:ascii="宋体" w:hAnsi="宋体" w:cs="Arial"/>
          <w:sz w:val="28"/>
          <w:szCs w:val="28"/>
        </w:rPr>
        <w:t xml:space="preserve">9</w:t>
      </w:r>
      <w:r>
        <w:rPr>
          <w:rFonts w:hint="eastAsia" w:ascii="宋体" w:hAnsi="宋体" w:cs="Arial"/>
          <w:sz w:val="28"/>
          <w:szCs w:val="28"/>
        </w:rPr>
        <w:t xml:space="preserve">、响应文件的语言及度量衡单位</w:t>
      </w:r>
      <w:bookmarkEnd w:id="74"/>
      <w:r/>
      <w:bookmarkEnd w:id="75"/>
      <w:r/>
      <w:bookmarkEnd w:id="76"/>
      <w:r/>
      <w:bookmarkEnd w:id="77"/>
      <w:r>
        <w:rPr>
          <w:rFonts w:ascii="宋体" w:hAnsi="宋体" w:cs="Arial"/>
          <w:b/>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85"/>
        <w:ind w:firstLine="420"/>
        <w:keepLines/>
        <w:keepNext/>
        <w:spacing w:line="520" w:lineRule="exact"/>
        <w:rPr>
          <w:rFonts w:hint="eastAsia" w:ascii="宋体" w:hAnsi="宋体" w:cs="Arial"/>
          <w:sz w:val="28"/>
          <w:szCs w:val="28"/>
        </w:rPr>
        <w:outlineLvl w:val="3"/>
      </w:pPr>
      <w:r/>
      <w:bookmarkStart w:id="78" w:name="_Toc513029215"/>
      <w:r/>
      <w:bookmarkStart w:id="79" w:name="_Toc20823287"/>
      <w:r/>
      <w:bookmarkStart w:id="80" w:name="_Toc16938531"/>
      <w:r/>
      <w:bookmarkStart w:id="81" w:name="_Toc462564074"/>
      <w:r>
        <w:rPr>
          <w:rFonts w:ascii="宋体" w:hAnsi="宋体" w:cs="Arial"/>
          <w:sz w:val="28"/>
          <w:szCs w:val="28"/>
        </w:rPr>
        <w:t xml:space="preserve">10</w:t>
      </w:r>
      <w:r>
        <w:rPr>
          <w:rFonts w:hint="eastAsia" w:ascii="宋体" w:hAnsi="宋体" w:cs="Arial"/>
          <w:sz w:val="28"/>
          <w:szCs w:val="28"/>
        </w:rPr>
        <w:t xml:space="preserve">、响应文件构成</w:t>
      </w:r>
      <w:bookmarkEnd w:id="78"/>
      <w:r/>
      <w:bookmarkEnd w:id="79"/>
      <w:r/>
      <w:bookmarkEnd w:id="80"/>
      <w:r/>
      <w:bookmarkEnd w:id="81"/>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pStyle w:val="885"/>
        <w:ind w:firstLine="420"/>
        <w:keepLines/>
        <w:keepNext/>
        <w:spacing w:line="520" w:lineRule="exact"/>
        <w:rPr>
          <w:rFonts w:hint="eastAsia" w:ascii="宋体" w:hAnsi="宋体" w:cs="Arial"/>
          <w:sz w:val="28"/>
          <w:szCs w:val="28"/>
        </w:rPr>
        <w:outlineLvl w:val="3"/>
      </w:pPr>
      <w:r/>
      <w:bookmarkStart w:id="82" w:name="_Toc14577357"/>
      <w:r/>
      <w:bookmarkStart w:id="83" w:name="_Toc513029216"/>
      <w:r/>
      <w:bookmarkStart w:id="84" w:name="_Toc14577354"/>
      <w:r/>
      <w:bookmarkStart w:id="85" w:name="_Toc49090507"/>
      <w:r/>
      <w:bookmarkStart w:id="86" w:name="_Toc49090508"/>
      <w:r/>
      <w:bookmarkStart w:id="87" w:name="_Toc14577355"/>
      <w:r/>
      <w:bookmarkStart w:id="88" w:name="_Hlt26670360"/>
      <w:r/>
      <w:bookmarkEnd w:id="88"/>
      <w:r/>
      <w:bookmarkStart w:id="89" w:name="_Hlt26954838"/>
      <w:r/>
      <w:bookmarkEnd w:id="89"/>
      <w:r/>
      <w:bookmarkStart w:id="90" w:name="_Hlt26668975"/>
      <w:r/>
      <w:bookmarkEnd w:id="90"/>
      <w:r/>
      <w:bookmarkStart w:id="91" w:name="_Toc49090509"/>
      <w:r/>
      <w:bookmarkStart w:id="92" w:name="_Toc513029219"/>
      <w:r>
        <w:rPr>
          <w:rFonts w:ascii="宋体" w:hAnsi="宋体" w:cs="Arial"/>
          <w:sz w:val="28"/>
          <w:szCs w:val="28"/>
        </w:rPr>
        <w:t xml:space="preserve">11</w:t>
      </w:r>
      <w:r>
        <w:rPr>
          <w:rFonts w:hint="eastAsia" w:ascii="宋体" w:hAnsi="宋体" w:cs="Arial"/>
          <w:sz w:val="28"/>
          <w:szCs w:val="28"/>
        </w:rPr>
        <w:t xml:space="preserve">、证明磋商响应标的符合磋商文件规定的文件</w:t>
      </w:r>
      <w:bookmarkEnd w:id="82"/>
      <w:r/>
      <w:bookmarkEnd w:id="91"/>
      <w:r/>
      <w:bookmarkEnd w:id="92"/>
      <w:r>
        <w:rPr>
          <w:rFonts w:hint="eastAsia" w:ascii="宋体" w:hAnsi="宋体" w:cs="Arial"/>
          <w:sz w:val="28"/>
          <w:szCs w:val="28"/>
        </w:rPr>
      </w:r>
      <w:r/>
    </w:p>
    <w:p>
      <w:pPr>
        <w:pStyle w:val="885"/>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w:t>
      </w:r>
      <w:r>
        <w:rPr>
          <w:rFonts w:hint="eastAsia" w:ascii="宋体" w:hAnsi="宋体"/>
          <w:sz w:val="24"/>
          <w:szCs w:val="24"/>
        </w:rPr>
        <w:t xml:space="preserve">件，证明其及磋商响应标的符合磋商文件规定。</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85"/>
        <w:ind w:firstLine="420"/>
        <w:keepLines/>
        <w:keepNext/>
        <w:spacing w:line="520" w:lineRule="exact"/>
        <w:rPr>
          <w:rFonts w:hint="eastAsia" w:ascii="宋体" w:hAnsi="宋体" w:cs="Arial"/>
          <w:sz w:val="28"/>
          <w:szCs w:val="28"/>
        </w:rPr>
        <w:outlineLvl w:val="3"/>
      </w:pPr>
      <w:r/>
      <w:bookmarkEnd w:id="86"/>
      <w:r/>
      <w:bookmarkEnd w:id="87"/>
      <w:r>
        <w:rPr>
          <w:rFonts w:ascii="宋体" w:hAnsi="宋体" w:cs="Arial"/>
          <w:sz w:val="28"/>
          <w:szCs w:val="28"/>
        </w:rPr>
        <w:t xml:space="preserve">12</w:t>
      </w:r>
      <w:r>
        <w:rPr>
          <w:rFonts w:hint="eastAsia" w:ascii="宋体" w:hAnsi="宋体" w:cs="Arial"/>
          <w:sz w:val="28"/>
          <w:szCs w:val="28"/>
        </w:rPr>
        <w:t xml:space="preserve">、分项报价表</w:t>
      </w:r>
      <w:r/>
    </w:p>
    <w:p>
      <w:pPr>
        <w:pStyle w:val="885"/>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bookmarkStart w:id="93" w:name="_Hlt26670486"/>
      <w:r/>
      <w:bookmarkEnd w:id="93"/>
      <w:r/>
      <w:bookmarkStart w:id="94" w:name="_Hlt26954846"/>
      <w:r/>
      <w:bookmarkEnd w:id="94"/>
      <w:r/>
      <w:bookmarkStart w:id="95" w:name="_Hlt26670482"/>
      <w:r/>
      <w:bookmarkEnd w:id="95"/>
      <w:r/>
      <w:bookmarkStart w:id="96" w:name="_Hlt26954848"/>
      <w:r/>
      <w:bookmarkEnd w:id="96"/>
      <w:r/>
      <w:bookmarkStart w:id="97" w:name="_Hlt26954731"/>
      <w:r/>
      <w:bookmarkEnd w:id="97"/>
      <w:r>
        <w:rPr>
          <w:rFonts w:ascii="宋体" w:hAnsi="宋体" w:cs="Arial"/>
          <w:sz w:val="28"/>
          <w:szCs w:val="28"/>
        </w:rPr>
        <w:t xml:space="preserve">13</w:t>
      </w:r>
      <w:r>
        <w:rPr>
          <w:rFonts w:hint="eastAsia" w:ascii="宋体" w:hAnsi="宋体" w:cs="Arial"/>
          <w:sz w:val="28"/>
          <w:szCs w:val="28"/>
        </w:rPr>
        <w:t xml:space="preserve">、技术要求响应及偏离表、商务要求响应及偏离表</w:t>
      </w:r>
      <w:r/>
    </w:p>
    <w:p>
      <w:pPr>
        <w:pStyle w:val="885"/>
        <w:ind w:firstLine="480"/>
        <w:spacing w:line="520" w:lineRule="exact"/>
        <w:rPr>
          <w:rFonts w:ascii="宋体" w:hAnsi="宋体" w:cs="宋体"/>
          <w:sz w:val="24"/>
          <w:szCs w:val="21"/>
          <w:lang w:val="zh-CN"/>
        </w:rPr>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885"/>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w:t>
      </w:r>
      <w:r>
        <w:rPr>
          <w:rFonts w:hint="eastAsia" w:ascii="宋体" w:hAnsi="宋体" w:cs="Arial"/>
          <w:sz w:val="28"/>
          <w:szCs w:val="28"/>
        </w:rPr>
        <w:t xml:space="preserve">、服务承诺、培训计划、人员安排及其他</w:t>
      </w:r>
      <w:r/>
    </w:p>
    <w:p>
      <w:pPr>
        <w:pStyle w:val="885"/>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885"/>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sz w:val="24"/>
          <w:szCs w:val="24"/>
        </w:rPr>
      </w:r>
      <w:r/>
    </w:p>
    <w:p>
      <w:pPr>
        <w:pStyle w:val="885"/>
        <w:ind w:firstLine="420"/>
        <w:keepLines/>
        <w:keepNext/>
        <w:spacing w:line="520" w:lineRule="exact"/>
        <w:rPr>
          <w:rFonts w:hint="eastAsia" w:ascii="宋体" w:hAnsi="宋体" w:cs="Arial"/>
          <w:sz w:val="28"/>
          <w:szCs w:val="28"/>
        </w:rPr>
        <w:outlineLvl w:val="3"/>
      </w:pPr>
      <w:r/>
      <w:bookmarkStart w:id="98" w:name="_Toc49090510"/>
      <w:r/>
      <w:bookmarkStart w:id="99" w:name="_Toc14577359"/>
      <w:r>
        <w:rPr>
          <w:rFonts w:ascii="宋体" w:hAnsi="宋体" w:cs="Arial"/>
          <w:sz w:val="28"/>
          <w:szCs w:val="28"/>
        </w:rPr>
        <w:t xml:space="preserve">15</w:t>
      </w:r>
      <w:r>
        <w:rPr>
          <w:rFonts w:hint="eastAsia" w:ascii="宋体" w:hAnsi="宋体" w:cs="Arial"/>
          <w:sz w:val="28"/>
          <w:szCs w:val="28"/>
        </w:rPr>
        <w:t xml:space="preserve">、磋商响应函</w:t>
      </w:r>
      <w:r/>
    </w:p>
    <w:p>
      <w:pPr>
        <w:pStyle w:val="885"/>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End w:id="98"/>
      <w:r/>
      <w:bookmarkEnd w:id="99"/>
      <w:r/>
      <w:bookmarkStart w:id="100" w:name="_Toc14577360"/>
      <w:r/>
      <w:bookmarkStart w:id="101" w:name="_Toc49090511"/>
      <w:r>
        <w:rPr>
          <w:rFonts w:ascii="宋体" w:hAnsi="宋体" w:cs="Arial"/>
          <w:sz w:val="28"/>
          <w:szCs w:val="28"/>
        </w:rPr>
        <w:t xml:space="preserve">16</w:t>
      </w:r>
      <w:r>
        <w:rPr>
          <w:rFonts w:hint="eastAsia" w:ascii="宋体" w:hAnsi="宋体" w:cs="Arial"/>
          <w:sz w:val="28"/>
          <w:szCs w:val="28"/>
        </w:rPr>
        <w:t xml:space="preserve">、磋商有效期</w:t>
      </w:r>
      <w:bookmarkEnd w:id="100"/>
      <w:r/>
      <w:bookmarkEnd w:id="101"/>
      <w:r>
        <w:rPr>
          <w:rFonts w:hint="eastAsia" w:ascii="宋体" w:hAnsi="宋体" w:cs="Arial"/>
          <w:sz w:val="28"/>
          <w:szCs w:val="28"/>
        </w:rPr>
      </w:r>
      <w:r/>
    </w:p>
    <w:p>
      <w:pPr>
        <w:pStyle w:val="885"/>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宋体" w:hAnsi="宋体"/>
          <w:b/>
          <w:sz w:val="24"/>
          <w:szCs w:val="21"/>
          <w:u w:val="single"/>
        </w:rPr>
        <w:t xml:space="preserve">九十（90</w:t>
      </w:r>
      <w:r>
        <w:rPr>
          <w:rFonts w:hint="eastAsia" w:ascii="宋体" w:hAnsi="宋体"/>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w:t>
      </w:r>
      <w:r>
        <w:rPr>
          <w:rFonts w:hint="eastAsia" w:ascii="宋体" w:hAnsi="宋体" w:cs="Arial"/>
          <w:sz w:val="28"/>
          <w:szCs w:val="28"/>
        </w:rPr>
        <w:t xml:space="preserve">、磋商有效期的延长</w:t>
      </w:r>
      <w:r/>
    </w:p>
    <w:p>
      <w:pPr>
        <w:pStyle w:val="885"/>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85"/>
        <w:ind w:firstLine="482"/>
        <w:keepLines/>
        <w:keepNext/>
        <w:spacing w:before="145" w:after="145" w:line="520" w:lineRule="exact"/>
        <w:rPr>
          <w:rFonts w:hint="eastAsia" w:ascii="宋体" w:hAnsi="宋体"/>
          <w:b/>
          <w:bCs/>
          <w:sz w:val="32"/>
          <w:szCs w:val="32"/>
        </w:rPr>
        <w:outlineLvl w:val="2"/>
      </w:pPr>
      <w:r/>
      <w:bookmarkStart w:id="102" w:name="_Toc20823296"/>
      <w:r/>
      <w:bookmarkStart w:id="103" w:name="_Hlt26954852"/>
      <w:r/>
      <w:bookmarkEnd w:id="103"/>
      <w:r/>
      <w:bookmarkStart w:id="104" w:name="_Hlt26954739"/>
      <w:r/>
      <w:bookmarkEnd w:id="104"/>
      <w:r/>
      <w:bookmarkStart w:id="105" w:name="_Toc513029224"/>
      <w:r/>
      <w:bookmarkStart w:id="106" w:name="_Toc16938540"/>
      <w:r/>
      <w:bookmarkStart w:id="107" w:name="_Toc120614217"/>
      <w:r>
        <w:rPr>
          <w:rFonts w:hint="eastAsia" w:ascii="宋体" w:hAnsi="宋体"/>
          <w:b/>
          <w:bCs/>
          <w:sz w:val="32"/>
          <w:szCs w:val="32"/>
        </w:rPr>
        <w:t xml:space="preserve">四、响应文件的递交</w:t>
      </w:r>
      <w:bookmarkEnd w:id="102"/>
      <w:r/>
      <w:bookmarkEnd w:id="105"/>
      <w:r/>
      <w:bookmarkEnd w:id="106"/>
      <w:r/>
      <w:bookmarkEnd w:id="107"/>
      <w:r>
        <w:rPr>
          <w:rFonts w:hint="eastAsia" w:ascii="宋体" w:hAnsi="宋体"/>
          <w:b/>
          <w:bCs/>
          <w:sz w:val="32"/>
          <w:szCs w:val="32"/>
        </w:rPr>
      </w:r>
      <w:r/>
    </w:p>
    <w:p>
      <w:pPr>
        <w:pStyle w:val="885"/>
        <w:ind w:firstLine="560"/>
        <w:keepLines/>
        <w:keepNext/>
        <w:spacing w:line="520" w:lineRule="exact"/>
        <w:rPr>
          <w:rFonts w:ascii="宋体" w:hAnsi="宋体" w:cs="Arial"/>
          <w:sz w:val="28"/>
          <w:szCs w:val="28"/>
        </w:rPr>
        <w:outlineLvl w:val="3"/>
      </w:pPr>
      <w:r/>
      <w:bookmarkStart w:id="108" w:name="_Toc20823297"/>
      <w:r/>
      <w:bookmarkStart w:id="109" w:name="_Toc513029225"/>
      <w:r/>
      <w:bookmarkStart w:id="110" w:name="_Toc16938541"/>
      <w:r/>
      <w:bookmarkStart w:id="111" w:name="_Toc462564084"/>
      <w:r>
        <w:rPr>
          <w:rFonts w:ascii="宋体" w:hAnsi="宋体" w:cs="Arial"/>
          <w:sz w:val="28"/>
          <w:szCs w:val="28"/>
        </w:rPr>
        <w:t xml:space="preserve">18</w:t>
      </w:r>
      <w:r>
        <w:rPr>
          <w:rFonts w:hint="eastAsia" w:ascii="宋体" w:hAnsi="宋体" w:cs="Arial"/>
          <w:sz w:val="28"/>
          <w:szCs w:val="28"/>
        </w:rPr>
        <w:t xml:space="preserve">、电子磋商</w:t>
      </w:r>
      <w:bookmarkEnd w:id="108"/>
      <w:r/>
      <w:bookmarkEnd w:id="109"/>
      <w:r/>
      <w:bookmarkEnd w:id="110"/>
      <w:r/>
      <w:bookmarkEnd w:id="111"/>
      <w:r>
        <w:rPr>
          <w:rFonts w:hint="eastAsia" w:ascii="宋体" w:hAnsi="宋体" w:cs="Arial"/>
          <w:sz w:val="28"/>
          <w:szCs w:val="28"/>
        </w:rPr>
        <w:t xml:space="preserve">响应文件的递交</w:t>
      </w:r>
      <w:r>
        <w:rPr>
          <w:rFonts w:ascii="宋体" w:hAnsi="宋体" w:cs="Arial"/>
          <w:sz w:val="28"/>
          <w:szCs w:val="28"/>
        </w:rPr>
      </w:r>
      <w:r/>
    </w:p>
    <w:p>
      <w:pPr>
        <w:pStyle w:val="885"/>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513029226"/>
      <w:r/>
      <w:bookmarkStart w:id="113" w:name="_Toc16938542"/>
      <w:r/>
      <w:bookmarkStart w:id="114" w:name="_Toc20823298"/>
      <w:r>
        <w:rPr>
          <w:rFonts w:hint="eastAsia" w:ascii="宋体" w:hAnsi="宋体"/>
          <w:bCs/>
          <w:sz w:val="24"/>
          <w:szCs w:val="21"/>
        </w:rPr>
      </w:r>
      <w:r/>
    </w:p>
    <w:p>
      <w:pPr>
        <w:pStyle w:val="885"/>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w:t>
      </w:r>
      <w:r>
        <w:rPr>
          <w:rFonts w:ascii="宋体" w:hAnsi="宋体" w:cs="Arial"/>
          <w:bCs/>
          <w:sz w:val="28"/>
          <w:szCs w:val="28"/>
        </w:rPr>
        <w:t xml:space="preserve">9</w:t>
      </w:r>
      <w:r>
        <w:rPr>
          <w:rFonts w:hint="eastAsia" w:ascii="宋体" w:hAnsi="宋体" w:cs="Arial"/>
          <w:bCs/>
          <w:sz w:val="28"/>
          <w:szCs w:val="28"/>
        </w:rPr>
        <w:t xml:space="preserve">、提交响应文件截止时间</w:t>
      </w:r>
      <w:bookmarkEnd w:id="112"/>
      <w:r/>
      <w:bookmarkEnd w:id="113"/>
      <w:r/>
      <w:bookmarkEnd w:id="114"/>
      <w:r>
        <w:rPr>
          <w:rFonts w:hint="eastAsia" w:ascii="宋体" w:hAnsi="宋体" w:cs="Arial"/>
          <w:bCs/>
          <w:sz w:val="24"/>
          <w:szCs w:val="28"/>
        </w:rPr>
      </w:r>
      <w:r/>
    </w:p>
    <w:p>
      <w:pPr>
        <w:pStyle w:val="885"/>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pStyle w:val="885"/>
        <w:ind w:firstLine="420"/>
        <w:keepLines/>
        <w:keepNext/>
        <w:spacing w:line="520" w:lineRule="exact"/>
        <w:rPr>
          <w:rFonts w:hint="eastAsia" w:ascii="宋体" w:hAnsi="宋体" w:cs="Arial"/>
          <w:sz w:val="28"/>
          <w:szCs w:val="28"/>
        </w:rPr>
        <w:outlineLvl w:val="3"/>
      </w:pPr>
      <w:r/>
      <w:bookmarkStart w:id="115" w:name="_Toc513029227"/>
      <w:r/>
      <w:bookmarkStart w:id="116" w:name="_Toc20823299"/>
      <w:r/>
      <w:bookmarkStart w:id="117" w:name="_Toc16938543"/>
      <w:r>
        <w:rPr>
          <w:rFonts w:ascii="宋体" w:hAnsi="宋体" w:cs="Arial"/>
          <w:sz w:val="28"/>
          <w:szCs w:val="28"/>
        </w:rPr>
        <w:t xml:space="preserve">20</w:t>
      </w:r>
      <w:r>
        <w:rPr>
          <w:rFonts w:hint="eastAsia" w:ascii="宋体" w:hAnsi="宋体" w:cs="Arial"/>
          <w:sz w:val="28"/>
          <w:szCs w:val="28"/>
        </w:rPr>
        <w:t xml:space="preserve">、响应文件</w:t>
      </w:r>
      <w:bookmarkEnd w:id="115"/>
      <w:r/>
      <w:bookmarkEnd w:id="116"/>
      <w:r/>
      <w:bookmarkEnd w:id="117"/>
      <w:r>
        <w:rPr>
          <w:rFonts w:hint="eastAsia" w:ascii="宋体" w:hAnsi="宋体" w:cs="Arial"/>
          <w:sz w:val="28"/>
          <w:szCs w:val="28"/>
        </w:rPr>
        <w:t xml:space="preserve">的拒收</w:t>
      </w:r>
      <w:r/>
    </w:p>
    <w:p>
      <w:pPr>
        <w:pStyle w:val="885"/>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w:t>
      </w:r>
      <w:r>
        <w:rPr>
          <w:rFonts w:hint="eastAsia" w:ascii="宋体" w:hAnsi="宋体"/>
          <w:bCs/>
          <w:sz w:val="24"/>
          <w:szCs w:val="21"/>
        </w:rPr>
        <w:t xml:space="preserve">后上传的任何电子响应文件。</w:t>
      </w:r>
      <w:r>
        <w:rPr>
          <w:rFonts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bookmarkStart w:id="118" w:name="_Toc513029228"/>
      <w:r/>
      <w:bookmarkStart w:id="119" w:name="_Toc16938544"/>
      <w:r/>
      <w:bookmarkStart w:id="120" w:name="_Toc20823300"/>
      <w:r>
        <w:rPr>
          <w:rFonts w:ascii="宋体" w:hAnsi="宋体" w:cs="Arial"/>
          <w:sz w:val="28"/>
          <w:szCs w:val="28"/>
        </w:rPr>
        <w:t xml:space="preserve">21</w:t>
      </w:r>
      <w:r>
        <w:rPr>
          <w:rFonts w:hint="eastAsia" w:ascii="宋体" w:hAnsi="宋体" w:cs="Arial"/>
          <w:sz w:val="28"/>
          <w:szCs w:val="28"/>
        </w:rPr>
        <w:t xml:space="preserve">、响应文件的撤回和修改</w:t>
      </w:r>
      <w:bookmarkEnd w:id="118"/>
      <w:r/>
      <w:bookmarkEnd w:id="119"/>
      <w:r/>
      <w:bookmarkEnd w:id="120"/>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pStyle w:val="88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pStyle w:val="88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w:t>
      </w:r>
      <w:r>
        <w:rPr>
          <w:rFonts w:hint="eastAsia" w:ascii="宋体" w:hAnsi="宋体"/>
          <w:bCs/>
          <w:sz w:val="24"/>
          <w:szCs w:val="21"/>
        </w:rPr>
        <w:t xml:space="preserve">响应文件。</w:t>
      </w:r>
      <w:r/>
    </w:p>
    <w:p>
      <w:pPr>
        <w:pStyle w:val="885"/>
        <w:ind w:firstLine="482"/>
        <w:keepLines/>
        <w:keepNext/>
        <w:spacing w:before="145" w:after="145" w:line="520" w:lineRule="exact"/>
        <w:rPr>
          <w:rFonts w:hint="eastAsia" w:ascii="宋体" w:hAnsi="宋体"/>
          <w:b/>
          <w:bCs/>
          <w:sz w:val="32"/>
          <w:szCs w:val="32"/>
        </w:rPr>
        <w:outlineLvl w:val="2"/>
      </w:pPr>
      <w:r/>
      <w:bookmarkStart w:id="121" w:name="_Toc16938545"/>
      <w:r/>
      <w:bookmarkStart w:id="122" w:name="_Toc120614218"/>
      <w:r/>
      <w:bookmarkStart w:id="123" w:name="_Toc513029229"/>
      <w:r/>
      <w:bookmarkStart w:id="124" w:name="_Toc20823301"/>
      <w:r>
        <w:rPr>
          <w:rFonts w:hint="eastAsia" w:ascii="宋体" w:hAnsi="宋体"/>
          <w:b/>
          <w:bCs/>
          <w:sz w:val="32"/>
          <w:szCs w:val="32"/>
        </w:rPr>
        <w:t xml:space="preserve">五、响应文件的解密与评审</w:t>
      </w:r>
      <w:bookmarkEnd w:id="121"/>
      <w:r/>
      <w:bookmarkEnd w:id="122"/>
      <w:r/>
      <w:bookmarkEnd w:id="123"/>
      <w:r/>
      <w:bookmarkEnd w:id="124"/>
      <w:r>
        <w:rPr>
          <w:rFonts w:hint="eastAsia" w:ascii="宋体" w:hAnsi="宋体"/>
          <w:b/>
          <w:bCs/>
          <w:sz w:val="32"/>
          <w:szCs w:val="32"/>
        </w:rPr>
      </w:r>
      <w:r/>
    </w:p>
    <w:p>
      <w:pPr>
        <w:pStyle w:val="885"/>
        <w:ind w:firstLine="420"/>
        <w:keepLines/>
        <w:keepNext/>
        <w:spacing w:line="520" w:lineRule="exact"/>
        <w:rPr>
          <w:rFonts w:ascii="宋体" w:hAnsi="宋体" w:cs="Arial"/>
          <w:sz w:val="28"/>
          <w:szCs w:val="28"/>
        </w:rPr>
        <w:outlineLvl w:val="3"/>
      </w:pPr>
      <w:r/>
      <w:bookmarkStart w:id="125" w:name="_Toc16938546"/>
      <w:r/>
      <w:bookmarkStart w:id="126" w:name="_Toc20823302"/>
      <w:r/>
      <w:bookmarkStart w:id="127" w:name="_Toc513029230"/>
      <w:r>
        <w:rPr>
          <w:rFonts w:ascii="宋体" w:hAnsi="宋体" w:cs="Arial"/>
          <w:sz w:val="28"/>
          <w:szCs w:val="28"/>
        </w:rPr>
        <w:t xml:space="preserve">22</w:t>
      </w:r>
      <w:r>
        <w:rPr>
          <w:rFonts w:hint="eastAsia" w:ascii="宋体" w:hAnsi="宋体" w:cs="Arial"/>
          <w:sz w:val="28"/>
          <w:szCs w:val="28"/>
        </w:rPr>
        <w:t xml:space="preserve">、</w:t>
      </w:r>
      <w:bookmarkEnd w:id="125"/>
      <w:r/>
      <w:bookmarkEnd w:id="126"/>
      <w:r/>
      <w:bookmarkEnd w:id="127"/>
      <w:r>
        <w:rPr>
          <w:rFonts w:hint="eastAsia" w:ascii="宋体" w:hAnsi="宋体" w:cs="Arial"/>
          <w:sz w:val="28"/>
          <w:szCs w:val="28"/>
        </w:rPr>
        <w:t xml:space="preserve">响应文件解密</w:t>
      </w:r>
      <w:r>
        <w:rPr>
          <w:rFonts w:ascii="宋体" w:hAnsi="宋体" w:cs="Arial"/>
          <w:sz w:val="28"/>
          <w:szCs w:val="28"/>
        </w:rPr>
      </w:r>
      <w:r/>
    </w:p>
    <w:p>
      <w:pPr>
        <w:pStyle w:val="885"/>
        <w:ind w:firstLine="360"/>
        <w:spacing w:line="520" w:lineRule="exact"/>
        <w:rPr>
          <w:rFonts w:ascii="宋体" w:hAnsi="宋体"/>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rPr>
          <w:rFonts w:ascii="宋体" w:hAnsi="宋体"/>
          <w:szCs w:val="21"/>
        </w:rPr>
      </w:r>
      <w:r/>
    </w:p>
    <w:p>
      <w:pPr>
        <w:pStyle w:val="885"/>
        <w:ind w:firstLine="420"/>
        <w:keepLines/>
        <w:keepNext/>
        <w:spacing w:line="520" w:lineRule="exact"/>
        <w:rPr>
          <w:rFonts w:ascii="宋体" w:hAnsi="宋体" w:cs="Arial"/>
          <w:sz w:val="28"/>
          <w:szCs w:val="28"/>
        </w:rPr>
        <w:outlineLvl w:val="3"/>
      </w:pPr>
      <w:r/>
      <w:bookmarkStart w:id="128" w:name="_Toc20823303"/>
      <w:r/>
      <w:bookmarkStart w:id="129" w:name="_Toc513029231"/>
      <w:r/>
      <w:bookmarkStart w:id="130" w:name="_Toc16938547"/>
      <w:r>
        <w:rPr>
          <w:rFonts w:ascii="宋体" w:hAnsi="宋体" w:cs="Arial"/>
          <w:sz w:val="28"/>
          <w:szCs w:val="28"/>
        </w:rPr>
        <w:t xml:space="preserve">23</w:t>
      </w:r>
      <w:r>
        <w:rPr>
          <w:rFonts w:hint="eastAsia" w:ascii="宋体" w:hAnsi="宋体" w:cs="Arial"/>
          <w:sz w:val="28"/>
          <w:szCs w:val="28"/>
        </w:rPr>
        <w:t xml:space="preserve">、磋商小组</w:t>
      </w:r>
      <w:r>
        <w:rPr>
          <w:rFonts w:ascii="宋体" w:hAnsi="宋体" w:cs="Arial"/>
          <w:sz w:val="28"/>
          <w:szCs w:val="28"/>
        </w:rPr>
      </w:r>
      <w:r/>
    </w:p>
    <w:p>
      <w:pPr>
        <w:pStyle w:val="885"/>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885"/>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pStyle w:val="885"/>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24、评审过程的保密与公正</w:t>
      </w:r>
      <w:r/>
    </w:p>
    <w:p>
      <w:pPr>
        <w:pStyle w:val="885"/>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w:t>
      </w:r>
      <w:r>
        <w:rPr>
          <w:rFonts w:hint="eastAsia" w:ascii="宋体" w:hAnsi="宋体"/>
          <w:bCs/>
          <w:sz w:val="24"/>
          <w:szCs w:val="21"/>
        </w:rPr>
        <w:t xml:space="preserve">评审工作有关的人员，对评审情况以及在评审过程中获悉的国家秘密、商业秘密负有保密责任。</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pStyle w:val="885"/>
        <w:ind w:firstLine="420"/>
        <w:keepLines/>
        <w:keepNext/>
        <w:spacing w:line="520" w:lineRule="exact"/>
        <w:rPr>
          <w:rFonts w:hint="eastAsia" w:ascii="宋体" w:hAnsi="宋体" w:cs="Arial"/>
          <w:sz w:val="28"/>
          <w:szCs w:val="28"/>
        </w:rPr>
        <w:outlineLvl w:val="3"/>
      </w:pPr>
      <w:r/>
      <w:bookmarkStart w:id="131" w:name="_Toc513029232"/>
      <w:r/>
      <w:bookmarkStart w:id="132" w:name="_Toc16938548"/>
      <w:r/>
      <w:bookmarkStart w:id="133" w:name="_Toc20823304"/>
      <w:r>
        <w:rPr>
          <w:rFonts w:ascii="宋体" w:hAnsi="宋体" w:cs="Arial"/>
          <w:sz w:val="28"/>
          <w:szCs w:val="28"/>
        </w:rPr>
        <w:t xml:space="preserve">25</w:t>
      </w:r>
      <w:r>
        <w:rPr>
          <w:rFonts w:hint="eastAsia" w:ascii="宋体" w:hAnsi="宋体" w:cs="Arial"/>
          <w:sz w:val="28"/>
          <w:szCs w:val="28"/>
        </w:rPr>
        <w:t xml:space="preserve">、评审过程中的的澄清</w:t>
      </w:r>
      <w:bookmarkEnd w:id="131"/>
      <w:r/>
      <w:bookmarkEnd w:id="132"/>
      <w:r/>
      <w:bookmarkEnd w:id="133"/>
      <w:r>
        <w:rPr>
          <w:rFonts w:hint="eastAsia" w:ascii="宋体" w:hAnsi="宋体" w:cs="Arial"/>
          <w:sz w:val="28"/>
          <w:szCs w:val="28"/>
        </w:rPr>
      </w:r>
      <w:r/>
    </w:p>
    <w:p>
      <w:pPr>
        <w:pStyle w:val="885"/>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85"/>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85"/>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pStyle w:val="885"/>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pStyle w:val="885"/>
        <w:ind w:firstLine="420"/>
        <w:keepLines/>
        <w:keepNext/>
        <w:spacing w:line="520" w:lineRule="exact"/>
        <w:rPr>
          <w:rFonts w:hint="eastAsia" w:ascii="宋体" w:hAnsi="宋体" w:cs="Arial"/>
          <w:sz w:val="28"/>
          <w:szCs w:val="28"/>
        </w:rPr>
        <w:outlineLvl w:val="3"/>
      </w:pPr>
      <w:r/>
      <w:bookmarkStart w:id="134" w:name="_Toc513029233"/>
      <w:r/>
      <w:bookmarkStart w:id="135" w:name="_Toc20823305"/>
      <w:r/>
      <w:bookmarkStart w:id="136" w:name="_Toc16938549"/>
      <w:r>
        <w:rPr>
          <w:rFonts w:ascii="宋体" w:hAnsi="宋体" w:cs="Arial"/>
          <w:sz w:val="28"/>
          <w:szCs w:val="28"/>
        </w:rPr>
        <w:t xml:space="preserve">26</w:t>
      </w:r>
      <w:r>
        <w:rPr>
          <w:rFonts w:hint="eastAsia" w:ascii="宋体" w:hAnsi="宋体" w:cs="Arial"/>
          <w:sz w:val="28"/>
          <w:szCs w:val="28"/>
        </w:rPr>
        <w:t xml:space="preserve">、</w:t>
      </w:r>
      <w:r>
        <w:rPr>
          <w:rFonts w:hint="eastAsia" w:ascii="宋体" w:hAnsi="宋体" w:cs="Arial"/>
          <w:sz w:val="28"/>
          <w:szCs w:val="28"/>
        </w:rPr>
        <w:t xml:space="preserve">对响应文件的审</w:t>
      </w:r>
      <w:bookmarkEnd w:id="134"/>
      <w:r/>
      <w:bookmarkEnd w:id="135"/>
      <w:r/>
      <w:bookmarkEnd w:id="136"/>
      <w:r>
        <w:rPr>
          <w:rFonts w:hint="eastAsia" w:ascii="宋体" w:hAnsi="宋体" w:cs="Arial"/>
          <w:sz w:val="28"/>
          <w:szCs w:val="28"/>
        </w:rPr>
        <w:t xml:space="preserve">查</w:t>
      </w:r>
      <w:r/>
    </w:p>
    <w:p>
      <w:pPr>
        <w:pStyle w:val="885"/>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w:t>
      </w:r>
      <w:r>
        <w:rPr>
          <w:rFonts w:hint="eastAsia" w:ascii="宋体" w:hAnsi="宋体"/>
          <w:sz w:val="24"/>
          <w:szCs w:val="24"/>
        </w:rPr>
        <w:t xml:space="preserve">、条件和规格相符，没有重大偏离或保留。</w:t>
      </w:r>
      <w:r/>
    </w:p>
    <w:p>
      <w:pPr>
        <w:pStyle w:val="885"/>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w:t>
      </w:r>
      <w:r>
        <w:rPr>
          <w:rFonts w:hint="eastAsia" w:ascii="宋体" w:hAnsi="宋体"/>
          <w:bCs/>
          <w:sz w:val="24"/>
          <w:szCs w:val="21"/>
        </w:rPr>
        <w:t xml:space="preserve">文件的。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85"/>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（本磋商文件中打“★”为实质性要求和条件）。</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w:t>
      </w:r>
      <w:r>
        <w:rPr>
          <w:rFonts w:hint="eastAsia" w:ascii="宋体" w:hAnsi="宋体"/>
          <w:bCs/>
          <w:sz w:val="24"/>
          <w:szCs w:val="21"/>
        </w:rPr>
        <w:t xml:space="preserve">符合《中华人民共和国政府采购法》第二十二条规定条件的信用记录。</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ascii="宋体" w:hAnsi="宋体"/>
          <w:bCs/>
          <w:sz w:val="24"/>
          <w:szCs w:val="21"/>
        </w:rPr>
        <w:t xml:space="preserve">、处于有效期之内的该节能产品认证证书图片）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w:t>
      </w:r>
      <w:r>
        <w:rPr>
          <w:rFonts w:hint="eastAsia" w:ascii="宋体" w:hAnsi="宋体"/>
          <w:bCs/>
          <w:sz w:val="24"/>
          <w:szCs w:val="21"/>
        </w:rPr>
        <w:t xml:space="preserve">》的通知（财办库〔2020〕123 号文）文件规定，供应商提供产品及相关快递服务的包装应符合标准要求。</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26.3.10响应</w:t>
      </w:r>
      <w:r>
        <w:rPr>
          <w:rFonts w:hint="eastAsia" w:ascii="宋体" w:hAnsi="宋体"/>
          <w:bCs/>
          <w:sz w:val="24"/>
          <w:szCs w:val="21"/>
        </w:rPr>
        <w:t xml:space="preserve">文件未按照磋商文件要求加盖CA电子公章的。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26.3.11 不同供应商的磋商文件制作机器码一致。</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885"/>
        <w:ind w:firstLine="480"/>
        <w:spacing w:line="52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26.6供应商在项目评审全过程中应保持通讯畅通，并安排专人与交易中心及磋商小组联系。</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26.7.1 磋商过程中出现下列情形之一的，磋商小组会应当启动异常低价投标审查程序：</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w:t>
      </w:r>
      <w:r>
        <w:rPr>
          <w:rFonts w:hint="eastAsia" w:ascii="宋体" w:hAnsi="宋体"/>
          <w:b/>
          <w:bCs/>
          <w:sz w:val="24"/>
          <w:szCs w:val="21"/>
        </w:rPr>
        <w:t xml:space="preserve">投标（响应）报价&lt;全部通过符合性审查供应商投标（响应）报价平均值×50%；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(4) 磋商小组基于专业判断，认为供应商报价过低，有可能影响产品质量或者不能诚信履约的其他情形。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相关法律法规对供应商报价有规</w:t>
      </w:r>
      <w:r>
        <w:rPr>
          <w:rFonts w:hint="eastAsia" w:ascii="宋体" w:hAnsi="宋体"/>
          <w:b/>
          <w:bCs/>
          <w:sz w:val="24"/>
          <w:szCs w:val="21"/>
        </w:rPr>
        <w:t xml:space="preserve">定的，从其规定。</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hint="eastAsia" w:ascii="宋体" w:hAnsi="宋体"/>
          <w:b/>
          <w:bCs/>
          <w:sz w:val="24"/>
          <w:szCs w:val="21"/>
        </w:rPr>
        <w:t xml:space="preserve">面说明、证明材料不能证明其报价合理性的，磋商小组应当将其作为无效投标（响应）处理。</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26.8 磋商小组成员在打分过程中不应当出现打分畸高畸低的情形，若出现评磋商小组成员在主观分打分上和磋商小组总的平均分相比有明显畸高或畸低情形(偏离度达到±30%)的，需要现场由该磋商小组成员对本人的打分做出情况说明。</w:t>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r>
        <w:rPr>
          <w:rFonts w:hint="eastAsia" w:ascii="宋体" w:hAnsi="宋体" w:cs="Arial"/>
          <w:sz w:val="28"/>
          <w:szCs w:val="28"/>
        </w:rPr>
        <w:t xml:space="preserve">、</w:t>
      </w:r>
      <w:bookmarkEnd w:id="137"/>
      <w:r/>
      <w:bookmarkEnd w:id="138"/>
      <w:r/>
      <w:bookmarkEnd w:id="139"/>
      <w:r>
        <w:rPr>
          <w:rFonts w:hint="eastAsia" w:ascii="宋体" w:hAnsi="宋体" w:cs="Arial"/>
          <w:sz w:val="28"/>
          <w:szCs w:val="28"/>
        </w:rPr>
        <w:t xml:space="preserve">磋商程序及评审方法和评审标准</w:t>
      </w:r>
      <w:r/>
    </w:p>
    <w:p>
      <w:pPr>
        <w:pStyle w:val="885"/>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w:t>
      </w:r>
      <w:r>
        <w:rPr>
          <w:rFonts w:hint="eastAsia" w:ascii="宋体" w:hAnsi="宋体"/>
          <w:sz w:val="24"/>
          <w:szCs w:val="24"/>
        </w:rPr>
        <w:t xml:space="preserve">供应商，磋商小组将集中与单一供应商分别进行磋商。磋商小组通过苏采云系统向供应商发布“磋商函”，供应商应当按照要求在苏采云系统提交“磋商响应函”并加盖CA电子公章。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w:t>
      </w:r>
      <w:r>
        <w:rPr>
          <w:rFonts w:hint="eastAsia" w:ascii="宋体" w:hAnsi="宋体"/>
          <w:sz w:val="24"/>
          <w:szCs w:val="24"/>
        </w:rPr>
        <w:t xml:space="preserve">商结束后，磋商小组将在苏采云系统向所有实质性响应的供应商发布“最后报价要求函”及最后报价格式表，要求所有实质性响应的供应商在20分钟内提交最后报价。</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5"/>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w:t>
      </w:r>
      <w:r>
        <w:rPr>
          <w:rFonts w:hint="eastAsia" w:ascii="宋体" w:hAnsi="宋体"/>
          <w:sz w:val="24"/>
          <w:szCs w:val="24"/>
        </w:rPr>
        <w:t xml:space="preserve">争性磋商采购方式理暂行办法》第三条第一款第四项及《财政部关于竞争性磋商采购方式管理暂行办法有关问题的补充通知》（财库[2015]124号）规定情形的，提交最后报价的供应商可以为2家。</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85"/>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885"/>
        <w:ind w:firstLine="482"/>
        <w:keepLines/>
        <w:keepNext/>
        <w:spacing w:before="145" w:after="145" w:line="520" w:lineRule="exact"/>
        <w:rPr>
          <w:rFonts w:hint="eastAsia" w:ascii="宋体" w:hAnsi="宋体"/>
          <w:b/>
          <w:bCs/>
          <w:sz w:val="32"/>
          <w:szCs w:val="32"/>
        </w:rPr>
        <w:outlineLvl w:val="2"/>
      </w:pPr>
      <w:r/>
      <w:bookmarkStart w:id="140" w:name="_Toc120614219"/>
      <w:r/>
      <w:bookmarkStart w:id="141" w:name="_Toc16938551"/>
      <w:r/>
      <w:bookmarkStart w:id="142" w:name="_Toc513029235"/>
      <w:r/>
      <w:bookmarkStart w:id="143" w:name="_Toc20823307"/>
      <w:r>
        <w:rPr>
          <w:rFonts w:hint="eastAsia" w:ascii="宋体" w:hAnsi="宋体"/>
          <w:b/>
          <w:bCs/>
          <w:sz w:val="32"/>
          <w:szCs w:val="32"/>
        </w:rPr>
        <w:t xml:space="preserve">六、</w:t>
      </w:r>
      <w:bookmarkEnd w:id="140"/>
      <w:r/>
      <w:bookmarkEnd w:id="141"/>
      <w:r/>
      <w:bookmarkEnd w:id="142"/>
      <w:r/>
      <w:bookmarkEnd w:id="143"/>
      <w:r>
        <w:rPr>
          <w:rFonts w:hint="eastAsia" w:ascii="宋体" w:hAnsi="宋体"/>
          <w:b/>
          <w:bCs/>
          <w:sz w:val="32"/>
          <w:szCs w:val="32"/>
        </w:rPr>
        <w:t xml:space="preserve">成交</w:t>
      </w:r>
      <w:r/>
    </w:p>
    <w:p>
      <w:pPr>
        <w:pStyle w:val="885"/>
        <w:ind w:firstLine="600"/>
        <w:keepLines/>
        <w:keepNext/>
        <w:spacing w:line="520" w:lineRule="exact"/>
        <w:rPr>
          <w:rFonts w:ascii="宋体" w:hAnsi="宋体"/>
          <w:bCs/>
          <w:sz w:val="30"/>
          <w:szCs w:val="30"/>
        </w:rPr>
        <w:outlineLvl w:val="3"/>
      </w:pPr>
      <w:r/>
      <w:bookmarkStart w:id="144" w:name="_Toc513029238"/>
      <w:r/>
      <w:bookmarkStart w:id="145" w:name="_Toc20823310"/>
      <w:r/>
      <w:bookmarkStart w:id="146" w:name="_Toc16938554"/>
      <w:r>
        <w:rPr>
          <w:rFonts w:hint="eastAsia" w:ascii="宋体" w:hAnsi="宋体"/>
          <w:bCs/>
          <w:sz w:val="30"/>
          <w:szCs w:val="30"/>
        </w:rPr>
        <w:t xml:space="preserve">28、</w:t>
      </w:r>
      <w:bookmarkEnd w:id="144"/>
      <w:r>
        <w:rPr>
          <w:rFonts w:hint="eastAsia" w:ascii="宋体" w:hAnsi="宋体"/>
          <w:bCs/>
          <w:sz w:val="30"/>
          <w:szCs w:val="30"/>
        </w:rPr>
        <w:t xml:space="preserve">确定</w:t>
      </w:r>
      <w:bookmarkEnd w:id="145"/>
      <w:r/>
      <w:bookmarkEnd w:id="146"/>
      <w:r>
        <w:rPr>
          <w:rFonts w:hint="eastAsia" w:ascii="宋体" w:hAnsi="宋体"/>
          <w:bCs/>
          <w:sz w:val="30"/>
          <w:szCs w:val="30"/>
        </w:rPr>
        <w:t xml:space="preserve">成交单位</w:t>
      </w:r>
      <w:r>
        <w:rPr>
          <w:rFonts w:ascii="宋体" w:hAnsi="宋体"/>
          <w:bCs/>
          <w:sz w:val="30"/>
          <w:szCs w:val="30"/>
        </w:rPr>
      </w:r>
      <w:r/>
    </w:p>
    <w:p>
      <w:pPr>
        <w:pStyle w:val="885"/>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pStyle w:val="885"/>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w:t>
      </w:r>
      <w:r>
        <w:rPr>
          <w:rFonts w:hint="eastAsia" w:ascii="宋体" w:hAnsi="宋体"/>
          <w:bCs/>
          <w:sz w:val="24"/>
          <w:szCs w:val="21"/>
        </w:rPr>
        <w:t xml:space="preserve">为1个工作日。</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885"/>
        <w:ind w:firstLine="600"/>
        <w:keepLines/>
        <w:keepNext/>
        <w:spacing w:line="520" w:lineRule="exact"/>
        <w:rPr>
          <w:rFonts w:hint="eastAsia" w:ascii="宋体" w:hAnsi="宋体"/>
          <w:bCs/>
          <w:sz w:val="30"/>
          <w:szCs w:val="30"/>
        </w:rPr>
        <w:outlineLvl w:val="3"/>
      </w:pPr>
      <w:r/>
      <w:bookmarkStart w:id="147" w:name="_Toc200451960"/>
      <w:r>
        <w:rPr>
          <w:rFonts w:hint="eastAsia" w:ascii="宋体" w:hAnsi="宋体"/>
          <w:bCs/>
          <w:sz w:val="30"/>
          <w:szCs w:val="30"/>
        </w:rPr>
        <w:t xml:space="preserve">29、质疑处理</w:t>
      </w:r>
      <w:bookmarkEnd w:id="147"/>
      <w:r>
        <w:rPr>
          <w:rFonts w:hint="eastAsia" w:ascii="宋体" w:hAnsi="宋体"/>
          <w:bCs/>
          <w:sz w:val="30"/>
          <w:szCs w:val="30"/>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pStyle w:val="885"/>
        <w:ind w:firstLine="480"/>
        <w:spacing w:line="520" w:lineRule="exact"/>
        <w:rPr>
          <w:rFonts w:hint="eastAsia" w:ascii="宋体" w:hAnsi="宋体" w:cs="宋体"/>
          <w:sz w:val="24"/>
          <w:szCs w:val="24"/>
        </w:rPr>
      </w:pPr>
      <w:r>
        <w:rPr>
          <w:rFonts w:hint="eastAsia" w:ascii="宋体" w:hAnsi="宋体"/>
          <w:sz w:val="24"/>
          <w:szCs w:val="24"/>
        </w:rPr>
        <w:t xml:space="preserve">29.2.1</w:t>
      </w:r>
      <w:r>
        <w:rPr>
          <w:rFonts w:hint="eastAsia" w:ascii="宋体" w:hAnsi="宋体" w:cs="宋体"/>
          <w:sz w:val="24"/>
          <w:szCs w:val="24"/>
        </w:rPr>
        <w:t xml:space="preserve">对可以质疑的采购文件提出质疑的，为收到采购文件之日</w:t>
      </w:r>
      <w:r>
        <w:rPr>
          <w:rFonts w:hint="eastAsia" w:ascii="宋体" w:hAnsi="宋体" w:cs="宋体"/>
          <w:sz w:val="24"/>
          <w:szCs w:val="24"/>
        </w:rPr>
        <w:t xml:space="preserve">或者采购文件公告期限届满之日。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29.2.2</w:t>
      </w:r>
      <w:r>
        <w:rPr>
          <w:rFonts w:hint="eastAsia" w:ascii="宋体" w:hAnsi="宋体" w:cs="宋体"/>
          <w:sz w:val="24"/>
          <w:szCs w:val="24"/>
        </w:rPr>
        <w:t xml:space="preserve">对采购过程提出质疑的，为各采购程序环节结束之日。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29.2.3</w:t>
      </w:r>
      <w:r>
        <w:rPr>
          <w:rFonts w:hint="eastAsia" w:ascii="宋体" w:hAnsi="宋体" w:cs="宋体"/>
          <w:sz w:val="24"/>
          <w:szCs w:val="24"/>
        </w:rPr>
        <w:t xml:space="preserve">对成交结果提出质疑的，为成交结果公告期限届满之日。</w:t>
      </w:r>
      <w:r/>
    </w:p>
    <w:p>
      <w:pPr>
        <w:pStyle w:val="885"/>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ascii="宋体" w:hAnsi="宋体" w:cs="宋体"/>
          <w:sz w:val="24"/>
          <w:szCs w:val="24"/>
        </w:rPr>
        <w:t xml:space="preserve">中心、采购人将只对供应商第一次质疑作出答复。</w:t>
      </w:r>
      <w:r>
        <w:rPr>
          <w:rFonts w:ascii="宋体" w:hAnsi="宋体" w:cs="宋体"/>
          <w:sz w:val="24"/>
          <w:szCs w:val="24"/>
        </w:rPr>
      </w:r>
      <w:r/>
    </w:p>
    <w:p>
      <w:pPr>
        <w:pStyle w:val="885"/>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885"/>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pStyle w:val="885"/>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苏州市公共资源交易中心吴江分中心，联系电话：0512-60905852。</w:t>
      </w:r>
      <w:r/>
    </w:p>
    <w:p>
      <w:pPr>
        <w:pStyle w:val="885"/>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以传真、电子邮件等方式递交的非纸质原件形式的质疑。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供应商组成联合体参加磋商的，</w:t>
      </w:r>
      <w:r>
        <w:rPr>
          <w:rFonts w:hint="eastAsia" w:ascii="宋体" w:hAnsi="宋体"/>
          <w:sz w:val="24"/>
          <w:szCs w:val="24"/>
        </w:rPr>
        <w:t xml:space="preserve">联合体中任何一方或多方未按要求签字、盖章、加盖公章的质疑。</w:t>
      </w:r>
      <w:r/>
    </w:p>
    <w:p>
      <w:pPr>
        <w:pStyle w:val="885"/>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w:t>
      </w:r>
      <w:r>
        <w:rPr>
          <w:rFonts w:hint="eastAsia" w:ascii="宋体" w:hAnsi="宋体"/>
          <w:sz w:val="24"/>
          <w:szCs w:val="24"/>
        </w:rPr>
        <w:t xml:space="preserve">权依据政府采购的有关规定，报请政府采购监管部门对该供应商进行相应的行政处罚和记录该供应商的失信信息。</w:t>
      </w:r>
      <w:r/>
    </w:p>
    <w:p>
      <w:pPr>
        <w:pStyle w:val="885"/>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30、成交通知书</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85"/>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w:t>
      </w:r>
      <w:r>
        <w:rPr>
          <w:rFonts w:hint="eastAsia" w:ascii="宋体" w:hAnsi="宋体"/>
          <w:sz w:val="24"/>
          <w:szCs w:val="24"/>
        </w:rPr>
        <w:t xml:space="preserve">个组成部分。对采购人和成交供应商均具有法律效力。成交通知书发出后，采购人改变成交结果的，或者成交供应商放弃成交项目的，应当依法承担法律责任。</w:t>
      </w:r>
      <w:r/>
    </w:p>
    <w:p>
      <w:pPr>
        <w:pStyle w:val="885"/>
        <w:keepLines/>
        <w:keepNext/>
        <w:spacing w:before="145" w:after="145" w:line="520" w:lineRule="exact"/>
        <w:rPr>
          <w:rFonts w:hint="eastAsia" w:ascii="宋体" w:hAnsi="宋体"/>
          <w:b/>
          <w:bCs/>
          <w:sz w:val="32"/>
          <w:szCs w:val="32"/>
        </w:rPr>
        <w:outlineLvl w:val="2"/>
      </w:pPr>
      <w:r/>
      <w:bookmarkStart w:id="148" w:name="_Toc120614220"/>
      <w:r/>
      <w:bookmarkStart w:id="149" w:name="_Toc16938552"/>
      <w:r/>
      <w:bookmarkStart w:id="150" w:name="_Toc513029236"/>
      <w:r/>
      <w:bookmarkStart w:id="151" w:name="_Toc20823308"/>
      <w:r>
        <w:rPr>
          <w:rFonts w:hint="eastAsia" w:ascii="宋体" w:hAnsi="宋体"/>
          <w:b/>
          <w:bCs/>
          <w:sz w:val="32"/>
          <w:szCs w:val="32"/>
        </w:rPr>
        <w:t xml:space="preserve">七、授予合同</w:t>
      </w:r>
      <w:bookmarkEnd w:id="148"/>
      <w:r>
        <w:rPr>
          <w:rFonts w:hint="eastAsia" w:ascii="宋体" w:hAnsi="宋体"/>
          <w:b/>
          <w:bCs/>
          <w:sz w:val="32"/>
          <w:szCs w:val="32"/>
        </w:rPr>
      </w:r>
      <w:r/>
    </w:p>
    <w:p>
      <w:pPr>
        <w:pStyle w:val="885"/>
        <w:ind w:firstLine="600"/>
        <w:keepLines/>
        <w:keepNext/>
        <w:spacing w:line="520" w:lineRule="exact"/>
        <w:rPr>
          <w:rFonts w:ascii="宋体" w:hAnsi="宋体"/>
          <w:bCs/>
          <w:sz w:val="30"/>
          <w:szCs w:val="30"/>
        </w:rPr>
        <w:outlineLvl w:val="3"/>
      </w:pPr>
      <w:r/>
      <w:bookmarkEnd w:id="149"/>
      <w:r/>
      <w:bookmarkEnd w:id="150"/>
      <w:r/>
      <w:bookmarkEnd w:id="151"/>
      <w:r/>
      <w:bookmarkStart w:id="152" w:name="_Toc20823309"/>
      <w:r/>
      <w:bookmarkStart w:id="153" w:name="_Toc16938553"/>
      <w:r/>
      <w:bookmarkStart w:id="154" w:name="_Toc513029237"/>
      <w:r>
        <w:rPr>
          <w:rFonts w:hint="eastAsia" w:ascii="宋体" w:hAnsi="宋体"/>
          <w:bCs/>
          <w:sz w:val="30"/>
          <w:szCs w:val="30"/>
        </w:rPr>
        <w:t xml:space="preserve">31. 签订合同</w:t>
      </w:r>
      <w:r>
        <w:rPr>
          <w:rFonts w:ascii="宋体" w:hAnsi="宋体"/>
          <w:bCs/>
          <w:sz w:val="30"/>
          <w:szCs w:val="30"/>
        </w:rPr>
      </w:r>
      <w:r/>
    </w:p>
    <w:p>
      <w:pPr>
        <w:pStyle w:val="885"/>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pStyle w:val="885"/>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32、标的物的追加</w:t>
      </w:r>
      <w:r/>
    </w:p>
    <w:p>
      <w:pPr>
        <w:pStyle w:val="885"/>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5"/>
        <w:ind w:firstLine="600"/>
        <w:keepLines/>
        <w:keepNext/>
        <w:spacing w:line="520" w:lineRule="exact"/>
        <w:rPr>
          <w:rFonts w:hint="eastAsia" w:ascii="宋体" w:hAnsi="宋体"/>
          <w:bCs/>
          <w:sz w:val="30"/>
          <w:szCs w:val="30"/>
        </w:rPr>
        <w:outlineLvl w:val="3"/>
      </w:pPr>
      <w:r/>
      <w:bookmarkEnd w:id="152"/>
      <w:r/>
      <w:bookmarkEnd w:id="153"/>
      <w:r/>
      <w:bookmarkEnd w:id="154"/>
      <w:r>
        <w:rPr>
          <w:rFonts w:hint="eastAsia" w:ascii="宋体" w:hAnsi="宋体"/>
          <w:bCs/>
          <w:sz w:val="30"/>
          <w:szCs w:val="30"/>
        </w:rPr>
        <w:t xml:space="preserve">33、政府采购履约资金扶持政策</w:t>
      </w:r>
      <w:r/>
    </w:p>
    <w:p>
      <w:pPr>
        <w:pStyle w:val="885"/>
        <w:ind w:firstLine="420"/>
        <w:rPr>
          <w:szCs w:val="21"/>
        </w:rPr>
      </w:pPr>
      <w:r>
        <w:rPr>
          <w:rFonts w:hint="eastAsia" w:ascii="宋体" w:hAnsi="宋体"/>
          <w:bCs/>
          <w:sz w:val="24"/>
          <w:szCs w:val="24"/>
        </w:rPr>
        <w:t xml:space="preserve">成交供应商可凭政府采购合同办理融资贷款，详情请见江苏政府采购网“政采贷”专栏。</w:t>
      </w:r>
      <w:r>
        <w:rPr>
          <w:szCs w:val="21"/>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ind w:firstLine="420"/>
        <w:rPr>
          <w:rFonts w:hint="eastAsia"/>
          <w:szCs w:val="21"/>
        </w:rPr>
      </w:pPr>
      <w:r>
        <w:rPr>
          <w:rFonts w:hint="eastAsia"/>
          <w:szCs w:val="21"/>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spacing w:line="500" w:lineRule="exact"/>
        <w:rPr>
          <w:rFonts w:ascii="宋体" w:hAnsi="宋体"/>
          <w:bCs/>
          <w:sz w:val="24"/>
          <w:szCs w:val="24"/>
        </w:rPr>
      </w:pPr>
      <w:r>
        <w:rPr>
          <w:rFonts w:ascii="宋体" w:hAnsi="宋体"/>
          <w:bCs/>
          <w:sz w:val="24"/>
          <w:szCs w:val="24"/>
        </w:rPr>
      </w:r>
      <w:r/>
    </w:p>
    <w:p>
      <w:pPr>
        <w:pStyle w:val="885"/>
        <w:spacing w:line="500" w:lineRule="exact"/>
        <w:rPr>
          <w:rFonts w:ascii="宋体" w:hAnsi="宋体"/>
          <w:bCs/>
          <w:sz w:val="24"/>
          <w:szCs w:val="24"/>
        </w:rPr>
      </w:pPr>
      <w:r>
        <w:rPr>
          <w:rFonts w:ascii="宋体" w:hAnsi="宋体"/>
          <w:bCs/>
          <w:sz w:val="24"/>
          <w:szCs w:val="24"/>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0"/>
      <w:r/>
      <w:bookmarkEnd w:id="31"/>
      <w:r/>
      <w:bookmarkEnd w:id="32"/>
      <w:r/>
      <w:bookmarkEnd w:id="33"/>
      <w:r/>
      <w:bookmarkEnd w:id="34"/>
      <w:r>
        <w:rPr>
          <w:rFonts w:hint="eastAsia" w:ascii="黑体" w:eastAsia="黑体"/>
          <w:bCs/>
          <w:sz w:val="44"/>
          <w:szCs w:val="28"/>
        </w:rPr>
        <w:t xml:space="preserve">文本</w:t>
      </w:r>
      <w:r/>
    </w:p>
    <w:p>
      <w:pPr>
        <w:pStyle w:val="885"/>
        <w:ind w:firstLine="480"/>
        <w:spacing w:line="500" w:lineRule="exact"/>
        <w:rPr>
          <w:rFonts w:hint="eastAsia" w:ascii="宋体" w:hAnsi="宋体"/>
          <w:bCs/>
          <w:sz w:val="24"/>
          <w:szCs w:val="21"/>
        </w:rPr>
      </w:pPr>
      <w:r/>
      <w:bookmarkStart w:id="155" w:name="_Toc16938559"/>
      <w:r/>
      <w:bookmarkStart w:id="156" w:name="_Toc513029243"/>
      <w:r/>
      <w:bookmarkStart w:id="157" w:name="_Toc20823315"/>
      <w:r>
        <w:rPr>
          <w:rFonts w:hint="eastAsia" w:ascii="宋体" w:hAnsi="宋体"/>
          <w:bCs/>
          <w:sz w:val="24"/>
          <w:szCs w:val="21"/>
        </w:rPr>
        <w:t xml:space="preserve">以下为成交后签定本项目合同的通用条款，成交供应商不得提出实质性的修</w:t>
      </w:r>
      <w:r>
        <w:rPr>
          <w:rFonts w:hint="eastAsia" w:ascii="宋体" w:hAnsi="宋体"/>
          <w:bCs/>
          <w:sz w:val="24"/>
          <w:szCs w:val="21"/>
        </w:rPr>
        <w:t xml:space="preserve">改。</w:t>
      </w:r>
      <w:r/>
    </w:p>
    <w:p>
      <w:pPr>
        <w:pStyle w:val="885"/>
        <w:rPr>
          <w:rFonts w:hint="eastAsia"/>
        </w:rPr>
      </w:pPr>
      <w:r>
        <w:rPr>
          <w:rFonts w:hint="eastAsia"/>
        </w:rPr>
      </w:r>
      <w:r/>
    </w:p>
    <w:p>
      <w:pPr>
        <w:pStyle w:val="885"/>
        <w:jc w:val="center"/>
        <w:rPr>
          <w:b/>
          <w:bCs/>
          <w:sz w:val="32"/>
          <w:szCs w:val="28"/>
        </w:rPr>
      </w:pPr>
      <w:r>
        <w:rPr>
          <w:rFonts w:hint="eastAsia"/>
          <w:b/>
          <w:bCs/>
          <w:sz w:val="32"/>
          <w:szCs w:val="36"/>
        </w:rPr>
        <w:t xml:space="preserve">江苏省政府采购合同（合同编号）</w:t>
      </w:r>
      <w:r>
        <w:rPr>
          <w:b/>
          <w:bCs/>
          <w:sz w:val="32"/>
          <w:szCs w:val="28"/>
        </w:rPr>
      </w:r>
      <w:r/>
    </w:p>
    <w:p>
      <w:pPr>
        <w:pStyle w:val="88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885"/>
        <w:spacing w:before="120" w:after="120"/>
        <w:rPr>
          <w:rFonts w:ascii="宋体" w:hAnsi="宋体" w:cs="Courier New"/>
          <w:sz w:val="24"/>
          <w:szCs w:val="24"/>
        </w:rPr>
      </w:pPr>
      <w:r>
        <w:rPr>
          <w:rFonts w:ascii="宋体" w:hAnsi="宋体" w:cs="Courier New"/>
          <w:sz w:val="24"/>
          <w:szCs w:val="24"/>
        </w:rPr>
        <w:t xml:space="preserve">甲方：（买方）_________</w:t>
      </w:r>
      <w:r/>
    </w:p>
    <w:p>
      <w:pPr>
        <w:pStyle w:val="88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8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85"/>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8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二、合同金额</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w:t>
      </w:r>
      <w:r>
        <w:rPr>
          <w:rFonts w:ascii="宋体" w:hAnsi="宋体" w:cs="Courier New"/>
          <w:sz w:val="24"/>
          <w:szCs w:val="24"/>
        </w:rPr>
        <w:t xml:space="preserve">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885"/>
        <w:spacing w:before="120" w:after="120"/>
        <w:rPr>
          <w:rFonts w:ascii="宋体" w:hAnsi="宋体" w:cs="Courier New"/>
          <w:b/>
          <w:sz w:val="24"/>
          <w:szCs w:val="24"/>
        </w:rPr>
      </w:pPr>
      <w:r>
        <w:rPr>
          <w:rFonts w:ascii="宋体" w:hAnsi="宋体" w:cs="Courier New"/>
          <w:b/>
          <w:sz w:val="24"/>
          <w:szCs w:val="24"/>
        </w:rPr>
        <w:t xml:space="preserve">三、技术资料</w:t>
      </w:r>
      <w:r/>
    </w:p>
    <w:p>
      <w:pPr>
        <w:pStyle w:val="88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8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w:t>
      </w:r>
      <w:r>
        <w:rPr>
          <w:rFonts w:hint="eastAsia" w:ascii="宋体" w:hAnsi="宋体" w:cs="Courier New"/>
          <w:sz w:val="24"/>
          <w:szCs w:val="24"/>
        </w:rPr>
        <w:t xml:space="preserve">其专利权、版权、商标权和工业设计权等知识产权的起诉。一旦出现侵权，由乙方负全部责任。</w:t>
      </w:r>
      <w:r/>
    </w:p>
    <w:p>
      <w:pPr>
        <w:pStyle w:val="88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8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8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6.1. 合同签订生效后，乙方交纳合同金额的10%作为本合同的履约保证金。履约保证金缴纳形式：支票、汇票、本票、</w:t>
      </w:r>
      <w:r>
        <w:rPr>
          <w:rFonts w:hint="eastAsia" w:ascii="宋体" w:hAnsi="宋体" w:cs="Courier New"/>
          <w:sz w:val="24"/>
          <w:szCs w:val="24"/>
        </w:rPr>
        <w:t xml:space="preserve">保函（政府采购电子履约保函(保险)）等非现金形式缴纳或提交。乙方需在合同签订前向甲方提供履约保证金。（政府采购电子履约保函(保险)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政府采购电子履约保函(保险)平台服务电话:400680-0</w:t>
      </w:r>
      <w:r>
        <w:rPr>
          <w:rFonts w:hint="eastAsia" w:ascii="宋体" w:hAnsi="宋体" w:cs="Courier New"/>
          <w:sz w:val="24"/>
          <w:szCs w:val="24"/>
        </w:rPr>
        <w:t xml:space="preserve">040。）</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62.1履约保证金退还方式：银行汇票或转帐</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62.2履约保证金退还时间及条件：履约保证金（无息）将在验收合格后由保证收取单位（采购人</w:t>
      </w:r>
      <w:r>
        <w:rPr>
          <w:rFonts w:hint="eastAsia" w:ascii="宋体" w:hAnsi="宋体" w:cs="Courier New"/>
          <w:sz w:val="24"/>
          <w:szCs w:val="24"/>
        </w:rPr>
        <w:t xml:space="preserve">）全额退回。</w:t>
      </w:r>
      <w:r/>
    </w:p>
    <w:p>
      <w:pPr>
        <w:pStyle w:val="885"/>
        <w:spacing w:before="120" w:after="120"/>
        <w:rPr>
          <w:rFonts w:ascii="宋体" w:hAnsi="宋体" w:cs="Courier New"/>
          <w:sz w:val="24"/>
          <w:szCs w:val="24"/>
        </w:rPr>
      </w:pPr>
      <w:r>
        <w:rPr>
          <w:rFonts w:hint="eastAsia" w:ascii="宋体" w:hAnsi="宋体" w:cs="Courier New"/>
          <w:sz w:val="24"/>
          <w:szCs w:val="24"/>
        </w:rPr>
        <w:t xml:space="preserve">6.2.3履约保证金不予退还的情形：如果中标人未能履行合同规定的一项或多项义务，招标人有权从履约保函中取得补偿，履约保函不足的，中标人需补足。</w:t>
      </w:r>
      <w:r>
        <w:rPr>
          <w:rFonts w:ascii="宋体" w:hAnsi="宋体" w:cs="Courier New"/>
          <w:sz w:val="24"/>
          <w:szCs w:val="24"/>
        </w:rPr>
      </w:r>
      <w:r/>
    </w:p>
    <w:p>
      <w:pPr>
        <w:pStyle w:val="885"/>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5"/>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885"/>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885"/>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8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8.1.1 预付款:合同总价的百分之三十(30%)，在合同签订生效，甲方自收到发票（发票金额为合同总价30%后10个工作日内，将资金支付到合同约定的乙方账户。 </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8.1.2 尾款：合同总价的百分之七十(70%)，经甲方试运行验收合格后，甲方自收到发票（发票金额为合同总价的70 %）后10个工作日内，将资金支付到合同约定的乙方账户。</w:t>
      </w:r>
      <w:r/>
    </w:p>
    <w:p>
      <w:pPr>
        <w:pStyle w:val="885"/>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5"/>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w:t>
      </w:r>
      <w:r>
        <w:rPr>
          <w:rFonts w:hint="eastAsia" w:ascii="宋体" w:hAnsi="宋体" w:cs="Courier New"/>
          <w:sz w:val="24"/>
          <w:szCs w:val="24"/>
        </w:rPr>
        <w:t xml:space="preserve">案内容做好相应配合工作。</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5"/>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88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885"/>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964"/>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w:t>
      </w:r>
      <w:r>
        <w:rPr>
          <w:rFonts w:hAnsi="宋体" w:cs="Courier New"/>
          <w:sz w:val="24"/>
          <w:szCs w:val="24"/>
        </w:rPr>
        <w:t xml:space="preserve">系统安全保护条例》等相关法律法规规定。</w:t>
      </w:r>
      <w:r/>
    </w:p>
    <w:p>
      <w:pPr>
        <w:pStyle w:val="885"/>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pStyle w:val="885"/>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pStyle w:val="885"/>
        <w:spacing w:before="120" w:after="120"/>
        <w:rPr>
          <w:rFonts w:ascii="宋体" w:hAnsi="宋体" w:cs="Courier New"/>
          <w:sz w:val="24"/>
          <w:szCs w:val="24"/>
        </w:rPr>
      </w:pPr>
      <w:r>
        <w:rPr>
          <w:rFonts w:ascii="宋体" w:hAnsi="宋体" w:cs="Courier New"/>
          <w:sz w:val="24"/>
          <w:szCs w:val="24"/>
        </w:rPr>
        <w:t xml:space="preserve">14.2双方权利和义务</w:t>
      </w:r>
      <w:r/>
    </w:p>
    <w:p>
      <w:pPr>
        <w:pStyle w:val="885"/>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pStyle w:val="885"/>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pStyle w:val="885"/>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pStyle w:val="885"/>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pStyle w:val="885"/>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pStyle w:val="885"/>
        <w:spacing w:before="120" w:after="120"/>
        <w:rPr>
          <w:rFonts w:ascii="宋体" w:hAnsi="宋体" w:cs="Courier New"/>
          <w:sz w:val="24"/>
          <w:szCs w:val="24"/>
        </w:rPr>
      </w:pPr>
      <w:r>
        <w:rPr>
          <w:rFonts w:ascii="宋体" w:hAnsi="宋体" w:cs="Courier New"/>
          <w:sz w:val="24"/>
          <w:szCs w:val="24"/>
        </w:rPr>
        <w:t xml:space="preserve">14.3信息安全保密期限</w:t>
      </w:r>
      <w:r/>
    </w:p>
    <w:p>
      <w:pPr>
        <w:pStyle w:val="885"/>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pStyle w:val="885"/>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pStyle w:val="885"/>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w:t>
      </w:r>
      <w:r>
        <w:rPr>
          <w:rFonts w:ascii="宋体" w:hAnsi="宋体" w:cs="Courier New"/>
          <w:sz w:val="24"/>
          <w:szCs w:val="24"/>
        </w:rPr>
        <w:t xml:space="preserve">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88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88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88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8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8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85"/>
        <w:ind w:firstLine="420"/>
        <w:spacing w:line="500" w:lineRule="exact"/>
        <w:rPr>
          <w:rFonts w:hint="eastAsia" w:ascii="宋体" w:hAnsi="宋体"/>
          <w:bCs/>
          <w:sz w:val="24"/>
          <w:szCs w:val="21"/>
        </w:rPr>
      </w:pPr>
      <w:r>
        <w:rPr>
          <w:rFonts w:hint="eastAsia"/>
          <w:szCs w:val="21"/>
        </w:rPr>
        <w:t xml:space="preserve">                                          </w:t>
      </w:r>
      <w:r>
        <w:rPr>
          <w:szCs w:val="21"/>
        </w:rPr>
        <w:t xml:space="preserve">签订日期</w:t>
      </w:r>
      <w:r>
        <w:rPr>
          <w:szCs w:val="21"/>
        </w:rPr>
        <w:t xml:space="preserve">：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85"/>
        <w:jc w:val="center"/>
        <w:spacing w:before="120" w:after="120" w:line="0" w:lineRule="atLeast"/>
        <w:rPr>
          <w:rFonts w:ascii="黑体" w:hAnsi="Courier New" w:eastAsia="黑体" w:cs="Courier New"/>
          <w:bCs/>
          <w:sz w:val="44"/>
          <w:szCs w:val="21"/>
        </w:rPr>
      </w:pPr>
      <w:r/>
      <w:bookmarkEnd w:id="155"/>
      <w:r/>
      <w:bookmarkEnd w:id="156"/>
      <w:r/>
      <w:bookmarkEnd w:id="157"/>
      <w:r/>
      <w:bookmarkStart w:id="158" w:name="_Hlt16619369"/>
      <w:r/>
      <w:bookmarkEnd w:id="158"/>
      <w:r/>
      <w:bookmarkStart w:id="159" w:name="_Hlt16619350"/>
      <w:r/>
      <w:bookmarkStart w:id="160" w:name="_Toc16938590"/>
      <w:r/>
      <w:bookmarkStart w:id="161" w:name="_Toc20823346"/>
      <w:r/>
      <w:bookmarkStart w:id="162" w:name="_Toc120614244"/>
      <w:r/>
      <w:bookmarkStart w:id="163" w:name="_Toc479757211"/>
      <w:r/>
      <w:bookmarkStart w:id="164" w:name="_Toc462564139"/>
      <w:r>
        <w:rPr>
          <w:rFonts w:ascii="黑体" w:hAnsi="Courier New" w:eastAsia="黑体" w:cs="Courier New"/>
          <w:bCs/>
          <w:sz w:val="44"/>
          <w:szCs w:val="21"/>
        </w:rPr>
      </w:r>
      <w:r/>
    </w:p>
    <w:p>
      <w:pPr>
        <w:pStyle w:val="885"/>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85"/>
        <w:spacing w:line="500" w:lineRule="exact"/>
        <w:rPr>
          <w:szCs w:val="21"/>
        </w:rPr>
      </w:pPr>
      <w:r>
        <w:rPr>
          <w:rFonts w:hint="eastAsia"/>
          <w:szCs w:val="21"/>
        </w:rPr>
        <w:t xml:space="preserve">同附件：</w:t>
      </w:r>
      <w:r>
        <w:rPr>
          <w:szCs w:val="21"/>
        </w:rPr>
      </w:r>
      <w:r/>
    </w:p>
    <w:p>
      <w:pPr>
        <w:pStyle w:val="885"/>
        <w:jc w:val="center"/>
        <w:spacing w:line="500" w:lineRule="exact"/>
        <w:rPr>
          <w:rFonts w:hint="eastAsia"/>
          <w:b/>
          <w:bCs/>
          <w:szCs w:val="21"/>
        </w:rPr>
      </w:pPr>
      <w:r>
        <w:rPr>
          <w:rFonts w:hint="eastAsia"/>
          <w:b/>
          <w:bCs/>
          <w:szCs w:val="21"/>
        </w:rPr>
        <w:t xml:space="preserve">验收方案</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验收人：</w:t>
      </w:r>
      <w:r>
        <w:rPr>
          <w:rFonts w:ascii="宋体" w:hAnsi="宋体" w:eastAsia="宋体" w:cs="Courier New"/>
          <w:sz w:val="24"/>
          <w:szCs w:val="24"/>
        </w:rPr>
        <w:t xml:space="preserve">苏州市公安局吴江分局</w:t>
      </w:r>
      <w:r>
        <w:rPr>
          <w:rFonts w:hint="eastAsia" w:ascii="宋体" w:hAnsi="宋体" w:eastAsia="宋体" w:cs="Courier New"/>
          <w:sz w:val="24"/>
          <w:szCs w:val="24"/>
        </w:rPr>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1、采购人组织对供应商履约的验收。本次采购项目，应当邀请采购人认可的机构或专家参加验收工作。验收方成员应当在验收书上签字，并承担相应的法律责任。如果发现与合同中要求不符，供应商须承担由此发生的一切损失和费用，并接受相应的处理。</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2、采购人可以邀请参加第三方机构参与验收。第三方机构的意见作为验收书的参考资料一并存档。</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3、严格按照采购合同开展履约验收。采购人成立验收小组，按照采购合同的约定对供应商履约情况进行验收。验</w:t>
      </w:r>
      <w:r>
        <w:rPr>
          <w:rFonts w:hint="eastAsia" w:ascii="宋体" w:hAnsi="宋体" w:eastAsia="宋体" w:cs="Courier New"/>
          <w:sz w:val="24"/>
          <w:szCs w:val="24"/>
        </w:rPr>
        <w:t xml:space="preserve">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5、因供应商原因造成验收不通过的，验收的费用仍由供应商承担。</w:t>
      </w:r>
      <w:r/>
    </w:p>
    <w:p>
      <w:pPr>
        <w:pStyle w:val="885"/>
        <w:ind w:firstLine="2640"/>
        <w:keepNex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黑体" w:eastAsia="黑体"/>
          <w:bCs/>
          <w:sz w:val="44"/>
          <w:szCs w:val="28"/>
        </w:rPr>
        <w:t xml:space="preserve">第四章  </w:t>
      </w:r>
      <w:bookmarkEnd w:id="159"/>
      <w:r>
        <w:rPr>
          <w:rFonts w:hint="eastAsia" w:ascii="黑体" w:hAnsi="Courier New" w:eastAsia="黑体" w:cs="Courier New"/>
          <w:bCs/>
          <w:sz w:val="44"/>
          <w:szCs w:val="21"/>
        </w:rPr>
        <w:t xml:space="preserve">采购需求</w:t>
      </w:r>
      <w:bookmarkEnd w:id="160"/>
      <w:r/>
      <w:bookmarkEnd w:id="161"/>
      <w:r/>
      <w:bookmarkEnd w:id="162"/>
      <w:r/>
      <w:bookmarkStart w:id="165" w:name="_Toc49090575"/>
      <w:r/>
      <w:bookmarkStart w:id="166" w:name="_Toc26554093"/>
      <w:r>
        <w:rPr>
          <w:rFonts w:hint="eastAsia" w:ascii="黑体" w:hAnsi="Courier New" w:eastAsia="黑体" w:cs="Courier New"/>
          <w:bCs/>
          <w:sz w:val="44"/>
          <w:szCs w:val="21"/>
        </w:rPr>
      </w:r>
      <w:r/>
    </w:p>
    <w:p>
      <w:pPr>
        <w:pStyle w:val="885"/>
        <w:numPr>
          <w:ilvl w:val="0"/>
          <w:numId w:val="5"/>
        </w:numPr>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项目具体内容及要求</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1.电子数据汇聚管理子系统</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（1）数据汇聚</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提供多种数据上传方式，包括Web页面上传以及数据采集终端软件直传，也可通过与其它公安网系统对接，通过公安网数据直传方式将苏州市局系统中的吴江区电子数据数据传输至本平台。上传的数据类型包括标准BCP数据包以及其他类型数据包。</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（2）数据处理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数据解析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通过数据上传汇聚到各种数据源，在入库前需要对上传的数据包进行解析，通过多种固化的</w:t>
      </w:r>
      <w:r>
        <w:rPr>
          <w:rFonts w:hint="eastAsia" w:ascii="宋体" w:hAnsi="Courier New" w:cs="Courier New"/>
          <w:sz w:val="24"/>
          <w:szCs w:val="24"/>
        </w:rPr>
        <w:t xml:space="preserve">解析方式，实现数据解析的过程性管理。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数据清洗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数据清洗的目标是为了去除数据中的错误、无效、重复的数据，避免这些数据在后续的分析中造成干扰，生成满足标准及质量要求的数据，主要包括数据过滤、去重、格式转换、校验、标识等功能。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数据比对</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数据比对用来完成数据一致性的校验，针对基础信息的关键数据项建立比对规则，实现待比对数据与比对基准数据进行批量比对，通过系统的核实比对，标识一致、不一致的状态。</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数据标识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提取数据中的主题词、关键词，并根据主题词和关键词对数据进行标识，作为查询、检索的基础。标识包括领域标识、地域标识、来源标识、可信性标识、数据安全标识等。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数据关联</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针对实战平台中指向相同信息的数据进行归类合并与关联整合，实现同类数据内容的不断扩充与叠加。对于同样目标对象的数据进行信息补充，去除重复信息同时保留数据来源和时间信息，为后续大数据资源池的搜索和分析应用做好数据的支撑。</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数据入库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通过建立统一的基础数据库，将不同系统的业务数据，以及相关的信息整合汇总到统一的数据治理平台中。彻底解决各业务系统独立，数据分散，资源没有整合、使用率低，数据共享程度低等问题。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系统在建设过程中，对数据库内容进行合理的规划和界定，</w:t>
      </w:r>
      <w:r>
        <w:rPr>
          <w:rFonts w:hint="eastAsia" w:ascii="宋体" w:hAnsi="Courier New" w:cs="Courier New"/>
          <w:sz w:val="24"/>
          <w:szCs w:val="24"/>
        </w:rPr>
        <w:t xml:space="preserve">综合考虑纵向和横向数据对接与同步需求。逻辑设计和物理设计上，建立相关规范标准，对资源数据库进行提炼、细化，做到数据资源库是结构合理、易扩展、易兼容、易维护。从规范数据格式层面，需减少业务的后台数据交换处理环节，提供统一的基础数据库；从管理上可以保障业务数据的统一管理，统一存储，减少数据不一致问题；从业务上可以提升业务数据的使用效率和整合能力；从应用上可以实现对海量数据分析、计算、检索。数据资源库具体可划分为基础数据库、专题数据库和主题数据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2.电子数据分析研判子系统</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（1）建立标签体系</w:t>
      </w:r>
      <w:r/>
    </w:p>
    <w:p>
      <w:pPr>
        <w:pStyle w:val="885"/>
        <w:spacing w:before="120" w:after="120" w:line="360" w:lineRule="auto"/>
      </w:pPr>
      <w:r>
        <w:rPr>
          <w:rFonts w:hint="eastAsia" w:ascii="宋体" w:hAnsi="Courier New" w:cs="Courier New"/>
          <w:sz w:val="24"/>
          <w:szCs w:val="24"/>
        </w:rPr>
        <w:t xml:space="preserve">行为标签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平台能够识别</w:t>
      </w:r>
      <w:r>
        <w:rPr>
          <w:rFonts w:hint="eastAsia" w:ascii="宋体" w:hAnsi="Courier New" w:cs="Courier New"/>
          <w:sz w:val="24"/>
          <w:szCs w:val="24"/>
        </w:rPr>
        <w:t xml:space="preserve">对话信息中的特定行为，如恢复数据、频繁转账、大额转账、虚拟币交易等并自动打标。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平台能够识别对话中本、对方账号的特定关系，如同案嫌疑人、同案人共同好友、共同使用账号等。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系统能自动识别群组的特征，如同案人共同群、嫌疑人管理群、群成员多人涉案等并自动打上标签。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APP标签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对嫌疑人应用安装列表进行分析，平台支持对敏感APP、VPN软件、翻墙工具等进行识别并预警。</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（2）检材数据管理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检材列表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检材列表是电子数据检材管理的核心功能之一，用于展示所有已上传或已采集的检材信息。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检材分</w:t>
      </w:r>
      <w:r>
        <w:rPr>
          <w:rFonts w:hint="eastAsia" w:ascii="宋体" w:hAnsi="Courier New" w:cs="Courier New"/>
          <w:sz w:val="24"/>
          <w:szCs w:val="24"/>
        </w:rPr>
        <w:t xml:space="preserve">享</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检材分享功能允许用户将检材信息或检材文件安全地共享给其他用户或团队成员。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检材收藏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检材收藏功能允许用户将重要的检材标记为“收藏”，方便后续快速访问和重点分析。用户可通过被采集人、身份证号、IMEI、MAC等方式进行收藏检材的搜索，从而快速定位和筛选出符合特定条件的检材信息。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（3）案件数据管理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案件列表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案件列表是电子数据检材管理的核心功能之一，用于展示所有检材归属的案件信息。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案件收藏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案件收藏功能允许用户将重要的案件标记为“收藏”，方便后续快速访问和重点分析。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管理用于对案件进行管理，用户可创建案件，根据案件编号、案件名称、案由、主办人等维度查询案件。支持案件下人员的新增和删除，可通过姓名、身份证号、人员类型等查询相关人员；可在案件下新增检材，添加案件研判人员，系统会保留案件人员访问记录日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检材数据展示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上传的手机检材数据依据智能手机应用结构进行分块展示。展示的数据包括手机报告、手机信息、手机应用信息以及相关的应用数据。应用分类包括基础信息、社交聊天、网页浏览、生活工具、电子邮箱、地图导航、系统信息、网络硬盘、媒体文件等。每项应用可展示具体的数据量，提供全局搜索功能，各项应用可相</w:t>
      </w:r>
      <w:r>
        <w:rPr>
          <w:rFonts w:hint="eastAsia" w:ascii="宋体" w:hAnsi="Courier New" w:cs="Courier New"/>
          <w:sz w:val="24"/>
          <w:szCs w:val="24"/>
        </w:rPr>
        <w:t xml:space="preserve">应的展示搜索出的数据量。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（4）检材内搜索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检材内数据通用搜索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检材内数据通用搜索：平台支持对检材进行通用搜索，通用搜索主要用户关键词的搜索，展示匹配的内容、联系人、群组、应用数据。</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检材内数据语义搜索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平台支持对检材进行通用搜索，实现对用户查询的深度语义理解，通过意图识别，系统可以判断用户提问的真正目的从而在传统搜索的基础上提供更友好、更精准的交互结果。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数据量标记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平台可支持对相关应用进行数据量统计分析后进行展示。点击相关应用后即可对该应用进行数据查看。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数据筛选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平台支持对应用内包含的不同类型数据进行分别展示，如图片、视频、定位、转账、文档、通话等。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标记线索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侦查人员可通过对检材的研判分析，将重要线索进行标记，并可在重要线索中进行统一展示。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应用搜索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系统展示嫌疑人安装所有应用，侦查人员可通过应用搜索的方式快速查询当前嫌疑人是否安装了某特定应用，可展示该应用程序的软件开发包名、软件版本、安装时间、更新时间等。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（5）全局搜索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高效一键搜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电子数据作战平台的全局搜索功能支持对平台内不同类型数据的快速搜索和筛选。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平台使用倒排索引技术对不同类型的数据进行索引，确保快速检索能力。支持对多种数据类型的索引和搜</w:t>
      </w:r>
      <w:r>
        <w:rPr>
          <w:rFonts w:hint="eastAsia" w:ascii="宋体" w:hAnsi="Courier New" w:cs="Courier New"/>
          <w:sz w:val="24"/>
          <w:szCs w:val="24"/>
        </w:rPr>
        <w:t xml:space="preserve">索，能够高效处理海量数据。将不同类型的数据存储在不同的数据层或表中，通过统一的接口进行访问和查询，提高数据管理的灵活性和效率。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类型数据支持：支持对手机号码、虚拟身份、群组、身份证、姓名、案件、检材、聊天内容、安装应用等多种类型数据的全局搜索与结果反馈，反馈结果不仅仅是基于关键词的匹配，更是分析结果的定向查询，体现搜索之智；将人员基本信息、人员关系、关联推荐进行整合，充分体现数据治理后的价值；搜索结果展示对应标签，方便侦查人员找到更为关心的案件、检材、目标对象。用户可通过点击搜索进入相关检材，进入检材详情。</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多条件关联搜索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平台可以通过关键词和逻辑条件实现涉案对象数据的多条件关联搜索，用户可在全局界面的搜索框中输入需要搜索的关键字，系统会根据过滤条件在平台全库中匹配对应记录。</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关系搜索可用于对平台目标人员、账号、手机号等碰撞后的互通信息详情自动分析后的搜索，通过对聊天数据、通讯录、交易明细、WiFi，app 安装等数据，实时绘制包括不限于人员、虚拟账号、手机号、银行卡、案件等要素间的关系网络，可以精准表达人员出行、社交关系、资金流向、串并案关联等数据脉络。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（6）综合研判工具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案件内搜索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为了更精</w:t>
      </w:r>
      <w:r>
        <w:rPr>
          <w:rFonts w:hint="eastAsia" w:ascii="宋体" w:hAnsi="Courier New" w:cs="Courier New"/>
          <w:sz w:val="24"/>
          <w:szCs w:val="24"/>
        </w:rPr>
        <w:t xml:space="preserve">准搜到研判人员所需数据，需要针对案件内部进一步线索信息的搜索。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多流合一</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将对象通过不同方式产生的数据信息的使用时间和频度以图表的形式分类展示。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轨迹分析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把系统依据获取数据的活动时间、地理坐标、基站坐标等时空数据在地图上显示时空轨迹碰撞效果，直观的展示目标对象的活动情况以及多目标的碰撞信息，便于分析查看目标对象的活动规律。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资金分析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资金分析用于展示案件内每个对象历年的资金变化趋势，与相应关联人之间的具体资金来往情况以及相应资金交易路径的事件记录，通过折线图的方式展示，显示某段时间、金额区间的资金信息，还可以搜索事件信息，过滤出所需信息。同时可以显示具体日期的资金变动情况。</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碰撞分析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碰撞分析功能用于图形化展示选择的多个案件中或者检材之间的关系。通过该图，可以快速查询特定应用在不同对象或者检材之间的联系。支持多种应用功能之间的信息交互展示，包括微信、支付宝、短信、QQ等。同时也可根据用户使用习惯和检验需求对碰撞结果提供多种展示界面。碰撞目标对象和数据类型均可以按照实际检验要求进行快速勾选，并以不同颜色展现，方便快速查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时序分析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以时间轴的形式，对各类数据进行展现。展示目标对象在某一段时间内的事件记录，以</w:t>
      </w:r>
      <w:r>
        <w:rPr>
          <w:rFonts w:hint="eastAsia" w:ascii="宋体" w:hAnsi="Courier New" w:cs="Courier New"/>
          <w:sz w:val="24"/>
          <w:szCs w:val="24"/>
        </w:rPr>
        <w:t xml:space="preserve">及相关多个目标对象在同一时间点的事件轨迹的对比分析。              </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（7）专项模型分析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平台围绕嫌疑人的手机信息、关系人、机主身份、应用特征、事件规律特征等维度组合进行模型预设，智能推荐出平台中匹配预设模型的检材，辅助侦查民警快速锁定关键线索。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模型分析，是基于大数据分析，单个嫌疑人所有信息标签的集合，即通过收集与分析用户的手机信息、关系人、机主身份、应用分析、规律分析等主要信息，将用户所有的标签综合起来，勾勒出该用户的整体特征与轮廓。模型画像可以较为精准地为办案人员提供关键信息与参考数据，逐渐成为破案的便捷手段。</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以对每个嫌疑人进行模型刻画，通过嫌疑人手机采集的数据与平台内置的模型进行碰撞，得出针对嫌疑人的模型画像。基于目标嫌疑人的各个属性维度，智能分析评测涉毒、涉黑、涉盗、涉黄、涉假等模型指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（8）人工智能分析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搭载AI智能图像处理、文本处理引擎，能够准确识别图片、文档中的文字、银行卡、身份证、护照等内容，自动识别归类上传数据中的图片内容。实现对结构化和非结构化数据进行高级处理，结合人工智能技术，为涉枪爆、涉赌、涉黄等特定类型案件的侦查提供强有力的技术支撑。</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图片文字识别</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对图</w:t>
      </w:r>
      <w:r>
        <w:rPr>
          <w:rFonts w:hint="eastAsia" w:ascii="宋体" w:hAnsi="Courier New" w:cs="Courier New"/>
          <w:sz w:val="24"/>
          <w:szCs w:val="24"/>
        </w:rPr>
        <w:t xml:space="preserve">片属性识别归类，如识别人、危险物品、地理位置、政府文件、医疗文件、法律文件、个人身份、918099涉政类、暴力行为、银行卡、转账、截图、二维码、营业执照等。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语音数据利用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平台支持多种语言的语音转录和翻译，它能够将语音文件转换为文字，并且可以处理多种音频格式支持将语音数据转换为文字。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文档识别归类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可识别文档中身份证号、邮箱号、手机号、内容等，对文档属性分析，标记含虚拟币、公民信息特征，提供文档名称、包含内容的搜索功能。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线索自动推荐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对采集的数据进行清洗、去重、格式化等预处理操作后建立统一的数据模型，全区涉案数据自动碰撞、分析，应用机器学习算法（如聚类分析、关联规则挖掘），发现潜在的异常模式和关系，根据分析结果生成嫌疑人和账号的推送列表。自动编写详细的推送理由，包括但不限于与多涉案人员互为好友、与涉案人员存在交易行为、多个通联人员为涉案嫌疑人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语义搜图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通过理解用户输入的自然语言描述或图像内容的语义，来检索与之相关的图像。以图搜图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通过提取图像的全局特征（颜色分布、纹理）与局部特征，实现与上传图片在全平台范围内搜索相似图片。支持原图/截图表、模糊图像、局部截图的多模态搜索。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AI对话智能总结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w:t>
      </w:r>
      <w:r>
        <w:rPr>
          <w:rFonts w:hint="eastAsia" w:ascii="宋体" w:hAnsi="Courier New" w:cs="Courier New"/>
          <w:sz w:val="24"/>
          <w:szCs w:val="24"/>
        </w:rPr>
        <w:t xml:space="preserve">够自动对检材中的聊天内容进行深度分析，自动提炼出对话的核心主题。无论是涉及违法犯罪行为的策划、交易，还是普通社交聊天，系统都能精准识别并总结出双方（即对立方账号和本方账号）的聊天主题。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含敏感话题检材推荐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平台自动识别聊天主题，判断涉案倾向，标签化展示涉黄、涉毒等涉案特征的对话，并且自动推荐含敏感话题的检材。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AI情景搜索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自然语言处理和深度学习，能够真正理解用户查询的语义背景和上下文。不仅能够识别用户输入的单词，还能理解这些单词背后的含义、意图以及情感色彩。从而在传统搜索的基础上提供更友好、更精准的交互结果。解决传统搜索引擎基于关键词匹配的局限性，通过深度语义理解，能够更准确地捕捉用户的真实需求，生成更精准的搜索结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AI轨迹刻画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通过深度分析手机采集数据中的地图导航记录、定位分享、WiFi连接、照片拍摄等信息，能够精准刻画嫌疑人手机数据中的行程轨迹，并自动生成AI轨迹报告。平台不仅总结轨迹规律，还能识别嫌疑人的常去地点、工作地、住所和敏感地点，为案件侦查提供强有力的技术支持。</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AI检材诊断</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平台自动从多维度对检材进行通用诊断，包括且不限于对应用安装、好友关系、对话内容、浏览记录、短信、通话记录、</w:t>
      </w:r>
      <w:r>
        <w:rPr>
          <w:rFonts w:hint="eastAsia" w:ascii="宋体" w:hAnsi="Courier New" w:cs="Courier New"/>
          <w:sz w:val="24"/>
          <w:szCs w:val="24"/>
        </w:rPr>
        <w:t xml:space="preserve">相册、轨迹信息进行诊断，识别提炼敏感数据。</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基于人工智能技术的自动化分析电子数据，从人员关系、安装APP、对话内容、网页浏览记录、轨迹情况等维度中识别潜在的敏感信息，提高案件侦办效率。同时具备特定案件类型的诊断能力，通过构建AI智能体，在涉黄、涉赌、涉毒、个人极端等案件中进行专项诊断，识别犯罪模式挖掘涉案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AI智能问答</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基于AI检材诊断报告，民警可以通过QA的方式在线提问，平台会自动整理嫌疑人的基本信息、检材数据内容以及提炼出来的敏感涉案，对提问内容进行智能反馈。</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（9）研判工具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研判笔记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为案件研判分析过程中提供案件笔记工具，用于在分析案件的大量数据时发现关键数据可以及时标注到记事本中，包括重要信息、重点人物、转账记录、关键词信息、图片信息等，便于研判人员进行二次分析。案件笔记可以基于案件进行创建也可以基于案件内的侦查小组进行创建，案件笔记记录的内容在案件或小组内共享，实现研判过程的多人协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工具集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平台为用户提供多种工具，如浏览器、录屏工具、hash值计算工具、BCP文件查看工具、数据库快速连接工具、photoshop修图工具等。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（10）数据刻画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数据汇聚平台后，突出显示检材重点要</w:t>
      </w:r>
      <w:r>
        <w:rPr>
          <w:rFonts w:hint="eastAsia" w:ascii="宋体" w:hAnsi="Courier New" w:cs="Courier New"/>
          <w:sz w:val="24"/>
          <w:szCs w:val="24"/>
        </w:rPr>
        <w:t xml:space="preserve">素，如特征分析、图片分析、文档分析及历史案件记录等。民警可快速了解检材关键信息，对重要特征、挖掘案件侦办重要线索。平台构建关键、直观、全面的检材画像，为公安侦查策略提供指引，办案民警快速浏览即可掌握基本面貌，大幅提高工作效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人物画像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大量数据的汇聚与关联整合，利用虚拟身份、行为数据、关系数据等各类数据对人物的背景、偏好、行为等维度进行深层次分析，刻画出丰富的人物画像。包括人员基本信息、受教育情况、从业情况、关联关系、家庭住址、快递信息、外卖信息、车辆信息、经济状况、社会群体信息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案件的多个涉案人员数据根据以下多维度的预设规则进行综合分析，挖掘出多个涉案人员之间共同关系的线索，包括：案发现场出现、交叉使用账号、共同出现地点、共同交易对象、共同出现身份、共同群组及关系圈等维度。</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虚拟账号画像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虚拟账号画像整合并深度挖掘与虚拟身份相关的多维信息，构建全面的身份档案。其汇聚了虚拟身份的基础属性（如账号、昵称等），并通过智能分析关联其最可能对应的真实嫌疑人，为侦查提供关键线索；若暂无明确归属，则通过聚合他人对该身份的备注标签（以词云可视化呈现），辅助研判其潜在归属。此外，还清晰展示该虚拟身份的历</w:t>
      </w:r>
      <w:r>
        <w:rPr>
          <w:rFonts w:hint="eastAsia" w:ascii="宋体" w:hAnsi="Courier New" w:cs="Courier New"/>
          <w:sz w:val="24"/>
          <w:szCs w:val="24"/>
        </w:rPr>
        <w:t xml:space="preserve">史使用记录（如被哪些嫌疑人登录）、社交关系网络（好友关联嫌疑人）及群组共现信息（与哪些嫌疑人同属特定群组），从而帮助公安用户高效追溯虚拟身份背后的实体关联，支撑团伙识别、线索串并等实战场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手机号画像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手机号画像整合并深度挖掘与手机号码相关的多维信息，构建全面的手机号档案。通过智能分析关联其最可能对应的真实嫌疑人，为侦查提供关键线索；若暂无明确归属，则通过聚合他人对该身份的备注标签（以词云可视化呈现），辅助研判其潜在归属。此外，模块还清晰展示该手机号码的使用人信息、通讯录存储情况及其他嫌疑人与之的通联记录。</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群账号画像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群账号画像聚焦于对平台内群组的深度挖掘与分析，揭示群组的特征、成员关联及潜在风险，基于成员身份智能识别群组性质（如涉诈、涉赌、涉黄等高风险标签）。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数据统计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采集统计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统计各单位采集数据的总数，并进行统计排名、考核。可以按照区/县级与单位进行统计数据查看，单位可以精确到各个派出所。</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系统支持按照单位或区域名称进行查询采集的手机总数，QQ采集数，QQ占比、微信数、微信占比、短信数、短信占比等。统计结果支持EXCEL导出。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角色管理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为完成系统管理，系统应具备角色管理功能，以进行之后的</w:t>
      </w:r>
      <w:r>
        <w:rPr>
          <w:rFonts w:hint="eastAsia" w:ascii="宋体" w:hAnsi="Courier New" w:cs="Courier New"/>
          <w:sz w:val="24"/>
          <w:szCs w:val="24"/>
        </w:rPr>
        <w:t xml:space="preserve">管理工作。角色应该分为以下三类：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超级管理员：该管理员为最高权限管理人员，负责设置其他系统管理员；此外还拥有系统管理的权限，可以开展对系统内部各种设置进行修改和调整。</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系统管理员：在上级管理员授权的范围、层级下对本单位或部门以及下属单位或部门的人员进行岗位、权限的分配。</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操作人员：即通常所指的“用户”，在系统管理员授权的范围内开展相应的操作。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角色管理功能应该可以通过定义系统的角色，区分不同类别的用户可以完成的操作功能。角色可以赋给一个岗位，使此岗位的操作人员可以使用角色中指定的系统功能。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敏感词管理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根据业务需求，用户可自定义敏感词库，通过关键词匹配、规则库设定等方式实现敏感词的自动识别和过滤，在用户输入时，实时调用敏感词检测或本地敏感词过滤系统，对输入内容进行检测，禁止用户搜索敏感词。</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数据审计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敏感数据保护功能，平台可以自动发现和分类敏感数据，并设置访问权限。平台台可以实时检测敏感日志的生成，并根据预设规则进行消息推送。例如，当检测到敏感词或异常行为时，平台可以向指定的用户或管理员发送通知。</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权限管理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数据分级分类管理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平台对采集的电子数据按照涉隐私程度分级分类管理：分为公开级别、低私密级别、中私密</w:t>
      </w:r>
      <w:r>
        <w:rPr>
          <w:rFonts w:hint="eastAsia" w:ascii="宋体" w:hAnsi="Courier New" w:cs="Courier New"/>
          <w:sz w:val="24"/>
          <w:szCs w:val="24"/>
        </w:rPr>
        <w:t xml:space="preserve">级别和高私密级别四级。提供不同权限用户的不同数据搜索、查询方式，展示不同权限用户下的案件数量、检材数量以及不同级别的数据。系统管理员可以根据实际需要给不同用户分配相应权限。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权限申请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管理员可为不同的检材设置不同的密级，对应不同的数据范围，普通的办案民警在浏览数据时只能查看对应密级的数据。 </w:t>
      </w:r>
      <w:r/>
    </w:p>
    <w:p>
      <w:pPr>
        <w:pStyle w:val="885"/>
        <w:spacing w:before="120" w:after="120" w:line="360" w:lineRule="auto"/>
        <w:rPr>
          <w:rFonts w:ascii="宋体" w:hAnsi="Courier New" w:cs="Courier New"/>
          <w:sz w:val="24"/>
          <w:szCs w:val="24"/>
        </w:rPr>
      </w:pPr>
      <w:r>
        <w:rPr>
          <w:rFonts w:hint="eastAsia" w:ascii="宋体" w:hAnsi="Courier New" w:cs="Courier New"/>
          <w:sz w:val="24"/>
          <w:szCs w:val="24"/>
        </w:rPr>
        <w:t xml:space="preserve">对于无权限访问的检材，如跨单位侦办等情况，可向管理员申请访问，由管理员审批通过后，即可查看该检材的数据。</w:t>
      </w:r>
      <w:r>
        <w:rPr>
          <w:rFonts w:ascii="宋体" w:hAnsi="Courier New" w:cs="Courier New"/>
          <w:sz w:val="24"/>
          <w:szCs w:val="24"/>
        </w:rPr>
      </w:r>
      <w:r/>
    </w:p>
    <w:p>
      <w:pPr>
        <w:pStyle w:val="953"/>
        <w:numPr>
          <w:ilvl w:val="0"/>
          <w:numId w:val="6"/>
        </w:numPr>
        <w:ind w:firstLine="480"/>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运行和技术服务</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质量要求：建设成果要满足招标文件的技术参数要求，并满足可靠性、可维护性和可移植性。</w:t>
      </w:r>
      <w:r/>
    </w:p>
    <w:p>
      <w:pPr>
        <w:pStyle w:val="885"/>
        <w:spacing w:after="120" w:line="360" w:lineRule="auto"/>
        <w:rPr>
          <w:rFonts w:hint="eastAsia" w:ascii="宋体" w:hAnsi="宋体" w:cs="宋体"/>
          <w:bCs/>
          <w:sz w:val="24"/>
        </w:rPr>
      </w:pPr>
      <w:r>
        <w:rPr>
          <w:rFonts w:hint="eastAsia" w:ascii="宋体" w:hAnsi="宋体" w:cs="宋体"/>
          <w:bCs/>
          <w:sz w:val="24"/>
        </w:rPr>
        <w:t xml:space="preserve">可靠性：能防止因概念、设计和结构等方面的不完善造成的软件系统失效，具有挽回因操作不当造成软件系统失效的能力。</w:t>
      </w:r>
      <w:r/>
    </w:p>
    <w:p>
      <w:pPr>
        <w:pStyle w:val="885"/>
        <w:spacing w:after="120" w:line="360" w:lineRule="auto"/>
        <w:rPr>
          <w:rFonts w:hint="eastAsia" w:ascii="宋体" w:hAnsi="宋体" w:cs="宋体"/>
          <w:bCs/>
          <w:sz w:val="24"/>
        </w:rPr>
      </w:pPr>
      <w:r>
        <w:rPr>
          <w:rFonts w:hint="eastAsia" w:ascii="宋体" w:hAnsi="宋体" w:cs="宋体"/>
          <w:bCs/>
          <w:sz w:val="24"/>
        </w:rPr>
        <w:t xml:space="preserve">可维护性：软件交付使用后，能够对它进行修改，以改正潜伏的错误，改进性能和其它属性，使软件产品适应环境的变化等。</w:t>
      </w:r>
      <w:r/>
    </w:p>
    <w:p>
      <w:pPr>
        <w:pStyle w:val="885"/>
        <w:spacing w:after="120" w:line="360" w:lineRule="auto"/>
        <w:rPr>
          <w:rFonts w:hint="eastAsia" w:ascii="宋体" w:hAnsi="宋体" w:cs="宋体"/>
          <w:bCs/>
          <w:sz w:val="24"/>
          <w:lang w:val="zh-TW"/>
        </w:rPr>
      </w:pPr>
      <w:r>
        <w:rPr>
          <w:rFonts w:hint="eastAsia" w:ascii="宋体" w:hAnsi="宋体" w:cs="宋体"/>
          <w:bCs/>
          <w:sz w:val="24"/>
        </w:rPr>
        <w:t xml:space="preserve">可移植性：软件具备从一个计算机系统或环境搬到另一个计算机系统或环境的可移植性。</w:t>
      </w:r>
      <w:r>
        <w:rPr>
          <w:rFonts w:hint="eastAsia" w:ascii="宋体" w:hAnsi="宋体" w:cs="宋体"/>
          <w:bCs/>
          <w:sz w:val="24"/>
          <w:lang w:val="zh-TW"/>
        </w:rPr>
      </w:r>
      <w:r/>
    </w:p>
    <w:p>
      <w:pPr>
        <w:pStyle w:val="885"/>
        <w:numPr>
          <w:ilvl w:val="0"/>
          <w:numId w:val="7"/>
        </w:numPr>
        <w:spacing w:after="120" w:line="360" w:lineRule="auto"/>
        <w:rPr>
          <w:rFonts w:hint="eastAsia" w:ascii="宋体" w:hAnsi="宋体" w:cs="宋体"/>
          <w:bCs/>
          <w:color w:val="000000"/>
          <w:sz w:val="24"/>
          <w:lang w:val="zh-TW"/>
        </w:rPr>
      </w:pPr>
      <w:r>
        <w:rPr>
          <w:rFonts w:ascii="宋体" w:hAnsi="宋体" w:cs="宋体"/>
          <w:bCs/>
          <w:color w:val="000000"/>
          <w:sz w:val="24"/>
        </w:rPr>
        <w:t xml:space="preserve">项目履行期限：</w:t>
      </w:r>
      <w:r>
        <w:rPr>
          <w:rFonts w:ascii="sans-serif" w:hAnsi="sans-serif" w:eastAsia="sans-serif" w:cs="sans-serif"/>
          <w:color w:val="000000"/>
          <w:sz w:val="24"/>
          <w:szCs w:val="24"/>
          <w:shd w:val="clear" w:color="auto" w:fill="ffffff"/>
        </w:rPr>
        <w:t xml:space="preserve">合同签订后，供应商应在 90个日历日内完成系统开发、安装、调试并</w:t>
      </w:r>
      <w:r>
        <w:rPr>
          <w:rFonts w:hint="eastAsia" w:ascii="宋体" w:hAnsi="宋体" w:cs="宋体"/>
          <w:color w:val="000000"/>
          <w:sz w:val="24"/>
          <w:szCs w:val="24"/>
          <w:shd w:val="clear" w:color="auto" w:fill="ffffff"/>
        </w:rPr>
        <w:t xml:space="preserve">上线试运行（试运行三个月），试运行后</w:t>
      </w:r>
      <w:r>
        <w:rPr>
          <w:rFonts w:ascii="sans-serif" w:hAnsi="sans-serif" w:eastAsia="sans-serif" w:cs="sans-serif"/>
          <w:color w:val="000000"/>
          <w:sz w:val="24"/>
          <w:szCs w:val="24"/>
          <w:shd w:val="clear" w:color="auto" w:fill="ffffff"/>
        </w:rPr>
        <w:t xml:space="preserve">正式上线交付使用。具体履行期限节点（如需求确认、开发完成、测试验收等阶段）以合同约定为准。因供应商原因逾期</w:t>
      </w:r>
      <w:r>
        <w:rPr>
          <w:rFonts w:ascii="sans-serif" w:hAnsi="sans-serif" w:eastAsia="sans-serif" w:cs="sans-serif"/>
          <w:color w:val="000000"/>
          <w:sz w:val="24"/>
          <w:szCs w:val="24"/>
          <w:shd w:val="clear" w:color="auto" w:fill="ffffff"/>
        </w:rPr>
        <w:t xml:space="preserve">交付的，应承担相应违约责任。</w:t>
      </w:r>
      <w:r>
        <w:rPr>
          <w:rFonts w:hint="eastAsia" w:ascii="宋体" w:hAnsi="宋体" w:cs="宋体"/>
          <w:bCs/>
          <w:color w:val="000000"/>
          <w:sz w:val="24"/>
          <w:lang w:val="zh-TW"/>
        </w:rPr>
      </w:r>
      <w:r/>
    </w:p>
    <w:p>
      <w:pPr>
        <w:pStyle w:val="885"/>
        <w:numPr>
          <w:ilvl w:val="0"/>
          <w:numId w:val="7"/>
        </w:numPr>
        <w:spacing w:after="120" w:line="360" w:lineRule="auto"/>
        <w:rPr>
          <w:rFonts w:hint="eastAsia" w:ascii="宋体" w:hAnsi="宋体" w:cs="宋体"/>
          <w:bCs/>
          <w:sz w:val="24"/>
          <w:lang w:val="zh-TW"/>
        </w:rPr>
      </w:pPr>
      <w:r>
        <w:rPr>
          <w:rFonts w:hint="eastAsia" w:ascii="宋体" w:hAnsi="宋体" w:cs="宋体"/>
          <w:bCs/>
          <w:sz w:val="24"/>
          <w:lang w:val="zh-TW"/>
        </w:rPr>
        <w:t xml:space="preserve">免费运维</w:t>
      </w:r>
      <w:r>
        <w:rPr>
          <w:rFonts w:hint="eastAsia" w:ascii="宋体" w:hAnsi="宋体" w:cs="宋体"/>
          <w:bCs/>
          <w:sz w:val="24"/>
          <w:lang w:val="zh-TW"/>
        </w:rPr>
        <w:t xml:space="preserve">期：要求</w:t>
      </w:r>
      <w:r>
        <w:rPr>
          <w:rFonts w:hint="eastAsia" w:ascii="宋体" w:hAnsi="宋体" w:cs="宋体"/>
          <w:bCs/>
          <w:sz w:val="24"/>
          <w:lang w:val="zh-TW"/>
        </w:rPr>
        <w:t xml:space="preserve">供应商</w:t>
      </w:r>
      <w:r>
        <w:rPr>
          <w:rFonts w:hint="eastAsia" w:ascii="宋体" w:hAnsi="宋体" w:cs="宋体"/>
          <w:bCs/>
          <w:sz w:val="24"/>
          <w:lang w:val="zh-TW"/>
        </w:rPr>
        <w:t xml:space="preserve">提供至少三年免费</w:t>
      </w:r>
      <w:r>
        <w:rPr>
          <w:rFonts w:hint="eastAsia" w:ascii="宋体" w:hAnsi="宋体" w:cs="宋体"/>
          <w:bCs/>
          <w:sz w:val="24"/>
          <w:lang w:val="zh-TW"/>
        </w:rPr>
        <w:t xml:space="preserve">运维</w:t>
      </w:r>
      <w:r>
        <w:rPr>
          <w:rFonts w:hint="eastAsia" w:ascii="宋体" w:hAnsi="宋体" w:cs="宋体"/>
          <w:bCs/>
          <w:sz w:val="24"/>
          <w:lang w:val="zh-TW"/>
        </w:rPr>
        <w:t xml:space="preserve">，</w:t>
      </w:r>
      <w:r>
        <w:rPr>
          <w:rFonts w:hint="eastAsia" w:ascii="宋体" w:hAnsi="宋体" w:cs="宋体"/>
          <w:bCs/>
          <w:sz w:val="24"/>
          <w:lang w:val="zh-TW"/>
        </w:rPr>
        <w:t xml:space="preserve">供应商在交付时</w:t>
      </w:r>
      <w:r>
        <w:rPr>
          <w:rFonts w:hint="eastAsia" w:ascii="宋体" w:hAnsi="宋体" w:cs="宋体"/>
          <w:bCs/>
          <w:sz w:val="24"/>
          <w:lang w:val="zh-TW"/>
        </w:rPr>
        <w:t xml:space="preserve">提供</w:t>
      </w:r>
      <w:r>
        <w:rPr>
          <w:rFonts w:hint="eastAsia" w:ascii="宋体" w:hAnsi="宋体" w:cs="宋体"/>
          <w:bCs/>
          <w:sz w:val="24"/>
          <w:lang w:val="zh-TW"/>
        </w:rPr>
        <w:t xml:space="preserve">售后服务承诺书。</w:t>
      </w:r>
      <w:r/>
    </w:p>
    <w:p>
      <w:pPr>
        <w:pStyle w:val="885"/>
        <w:numPr>
          <w:ilvl w:val="0"/>
          <w:numId w:val="7"/>
        </w:numPr>
        <w:spacing w:after="120" w:line="360" w:lineRule="auto"/>
        <w:rPr>
          <w:rFonts w:hint="eastAsia" w:ascii="宋体" w:hAnsi="宋体" w:cs="宋体"/>
          <w:bCs/>
          <w:sz w:val="24"/>
          <w:lang w:val="zh-TW"/>
        </w:rPr>
      </w:pPr>
      <w:r>
        <w:rPr>
          <w:rFonts w:hint="eastAsia" w:ascii="宋体" w:hAnsi="宋体" w:cs="宋体"/>
          <w:bCs/>
          <w:sz w:val="24"/>
          <w:lang w:val="zh-TW"/>
        </w:rPr>
        <w:t xml:space="preserve">售后服务及培训要求：供应商能为用户提供长期售后服务，以确保做好及时响应。合同期内，出现故障30分钟响应，2小时内解决问题，</w:t>
      </w:r>
      <w:r>
        <w:rPr>
          <w:rFonts w:hint="eastAsia" w:ascii="宋体" w:hAnsi="宋体" w:cs="宋体"/>
          <w:sz w:val="24"/>
        </w:rPr>
        <w:t xml:space="preserve">确实无法远程修复的，要求在判定故障程度后，3小时内到达用户现场，24小时内现场调试解决故障</w:t>
      </w:r>
      <w:r>
        <w:rPr>
          <w:rFonts w:hint="eastAsia" w:ascii="宋体" w:hAnsi="宋体" w:cs="宋体"/>
          <w:bCs/>
          <w:sz w:val="24"/>
          <w:lang w:val="zh-TW"/>
        </w:rPr>
        <w:t xml:space="preserve">。安装、调试结束后，供应商应立即安排有经验的工程师对采购方相关人员进行操作和日常管理培训，确保甲方参与培训的人员能独立、熟练地进行系统操作和管理。</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升级服务：</w:t>
      </w:r>
      <w:r>
        <w:rPr>
          <w:rFonts w:hint="eastAsia" w:ascii="宋体" w:hAnsi="宋体" w:cs="宋体"/>
          <w:bCs/>
          <w:sz w:val="24"/>
        </w:rPr>
        <w:t xml:space="preserve">免费</w:t>
      </w:r>
      <w:r>
        <w:rPr>
          <w:rFonts w:hint="eastAsia" w:ascii="宋体" w:hAnsi="宋体" w:cs="宋体"/>
          <w:bCs/>
          <w:sz w:val="24"/>
        </w:rPr>
        <w:t xml:space="preserve">运维</w:t>
      </w:r>
      <w:r>
        <w:rPr>
          <w:rFonts w:hint="eastAsia" w:ascii="宋体" w:hAnsi="宋体" w:cs="宋体"/>
          <w:bCs/>
          <w:sz w:val="24"/>
        </w:rPr>
        <w:t xml:space="preserve">期</w:t>
      </w:r>
      <w:r>
        <w:rPr>
          <w:rFonts w:hint="eastAsia" w:ascii="宋体" w:hAnsi="宋体" w:cs="宋体"/>
          <w:bCs/>
          <w:sz w:val="24"/>
        </w:rPr>
        <w:t xml:space="preserve">限</w:t>
      </w:r>
      <w:r>
        <w:rPr>
          <w:rFonts w:hint="eastAsia" w:ascii="宋体" w:hAnsi="宋体" w:cs="宋体"/>
          <w:bCs/>
          <w:sz w:val="24"/>
        </w:rPr>
        <w:t xml:space="preserve">内，非新增定制功能性的平台升级优化改造，成交人需提供免费升级服务，以确保系统的流畅、稳定运行。由于系统自身开发缺陷造成的升级改造应终生免费。</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技术人员要求：在</w:t>
      </w:r>
      <w:r>
        <w:rPr>
          <w:rFonts w:hint="eastAsia" w:ascii="宋体" w:hAnsi="宋体" w:cs="宋体"/>
          <w:bCs/>
          <w:sz w:val="24"/>
        </w:rPr>
        <w:t xml:space="preserve">软件开发和</w:t>
      </w:r>
      <w:r>
        <w:rPr>
          <w:rFonts w:hint="eastAsia" w:ascii="宋体" w:hAnsi="宋体" w:cs="宋体"/>
          <w:bCs/>
          <w:sz w:val="24"/>
        </w:rPr>
        <w:t xml:space="preserve">免费运维期</w:t>
      </w:r>
      <w:r>
        <w:rPr>
          <w:rFonts w:hint="eastAsia" w:ascii="宋体" w:hAnsi="宋体" w:cs="宋体"/>
          <w:bCs/>
          <w:sz w:val="24"/>
        </w:rPr>
        <w:t xml:space="preserve">限</w:t>
      </w:r>
      <w:r>
        <w:rPr>
          <w:rFonts w:hint="eastAsia" w:ascii="宋体" w:hAnsi="宋体" w:cs="宋体"/>
          <w:bCs/>
          <w:sz w:val="24"/>
        </w:rPr>
        <w:t xml:space="preserve">内，为确保本项目系统稳定正常运行，供应商保证具有丰富的项目升级开发经验与项目运维经验的技术人员至少4人为本项目提供服务。</w:t>
      </w:r>
      <w:r/>
    </w:p>
    <w:p>
      <w:pPr>
        <w:pStyle w:val="885"/>
      </w:pPr>
      <w:r/>
      <w:r/>
    </w:p>
    <w:p>
      <w:pPr>
        <w:pStyle w:val="885"/>
        <w:spacing w:line="0" w:lineRule="atLeast"/>
        <w:rPr>
          <w:rFonts w:hint="eastAsia" w:ascii="宋体" w:hAnsi="宋体"/>
          <w:sz w:val="24"/>
          <w:szCs w:val="24"/>
        </w:rPr>
      </w:pPr>
      <w:r>
        <w:rPr>
          <w:rFonts w:hint="eastAsia" w:ascii="宋体" w:hAnsi="宋体"/>
          <w:sz w:val="24"/>
          <w:szCs w:val="24"/>
        </w:rPr>
      </w:r>
      <w:r/>
    </w:p>
    <w:p>
      <w:pPr>
        <w:pStyle w:val="885"/>
        <w:jc w:val="center"/>
        <w:keepNext/>
        <w:rPr>
          <w:rFonts w:hint="eastAsia" w:ascii="黑体" w:eastAsia="黑体"/>
          <w:bCs/>
          <w:sz w:val="44"/>
          <w:szCs w:val="28"/>
        </w:rPr>
        <w:outlineLvl w:val="0"/>
      </w:pPr>
      <w:r/>
      <w:bookmarkStart w:id="167"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rPr>
          <w:rFonts w:hint="eastAsia" w:ascii="黑体" w:eastAsia="黑体"/>
          <w:bCs/>
          <w:sz w:val="44"/>
          <w:szCs w:val="28"/>
        </w:rPr>
      </w:r>
      <w:r/>
    </w:p>
    <w:p>
      <w:pPr>
        <w:pStyle w:val="885"/>
        <w:rPr>
          <w:rFonts w:hint="eastAsia"/>
          <w:szCs w:val="21"/>
        </w:rPr>
      </w:pPr>
      <w:r>
        <w:rPr>
          <w:rFonts w:hint="eastAsia"/>
          <w:szCs w:val="21"/>
        </w:rPr>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w:t>
      </w:r>
      <w:r>
        <w:rPr>
          <w:rFonts w:hint="eastAsia" w:ascii="宋体" w:hAnsi="宋体"/>
          <w:b/>
          <w:sz w:val="24"/>
          <w:szCs w:val="24"/>
        </w:rPr>
        <w:t xml:space="preserve">效投标报价。超财政预算的投标报价为无效投标报价。无效投标报价的投标文件不进行评审，也不得中标。</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2.价格分采用低价优先法计算，即满足招标文件要求且投标价格最低的投标报价为评标基准价，其价格分为满分10分。其他投标人的价格分统一按照下列公式计算：</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pStyle w:val="885"/>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Arial" w:hAnsi="Arial"/>
          <w:sz w:val="24"/>
          <w:szCs w:val="24"/>
        </w:rPr>
        <w:t xml:space="preserve">   </w:t>
      </w:r>
      <w:r>
        <w:rPr>
          <w:rFonts w:hint="eastAsia" w:ascii="宋体" w:hAnsi="宋体"/>
          <w:b/>
          <w:sz w:val="36"/>
          <w:szCs w:val="36"/>
        </w:rPr>
      </w:r>
      <w:r/>
    </w:p>
    <w:p>
      <w:pPr>
        <w:pStyle w:val="885"/>
        <w:rPr>
          <w:rFonts w:hint="eastAsia"/>
          <w:szCs w:val="21"/>
        </w:rPr>
      </w:pPr>
      <w:r>
        <w:rPr>
          <w:rFonts w:hint="eastAsia"/>
          <w:szCs w:val="21"/>
        </w:rPr>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（二）技术商务响应文件评分标准（90分）</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421"/>
        <w:gridCol w:w="5554"/>
        <w:gridCol w:w="772"/>
      </w:tblGrid>
      <w:tr>
        <w:trPr>
          <w:trHeight w:val="23"/>
        </w:trPr>
        <w:tc>
          <w:tcPr>
            <w:gridSpan w:val="2"/>
            <w:tcW w:w="2835" w:type="dxa"/>
            <w:vAlign w:val="center"/>
            <w:textDirection w:val="lrTb"/>
            <w:noWrap w:val="false"/>
          </w:tcPr>
          <w:p>
            <w:pPr>
              <w:pStyle w:val="1004"/>
              <w:rPr>
                <w:rFonts w:hint="eastAsia" w:ascii="宋体" w:hAnsi="宋体"/>
              </w:rPr>
            </w:pPr>
            <w:r>
              <w:rPr>
                <w:rFonts w:hint="eastAsia" w:ascii="宋体" w:hAnsi="宋体"/>
              </w:rPr>
              <w:t xml:space="preserve">评分项</w:t>
            </w:r>
            <w:r/>
          </w:p>
        </w:tc>
        <w:tc>
          <w:tcPr>
            <w:tcW w:w="5554" w:type="dxa"/>
            <w:vAlign w:val="center"/>
            <w:textDirection w:val="lrTb"/>
            <w:noWrap w:val="false"/>
          </w:tcPr>
          <w:p>
            <w:pPr>
              <w:pStyle w:val="1004"/>
              <w:rPr>
                <w:rFonts w:hint="eastAsia" w:ascii="宋体" w:hAnsi="宋体"/>
              </w:rPr>
            </w:pPr>
            <w:r>
              <w:rPr>
                <w:rFonts w:hint="eastAsia" w:ascii="宋体" w:hAnsi="宋体"/>
              </w:rPr>
              <w:t xml:space="preserve">评分标准及内容</w:t>
            </w:r>
            <w:r/>
          </w:p>
        </w:tc>
        <w:tc>
          <w:tcPr>
            <w:tcW w:w="772" w:type="dxa"/>
            <w:vAlign w:val="center"/>
            <w:textDirection w:val="lrTb"/>
            <w:noWrap w:val="false"/>
          </w:tcPr>
          <w:p>
            <w:pPr>
              <w:pStyle w:val="1004"/>
              <w:rPr>
                <w:rFonts w:hint="eastAsia" w:ascii="宋体" w:hAnsi="宋体"/>
              </w:rPr>
            </w:pPr>
            <w:r>
              <w:rPr>
                <w:rFonts w:hint="eastAsia" w:ascii="宋体" w:hAnsi="宋体"/>
              </w:rPr>
              <w:t xml:space="preserve">分值</w:t>
            </w:r>
            <w:r/>
          </w:p>
        </w:tc>
      </w:tr>
      <w:tr>
        <w:trPr>
          <w:cantSplit/>
          <w:trHeight w:val="23"/>
        </w:trPr>
        <w:tc>
          <w:tcPr>
            <w:tcW w:w="1414" w:type="dxa"/>
            <w:vAlign w:val="center"/>
            <w:vMerge w:val="restart"/>
            <w:textDirection w:val="lrTb"/>
            <w:noWrap w:val="false"/>
          </w:tcPr>
          <w:p>
            <w:pPr>
              <w:pStyle w:val="1005"/>
              <w:rPr>
                <w:rFonts w:hint="eastAsia" w:ascii="宋体" w:hAnsi="宋体"/>
              </w:rPr>
            </w:pPr>
            <w:r>
              <w:rPr>
                <w:rFonts w:hint="eastAsia" w:ascii="宋体" w:hAnsi="宋体"/>
              </w:rPr>
              <w:t xml:space="preserve">技术部分</w:t>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系统演示</w:t>
            </w:r>
            <w:r/>
          </w:p>
        </w:tc>
        <w:tc>
          <w:tcPr>
            <w:tcW w:w="5554" w:type="dxa"/>
            <w:vAlign w:val="center"/>
            <w:textDirection w:val="lrTb"/>
            <w:noWrap w:val="false"/>
          </w:tcPr>
          <w:p>
            <w:pPr>
              <w:pStyle w:val="1005"/>
              <w:rPr>
                <w:rFonts w:ascii="宋体" w:hAnsi="宋体"/>
              </w:rPr>
            </w:pPr>
            <w:r>
              <w:rPr>
                <w:rFonts w:ascii="宋体" w:hAnsi="宋体"/>
              </w:rPr>
              <w:t xml:space="preserve">统一采用录制真实软件或DEMO操作视频方式进行演示（视频画面须清晰），视频文件的格式为*.mp4或*.avi，供应商须将视频文件分段压缩为*.zip文件上传（单个文件不得大于50M，所有文件总共不得大于300M）。文件上传方式见《操作手册》规定，上传的演示视频将作为</w:t>
            </w:r>
            <w:r>
              <w:rPr>
                <w:rFonts w:hint="eastAsia" w:ascii="宋体" w:hAnsi="宋体"/>
              </w:rPr>
              <w:t xml:space="preserve">响应</w:t>
            </w:r>
            <w:r>
              <w:rPr>
                <w:rFonts w:ascii="宋体" w:hAnsi="宋体"/>
              </w:rPr>
              <w:t xml:space="preserve">文件的组成部分，视频时长总计不超过15分钟。未按要求提交的本项不得分。</w:t>
            </w:r>
            <w:r/>
          </w:p>
          <w:p>
            <w:pPr>
              <w:pStyle w:val="885"/>
              <w:jc w:val="left"/>
              <w:rPr>
                <w:rFonts w:hint="eastAsia"/>
                <w:b/>
                <w:bCs/>
              </w:rPr>
            </w:pPr>
            <w:r>
              <w:rPr>
                <w:b/>
                <w:bCs/>
              </w:rPr>
              <w:t xml:space="preserve">演示点1：检材数据展示</w:t>
            </w:r>
            <w:r>
              <w:rPr>
                <w:rFonts w:hint="eastAsia"/>
                <w:b/>
                <w:bCs/>
              </w:rPr>
            </w:r>
            <w:r/>
          </w:p>
          <w:p>
            <w:pPr>
              <w:pStyle w:val="885"/>
              <w:rPr>
                <w:rFonts w:hint="eastAsia"/>
              </w:rPr>
            </w:pPr>
            <w:r>
              <w:rPr>
                <w:rFonts w:ascii="Calibri" w:hAnsi="Calibri"/>
                <w:szCs w:val="21"/>
                <w:lang w:bidi="ar"/>
              </w:rPr>
              <w:t xml:space="preserve">1</w:t>
            </w:r>
            <w:r>
              <w:rPr>
                <w:rFonts w:hint="eastAsia" w:ascii="宋体" w:hAnsi="宋体" w:cs="宋体"/>
                <w:szCs w:val="21"/>
                <w:lang w:bidi="ar"/>
              </w:rPr>
              <w:t xml:space="preserve">、检材数据全息展示，包含手机聊天数据、好友和群组、应用安装列表、网页浏览记录、地图导航等应用数据展示。（</w:t>
            </w:r>
            <w:r>
              <w:rPr>
                <w:rFonts w:ascii="Calibri" w:hAnsi="Calibri" w:cs="Calibri"/>
                <w:szCs w:val="21"/>
                <w:lang w:bidi="ar"/>
              </w:rPr>
              <w:t xml:space="preserve">1</w:t>
            </w:r>
            <w:r>
              <w:rPr>
                <w:rFonts w:hint="eastAsia" w:ascii="宋体" w:hAnsi="宋体" w:cs="宋体"/>
                <w:szCs w:val="21"/>
                <w:lang w:bidi="ar"/>
              </w:rPr>
              <w:t xml:space="preserve">分）  </w:t>
            </w:r>
            <w:r>
              <w:rPr>
                <w:rFonts w:hint="eastAsia"/>
              </w:rPr>
            </w:r>
            <w:r/>
          </w:p>
          <w:p>
            <w:pPr>
              <w:pStyle w:val="885"/>
            </w:pPr>
            <w:r>
              <w:t xml:space="preserve">2、敏感数据（本人账号/好友/群组）自动打标，包括前科涉案好友、黑词预警、敏感涉案对话识别标签</w:t>
            </w:r>
            <w:r>
              <w:t xml:space="preserve">、特殊数据特征标签（如含虚拟币交易、较多删除数据、大额转账等）、同案关系标签（如同案人、同案人共同好友、同案人共同群等）。点击标签能够快速查看打标依据，同时能够对打标数据快速筛选。（</w:t>
            </w:r>
            <w:r>
              <w:rPr>
                <w:rFonts w:hint="eastAsia"/>
              </w:rPr>
              <w:t xml:space="preserve">1</w:t>
            </w:r>
            <w:r>
              <w:t xml:space="preserve">分） </w:t>
            </w:r>
            <w:r/>
          </w:p>
          <w:p>
            <w:pPr>
              <w:pStyle w:val="885"/>
            </w:pPr>
            <w:r>
              <w:t xml:space="preserve">3、聊天对话自动总结，能够以月为维度对私聊对话进行切片，形成总结摘要；能够自动识别对话是否存在涉案倾向，识别双方关系，提炼聊天关键词。（1分）  </w:t>
            </w:r>
            <w:r/>
          </w:p>
          <w:p>
            <w:pPr>
              <w:pStyle w:val="885"/>
              <w:rPr>
                <w:rFonts w:hint="eastAsia"/>
              </w:rPr>
            </w:pPr>
            <w:r>
              <w:rPr>
                <w:rFonts w:hint="eastAsia"/>
              </w:rPr>
            </w:r>
            <w:r/>
          </w:p>
          <w:p>
            <w:pPr>
              <w:pStyle w:val="885"/>
              <w:rPr>
                <w:rFonts w:hint="eastAsia"/>
                <w:b/>
                <w:bCs/>
              </w:rPr>
            </w:pPr>
            <w:r>
              <w:rPr>
                <w:b/>
                <w:bCs/>
              </w:rPr>
              <w:t xml:space="preserve">演示点</w:t>
            </w:r>
            <w:r>
              <w:rPr>
                <w:rFonts w:hint="eastAsia"/>
                <w:b/>
                <w:bCs/>
              </w:rPr>
              <w:t xml:space="preserve">2</w:t>
            </w:r>
            <w:r>
              <w:rPr>
                <w:b/>
                <w:bCs/>
              </w:rPr>
              <w:t xml:space="preserve">：专项模型分析  </w:t>
            </w:r>
            <w:r>
              <w:rPr>
                <w:rFonts w:hint="eastAsia"/>
                <w:b/>
                <w:bCs/>
              </w:rPr>
            </w:r>
            <w:r/>
          </w:p>
          <w:p>
            <w:pPr>
              <w:pStyle w:val="885"/>
              <w:rPr>
                <w:rFonts w:hint="eastAsia"/>
              </w:rPr>
            </w:pPr>
            <w:r>
              <w:rPr>
                <w:rFonts w:hint="eastAsia"/>
              </w:rPr>
              <w:t xml:space="preserve">1</w:t>
            </w:r>
            <w:r>
              <w:t xml:space="preserve">、进入模型研判，能够创建任务，选择分析范围及运行的模型，对所选检材进行自动分析，模型分析完毕后输出结果。（1分）  </w:t>
            </w:r>
            <w:r>
              <w:rPr>
                <w:rFonts w:hint="eastAsia"/>
              </w:rPr>
            </w:r>
            <w:r/>
          </w:p>
          <w:p>
            <w:pPr>
              <w:pStyle w:val="885"/>
            </w:pPr>
            <w:r>
              <w:t xml:space="preserve">2、点击继续研判按钮，能够优化配置或增加模型规则，对模型分析结果进行二次分析。（1分） </w:t>
            </w:r>
            <w:r/>
          </w:p>
          <w:p>
            <w:pPr>
              <w:pStyle w:val="885"/>
            </w:pPr>
            <w:r/>
            <w:r/>
          </w:p>
          <w:p>
            <w:pPr>
              <w:pStyle w:val="885"/>
              <w:rPr>
                <w:b/>
                <w:bCs/>
              </w:rPr>
            </w:pPr>
            <w:r>
              <w:rPr>
                <w:b/>
                <w:bCs/>
              </w:rPr>
              <w:t xml:space="preserve">演示点3：全局搜索  </w:t>
            </w:r>
            <w:r/>
          </w:p>
          <w:p>
            <w:pPr>
              <w:pStyle w:val="885"/>
            </w:pPr>
            <w:r>
              <w:t xml:space="preserve">1、能够在全库范围内对某一个社交账号进行检索，能够查看账号是否作为被采集人本方账号出现，是否以好友身份在被采集手机中出现；能够快速查看相关的聊天内容。（1分）  </w:t>
            </w:r>
            <w:r/>
          </w:p>
          <w:p>
            <w:pPr>
              <w:pStyle w:val="885"/>
            </w:pPr>
            <w:r>
              <w:t xml:space="preserve">2、能够在全库范围内对某一个关键词或多关键词组合查询，检索命中该关键词的应用数据，能够点击查看上下文详情。（1分）  </w:t>
            </w:r>
            <w:r/>
          </w:p>
          <w:p>
            <w:pPr>
              <w:pStyle w:val="885"/>
              <w:rPr>
                <w:rFonts w:ascii="Calibri" w:hAnsi="Calibri"/>
                <w:szCs w:val="21"/>
              </w:rPr>
            </w:pPr>
            <w:r>
              <w:rPr>
                <w:rFonts w:ascii="Calibri" w:hAnsi="Calibri"/>
                <w:szCs w:val="21"/>
                <w:lang w:bidi="ar"/>
              </w:rPr>
              <w:t xml:space="preserve">3</w:t>
            </w:r>
            <w:r>
              <w:rPr>
                <w:rFonts w:hint="eastAsia" w:ascii="宋体" w:hAnsi="宋体" w:cs="宋体"/>
                <w:szCs w:val="21"/>
                <w:lang w:bidi="ar"/>
              </w:rPr>
              <w:t xml:space="preserve">、能够输入应用名称，在全平台范围内检索安装过该应用的手机。（</w:t>
            </w:r>
            <w:r>
              <w:rPr>
                <w:rFonts w:ascii="Calibri" w:hAnsi="Calibri" w:cs="Calibri"/>
                <w:szCs w:val="21"/>
                <w:lang w:bidi="ar"/>
              </w:rPr>
              <w:t xml:space="preserve">1</w:t>
            </w:r>
            <w:r>
              <w:rPr>
                <w:rFonts w:hint="eastAsia" w:ascii="宋体" w:hAnsi="宋体" w:cs="宋体"/>
                <w:szCs w:val="21"/>
                <w:lang w:bidi="ar"/>
              </w:rPr>
              <w:t xml:space="preserve">分）  </w:t>
            </w:r>
            <w:r>
              <w:rPr>
                <w:rFonts w:ascii="Calibri" w:hAnsi="Calibri"/>
                <w:szCs w:val="21"/>
              </w:rPr>
            </w:r>
            <w:r/>
          </w:p>
          <w:p>
            <w:pPr>
              <w:pStyle w:val="885"/>
            </w:pPr>
            <w:r/>
            <w:r/>
          </w:p>
          <w:p>
            <w:pPr>
              <w:pStyle w:val="885"/>
              <w:rPr>
                <w:b/>
                <w:bCs/>
              </w:rPr>
            </w:pPr>
            <w:r>
              <w:rPr>
                <w:b/>
                <w:bCs/>
              </w:rPr>
              <w:t xml:space="preserve">演示点4：图片分析</w:t>
            </w:r>
            <w:r/>
          </w:p>
          <w:p>
            <w:pPr>
              <w:pStyle w:val="885"/>
            </w:pPr>
            <w:r>
              <w:t xml:space="preserve">1、能够输入一段文字描述，在全平台或某</w:t>
            </w:r>
            <w:r>
              <w:t xml:space="preserve">个检材范围内查询符合文字描述相关的图片；能够点击图片，查看图片的来源。（1分）  </w:t>
            </w:r>
            <w:r/>
          </w:p>
          <w:p>
            <w:pPr>
              <w:pStyle w:val="885"/>
              <w:rPr>
                <w:rFonts w:hint="eastAsia" w:ascii="宋体" w:hAnsi="宋体"/>
              </w:rPr>
            </w:pPr>
            <w:r>
              <w:t xml:space="preserve">2、能够上传一张图片，在全平台或某个检材范围内查看与该图片相似的其他图片。（1分）</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10</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项目需求理解</w:t>
            </w:r>
            <w:r/>
          </w:p>
        </w:tc>
        <w:tc>
          <w:tcPr>
            <w:tcW w:w="5554" w:type="dxa"/>
            <w:vAlign w:val="center"/>
            <w:textDirection w:val="lrTb"/>
            <w:noWrap w:val="false"/>
          </w:tcPr>
          <w:p>
            <w:pPr>
              <w:pStyle w:val="1005"/>
              <w:rPr>
                <w:rFonts w:ascii="宋体" w:hAnsi="宋体"/>
              </w:rPr>
            </w:pPr>
            <w:r>
              <w:rPr>
                <w:rFonts w:hint="eastAsia" w:ascii="宋体" w:hAnsi="宋体"/>
              </w:rPr>
              <w:t xml:space="preserve">根据</w:t>
            </w:r>
            <w:r>
              <w:rPr>
                <w:rFonts w:ascii="宋体" w:hAnsi="宋体"/>
              </w:rPr>
              <w:t xml:space="preserve">供应商</w:t>
            </w:r>
            <w:r>
              <w:rPr>
                <w:rFonts w:hint="eastAsia" w:ascii="宋体" w:hAnsi="宋体"/>
              </w:rPr>
              <w:t xml:space="preserve">提供本项目需求理解方案进行评审，包括①</w:t>
            </w:r>
            <w:r>
              <w:rPr>
                <w:rFonts w:ascii="宋体" w:hAnsi="宋体"/>
              </w:rPr>
              <w:t xml:space="preserve">对项目建设背景、需求的理解是否准确、全面、充分，并与建设目标、用户需求相吻合</w:t>
            </w:r>
            <w:r>
              <w:rPr>
                <w:rFonts w:ascii="宋体" w:hAnsi="宋体"/>
              </w:rPr>
              <w:t xml:space="preserve">；</w:t>
            </w:r>
            <w:r>
              <w:rPr>
                <w:rFonts w:hint="eastAsia" w:ascii="宋体" w:hAnsi="宋体"/>
              </w:rPr>
              <w:t xml:space="preserve">②对本次项目</w:t>
            </w:r>
            <w:r>
              <w:rPr>
                <w:rFonts w:ascii="宋体" w:hAnsi="宋体"/>
              </w:rPr>
              <w:t xml:space="preserve">重点</w:t>
            </w:r>
            <w:r>
              <w:rPr>
                <w:rFonts w:hint="eastAsia" w:ascii="宋体" w:hAnsi="宋体"/>
              </w:rPr>
              <w:t xml:space="preserve">（数据挖掘）</w:t>
            </w:r>
            <w:r>
              <w:rPr>
                <w:rFonts w:ascii="宋体" w:hAnsi="宋体"/>
              </w:rPr>
              <w:t xml:space="preserve">、难点</w:t>
            </w:r>
            <w:r>
              <w:rPr>
                <w:rFonts w:hint="eastAsia" w:ascii="宋体" w:hAnsi="宋体"/>
              </w:rPr>
              <w:t xml:space="preserve">（人工智能）</w:t>
            </w:r>
            <w:r>
              <w:rPr>
                <w:rFonts w:ascii="宋体" w:hAnsi="宋体"/>
              </w:rPr>
              <w:t xml:space="preserve">是否把握透彻，分析准确，并提出切实可行的解决方案</w:t>
            </w:r>
            <w:r>
              <w:rPr>
                <w:rFonts w:eastAsia="仿宋_GB2312"/>
                <w:sz w:val="24"/>
              </w:rPr>
              <w:t xml:space="preserve">。</w:t>
            </w:r>
            <w:r>
              <w:rPr>
                <w:rFonts w:ascii="宋体" w:hAnsi="宋体"/>
              </w:rPr>
              <w:t xml:space="preserve">方案完整、符合本项目实际需求的，每提供一项得2分，每项内容里有一处内容不合理或不完整的得1分，出现二处及以上的此项不得分，最高分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总体设计方案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根据供应商所提供的总体设计方案进行评审，包括</w:t>
            </w:r>
            <w:r>
              <w:rPr>
                <w:rFonts w:ascii="宋体" w:hAnsi="宋体" w:cs="Cambria Math"/>
              </w:rPr>
              <w:t xml:space="preserve">①</w:t>
            </w:r>
            <w:r>
              <w:rPr>
                <w:rFonts w:hint="eastAsia" w:ascii="宋体" w:hAnsi="宋体"/>
              </w:rPr>
              <w:t xml:space="preserve">设计原则、</w:t>
            </w:r>
            <w:r>
              <w:rPr>
                <w:rFonts w:ascii="宋体" w:hAnsi="宋体" w:cs="Cambria Math"/>
              </w:rPr>
              <w:t xml:space="preserve">②</w:t>
            </w:r>
            <w:r>
              <w:rPr>
                <w:rFonts w:hint="eastAsia" w:ascii="宋体" w:hAnsi="宋体"/>
              </w:rPr>
              <w:t xml:space="preserve">总体架构、③技术架构、④技术路线。</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1</w:t>
            </w:r>
            <w:r>
              <w:rPr>
                <w:rFonts w:ascii="宋体" w:hAnsi="宋体"/>
              </w:rPr>
              <w:t xml:space="preserve">分，每项内容里有一处内容不合理或不完整的得</w:t>
            </w:r>
            <w:r>
              <w:rPr>
                <w:rFonts w:hint="eastAsia" w:ascii="宋体" w:hAnsi="宋体"/>
              </w:rPr>
              <w:t xml:space="preserve">0.5</w:t>
            </w:r>
            <w:r>
              <w:rPr>
                <w:rFonts w:ascii="宋体" w:hAnsi="宋体"/>
              </w:rPr>
              <w:t xml:space="preserve">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w:t>
            </w:r>
            <w:r>
              <w:rPr>
                <w:rFonts w:ascii="宋体" w:hAnsi="宋体"/>
              </w:rPr>
              <w:t xml:space="preserve">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Courier New" w:cs="Courier New"/>
                <w:szCs w:val="21"/>
              </w:rPr>
              <w:t xml:space="preserve">数据汇聚管理方案</w:t>
            </w:r>
            <w:r>
              <w:rPr>
                <w:rFonts w:hint="eastAsia" w:ascii="宋体" w:hAnsi="宋体"/>
              </w:rPr>
            </w:r>
            <w:r/>
          </w:p>
        </w:tc>
        <w:tc>
          <w:tcPr>
            <w:tcW w:w="5554" w:type="dxa"/>
            <w:vAlign w:val="center"/>
            <w:textDirection w:val="lrTb"/>
            <w:noWrap w:val="false"/>
          </w:tcPr>
          <w:p>
            <w:pPr>
              <w:pStyle w:val="1005"/>
              <w:rPr>
                <w:rFonts w:ascii="宋体" w:hAnsi="宋体"/>
              </w:rPr>
            </w:pPr>
            <w:r>
              <w:rPr>
                <w:rFonts w:hint="eastAsia" w:ascii="宋体" w:hAnsi="宋体"/>
              </w:rPr>
              <w:t xml:space="preserve">根据供应商所提供的</w:t>
            </w:r>
            <w:r>
              <w:rPr>
                <w:rFonts w:hint="eastAsia" w:ascii="宋体" w:hAnsi="Courier New" w:cs="Courier New"/>
                <w:szCs w:val="21"/>
              </w:rPr>
              <w:t xml:space="preserve">电子数据汇聚管理</w:t>
            </w:r>
            <w:r>
              <w:rPr>
                <w:rFonts w:hint="eastAsia" w:ascii="宋体" w:hAnsi="宋体"/>
              </w:rPr>
              <w:t xml:space="preserve">方案进行评审，包括</w:t>
            </w:r>
            <w:r>
              <w:rPr>
                <w:rFonts w:ascii="宋体" w:hAnsi="宋体"/>
                <w:szCs w:val="21"/>
              </w:rPr>
              <w:t xml:space="preserve">但不限于</w:t>
            </w:r>
            <w:r>
              <w:rPr>
                <w:rFonts w:ascii="宋体" w:hAnsi="宋体" w:cs="Cambria Math"/>
                <w:szCs w:val="21"/>
              </w:rPr>
              <w:t xml:space="preserve">①</w:t>
            </w:r>
            <w:r>
              <w:rPr>
                <w:rFonts w:hint="eastAsia" w:ascii="宋体" w:hAnsi="Courier New" w:cs="Courier New"/>
                <w:szCs w:val="21"/>
              </w:rPr>
              <w:t xml:space="preserve">数据汇聚</w:t>
            </w:r>
            <w:r>
              <w:rPr>
                <w:rFonts w:hint="eastAsia" w:ascii="宋体" w:hAnsi="宋体"/>
                <w:szCs w:val="21"/>
              </w:rPr>
              <w:t xml:space="preserve">、</w:t>
            </w:r>
            <w:r>
              <w:rPr>
                <w:rFonts w:ascii="宋体" w:hAnsi="宋体" w:cs="Cambria Math"/>
              </w:rPr>
              <w:t xml:space="preserve">②</w:t>
            </w:r>
            <w:r>
              <w:rPr>
                <w:rFonts w:hint="eastAsia" w:ascii="宋体" w:hAnsi="宋体" w:cs="Cambria Math"/>
              </w:rPr>
              <w:t xml:space="preserve">数据处理</w:t>
            </w:r>
            <w:r>
              <w:rPr>
                <w:rFonts w:hint="eastAsia" w:ascii="宋体" w:hAnsi="宋体"/>
              </w:rPr>
              <w:t xml:space="preserve">。</w:t>
            </w: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Courier New" w:cs="Courier New"/>
                <w:szCs w:val="21"/>
              </w:rPr>
              <w:t xml:space="preserve">数据分析研判</w:t>
            </w:r>
            <w:r>
              <w:rPr>
                <w:rFonts w:hint="eastAsia" w:ascii="宋体" w:hAnsi="宋体"/>
              </w:rPr>
              <w:t xml:space="preserve">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w:t>
            </w:r>
            <w:r>
              <w:rPr>
                <w:rFonts w:hint="eastAsia" w:ascii="宋体" w:hAnsi="宋体"/>
                <w:szCs w:val="21"/>
              </w:rPr>
              <w:t xml:space="preserve">的</w:t>
            </w:r>
            <w:r>
              <w:rPr>
                <w:rFonts w:hint="eastAsia" w:ascii="宋体" w:hAnsi="Courier New" w:cs="Courier New"/>
                <w:szCs w:val="21"/>
              </w:rPr>
              <w:t xml:space="preserve">电子数据分析研判</w:t>
            </w:r>
            <w:r>
              <w:rPr>
                <w:rFonts w:hint="eastAsia" w:ascii="宋体" w:hAnsi="宋体"/>
              </w:rPr>
              <w:t xml:space="preserve">方案进行评审，包括</w:t>
            </w:r>
            <w:r>
              <w:rPr>
                <w:rFonts w:ascii="宋体" w:hAnsi="宋体"/>
              </w:rPr>
              <w:t xml:space="preserve">但不限于</w:t>
            </w:r>
            <w:r>
              <w:rPr>
                <w:rFonts w:ascii="宋体" w:hAnsi="宋体" w:cs="Cambria Math"/>
              </w:rPr>
              <w:t xml:space="preserve">①建立标签体系</w:t>
            </w:r>
            <w:r>
              <w:rPr>
                <w:rFonts w:hint="eastAsia" w:ascii="宋体" w:hAnsi="宋体"/>
              </w:rPr>
              <w:t xml:space="preserve">、</w:t>
            </w:r>
            <w:r>
              <w:rPr>
                <w:rFonts w:ascii="宋体" w:hAnsi="宋体" w:cs="Cambria Math"/>
              </w:rPr>
              <w:t xml:space="preserve">②检材数据管理</w:t>
            </w:r>
            <w:r>
              <w:rPr>
                <w:rFonts w:hint="eastAsia" w:ascii="宋体" w:hAnsi="宋体"/>
              </w:rPr>
              <w:t xml:space="preserve">、③</w:t>
            </w:r>
            <w:r>
              <w:rPr>
                <w:rFonts w:ascii="宋体" w:hAnsi="宋体"/>
              </w:rPr>
              <w:t xml:space="preserve">案件数据管理</w:t>
            </w:r>
            <w:r>
              <w:rPr>
                <w:rFonts w:hint="eastAsia" w:ascii="宋体" w:hAnsi="宋体"/>
              </w:rPr>
              <w:t xml:space="preserve">、④</w:t>
            </w:r>
            <w:r>
              <w:rPr>
                <w:rFonts w:ascii="宋体" w:hAnsi="宋体"/>
              </w:rPr>
              <w:t xml:space="preserve">检材内搜索</w:t>
            </w:r>
            <w:r>
              <w:rPr>
                <w:rFonts w:hint="eastAsia" w:ascii="宋体" w:hAnsi="宋体"/>
              </w:rPr>
              <w:t xml:space="preserve">、⑤</w:t>
            </w:r>
            <w:r>
              <w:rPr>
                <w:rFonts w:ascii="宋体" w:hAnsi="宋体"/>
              </w:rPr>
              <w:t xml:space="preserve">全局搜索</w:t>
            </w:r>
            <w:r>
              <w:rPr>
                <w:rFonts w:hint="eastAsia" w:ascii="宋体" w:hAnsi="宋体"/>
              </w:rPr>
              <w:t xml:space="preserve">、⑥</w:t>
            </w:r>
            <w:r>
              <w:rPr>
                <w:rFonts w:ascii="宋体" w:hAnsi="宋体"/>
              </w:rPr>
              <w:t xml:space="preserve">综合研判工具</w:t>
            </w:r>
            <w:r>
              <w:rPr>
                <w:rFonts w:hint="eastAsia" w:ascii="宋体" w:hAnsi="宋体"/>
              </w:rPr>
              <w:t xml:space="preserve">、⑦</w:t>
            </w:r>
            <w:r>
              <w:rPr>
                <w:rFonts w:ascii="宋体" w:hAnsi="宋体"/>
              </w:rPr>
              <w:t xml:space="preserve">专项模型分析</w:t>
            </w:r>
            <w:r>
              <w:rPr>
                <w:rFonts w:hint="eastAsia" w:ascii="宋体" w:hAnsi="宋体"/>
              </w:rPr>
              <w:t xml:space="preserve">、⑧</w:t>
            </w:r>
            <w:r>
              <w:rPr>
                <w:rFonts w:ascii="宋体" w:hAnsi="宋体"/>
              </w:rPr>
              <w:t xml:space="preserve">人工智能分析</w:t>
            </w:r>
            <w:r>
              <w:rPr>
                <w:rFonts w:hint="eastAsia" w:ascii="宋体" w:hAnsi="宋体"/>
              </w:rPr>
              <w:t xml:space="preserve">、⑨</w:t>
            </w:r>
            <w:r>
              <w:rPr>
                <w:rFonts w:ascii="宋体" w:hAnsi="宋体"/>
              </w:rPr>
              <w:t xml:space="preserve">研判工具</w:t>
            </w:r>
            <w:r>
              <w:rPr>
                <w:rFonts w:hint="eastAsia" w:ascii="宋体" w:hAnsi="宋体"/>
              </w:rPr>
              <w:t xml:space="preserve">、⑩</w:t>
            </w:r>
            <w:r>
              <w:rPr>
                <w:rFonts w:ascii="宋体" w:hAnsi="宋体"/>
              </w:rPr>
              <w:t xml:space="preserve">数据刻画</w:t>
            </w:r>
            <w:r>
              <w:rPr>
                <w:rFonts w:hint="eastAsia" w:ascii="宋体" w:hAnsi="宋体"/>
              </w:rPr>
              <w:t xml:space="preserve">。</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20</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w:t>
            </w:r>
            <w:r>
              <w:rPr>
                <w:rFonts w:ascii="宋体" w:hAnsi="宋体"/>
              </w:rPr>
              <w:t xml:space="preserve">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20</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项目实施方案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根据供应商所提供的项目实施方案进行评审，包括项目</w:t>
            </w:r>
            <w:r>
              <w:rPr>
                <w:rFonts w:ascii="宋体" w:hAnsi="宋体" w:cs="Cambria Math"/>
              </w:rPr>
              <w:t xml:space="preserve">①</w:t>
            </w:r>
            <w:r>
              <w:rPr>
                <w:rFonts w:hint="eastAsia" w:ascii="宋体" w:hAnsi="宋体"/>
              </w:rPr>
              <w:t xml:space="preserve">组织管理、</w:t>
            </w:r>
            <w:r>
              <w:rPr>
                <w:rFonts w:ascii="宋体" w:hAnsi="宋体" w:cs="Cambria Math"/>
              </w:rPr>
              <w:t xml:space="preserve">②</w:t>
            </w:r>
            <w:r>
              <w:rPr>
                <w:rFonts w:hint="eastAsia" w:ascii="宋体" w:hAnsi="宋体"/>
              </w:rPr>
              <w:t xml:space="preserve">项目进度计划、③实施过程管理、④质量管理保障方案方面内容。</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售后服务方案</w:t>
            </w:r>
            <w:r/>
          </w:p>
        </w:tc>
        <w:tc>
          <w:tcPr>
            <w:tcW w:w="5554" w:type="dxa"/>
            <w:vAlign w:val="center"/>
            <w:textDirection w:val="lrTb"/>
            <w:noWrap w:val="false"/>
          </w:tcPr>
          <w:p>
            <w:pPr>
              <w:pStyle w:val="1005"/>
              <w:rPr>
                <w:rFonts w:ascii="宋体" w:hAnsi="宋体"/>
              </w:rPr>
            </w:pPr>
            <w:r>
              <w:rPr>
                <w:rFonts w:hint="eastAsia" w:ascii="宋体" w:hAnsi="宋体"/>
              </w:rPr>
              <w:t xml:space="preserve">根据供应商所提供的售后服务方案进行评审，包括</w:t>
            </w:r>
            <w:r>
              <w:rPr>
                <w:rFonts w:ascii="宋体" w:hAnsi="宋体"/>
              </w:rPr>
              <w:t xml:space="preserve">包括</w:t>
            </w:r>
            <w:r>
              <w:rPr>
                <w:rFonts w:ascii="宋体" w:hAnsi="宋体" w:cs="Cambria Math"/>
              </w:rPr>
              <w:t xml:space="preserve">①</w:t>
            </w:r>
            <w:r>
              <w:rPr>
                <w:rFonts w:ascii="宋体" w:hAnsi="宋体"/>
              </w:rPr>
              <w:t xml:space="preserve">响应时间、响应方式、</w:t>
            </w:r>
            <w:r>
              <w:rPr>
                <w:rFonts w:ascii="宋体" w:hAnsi="宋体" w:cs="Cambria Math"/>
              </w:rPr>
              <w:t xml:space="preserve">②</w:t>
            </w:r>
            <w:r>
              <w:rPr>
                <w:rFonts w:ascii="宋体" w:hAnsi="宋体"/>
              </w:rPr>
              <w:t xml:space="preserve">服务流程、</w:t>
            </w:r>
            <w:r>
              <w:rPr>
                <w:rFonts w:hint="eastAsia" w:ascii="宋体" w:hAnsi="宋体"/>
              </w:rPr>
              <w:t xml:space="preserve">③</w:t>
            </w:r>
            <w:r>
              <w:rPr>
                <w:rFonts w:ascii="宋体" w:hAnsi="宋体"/>
              </w:rPr>
              <w:t xml:space="preserve">服务内容</w:t>
            </w:r>
            <w:r>
              <w:rPr>
                <w:rFonts w:hint="eastAsia" w:ascii="宋体" w:hAnsi="宋体"/>
              </w:rPr>
              <w:t xml:space="preserve">、④</w:t>
            </w:r>
            <w:r>
              <w:rPr>
                <w:rFonts w:ascii="宋体" w:hAnsi="宋体"/>
              </w:rPr>
              <w:t xml:space="preserve">故障解决情况等内容。方案完整、符合本项目实际需求的，每提供一项得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培训方案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根据供应商所提供的培训方案进行评审，包括</w:t>
            </w:r>
            <w:r>
              <w:rPr>
                <w:rFonts w:ascii="宋体" w:hAnsi="宋体" w:cs="Cambria Math"/>
              </w:rPr>
              <w:t xml:space="preserve">①</w:t>
            </w:r>
            <w:r>
              <w:rPr>
                <w:rFonts w:hint="eastAsia" w:ascii="宋体" w:hAnsi="宋体"/>
              </w:rPr>
              <w:t xml:space="preserve">培训组织流程、</w:t>
            </w:r>
            <w:r>
              <w:rPr>
                <w:rFonts w:ascii="宋体" w:hAnsi="宋体" w:cs="Cambria Math"/>
              </w:rPr>
              <w:t xml:space="preserve">②</w:t>
            </w:r>
            <w:r>
              <w:rPr>
                <w:rFonts w:hint="eastAsia" w:ascii="宋体" w:hAnsi="宋体"/>
              </w:rPr>
              <w:t xml:space="preserve">培训目标、③培训内容方面内容。</w:t>
            </w:r>
            <w:r/>
          </w:p>
          <w:p>
            <w:pPr>
              <w:pStyle w:val="1005"/>
              <w:rPr>
                <w:rFonts w:ascii="宋体" w:hAnsi="宋体"/>
              </w:rPr>
            </w:pPr>
            <w:r>
              <w:rPr>
                <w:rFonts w:ascii="宋体" w:hAnsi="宋体"/>
              </w:rPr>
              <w:t xml:space="preserve">方案完整、符合本项目实际</w:t>
            </w:r>
            <w:r>
              <w:rPr>
                <w:rFonts w:ascii="宋体" w:hAnsi="宋体"/>
              </w:rPr>
              <w:t xml:space="preserve">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6</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val="false"/>
          </w:tcPr>
          <w:p>
            <w:pPr>
              <w:pStyle w:val="1005"/>
              <w:rPr>
                <w:rFonts w:hint="eastAsia" w:ascii="宋体" w:hAnsi="宋体"/>
              </w:rPr>
            </w:pPr>
            <w:r>
              <w:rPr>
                <w:rFonts w:hint="eastAsia" w:ascii="宋体" w:hAnsi="宋体"/>
              </w:rPr>
              <w:t xml:space="preserve">6</w:t>
            </w:r>
            <w:r/>
          </w:p>
        </w:tc>
      </w:tr>
      <w:tr>
        <w:trPr>
          <w:cantSplit/>
          <w:trHeight w:val="3055"/>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风险</w:t>
            </w:r>
            <w:r>
              <w:rPr>
                <w:rFonts w:hint="eastAsia" w:ascii="宋体" w:hAnsi="宋体"/>
              </w:rPr>
              <w:t xml:space="preserve">安全</w:t>
            </w:r>
            <w:r>
              <w:rPr>
                <w:rFonts w:hint="eastAsia" w:ascii="宋体" w:hAnsi="宋体"/>
              </w:rPr>
              <w:t xml:space="preserve">管理方案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根据供应商所提供的风险</w:t>
            </w:r>
            <w:r>
              <w:rPr>
                <w:rFonts w:hint="eastAsia" w:ascii="宋体" w:hAnsi="宋体"/>
              </w:rPr>
              <w:t xml:space="preserve">安全</w:t>
            </w:r>
            <w:r>
              <w:rPr>
                <w:rFonts w:hint="eastAsia" w:ascii="宋体" w:hAnsi="宋体"/>
              </w:rPr>
              <w:t xml:space="preserve">管理方案进行评审，包括</w:t>
            </w:r>
            <w:r>
              <w:rPr>
                <w:rFonts w:ascii="宋体" w:hAnsi="宋体" w:cs="Cambria Math"/>
              </w:rPr>
              <w:t xml:space="preserve">①</w:t>
            </w:r>
            <w:r>
              <w:rPr>
                <w:rFonts w:hint="eastAsia" w:ascii="宋体" w:hAnsi="宋体"/>
              </w:rPr>
              <w:t xml:space="preserve">风险</w:t>
            </w:r>
            <w:r>
              <w:rPr>
                <w:rFonts w:hint="eastAsia" w:ascii="宋体" w:hAnsi="宋体"/>
              </w:rPr>
              <w:t xml:space="preserve">安全</w:t>
            </w:r>
            <w:r>
              <w:rPr>
                <w:rFonts w:hint="eastAsia" w:ascii="宋体" w:hAnsi="宋体"/>
              </w:rPr>
              <w:t xml:space="preserve">管理计划、</w:t>
            </w:r>
            <w:r>
              <w:rPr>
                <w:rFonts w:ascii="宋体" w:hAnsi="宋体" w:cs="Cambria Math"/>
              </w:rPr>
              <w:t xml:space="preserve">②</w:t>
            </w:r>
            <w:r>
              <w:rPr>
                <w:rFonts w:hint="eastAsia" w:ascii="宋体" w:hAnsi="宋体"/>
              </w:rPr>
              <w:t xml:space="preserve">风险识别与分析、③</w:t>
            </w:r>
            <w:r>
              <w:rPr>
                <w:rFonts w:ascii="宋体" w:hAnsi="宋体"/>
              </w:rPr>
              <w:t xml:space="preserve">风险控制与规避</w:t>
            </w:r>
            <w:r>
              <w:rPr>
                <w:rFonts w:hint="eastAsia" w:ascii="宋体" w:hAnsi="宋体"/>
              </w:rPr>
              <w:t xml:space="preserve">、④项目风险及应对措施方面内容。</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w:t>
            </w:r>
            <w:r>
              <w:rPr>
                <w:rFonts w:hint="eastAsia" w:ascii="宋体" w:hAnsi="宋体"/>
              </w:rPr>
              <w:t xml:space="preserve">”</w:t>
            </w:r>
            <w:r>
              <w:rPr>
                <w:rFonts w:ascii="宋体" w:hAnsi="宋体"/>
              </w:rPr>
              <w:t xml:space="preserve">、</w:t>
            </w:r>
            <w:r>
              <w:rPr>
                <w:rFonts w:hint="eastAsia" w:ascii="宋体" w:hAnsi="宋体"/>
              </w:rPr>
              <w:t xml:space="preserve">“</w:t>
            </w:r>
            <w:r>
              <w:rPr>
                <w:rFonts w:ascii="宋体" w:hAnsi="宋体"/>
              </w:rPr>
              <w:t xml:space="preserve">不完整</w:t>
            </w:r>
            <w:r>
              <w:rPr>
                <w:rFonts w:hint="eastAsia" w:ascii="宋体" w:hAnsi="宋体"/>
              </w:rPr>
              <w:t xml:space="preserve">”</w:t>
            </w:r>
            <w:r>
              <w:rPr>
                <w:rFonts w:ascii="宋体" w:hAnsi="宋体"/>
              </w:rPr>
              <w:t xml:space="preserve">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189"/>
        </w:trPr>
        <w:tc>
          <w:tcPr>
            <w:tcW w:w="1414" w:type="dxa"/>
            <w:vAlign w:val="center"/>
            <w:vMerge w:val="restart"/>
            <w:textDirection w:val="lrTb"/>
            <w:noWrap w:val="false"/>
          </w:tcPr>
          <w:p>
            <w:pPr>
              <w:pStyle w:val="1005"/>
              <w:rPr>
                <w:rFonts w:hint="eastAsia" w:ascii="宋体" w:hAnsi="宋体"/>
              </w:rPr>
            </w:pPr>
            <w:r>
              <w:rPr>
                <w:rFonts w:hint="eastAsia" w:ascii="宋体" w:hAnsi="宋体"/>
              </w:rPr>
              <w:t xml:space="preserve">商务部分</w:t>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项目团队人员构成</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1.项目组成员中</w:t>
            </w:r>
            <w:r>
              <w:rPr>
                <w:rFonts w:ascii="宋体" w:hAnsi="宋体"/>
              </w:rPr>
              <w:t xml:space="preserve">具有高级数据库管理工程师证书的得2分</w:t>
            </w:r>
            <w:r>
              <w:rPr>
                <w:rFonts w:hint="eastAsia" w:ascii="宋体" w:hAnsi="宋体"/>
              </w:rPr>
              <w:t xml:space="preserve">，最高分2分；2.具有计算机科学与技术专业的高级工程师称得2分，最高4分。（响应文件中需提供证书复印件或扫描件及该人员在供应商单位最近一个月及以上缴纳的社保证明材料，并加盖供应商单位公章，未按要求提供不得分。</w:t>
            </w:r>
            <w:r>
              <w:rPr>
                <w:rFonts w:hint="eastAsia" w:ascii="宋体" w:hAnsi="宋体"/>
              </w:rPr>
              <w:t xml:space="preserve">一人多证不可兼得，提供多个相同类型证书只计算一个）</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6</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投标单位综合实力</w:t>
            </w:r>
            <w:r/>
          </w:p>
        </w:tc>
        <w:tc>
          <w:tcPr>
            <w:tcW w:w="5554" w:type="dxa"/>
            <w:vAlign w:val="center"/>
            <w:textDirection w:val="lrTb"/>
            <w:noWrap w:val="false"/>
          </w:tcPr>
          <w:p>
            <w:pPr>
              <w:pStyle w:val="1005"/>
              <w:rPr>
                <w:rFonts w:hint="eastAsia" w:ascii="宋体" w:hAnsi="宋体"/>
              </w:rPr>
            </w:pPr>
            <w:r>
              <w:rPr>
                <w:rFonts w:ascii="宋体" w:hAnsi="宋体"/>
              </w:rPr>
              <w:t xml:space="preserve">1</w:t>
            </w:r>
            <w:r>
              <w:rPr>
                <w:rFonts w:hint="eastAsia" w:ascii="宋体" w:hAnsi="宋体"/>
              </w:rPr>
              <w:t xml:space="preserve">.具备有效的质量管理体系认证证书的得2分；</w:t>
            </w:r>
            <w:r/>
          </w:p>
          <w:p>
            <w:pPr>
              <w:pStyle w:val="1005"/>
              <w:rPr>
                <w:rFonts w:hint="eastAsia" w:ascii="宋体" w:hAnsi="宋体"/>
              </w:rPr>
            </w:pPr>
            <w:r>
              <w:rPr>
                <w:rFonts w:ascii="宋体" w:hAnsi="宋体"/>
              </w:rPr>
              <w:t xml:space="preserve">2</w:t>
            </w:r>
            <w:r>
              <w:rPr>
                <w:rFonts w:hint="eastAsia" w:ascii="宋体" w:hAnsi="宋体"/>
              </w:rPr>
              <w:t xml:space="preserve">.具备有效的类似本项目软件著作权的，每提供1份得2分，最高得4分。</w:t>
            </w:r>
            <w:r/>
          </w:p>
          <w:p>
            <w:pPr>
              <w:pStyle w:val="1005"/>
              <w:rPr>
                <w:rFonts w:hint="eastAsia" w:ascii="宋体" w:hAnsi="宋体"/>
              </w:rPr>
            </w:pPr>
            <w:r>
              <w:rPr>
                <w:rFonts w:hint="eastAsia" w:ascii="宋体" w:hAnsi="宋体"/>
              </w:rPr>
              <w:t xml:space="preserve">（响应文件中需提供有效期内的证书复印件或扫描件，并加盖供应商单位公章，未按要求提供不得分。）</w:t>
            </w:r>
            <w:r/>
          </w:p>
        </w:tc>
        <w:tc>
          <w:tcPr>
            <w:tcW w:w="772" w:type="dxa"/>
            <w:vAlign w:val="center"/>
            <w:textDirection w:val="lrTb"/>
            <w:noWrap w:val="false"/>
          </w:tcPr>
          <w:p>
            <w:pPr>
              <w:pStyle w:val="1005"/>
              <w:rPr>
                <w:rFonts w:hint="eastAsia" w:ascii="宋体" w:hAnsi="宋体"/>
              </w:rPr>
            </w:pPr>
            <w:r>
              <w:rPr>
                <w:rFonts w:hint="eastAsia" w:ascii="宋体" w:hAnsi="宋体" w:cs="宋体"/>
                <w:sz w:val="24"/>
                <w:szCs w:val="24"/>
                <w:lang w:bidi="ar"/>
              </w:rPr>
              <w:t xml:space="preserve">6</w:t>
            </w:r>
            <w:r>
              <w:rPr>
                <w:rFonts w:hint="eastAsia" w:ascii="宋体" w:hAnsi="宋体"/>
              </w:rPr>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类似项目业绩</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202</w:t>
            </w:r>
            <w:r>
              <w:rPr>
                <w:rFonts w:hint="eastAsia" w:ascii="宋体" w:hAnsi="宋体"/>
              </w:rPr>
              <w:t xml:space="preserve">3</w:t>
            </w:r>
            <w:r>
              <w:rPr>
                <w:rFonts w:hint="eastAsia" w:ascii="宋体" w:hAnsi="宋体"/>
              </w:rPr>
              <w:t xml:space="preserve">年1月1日起至今（以合同签订之日起）供应商单位具有类似项目业绩的，每提供一个得</w:t>
            </w:r>
            <w:r>
              <w:rPr>
                <w:rFonts w:ascii="宋体" w:hAnsi="宋体"/>
              </w:rPr>
              <w:t xml:space="preserve">2</w:t>
            </w:r>
            <w:r>
              <w:rPr>
                <w:rFonts w:hint="eastAsia" w:ascii="宋体" w:hAnsi="宋体"/>
              </w:rPr>
              <w:t xml:space="preserve">分，最高得6分。（响应文件中需提供完整的合同复印件或扫描件，并加盖供应商单位公章，未按要求提供不得分。）</w:t>
            </w:r>
            <w:r/>
          </w:p>
        </w:tc>
        <w:tc>
          <w:tcPr>
            <w:tcW w:w="772" w:type="dxa"/>
            <w:vAlign w:val="center"/>
            <w:textDirection w:val="lrTb"/>
            <w:noWrap w:val="false"/>
          </w:tcPr>
          <w:p>
            <w:pPr>
              <w:pStyle w:val="1005"/>
              <w:rPr>
                <w:rFonts w:ascii="宋体" w:hAnsi="宋体"/>
              </w:rPr>
            </w:pPr>
            <w:r>
              <w:rPr>
                <w:rFonts w:hint="eastAsia" w:ascii="宋体" w:hAnsi="宋体" w:cs="宋体"/>
                <w:sz w:val="24"/>
                <w:szCs w:val="24"/>
                <w:lang w:bidi="ar"/>
              </w:rPr>
              <w:t xml:space="preserve">6</w:t>
            </w:r>
            <w:r>
              <w:rPr>
                <w:rFonts w:ascii="宋体" w:hAnsi="宋体"/>
              </w:rPr>
            </w:r>
            <w:r/>
          </w:p>
        </w:tc>
      </w:tr>
    </w:tbl>
    <w:p>
      <w:pPr>
        <w:pStyle w:val="1006"/>
        <w:ind w:firstLine="0"/>
        <w:rPr>
          <w:rFonts w:hint="eastAsia" w:ascii="宋体" w:hAnsi="宋体"/>
        </w:rPr>
      </w:pPr>
      <w:r>
        <w:rPr>
          <w:rFonts w:hint="eastAsia" w:ascii="宋体" w:hAnsi="宋体"/>
        </w:rPr>
      </w:r>
      <w:r/>
    </w:p>
    <w:p>
      <w:pPr>
        <w:pStyle w:val="885"/>
        <w:rPr>
          <w:rFonts w:hint="eastAsia" w:ascii="宋体" w:hAnsi="宋体"/>
          <w:szCs w:val="21"/>
        </w:rPr>
      </w:pPr>
      <w:r>
        <w:rPr>
          <w:rFonts w:hint="eastAsia" w:ascii="宋体" w:hAnsi="宋体"/>
          <w:szCs w:val="21"/>
        </w:rPr>
      </w:r>
      <w:r/>
    </w:p>
    <w:p>
      <w:pPr>
        <w:pStyle w:val="885"/>
        <w:rPr>
          <w:rFonts w:hint="eastAsia" w:ascii="宋体" w:hAnsi="宋体"/>
        </w:rPr>
      </w:pPr>
      <w:r>
        <w:rPr>
          <w:rFonts w:hint="eastAsia" w:ascii="宋体" w:hAnsi="宋体"/>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szCs w:val="21"/>
        </w:rPr>
      </w:pPr>
      <w:r>
        <w:rPr>
          <w:szCs w:val="21"/>
        </w:rPr>
      </w:r>
      <w:r/>
    </w:p>
    <w:p>
      <w:pPr>
        <w:pStyle w:val="885"/>
        <w:rPr>
          <w:szCs w:val="21"/>
        </w:rPr>
      </w:pPr>
      <w:r>
        <w:rPr>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pPr>
      <w:r/>
      <w:r/>
    </w:p>
    <w:p>
      <w:pPr>
        <w:pStyle w:val="885"/>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65"/>
      <w:r/>
      <w:bookmarkEnd w:id="166"/>
      <w:r/>
      <w:bookmarkEnd w:id="167"/>
      <w:r>
        <w:rPr>
          <w:rFonts w:hint="eastAsia" w:ascii="黑体" w:eastAsia="黑体"/>
          <w:bCs/>
          <w:sz w:val="44"/>
          <w:szCs w:val="28"/>
        </w:rPr>
        <w:t xml:space="preserve">响应文件格式 </w:t>
      </w:r>
      <w:r/>
    </w:p>
    <w:p>
      <w:pPr>
        <w:pStyle w:val="885"/>
        <w:jc w:val="center"/>
        <w:rPr>
          <w:rFonts w:hint="eastAsia" w:ascii="宋体" w:hAnsi="宋体"/>
          <w:b/>
          <w:sz w:val="72"/>
          <w:szCs w:val="21"/>
        </w:rPr>
      </w:pPr>
      <w:r/>
      <w:bookmarkStart w:id="168" w:name="_Hlt26671244"/>
      <w:r/>
      <w:bookmarkEnd w:id="168"/>
      <w:r/>
      <w:bookmarkStart w:id="169" w:name="_Hlt26955039"/>
      <w:r/>
      <w:bookmarkEnd w:id="169"/>
      <w:r/>
      <w:bookmarkStart w:id="170" w:name="_Toc120614282"/>
      <w:r/>
      <w:bookmarkStart w:id="171" w:name="_Toc26554094"/>
      <w:r/>
      <w:bookmarkStart w:id="172" w:name="_Toc49090576"/>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t xml:space="preserve">响  应  文  件</w:t>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8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8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88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szCs w:val="21"/>
        </w:rPr>
      </w:pPr>
      <w:r>
        <w:rPr>
          <w:rFonts w:ascii="宋体" w:hAnsi="宋体"/>
          <w:szCs w:val="21"/>
        </w:rPr>
      </w:r>
      <w:r/>
    </w:p>
    <w:p>
      <w:pPr>
        <w:pStyle w:val="885"/>
        <w:rPr>
          <w:rFonts w:ascii="黑体" w:hAnsi="黑体" w:eastAsia="黑体"/>
          <w:iCs/>
          <w:sz w:val="32"/>
          <w:szCs w:val="32"/>
        </w:rPr>
      </w:pPr>
      <w:r/>
      <w:bookmarkEnd w:id="163"/>
      <w:r/>
      <w:bookmarkEnd w:id="164"/>
      <w:r/>
      <w:bookmarkEnd w:id="170"/>
      <w:r/>
      <w:bookmarkEnd w:id="171"/>
      <w:r/>
      <w:bookmarkEnd w:id="172"/>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885"/>
        <w:ind w:firstLine="480"/>
        <w:spacing w:line="440" w:lineRule="exact"/>
        <w:rPr>
          <w:rFonts w:hint="eastAsia" w:ascii="宋体" w:hAnsi="宋体"/>
          <w:sz w:val="24"/>
          <w:szCs w:val="21"/>
        </w:rPr>
      </w:pPr>
      <w:r>
        <w:rPr>
          <w:rFonts w:hint="eastAsia" w:ascii="宋体" w:hAnsi="宋体"/>
          <w:sz w:val="24"/>
          <w:szCs w:val="21"/>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二、具有良好的商业信誉和健全的财务会计制度证明。提供2025年度经审计的财务报告或投标截止前六个月内银行金融机构出具的资信证明。</w:t>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w:t>
      </w:r>
      <w:r>
        <w:rPr>
          <w:rFonts w:hint="eastAsia" w:ascii="黑体" w:hAnsi="黑体" w:eastAsia="黑体"/>
          <w:iCs/>
          <w:sz w:val="32"/>
          <w:szCs w:val="32"/>
        </w:rPr>
        <w:t xml:space="preserve">纳税收和社会保障资金的相关材料</w:t>
      </w:r>
      <w:r/>
    </w:p>
    <w:p>
      <w:pPr>
        <w:pStyle w:val="885"/>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
          <w:sz w:val="32"/>
          <w:szCs w:val="32"/>
          <w:u w:val="single"/>
        </w:rPr>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85"/>
        <w:spacing w:line="460" w:lineRule="exact"/>
        <w:rPr>
          <w:rFonts w:hint="eastAsia" w:ascii="宋体" w:hAnsi="宋体"/>
          <w:bCs/>
          <w:sz w:val="24"/>
          <w:szCs w:val="21"/>
        </w:rPr>
      </w:pPr>
      <w:r>
        <w:rPr>
          <w:rFonts w:hint="eastAsia" w:ascii="宋体" w:hAnsi="宋体"/>
          <w:bCs/>
          <w:sz w:val="24"/>
          <w:szCs w:val="21"/>
        </w:rPr>
        <w:t xml:space="preserve">                                     </w:t>
      </w:r>
      <w:r/>
    </w:p>
    <w:p>
      <w:pPr>
        <w:pStyle w:val="885"/>
        <w:rPr>
          <w:rFonts w:hint="eastAsia"/>
          <w:szCs w:val="21"/>
        </w:rPr>
      </w:pPr>
      <w:r>
        <w:rPr>
          <w:rFonts w:hint="eastAsia"/>
          <w:szCs w:val="21"/>
        </w:rPr>
      </w:r>
      <w:r/>
    </w:p>
    <w:p>
      <w:pPr>
        <w:pStyle w:val="885"/>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
          <w:sz w:val="32"/>
          <w:szCs w:val="32"/>
          <w:u w:val="single"/>
        </w:rPr>
      </w:r>
      <w:r/>
    </w:p>
    <w:p>
      <w:pPr>
        <w:pStyle w:val="885"/>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885"/>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85"/>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pStyle w:val="885"/>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85"/>
        <w:spacing w:line="460" w:lineRule="exact"/>
        <w:rPr>
          <w:rFonts w:hint="eastAsia" w:ascii="宋体" w:hAnsi="宋体"/>
          <w:bCs/>
          <w:sz w:val="24"/>
          <w:szCs w:val="21"/>
        </w:rPr>
      </w:pPr>
      <w:r/>
      <w:bookmarkStart w:id="173" w:name="_Toc120614284"/>
      <w:r>
        <w:rPr>
          <w:rFonts w:hint="eastAsia" w:ascii="宋体" w:hAnsi="宋体"/>
          <w:bCs/>
          <w:sz w:val="24"/>
          <w:szCs w:val="21"/>
        </w:rPr>
      </w:r>
      <w:r/>
    </w:p>
    <w:p>
      <w:pPr>
        <w:pStyle w:val="885"/>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rPr>
          <w:rFonts w:hint="eastAsia" w:ascii="黑体" w:hAnsi="黑体" w:eastAsia="黑体"/>
          <w:i/>
          <w:sz w:val="32"/>
          <w:szCs w:val="32"/>
          <w:u w:val="single"/>
        </w:rPr>
      </w:r>
      <w:r/>
    </w:p>
    <w:p>
      <w:pPr>
        <w:pStyle w:val="885"/>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85"/>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885"/>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pStyle w:val="885"/>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pStyle w:val="885"/>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885"/>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pStyle w:val="885"/>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74" w:name="_Hlt26671380"/>
      <w:r/>
      <w:bookmarkEnd w:id="174"/>
      <w:r/>
      <w:bookmarkStart w:id="175" w:name="_Hlt26955070"/>
      <w:r/>
      <w:bookmarkEnd w:id="175"/>
      <w:r/>
      <w:bookmarkStart w:id="176" w:name="_格式3__银行出具的资信证明"/>
      <w:r/>
      <w:bookmarkEnd w:id="176"/>
      <w:r>
        <w:rPr>
          <w:sz w:val="24"/>
          <w:szCs w:val="24"/>
          <w:u w:val="single"/>
        </w:rPr>
        <w:t xml:space="preserve">                                         </w:t>
      </w:r>
      <w:r/>
    </w:p>
    <w:p>
      <w:pPr>
        <w:pStyle w:val="885"/>
        <w:ind w:firstLine="480"/>
        <w:tabs>
          <w:tab w:val="left" w:pos="360" w:leader="none"/>
        </w:tabs>
        <w:rPr>
          <w:sz w:val="24"/>
          <w:szCs w:val="24"/>
          <w:u w:val="single"/>
        </w:rPr>
      </w:pPr>
      <w:r>
        <w:rPr>
          <w:sz w:val="24"/>
          <w:szCs w:val="24"/>
          <w:u w:val="single"/>
        </w:rPr>
      </w:r>
      <w:r/>
    </w:p>
    <w:p>
      <w:pPr>
        <w:pStyle w:val="885"/>
        <w:ind w:firstLine="480"/>
        <w:tabs>
          <w:tab w:val="left" w:pos="360" w:leader="none"/>
        </w:tabs>
        <w:rPr>
          <w:sz w:val="24"/>
          <w:szCs w:val="24"/>
        </w:rPr>
      </w:pPr>
      <w:r>
        <w:rPr>
          <w:sz w:val="24"/>
          <w:szCs w:val="24"/>
        </w:rPr>
      </w:r>
      <w:r/>
    </w:p>
    <w:p>
      <w:pPr>
        <w:pStyle w:val="885"/>
        <w:ind w:firstLine="420"/>
        <w:rPr>
          <w:i/>
          <w:sz w:val="24"/>
          <w:szCs w:val="24"/>
          <w:u w:val="single"/>
        </w:rPr>
      </w:pPr>
      <w:r>
        <w:rPr>
          <w:i/>
          <w:sz w:val="24"/>
          <w:szCs w:val="24"/>
          <w:u w:val="single"/>
        </w:rPr>
      </w:r>
      <w:r/>
    </w:p>
    <w:p>
      <w:pPr>
        <w:pStyle w:val="885"/>
        <w:rPr>
          <w:szCs w:val="21"/>
        </w:rPr>
      </w:pPr>
      <w:r>
        <w:rPr>
          <w:szCs w:val="21"/>
        </w:rPr>
      </w:r>
      <w:r/>
    </w:p>
    <w:p>
      <w:pPr>
        <w:pStyle w:val="885"/>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rPr>
          <w:rFonts w:ascii="黑体" w:hAnsi="黑体" w:eastAsia="黑体"/>
          <w:iCs/>
          <w:sz w:val="32"/>
          <w:szCs w:val="32"/>
        </w:rPr>
      </w:r>
      <w:r/>
    </w:p>
    <w:p>
      <w:pPr>
        <w:pStyle w:val="885"/>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w:t>
      </w:r>
      <w:r>
        <w:rPr>
          <w:rFonts w:hint="eastAsia" w:ascii="宋体" w:hAnsi="宋体"/>
          <w:sz w:val="24"/>
          <w:szCs w:val="21"/>
        </w:rPr>
        <w:t xml:space="preserve">商。</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885"/>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spacing w:line="460" w:lineRule="exact"/>
        <w:rPr>
          <w:rFonts w:hint="eastAsia" w:ascii="黑体" w:hAnsi="黑体" w:eastAsia="黑体"/>
          <w:b/>
          <w:sz w:val="32"/>
          <w:szCs w:val="32"/>
        </w:rPr>
      </w:pPr>
      <w:r>
        <w:rPr>
          <w:rFonts w:hint="eastAsia" w:ascii="黑体" w:hAnsi="黑体" w:eastAsia="黑体"/>
          <w:b/>
          <w:sz w:val="32"/>
          <w:szCs w:val="32"/>
        </w:rPr>
      </w:r>
      <w:r/>
    </w:p>
    <w:p>
      <w:pPr>
        <w:pStyle w:val="885"/>
        <w:spacing w:line="4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pStyle w:val="885"/>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w:t>
      </w:r>
      <w:r>
        <w:rPr>
          <w:rFonts w:hint="eastAsia" w:ascii="宋体" w:hAnsi="宋体" w:cs="宋体"/>
          <w:sz w:val="22"/>
        </w:rPr>
        <w:t xml:space="preserve">）。相关企业（含联合体中的中小企业、签订分包意向协议的中小企业）的具体情况如下：</w:t>
      </w:r>
      <w:r>
        <w:rPr>
          <w:rFonts w:hint="eastAsia"/>
        </w:rPr>
      </w:r>
      <w:r/>
    </w:p>
    <w:p>
      <w:pPr>
        <w:pStyle w:val="885"/>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85"/>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85"/>
        <w:ind w:firstLine="420"/>
        <w:spacing w:line="400" w:lineRule="atLeast"/>
      </w:pPr>
      <w:r>
        <w:rPr>
          <w:rFonts w:hint="eastAsia" w:ascii="宋体" w:hAnsi="宋体" w:cs="宋体"/>
          <w:sz w:val="22"/>
        </w:rPr>
        <w:t xml:space="preserve">……</w:t>
      </w:r>
      <w:r/>
    </w:p>
    <w:p>
      <w:pPr>
        <w:pStyle w:val="885"/>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pStyle w:val="885"/>
        <w:ind w:firstLine="420"/>
        <w:spacing w:line="400" w:lineRule="atLeast"/>
      </w:pPr>
      <w:r>
        <w:rPr>
          <w:rFonts w:hint="eastAsia" w:ascii="宋体" w:hAnsi="宋体" w:cs="宋体"/>
          <w:sz w:val="22"/>
        </w:rPr>
        <w:t xml:space="preserve">本企业对上述声明内容的真实性负责。如有虚假，将依法承担相应责任。</w:t>
      </w:r>
      <w:r/>
    </w:p>
    <w:p>
      <w:pPr>
        <w:pStyle w:val="885"/>
        <w:ind w:firstLine="360"/>
        <w:spacing w:line="560" w:lineRule="exact"/>
        <w:rPr>
          <w:rFonts w:ascii="宋体" w:hAnsi="宋体"/>
          <w:sz w:val="24"/>
          <w:szCs w:val="24"/>
        </w:rPr>
      </w:pPr>
      <w:r>
        <w:rPr>
          <w:rFonts w:ascii="宋体" w:hAnsi="宋体"/>
          <w:sz w:val="24"/>
          <w:szCs w:val="24"/>
        </w:rPr>
      </w:r>
      <w:r/>
    </w:p>
    <w:p>
      <w:pPr>
        <w:pStyle w:val="885"/>
        <w:ind w:right="720"/>
        <w:spacing w:line="560" w:lineRule="exact"/>
        <w:rPr>
          <w:rFonts w:hint="eastAsia" w:ascii="宋体" w:hAnsi="宋体"/>
          <w:sz w:val="24"/>
          <w:szCs w:val="24"/>
        </w:rPr>
      </w:pPr>
      <w:r>
        <w:rPr>
          <w:rFonts w:hint="eastAsia" w:ascii="宋体" w:hAnsi="宋体"/>
          <w:sz w:val="24"/>
          <w:szCs w:val="24"/>
        </w:rPr>
      </w:r>
      <w:r/>
    </w:p>
    <w:p>
      <w:pPr>
        <w:pStyle w:val="88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8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85"/>
        <w:ind w:firstLine="240"/>
        <w:spacing w:line="560" w:lineRule="exact"/>
        <w:rPr>
          <w:rFonts w:hint="eastAsia" w:ascii="宋体" w:hAnsi="宋体"/>
          <w:sz w:val="24"/>
          <w:szCs w:val="24"/>
        </w:rPr>
      </w:pPr>
      <w:r>
        <w:rPr>
          <w:rFonts w:hint="eastAsia" w:ascii="宋体" w:hAnsi="宋体"/>
          <w:sz w:val="24"/>
          <w:szCs w:val="24"/>
        </w:rPr>
      </w:r>
      <w:r/>
    </w:p>
    <w:p>
      <w:pPr>
        <w:pStyle w:val="88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85"/>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pStyle w:val="885"/>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t xml:space="preserve">十、残疾人福利性单位声明函</w:t>
      </w:r>
      <w:r>
        <w:rPr>
          <w:rFonts w:hint="eastAsia" w:ascii="黑体" w:hAnsi="黑体" w:eastAsia="黑体"/>
          <w:b/>
          <w:sz w:val="32"/>
          <w:szCs w:val="32"/>
        </w:rPr>
      </w:r>
      <w:r/>
    </w:p>
    <w:p>
      <w:pPr>
        <w:pStyle w:val="885"/>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885"/>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85"/>
        <w:ind w:firstLine="480"/>
        <w:spacing w:line="588" w:lineRule="exact"/>
        <w:rPr>
          <w:rFonts w:hint="eastAsia" w:ascii="宋体" w:hAnsi="宋体"/>
          <w:sz w:val="24"/>
          <w:szCs w:val="21"/>
        </w:rPr>
      </w:pPr>
      <w:r>
        <w:rPr>
          <w:rFonts w:hint="eastAsia" w:ascii="宋体" w:hAnsi="宋体"/>
          <w:sz w:val="24"/>
          <w:szCs w:val="21"/>
        </w:rPr>
      </w:r>
      <w:r/>
    </w:p>
    <w:p>
      <w:pPr>
        <w:pStyle w:val="885"/>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pStyle w:val="885"/>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85"/>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885"/>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rPr>
          <w:rFonts w:hint="eastAsia"/>
          <w:szCs w:val="21"/>
        </w:rPr>
      </w:pPr>
      <w:r>
        <w:rPr>
          <w:rFonts w:hint="eastAsia"/>
          <w:szCs w:val="21"/>
        </w:rPr>
      </w:r>
      <w:r/>
    </w:p>
    <w:p>
      <w:pPr>
        <w:pStyle w:val="885"/>
        <w:ind w:left="420" w:firstLine="527"/>
        <w:spacing w:before="120" w:line="360" w:lineRule="auto"/>
        <w:tabs>
          <w:tab w:val="left" w:pos="5250" w:leader="none"/>
        </w:tabs>
        <w:rPr>
          <w:rFonts w:eastAsia="楷体_GB2312"/>
          <w:sz w:val="28"/>
          <w:szCs w:val="21"/>
        </w:rPr>
      </w:pPr>
      <w:r>
        <w:rPr>
          <w:rFonts w:eastAsia="楷体_GB2312"/>
          <w:sz w:val="28"/>
          <w:szCs w:val="21"/>
        </w:rPr>
      </w:r>
      <w:r/>
    </w:p>
    <w:p>
      <w:pPr>
        <w:pStyle w:val="885"/>
        <w:rPr>
          <w:szCs w:val="21"/>
        </w:rPr>
      </w:pPr>
      <w:r>
        <w:rPr>
          <w:szCs w:val="21"/>
        </w:rPr>
      </w:r>
      <w:r/>
    </w:p>
    <w:p>
      <w:pPr>
        <w:pStyle w:val="885"/>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pStyle w:val="885"/>
        <w:rPr>
          <w:rFonts w:hint="eastAsia" w:ascii="宋体" w:hAnsi="宋体"/>
          <w:sz w:val="24"/>
          <w:szCs w:val="24"/>
        </w:rPr>
      </w:pPr>
      <w:r>
        <w:rPr>
          <w:rFonts w:hint="eastAsia" w:ascii="宋体" w:hAnsi="宋体"/>
          <w:sz w:val="24"/>
          <w:szCs w:val="24"/>
        </w:rPr>
      </w:r>
      <w:r/>
    </w:p>
    <w:p>
      <w:pPr>
        <w:pStyle w:val="885"/>
        <w:jc w:val="center"/>
        <w:rPr>
          <w:rFonts w:hint="eastAsia" w:ascii="宋体" w:hAnsi="宋体" w:cs="宋体"/>
          <w:szCs w:val="21"/>
          <w:lang w:val="zh-CN"/>
        </w:rPr>
      </w:pPr>
      <w:r>
        <w:rPr>
          <w:rFonts w:hint="eastAsia" w:ascii="黑体" w:hAnsi="黑体" w:eastAsia="黑体"/>
          <w:b/>
          <w:sz w:val="32"/>
          <w:szCs w:val="32"/>
        </w:rPr>
        <w:t xml:space="preserve">十一、响应单位情况表</w:t>
      </w:r>
      <w:r>
        <w:rPr>
          <w:rFonts w:hint="eastAsia" w:ascii="宋体" w:hAnsi="宋体" w:cs="宋体"/>
          <w:szCs w:val="21"/>
          <w:lang w:val="zh-CN"/>
        </w:rPr>
      </w:r>
      <w:r/>
    </w:p>
    <w:p>
      <w:pPr>
        <w:pStyle w:val="885"/>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 年         </w:t>
            </w: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自有面积     平方米</w:t>
            </w:r>
            <w:r/>
          </w:p>
          <w:p>
            <w:pPr>
              <w:pStyle w:val="885"/>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bl>
    <w:p>
      <w:pPr>
        <w:pStyle w:val="885"/>
        <w:rPr>
          <w:rFonts w:hint="eastAsia" w:ascii="宋体" w:hAnsi="宋体"/>
          <w:sz w:val="24"/>
          <w:szCs w:val="24"/>
        </w:rPr>
      </w:pPr>
      <w:r>
        <w:rPr>
          <w:rFonts w:hint="eastAsia" w:ascii="宋体" w:hAnsi="宋体"/>
          <w:sz w:val="24"/>
          <w:szCs w:val="24"/>
        </w:rPr>
      </w:r>
      <w:r/>
    </w:p>
    <w:p>
      <w:pPr>
        <w:pStyle w:val="885"/>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pStyle w:val="885"/>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5"/>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pStyle w:val="885"/>
              <w:spacing w:line="0" w:lineRule="atLeast"/>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w:t>
      </w:r>
      <w:r>
        <w:rPr>
          <w:rFonts w:hint="eastAsia" w:ascii="宋体" w:hAnsi="宋体"/>
          <w:sz w:val="24"/>
          <w:szCs w:val="24"/>
        </w:rPr>
        <w:t xml:space="preserve">用。</w:t>
      </w:r>
      <w:r/>
    </w:p>
    <w:p>
      <w:pPr>
        <w:pStyle w:val="885"/>
        <w:rPr>
          <w:rFonts w:hint="eastAsia"/>
        </w:rPr>
      </w:pPr>
      <w:r>
        <w:rPr>
          <w:rFonts w:hint="eastAsia"/>
        </w:rPr>
      </w:r>
      <w:r/>
    </w:p>
    <w:p>
      <w:pPr>
        <w:pStyle w:val="885"/>
      </w:pPr>
      <w:r/>
      <w:r/>
    </w:p>
    <w:p>
      <w:pPr>
        <w:pStyle w:val="885"/>
        <w:rPr>
          <w:rFonts w:ascii="黑体" w:hAnsi="Arial" w:eastAsia="黑体"/>
          <w:sz w:val="32"/>
          <w:szCs w:val="21"/>
        </w:rPr>
      </w:pPr>
      <w:r>
        <w:rPr>
          <w:rFonts w:ascii="黑体" w:hAnsi="Arial" w:eastAsia="黑体"/>
          <w:sz w:val="32"/>
          <w:szCs w:val="21"/>
        </w:rPr>
      </w:r>
      <w:r/>
    </w:p>
    <w:p>
      <w:pPr>
        <w:pStyle w:val="885"/>
        <w:jc w:val="center"/>
        <w:rPr>
          <w:rFonts w:hint="eastAsia" w:ascii="黑体" w:hAnsi="黑体" w:eastAsia="黑体"/>
          <w:b/>
          <w:sz w:val="32"/>
          <w:szCs w:val="32"/>
        </w:rPr>
      </w:pPr>
      <w:r/>
      <w:bookmarkEnd w:id="173"/>
      <w:r/>
      <w:bookmarkStart w:id="177" w:name="_Hlt26955054"/>
      <w:r/>
      <w:bookmarkEnd w:id="177"/>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证明</w:t>
            </w:r>
            <w:r/>
          </w:p>
          <w:p>
            <w:pPr>
              <w:pStyle w:val="88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注： 行数不够，可自行添加。</w:t>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rPr>
          <w:rFonts w:hint="eastAsia" w:ascii="宋体" w:hAnsi="宋体"/>
          <w:sz w:val="24"/>
          <w:szCs w:val="24"/>
        </w:rPr>
      </w:pPr>
      <w:r>
        <w:rPr>
          <w:rFonts w:hint="eastAsia" w:ascii="宋体" w:hAnsi="宋体"/>
          <w:sz w:val="24"/>
          <w:szCs w:val="24"/>
        </w:rPr>
      </w:r>
      <w:r/>
    </w:p>
    <w:p>
      <w:pPr>
        <w:pStyle w:val="885"/>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85"/>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85"/>
        <w:rPr>
          <w:rFonts w:hint="eastAsia" w:ascii="黑体" w:hAnsi="黑体" w:eastAsia="黑体"/>
          <w:b/>
          <w:sz w:val="32"/>
          <w:szCs w:val="32"/>
        </w:rPr>
      </w:pPr>
      <w:r>
        <w:rPr>
          <w:rFonts w:hint="eastAsia" w:ascii="黑体" w:hAnsi="黑体" w:eastAsia="黑体"/>
          <w:b/>
          <w:sz w:val="32"/>
          <w:szCs w:val="32"/>
        </w:rPr>
      </w:r>
      <w:r/>
    </w:p>
    <w:p>
      <w:pPr>
        <w:pStyle w:val="885"/>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85"/>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5"/>
              <w:jc w:val="center"/>
              <w:rPr>
                <w:rFonts w:hint="eastAsia" w:ascii="宋体" w:hAnsi="宋体"/>
                <w:sz w:val="24"/>
                <w:szCs w:val="24"/>
              </w:rPr>
            </w:pPr>
            <w:r/>
            <w:bookmarkStart w:id="178" w:name="_Hlt26609391"/>
            <w:r/>
            <w:bookmarkEnd w:id="178"/>
            <w:r/>
            <w:bookmarkStart w:id="179" w:name="_Hlt24879081"/>
            <w:r/>
            <w:bookmarkEnd w:id="179"/>
            <w:r/>
            <w:bookmarkStart w:id="180" w:name="_Hlt26671372"/>
            <w:r/>
            <w:bookmarkEnd w:id="180"/>
            <w:r/>
            <w:bookmarkStart w:id="181" w:name="_Hlt26782999"/>
            <w:r/>
            <w:bookmarkEnd w:id="181"/>
            <w:r/>
            <w:bookmarkStart w:id="182" w:name="_Hlt26955056"/>
            <w:r/>
            <w:bookmarkEnd w:id="182"/>
            <w:r/>
            <w:bookmarkStart w:id="183" w:name="_Hlt26955064"/>
            <w:r/>
            <w:bookmarkEnd w:id="183"/>
            <w:r/>
            <w:bookmarkStart w:id="184" w:name="_Hlt26580838"/>
            <w:r/>
            <w:bookmarkEnd w:id="184"/>
            <w:r/>
            <w:bookmarkStart w:id="185" w:name="_Hlt26671343"/>
            <w:r/>
            <w:bookmarkEnd w:id="185"/>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证明</w:t>
            </w:r>
            <w:r/>
          </w:p>
          <w:p>
            <w:pPr>
              <w:pStyle w:val="88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注： 行数不够，可自行添加。</w:t>
      </w:r>
      <w:r/>
    </w:p>
    <w:p>
      <w:pPr>
        <w:pStyle w:val="885"/>
        <w:spacing w:line="480" w:lineRule="auto"/>
        <w:rPr>
          <w:rFonts w:hint="eastAsia" w:ascii="宋体" w:hAnsi="宋体"/>
          <w:sz w:val="24"/>
          <w:szCs w:val="21"/>
        </w:rPr>
      </w:pPr>
      <w:r>
        <w:rPr>
          <w:rFonts w:hint="eastAsia" w:ascii="宋体" w:hAnsi="宋体"/>
          <w:sz w:val="24"/>
          <w:szCs w:val="21"/>
        </w:rPr>
      </w:r>
      <w:r/>
    </w:p>
    <w:p>
      <w:pPr>
        <w:pStyle w:val="885"/>
        <w:spacing w:line="480" w:lineRule="auto"/>
        <w:rPr>
          <w:rFonts w:hint="eastAsia" w:ascii="仿宋_GB2312" w:hAnsi="Arial"/>
          <w:sz w:val="30"/>
          <w:szCs w:val="21"/>
        </w:rPr>
      </w:pPr>
      <w:r>
        <w:rPr>
          <w:rFonts w:hint="eastAsia" w:ascii="仿宋_GB2312" w:hAnsi="Arial"/>
          <w:sz w:val="30"/>
          <w:szCs w:val="21"/>
        </w:rPr>
      </w:r>
      <w:r/>
    </w:p>
    <w:p>
      <w:pPr>
        <w:pStyle w:val="885"/>
        <w:rPr>
          <w:rFonts w:hint="eastAsia" w:ascii="宋体" w:hAnsi="宋体"/>
          <w:sz w:val="24"/>
          <w:szCs w:val="21"/>
        </w:rPr>
      </w:pPr>
      <w:r/>
      <w:bookmarkStart w:id="186" w:name="_Hlt26609389"/>
      <w:r/>
      <w:bookmarkEnd w:id="186"/>
      <w:r/>
      <w:bookmarkStart w:id="187" w:name="_Hlt26671374"/>
      <w:r/>
      <w:bookmarkEnd w:id="187"/>
      <w:r/>
      <w:bookmarkStart w:id="188" w:name="_Hlt26955066"/>
      <w:r/>
      <w:bookmarkEnd w:id="188"/>
      <w:r/>
      <w:bookmarkStart w:id="189" w:name="_Toc462564146"/>
      <w:r>
        <w:rPr>
          <w:rFonts w:hint="eastAsia" w:ascii="宋体" w:hAnsi="宋体"/>
          <w:sz w:val="24"/>
          <w:szCs w:val="21"/>
        </w:rPr>
      </w:r>
      <w:r/>
    </w:p>
    <w:p>
      <w:pPr>
        <w:pStyle w:val="885"/>
        <w:jc w:val="center"/>
        <w:rPr>
          <w:rFonts w:hint="eastAsia" w:ascii="黑体" w:hAnsi="黑体" w:eastAsia="黑体"/>
          <w:b/>
          <w:sz w:val="32"/>
          <w:szCs w:val="32"/>
        </w:rPr>
      </w:pPr>
      <w:r/>
      <w:bookmarkEnd w:id="189"/>
      <w:r/>
      <w:bookmarkStart w:id="190" w:name="_格式2__法定代表人授权书"/>
      <w:r/>
      <w:bookmarkEnd w:id="190"/>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pStyle w:val="885"/>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rPr>
          <w:rFonts w:hint="eastAsia" w:eastAsia="仿宋_GB2312"/>
          <w:iCs/>
          <w:sz w:val="24"/>
          <w:szCs w:val="20"/>
        </w:rPr>
      </w:r>
      <w:r/>
    </w:p>
    <w:p>
      <w:pPr>
        <w:pStyle w:val="885"/>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85"/>
        <w:ind w:firstLine="480"/>
        <w:rPr>
          <w:rFonts w:hint="eastAsia"/>
          <w:sz w:val="24"/>
          <w:szCs w:val="24"/>
        </w:rPr>
      </w:pPr>
      <w:r>
        <w:rPr>
          <w:rFonts w:hint="eastAsia" w:ascii="宋体" w:hAnsi="宋体"/>
          <w:sz w:val="24"/>
          <w:szCs w:val="24"/>
        </w:rPr>
        <w:t xml:space="preserve">项目名称：</w:t>
      </w:r>
      <w:r>
        <w:rPr>
          <w:rFonts w:hint="eastAsia"/>
          <w:sz w:val="24"/>
          <w:szCs w:val="24"/>
        </w:rPr>
      </w:r>
      <w:r/>
    </w:p>
    <w:p>
      <w:pPr>
        <w:pStyle w:val="88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885"/>
        <w:rPr>
          <w:rFonts w:hint="eastAsia" w:ascii="宋体" w:hAnsi="宋体"/>
          <w:sz w:val="24"/>
          <w:szCs w:val="24"/>
        </w:rPr>
      </w:pPr>
      <w:r>
        <w:rPr>
          <w:rFonts w:hint="eastAsia"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85"/>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pStyle w:val="885"/>
        <w:rPr>
          <w:rFonts w:hint="eastAsia"/>
        </w:rPr>
      </w:pPr>
      <w:r>
        <w:rPr>
          <w:rFonts w:hint="eastAsia"/>
        </w:rPr>
      </w:r>
      <w:r/>
    </w:p>
    <w:p>
      <w:pPr>
        <w:pStyle w:val="885"/>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ascii="黑体" w:hAnsi="黑体" w:eastAsia="黑体"/>
          <w:b/>
          <w:iCs/>
          <w:sz w:val="32"/>
          <w:szCs w:val="32"/>
        </w:rPr>
      </w:r>
      <w:r/>
    </w:p>
    <w:p>
      <w:pPr>
        <w:pStyle w:val="885"/>
        <w:ind w:firstLine="480"/>
        <w:spacing w:line="360" w:lineRule="auto"/>
        <w:rPr>
          <w:rFonts w:hint="eastAsia" w:ascii="宋体" w:hAnsi="宋体"/>
          <w:sz w:val="24"/>
          <w:szCs w:val="24"/>
        </w:rPr>
      </w:pPr>
      <w:r>
        <w:rPr>
          <w:rFonts w:hint="eastAsia" w:ascii="宋体" w:hAnsi="宋体"/>
          <w:sz w:val="24"/>
          <w:szCs w:val="24"/>
        </w:rPr>
      </w:r>
      <w:r/>
    </w:p>
    <w:p>
      <w:pPr>
        <w:pStyle w:val="885"/>
        <w:jc w:val="center"/>
        <w:spacing w:line="360" w:lineRule="auto"/>
        <w:rPr>
          <w:rFonts w:hint="eastAsia" w:ascii="宋体" w:hAnsi="宋体"/>
          <w:sz w:val="24"/>
          <w:szCs w:val="24"/>
        </w:rPr>
      </w:pPr>
      <w:r>
        <w:rPr>
          <w:rFonts w:hint="eastAsia" w:ascii="宋体" w:hAnsi="宋体"/>
          <w:sz w:val="24"/>
          <w:szCs w:val="24"/>
        </w:rPr>
        <w:t xml:space="preserve">人员配置表</w:t>
      </w:r>
      <w:r/>
    </w:p>
    <w:p>
      <w:pPr>
        <w:pStyle w:val="885"/>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t xml:space="preserve">  </w:t>
      </w:r>
      <w:r/>
    </w:p>
    <w:p>
      <w:pPr>
        <w:pStyle w:val="885"/>
        <w:jc w:val="left"/>
        <w:spacing w:line="360" w:lineRule="auto"/>
        <w:rPr>
          <w:rFonts w:hint="eastAsia" w:ascii="宋体" w:hAnsi="宋体"/>
          <w:sz w:val="24"/>
          <w:szCs w:val="24"/>
        </w:rPr>
      </w:pPr>
      <w:r>
        <w:rPr>
          <w:rFonts w:hint="eastAsia"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bl>
    <w:p>
      <w:pPr>
        <w:pStyle w:val="885"/>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pStyle w:val="885"/>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pStyle w:val="885"/>
        <w:ind w:firstLine="480"/>
        <w:spacing w:line="360" w:lineRule="auto"/>
        <w:rPr>
          <w:rFonts w:hint="eastAsia" w:ascii="宋体" w:hAnsi="宋体"/>
          <w:sz w:val="24"/>
          <w:szCs w:val="24"/>
        </w:rPr>
      </w:pPr>
      <w:r>
        <w:rPr>
          <w:rFonts w:hint="eastAsia" w:ascii="宋体" w:hAnsi="宋体"/>
          <w:sz w:val="24"/>
          <w:szCs w:val="24"/>
        </w:rPr>
      </w:r>
      <w:r/>
    </w:p>
    <w:p>
      <w:pPr>
        <w:pStyle w:val="885"/>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pStyle w:val="885"/>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pStyle w:val="885"/>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rPr>
          <w:rFonts w:hint="eastAsia" w:ascii="黑体" w:hAnsi="黑体" w:eastAsia="黑体"/>
          <w:b/>
          <w:sz w:val="32"/>
          <w:szCs w:val="32"/>
        </w:rPr>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rPr>
          <w:rFonts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pStyle w:val="885"/>
        <w:ind w:left="420" w:firstLine="527"/>
        <w:spacing w:before="120" w:line="360" w:lineRule="auto"/>
        <w:rPr>
          <w:rFonts w:ascii="宋体" w:hAnsi="宋体"/>
          <w:szCs w:val="21"/>
        </w:rPr>
      </w:pPr>
      <w:r>
        <w:rPr>
          <w:rFonts w:ascii="宋体" w:hAnsi="宋体"/>
          <w:szCs w:val="21"/>
        </w:rPr>
      </w:r>
      <w:r/>
    </w:p>
    <w:p>
      <w:pPr>
        <w:pStyle w:val="885"/>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p>
    <w:p>
      <w:pPr>
        <w:pStyle w:val="885"/>
        <w:ind w:left="420" w:firstLine="527"/>
        <w:spacing w:before="120" w:line="360" w:lineRule="auto"/>
        <w:rPr>
          <w:rFonts w:ascii="宋体" w:hAnsi="宋体"/>
          <w:szCs w:val="21"/>
        </w:rPr>
      </w:pPr>
      <w:r>
        <w:rPr>
          <w:rFonts w:ascii="宋体" w:hAnsi="宋体"/>
          <w:szCs w:val="21"/>
        </w:rPr>
      </w:r>
      <w:r/>
    </w:p>
    <w:p>
      <w:pPr>
        <w:pStyle w:val="885"/>
        <w:ind w:right="731" w:firstLine="420"/>
        <w:jc w:val="left"/>
        <w:spacing w:line="0" w:lineRule="atLeast"/>
        <w:widowControl/>
        <w:rPr>
          <w:rFonts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w:t>
      </w:r>
      <w:r>
        <w:rPr>
          <w:rFonts w:ascii="宋体" w:hAnsi="宋体" w:cs="方正魏碑_GBK"/>
          <w:sz w:val="24"/>
          <w:szCs w:val="24"/>
        </w:rPr>
        <w:t xml:space="preserve">如下：</w:t>
      </w:r>
      <w:r/>
    </w:p>
    <w:p>
      <w:pPr>
        <w:pStyle w:val="885"/>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1.</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（产品名称1）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本公司（单位）对上述声明内容的真实性负责。如有虚假，愿承担相应法律责任。</w:t>
      </w:r>
      <w:r>
        <w:rPr>
          <w:rFonts w:ascii="宋体" w:hAnsi="宋体" w:cs="方正魏碑_GBK"/>
          <w:sz w:val="24"/>
          <w:szCs w:val="24"/>
        </w:rPr>
      </w:r>
      <w:r/>
    </w:p>
    <w:p>
      <w:pPr>
        <w:pStyle w:val="885"/>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pStyle w:val="885"/>
        <w:jc w:val="left"/>
        <w:spacing w:before="30" w:after="30" w:line="0" w:lineRule="atLeast"/>
        <w:widowControl/>
        <w:rPr>
          <w:rFonts w:ascii="宋体" w:hAnsi="宋体"/>
          <w:sz w:val="24"/>
          <w:szCs w:val="24"/>
        </w:rPr>
      </w:pPr>
      <w:r>
        <w:rPr>
          <w:rFonts w:ascii="宋体" w:hAnsi="宋体"/>
          <w:sz w:val="24"/>
          <w:szCs w:val="24"/>
        </w:rPr>
      </w:r>
      <w:r/>
    </w:p>
    <w:p>
      <w:pPr>
        <w:pStyle w:val="885"/>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p>
    <w:p>
      <w:pPr>
        <w:pStyle w:val="885"/>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pStyle w:val="885"/>
        <w:jc w:val="left"/>
        <w:spacing w:before="30" w:after="30" w:line="0" w:lineRule="atLeast"/>
        <w:widowControl/>
        <w:rPr>
          <w:rFonts w:ascii="宋体" w:hAnsi="宋体"/>
          <w:sz w:val="24"/>
          <w:szCs w:val="24"/>
        </w:rPr>
      </w:pPr>
      <w:r>
        <w:rPr>
          <w:rFonts w:ascii="宋体" w:hAnsi="宋体"/>
          <w:sz w:val="24"/>
          <w:szCs w:val="24"/>
        </w:rPr>
        <w:t xml:space="preserve">__________________</w:t>
      </w:r>
      <w:r/>
    </w:p>
    <w:p>
      <w:pPr>
        <w:pStyle w:val="885"/>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p>
    <w:p>
      <w:pPr>
        <w:pStyle w:val="885"/>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p>
    <w:p>
      <w:pPr>
        <w:pStyle w:val="885"/>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4.该产品的关键组件要求实施前，“关键组件”栏可不填，下同。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5.该产品的关键工</w:t>
      </w:r>
      <w:r>
        <w:rPr>
          <w:rFonts w:ascii="宋体" w:hAnsi="宋体"/>
          <w:sz w:val="24"/>
          <w:szCs w:val="24"/>
        </w:rPr>
        <w:t xml:space="preserve">序要求实施前，“关键工序”栏可不填，下同。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pStyle w:val="885"/>
        <w:rPr>
          <w:rFonts w:hint="eastAsia" w:ascii="宋体" w:hAnsi="宋体" w:cs="仿宋"/>
          <w:b/>
          <w:bCs/>
          <w:sz w:val="32"/>
          <w:szCs w:val="32"/>
        </w:rPr>
      </w:pPr>
      <w:r>
        <w:rPr>
          <w:rFonts w:hint="eastAsia" w:ascii="宋体" w:hAnsi="宋体" w:cs="仿宋"/>
          <w:b/>
          <w:bCs/>
          <w:sz w:val="32"/>
          <w:szCs w:val="32"/>
        </w:rPr>
      </w:r>
      <w:r/>
    </w:p>
    <w:p>
      <w:pPr>
        <w:pStyle w:val="885"/>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885"/>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885"/>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w:t>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885"/>
        <w:rPr>
          <w:rFonts w:hint="eastAsia" w:ascii="宋体" w:hAnsi="宋体"/>
          <w:sz w:val="24"/>
          <w:szCs w:val="24"/>
        </w:rPr>
      </w:pPr>
      <w:r>
        <w:rPr>
          <w:rFonts w:hint="eastAsia" w:ascii="宋体" w:hAnsi="宋体"/>
          <w:sz w:val="24"/>
          <w:szCs w:val="24"/>
        </w:rPr>
        <w:t xml:space="preserve">签字(签章)：                   公章：                      </w:t>
      </w:r>
      <w:r/>
    </w:p>
    <w:p>
      <w:pPr>
        <w:pStyle w:val="885"/>
        <w:rPr>
          <w:rFonts w:hint="eastAsia" w:ascii="宋体" w:hAnsi="宋体"/>
          <w:sz w:val="24"/>
          <w:szCs w:val="24"/>
        </w:rPr>
      </w:pPr>
      <w:r>
        <w:rPr>
          <w:rFonts w:hint="eastAsia" w:ascii="宋体" w:hAnsi="宋体"/>
          <w:sz w:val="24"/>
          <w:szCs w:val="24"/>
        </w:rPr>
        <w:t xml:space="preserve">日期：    </w:t>
      </w:r>
      <w:r/>
    </w:p>
    <w:p>
      <w:pPr>
        <w:pStyle w:val="885"/>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w:t>
      </w:r>
      <w:r>
        <w:rPr>
          <w:rFonts w:hint="eastAsia" w:ascii="宋体" w:hAnsi="宋体"/>
          <w:sz w:val="24"/>
          <w:szCs w:val="24"/>
        </w:rPr>
        <w:t xml:space="preserve">质疑供应商为法人或者其他组织的，质疑函应由法定代表人、主要负责人，或者其授权代表签字或者盖章，并加盖公章。</w:t>
      </w:r>
      <w:r>
        <w:rPr>
          <w:rFonts w:hint="eastAsia" w:ascii="宋体" w:hAnsi="宋体"/>
          <w:sz w:val="24"/>
          <w:szCs w:val="24"/>
        </w:rPr>
      </w:r>
      <w:r/>
    </w:p>
    <w:p>
      <w:pPr>
        <w:pStyle w:val="885"/>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ans-serif">
    <w:panose1 w:val="020B0503020202020204"/>
  </w:font>
  <w:font w:name="仿宋">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３９</w:t>
    </w:r>
    <w:r>
      <w:rPr>
        <w:rFonts w:ascii="宋体" w:hAnsi="宋体"/>
      </w:rPr>
      <w:fldChar w:fldCharType="end"/>
    </w:r>
    <w:r>
      <w:rPr>
        <w:rStyle w:val="959"/>
        <w:rFonts w:ascii="宋体" w:hAnsi="宋体"/>
      </w:rPr>
    </w:r>
    <w:r/>
  </w:p>
  <w:p>
    <w:pPr>
      <w:pStyle w:val="93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4"/>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85"/>
    <w:next w:val="885"/>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85"/>
    <w:next w:val="885"/>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85"/>
    <w:next w:val="885"/>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85"/>
    <w:next w:val="885"/>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85"/>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5"/>
    <w:next w:val="885"/>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85"/>
    <w:next w:val="885"/>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85"/>
    <w:next w:val="885"/>
    <w:link w:val="741"/>
    <w:uiPriority w:val="29"/>
    <w:qFormat/>
    <w:pPr>
      <w:ind w:left="720" w:right="720"/>
    </w:pPr>
    <w:rPr>
      <w:i/>
    </w:rPr>
  </w:style>
  <w:style w:type="character" w:styleId="741">
    <w:name w:val="Quote Char"/>
    <w:link w:val="740"/>
    <w:uiPriority w:val="29"/>
    <w:rPr>
      <w:i/>
    </w:rPr>
  </w:style>
  <w:style w:type="paragraph" w:styleId="742">
    <w:name w:val="Intense Quote"/>
    <w:basedOn w:val="885"/>
    <w:next w:val="8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85"/>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85"/>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85"/>
    <w:next w:val="885"/>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2"/>
      <w:lang w:val="en-US" w:eastAsia="zh-CN" w:bidi="ar-SA"/>
    </w:rPr>
  </w:style>
  <w:style w:type="paragraph" w:styleId="886">
    <w:name w:val="标题 1"/>
    <w:basedOn w:val="885"/>
    <w:next w:val="885"/>
    <w:link w:val="898"/>
    <w:qFormat/>
    <w:pPr>
      <w:jc w:val="center"/>
      <w:keepNext/>
      <w:outlineLvl w:val="0"/>
    </w:pPr>
    <w:rPr>
      <w:rFonts w:ascii="楷体_GB2312" w:hAnsi="Times New Roman" w:eastAsia="楷体_GB2312" w:cs="Times New Roman"/>
      <w:sz w:val="28"/>
      <w:szCs w:val="28"/>
    </w:rPr>
  </w:style>
  <w:style w:type="paragraph" w:styleId="887">
    <w:name w:val="标题 2"/>
    <w:basedOn w:val="885"/>
    <w:next w:val="900"/>
    <w:link w:val="899"/>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85"/>
    <w:link w:val="9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name w:val="标题 4"/>
    <w:basedOn w:val="885"/>
    <w:next w:val="900"/>
    <w:link w:val="903"/>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0"/>
    <w:link w:val="904"/>
    <w:qFormat/>
    <w:pPr>
      <w:keepNext/>
      <w:outlineLvl w:val="4"/>
    </w:pPr>
    <w:rPr>
      <w:rFonts w:ascii="宋体" w:hAnsi="Times New Roman" w:eastAsia="宋体" w:cs="Times New Roman"/>
      <w:color w:val="000000"/>
      <w:sz w:val="28"/>
      <w:szCs w:val="28"/>
    </w:rPr>
  </w:style>
  <w:style w:type="paragraph" w:styleId="891">
    <w:name w:val="标题 6"/>
    <w:basedOn w:val="885"/>
    <w:next w:val="885"/>
    <w:link w:val="90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name w:val="标题 7"/>
    <w:basedOn w:val="885"/>
    <w:next w:val="885"/>
    <w:link w:val="9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name w:val="标题 8"/>
    <w:basedOn w:val="885"/>
    <w:next w:val="885"/>
    <w:link w:val="90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name w:val="标题 9"/>
    <w:basedOn w:val="885"/>
    <w:next w:val="885"/>
    <w:link w:val="908"/>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character" w:styleId="898">
    <w:name w:val="标题 1 字符"/>
    <w:next w:val="898"/>
    <w:link w:val="886"/>
    <w:rPr>
      <w:rFonts w:ascii="楷体_GB2312" w:hAnsi="Times New Roman" w:eastAsia="楷体_GB2312" w:cs="Times New Roman"/>
      <w:sz w:val="28"/>
      <w:szCs w:val="28"/>
    </w:rPr>
  </w:style>
  <w:style w:type="character" w:styleId="899">
    <w:name w:val="标题 2 字符"/>
    <w:next w:val="899"/>
    <w:link w:val="887"/>
    <w:rPr>
      <w:rFonts w:ascii="Arial" w:hAnsi="Arial" w:eastAsia="幼圆" w:cs="Arial"/>
      <w:b/>
      <w:bCs/>
      <w:sz w:val="44"/>
      <w:szCs w:val="44"/>
    </w:rPr>
  </w:style>
  <w:style w:type="paragraph" w:styleId="900">
    <w:name w:val="正文缩进"/>
    <w:basedOn w:val="885"/>
    <w:next w:val="900"/>
    <w:link w:val="901"/>
    <w:pPr>
      <w:ind w:firstLine="420"/>
    </w:pPr>
    <w:rPr>
      <w:szCs w:val="21"/>
    </w:rPr>
  </w:style>
  <w:style w:type="character" w:styleId="901">
    <w:name w:val="正文缩进 字符"/>
    <w:next w:val="901"/>
    <w:link w:val="900"/>
    <w:rPr>
      <w:szCs w:val="21"/>
    </w:rPr>
  </w:style>
  <w:style w:type="character" w:styleId="902">
    <w:name w:val="标题 3 字符"/>
    <w:next w:val="902"/>
    <w:link w:val="888"/>
    <w:rPr>
      <w:rFonts w:ascii="Times New Roman" w:hAnsi="Times New Roman" w:eastAsia="宋体" w:cs="Times New Roman"/>
      <w:b/>
      <w:bCs/>
      <w:sz w:val="32"/>
      <w:szCs w:val="32"/>
    </w:rPr>
  </w:style>
  <w:style w:type="character" w:styleId="903">
    <w:name w:val="标题 4 字符"/>
    <w:next w:val="903"/>
    <w:link w:val="889"/>
    <w:rPr>
      <w:rFonts w:ascii="Arial" w:hAnsi="Arial" w:eastAsia="黑体" w:cs="Arial"/>
      <w:b/>
      <w:bCs/>
      <w:sz w:val="28"/>
      <w:szCs w:val="28"/>
    </w:rPr>
  </w:style>
  <w:style w:type="character" w:styleId="904">
    <w:name w:val="标题 5 字符"/>
    <w:next w:val="904"/>
    <w:link w:val="890"/>
    <w:rPr>
      <w:rFonts w:ascii="宋体" w:hAnsi="Times New Roman" w:eastAsia="宋体" w:cs="Times New Roman"/>
      <w:color w:val="000000"/>
      <w:sz w:val="28"/>
      <w:szCs w:val="28"/>
    </w:rPr>
  </w:style>
  <w:style w:type="character" w:styleId="905">
    <w:name w:val="标题 6 字符"/>
    <w:next w:val="905"/>
    <w:link w:val="891"/>
    <w:rPr>
      <w:rFonts w:ascii="Arial" w:hAnsi="Arial" w:eastAsia="黑体" w:cs="Times New Roman"/>
      <w:b/>
      <w:bCs/>
      <w:sz w:val="24"/>
      <w:szCs w:val="24"/>
    </w:rPr>
  </w:style>
  <w:style w:type="character" w:styleId="906">
    <w:name w:val="标题 7 字符"/>
    <w:next w:val="906"/>
    <w:link w:val="892"/>
    <w:rPr>
      <w:rFonts w:ascii="Times New Roman" w:hAnsi="Times New Roman" w:eastAsia="宋体" w:cs="Times New Roman"/>
      <w:b/>
      <w:bCs/>
      <w:sz w:val="24"/>
      <w:szCs w:val="24"/>
    </w:rPr>
  </w:style>
  <w:style w:type="character" w:styleId="907">
    <w:name w:val="标题 8 字符"/>
    <w:next w:val="907"/>
    <w:link w:val="893"/>
    <w:rPr>
      <w:rFonts w:ascii="Arial" w:hAnsi="Arial" w:eastAsia="黑体" w:cs="Times New Roman"/>
      <w:sz w:val="24"/>
      <w:szCs w:val="24"/>
    </w:rPr>
  </w:style>
  <w:style w:type="character" w:styleId="908">
    <w:name w:val="标题 9 字符"/>
    <w:next w:val="908"/>
    <w:link w:val="894"/>
    <w:rPr>
      <w:rFonts w:ascii="Arial" w:hAnsi="Arial" w:eastAsia="黑体" w:cs="Times New Roman"/>
      <w:szCs w:val="21"/>
    </w:rPr>
  </w:style>
  <w:style w:type="paragraph" w:styleId="909">
    <w:name w:val="列表 3"/>
    <w:basedOn w:val="885"/>
    <w:next w:val="909"/>
    <w:link w:val="885"/>
    <w:pPr>
      <w:ind w:left="100" w:hanging="200"/>
    </w:pPr>
    <w:rPr>
      <w:rFonts w:ascii="Times New Roman" w:hAnsi="Times New Roman" w:eastAsia="宋体" w:cs="Times New Roman"/>
      <w:szCs w:val="21"/>
    </w:rPr>
  </w:style>
  <w:style w:type="paragraph" w:styleId="910">
    <w:name w:val="toc 7"/>
    <w:basedOn w:val="885"/>
    <w:next w:val="885"/>
    <w:link w:val="885"/>
    <w:semiHidden/>
    <w:pPr>
      <w:ind w:left="1260"/>
      <w:jc w:val="left"/>
    </w:pPr>
    <w:rPr>
      <w:rFonts w:ascii="Times New Roman" w:hAnsi="Times New Roman" w:eastAsia="宋体" w:cs="Times New Roman"/>
      <w:szCs w:val="21"/>
    </w:rPr>
  </w:style>
  <w:style w:type="paragraph" w:styleId="911">
    <w:name w:val="文档结构图"/>
    <w:basedOn w:val="885"/>
    <w:next w:val="911"/>
    <w:link w:val="912"/>
    <w:semiHidden/>
    <w:pPr>
      <w:shd w:val="clear" w:color="auto" w:fill="000080"/>
    </w:pPr>
    <w:rPr>
      <w:rFonts w:ascii="Times New Roman" w:hAnsi="Times New Roman" w:eastAsia="宋体" w:cs="Times New Roman"/>
      <w:szCs w:val="21"/>
    </w:rPr>
  </w:style>
  <w:style w:type="character" w:styleId="912">
    <w:name w:val="文档结构图 字符"/>
    <w:next w:val="912"/>
    <w:link w:val="911"/>
    <w:semiHidden/>
    <w:rPr>
      <w:rFonts w:ascii="Times New Roman" w:hAnsi="Times New Roman" w:eastAsia="宋体" w:cs="Times New Roman"/>
      <w:szCs w:val="21"/>
      <w:shd w:val="clear" w:color="auto" w:fill="000080"/>
    </w:rPr>
  </w:style>
  <w:style w:type="paragraph" w:styleId="913">
    <w:name w:val="批注文字"/>
    <w:basedOn w:val="885"/>
    <w:next w:val="913"/>
    <w:link w:val="914"/>
    <w:unhideWhenUsed/>
    <w:pPr>
      <w:jc w:val="left"/>
    </w:pPr>
  </w:style>
  <w:style w:type="character" w:styleId="914">
    <w:name w:val="批注文字 字符"/>
    <w:next w:val="914"/>
    <w:link w:val="913"/>
    <w:uiPriority w:val="99"/>
    <w:semiHidden/>
  </w:style>
  <w:style w:type="paragraph" w:styleId="915">
    <w:name w:val="正文文本 3"/>
    <w:basedOn w:val="885"/>
    <w:next w:val="915"/>
    <w:link w:val="916"/>
    <w:rPr>
      <w:rFonts w:ascii="仿宋_GB2312" w:hAnsi="Arial" w:eastAsia="仿宋_GB2312" w:cs="Times New Roman"/>
      <w:sz w:val="32"/>
      <w:szCs w:val="32"/>
    </w:rPr>
  </w:style>
  <w:style w:type="character" w:styleId="916">
    <w:name w:val="正文文本 3 字符"/>
    <w:next w:val="916"/>
    <w:link w:val="915"/>
    <w:rPr>
      <w:rFonts w:ascii="仿宋_GB2312" w:hAnsi="Arial" w:eastAsia="仿宋_GB2312" w:cs="Times New Roman"/>
      <w:sz w:val="32"/>
      <w:szCs w:val="32"/>
    </w:rPr>
  </w:style>
  <w:style w:type="paragraph" w:styleId="917">
    <w:name w:val="正文文本"/>
    <w:basedOn w:val="885"/>
    <w:next w:val="919"/>
    <w:link w:val="918"/>
    <w:rPr>
      <w:rFonts w:ascii="楷体_GB2312" w:hAnsi="Arial" w:eastAsia="楷体_GB2312" w:cs="Times New Roman"/>
      <w:sz w:val="28"/>
      <w:szCs w:val="28"/>
    </w:rPr>
  </w:style>
  <w:style w:type="character" w:styleId="918">
    <w:name w:val="正文文本 字符"/>
    <w:next w:val="918"/>
    <w:link w:val="917"/>
    <w:rPr>
      <w:rFonts w:ascii="楷体_GB2312" w:hAnsi="Arial" w:eastAsia="楷体_GB2312" w:cs="Times New Roman"/>
      <w:sz w:val="28"/>
      <w:szCs w:val="28"/>
    </w:rPr>
  </w:style>
  <w:style w:type="paragraph" w:styleId="919">
    <w:name w:val="正文文本 2"/>
    <w:basedOn w:val="885"/>
    <w:next w:val="919"/>
    <w:link w:val="920"/>
    <w:pPr>
      <w:jc w:val="center"/>
      <w:widowControl/>
    </w:pPr>
    <w:rPr>
      <w:rFonts w:ascii="楷体_GB2312" w:hAnsi="Times New Roman" w:eastAsia="楷体_GB2312" w:cs="Times New Roman"/>
      <w:sz w:val="28"/>
      <w:szCs w:val="28"/>
    </w:rPr>
  </w:style>
  <w:style w:type="character" w:styleId="920">
    <w:name w:val="正文文本 2 字符"/>
    <w:next w:val="920"/>
    <w:link w:val="919"/>
    <w:rPr>
      <w:rFonts w:ascii="楷体_GB2312" w:hAnsi="Times New Roman" w:eastAsia="楷体_GB2312" w:cs="Times New Roman"/>
      <w:sz w:val="28"/>
      <w:szCs w:val="28"/>
    </w:rPr>
  </w:style>
  <w:style w:type="paragraph" w:styleId="921">
    <w:name w:val="正文文本缩进"/>
    <w:basedOn w:val="885"/>
    <w:next w:val="885"/>
    <w:link w:val="922"/>
    <w:unhideWhenUsed/>
    <w:pPr>
      <w:ind w:left="420"/>
      <w:spacing w:after="120"/>
    </w:pPr>
  </w:style>
  <w:style w:type="character" w:styleId="922">
    <w:name w:val="正文文本缩进 字符"/>
    <w:next w:val="922"/>
    <w:link w:val="921"/>
    <w:uiPriority w:val="99"/>
    <w:semiHidden/>
  </w:style>
  <w:style w:type="paragraph" w:styleId="923">
    <w:name w:val="列表 2"/>
    <w:basedOn w:val="885"/>
    <w:next w:val="923"/>
    <w:link w:val="885"/>
    <w:pPr>
      <w:ind w:left="100" w:hanging="200"/>
    </w:pPr>
    <w:rPr>
      <w:rFonts w:ascii="Times New Roman" w:hAnsi="Times New Roman" w:eastAsia="宋体" w:cs="Times New Roman"/>
      <w:szCs w:val="21"/>
    </w:rPr>
  </w:style>
  <w:style w:type="paragraph" w:styleId="924">
    <w:name w:val="toc 5"/>
    <w:basedOn w:val="885"/>
    <w:next w:val="885"/>
    <w:link w:val="885"/>
    <w:semiHidden/>
    <w:pPr>
      <w:ind w:left="840"/>
      <w:jc w:val="left"/>
    </w:pPr>
    <w:rPr>
      <w:rFonts w:ascii="Times New Roman" w:hAnsi="Times New Roman" w:eastAsia="宋体" w:cs="Times New Roman"/>
      <w:szCs w:val="21"/>
    </w:rPr>
  </w:style>
  <w:style w:type="paragraph" w:styleId="925">
    <w:name w:val="toc 3"/>
    <w:basedOn w:val="885"/>
    <w:next w:val="885"/>
    <w:link w:val="885"/>
    <w:semiHidden/>
    <w:pPr>
      <w:ind w:left="420"/>
      <w:jc w:val="left"/>
    </w:pPr>
    <w:rPr>
      <w:rFonts w:ascii="Times New Roman" w:hAnsi="Times New Roman" w:eastAsia="宋体" w:cs="Times New Roman"/>
      <w:i/>
      <w:iCs/>
      <w:szCs w:val="24"/>
    </w:rPr>
  </w:style>
  <w:style w:type="paragraph" w:styleId="926">
    <w:name w:val="纯文本"/>
    <w:basedOn w:val="885"/>
    <w:next w:val="926"/>
    <w:link w:val="927"/>
    <w:rPr>
      <w:rFonts w:ascii="宋体" w:hAnsi="Courier New" w:eastAsia="宋体" w:cs="Courier New"/>
      <w:szCs w:val="21"/>
    </w:rPr>
  </w:style>
  <w:style w:type="character" w:styleId="927">
    <w:name w:val="纯文本 字符"/>
    <w:next w:val="927"/>
    <w:link w:val="926"/>
    <w:rPr>
      <w:rFonts w:ascii="宋体" w:hAnsi="Courier New" w:eastAsia="宋体" w:cs="Courier New"/>
      <w:szCs w:val="21"/>
    </w:rPr>
  </w:style>
  <w:style w:type="paragraph" w:styleId="928">
    <w:name w:val="toc 8"/>
    <w:basedOn w:val="885"/>
    <w:next w:val="885"/>
    <w:link w:val="885"/>
    <w:semiHidden/>
    <w:pPr>
      <w:ind w:left="1470"/>
      <w:jc w:val="left"/>
    </w:pPr>
    <w:rPr>
      <w:rFonts w:ascii="Times New Roman" w:hAnsi="Times New Roman" w:eastAsia="宋体" w:cs="Times New Roman"/>
      <w:szCs w:val="21"/>
    </w:rPr>
  </w:style>
  <w:style w:type="paragraph" w:styleId="929">
    <w:name w:val="日期"/>
    <w:basedOn w:val="885"/>
    <w:next w:val="885"/>
    <w:link w:val="930"/>
    <w:rPr>
      <w:rFonts w:ascii="Times New Roman" w:hAnsi="Times New Roman" w:eastAsia="宋体" w:cs="Times New Roman"/>
      <w:sz w:val="24"/>
      <w:szCs w:val="24"/>
    </w:rPr>
  </w:style>
  <w:style w:type="character" w:styleId="930">
    <w:name w:val="日期 字符"/>
    <w:next w:val="930"/>
    <w:link w:val="929"/>
    <w:rPr>
      <w:rFonts w:ascii="Times New Roman" w:hAnsi="Times New Roman" w:eastAsia="宋体" w:cs="Times New Roman"/>
      <w:sz w:val="24"/>
      <w:szCs w:val="24"/>
    </w:rPr>
  </w:style>
  <w:style w:type="paragraph" w:styleId="931">
    <w:name w:val="正文文本缩进 2"/>
    <w:basedOn w:val="885"/>
    <w:next w:val="931"/>
    <w:link w:val="932"/>
    <w:pPr>
      <w:ind w:left="630" w:firstLine="645"/>
    </w:pPr>
    <w:rPr>
      <w:rFonts w:ascii="Arial" w:hAnsi="Arial" w:eastAsia="仿宋_GB2312" w:cs="Arial"/>
      <w:sz w:val="32"/>
      <w:szCs w:val="32"/>
    </w:rPr>
  </w:style>
  <w:style w:type="character" w:styleId="932">
    <w:name w:val="正文文本缩进 2 字符"/>
    <w:next w:val="932"/>
    <w:link w:val="931"/>
    <w:rPr>
      <w:rFonts w:ascii="Arial" w:hAnsi="Arial" w:eastAsia="仿宋_GB2312" w:cs="Arial"/>
      <w:sz w:val="32"/>
      <w:szCs w:val="32"/>
    </w:rPr>
  </w:style>
  <w:style w:type="paragraph" w:styleId="933">
    <w:name w:val="批注框文本"/>
    <w:basedOn w:val="885"/>
    <w:next w:val="933"/>
    <w:link w:val="934"/>
    <w:semiHidden/>
    <w:rPr>
      <w:rFonts w:ascii="Times New Roman" w:hAnsi="Times New Roman" w:eastAsia="宋体" w:cs="Times New Roman"/>
      <w:sz w:val="18"/>
      <w:szCs w:val="18"/>
    </w:rPr>
  </w:style>
  <w:style w:type="character" w:styleId="934">
    <w:name w:val="批注框文本 字符"/>
    <w:next w:val="934"/>
    <w:link w:val="933"/>
    <w:semiHidden/>
    <w:rPr>
      <w:rFonts w:ascii="Times New Roman" w:hAnsi="Times New Roman" w:eastAsia="宋体" w:cs="Times New Roman"/>
      <w:sz w:val="18"/>
      <w:szCs w:val="18"/>
    </w:rPr>
  </w:style>
  <w:style w:type="paragraph" w:styleId="935">
    <w:name w:val="页脚"/>
    <w:basedOn w:val="885"/>
    <w:next w:val="937"/>
    <w:link w:val="93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6">
    <w:name w:val="页脚 字符"/>
    <w:next w:val="936"/>
    <w:link w:val="935"/>
    <w:uiPriority w:val="99"/>
    <w:rPr>
      <w:rFonts w:ascii="Times New Roman" w:hAnsi="Times New Roman" w:eastAsia="宋体" w:cs="Times New Roman"/>
      <w:sz w:val="18"/>
      <w:szCs w:val="18"/>
    </w:rPr>
  </w:style>
  <w:style w:type="paragraph" w:styleId="937">
    <w:name w:val="TOC Heading1"/>
    <w:next w:val="885"/>
    <w:link w:val="885"/>
    <w:qFormat/>
    <w:rPr>
      <w:sz w:val="32"/>
      <w:lang w:val="en-US" w:eastAsia="zh-CN" w:bidi="ar-SA"/>
    </w:rPr>
  </w:style>
  <w:style w:type="paragraph" w:styleId="938">
    <w:name w:val="页眉"/>
    <w:basedOn w:val="885"/>
    <w:next w:val="938"/>
    <w:link w:val="93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toc 1"/>
    <w:basedOn w:val="885"/>
    <w:next w:val="885"/>
    <w:link w:val="8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1">
    <w:name w:val="toc 4"/>
    <w:basedOn w:val="885"/>
    <w:next w:val="885"/>
    <w:link w:val="885"/>
    <w:semiHidden/>
    <w:pPr>
      <w:ind w:left="630"/>
      <w:jc w:val="left"/>
    </w:pPr>
    <w:rPr>
      <w:rFonts w:ascii="Times New Roman" w:hAnsi="Times New Roman" w:eastAsia="宋体" w:cs="Times New Roman"/>
      <w:szCs w:val="21"/>
    </w:rPr>
  </w:style>
  <w:style w:type="paragraph" w:styleId="942">
    <w:name w:val="列表"/>
    <w:basedOn w:val="885"/>
    <w:next w:val="942"/>
    <w:link w:val="885"/>
    <w:pPr>
      <w:ind w:left="200" w:hanging="200"/>
    </w:pPr>
    <w:rPr>
      <w:rFonts w:ascii="Times New Roman" w:hAnsi="Times New Roman" w:eastAsia="宋体" w:cs="Times New Roman"/>
      <w:szCs w:val="21"/>
    </w:rPr>
  </w:style>
  <w:style w:type="paragraph" w:styleId="943">
    <w:name w:val="toc 6"/>
    <w:basedOn w:val="885"/>
    <w:next w:val="885"/>
    <w:link w:val="885"/>
    <w:semiHidden/>
    <w:pPr>
      <w:ind w:left="1050"/>
      <w:jc w:val="left"/>
    </w:pPr>
    <w:rPr>
      <w:rFonts w:ascii="Times New Roman" w:hAnsi="Times New Roman" w:eastAsia="宋体" w:cs="Times New Roman"/>
      <w:szCs w:val="21"/>
    </w:rPr>
  </w:style>
  <w:style w:type="paragraph" w:styleId="944">
    <w:name w:val="正文文本缩进 3"/>
    <w:basedOn w:val="885"/>
    <w:next w:val="944"/>
    <w:link w:val="945"/>
    <w:pPr>
      <w:ind w:left="645" w:firstLine="645"/>
    </w:pPr>
    <w:rPr>
      <w:rFonts w:ascii="Arial" w:hAnsi="Arial" w:eastAsia="仿宋_GB2312" w:cs="Arial"/>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5"/>
    <w:next w:val="885"/>
    <w:link w:val="885"/>
    <w:semiHidden/>
    <w:pPr>
      <w:ind w:left="840" w:hanging="420"/>
    </w:pPr>
    <w:rPr>
      <w:rFonts w:ascii="Times New Roman" w:hAnsi="Times New Roman" w:eastAsia="宋体" w:cs="Times New Roman"/>
      <w:szCs w:val="21"/>
    </w:rPr>
  </w:style>
  <w:style w:type="paragraph" w:styleId="947">
    <w:name w:val="toc 2"/>
    <w:basedOn w:val="885"/>
    <w:next w:val="885"/>
    <w:link w:val="885"/>
    <w:semiHidden/>
    <w:pPr>
      <w:ind w:left="210"/>
      <w:jc w:val="left"/>
    </w:pPr>
    <w:rPr>
      <w:rFonts w:ascii="Times New Roman" w:hAnsi="Times New Roman" w:eastAsia="宋体" w:cs="Times New Roman"/>
      <w:smallCaps/>
      <w:szCs w:val="24"/>
    </w:rPr>
  </w:style>
  <w:style w:type="paragraph" w:styleId="948">
    <w:name w:val="toc 9"/>
    <w:basedOn w:val="885"/>
    <w:next w:val="885"/>
    <w:link w:val="885"/>
    <w:semiHidden/>
    <w:pPr>
      <w:ind w:left="1680"/>
      <w:jc w:val="left"/>
    </w:pPr>
    <w:rPr>
      <w:rFonts w:ascii="Times New Roman" w:hAnsi="Times New Roman" w:eastAsia="宋体" w:cs="Times New Roman"/>
      <w:szCs w:val="21"/>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eastAsia="宋体" w:cs="宋体"/>
      <w:sz w:val="24"/>
      <w:szCs w:val="24"/>
    </w:rPr>
  </w:style>
  <w:style w:type="paragraph" w:styleId="950">
    <w:name w:val="索引 1"/>
    <w:basedOn w:val="885"/>
    <w:next w:val="885"/>
    <w:link w:val="885"/>
    <w:semiHidden/>
    <w:pPr>
      <w:spacing w:line="240" w:lineRule="atLeast"/>
    </w:pPr>
    <w:rPr>
      <w:rFonts w:ascii="Times New Roman" w:hAnsi="Times New Roman" w:eastAsia="宋体" w:cs="Times New Roman"/>
      <w:b/>
      <w:bCs/>
      <w:szCs w:val="21"/>
    </w:rPr>
  </w:style>
  <w:style w:type="paragraph" w:styleId="951">
    <w:name w:val="批注主题"/>
    <w:basedOn w:val="913"/>
    <w:next w:val="913"/>
    <w:link w:val="952"/>
    <w:semiHidden/>
    <w:rPr>
      <w:rFonts w:ascii="Times New Roman" w:hAnsi="Times New Roman" w:eastAsia="宋体" w:cs="Times New Roman"/>
      <w:b/>
      <w:bCs/>
      <w:szCs w:val="21"/>
    </w:rPr>
  </w:style>
  <w:style w:type="character" w:styleId="952">
    <w:name w:val="批注主题 字符"/>
    <w:next w:val="952"/>
    <w:link w:val="951"/>
    <w:semiHidden/>
    <w:rPr>
      <w:rFonts w:ascii="Times New Roman" w:hAnsi="Times New Roman" w:eastAsia="宋体" w:cs="Times New Roman"/>
      <w:b/>
      <w:bCs/>
      <w:szCs w:val="21"/>
    </w:rPr>
  </w:style>
  <w:style w:type="paragraph" w:styleId="953">
    <w:name w:val="正文文本首行缩进"/>
    <w:basedOn w:val="917"/>
    <w:next w:val="885"/>
    <w:link w:val="954"/>
    <w:pPr>
      <w:ind w:firstLine="200"/>
      <w:spacing w:line="360" w:lineRule="auto"/>
    </w:pPr>
    <w:rPr>
      <w:rFonts w:ascii="仿宋_GB2312" w:hAnsi="Times New Roman" w:eastAsia="仿宋_GB2312" w:cs="Times New Roman"/>
      <w:sz w:val="30"/>
      <w:szCs w:val="30"/>
    </w:rPr>
  </w:style>
  <w:style w:type="character" w:styleId="954">
    <w:name w:val="正文文本首行缩进 字符"/>
    <w:next w:val="954"/>
    <w:link w:val="953"/>
    <w:rPr>
      <w:rFonts w:ascii="仿宋_GB2312" w:hAnsi="Times New Roman" w:eastAsia="仿宋_GB2312" w:cs="Times New Roman"/>
      <w:sz w:val="30"/>
      <w:szCs w:val="30"/>
    </w:rPr>
  </w:style>
  <w:style w:type="paragraph" w:styleId="955">
    <w:name w:val="正文文本首行缩进 2"/>
    <w:basedOn w:val="921"/>
    <w:next w:val="885"/>
    <w:link w:val="956"/>
    <w:pPr>
      <w:ind w:left="0" w:firstLine="420"/>
      <w:spacing w:after="0" w:line="360" w:lineRule="auto"/>
    </w:pPr>
    <w:rPr>
      <w:rFonts w:ascii="宋体" w:hAnsi="宋体" w:eastAsia="宋体" w:cs="Times New Roman"/>
      <w:szCs w:val="20"/>
    </w:rPr>
  </w:style>
  <w:style w:type="character" w:styleId="956">
    <w:name w:val="正文文本首行缩进 2 字符"/>
    <w:next w:val="956"/>
    <w:link w:val="955"/>
    <w:rPr>
      <w:rFonts w:ascii="宋体" w:hAnsi="宋体" w:eastAsia="宋体" w:cs="Times New Roman"/>
      <w:szCs w:val="2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访问过的超链接"/>
    <w:next w:val="960"/>
    <w:link w:val="885"/>
    <w:rPr>
      <w:color w:val="800080"/>
      <w:u w:val="single"/>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character" w:styleId="963">
    <w:name w:val="页码1"/>
    <w:next w:val="963"/>
    <w:link w:val="885"/>
    <w:qFormat/>
    <w:rPr>
      <w:sz w:val="21"/>
      <w:szCs w:val="22"/>
      <w:lang w:val="en-US" w:eastAsia="zh-CN" w:bidi="ar-SA"/>
    </w:rPr>
  </w:style>
  <w:style w:type="paragraph" w:styleId="964">
    <w:name w:val="段"/>
    <w:next w:val="885"/>
    <w:link w:val="885"/>
    <w:qFormat/>
    <w:pPr>
      <w:ind w:firstLine="200"/>
      <w:jc w:val="both"/>
    </w:pPr>
    <w:rPr>
      <w:rFonts w:ascii="宋体" w:hAnsi="Calibri"/>
      <w:sz w:val="21"/>
      <w:lang w:val="en-US" w:eastAsia="zh-CN" w:bidi="ar-SA"/>
    </w:rPr>
  </w:style>
  <w:style w:type="character" w:styleId="965">
    <w:name w:val="font5 Char"/>
    <w:next w:val="965"/>
    <w:link w:val="885"/>
    <w:rPr>
      <w:rFonts w:ascii="宋体" w:hAnsi="宋体" w:eastAsia="宋体"/>
      <w:sz w:val="28"/>
      <w:szCs w:val="28"/>
      <w:lang w:val="en-US" w:eastAsia="zh-CN" w:bidi="ar-SA"/>
    </w:rPr>
  </w:style>
  <w:style w:type="character" w:styleId="966">
    <w:name w:val="二级目录 Char"/>
    <w:next w:val="966"/>
    <w:link w:val="967"/>
    <w:rPr>
      <w:b/>
      <w:sz w:val="30"/>
      <w:szCs w:val="28"/>
    </w:rPr>
  </w:style>
  <w:style w:type="paragraph" w:styleId="967">
    <w:name w:val="二级目录"/>
    <w:next w:val="885"/>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5"/>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5"/>
    <w:next w:val="917"/>
    <w:link w:val="885"/>
    <w:pPr>
      <w:spacing w:after="120"/>
    </w:pPr>
    <w:rPr>
      <w:rFonts w:ascii="宋体" w:hAnsi="Arial" w:eastAsia="宋体" w:cs="Times New Roman"/>
      <w:bCs/>
      <w:iCs/>
      <w:szCs w:val="24"/>
    </w:rPr>
  </w:style>
  <w:style w:type="paragraph" w:styleId="971">
    <w:name w:val="xl27"/>
    <w:basedOn w:val="885"/>
    <w:next w:val="971"/>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6"/>
    <w:basedOn w:val="885"/>
    <w:next w:val="972"/>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Char"/>
    <w:basedOn w:val="885"/>
    <w:next w:val="973"/>
    <w:link w:val="885"/>
    <w:pPr>
      <w:ind w:firstLine="200"/>
      <w:tabs>
        <w:tab w:val="left" w:pos="360" w:leader="none"/>
      </w:tabs>
    </w:pPr>
    <w:rPr>
      <w:rFonts w:ascii="Times New Roman" w:hAnsi="Times New Roman" w:eastAsia="宋体" w:cs="Times New Roman"/>
      <w:sz w:val="28"/>
      <w:szCs w:val="30"/>
    </w:rPr>
  </w:style>
  <w:style w:type="paragraph" w:styleId="974">
    <w:name w:val=" Char"/>
    <w:basedOn w:val="911"/>
    <w:next w:val="974"/>
    <w:link w:val="885"/>
    <w:rPr>
      <w:rFonts w:ascii="Tahoma" w:hAnsi="Tahoma"/>
      <w:sz w:val="24"/>
      <w:szCs w:val="24"/>
    </w:rPr>
  </w:style>
  <w:style w:type="paragraph" w:styleId="975">
    <w:name w:val="普通正文"/>
    <w:basedOn w:val="885"/>
    <w:next w:val="975"/>
    <w:link w:val="885"/>
    <w:pPr>
      <w:ind w:firstLine="480"/>
      <w:jc w:val="left"/>
      <w:spacing w:before="120" w:after="120" w:line="360" w:lineRule="auto"/>
    </w:pPr>
    <w:rPr>
      <w:rFonts w:ascii="Arial" w:hAnsi="Arial" w:eastAsia="宋体" w:cs="Times New Roman"/>
      <w:sz w:val="24"/>
      <w:szCs w:val="24"/>
    </w:rPr>
  </w:style>
  <w:style w:type="paragraph" w:styleId="976">
    <w:name w:val="table_lines"/>
    <w:basedOn w:val="885"/>
    <w:next w:val="976"/>
    <w:link w:val="885"/>
    <w:pPr>
      <w:jc w:val="left"/>
      <w:widowControl/>
    </w:pPr>
    <w:rPr>
      <w:rFonts w:ascii="Times New Roman" w:hAnsi="Times New Roman" w:eastAsia="宋体" w:cs="Times New Roman"/>
      <w:sz w:val="20"/>
      <w:szCs w:val="20"/>
      <w:lang w:val="de-DE" w:eastAsia="de-DE"/>
    </w:rPr>
  </w:style>
  <w:style w:type="paragraph" w:styleId="977">
    <w:name w:val="附录1"/>
    <w:next w:val="977"/>
    <w:link w:val="885"/>
    <w:pPr>
      <w:numPr>
        <w:ilvl w:val="0"/>
        <w:numId w:val="2"/>
      </w:numPr>
      <w:spacing w:before="240" w:line="600" w:lineRule="atLeast"/>
      <w:tabs>
        <w:tab w:val="left" w:pos="907" w:leader="none"/>
      </w:tabs>
    </w:pPr>
    <w:rPr>
      <w:b/>
      <w:i/>
      <w:sz w:val="28"/>
      <w:lang w:val="en-US" w:eastAsia="zh-CN" w:bidi="ar-SA"/>
    </w:rPr>
  </w:style>
  <w:style w:type="paragraph" w:styleId="978">
    <w:name w:val="font7"/>
    <w:basedOn w:val="885"/>
    <w:next w:val="978"/>
    <w:link w:val="885"/>
    <w:pPr>
      <w:jc w:val="left"/>
      <w:spacing w:before="100" w:beforeAutospacing="1" w:after="100" w:afterAutospacing="1"/>
      <w:widowControl/>
    </w:pPr>
    <w:rPr>
      <w:rFonts w:hint="eastAsia" w:ascii="宋体" w:hAnsi="宋体" w:eastAsia="宋体" w:cs="Times New Roman"/>
      <w:sz w:val="18"/>
      <w:szCs w:val="18"/>
    </w:rPr>
  </w:style>
  <w:style w:type="paragraph" w:styleId="979">
    <w:name w:val=" Char Char Char Char"/>
    <w:basedOn w:val="911"/>
    <w:next w:val="979"/>
    <w:link w:val="885"/>
    <w:pPr>
      <w:spacing w:line="360" w:lineRule="auto"/>
    </w:pPr>
    <w:rPr>
      <w:rFonts w:ascii="Tahoma" w:hAnsi="Tahoma"/>
      <w:sz w:val="24"/>
      <w:szCs w:val="24"/>
    </w:rPr>
  </w:style>
  <w:style w:type="paragraph" w:styleId="980">
    <w:name w:val="列表段落"/>
    <w:basedOn w:val="885"/>
    <w:next w:val="980"/>
    <w:link w:val="885"/>
    <w:qFormat/>
    <w:pPr>
      <w:contextualSpacing/>
      <w:ind w:left="720"/>
      <w:jc w:val="left"/>
      <w:widowControl/>
    </w:pPr>
    <w:rPr>
      <w:rFonts w:ascii="Calibri" w:hAnsi="Calibri" w:eastAsia="宋体" w:cs="Times New Roman"/>
      <w:sz w:val="24"/>
      <w:szCs w:val="24"/>
      <w:lang w:eastAsia="en-US" w:bidi="en-US"/>
    </w:rPr>
  </w:style>
  <w:style w:type="paragraph" w:styleId="981">
    <w:name w:val="4"/>
    <w:basedOn w:val="885"/>
    <w:next w:val="944"/>
    <w:link w:val="885"/>
    <w:pPr>
      <w:ind w:firstLine="420"/>
      <w:spacing w:line="360" w:lineRule="auto"/>
    </w:pPr>
    <w:rPr>
      <w:rFonts w:ascii="Times New Roman" w:hAnsi="Times New Roman" w:eastAsia="宋体" w:cs="Times New Roman"/>
      <w:color w:val="ff0000"/>
      <w:sz w:val="24"/>
      <w:szCs w:val="24"/>
    </w:rPr>
  </w:style>
  <w:style w:type="paragraph" w:styleId="982">
    <w:name w:val="普通 (Web)"/>
    <w:basedOn w:val="885"/>
    <w:next w:val="982"/>
    <w:link w:val="885"/>
    <w:pPr>
      <w:jc w:val="left"/>
      <w:spacing w:before="100" w:beforeAutospacing="1" w:after="100" w:afterAutospacing="1"/>
      <w:widowControl/>
    </w:pPr>
    <w:rPr>
      <w:rFonts w:ascii="宋体" w:hAnsi="宋体" w:eastAsia="宋体" w:cs="Times New Roman"/>
      <w:sz w:val="24"/>
      <w:szCs w:val="24"/>
    </w:rPr>
  </w:style>
  <w:style w:type="paragraph" w:styleId="983">
    <w:name w:val=" Char Char Char Char Char Char Char Char Char Char"/>
    <w:basedOn w:val="885"/>
    <w:next w:val="983"/>
    <w:link w:val="885"/>
    <w:pPr>
      <w:spacing w:line="360" w:lineRule="auto"/>
    </w:pPr>
    <w:rPr>
      <w:rFonts w:ascii="Times New Roman" w:hAnsi="Times New Roman" w:eastAsia="宋体" w:cs="Times New Roman"/>
      <w:sz w:val="24"/>
      <w:szCs w:val="20"/>
    </w:rPr>
  </w:style>
  <w:style w:type="paragraph" w:styleId="984">
    <w:name w:val="样式1"/>
    <w:basedOn w:val="885"/>
    <w:next w:val="984"/>
    <w:link w:val="885"/>
    <w:pPr>
      <w:numPr>
        <w:ilvl w:val="0"/>
        <w:numId w:val="3"/>
      </w:numPr>
      <w:tabs>
        <w:tab w:val="left" w:pos="709" w:leader="none"/>
      </w:tabs>
    </w:pPr>
    <w:rPr>
      <w:rFonts w:ascii="宋体" w:hAnsi="宋体" w:eastAsia="宋体" w:cs="Times New Roman"/>
      <w:szCs w:val="21"/>
    </w:rPr>
  </w:style>
  <w:style w:type="paragraph" w:styleId="985">
    <w:name w:val="font6"/>
    <w:basedOn w:val="885"/>
    <w:next w:val="985"/>
    <w:link w:val="885"/>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xl25"/>
    <w:basedOn w:val="885"/>
    <w:next w:val="986"/>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5"/>
    <w:next w:val="885"/>
    <w:link w:val="8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name w:val="标题3"/>
    <w:basedOn w:val="885"/>
    <w:next w:val="885"/>
    <w:link w:val="885"/>
    <w:pPr>
      <w:ind w:firstLine="624"/>
      <w:spacing w:line="590" w:lineRule="atLeast"/>
    </w:pPr>
    <w:rPr>
      <w:rFonts w:ascii="方正黑体_GBK" w:hAnsi="Times New Roman" w:eastAsia="方正黑体_GBK" w:cs="Times New Roman"/>
      <w:sz w:val="32"/>
      <w:szCs w:val="32"/>
    </w:rPr>
  </w:style>
  <w:style w:type="paragraph" w:styleId="989">
    <w:name w:val="xl24"/>
    <w:basedOn w:val="885"/>
    <w:next w:val="98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9"/>
    <w:basedOn w:val="885"/>
    <w:next w:val="990"/>
    <w:link w:val="8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1">
    <w:name w:val="Char Char Char Char Char Char Char Char"/>
    <w:basedOn w:val="885"/>
    <w:next w:val="991"/>
    <w:link w:val="885"/>
    <w:pPr>
      <w:jc w:val="left"/>
      <w:spacing w:after="160" w:line="240" w:lineRule="exact"/>
      <w:widowControl/>
    </w:pPr>
    <w:rPr>
      <w:rFonts w:ascii="Verdana" w:hAnsi="Verdana" w:eastAsia="宋体" w:cs="Times New Roman"/>
      <w:sz w:val="20"/>
      <w:szCs w:val="20"/>
      <w:lang w:eastAsia="en-US"/>
    </w:rPr>
  </w:style>
  <w:style w:type="paragraph" w:styleId="992">
    <w:name w:val="xl28"/>
    <w:basedOn w:val="885"/>
    <w:next w:val="992"/>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3">
    <w:name w:val=" Char Char Char Char Char Char Char Char"/>
    <w:basedOn w:val="885"/>
    <w:next w:val="993"/>
    <w:link w:val="885"/>
    <w:pPr>
      <w:jc w:val="left"/>
      <w:spacing w:after="160" w:line="240" w:lineRule="exact"/>
      <w:widowControl/>
    </w:pPr>
    <w:rPr>
      <w:rFonts w:ascii="Verdana" w:hAnsi="Verdana" w:eastAsia="宋体" w:cs="Times New Roman"/>
      <w:sz w:val="20"/>
      <w:szCs w:val="20"/>
      <w:lang w:eastAsia="en-US"/>
    </w:rPr>
  </w:style>
  <w:style w:type="paragraph" w:styleId="994">
    <w:name w:val="xl30"/>
    <w:basedOn w:val="885"/>
    <w:next w:val="994"/>
    <w:link w:val="885"/>
    <w:pPr>
      <w:jc w:val="center"/>
      <w:spacing w:before="100" w:beforeAutospacing="1" w:after="100" w:afterAutospacing="1"/>
      <w:widowControl/>
    </w:pPr>
    <w:rPr>
      <w:rFonts w:ascii="宋体" w:hAnsi="宋体" w:eastAsia="宋体" w:cs="Times New Roman"/>
      <w:b/>
      <w:bCs/>
      <w:sz w:val="36"/>
      <w:szCs w:val="36"/>
    </w:rPr>
  </w:style>
  <w:style w:type="paragraph" w:styleId="995">
    <w:name w:val="Char Char Char Char"/>
    <w:basedOn w:val="911"/>
    <w:next w:val="995"/>
    <w:link w:val="885"/>
    <w:pPr>
      <w:spacing w:line="360" w:lineRule="auto"/>
    </w:pPr>
    <w:rPr>
      <w:rFonts w:ascii="Tahoma" w:hAnsi="Tahoma"/>
      <w:sz w:val="24"/>
      <w:szCs w:val="24"/>
    </w:rPr>
  </w:style>
  <w:style w:type="paragraph" w:styleId="996">
    <w:name w:val="table_1stline"/>
    <w:basedOn w:val="885"/>
    <w:next w:val="996"/>
    <w:link w:val="885"/>
    <w:pPr>
      <w:jc w:val="left"/>
      <w:spacing w:before="120"/>
      <w:widowControl/>
    </w:pPr>
    <w:rPr>
      <w:rFonts w:ascii="Times New Roman" w:hAnsi="Times New Roman" w:eastAsia="宋体" w:cs="Times New Roman"/>
      <w:bCs/>
      <w:sz w:val="20"/>
      <w:szCs w:val="20"/>
      <w:lang w:val="de-DE" w:eastAsia="de-DE"/>
    </w:rPr>
  </w:style>
  <w:style w:type="paragraph" w:styleId="997">
    <w:name w:val="font5"/>
    <w:basedOn w:val="885"/>
    <w:next w:val="997"/>
    <w:link w:val="885"/>
    <w:pPr>
      <w:jc w:val="left"/>
      <w:spacing w:before="100" w:beforeAutospacing="1" w:after="100" w:afterAutospacing="1"/>
      <w:widowControl/>
    </w:pPr>
    <w:rPr>
      <w:rFonts w:hint="eastAsia" w:ascii="宋体" w:hAnsi="宋体" w:eastAsia="宋体" w:cs="Times New Roman"/>
      <w:sz w:val="28"/>
      <w:szCs w:val="28"/>
    </w:rPr>
  </w:style>
  <w:style w:type="paragraph" w:styleId="998">
    <w:name w:val="标题1"/>
    <w:basedOn w:val="885"/>
    <w:next w:val="885"/>
    <w:link w:val="8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9">
    <w:name w:val="修订"/>
    <w:next w:val="999"/>
    <w:link w:val="885"/>
    <w:uiPriority w:val="99"/>
    <w:semiHidden/>
    <w:rPr>
      <w:sz w:val="21"/>
      <w:szCs w:val="21"/>
      <w:lang w:val="en-US" w:eastAsia="zh-CN" w:bidi="ar-SA"/>
    </w:rPr>
  </w:style>
  <w:style w:type="paragraph" w:styleId="1000">
    <w:name w:val="无间隔"/>
    <w:next w:val="1000"/>
    <w:link w:val="885"/>
    <w:uiPriority w:val="99"/>
    <w:qFormat/>
    <w:pPr>
      <w:jc w:val="both"/>
      <w:widowControl w:val="off"/>
    </w:pPr>
    <w:rPr>
      <w:sz w:val="21"/>
      <w:szCs w:val="21"/>
      <w:lang w:val="en-US" w:eastAsia="zh-CN" w:bidi="ar-SA"/>
    </w:rPr>
  </w:style>
  <w:style w:type="paragraph" w:styleId="1001">
    <w:name w:val="Body text|2"/>
    <w:basedOn w:val="885"/>
    <w:next w:val="1001"/>
    <w:link w:val="885"/>
    <w:qFormat/>
    <w:pPr>
      <w:ind w:firstLine="540"/>
      <w:spacing w:line="487" w:lineRule="exact"/>
    </w:pPr>
    <w:rPr>
      <w:lang w:val="zh-TW" w:eastAsia="zh-TW" w:bidi="zh-TW"/>
    </w:rPr>
  </w:style>
  <w:style w:type="paragraph" w:styleId="1002">
    <w:name w:val="纯文本5"/>
    <w:basedOn w:val="885"/>
    <w:next w:val="1002"/>
    <w:link w:val="885"/>
    <w:qFormat/>
    <w:rPr>
      <w:rFonts w:ascii="宋体" w:hAnsi="Courier New" w:eastAsia="楷体_GB2312"/>
      <w:sz w:val="26"/>
    </w:rPr>
  </w:style>
  <w:style w:type="character" w:styleId="1003">
    <w:name w:val="未处理的提及"/>
    <w:next w:val="1003"/>
    <w:link w:val="885"/>
    <w:uiPriority w:val="99"/>
    <w:unhideWhenUsed/>
    <w:rPr>
      <w:color w:val="605e5c"/>
      <w:shd w:val="clear" w:color="auto" w:fill="e1dfdd"/>
    </w:rPr>
  </w:style>
  <w:style w:type="paragraph" w:styleId="1004">
    <w:name w:val="表头"/>
    <w:basedOn w:val="1005"/>
    <w:next w:val="1004"/>
    <w:link w:val="885"/>
    <w:qFormat/>
    <w:pPr>
      <w:jc w:val="center"/>
    </w:pPr>
    <w:rPr>
      <w:b/>
    </w:rPr>
  </w:style>
  <w:style w:type="paragraph" w:styleId="1005">
    <w:name w:val="表内容"/>
    <w:basedOn w:val="885"/>
    <w:next w:val="1005"/>
    <w:link w:val="885"/>
    <w:qFormat/>
    <w:pPr>
      <w:ind w:firstLine="0"/>
      <w:spacing w:line="240" w:lineRule="auto"/>
    </w:pPr>
    <w:rPr>
      <w:sz w:val="21"/>
    </w:rPr>
  </w:style>
  <w:style w:type="paragraph" w:styleId="1006">
    <w:name w:val="正文-正"/>
    <w:basedOn w:val="885"/>
    <w:next w:val="1006"/>
    <w:link w:val="885"/>
    <w:qFormat/>
    <w:pPr>
      <w:ind w:firstLine="560"/>
      <w:jc w:val="both"/>
    </w:pPr>
  </w:style>
  <w:style w:type="paragraph" w:styleId="1007">
    <w:name w:val="页眉1"/>
    <w:basedOn w:val="885"/>
    <w:next w:val="1007"/>
    <w:link w:val="88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8">
    <w:name w:val="页脚1"/>
    <w:basedOn w:val="885"/>
    <w:next w:val="1008"/>
    <w:link w:val="88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7</cp:revision>
  <dcterms:created xsi:type="dcterms:W3CDTF">2026-08-26T01:49:00Z</dcterms:created>
  <dcterms:modified xsi:type="dcterms:W3CDTF">2026-09-01T07:05:01Z</dcterms:modified>
  <cp:version>1048576</cp:version>
</cp:coreProperties>
</file>