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656"/>
        <w:tblW w:w="0" w:type="auto"/>
        <w:tblInd w:w="85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27"/>
        <w:gridCol w:w="5190"/>
      </w:tblGrid>
      <w:tr>
        <w:trPr/>
        <w:tc>
          <w:tcPr>
            <w:tcW w:w="1827"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项目名称：</w:t>
            </w:r>
            <w:r/>
          </w:p>
        </w:tc>
        <w:tc>
          <w:tcPr>
            <w:tcW w:w="5190" w:type="dxa"/>
            <w:textDirection w:val="lrTb"/>
            <w:noWrap w:val="false"/>
          </w:tcPr>
          <w:p>
            <w:pPr>
              <w:jc w:val="left"/>
              <w:spacing w:line="480" w:lineRule="auto"/>
              <w:rPr>
                <w:rFonts w:hint="default" w:ascii="Arial" w:hAnsi="Arial" w:eastAsia="宋体" w:cs="Times New Roman"/>
                <w:b/>
                <w:bCs/>
                <w:color w:val="000000"/>
                <w:sz w:val="32"/>
                <w:szCs w:val="24"/>
                <w:vertAlign w:val="baseline"/>
                <w:lang w:val="en-US" w:eastAsia="zh-CN"/>
              </w:rPr>
            </w:pPr>
            <w:r>
              <w:rPr>
                <w:rFonts w:hint="eastAsia" w:ascii="Arial" w:hAnsi="Arial" w:eastAsia="宋体" w:cs="Times New Roman"/>
                <w:b/>
                <w:bCs/>
                <w:color w:val="000000"/>
                <w:sz w:val="32"/>
                <w:szCs w:val="24"/>
                <w:vertAlign w:val="baseline"/>
              </w:rPr>
              <w:t xml:space="preserve">连云港市市县国资监管一张网项目</w:t>
            </w:r>
            <w:r>
              <w:rPr>
                <w:rFonts w:hint="eastAsia" w:ascii="Arial" w:hAnsi="Arial" w:eastAsia="宋体" w:cs="Times New Roman"/>
                <w:b/>
                <w:bCs/>
                <w:color w:val="000000"/>
                <w:sz w:val="32"/>
                <w:szCs w:val="24"/>
                <w:vertAlign w:val="baseline"/>
                <w:lang w:eastAsia="zh-CN"/>
              </w:rPr>
              <w:t xml:space="preserve">（</w:t>
            </w:r>
            <w:r>
              <w:rPr>
                <w:rFonts w:hint="eastAsia" w:ascii="Arial" w:hAnsi="Arial" w:eastAsia="宋体" w:cs="Times New Roman"/>
                <w:b/>
                <w:bCs/>
                <w:color w:val="000000"/>
                <w:sz w:val="32"/>
                <w:szCs w:val="24"/>
                <w:vertAlign w:val="baseline"/>
                <w:lang w:val="en-US" w:eastAsia="zh-CN"/>
              </w:rPr>
              <w:t xml:space="preserve">非专门面向中小企业）</w:t>
            </w:r>
            <w:r/>
          </w:p>
        </w:tc>
      </w:tr>
      <w:tr>
        <w:trPr/>
        <w:tc>
          <w:tcPr>
            <w:tcW w:w="1827"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项目编号：</w:t>
            </w:r>
            <w:r/>
          </w:p>
        </w:tc>
        <w:tc>
          <w:tcPr>
            <w:tcW w:w="5190" w:type="dxa"/>
            <w:textDirection w:val="lrTb"/>
            <w:noWrap w:val="false"/>
          </w:tcPr>
          <w:p>
            <w:pPr>
              <w:jc w:val="left"/>
              <w:spacing w:line="480" w:lineRule="auto"/>
              <w:rPr>
                <w:rFonts w:hint="eastAsia" w:ascii="宋体" w:hAnsi="宋体" w:eastAsia="宋体" w:cs="宋体"/>
                <w:b/>
                <w:bCs/>
                <w:color w:val="000000"/>
                <w:sz w:val="32"/>
                <w:szCs w:val="24"/>
                <w:vertAlign w:val="baseline"/>
              </w:rPr>
            </w:pPr>
            <w:r>
              <w:rPr>
                <w:rFonts w:hint="eastAsia" w:ascii="宋体" w:hAnsi="宋体" w:eastAsia="宋体" w:cs="宋体"/>
                <w:b/>
                <w:bCs/>
                <w:color w:val="000000"/>
                <w:sz w:val="32"/>
                <w:szCs w:val="24"/>
                <w:vertAlign w:val="baseline"/>
              </w:rPr>
              <w:t xml:space="preserve">JSZC-320700-JZCG-G2026-0124</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hint="eastAsia" w:ascii="宋体" w:hAnsi="宋体" w:eastAsia="宋体" w:cs="宋体"/>
          <w:sz w:val="24"/>
        </w:rPr>
      </w:pPr>
      <w:r>
        <w:rPr>
          <w:rFonts w:hint="eastAsia" w:ascii="宋体" w:hAnsi="宋体" w:eastAsia="宋体" w:cs="宋体"/>
          <w:b/>
          <w:bCs/>
          <w:color w:val="000000"/>
          <w:sz w:val="32"/>
          <w:szCs w:val="24"/>
        </w:rPr>
        <w:t xml:space="preserve">202</w:t>
      </w:r>
      <w:r>
        <w:rPr>
          <w:rFonts w:hint="eastAsia" w:ascii="宋体" w:hAnsi="宋体" w:eastAsia="宋体" w:cs="宋体"/>
          <w:b/>
          <w:bCs/>
          <w:color w:val="000000"/>
          <w:sz w:val="32"/>
          <w:szCs w:val="24"/>
          <w:lang w:val="en-US" w:eastAsia="zh-CN"/>
        </w:rPr>
        <w:t xml:space="preserve">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highlight w:val="none"/>
          <w:lang w:val="en-US" w:eastAsia="zh-CN"/>
        </w:rPr>
        <w:t xml:space="preserve">9</w:t>
      </w:r>
      <w:r>
        <w:rPr>
          <w:rFonts w:hint="eastAsia" w:ascii="宋体" w:hAnsi="宋体" w:eastAsia="宋体" w:cs="宋体"/>
          <w:b/>
          <w:bCs/>
          <w:color w:val="000000"/>
          <w:sz w:val="32"/>
          <w:szCs w:val="24"/>
        </w:rPr>
        <w:t xml:space="preserve">月</w:t>
      </w:r>
      <w:r>
        <w:rPr>
          <w:rFonts w:hint="eastAsia" w:ascii="宋体" w:hAnsi="宋体" w:eastAsia="宋体" w:cs="宋体"/>
        </w:rPr>
        <w:br w:type="page" w:clear="all"/>
      </w:r>
      <w:r>
        <w:rPr>
          <w:rFonts w:hint="eastAsia" w:ascii="宋体" w:hAnsi="宋体" w:eastAsia="宋体" w:cs="宋体"/>
          <w:sz w:val="24"/>
        </w:rPr>
        <w:fldChar w:fldCharType="begin"/>
      </w:r>
      <w:r>
        <w:rPr>
          <w:rFonts w:hint="eastAsia" w:ascii="宋体" w:hAnsi="宋体" w:eastAsia="宋体" w:cs="宋体"/>
          <w:sz w:val="24"/>
        </w:rPr>
        <w:instrText xml:space="preserve"> TOC \o "1-1" \u </w:instrText>
      </w:r>
      <w:r>
        <w:rPr>
          <w:rFonts w:hint="eastAsia" w:ascii="宋体" w:hAnsi="宋体" w:eastAsia="宋体" w:cs="宋体"/>
          <w:sz w:val="24"/>
        </w:rPr>
        <w:fldChar w:fldCharType="separate"/>
      </w:r>
      <w:r/>
    </w:p>
    <w:p>
      <w:pPr>
        <w:jc w:val="left"/>
        <w:spacing w:line="360" w:lineRule="auto"/>
        <w:widowControl/>
        <w:rPr>
          <w:rFonts w:asciiTheme="minorEastAsia" w:hAnsiTheme="minorEastAsia"/>
          <w:sz w:val="24"/>
        </w:rPr>
      </w:pPr>
      <w:r>
        <w:rPr>
          <w:rFonts w:hint="eastAsia" w:ascii="宋体" w:hAnsi="宋体" w:eastAsia="宋体" w:cs="宋体"/>
          <w:sz w:val="24"/>
        </w:rPr>
        <w:fldChar w:fldCharType="end"/>
      </w:r>
      <w:r/>
    </w:p>
    <w:sdt>
      <w:sdtPr>
        <w15:appearance w15:val="boundingBox"/>
        <w15:color w:val="dbdbdb"/>
        <w:id w:val="147460060"/>
        <w:docPartObj>
          <w:docPartGallery w:val="Table of Contents"/>
          <w:docPartUnique w:val="true"/>
        </w:docPartObj>
        <w:rPr>
          <w:rFonts w:ascii="宋体" w:hAnsi="宋体" w:eastAsia="宋体" w:cstheme="minorBidi"/>
          <w:sz w:val="21"/>
          <w:szCs w:val="22"/>
          <w:lang w:val="en-US" w:eastAsia="zh-CN" w:bidi="ar-SA"/>
        </w:rPr>
      </w:sdtPr>
      <w:sdtContent>
        <w:p>
          <w:pPr>
            <w:ind w:left="0" w:right="0" w:firstLine="0"/>
            <w:jc w:val="center"/>
            <w:spacing w:before="0" w:after="0" w:line="240" w:lineRule="auto"/>
            <w:rPr>
              <w:rFonts w:hint="eastAsia" w:ascii="宋体" w:hAnsi="宋体" w:eastAsia="宋体" w:cs="宋体"/>
              <w:b/>
              <w:bCs/>
              <w:sz w:val="40"/>
              <w:szCs w:val="44"/>
            </w:rPr>
          </w:pPr>
          <w:r>
            <w:rPr>
              <w:rFonts w:hint="eastAsia" w:ascii="宋体" w:hAnsi="宋体" w:eastAsia="宋体" w:cs="宋体"/>
              <w:b/>
              <w:bCs/>
              <w:sz w:val="40"/>
              <w:szCs w:val="44"/>
            </w:rPr>
            <w:t xml:space="preserve">目</w:t>
          </w:r>
          <w:r>
            <w:rPr>
              <w:rFonts w:hint="eastAsia" w:ascii="宋体" w:hAnsi="宋体" w:eastAsia="宋体" w:cs="宋体"/>
              <w:b/>
              <w:bCs/>
              <w:sz w:val="40"/>
              <w:szCs w:val="44"/>
              <w:lang w:val="en-US" w:eastAsia="zh-CN"/>
            </w:rPr>
            <w:t xml:space="preserve">  </w:t>
          </w:r>
          <w:r>
            <w:rPr>
              <w:rFonts w:hint="eastAsia" w:ascii="宋体" w:hAnsi="宋体" w:eastAsia="宋体" w:cs="宋体"/>
              <w:b/>
              <w:bCs/>
              <w:sz w:val="40"/>
              <w:szCs w:val="44"/>
            </w:rPr>
            <w:t xml:space="preserve">录</w:t>
          </w:r>
          <w:r/>
        </w:p>
        <w:p>
          <w:pPr>
            <w:pStyle w:val="654"/>
            <w:tabs>
              <w:tab w:val="right" w:pos="8306" w:leader="dot"/>
              <w:tab w:val="clear" w:pos="9628"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_Toc12060 </w:instrText>
          </w:r>
          <w:r>
            <w:rPr>
              <w:rFonts w:hint="eastAsia" w:ascii="宋体" w:hAnsi="宋体" w:eastAsia="宋体" w:cs="宋体"/>
            </w:rPr>
            <w:fldChar w:fldCharType="separate"/>
          </w:r>
          <w:r>
            <w:rPr>
              <w:rFonts w:hint="eastAsia" w:ascii="宋体" w:hAnsi="宋体" w:eastAsia="宋体" w:cs="宋体"/>
            </w:rPr>
            <w:t xml:space="preserve">第一章  投标邀请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_Toc12060 \h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fldChar w:fldCharType="end"/>
          </w:r>
          <w:r/>
        </w:p>
        <w:p>
          <w:pPr>
            <w:pStyle w:val="654"/>
            <w:tabs>
              <w:tab w:val="right" w:pos="8306" w:leader="dot"/>
              <w:tab w:val="clear" w:pos="9628"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_Toc25029 </w:instrText>
          </w:r>
          <w:r>
            <w:rPr>
              <w:rFonts w:hint="eastAsia" w:ascii="宋体" w:hAnsi="宋体" w:eastAsia="宋体" w:cs="宋体"/>
            </w:rPr>
            <w:fldChar w:fldCharType="separate"/>
          </w:r>
          <w:r>
            <w:rPr>
              <w:rFonts w:hint="eastAsia" w:ascii="宋体" w:hAnsi="宋体" w:eastAsia="宋体" w:cs="宋体"/>
            </w:rPr>
            <w:t xml:space="preserve">第二章  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_Toc25029 \h </w:instrText>
          </w:r>
          <w:r>
            <w:rPr>
              <w:rFonts w:hint="eastAsia" w:ascii="宋体" w:hAnsi="宋体" w:eastAsia="宋体" w:cs="宋体"/>
            </w:rPr>
            <w:fldChar w:fldCharType="separate"/>
          </w:r>
          <w:r>
            <w:rPr>
              <w:rFonts w:hint="eastAsia" w:ascii="宋体" w:hAnsi="宋体" w:eastAsia="宋体" w:cs="宋体"/>
            </w:rPr>
            <w:t xml:space="preserve">5</w:t>
          </w:r>
          <w:r>
            <w:rPr>
              <w:rFonts w:hint="eastAsia" w:ascii="宋体" w:hAnsi="宋体" w:eastAsia="宋体" w:cs="宋体"/>
            </w:rPr>
            <w:fldChar w:fldCharType="end"/>
          </w:r>
          <w:r>
            <w:rPr>
              <w:rFonts w:hint="eastAsia" w:ascii="宋体" w:hAnsi="宋体" w:eastAsia="宋体" w:cs="宋体"/>
            </w:rPr>
            <w:fldChar w:fldCharType="end"/>
          </w:r>
          <w:r/>
        </w:p>
        <w:p>
          <w:pPr>
            <w:pStyle w:val="654"/>
            <w:tabs>
              <w:tab w:val="right" w:pos="8306" w:leader="dot"/>
              <w:tab w:val="clear" w:pos="9628"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_Toc23151 </w:instrText>
          </w:r>
          <w:r>
            <w:rPr>
              <w:rFonts w:hint="eastAsia" w:ascii="宋体" w:hAnsi="宋体" w:eastAsia="宋体" w:cs="宋体"/>
            </w:rPr>
            <w:fldChar w:fldCharType="separate"/>
          </w:r>
          <w:r>
            <w:rPr>
              <w:rFonts w:hint="eastAsia" w:ascii="宋体" w:hAnsi="宋体" w:eastAsia="宋体" w:cs="宋体"/>
            </w:rPr>
            <w:t xml:space="preserve">第三章  合同文本</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_Toc23151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fldChar w:fldCharType="end"/>
          </w:r>
          <w:r/>
        </w:p>
        <w:p>
          <w:pPr>
            <w:pStyle w:val="654"/>
            <w:tabs>
              <w:tab w:val="right" w:pos="8306" w:leader="dot"/>
              <w:tab w:val="clear" w:pos="9628"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_Toc28844 </w:instrText>
          </w:r>
          <w:r>
            <w:rPr>
              <w:rFonts w:hint="eastAsia" w:ascii="宋体" w:hAnsi="宋体" w:eastAsia="宋体" w:cs="宋体"/>
            </w:rPr>
            <w:fldChar w:fldCharType="separate"/>
          </w:r>
          <w:r>
            <w:rPr>
              <w:rFonts w:hint="eastAsia" w:ascii="宋体" w:hAnsi="宋体" w:eastAsia="宋体" w:cs="宋体"/>
            </w:rPr>
            <w:t xml:space="preserve">第四章  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_Toc28844 \h </w:instrText>
          </w:r>
          <w:r>
            <w:rPr>
              <w:rFonts w:hint="eastAsia" w:ascii="宋体" w:hAnsi="宋体" w:eastAsia="宋体" w:cs="宋体"/>
            </w:rPr>
            <w:fldChar w:fldCharType="separate"/>
          </w:r>
          <w:r>
            <w:rPr>
              <w:rFonts w:hint="eastAsia" w:ascii="宋体" w:hAnsi="宋体" w:eastAsia="宋体" w:cs="宋体"/>
            </w:rPr>
            <w:t xml:space="preserve">29</w:t>
          </w:r>
          <w:r>
            <w:rPr>
              <w:rFonts w:hint="eastAsia" w:ascii="宋体" w:hAnsi="宋体" w:eastAsia="宋体" w:cs="宋体"/>
            </w:rPr>
            <w:fldChar w:fldCharType="end"/>
          </w:r>
          <w:r>
            <w:rPr>
              <w:rFonts w:hint="eastAsia" w:ascii="宋体" w:hAnsi="宋体" w:eastAsia="宋体" w:cs="宋体"/>
            </w:rPr>
            <w:fldChar w:fldCharType="end"/>
          </w:r>
          <w:r/>
        </w:p>
        <w:p>
          <w:pPr>
            <w:pStyle w:val="654"/>
            <w:tabs>
              <w:tab w:val="right" w:pos="8306" w:leader="dot"/>
              <w:tab w:val="clear" w:pos="9628"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_Toc22195 </w:instrText>
          </w:r>
          <w:r>
            <w:rPr>
              <w:rFonts w:hint="eastAsia" w:ascii="宋体" w:hAnsi="宋体" w:eastAsia="宋体" w:cs="宋体"/>
            </w:rPr>
            <w:fldChar w:fldCharType="separate"/>
          </w:r>
          <w:r>
            <w:rPr>
              <w:rFonts w:hint="eastAsia" w:ascii="宋体" w:hAnsi="宋体" w:eastAsia="宋体" w:cs="宋体"/>
            </w:rPr>
            <w:t xml:space="preserve">第五章  评标方法与评标标准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_Toc22195 \h </w:instrText>
          </w:r>
          <w:r>
            <w:rPr>
              <w:rFonts w:hint="eastAsia" w:ascii="宋体" w:hAnsi="宋体" w:eastAsia="宋体" w:cs="宋体"/>
            </w:rPr>
            <w:fldChar w:fldCharType="separate"/>
          </w:r>
          <w:r>
            <w:rPr>
              <w:rFonts w:hint="eastAsia" w:ascii="宋体" w:hAnsi="宋体" w:eastAsia="宋体" w:cs="宋体"/>
            </w:rPr>
            <w:t xml:space="preserve">237</w:t>
          </w:r>
          <w:r>
            <w:rPr>
              <w:rFonts w:hint="eastAsia" w:ascii="宋体" w:hAnsi="宋体" w:eastAsia="宋体" w:cs="宋体"/>
            </w:rPr>
            <w:fldChar w:fldCharType="end"/>
          </w:r>
          <w:r>
            <w:rPr>
              <w:rFonts w:hint="eastAsia" w:ascii="宋体" w:hAnsi="宋体" w:eastAsia="宋体" w:cs="宋体"/>
            </w:rPr>
            <w:fldChar w:fldCharType="end"/>
          </w:r>
          <w:r/>
        </w:p>
        <w:p>
          <w:pPr>
            <w:pStyle w:val="654"/>
            <w:tabs>
              <w:tab w:val="right" w:pos="8306" w:leader="dot"/>
              <w:tab w:val="clear" w:pos="9628"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HYPERLINK \l _Toc28183 </w:instrText>
          </w:r>
          <w:r>
            <w:rPr>
              <w:rFonts w:hint="eastAsia" w:ascii="宋体" w:hAnsi="宋体" w:eastAsia="宋体" w:cs="宋体"/>
            </w:rPr>
            <w:fldChar w:fldCharType="separate"/>
          </w:r>
          <w:r>
            <w:rPr>
              <w:rFonts w:hint="eastAsia" w:ascii="宋体" w:hAnsi="宋体" w:eastAsia="宋体" w:cs="宋体"/>
            </w:rPr>
            <w:t xml:space="preserve">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_Toc28183 \h </w:instrText>
          </w:r>
          <w:r>
            <w:rPr>
              <w:rFonts w:hint="eastAsia" w:ascii="宋体" w:hAnsi="宋体" w:eastAsia="宋体" w:cs="宋体"/>
            </w:rPr>
            <w:fldChar w:fldCharType="separate"/>
          </w:r>
          <w:r>
            <w:rPr>
              <w:rFonts w:hint="eastAsia" w:ascii="宋体" w:hAnsi="宋体" w:eastAsia="宋体" w:cs="宋体"/>
            </w:rPr>
            <w:t xml:space="preserve">244</w:t>
          </w:r>
          <w:r>
            <w:rPr>
              <w:rFonts w:hint="eastAsia" w:ascii="宋体" w:hAnsi="宋体" w:eastAsia="宋体" w:cs="宋体"/>
            </w:rPr>
            <w:fldChar w:fldCharType="end"/>
          </w:r>
          <w:r>
            <w:rPr>
              <w:rFonts w:hint="eastAsia" w:ascii="宋体" w:hAnsi="宋体" w:eastAsia="宋体" w:cs="宋体"/>
            </w:rPr>
            <w:fldChar w:fldCharType="end"/>
          </w:r>
          <w:r/>
        </w:p>
        <w:p>
          <w:r>
            <w:rPr>
              <w:rFonts w:hint="eastAsia" w:ascii="宋体" w:hAnsi="宋体" w:eastAsia="宋体" w:cs="宋体"/>
            </w:rPr>
            <w:fldChar w:fldCharType="end"/>
          </w:r>
          <w:r/>
        </w:p>
      </w:sdtContent>
    </w:sdt>
    <w:p>
      <w:r/>
      <w:r/>
    </w:p>
    <w:p>
      <w:pPr>
        <w:jc w:val="left"/>
        <w:spacing w:line="360" w:lineRule="auto"/>
        <w:widowControl/>
        <w:rPr>
          <w:rFonts w:asciiTheme="minorEastAsia" w:hAnsiTheme="minorEastAsia"/>
          <w:sz w:val="28"/>
        </w:rPr>
      </w:pPr>
      <w:r>
        <w:rPr>
          <w:rFonts w:asciiTheme="minorEastAsia" w:hAnsiTheme="minorEastAsia"/>
          <w:sz w:val="28"/>
        </w:rPr>
        <w:br w:type="page" w:clear="all"/>
      </w:r>
      <w:r/>
    </w:p>
    <w:p>
      <w:pPr>
        <w:pStyle w:val="64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41"/>
        <w:jc w:val="center"/>
        <w:spacing w:line="360" w:lineRule="auto"/>
        <w:rPr>
          <w:rFonts w:ascii="黑体" w:hAnsi="黑体" w:eastAsia="黑体"/>
          <w:b w:val="0"/>
        </w:rPr>
      </w:pPr>
      <w:r/>
      <w:bookmarkStart w:id="0" w:name="_Toc162361610"/>
      <w:r/>
      <w:bookmarkStart w:id="1" w:name="_Toc12060"/>
      <w:r>
        <w:rPr>
          <w:rFonts w:hint="eastAsia" w:ascii="黑体" w:hAnsi="黑体" w:eastAsia="黑体"/>
          <w:b w:val="0"/>
        </w:rPr>
        <w:t xml:space="preserve">第一章  投标邀请</w:t>
      </w:r>
      <w:bookmarkEnd w:id="0"/>
      <w:r/>
      <w:bookmarkEnd w:id="1"/>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Theme="minorEastAsia" w:hAnsiTheme="minorEastAsia"/>
          <w:b w:val="0"/>
          <w:bCs w:val="0"/>
          <w:sz w:val="24"/>
          <w:szCs w:val="24"/>
          <w:highlight w:val="none"/>
          <w:lang w:val="en-US" w:eastAsia="zh-CN"/>
        </w:rPr>
        <w:t xml:space="preserve">连云港市大数据管理中心</w:t>
      </w:r>
      <w:r>
        <w:rPr>
          <w:rFonts w:hint="eastAsia" w:asciiTheme="minorEastAsia" w:hAnsiTheme="minorEastAsia"/>
          <w:sz w:val="24"/>
          <w:szCs w:val="24"/>
        </w:rPr>
        <w:t xml:space="preserve">的委托，连云港市公共资源交易中心就连云港市市县国资监管一张网项目（非专门面向中小企业）（</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：JSZC-320700-JZCG-G2026-0124</w:t>
      </w:r>
      <w:r>
        <w:rPr>
          <w:rFonts w:hint="eastAsia" w:asciiTheme="minorEastAsia" w:hAnsiTheme="minorEastAsia"/>
          <w:sz w:val="24"/>
          <w:szCs w:val="24"/>
        </w:rPr>
        <w:t xml:space="preserve">）项目进行公开招标采购，欢迎符合条件的供应商投标。</w:t>
      </w:r>
      <w:r/>
    </w:p>
    <w:tbl>
      <w:tblPr>
        <w:tblStyle w:val="656"/>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u w:val="single"/>
              </w:rPr>
              <w:t xml:space="preserve">连云港市市县国资监管一张网项目（非专门面向中小企业）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10</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15</w:t>
            </w:r>
            <w:r>
              <w:rPr>
                <w:rFonts w:hint="eastAsia" w:asciiTheme="minorEastAsia" w:hAnsiTheme="minorEastAsia"/>
                <w:b/>
                <w:sz w:val="24"/>
                <w:szCs w:val="24"/>
                <w:highlight w:val="none"/>
                <w:u w:val="single"/>
              </w:rPr>
              <w:t xml:space="preserve">日</w:t>
            </w:r>
            <w:r>
              <w:rPr>
                <w:rFonts w:hint="eastAsia" w:asciiTheme="minorEastAsia" w:hAnsiTheme="minorEastAsia"/>
                <w:b/>
                <w:sz w:val="24"/>
                <w:szCs w:val="24"/>
                <w:highlight w:val="none"/>
                <w:u w:val="single"/>
                <w:lang w:val="en-US" w:eastAsia="zh-CN"/>
              </w:rPr>
              <w:t xml:space="preserve">15</w:t>
            </w:r>
            <w:r>
              <w:rPr>
                <w:rFonts w:hint="eastAsia" w:asciiTheme="minorEastAsia" w:hAnsiTheme="minorEastAsia"/>
                <w:b/>
                <w:sz w:val="24"/>
                <w:szCs w:val="24"/>
                <w:highlight w:val="none"/>
                <w:u w:val="single"/>
              </w:rPr>
              <w:t xml:space="preserve">:</w:t>
            </w:r>
            <w:r>
              <w:rPr>
                <w:rFonts w:hint="eastAsia" w:asciiTheme="minorEastAsia" w:hAnsiTheme="minorEastAsia"/>
                <w:b/>
                <w:sz w:val="24"/>
                <w:szCs w:val="24"/>
                <w:highlight w:val="none"/>
                <w:u w:val="single"/>
                <w:lang w:val="en-US" w:eastAsia="zh-CN"/>
              </w:rPr>
              <w:t xml:space="preserve">0</w:t>
            </w:r>
            <w:r>
              <w:rPr>
                <w:rFonts w:hint="eastAsia" w:asciiTheme="minorEastAsia" w:hAnsiTheme="minorEastAsia"/>
                <w:b/>
                <w:sz w:val="24"/>
                <w:szCs w:val="24"/>
                <w:highlight w:val="none"/>
                <w:u w:val="single"/>
              </w:rPr>
              <w:t xml:space="preserve">0:00</w:t>
            </w:r>
            <w:r>
              <w:rPr>
                <w:rFonts w:hint="eastAsia" w:asciiTheme="minorEastAsia" w:hAnsiTheme="minorEastAsia"/>
                <w:sz w:val="24"/>
                <w:szCs w:val="24"/>
              </w:rPr>
              <w:t xml:space="preserve">（北京时间）前递交（上传）投标文件。</w:t>
            </w:r>
            <w:r/>
          </w:p>
        </w:tc>
      </w:tr>
    </w:tbl>
    <w:p>
      <w:pPr>
        <w:pStyle w:val="642"/>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项目编号：</w:t>
      </w:r>
      <w:r>
        <w:rPr>
          <w:rFonts w:hint="eastAsia" w:asciiTheme="minorEastAsia" w:hAnsiTheme="minorEastAsia"/>
          <w:sz w:val="24"/>
          <w:szCs w:val="24"/>
          <w:highlight w:val="none"/>
          <w:lang w:eastAsia="zh-CN"/>
        </w:rPr>
        <w:t xml:space="preserve">JSZC-320700-JZCG-G2026-0124</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项目名称：连云港市市县国资监管一张网项目（非专门面向中小企业）</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cs="Times New Roman" w:asciiTheme="minorEastAsia" w:hAnsiTheme="minorEastAsia"/>
          <w:color w:val="000000"/>
          <w:sz w:val="24"/>
          <w:szCs w:val="24"/>
          <w:highlight w:val="none"/>
        </w:rPr>
      </w:pPr>
      <w:r>
        <w:rPr>
          <w:rFonts w:hint="eastAsia" w:asciiTheme="minorEastAsia" w:hAnsiTheme="minorEastAsia"/>
          <w:sz w:val="24"/>
          <w:szCs w:val="24"/>
          <w:highlight w:val="none"/>
        </w:rPr>
        <w:t xml:space="preserve">预算金额：人民币</w:t>
      </w:r>
      <w:r>
        <w:rPr>
          <w:rFonts w:hint="eastAsia" w:asciiTheme="minorEastAsia" w:hAnsiTheme="minorEastAsia"/>
          <w:sz w:val="24"/>
          <w:szCs w:val="24"/>
          <w:highlight w:val="none"/>
          <w:lang w:val="en-US" w:eastAsia="zh-CN"/>
        </w:rPr>
        <w:t xml:space="preserve">530</w:t>
      </w:r>
      <w:r>
        <w:rPr>
          <w:rFonts w:hint="eastAsia" w:asciiTheme="minorEastAsia" w:hAnsiTheme="minorEastAsia"/>
          <w:sz w:val="24"/>
          <w:szCs w:val="24"/>
          <w:highlight w:val="none"/>
        </w:rPr>
        <w:t xml:space="preserve">.43 万元</w:t>
      </w:r>
      <w:r>
        <w:rPr>
          <w:rFonts w:hint="eastAsia" w:cs="Times New Roman" w:asciiTheme="minorEastAsia" w:hAnsiTheme="minorEastAsia"/>
          <w:color w:val="000000"/>
          <w:sz w:val="24"/>
          <w:szCs w:val="24"/>
          <w:highlight w:val="none"/>
        </w:rPr>
        <w:t xml:space="preserve">。</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最高限价：人民币</w:t>
      </w:r>
      <w:r>
        <w:rPr>
          <w:rFonts w:hint="eastAsia" w:asciiTheme="minorEastAsia" w:hAnsiTheme="minorEastAsia"/>
          <w:sz w:val="24"/>
          <w:szCs w:val="24"/>
          <w:highlight w:val="none"/>
          <w:lang w:val="en-US" w:eastAsia="zh-CN"/>
        </w:rPr>
        <w:t xml:space="preserve">507.43万元</w:t>
      </w:r>
      <w:r>
        <w:rPr>
          <w:rFonts w:hint="eastAsia" w:asciiTheme="minorEastAsia" w:hAnsiTheme="minorEastAsia"/>
          <w:sz w:val="24"/>
          <w:szCs w:val="24"/>
          <w:highlight w:val="none"/>
        </w:rPr>
        <w:t xml:space="preserve">，</w:t>
      </w:r>
      <w:r>
        <w:rPr>
          <w:rFonts w:hint="eastAsia" w:ascii="宋体" w:hAnsi="宋体" w:eastAsia="宋体" w:cs="宋体"/>
          <w:sz w:val="24"/>
          <w:szCs w:val="24"/>
          <w:highlight w:val="none"/>
        </w:rPr>
        <w:t xml:space="preserve">投标报价超过最高限价的投标无效。</w:t>
      </w:r>
      <w:r/>
    </w:p>
    <w:p>
      <w:pPr>
        <w:ind w:firstLine="480"/>
        <w:pageBreakBefore w:val="0"/>
        <w:spacing w:line="500" w:lineRule="exact"/>
        <w:widowControl w:val="off"/>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采购需求：</w:t>
      </w:r>
      <w:r>
        <w:rPr>
          <w:rFonts w:hint="eastAsia" w:asciiTheme="minorEastAsia" w:hAnsiTheme="minorEastAsia"/>
          <w:sz w:val="24"/>
          <w:szCs w:val="24"/>
          <w:highlight w:val="none"/>
        </w:rPr>
        <w:t xml:space="preserve">为贯彻落实国务院国资委关于加快推进国有企业数字化转型与智能化升级的决策部署，连云港市国资委统一规划建设市县国资监管一张网系统。系统覆盖市属监管企业及县区国企的全链条、全流程数字化监管，构建「国资端十大业务模块+管理驾驶舱+业务中台+数据中台+AI应用」五位一体的监管体系，实现对国有企业的全域穿透式智能监管。</w:t>
      </w:r>
      <w:r>
        <w:rPr>
          <w:rFonts w:hint="eastAsia" w:asciiTheme="minorEastAsia" w:hAnsiTheme="minorEastAsia"/>
          <w:sz w:val="24"/>
          <w:szCs w:val="24"/>
          <w:highlight w:val="none"/>
          <w:lang w:val="en-US" w:eastAsia="zh-CN"/>
        </w:rPr>
        <w:t xml:space="preserve">具体要求详见第四章采购需求。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Theme="minorEastAsia" w:hAnsiTheme="minorEastAsia"/>
          <w:sz w:val="24"/>
          <w:szCs w:val="24"/>
        </w:rPr>
      </w:pPr>
      <w:r>
        <w:rPr>
          <w:rFonts w:hint="eastAsia" w:asciiTheme="minorEastAsia" w:hAnsiTheme="minorEastAsia"/>
          <w:sz w:val="24"/>
          <w:szCs w:val="24"/>
        </w:rPr>
        <w:t xml:space="preserve">服务期限：自合同签订之日起，5个月内完成系统上线初验并开始试运行，试运行1个月后进行终验；自项目终验合格之日起提供2年运行保障服务。</w:t>
      </w:r>
      <w:r/>
    </w:p>
    <w:p>
      <w:pPr>
        <w:ind w:firstLine="480"/>
        <w:pageBreakBefore w:val="0"/>
        <w:spacing w:line="500" w:lineRule="exact"/>
        <w:widowControl w:val="off"/>
        <w:rPr>
          <w:rFonts w:hint="eastAsia" w:asciiTheme="minorEastAsia" w:hAnsiTheme="minorEastAsia"/>
          <w:b w:val="0"/>
          <w:bCs w:val="0"/>
          <w:sz w:val="24"/>
          <w:szCs w:val="24"/>
          <w:highlight w:val="none"/>
        </w:rPr>
      </w:pPr>
      <w:r>
        <w:rPr>
          <w:rFonts w:hint="eastAsia" w:asciiTheme="minorEastAsia" w:hAnsiTheme="minorEastAsia"/>
          <w:b w:val="0"/>
          <w:bCs w:val="0"/>
          <w:sz w:val="24"/>
          <w:szCs w:val="24"/>
          <w:highlight w:val="none"/>
        </w:rPr>
        <w:t xml:space="preserve">本项目接受联合体投标</w:t>
      </w:r>
      <w:r>
        <w:rPr>
          <w:rFonts w:hint="eastAsia" w:asciiTheme="minorEastAsia" w:hAnsiTheme="minorEastAsia"/>
          <w:b w:val="0"/>
          <w:bCs w:val="0"/>
          <w:sz w:val="24"/>
          <w:szCs w:val="24"/>
          <w:highlight w:val="none"/>
          <w:lang w:eastAsia="zh-CN"/>
        </w:rPr>
        <w:t xml:space="preserve">，</w:t>
      </w:r>
      <w:r>
        <w:rPr>
          <w:rFonts w:hint="eastAsia" w:asciiTheme="minorEastAsia" w:hAnsiTheme="minorEastAsia"/>
          <w:b w:val="0"/>
          <w:bCs w:val="0"/>
          <w:sz w:val="24"/>
          <w:szCs w:val="24"/>
          <w:highlight w:val="none"/>
          <w:lang w:val="en-US" w:eastAsia="zh-CN"/>
        </w:rPr>
        <w:t xml:space="preserve">且联合体总成员数不超过3家</w:t>
      </w:r>
      <w:r>
        <w:rPr>
          <w:rFonts w:hint="eastAsia" w:asciiTheme="minorEastAsia" w:hAnsiTheme="minorEastAsia"/>
          <w:b w:val="0"/>
          <w:bCs w:val="0"/>
          <w:sz w:val="24"/>
          <w:szCs w:val="24"/>
          <w:highlight w:val="none"/>
        </w:rPr>
        <w:t xml:space="preserve">。</w:t>
      </w:r>
      <w:r/>
    </w:p>
    <w:p>
      <w:pPr>
        <w:pStyle w:val="642"/>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jc w:val="left"/>
        <w:spacing w:line="500" w:lineRule="exact"/>
        <w:rPr>
          <w:b/>
          <w:bCs/>
          <w:sz w:val="24"/>
          <w:szCs w:val="24"/>
          <w:highlight w:val="none"/>
        </w:rPr>
      </w:pPr>
      <w:r>
        <w:rPr>
          <w:rFonts w:hint="eastAsia" w:asciiTheme="minorEastAsia" w:hAnsiTheme="minorEastAsia"/>
          <w:b/>
          <w:bCs/>
          <w:sz w:val="24"/>
          <w:szCs w:val="24"/>
        </w:rPr>
        <w:t xml:space="preserve">（一）满足《中华人民共和国政府采购法》第二十二条规定，并提供下列材料</w:t>
      </w:r>
      <w:r>
        <w:rPr>
          <w:rFonts w:hint="eastAsia"/>
          <w:b/>
          <w:bCs/>
          <w:sz w:val="24"/>
          <w:szCs w:val="24"/>
          <w:highlight w:val="none"/>
        </w:rPr>
        <w:t xml:space="preserve">（如为联合体投标，以下材料联合体各方均需提供）</w:t>
      </w:r>
      <w:r>
        <w:rPr>
          <w:rFonts w:hint="eastAsia" w:asciiTheme="minorEastAsia" w:hAnsiTheme="minorEastAsia"/>
          <w:b/>
          <w:bCs/>
          <w:sz w:val="24"/>
          <w:szCs w:val="24"/>
          <w:highlight w:val="none"/>
        </w:rPr>
        <w:t xml:space="preserve">：</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2"/>
        <w:pageBreakBefore w:val="0"/>
        <w:spacing w:line="500" w:lineRule="exact"/>
        <w:widowControl w:val="off"/>
        <w:rPr>
          <w:rFonts w:hint="eastAsia" w:asciiTheme="minorEastAsia" w:hAnsiTheme="minorEastAsia"/>
          <w:b/>
          <w:bCs/>
          <w:sz w:val="24"/>
          <w:szCs w:val="24"/>
        </w:rPr>
      </w:pPr>
      <w:r>
        <w:rPr>
          <w:rFonts w:hint="eastAsia" w:asciiTheme="minorEastAsia" w:hAnsiTheme="minorEastAsia"/>
          <w:b/>
          <w:bCs/>
          <w:sz w:val="24"/>
          <w:szCs w:val="24"/>
        </w:rPr>
        <w:t xml:space="preserve">（三）本项目的特定资格要求：</w:t>
      </w:r>
      <w:r/>
    </w:p>
    <w:p>
      <w:pPr>
        <w:ind w:firstLine="482"/>
        <w:pageBreakBefore w:val="0"/>
        <w:spacing w:line="500" w:lineRule="exact"/>
        <w:widowControl w:val="off"/>
        <w:rPr>
          <w:rFonts w:hint="eastAsia" w:asciiTheme="minorEastAsia" w:hAnsiTheme="minorEastAsia"/>
          <w:b/>
          <w:bCs/>
          <w:sz w:val="24"/>
          <w:szCs w:val="24"/>
        </w:rPr>
      </w:pPr>
      <w:r>
        <w:rPr>
          <w:rFonts w:hint="eastAsia" w:asciiTheme="minorEastAsia" w:hAnsiTheme="minorEastAsia"/>
          <w:b/>
          <w:bCs/>
          <w:sz w:val="24"/>
          <w:szCs w:val="24"/>
        </w:rPr>
        <w:t xml:space="preserve">1.联合体成员数量不超过</w:t>
      </w:r>
      <w:r>
        <w:rPr>
          <w:rFonts w:hint="eastAsia" w:asciiTheme="minorEastAsia" w:hAnsiTheme="minorEastAsia"/>
          <w:b/>
          <w:bCs/>
          <w:sz w:val="24"/>
          <w:szCs w:val="24"/>
          <w:lang w:val="en-US" w:eastAsia="zh-CN"/>
        </w:rPr>
        <w:t xml:space="preserve">3</w:t>
      </w:r>
      <w:r>
        <w:rPr>
          <w:rFonts w:hint="eastAsia" w:asciiTheme="minorEastAsia" w:hAnsiTheme="minorEastAsia"/>
          <w:b/>
          <w:bCs/>
          <w:sz w:val="24"/>
          <w:szCs w:val="24"/>
        </w:rPr>
        <w:t xml:space="preserve">家（含</w:t>
      </w:r>
      <w:r>
        <w:rPr>
          <w:rFonts w:hint="eastAsia" w:asciiTheme="minorEastAsia" w:hAnsiTheme="minorEastAsia"/>
          <w:b/>
          <w:bCs/>
          <w:sz w:val="24"/>
          <w:szCs w:val="24"/>
          <w:lang w:val="en-US" w:eastAsia="zh-CN"/>
        </w:rPr>
        <w:t xml:space="preserve">3</w:t>
      </w:r>
      <w:r>
        <w:rPr>
          <w:rFonts w:hint="eastAsia" w:asciiTheme="minorEastAsia" w:hAnsiTheme="minorEastAsia"/>
          <w:b/>
          <w:bCs/>
          <w:sz w:val="24"/>
          <w:szCs w:val="24"/>
        </w:rPr>
        <w:t xml:space="preserve">家），以联合体形式参加政府采购活动的，组成联合体内企业之间不得存在直接控股、管理关系。联合体各方不得再单独参加或者与其他供应商另外组成联合体参加同一合同项下的政府采购活动。</w:t>
      </w:r>
      <w:r/>
    </w:p>
    <w:p>
      <w:pPr>
        <w:ind w:firstLine="482"/>
        <w:pageBreakBefore w:val="0"/>
        <w:spacing w:line="500" w:lineRule="exact"/>
        <w:widowControl w:val="off"/>
        <w:rPr>
          <w:rFonts w:hint="eastAsia" w:asciiTheme="minorEastAsia" w:hAnsiTheme="minorEastAsia"/>
          <w:b/>
          <w:bCs/>
          <w:sz w:val="24"/>
          <w:szCs w:val="24"/>
        </w:rPr>
      </w:pPr>
      <w:r>
        <w:rPr>
          <w:rFonts w:hint="eastAsia" w:asciiTheme="minorEastAsia" w:hAnsiTheme="minorEastAsia"/>
          <w:b/>
          <w:bCs/>
          <w:sz w:val="24"/>
          <w:szCs w:val="24"/>
        </w:rPr>
        <w:t xml:space="preserve">2.以联合体形式参加政府采购活动的投标人须提交共同签署的《联合体协议》（详见招标文件第六章 投标文件格式），明确联合体的牵头单位，并载明联合体各方承担的工作和义务。</w:t>
      </w:r>
      <w:r/>
    </w:p>
    <w:p>
      <w:pPr>
        <w:ind w:firstLine="482"/>
        <w:pageBreakBefore w:val="0"/>
        <w:spacing w:line="500" w:lineRule="exact"/>
        <w:widowControl w:val="off"/>
        <w:rPr>
          <w:rFonts w:asciiTheme="minorEastAsia" w:hAnsiTheme="minorEastAsia"/>
          <w:b/>
          <w:bCs/>
          <w:sz w:val="24"/>
          <w:szCs w:val="24"/>
        </w:rPr>
      </w:pPr>
      <w:r>
        <w:rPr>
          <w:rFonts w:hint="eastAsia" w:asciiTheme="minorEastAsia" w:hAnsiTheme="minorEastAsia"/>
          <w:b/>
          <w:bCs/>
          <w:sz w:val="24"/>
          <w:szCs w:val="24"/>
        </w:rPr>
        <w:t xml:space="preserve">上述1-2项如不满足，则投标无效。</w:t>
      </w:r>
      <w:r/>
    </w:p>
    <w:p>
      <w:pPr>
        <w:pStyle w:val="642"/>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yellow"/>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642"/>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15</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15</w:t>
      </w:r>
      <w:r>
        <w:rPr>
          <w:rFonts w:hint="eastAsia" w:asciiTheme="minorEastAsia" w:hAnsiTheme="minorEastAsia"/>
          <w:sz w:val="24"/>
          <w:szCs w:val="24"/>
          <w:highlight w:val="none"/>
        </w:rPr>
        <w:t xml:space="preserve">:00:00（北京时间）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15</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15</w:t>
      </w:r>
      <w:r>
        <w:rPr>
          <w:rFonts w:hint="eastAsia" w:asciiTheme="minorEastAsia" w:hAnsiTheme="minorEastAsia"/>
          <w:sz w:val="24"/>
          <w:szCs w:val="24"/>
          <w:highlight w:val="none"/>
        </w:rPr>
        <w:t xml:space="preserve">:00:00（北京时间）</w:t>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42"/>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42"/>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42"/>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称：连云港市大数据管理中心</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地    址：连云港市海州区凌洲东路9号</w:t>
      </w:r>
      <w:r>
        <w:rPr>
          <w:rFonts w:hint="eastAsia" w:asciiTheme="minorEastAsia" w:hAnsiTheme="minorEastAsia"/>
          <w:sz w:val="24"/>
          <w:szCs w:val="24"/>
          <w:highlight w:val="none"/>
          <w:lang w:val="en-US" w:eastAsia="zh-CN"/>
        </w:rPr>
        <w:t xml:space="preserve">政务服务中心3楼</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0518-85825606</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2.采购代理机构信息</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名    称：连云港市公共资源交易中心</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地    址：连云港市海州区凌洲东路9号2号楼419室</w:t>
      </w:r>
      <w:r/>
    </w:p>
    <w:p>
      <w:pPr>
        <w:ind w:firstLine="480"/>
        <w:pageBreakBefore w:val="0"/>
        <w:spacing w:line="500" w:lineRule="exact"/>
        <w:widowControl w:val="off"/>
        <w:rPr>
          <w:rFonts w:hint="default" w:cs="Times New Roman"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李俊怡  0518-85868290</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3.项目联系方式</w:t>
      </w:r>
      <w:r/>
    </w:p>
    <w:p>
      <w:pPr>
        <w:ind w:firstLine="480"/>
        <w:pageBreakBefore w:val="0"/>
        <w:spacing w:line="500" w:lineRule="exact"/>
        <w:widowControl w:val="off"/>
        <w:rPr>
          <w:rFonts w:hint="default" w:asciiTheme="minorEastAsia" w:hAnsiTheme="minorEastAsia"/>
          <w:sz w:val="24"/>
          <w:szCs w:val="24"/>
          <w:highlight w:val="none"/>
          <w:lang w:val="en-US"/>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孙久明、顾民</w:t>
      </w:r>
      <w:r/>
    </w:p>
    <w:p>
      <w:pPr>
        <w:ind w:firstLine="480"/>
        <w:pageBreakBefore w:val="0"/>
        <w:spacing w:line="500" w:lineRule="exact"/>
        <w:widowControl w:val="off"/>
        <w:rPr>
          <w:rFonts w:hint="default" w:asciiTheme="minorEastAsia" w:hAnsiTheme="minorEastAsia"/>
          <w:sz w:val="24"/>
          <w:szCs w:val="24"/>
          <w:highlight w:val="none"/>
          <w:lang w:val="en-US"/>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0518-80325312、18551008005</w:t>
      </w:r>
      <w:r/>
    </w:p>
    <w:p>
      <w:pPr>
        <w:ind w:firstLine="480"/>
        <w:spacing w:line="500" w:lineRule="exact"/>
        <w:rPr>
          <w:sz w:val="24"/>
          <w:szCs w:val="24"/>
          <w:highlight w:val="none"/>
        </w:rPr>
      </w:pPr>
      <w:r>
        <w:rPr>
          <w:sz w:val="24"/>
          <w:szCs w:val="24"/>
          <w:highlight w:val="none"/>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0"/>
        <w:spacing w:line="500" w:lineRule="exact"/>
        <w:rPr>
          <w:sz w:val="24"/>
          <w:szCs w:val="24"/>
        </w:rPr>
      </w:pPr>
      <w:r>
        <w:rPr>
          <w:sz w:val="24"/>
          <w:szCs w:val="24"/>
        </w:rPr>
      </w:r>
      <w:r/>
    </w:p>
    <w:p>
      <w:pPr>
        <w:rPr>
          <w:rFonts w:hint="eastAsia" w:ascii="黑体" w:hAnsi="黑体" w:eastAsia="黑体"/>
          <w:b w:val="0"/>
        </w:rPr>
      </w:pPr>
      <w:r/>
      <w:bookmarkStart w:id="2" w:name="_Toc25029"/>
      <w:r/>
      <w:bookmarkStart w:id="3" w:name="_Toc162361611"/>
      <w:r>
        <w:rPr>
          <w:rFonts w:hint="eastAsia" w:ascii="黑体" w:hAnsi="黑体" w:eastAsia="黑体"/>
          <w:b w:val="0"/>
        </w:rPr>
        <w:br w:type="page" w:clear="all"/>
      </w:r>
      <w:r/>
    </w:p>
    <w:p>
      <w:pPr>
        <w:pStyle w:val="641"/>
        <w:jc w:val="center"/>
        <w:spacing w:line="360" w:lineRule="auto"/>
        <w:rPr>
          <w:rFonts w:ascii="黑体" w:hAnsi="黑体" w:eastAsia="黑体"/>
          <w:b w:val="0"/>
        </w:rPr>
      </w:pPr>
      <w:r>
        <w:rPr>
          <w:rFonts w:hint="eastAsia" w:ascii="黑体" w:hAnsi="黑体" w:eastAsia="黑体"/>
          <w:b w:val="0"/>
        </w:rPr>
        <w:t xml:space="preserve">第二章  投标人须知</w:t>
      </w:r>
      <w:bookmarkEnd w:id="2"/>
      <w:r/>
      <w:bookmarkEnd w:id="3"/>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4"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4"/>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50</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45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5" w:name="OLE_LINK150"/>
      <w:r>
        <w:rPr>
          <w:rFonts w:hint="eastAsia" w:asciiTheme="minorEastAsia" w:hAnsiTheme="minorEastAsia"/>
          <w:sz w:val="24"/>
          <w:szCs w:val="24"/>
        </w:rPr>
        <w:t xml:space="preserve">（包含与服务相关的货物）</w:t>
      </w:r>
      <w:bookmarkEnd w:id="5"/>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64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w:t>
      </w:r>
      <w:bookmarkStart w:id="6" w:name="OLE_LINK151"/>
      <w:r>
        <w:rPr>
          <w:rFonts w:hint="eastAsia" w:asciiTheme="minorEastAsia" w:hAnsiTheme="minorEastAsia"/>
          <w:sz w:val="24"/>
          <w:szCs w:val="24"/>
        </w:rPr>
        <w:t xml:space="preserve"> 本项目执行《关于印发&lt;政府采购促进中小企业发展管理办法&gt;的通知》（财库〔2020〕</w:t>
      </w:r>
      <w:r>
        <w:rPr>
          <w:rFonts w:hint="eastAsia" w:asciiTheme="minorEastAsia" w:hAnsiTheme="minorEastAsia"/>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参加本项目政府采购活动的供应商享受价格评审优惠的应当提供的材料：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（1）投标人为小型企业、微型企业的，提供《中小企业声明函》（第六章 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38.4 残疾人福利单位、监狱企业属于小型企业、微型企业的，不重复享受政策。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38.5 享受扶持政策获得政府采购合同的，小微企业不得将合同分包给大中型企业，中型企业不得将合同分包给大型企业。</w:t>
      </w:r>
      <w:bookmarkEnd w:id="6"/>
      <w:r/>
    </w:p>
    <w:p>
      <w:pPr>
        <w:numPr>
          <w:ilvl w:val="0"/>
          <w:numId w:val="0"/>
        </w:numPr>
        <w:ind w:firstLine="482"/>
        <w:spacing w:line="500" w:lineRule="exact"/>
        <w:rPr>
          <w:rFonts w:ascii="宋体" w:hAnsi="宋体" w:cs="宋体"/>
          <w:b/>
          <w:sz w:val="24"/>
          <w:szCs w:val="24"/>
        </w:rPr>
      </w:pPr>
      <w:r>
        <w:rPr>
          <w:rFonts w:hint="eastAsia" w:ascii="宋体" w:hAnsi="宋体" w:cs="宋体"/>
          <w:b/>
          <w:sz w:val="24"/>
          <w:szCs w:val="24"/>
          <w:lang w:val="en-US" w:eastAsia="zh-CN"/>
        </w:rPr>
        <w:t xml:space="preserve">39、</w:t>
      </w:r>
      <w:r>
        <w:rPr>
          <w:rFonts w:hint="eastAsia" w:ascii="宋体" w:hAnsi="宋体" w:cs="宋体"/>
          <w:b/>
          <w:sz w:val="24"/>
          <w:szCs w:val="24"/>
        </w:rPr>
        <w:t xml:space="preserve">采购本国产品的支持政策</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.3 供应商需按照招标文件的要求提供《关于符合本国产品标准的声明函》（以下简称《声明函》），如不提供将不享受本国产品价格评审优惠。</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cs="宋体"/>
          <w:bCs/>
          <w:sz w:val="24"/>
          <w:szCs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hint="eastAsia" w:asciiTheme="minorEastAsia" w:hAnsiTheme="minorEastAsia"/>
          <w:b/>
          <w:sz w:val="24"/>
        </w:rPr>
      </w:pPr>
      <w:r>
        <w:rPr>
          <w:rFonts w:hint="eastAsia" w:ascii="宋体" w:hAnsi="宋体" w:cs="宋体"/>
          <w:bCs/>
          <w:sz w:val="24"/>
          <w:szCs w:val="24"/>
          <w:lang w:val="en-US" w:eastAsia="zh-CN"/>
        </w:rPr>
        <w:t xml:space="preserve">39</w:t>
      </w:r>
      <w:r>
        <w:rPr>
          <w:rFonts w:hint="eastAsia" w:ascii="宋体" w:hAnsi="宋体" w:cs="宋体"/>
          <w:bCs/>
          <w:sz w:val="24"/>
          <w:szCs w:val="24"/>
        </w:rPr>
        <w:t xml:space="preserve">.6政府采购中的本国产品标准及其他未尽事宜详见《国务院办公厅关于在政府采购中实施本国产品标准及相关政策的通知》（国办发〔2025〕34号）。</w:t>
      </w:r>
      <w:r/>
    </w:p>
    <w:p>
      <w:pPr>
        <w:ind w:firstLine="482"/>
        <w:spacing w:line="500" w:lineRule="exact"/>
        <w:rPr>
          <w:rFonts w:asciiTheme="minorEastAsia" w:hAnsiTheme="minorEastAsia"/>
          <w:b/>
          <w:sz w:val="24"/>
        </w:rPr>
      </w:pPr>
      <w:r>
        <w:rPr>
          <w:rFonts w:hint="eastAsia" w:asciiTheme="minorEastAsia" w:hAnsiTheme="minorEastAsia"/>
          <w:b/>
          <w:sz w:val="24"/>
          <w:lang w:val="en-US" w:eastAsia="zh-CN"/>
        </w:rPr>
        <w:t xml:space="preserve">40</w:t>
      </w:r>
      <w:r>
        <w:rPr>
          <w:rFonts w:hint="eastAsia" w:asciiTheme="minorEastAsia" w:hAnsiTheme="minorEastAsia"/>
          <w:b/>
          <w:sz w:val="24"/>
        </w:rPr>
        <w:t xml:space="preserve">.支持绿色发展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40</w:t>
      </w:r>
      <w:r>
        <w:rPr>
          <w:rFonts w:hint="eastAsia" w:asciiTheme="minorEastAsia" w:hAnsiTheme="minorEastAsia"/>
          <w:sz w:val="24"/>
          <w:szCs w:val="24"/>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lang w:val="en-US" w:eastAsia="zh-CN"/>
        </w:rPr>
        <w:t xml:space="preserve">40</w:t>
      </w:r>
      <w:r>
        <w:rPr>
          <w:rFonts w:hint="eastAsia" w:asciiTheme="minorEastAsia" w:hAnsiTheme="minorEastAsia"/>
          <w:sz w:val="24"/>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w:t>
      </w:r>
      <w:r>
        <w:rPr>
          <w:rFonts w:hint="eastAsia" w:asciiTheme="minorEastAsia" w:hAnsiTheme="minorEastAsia"/>
          <w:b/>
          <w:sz w:val="24"/>
          <w:lang w:val="en-US" w:eastAsia="zh-CN"/>
        </w:rPr>
        <w:t xml:space="preserve">1</w:t>
      </w:r>
      <w:r>
        <w:rPr>
          <w:rFonts w:hint="eastAsia" w:asciiTheme="minorEastAsia" w:hAnsiTheme="minorEastAsia"/>
          <w:b/>
          <w:sz w:val="24"/>
        </w:rPr>
        <w:t xml:space="preserve">.政府采购需求标准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lang w:val="en-US" w:eastAsia="zh-CN"/>
        </w:rPr>
        <w:t xml:space="preserve">1</w:t>
      </w:r>
      <w:r>
        <w:rPr>
          <w:rFonts w:hint="eastAsia" w:asciiTheme="minorEastAsia" w:hAnsiTheme="minorEastAsia"/>
          <w:sz w:val="24"/>
          <w:szCs w:val="24"/>
        </w:rPr>
        <w:t xml:space="preserve">.1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41"/>
        <w:jc w:val="center"/>
        <w:spacing w:line="360" w:lineRule="auto"/>
        <w:rPr>
          <w:rFonts w:ascii="黑体" w:hAnsi="黑体" w:eastAsia="黑体"/>
          <w:b w:val="0"/>
        </w:rPr>
      </w:pPr>
      <w:r/>
      <w:bookmarkStart w:id="7" w:name="_Toc23151"/>
      <w:r/>
      <w:bookmarkStart w:id="8" w:name="_Toc162361612"/>
      <w:r>
        <w:rPr>
          <w:rFonts w:hint="eastAsia" w:ascii="黑体" w:hAnsi="黑体" w:eastAsia="黑体"/>
          <w:b w:val="0"/>
        </w:rPr>
        <w:t xml:space="preserve">第三章  合同文本</w:t>
      </w:r>
      <w:bookmarkEnd w:id="7"/>
      <w:r/>
      <w:bookmarkEnd w:id="8"/>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9" w:name="OLE_LINK155"/>
      <w:r/>
      <w:bookmarkStart w:id="10"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7.1 </w:t>
      </w:r>
      <w:r>
        <w:rPr>
          <w:rFonts w:hint="eastAsia" w:ascii="Times New Roman" w:hAnsi="Times New Roman" w:cs="Times New Roman"/>
          <w:sz w:val="24"/>
          <w:szCs w:val="24"/>
          <w:lang w:val="en-US" w:eastAsia="zh-CN"/>
        </w:rPr>
        <w:t xml:space="preserve">乙方可以将本项目部分产品和服务依法进行分包，但分包单位的资质须合法合规，乙方对分包工作成果向甲方承担全部连带责任</w:t>
      </w:r>
      <w:r>
        <w:rPr>
          <w:rFonts w:hint="default" w:ascii="Times New Roman" w:hAnsi="Times New Roman" w:cs="Times New Roman"/>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（1）</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9"/>
      <w:bookmarkEnd w:id="10"/>
      <w:r/>
    </w:p>
    <w:p>
      <w:pPr>
        <w:jc w:val="left"/>
        <w:widowControl/>
        <w:rPr>
          <w:sz w:val="24"/>
          <w:szCs w:val="24"/>
        </w:rPr>
      </w:pPr>
      <w:r>
        <w:rPr>
          <w:sz w:val="24"/>
          <w:szCs w:val="24"/>
        </w:rPr>
        <w:br w:type="page" w:clear="all"/>
      </w:r>
      <w:r/>
    </w:p>
    <w:p>
      <w:pPr>
        <w:pStyle w:val="641"/>
        <w:jc w:val="center"/>
        <w:spacing w:line="360" w:lineRule="auto"/>
        <w:rPr>
          <w:rFonts w:ascii="黑体" w:hAnsi="黑体" w:eastAsia="黑体"/>
          <w:b w:val="0"/>
        </w:rPr>
      </w:pPr>
      <w:r/>
      <w:bookmarkStart w:id="11" w:name="_Toc162361613"/>
      <w:r/>
      <w:bookmarkStart w:id="12" w:name="_Toc28844"/>
      <w:r>
        <w:rPr>
          <w:rFonts w:hint="eastAsia" w:ascii="黑体" w:hAnsi="黑体" w:eastAsia="黑体"/>
          <w:b w:val="0"/>
        </w:rPr>
        <w:t xml:space="preserve">第四章  采购需求</w:t>
      </w:r>
      <w:bookmarkEnd w:id="11"/>
      <w:r/>
      <w:bookmarkEnd w:id="12"/>
      <w:r/>
      <w:r/>
    </w:p>
    <w:p>
      <w:pPr>
        <w:ind w:firstLine="482"/>
        <w:jc w:val="left"/>
        <w:spacing w:line="500" w:lineRule="exact"/>
        <w:rPr>
          <w:rFonts w:hint="eastAsia"/>
          <w:b/>
          <w:sz w:val="24"/>
          <w:szCs w:val="24"/>
        </w:rPr>
      </w:pPr>
      <w:r>
        <w:rPr>
          <w:rFonts w:hint="eastAsia"/>
          <w:b/>
          <w:sz w:val="24"/>
          <w:szCs w:val="24"/>
        </w:rPr>
      </w:r>
      <w:r/>
    </w:p>
    <w:p>
      <w:pPr>
        <w:ind w:firstLine="482"/>
        <w:jc w:val="left"/>
        <w:spacing w:line="500" w:lineRule="exact"/>
        <w:rPr>
          <w:rFonts w:hint="eastAsia"/>
          <w:b/>
          <w:sz w:val="24"/>
          <w:szCs w:val="24"/>
        </w:rPr>
      </w:pPr>
      <w:r>
        <w:rPr>
          <w:rFonts w:hint="eastAsia"/>
          <w:b/>
          <w:sz w:val="24"/>
          <w:szCs w:val="24"/>
        </w:rPr>
        <w:t xml:space="preserve">说明：本项目属性为服务，采购标的对应的中小企业划分标准所属行业为：</w:t>
      </w:r>
      <w:r>
        <w:rPr>
          <w:rFonts w:hint="default" w:ascii="Times New Roman" w:hAnsi="Times New Roman" w:cs="Times New Roman"/>
          <w:b/>
          <w:sz w:val="24"/>
          <w:szCs w:val="24"/>
          <w:u w:val="single"/>
          <w:lang w:val="en-US" w:eastAsia="zh-CN"/>
        </w:rPr>
        <w:t xml:space="preserve">软件与信息技术服务</w:t>
      </w:r>
      <w:r>
        <w:rPr>
          <w:rFonts w:hint="eastAsia" w:ascii="Times New Roman" w:hAnsi="Times New Roman" w:cs="Times New Roman"/>
          <w:b/>
          <w:sz w:val="24"/>
          <w:szCs w:val="24"/>
          <w:u w:val="single"/>
          <w:lang w:val="en-US" w:eastAsia="zh-CN"/>
        </w:rPr>
        <w:t xml:space="preserve">业 </w:t>
      </w:r>
      <w:r>
        <w:rPr>
          <w:rFonts w:hint="eastAsia"/>
          <w:b/>
          <w:sz w:val="24"/>
          <w:szCs w:val="24"/>
        </w:rPr>
        <w:t xml:space="preserve">。</w:t>
      </w:r>
      <w:r/>
    </w:p>
    <w:p>
      <w:pPr>
        <w:ind w:firstLine="480"/>
        <w:spacing w:line="500" w:lineRule="exact"/>
        <w:rPr>
          <w:rFonts w:ascii="宋体" w:hAnsi="宋体"/>
          <w:b/>
          <w:bCs/>
          <w:sz w:val="24"/>
          <w:szCs w:val="24"/>
        </w:rPr>
      </w:pPr>
      <w:r>
        <w:rPr>
          <w:rFonts w:hint="eastAsia" w:ascii="宋体" w:hAnsi="宋体"/>
          <w:b/>
          <w:sz w:val="24"/>
          <w:szCs w:val="24"/>
        </w:rPr>
        <w:t xml:space="preserve">依据《关于印发中小企业划型标准规定的通知》（工信部联企业〔2011〕300号）行业划型标准如下：（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jc w:val="left"/>
        <w:spacing w:line="500" w:lineRule="exact"/>
        <w:rPr>
          <w:rFonts w:hint="eastAsia"/>
          <w:b/>
          <w:sz w:val="24"/>
          <w:szCs w:val="24"/>
        </w:rPr>
      </w:pPr>
      <w:r>
        <w:rPr>
          <w:rFonts w:hint="eastAsia"/>
          <w:b/>
          <w:sz w:val="24"/>
          <w:szCs w:val="24"/>
        </w:rPr>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67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3.特别提醒：政府采购中实施本国产品标准及相关政策</w:t>
      </w:r>
      <w:r/>
    </w:p>
    <w:p>
      <w:pPr>
        <w:pStyle w:val="67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3.1本项目对采购本国产品给予政策支持，具体内容见招标文件“第二章 九、政府采购政策功能”。</w:t>
      </w:r>
      <w:r/>
    </w:p>
    <w:p>
      <w:pPr>
        <w:pStyle w:val="67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73"/>
        <w:ind w:firstLine="468"/>
        <w:rPr>
          <w:rFonts w:ascii="宋体" w:hAnsi="宋体" w:eastAsia="宋体" w:cs="宋体"/>
          <w:sz w:val="24"/>
          <w:szCs w:val="24"/>
          <w:lang w:eastAsia="zh-CN"/>
        </w:rPr>
      </w:pPr>
      <w:r>
        <w:rPr>
          <w:rFonts w:hint="eastAsia" w:ascii="宋体" w:hAnsi="宋体" w:eastAsia="宋体" w:cs="宋体"/>
          <w:sz w:val="24"/>
          <w:szCs w:val="24"/>
          <w:lang w:eastAsia="zh-CN"/>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pStyle w:val="642"/>
        <w:ind w:firstLine="482"/>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一、项目概况</w:t>
      </w:r>
      <w:r/>
    </w:p>
    <w:p>
      <w:pPr>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紧扣国家、省、市国资数字化穿透监管政策要求，立足连云港市国资监管实际，以“以管资本为主”为核心导向搭建市县一体化国资监管体系，通过数字化手段打通市国资委、区县国资办、市属国企多层级、多业务信息壁垒，推动国</w:t>
      </w:r>
      <w:r>
        <w:rPr>
          <w:rFonts w:hint="eastAsia" w:ascii="宋体" w:hAnsi="宋体" w:eastAsia="宋体" w:cs="Times New Roman"/>
          <w:color w:val="000000"/>
          <w:sz w:val="24"/>
          <w:szCs w:val="24"/>
          <w:highlight w:val="none"/>
        </w:rPr>
        <w:t xml:space="preserve">资监管从线下事后人工核查向线上事前预警、事中智能精准监管模式全面转型，统一全市国资监管标准、补齐区县数字化监管短板，构建数据同源、业务贯通、风险预警、闭环督办的现代化国资治理机制，健全覆盖决策、资金、投资、人事、党建全链条数字化风险防控体系，压实国有资产保值增值与国企管党治党双重责任，依托智能化底座提升国资科学决策水平，建立自主可控、长效迭代的信创合规数字运营体系，优化国有资本配置、防范资产流失，带动全市国企数字化转型升级，形成上下协同、全域统筹的市县国资监管大格局，为本地国有经济高质量发展提供数字化支撑。</w:t>
      </w:r>
      <w:r/>
    </w:p>
    <w:p>
      <w:pPr>
        <w:ind w:firstLine="480"/>
        <w:spacing w:line="360" w:lineRule="auto"/>
        <w:rPr>
          <w:rFonts w:ascii="宋体" w:hAnsi="宋体"/>
          <w:sz w:val="24"/>
          <w:szCs w:val="24"/>
        </w:rPr>
      </w:pPr>
      <w:r>
        <w:rPr>
          <w:rFonts w:hint="eastAsia" w:ascii="宋体" w:hAnsi="宋体"/>
          <w:sz w:val="24"/>
          <w:szCs w:val="24"/>
        </w:rPr>
        <w:t xml:space="preserve">连云港市市县国资监管一张网项目，构建“</w:t>
      </w:r>
      <w:r>
        <w:rPr>
          <w:rFonts w:ascii="宋体" w:hAnsi="宋体"/>
          <w:sz w:val="24"/>
          <w:szCs w:val="24"/>
        </w:rPr>
        <w:t xml:space="preserve">1+2+3+N”穿透式监管体系，建设数字化平台，融合整合国资委各处室、各区县国资办及市属七个国企集团相关业务和资源，服务国资监管端。企业侧根据各自业务需求进行系统建设、改造、升级，按照国资监管端的数据交换规范进行数据对接，最终形成监管端、企业端的多级联动，实现市县国资监管“一张网”。 其中</w:t>
      </w: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1”个统一监管底座：依托政务云和电子政务外网，建设统一的数据中台</w:t>
      </w:r>
      <w:r>
        <w:rPr>
          <w:rFonts w:hint="eastAsia" w:ascii="宋体" w:hAnsi="宋体"/>
          <w:sz w:val="24"/>
          <w:szCs w:val="24"/>
        </w:rPr>
        <w:t xml:space="preserve">和</w:t>
      </w:r>
      <w:r>
        <w:rPr>
          <w:rFonts w:ascii="宋体" w:hAnsi="宋体"/>
          <w:sz w:val="24"/>
          <w:szCs w:val="24"/>
        </w:rPr>
        <w:t xml:space="preserve">业务中台，作为平台运行的技术支撑。</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2”个端口：包含国资端和国企端，建设自上到下的监管穿透。</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3”类核心能力：</w:t>
      </w:r>
      <w:r>
        <w:rPr>
          <w:rFonts w:hint="eastAsia" w:ascii="宋体" w:hAnsi="宋体"/>
          <w:sz w:val="24"/>
          <w:szCs w:val="24"/>
        </w:rPr>
        <w:t xml:space="preserve">①穿透感知能力：通过银企直连、系统对接、数据上报等方式，实时获取企业经营、财务、人事、投资等关键数据；②智能分析能力：基于大数据与</w:t>
      </w:r>
      <w:r>
        <w:rPr>
          <w:rFonts w:ascii="宋体" w:hAnsi="宋体"/>
          <w:sz w:val="24"/>
          <w:szCs w:val="24"/>
        </w:rPr>
        <w:t xml:space="preserve">AI模型，对异常行为、风险指标进行自动识别与预警；</w:t>
      </w:r>
      <w:r>
        <w:rPr>
          <w:rFonts w:hint="eastAsia" w:ascii="宋体" w:hAnsi="宋体"/>
          <w:sz w:val="24"/>
          <w:szCs w:val="24"/>
        </w:rPr>
        <w:t xml:space="preserve">③闭环管控能力：建立“监测—预警—交办—整改—反馈—评估”全链条监管闭环。</w:t>
      </w:r>
      <w:r/>
    </w:p>
    <w:p>
      <w:pPr>
        <w:ind w:firstLine="480"/>
        <w:spacing w:line="360"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N”个业务监管模块：围绕数据中台、数据治理、</w:t>
      </w:r>
      <w:r>
        <w:rPr>
          <w:rFonts w:hint="eastAsia" w:ascii="宋体" w:hAnsi="宋体"/>
          <w:sz w:val="24"/>
          <w:szCs w:val="24"/>
        </w:rPr>
        <w:t xml:space="preserve">业务中台、A</w:t>
      </w:r>
      <w:r>
        <w:rPr>
          <w:rFonts w:ascii="宋体" w:hAnsi="宋体"/>
          <w:sz w:val="24"/>
          <w:szCs w:val="24"/>
        </w:rPr>
        <w:t xml:space="preserve">I</w:t>
      </w:r>
      <w:r>
        <w:rPr>
          <w:rFonts w:hint="eastAsia" w:ascii="宋体" w:hAnsi="宋体"/>
          <w:sz w:val="24"/>
          <w:szCs w:val="24"/>
        </w:rPr>
        <w:t xml:space="preserve">应用、三</w:t>
      </w:r>
      <w:r>
        <w:rPr>
          <w:rFonts w:ascii="宋体" w:hAnsi="宋体"/>
          <w:sz w:val="24"/>
          <w:szCs w:val="24"/>
        </w:rPr>
        <w:t xml:space="preserve">重一大、财务、司库、人资、预算、投资、招投标、资产、融资、党建等重点领域，构建可扩展、可配置的模块化应用。</w:t>
      </w:r>
      <w:r/>
    </w:p>
    <w:p>
      <w:pPr>
        <w:pStyle w:val="642"/>
        <w:ind w:firstLine="482"/>
        <w:spacing w:before="0" w:after="0" w:line="500" w:lineRule="exact"/>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二、项目实施总体要求</w:t>
      </w:r>
      <w:r/>
    </w:p>
    <w:p>
      <w:pPr>
        <w:pStyle w:val="642"/>
        <w:ind w:firstLine="482"/>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1.服务范围</w:t>
      </w:r>
      <w:r/>
    </w:p>
    <w:p>
      <w:pPr>
        <w:ind w:firstLine="480"/>
        <w:spacing w:line="360" w:lineRule="auto"/>
        <w:rPr>
          <w:rFonts w:asciiTheme="minorEastAsia" w:hAnsiTheme="minorEastAsia"/>
          <w:sz w:val="24"/>
          <w:highlight w:val="none"/>
        </w:rPr>
      </w:pPr>
      <w:r>
        <w:rPr>
          <w:rFonts w:hint="eastAsia" w:asciiTheme="minorEastAsia" w:hAnsiTheme="minorEastAsia"/>
          <w:sz w:val="24"/>
          <w:highlight w:val="none"/>
        </w:rPr>
        <w:t xml:space="preserve">整体依托政务云软</w:t>
      </w:r>
      <w:r>
        <w:rPr>
          <w:rFonts w:hint="eastAsia" w:asciiTheme="minorEastAsia" w:hAnsiTheme="minorEastAsia"/>
          <w:sz w:val="24"/>
          <w:highlight w:val="none"/>
        </w:rPr>
        <w:t xml:space="preserve">硬件基础设施，分层搭建三大中台、业务模块、可视化驾驶舱与AI智能应用体系，底层部署算力、存储、网络、安全等基础资源并配套信创、密码、等保三级安全体系，中台层同步建设集成完整数据中台与全流程数据治理服务，实现全市多源国资数据统一汇聚、标准化建模、全生命周期管控与标准化数据服务，配套统一安全认证、流程引擎、消息中心、API 服务管控的业务中台打通全业务三流闭环，搭建集成大模型、知识图谱、多级预警、专属智能体的AI应用底座提供智能化监管能力；上层落地三重一大、财务、司库、人力、预算、投资、招投标、资产、融资、党建</w:t>
      </w:r>
      <w:r>
        <w:rPr>
          <w:rFonts w:hint="eastAsia" w:asciiTheme="minorEastAsia" w:hAnsiTheme="minorEastAsia"/>
          <w:sz w:val="24"/>
          <w:highlight w:val="none"/>
          <w:lang w:val="en-US" w:eastAsia="zh-CN"/>
        </w:rPr>
        <w:t xml:space="preserve">等</w:t>
      </w:r>
      <w:r>
        <w:rPr>
          <w:rFonts w:hint="eastAsia" w:asciiTheme="minorEastAsia" w:hAnsiTheme="minorEastAsia"/>
          <w:sz w:val="24"/>
          <w:highlight w:val="none"/>
        </w:rPr>
        <w:t xml:space="preserve">标准化国资监管业务模块，覆盖国企经营全生命周期线上刚性管控，同步建设 “一主六专题” 可视化驾驶舱实现全域指标可视化、多层钻取态势分析，同时配套标准规范编制、网络安全改造、项目实施、人员培训、运维保障等全套配套工程，完整覆盖平台开发、数据对接、系统集成、安全合规、落地运营全流程工作。</w:t>
      </w:r>
      <w:r/>
    </w:p>
    <w:p>
      <w:pPr>
        <w:pStyle w:val="642"/>
        <w:ind w:firstLine="482"/>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2.采购需求清单</w:t>
      </w:r>
      <w:r/>
    </w:p>
    <w:tbl>
      <w:tblPr>
        <w:tblStyle w:val="6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6"/>
        <w:gridCol w:w="1620"/>
        <w:gridCol w:w="2310"/>
        <w:gridCol w:w="2235"/>
        <w:gridCol w:w="780"/>
        <w:gridCol w:w="741"/>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建设内容</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设备（系统）名称</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技术规格要求</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单位</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一、软件定制开发</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restart"/>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数据部分</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数据中台</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数据治理服务</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restart"/>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业务中台</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业务中台</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三重一大模块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财务监管模块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人事管理模块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薪酬管理模块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党建模块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招投标管理模块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司库管理模块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融资管理模块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业务考核模块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vMerge w:val="continue"/>
            <w:textDirection w:val="lrTb"/>
            <w:noWrap w:val="false"/>
          </w:tcPr>
          <w:p>
            <w:pPr>
              <w:jc w:val="cente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OA模块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可视化驾驶舱</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驾驶舱</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AI应用</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AI应用模块</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微信公众号</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微信公众号</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详见软件平台功能清单</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二、网络安全设备</w:t>
            </w:r>
            <w:r>
              <w:rPr>
                <w:rFonts w:hint="eastAsia" w:asciiTheme="minorEastAsia" w:hAnsiTheme="minorEastAsia" w:cstheme="minorEastAsia"/>
                <w:b/>
                <w:bCs/>
                <w:i w:val="0"/>
                <w:iCs w:val="0"/>
                <w:color w:val="000000"/>
                <w:sz w:val="24"/>
                <w:szCs w:val="24"/>
                <w:u w:val="none"/>
                <w:lang w:val="en-US" w:eastAsia="zh-CN" w:bidi="ar"/>
              </w:rPr>
              <w:t xml:space="preserve">及软件产品</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日志分析管理系统</w:t>
            </w:r>
            <w:r/>
          </w:p>
        </w:tc>
        <w:tc>
          <w:tcPr>
            <w:shd w:val="clear" w:color="auto" w:fill="ffffff"/>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日志分析管理系统</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cstheme="minorEastAsia"/>
                <w:i w:val="0"/>
                <w:iCs w:val="0"/>
                <w:color w:val="000000"/>
                <w:sz w:val="24"/>
                <w:szCs w:val="24"/>
                <w:u w:val="none"/>
                <w:lang w:val="en-US" w:eastAsia="zh-CN"/>
              </w:rPr>
              <w:t xml:space="preserve">详见技术参数及功能指标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零信任综合网关</w:t>
            </w:r>
            <w:r/>
          </w:p>
        </w:tc>
        <w:tc>
          <w:tcPr>
            <w:shd w:val="clear" w:color="auto" w:fill="ffffff"/>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零信任综合网关</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rPr>
              <w:t xml:space="preserve">详见技术参数及功能指标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rPr>
              <w:t xml:space="preserve">详见技术参数及功能指标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操作系统</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操作系统</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rPr>
              <w:t xml:space="preserve">详见技术参数及功能指标</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套</w:t>
            </w:r>
            <w:r/>
          </w:p>
        </w:tc>
      </w:tr>
      <w:tr>
        <w:trPr>
          <w:trHeight w:val="42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cstheme="minorEastAsia"/>
                <w:b/>
                <w:bCs/>
                <w:i w:val="0"/>
                <w:iCs w:val="0"/>
                <w:color w:val="000000"/>
                <w:sz w:val="24"/>
                <w:szCs w:val="24"/>
                <w:u w:val="none"/>
                <w:lang w:val="en-US" w:eastAsia="zh-CN" w:bidi="ar"/>
              </w:rPr>
              <w:t xml:space="preserve">三、其他服务技术要求</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算力服务（一年）</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算力服务（一年）</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cstheme="minorEastAsia"/>
                <w:i w:val="0"/>
                <w:iCs w:val="0"/>
                <w:color w:val="000000"/>
                <w:sz w:val="24"/>
                <w:szCs w:val="24"/>
                <w:u w:val="none"/>
                <w:lang w:val="en-US" w:eastAsia="zh-CN" w:bidi="ar-SA"/>
              </w:rPr>
              <w:t xml:space="preserve">详见服务技术要求</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90"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0"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135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sz w:val="24"/>
                <w:szCs w:val="24"/>
              </w:rPr>
              <w:t xml:space="preserve">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SA"/>
              </w:rPr>
              <w:t xml:space="preserve">详见服务技术要求</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年</w:t>
            </w:r>
            <w:r/>
          </w:p>
        </w:tc>
      </w:tr>
    </w:tbl>
    <w:p>
      <w:pPr>
        <w:pStyle w:val="642"/>
        <w:ind w:firstLine="482"/>
        <w:spacing w:before="0" w:after="0" w:line="500" w:lineRule="exact"/>
        <w:rPr>
          <w:rFonts w:hint="default"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三、服务技术要求</w:t>
      </w:r>
      <w:r/>
    </w:p>
    <w:p>
      <w:pPr>
        <w:pStyle w:val="642"/>
        <w:ind w:firstLine="482"/>
        <w:spacing w:before="0" w:after="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1.软件平台功能清单</w:t>
      </w:r>
      <w:r/>
    </w:p>
    <w:tbl>
      <w:tblPr>
        <w:tblStyle w:val="64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6"/>
        <w:gridCol w:w="1290"/>
        <w:gridCol w:w="1320"/>
        <w:gridCol w:w="1800"/>
        <w:gridCol w:w="3366"/>
      </w:tblGrid>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系统名称</w:t>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功能模块</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二级功能模块</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bidi="ar"/>
              </w:rPr>
              <w:t xml:space="preserve">功能技术描述</w:t>
            </w:r>
            <w:r/>
          </w:p>
        </w:tc>
      </w:tr>
      <w:tr>
        <w:trPr>
          <w:trHeight w:val="380"/>
        </w:trPr>
        <w:tc>
          <w:tcPr>
            <w:gridSpan w:val="5"/>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数据中台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数据中台</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部门管理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可针对部门进行重命名、调整上级部门、添加子部门、删除等操作。</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可手动新建成员。</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可通过模板批量新建成员。</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导入失败的成员显示具体的失败信息，可下载导入失败列表到本地。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可导出成员列表为excel。</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支持根据账号状态和成员姓名筛选。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支持设置是否允许成员修改姓名。</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支持批量对成员进行调整部门、启用/停用操作。</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支持对单条成员信息进行编辑。</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支持对单条成员设置启停用，停用后该用户将会禁止登录系统。</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支持对单条成员进行删除。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平台角色管理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支持对平台管理员角色进行成员的添加。</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支持导出当前平台管理员角色成员列表。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支持移除当前平台管理员角色成员列表中的某个成员。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租户管理列表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支持对平台管理员角色进行成员的添加。</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支持导出当前平台管理员角色成员列表。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支持移除当前平台管理员角色成员列表中的某个成员。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租户管理列表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支持新增租户，并设置开通的产品和租户所有者。</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支持编辑租户的名称、开通的产品、租户所有者等信息。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支持删除某个租户。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登录验证策略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可设置用户在一段小时/分钟内没有操作，退出当前账号。</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可设置重置账号锁定的时间（分钟）、账号锁定时长（分钟/小时）、锁定前允许的最大登录失败次数。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可设置等登录验证提示，用户登录成功时将通过弹窗的方式显示设置的提示信息。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密码策略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可设置密码至少包含以下字符（大写字母/小写字母/数字/除空格外的特殊符号）、密码最小长度、密码中同一字符连续出现的最大次数、密码不能与历史密码重复次数。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可设置密码过期后，系统强制要求修改密码。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访问控制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可设置允许访问的IP地址或网段。</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可设置禁止访问的IP地址或网段。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自定义登录页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可自由设置登录页的样式。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支持三种样式。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可自定义登录页logo。</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可自定义登录页背景图。</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可设置登录时是否要开启验证码（字符验证/滑块验证/不验证）。</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可设置是否要自动勾选记住密码（勾选/不勾选/隐藏）。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自定义logo</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可自定义系统标题。</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可自定义系统logo。</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成员管理列表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支持根据账号状态和成员姓名筛选。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可邀请平台中已存在的用户加入本租户，并设置该用户的密级和不同产品中的角色。</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可手动新建一个用户并加入本租户，并设置该用户的密级和不同产品中的角色。</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可通过模板批量新建成员并加入本租户。</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导入失败的成员显示具体的失败信息，支可下载导入失败列表。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可设置成员在本租户中的密级。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租户所有者可移交自己的租户所有者角色。</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租户所有者可任命其他成员成为租户管理员。</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可编辑成员信息。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可将某个用户删除。</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可将某个用户从本租户移出。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角色权限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可通过勾选权限点的方式进行本租户内资产管理角色的新增。</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可通过勾选权限点的方式进行本租户内集成开发角色的新增。</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可通过勾选权限点的方式进行本租户内数据服务角色的新增。</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可针对不同产品，编辑角色的名称、描述、权限点等信息。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可删除某个产品中的角色。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数据权限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针对部门主管配置不同的数据权限策略，包括可查看租户内所有数据、可查看本部门的数据、可查看本部门及子部门的数据、可查看本部门/同级部门的数据、可查看本部门及子部门/同级部门及子部门的数据、仅可查看自己的数据。</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针对其他普通成员配置不同的数据权限策略，包括可查看租户内所有数据、可查看本部门的数据、可查看本部门及子部门的数据、可查看本部门/同级部门的数据、可查看本部门及子部门/同级部门及子部门的数据、仅可查看自己的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全局水印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可针对本租户开启或关闭全局水印。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可自定义设置水印内容的字段表达式。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支持引用系统提供的变量和自定义输入内容。</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可设置水印颜色。</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可设置水印密度。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告警通道设置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可通过webhook配置飞书消息通道。</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可通过webhook配置企微消息通道。</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可编辑通道信息。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可删除通道。</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登录日志列表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支持根据用户姓名和登录日期范围筛选。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支持导出登录日志至本地。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支持分页展示登录人、登录时间、登录地、浏览器等信息。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操作日志列表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支持根据用户姓名、登录日期范围和操作类型筛选。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支持导出操作日志至本地。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支持分页展示操作人、操作时间、操作类型、操作详情等信息。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数据源中心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数据源列表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支持根据数据源名称、类型、负责人筛选。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支持新建MySQL类型数据源，并可测试其连通性。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支持新建PostgreSQL类型数据源，并可测试其连通性。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支持新建达梦类型数据源，并可测试其连通性。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支持新建人大金仓类型数据源，并可测试其连通性。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支持新建Oracle类型数据源，并可测试其连通性。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支持新建SQLServer类型数据源，并可测试其连通性。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支持新建Hive类型数据源，并可测试其连通性。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支持新建ClickHouse类型数据源，并可测试其连通性。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支持新建Doris类型数据源，并可测试其连通性。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支持新建HDFS类型数据源，并可测试其连通性。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支持新建FTP类型数据源，并可测试其连通性。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支持新建FTP类型数据源，并可测试其连通性。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支持新建RestAPI类型数据源，并可测试其连通性。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支持新建ElasticSearch类型数据源，并可测试其连通性。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支持新建Kfaka类型数据源，并可测试其连通性。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可编辑数据源信息。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可删除数据源。</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可移交数据源负责人。</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可批量删除数据源。</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可批量移交数据源负责人。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资产大盘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支持以卡片的形式展示已接入的数据源信息，支持选中与调整顺序等功能。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支持以分布环形图、分布列表的形式展示数据归属分布。</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以气泡图形式展示目前数据表的归属目录情况。</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支持以列表的形式展示数据价值排行，支持筛选、排序等功能。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支持展示数据源top10、存储数据表top10、表行数数据表top10等功能。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支持筛选元数据，并以折线图的形式展示元数据变化趋势。</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支持筛选资产，并以折线图的形式展示资产查询趋势。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元数据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支持搜索框、最近查询、资产类型、表来源、人们资产标签、热门资产展示等功能。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支持以列表的形式展示资产信息，提供刷新目录、新增一级目录、新增子目录、重命名、删除、搜索框、筛选、排序等功能。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支持元数据同步任务自动生成、筛选、数据源类型筛选、同步周期筛选、启用、停用等功能。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支持元模型聚合展示、编写元模型等功能。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支持刷新目录、搜索、数据库展示、表搜索、编辑等功能。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模型设计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支持新增分层、编辑分层、删除分层、新增主题域、编辑主题域、删除主题域、刷新目录、搜索、新增主题、编辑主题、删除主题等功能。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刷新目录、搜索、新建维度表/事实表/汇总表、搜索维度表/事实表/汇总表、发布维度表/事实表/汇总表、下线维度表/事实表/汇总表、删除维度表/事实表/汇总表、物化维度表/事实表/汇总表、筛选维度表/事实表/汇总表、排序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刷新目录、搜索、新建原子指标/衍生指标/复合指标、发布原子指标/衍生指标/复合指标、下线原子指标/衍生指标/复合指标、删除原子指标/衍生指标/复合指标、筛选原子指标/衍生指标/复合指标、排序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数据标准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刷新目录、新增一级目录、新增子目录、重命名、搜索、新建标准、导入标准、筛选、排序、编辑、下线、发布、删除、批量下线、批量发布、批量删除、自动绑定字段、落标检查、查看标准详情等功能。支持刷新目录、新增一级目录、新增子目录、重命名、删除、搜索框、新建代码、导入代码、被引用数量、排序、编辑、删除、批量删除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支持时间筛选、数据质量总览、质量问题趋势、表质量问题排行、质量异常占比、规则允许情况等功能。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搜索、添加表监控、表监控筛选、搜索规则、规则筛选、新增规则、编辑规则、复制规则、删除规则、批量删除规则、批量启用、批量停用、开启监控、关闭监控、批量开启监控、批量关闭监控、编辑表监控、删除表监控、批量删除表监控、执行、表质量分析、执行策略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筛选模板、查看引用、字段唯一值模板、字段重复值模板、字段空值模板、字段平均值模板、正则表达式校验模板、邮箱校验模板、IP地址校验模板、电话校验模板、邮编校验模板、日期校验模板、身份证校验模板、字段平均值、字段最大值、字段一致性校验模板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支持生成报告、导出报告、综合质量分环形图、综合质量分折线图、维度质量分、表质量分明细等功能。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数据安全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支持表维度查看列表、批量调整用户密级、分配库全县、分配表权限、编辑库权限、编辑表权限、用户维度查看列表等功能。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支持筛选规则、新增脱敏规则、编辑脱敏规则、删除脱敏规则、批量删除脱敏规则、内置规则等功能。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支持筛选算法、全部遮盖算法、正则遮盖算法、前后遮盖算法、区间保留短发、区间遮盖算法、前后保留算法、数值截断算法、数值翻倍算法、字符截断算法、SHA1算法、SHA 256算法、DES算法、AES算法、SM3算法、RSA算法、ECDSA算法、ECC算法等。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支持新增级别、编辑级别、删除级别、批量删除级别等功能。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支持筛选自动分级规则、添加自动分级规则、自动分级规则执行、停用自动分级规则、编辑自动分级规则、删除自动分级规则、批量启用自动分级规则、批量删除自动分级规则等功能。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支持分级展示、筛选字段、调整级别、批量调整级别、查看历史记录等功能。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集成开发</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集成任务管理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支持刷新目录、新增一级目录、新增子目录、重命名、删除等功能。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支持批量创建同步任务、一键建表等功能。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数据同步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以表单的形式提供基础属性、通道设置、调度配置、任务一来、任务参数、保存任务、运行、停止、提交、重命名、删除任务等功能，支持Mysql、postgresql、达梦、人大金仓、oracle、sqlserver、hive、clickhouse、doris、elasticsearch、api、本地文件读取与写入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以画布的形式提供基础属性、通道设置、调度配置、任务一来、任务参数、保存任务、运行、停止、提交、重命名、删除任务等功能，支持Mysql、postgresql、达梦、人大金仓、oracle、sqlserver、hive、clickhouse、doris、elasticsearch、api、本地文件读取与写入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以脚本的形式提供基础属性、通道设置、调度配置、任务一来、任务参数、保存任务、运行、停止、提交、重命名、删除任务等功能，支持Mysql、postgresql、达梦、人大金仓、oracle、sqlserver、hive、clickhouse、doris、elasticsearch、api、本地文件读取与写入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离线任务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支持基础属性、调度配置、任务依赖、任务参数、保存任务、提交、重命名、删除任务、IDE编辑器等功能。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支持HiveSQL的运行与停止。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支持SQLServer的运行与停止。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支持PostgreSQL的运行与停止。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支持MySQL的运行与停止。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支持达梦的运行与停止。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支持人大金仓的运行与停止。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支持Oracle的运行与停止。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支持Shell的运行与停止。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支持Python的运行与停止。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支持Spark的运行与停止。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支持基础属性、调度配置、任务依赖、任务参数、保存任务、提交、重命名、删除任务、DAG画布等功能。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支持API调用。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支持节点间参数传递、内置参数等功能。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临时查询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支持基础属性、保存临时查询、提交、重命名、删除任务、IDE编辑器等功能。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支持HiveSQL的运行与停止。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支持SQLServer的运行与停止。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支持PostgreSQL的运行与停止。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支持MySQL的运行与停止。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支持达梦的运行与停止。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支持人大金仓的运行与停止。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支持Oracle的运行与停止。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支持Shell的运行与停止。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支持Python的运行与停止。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支持Spark的运行与停止。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运行历史</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可根据关键词搜索。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标记每次运行的结果。</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可查看本次运行的日志，日志支持下载到本地。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资源库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支持新增一级目录、新增子目录、重命名、删除与搜索框功能。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支持JAR类包的上传、替换、删除等功能。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支持py类包的上传、替换、删除等功能。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支持egg类包的上传、替换、删除等功能。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支持zip类包的上传、替换、删除等功能。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函数库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支持新增一级目录、新增子目录、重命名、删除与搜索框功能。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支持sparksql、hivesql、postgresql、mysql、sqlserver系统函数。</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支持sparksql、hivesql、postgresql、mysql、sqlserver自定义函数。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周期任务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支持周期任务筛选、补数据、下线、批量冻结、批量解冻、批量下线、批量补数据、任务查看等功能。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支持周期任务实例筛选、周期任务统计、排序、下线、批量杀实例、批量重跑当前实例、批量重跑当前及下游实例、实例查看等功能。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支持补数据实例筛选、补数据统计、排序、批量杀实例、批量重跑当前实例、批量重跑当前及下游实例、补数据实例查看等功能。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手动任务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支持手动任务筛选、下线、批量下线等功能。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支持手动任务实例筛选、手动任务统计、排序、批量杀实例、批量重跑当前实例、批量重跑当前及下游实例、手动任务实例查看等功能。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全局配置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支持开启/关闭、生效范围、生效方式、使用drop、truncate、create关键字检查、最上层select字段无别名检查、建标语句缺少描述检查、分区表未置顶分区检查、语法检查、关键字检查、不一致检查等功能。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支持允许下载select结果、允许复制select结果、任务查询结果显示最大记录等功能。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支持选择任务。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支持hive、达梦、mysql、postgresql、人大金仓、oracle、sqlserver、Doris等数据源。</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支持添加、编辑、删除等功能。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支持添加、编辑、删除等功能。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统计并展示当前API数量、调度次数、调用数据量、调用方数量、调用失败次数、平均相应时间等信息。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支持按照昨日、今日、最近7日、自定义日期筛选。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曲线图展示消费方数量和流量。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环形图展示活跃、异常、离线、在线等API状态。</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列表展示告警信息。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列表展示近30日接口调用情况排名。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支持新增一级目录、新增子目录、重命名、删除与搜索框功能。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支持服务筛选、上架、下架、编辑、删除服务等功能。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支持展示基本信息、API协议、请求方式、返回类型、超时时间、限流策略、鉴权方式、结果缓存、请求参数、返回参数、返回结果分页、连通测试等功能。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支持展示基本信息、API协议、请求方式、返回类型、超时时间、限流策略、鉴权方式、结果缓存、API路径、连通测试等功能。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支持记录筛选、日志查看等功能。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API安全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支持策略筛选、编辑、删除策略、查看引用、新建限流策略等功能。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支持密钥查看功能。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API市场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支持目录树管理、搜索框、排序、APi详情、API订阅等功能。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支持搜索框、续订等功能。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API告警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支持按照服务名称、调用状态等筛选。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针对已停用的数据服务，可以重新启用。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支持记录并查看每一个接口的异常记录。</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数据治理服务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数据治理服务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数据资源调查服务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数据普查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数据普查内容包括各国企业务情况、数据情况和已建应用系统及数据库建设情况，其中业务情况是涉及部门核心业务的数据资源。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数据资源调查方式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源调查的方法主要有三种，第一是从业务编制入手，通过对各国企业务流程的分析入手，摸清所需和产生的数据资源；第二是从业务技术文档入手进行数据资源编制；第三是从各国企系统入手，可发现许多现成的数据资源，可将与部门核心业务相关的数据资源，按照资源调查表进行编制和填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数据采集汇聚服务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多源数据接入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根据数据来源、格式、更新频率，将国资数据分为结构化数据、非结构化数据、半结构化数据、实时流数据四类，采用差异化接入方式接入。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实时性要求不高的结构化数据对接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采用库表采集实现对实时性要求不高的结构化数据的对接，可以进行全量/增量交换方式。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非结构化数据对接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采用文件采集实现对非结构化数据对接，指数源单位将要推送的文件写入采集节点上的指定文件目录或者指定文件路径。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实时性要求高的结构化数据的对接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用接口采集实现对实时性要求高的结构化数据的对接，采用接口的方式进行数据传输，接口双方均须保障接口可用性，当接口服务不可用时应及时进行告警和维护，数据接收方需要根据数据入库状态反馈相应的状态给接口提供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离线拷贝接入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离线拷贝用于数据量大或不能通过在线传输的方式进行共享的数据的对接。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数据源配置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提供对多种数据源的管理，包括结构化数据源和半结构化、非结构化数据源。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数据探查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字段级探查分析：从数据维度角度进行分析诊断，如枚举值格式、内容和长度异常、空值率、编码是否统一等数据异常问题的诊断；从数据度量角度进行分析诊断，如最大值、最小值、平均值、汇总值、方差、中位数等整体概况，另外像数据单位是否统一，数值范围是否异常，数值精度是否异常等问题诊断。</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表级别探查分析：从全表或跨表角度进行分析，探查记录数等数据整体分布情况、是否存在重复、交叉表数据是否异常等问题诊断。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数据标准服务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统一标准制定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依据国家国资委、江苏省国资委数据标准，结合连云港本地国资监管需求，采用国标先行、省标补充、市标细化的标准制定方法论，构建覆盖数据元、指标、编码、模型、接口五大类统一标准。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标准规范体系完善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划设计的数据标准规范包括《数据资产管理》、《数据标准管理》、《主数据管理》、《元数据管理》、《数据模型管理》、《数据指标管理》、《数据质量管理》、《数据安全管理》、《数据全生命周期管理》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数据标准管理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代码表管理：对于一些使用较为频繁的数据标准，引入了代码表来管理这些数据标准，以便于管理与使用，实现批量修改和删除。</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标准管理:在数据治理过程中，建立常态化的数据标准迭代完善工作机制，对标准进行维护管理，能够维护标准目录以及标准细则信息，规范数据标准格式、命名的准确性。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标准落地适配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先发布统一数据标准，再针对国企现有数据差异，建立标准映射关系，逐步替换非标数据。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标准动态维护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建立“需求收集—评审修订—发布执行—监督检查”的标准动态维护机制，根据国资监管政策调整、业务变化、技术升级，定期修订数据标准，确保标准始终适配业务需求。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数据目录治理服务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目录管理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提供目录编制、目录提交、目录修改、目录删除、版本管理等资源目录管理服务，满足目录全生命周期管理要求。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参照国家和省有关数据代码标准规范进行目录编码，可以进行编码的新增、修改、删除。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标签管理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进行目录标签库的管理，包括新增、修改、删除等。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进行目录的打标，目录可以关联多个标签，实现不同目录间的归类和快捷检索。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目录服务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多维度目录检索服务能够对单位目录、基础目录、主题目录，按照目录名称、目录摘要、开放属性、共享属性等多种组合条件，进行快速目录查询、浏览。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数据处理服务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数据建模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构建统一的数据模型管控体系，采用统一、多系统、基于多团队并行协作的数据模型管理方法，并支持生成完整准确、简洁易懂的数据模型视图，能够对数据模型的创建、设计、管理、比对、分析、展示提供技术支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数据元管理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提供的服务能力包括元模型管理、数据元采集管理、版本管理、数据元分析、数据地图展示等。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数据字典管理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编制和完善数据字典表，持续跟踪数据源数据字典更新，确保数据中台数据源字典准确性。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数据加工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数据抽取：提供批量处理和实时处理两种功能，批量处理使用ETL工具或过程实现准实时（分钟）级别以及周期性（天、周、月）级别的采集处理分发，实时处理可用技术实现实时级别的采集处理分发。</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数据对账：主要是指对上下游数据总账进行核对，核检出差异部分，定位差异原因，进行对应处理，保证上下游数据一致性。数据清洗转换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数据清洗：对原始数据进行规范化的处理，减少数据噪音，消除数据的不一致性，并对某些数据进行加工，从而提高数据的质量；根据数据标准和数据质量稽核结果，确定数据清洗转换规则，开展数据清洗工作。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数据异议处理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数据抽取和质检过程中发现的异议数据，通过异议数据处理系统生成工单，推送到数据源，督促各数据源处理数据异议，对异议数据进行闭环监督跟踪；定期输出各国企对异议数据处理的成效，包括异议数据处理量、平均耗时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常态化更新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日常维护数据资产清单、数据抽取作业、数据稽核规则、数据清洗程序、数据转换任务等，保证数据准确常态化更新。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数据质量管理服务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质量稽核规则配置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制定的数据标准形成数据质量稽核规则，根据数据项特点制定对长度、格式、是否可重复、空值、数据内容等的稽核规则，在数据治理系统配置上述数据质量稽核规则，以便为后续的数据转换、质检做准备工作。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数据质量稽核服务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通过一致性、完整性、及时性、准确性、有效性、和唯一性等6个方面，评估数据是否达到预期设定的质量要求。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数据质量稽核管理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借助现有的数据中台环境进行数据质量监控和数据分析跟踪，每天、每周、每月、每季度进行数据质量评估，及时发现并分析数据质量问题，出具数据质量报告，形成数据质量知识库，提供数据整改反馈流程。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数据质量问题修复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将问题数据及具体问题反馈至数据提供方，由数据提供方对问题数据进行处理，处理后的数据重新进入归集库，重新进行数据质量校验。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数据质量修复任务管理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通过任务监控、任务管理功能模块，实时获取质检任务动态及相应的配置管理参数，确保数据质量管理系统正常运行。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全流程质量管控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贯穿数据接入、清洗、转换、存储、服务的全流程，构建“事前定义规则、事中实时监控、事后整改闭环”的质量管控体系。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数据中心数仓建设</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数仓规划设计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建议数仓采用ODS层（贴源层）、CDM层（公共维度层）、ADS层（应用层）三层架构进行设计。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基础库建设方法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多源异构数据汇聚：通过数据中台集成能力与各国企的投资系统、融资系统、全面预算系统、资产系统、财务系统、司库系统、招投标系统、人事系统、三重一大系统、党建系统建立系统数据对接。</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数据标准化处理：制定本次项目数据标准体系，覆盖了数据元标准（如企业编码、会计科目、资产分类）、代码标准（如国民经济行业分类、融资品种代码）、格式标准（如日期格式、金额单位、编码规则）等多个方面，依据数据标准进行清洗转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分层存储设计：在贴源层保留源系统原始数据，不做业务加工，确保数据可追溯；在标准层对贴源数据进行清洗、标准化、去重后，形成企业、人员、组织、代码等基础数据模型。</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元数据管理：建立业务元数据（数据含义、业务规则）与技术元数据（表结构、字段类型、血缘关系）的集中管理，支撑数据资产目录与血缘分析。</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主数据管理：对“企业、人员、组织、资产”等核心实体建立统一主数据模型，确保“一数一源、一源多用”。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基础库建设内容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企业基础信息库：包括企业统一社会信用代码、名称、产权层级、注册信息、法人代表、主营业务、组织架构、领导人员信息等。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人员基础信息库：包括企业领导班子、中层干部、关键岗位人员、董事监事等基本信息，包含姓名、职务、任职时间、教育背景、履职经历等。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组织机构库：包括市国资委、各区县国资办、市属国企集团及各级子企业的组织架构树、部门设置、岗位编制等。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标准代码库：包括国民经济行业分类、行政区划代码、会计科目体系、融资品种分类、资产分类、预警阈值等。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文件与附件库：内容包括会议纪要、制度文件、合同文本、审计报告、证照扫描件等非结构化数据。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主题库建设方法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域划分：按照国资监管业务职能，将数据划分为“投资、融资、全面预算、资产、财务、司库、招投标、人事、三重一大、党建”等业务主题域，每个主题域独立建模，但通过企业统一社会信用代码、组织编码等主键实现关联。</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维度建模：构建事实表与维度表，事实表是存储业务过程可度量的事件，维度表是存储描述业务过程的维度信息。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指标体系统一管理：明确每个业务指标的名称、口径、计算公式、数据来源、统计周期、责任部门。</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数据整合与模型设计：关联投资、融资、全面预算、资产、财务、司库、招投标、人事、三重一大、党建等各主题数据，构建数据全景视图。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主题库建设内容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“三重一大”主题库：“三重一大”主题库核心内容包括重大决策事项、重要干部任免、重大项目安排、大额资金使用事项的全流程数据（制度、议题、会议纪要、表决结果、督办反馈）等。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财务监管主题库：财务监管主题库核心内容包括资产负债、利润、现金流量、财务快报、成本费用、财务指标（资产负债率、ROE、两金占比）等。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司库资金主题库：司库资金主题库核心内容包括银行账户、资金流水、融资合同、授信额度、担保情况、还本付息计划、资金归集数据等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人力资源主题库：人力资源主题库核心内容包括领导班子信息、干部任免、薪酬总额、编制职数、人员结构、绩效考核、人才梯队等。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投资监管主题库：投资监管主题库核心内容包括投资计划、项目立项、可研报告、决策记录、投资进度、后评价结果、投资效益分析等。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资产监管主题库：资产监管主题库核心内容包括不动产、设备、无形资产台账，资产运营状态、租赁合同、租金收缴、资产处置、资产效能分析等。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融资监管主题库：融资监管主题库核心内容包括融资主体、融资品种、金融机构、授信批复、合同签约、提款还本付息、融资成本、债务结构等。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招投标监管主题库：招投标监管主题库核心内容包括采购计划、供应商库、专家库、招标公告、投标文件、评标记录、中标结果、合同履约等。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预算监管主题库：预算监管主题库核心内容包括年度预算目标、预算编制表、预算执行情况、预算调整记录、预算绩效评价等。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党建监管主题库：党建监管主题库核心内容包括党组织设置、党员信息、三会一课、组织生活会、主题党日、发展党员、党风廉政建设数据等。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专题库建设方法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场景驱动设计：以用户需求为导向，明确专题库的应用场景与输出形态）。</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数据融合与特征工程：整合基础库、主题库、外部数据进行关联分析，并提取关键特征。</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算法模型嵌入：基于历史数据训练阈值模型、回归模型、聚类模型，自动识别异常指标并分级预警，构建企业、领导人员、项目的多维标签，支持快速筛选与对比，利用时间序列分析、机器学习预测企业现金流、债务风险趋势。</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专题服务封装：将专题库数据封装为API或数据产品，供决策系统、预警系统、移动端、第三方应用调用。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专题库建设内容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企业全景画像专题库：主要是以企业统一社会信用代码为核心，融合财务、投资、人事、资产、风险等数据，形成企业“数字画像”。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风险监测预警专题库：主要是构建财务风险、债务风险、投资风险、招投标异常、廉洁风险等模型，输出风险等级、预警信号、处置建议。</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国有资本布局分析专题库：主要是按产业、区域、股权结构等维度分析国有资本分布、投资效益、资产配置效率。</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国资监管动态监测专题库：主要是汇聚“三重一大”、资金异常、投资超概、资产闲置等动态监测指标，实现实时监控与闭环督办。</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党建与经营融合专题库：主要是分析党建工作与企业经营指标的关联性，评估党建促经营成效。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数据资产管理服务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数据资产盘点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提供数据资源摸底及盘点服务，主要从数据资源的数据量、空置率以及类型格式等。数据资产盘点是使用科学的数据盘点方法，以“摸清家底”为目标，对政府的数据资源进行统筹规划，全面梳理。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数据资产评估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提供数据资产质量及价值评估服务，主要从数据资源的规范程度、属性及标准、完整性等维度进行质量评估，从数据服务使用频次维度评估数据价值。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数据资产服务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将共享或开放数据以API接口的形式提供给使用者，使用者无需下载共享或开放数据到本地，通过调用API接口来实现对开放数据的获取。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数据资产影响分析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提供使用共享或开放数据的频率及热度统计服务，根据数据资产使用热度指数分析数据资产的影响力，并提供数据资产影响力排名。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数据资产检索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通过共享开放功能进行数据资产检索，支持以关键字、数据所属领域等维度进行查询。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数据共享服务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数据供需对接服务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能够为各类业务场景提供数据共享服务，涵盖了数据需求提出、数据需求分析、数据需求分发、数据需求确认的全生命周期。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共享数据源管理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共享数据源管理：主要分为共享源数据源和共享目标数据源，实现创建和管理数据的数据源的功能，共享数据源可以根据数据源名称进行过滤查询。</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共享数据作业管理：对作业进行一些类的操作和监控，作业管理对作业的操作包括增删改查、启用停用、启动等。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共享数据表管理：对目标表的管理，包括列表查询、详情、表结构、预览数据等。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共享数据源分类：创建数据源的可选分类，用在创建数据源第一步的时候，选择不同的分类。</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交换元数据管理：包括主题管理（用来对任务进行分类管理）、任务管理（按照一定的业务逻辑进行任务映射）、调度管理（用于管理展示所有的任务调度）。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数据开发服务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根据实际共享需求进行规范化数据模型设计，提供跨单位、跨区域的数据进行比对、整合、汇总、统计等数据开发服务，促进数据供需高效对接。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数据接口与服务发布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推动数据资产的共享和协作，为业务可视化、分析、决策等数据消费提供数据服务，促进数据资产的价值与变现能力的提升。</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业务中台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业务中台统一门户</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门户首页</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分角色工作台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国资委领导/国资委审核人员/国企业务填报/国企审核人员：分角色展示国资委领导、国资委审核人员、国企业务填报人员、国企审核人员等个性化工作台展示。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样式自定义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样式自定义：自定义登录页面与平台 Logo、门户名称、顶部/侧边菜单风格等品牌展示项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全局工具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顶栏工具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偏好设置：顶栏齿轮按钮，打开偏好设置抽屉，可调整主题、布局、导航、页签、快捷键等个人使用偏好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消息通知：展示未读站内消息数量；点击可预览、标记已读并跳转消息详情。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待办通知：顶栏待办通知，展示各业务系统中的待办信息。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用户下拉菜单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账号切换：在已授权账号间切换登录；同租户免密，跨租户需验证当前账号密码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个人配置：进入个人中心维护基本资料、密码及权限信息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退出登录：安全退出当前会话并返回登录页，清除本地登录态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应用导航</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多应用导航</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多应用导航：登录后通过应用导航在已授权子应用间一键切换，共享统一身份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业务监管系统对接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“三重一大”决策监管系统：系统权限划分与集成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财务管理系统：系统权限划分与集成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人力资源监管系统：系统权限划分与集成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党建监管系统：系统权限划分与集成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招投标监管系统：系统权限划分与集成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投资全生命周期监管系统：系统权限划分与集成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司库穿透监管模块：系统权限划分与集成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全面预算监管系统：系统权限划分与集成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融资监管系统：系统权限划分与集成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合同台账：系统权限划分与集成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用户待办</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用户待办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待办列表：分页列表展示待办任务，含事项名称、任务分类、来源及期限、状态、接收时间、操作入口，数据按当前管理域和角色权限展示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待办处理：对待办进行查看详情、去审批、去处理，点击直接跳转对应业务系统。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统一安全认证</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统一用户管理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租户管理列表：支持以列表形式对租户信息进行管理和查询。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资源分配查询：查看租户当前已分配的应用、Web端菜单及角色资源明细。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租户权限分配：支持给对应租户分配角色、应用和菜单。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租户字典分配：支持给对应租户分配字典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租户账号管理：支持给对应租户的账号进行查看、新增、导入导出等操作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租户操作日志：查看租户资源追加、撤回、覆盖等历史操作及操作人审计信息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追加分配：在租户已有资源基础上追加应用、菜单或角色，不影响既有授权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撤回分配：撤回已分配给租户的指定应用、菜单或角色，即时收紧权限范围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租户管理与维护：支持对租户进行新增、编辑、删除、启用/停用等操作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组织机构管理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组织列表信息：汇聚组织数据，展示组织机构，支持按组织名称、组织状态多维筛选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查看成员：支持查看对应组织下的人员信息。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组织管理与维护：提供新增、编辑、删除、启用/禁用状态等控制组织单条维护能力，以及导入、导出、扩展属性管理等批量维护能力，覆盖组织全生命周期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岗位管理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岗位列表信息：支持按组织树切换机构、岗位名称筛选，列表展示岗位名称、机构、创建时间等信息，行级提供编辑、删除入口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岗位管理与维护：提供岗位新增、编辑、删除、扩展属性管理，支撑各机构岗位全生命周期管理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用户列表信息：支持以列表形式对用户信息进行管理和查询。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用户管理与维护：提供用户新增、编辑、删除及导入、导出、扩展属性管理，支撑用户全生命周期管理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工作交接：当用户离职、调岗或长期休假时，可通过“工作交接”将该用户绑定的账号工作整体移交给其他用户。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账号列表信息：支持以列表形式对账号信息进行管理和查询。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账号管理与维护：提供账号新增、编辑、删除、启用/禁用、绑定状态、重置密码控制，支撑账号全生命周期管理。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身份接入与同步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身份接入列表：分页展示存量监管系统的身份接入记录，包含业务应用/厂商、角色、账号、菜单等数据同步信息。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新增身份接入：从已注册且已启用的应用范围选择逻辑应用与实例，新增身份接入。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同步记录：展示数据同步记录。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统一认证管理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认证策略管理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认证策略管理列表：支持以列表形式对用户认证策略进行管理和查询。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用户名密码策略：可设置密码的错误锁定次数、锁定时长、允许记住的登录状态时间等。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IP黑白名单：支持对系统访问进行黑白名单设置。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多因素认证：支持对系统访问进行多因素认证设置。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认证策略管理与维护：支持对认证策略进行新增、编辑、启用/停用等操作。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单点登录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SSO认证：支持各个接入的应用进行单点登录对接。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统一权限管理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应用菜单管理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应用管理列表：支持以列表形式对新增的应用进行管理和查询。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新增应用：新增逻辑应用主档，维护应用名称、编码、类型、图标、认证接入方式等基础信息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菜单配置：支持对应用下进行多层级菜单配置。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实例管理：支持对应用下的实例进行新增、编辑、连接测试、删除等操作。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应用管理与维护：支持对应用进行新增、编辑、菜单配置、实例管理、启用/停用、删除等操作。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角色列表信息：支持对系统角色进行列表管理和维护，列表展示角色信息、编码、类型、成员数、菜单绑定等信息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新增角色：支持新增角色，确定角色的应用菜单和组织绑定关系。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角色成员：支持设置角色账号的绑定关系。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数据权限：支持设置角色的数据权限，数据权限包含当前账号、当前账号主组织、当前账号主组织及下级组织等选项。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角色管理与维护：提供角色新增、编辑、删除、成员/菜单/权限绑定等操作，支撑角色全生命周期管理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统一审计管理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在线用户管理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在线用户查询：实时查看当前在线会话，支持按用户/IP 检索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强制下线：对指定在线会话执行强制下线操作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登录日志：按账号、IP、设备、登录类型与结果检索登录审计记录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操作日志：按操作人、模块、时间检索业务操作日志，支持查看请求详情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字典管理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基础字典：维护标准键值对字典，支持字典分类、字典项增删改查、排序及启用停用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树形字典：维护父子层级字典结构，适用于行政区划、组织分类等多级枚举数据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自定义字典：按业务自定义字段结构维护字典，灵活适配非标准键值场景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SQL字典：通过配置 SQL 语句从业务库动态拉取字典项，支持预览与同步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登录页模板管理：维护多套登录页模板，支持预览、复制与启用切换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登录参数配置：配置登录页布局、验证码开关、初始密码策略等登录相关参数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基础配置：配置门户名称、Logo、水印、版权信息、顶部/侧边菜单样式等品牌与展示项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密码强弱配置：设置密码长度、复杂度、有效期、历史密码限制等账号安全策略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脱敏配置：按手机号、身份证、邮箱、银行卡等类型配置列表与详情脱敏规则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超级管理员配置：指定系统超级管理员账号，控制最高权限范围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服务能力管控</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数据服务概览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数据服务概览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数据服务概览：统计并展示当前API数量、调度次数、调用数据量、调用方数量、调用失败次数、平均相应时间等信息。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数据服务目录树管理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新增一级目录：可新增一级目录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新增子目录：可选择某一目录新增子目录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重命名：可重命名目录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删除：可删除目录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搜索框：支持按照服务名称等搜索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服务列表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服务筛选：支持按照接口名、接口状态、创建时间等筛选服务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上架：针对未上架的服务可进行上架，上架后，可在API市场订阅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下架：针对已上架的服务可进行下架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编辑：可编辑数据服务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删除服务：针对未上架的服务可进行删除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新建向导模式API</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基本信息：可编辑API的基本信息，包括名称、所属类目、路径、标签、描述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API路径可由系统自动生成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API协议：可选择API协议，支持HTTP和HTTPS</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请求方式：可选择请求方式，支持GET和POST</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返回类型：支持JSON</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超时时间：可配置API响应超时时间，支持秒、分、小时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限流策略：可选择限流策略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鉴权方式：可选择鉴权方式，支持AppKey+Secrect和Token</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结果缓存：可选择开启结果缓存，支持设置结果缓存的时间，支持秒、分、小时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请求参数：可配置参数名称、参数类型、说明、参数位置、运算符、默认值、是否必填等信息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返回参数：可配置参数名称、数据预览、说明等信息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返回结果分页：支持开启返回结果分页，可配置每页的条数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连通测试：可输入请求参数模拟API调用结果，可查看调用后返回信息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新建注册API</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基本信息：可编辑API的基本信息，包括名称、所属类目、路径、标签、描述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API路径可由系统自动生成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API协议：可选择API协议，支持HTTP和HTTPS</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请求方式：可选择请求方式，支持GET和POST</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返回类型：支持JSON</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超时时间：可配置API响应超时时间，支持秒、分、小时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限流策略：可选择限流策略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鉴权方式：可选择鉴权方式，支持AppKey+Secrect和Token</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结果缓存：可选择开启结果缓存，支持设置结果缓存的时间，支持秒、分、小时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API路径：可配置API的来源路径、请求方式、默认请求头、认证方式、请求参数和返回参数等信息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连通测试：可输入请求参数模拟API调用结果，可查看调用后返回信息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调用记录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记录筛选：支持按照调用方、调用结果、调度数据等筛选记录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日志：记录接口的每一次调用记录，并可查看每一次调用的详细日志信息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API安全</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限流策略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策略筛选：支持按照策略名、策略状态等筛选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编辑：可编辑限流策略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删除策略：可删除限流策略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查看引用：可查看限流策略被引用的列表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新建限流策略：可设置调度次数限制、调用频率限制、响应时间限制、最大并发数限制，并可配置处理措施，支持仅告警、停用和熔断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秘钥管理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秘钥查看：可查看当前用户的AK&amp;SK、username&amp;password、token等信息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API市场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目录树管理：支持新增一级目录、新增子目录、重命名、删除等操作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搜索框：支持按照服务名称等搜索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排序：支持按照调用量、申请量、更新时间、发布时间排序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API详情：支持查看API的详情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API订阅：支持订阅API，可选择订阅的开始时间和结束时间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我的订阅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搜索框：支持按照服务名称等搜索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续订：支持续订API，可选择订阅的开始时间和结束时间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API告警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告警信息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筛选：支持按照服务名称、调用状态等筛选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重新启用：针对已停用的数据服务，可以重新启用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异常记录：支持记录并查看每一个接口的异常记录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流程引擎服务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表单配置管理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表单模板列表：分页展示表单模板，包含表单名称/编码、业务领域、表单类型、版本、关联流程、状态、更新时间等字段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新增表单：新增空白表单或基于模板创建表单，进入表单设计器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表单管理与维护：对表单进行预览、详情、设计/编辑、发布、新建版本、引用详情、停用/重新启用、删除等操作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表单类型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普通表单：独立表单，不绑定流程，用于数据采集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流程表单：绑定流程的表单，审批时填写，支持字段权限控制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路由表单：外部表单，通过 URL 路由到外部页面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表单设计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表单基本信息：配置表单名称、编码、分类、业务领域等信息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基础组件配置：拖拽式配置基础组件（文本输入、多行文本、单选、多选等）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组织组件配置：拖拽式配置组织相关组件（组织选择、人员选择、岗位选择等）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业务组件配置：拖拽式配置业务专用组件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字段属性设置：设置字段名称、编码、默认值、占位提示、数据类型等属性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样式配置：配置表单布局、列数、标签对齐、组件样式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发布配置：配置表单的发布版本、生效时间、使用范围等信息。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流程设计管理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流程定义列表：分页展示流程定义，包含流程名称/编码、业务领域、监管对象、触发方式、当前版本、发布状态、更新时间等字段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新增流程定义：新增跨系统监管流程定义，配置名称、编码、业务领域、监管对象、触发方式等基础信息，进入流程设计器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流程编辑：编辑流程定义与流程新版本</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流程设计：BPMN 可视化流程设计器，支持节点编排、条件分支与 AI 辅助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流程发布：发布流程定义到运行环境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流程复制：复制流程定义作为新版本或新流程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流程停用/启用：停用或启用流程定义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流程删除：删除未发布或已停用的流程定义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流程筛选：按流程名称/编码、业务领域、发布状态筛选；顶部展示流程定义、已发布、草稿、已停用统计指标卡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版本管理：管理流程定义版本，支持版本对比与回滚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流程节点类型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发起人：配置可发起人员/部门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审批人：审批节点，配置审批对象与审批方式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办理人：办理节点，配置办理对象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抄送人：抄送节点，知会相关人员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条件分支：条件网关，按条件路由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并行分支：并行网关，多分支并行执行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包容分支：包容网关，满足条件的分支并行执行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触发器：触发外部动作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开始事件：标识流程入口，每个流程有且仅有一个起始节点。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结束事件：标识流程终止，流程执行至此处即结束。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泳道：按角色或部门对流程节点进行分组与归属划分。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用户任务：由人工处理完成的任务节点（如审批、填报）。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服务任务：由系统自动调用后端服务或接口完成的任务。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调用任务：调用并执行外部任务系统中的异步任务。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调用流程：调用并触发其他已定义流程的执行。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扩展流程：在当前节点挂载可扩展的子流程逻辑。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延迟等待：延时节点，使流程暂停等待指定时长或条件触发后继续。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审批人节点配置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单人审批方式：配置审批对象，指定人员、发起人自选、由其他节点指定、发起人自己、部门主管、系统角色等多种审批对象。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多人审批方式：选择审批方式，多人依次审批、同时审批、任一人审批即可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审批判断配置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审批人为空：自动通过 / 自动驳回 / 转交管理员 / 转交指定人员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驳回规则：驳回到结束 / 指定节点 / 上一节点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操作权限：同意、拒绝、转交、后加签、退回等操作权限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表单权限：配置表达字段的只读、可编辑、隐藏等功能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监听器：节点事件监听</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流程事件监听</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30363f"/>
                <w:sz w:val="24"/>
                <w:szCs w:val="24"/>
                <w:u w:val="none"/>
              </w:rPr>
              <w:suppressLineNumbers w:val="0"/>
            </w:pPr>
            <w:r>
              <w:rPr>
                <w:rFonts w:hint="eastAsia" w:asciiTheme="minorEastAsia" w:hAnsiTheme="minorEastAsia" w:eastAsiaTheme="minorEastAsia" w:cstheme="minorEastAsia"/>
                <w:i w:val="0"/>
                <w:iCs w:val="0"/>
                <w:color w:val="30363f"/>
                <w:sz w:val="24"/>
                <w:szCs w:val="24"/>
                <w:u w:val="none"/>
                <w:lang w:val="en-US" w:eastAsia="zh-CN" w:bidi="ar"/>
              </w:rPr>
              <w:t xml:space="preserve">流程事件监听：支持在流程启动成功、审批通过、被驳回、被撤销时触发动作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流程画布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流程画布操作：支持缩放、拖拽平移、节点拖拽、节点连接等操作。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节点类型与配置：配置各类事件、活动、网关节点，可拖拉拽进画布。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节点基本属性：配置节点的唯一标识、名称、处置人规则等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节点异常处理：配置失败、超时、告警等信息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流程实例管理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流程实例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流程实例查询：统一查看运行中的流程实例，支持按编号/业务对象、流程类型、状态筛选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流程实例详情：查看实例编号、流程名称、监管对象、当前节点、状态、启动时间等详情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流程实例挂起：对运行中的流程实例执行挂起操作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流程实例终止：对运行中的流程实例执行终止操作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任务实例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任务实例查询：统一查看不同状态的任务实例，可进行详情、执行日志、重试等操作。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任务实例详情：查看任务基本信息、任务执行记录。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重试：对执行失败的任务实例进行重试操作。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执行轨迹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执行轨迹查看：查看单个流程实例的执行轨迹与流转路径，回溯各节点处理记录与状态变化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流程干预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流程干预操作：对运行中的流程实例进行受控干预，支持重试、转人工、终止等操作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异常处理与监控</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异常处理与监控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异常统计指标：实时监控技术异常，顶部展示今日异常、自动恢复、处理中、待人工处理统计指标卡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异常实例列表：支持筛选和管理异常实例列表。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异常详情：查看异常名称/编号、流程、异常节点、异常类型、重试次数、状态、发生时间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重试：匹配异常策略并完成自动重试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人工处理：对异常执行人工处理及流程恢复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异常策略管理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异常策略管理：对异常策略进行配置和管理，包含接口超时重试、规则服务异常处理等策略。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统一消息中心</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消息概览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消息概览：可视化展示消息发送总量、成功率、各渠道占比、待处理异常等核心指标；支持按管理域查看消息送达与阅读状态汇总。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收件箱</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收件箱</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收件箱列表：分页展示催办、审批结果、系统运行和普通通知公告等接收消息，含标题/编号、类型、来源、优先级、渠道、接收时间、状态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消息详情：查看消息详情、标记已读、确认已阅，并跳转关联任务或公告详情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全部标记已读：一键将收件箱全部未读消息标记为已读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消息发布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消息发布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通知公告列表：分页展示普通通知公告，含标题/编号、公告类型、状态、通知范围、创建人、创建时间等字段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新增通知公告：多步新增通知公告，维护基本信息、内容与范围、推送渠道与发布计划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发布管理：对公告进行提交审核、审核、发布、撤回、复制、删除、导出等操作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消息模板</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消息模板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模板管理列表：展示多渠道模板卡片，含类型、状态、编码、渠道、描述、变量、版本及预览/编辑/使用操作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模板操作管理：多步维护模板基本信息、来源与事件、站内/短信/邮件多渠道内容、变量校验与启用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消息接入配置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消息接入配置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接入概览：顶部指标卡展示消息来源、已登记事件、运行正常、接入异常数量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接入配置列表：分页展示消息来源接入，含来源/编码、服务实例、允许消息类型、接入方式、状态、最近接收、健康状态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接入配置管理：多步配置来源与实例、接入认证、事件能力、去重键、限流与回执方式，支持接入测试与启停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路由规则</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路由规则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路由规则列表：分页展示路由规则，含规则名称/编码、消息来源、事件主题、类型、接收人规则、模板、渠道策略、状态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路由规则管理：多步维护来源与事件、触发条件与接收人、模板与渠道、防打扰与重试策略，支持模拟与启停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发送记录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发送记录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发送记录列表：按消息—接收人—渠道生成发送明细，含发送编号、消息标题/类型/来源、接收人、渠道、状态、请求/送达/阅读时间、重试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记录详情与重试：查看发送与回执轨迹详情，对失败消息立即重试，支持导出发送记录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异常与重试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异常与重试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异常实例列表：分页展示异常实例，含异常编号、消息标题、渠道、接收人、失败原因、重试次数、下次重试、状态、发生时间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异常处理：查看异常详情，立即重试、人工处理或忽略，并配置退避重试与降级策略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渠道管理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邮箱渠道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邮箱渠道列表：分页展示 SMTP 邮件渠道，含渠道名称/编码、SMTP地址、发件人、加密方式、状态、健康状态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新增/编辑邮箱渠道：维护 SMTP 地址、发件人、加密方式等凭证，支持编辑、连接测试、启停与删除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短信渠道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短信渠道列表：分页展示短信渠道，含渠道名称/编码、服务商、短信签名、用途、状态、健康状态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新增/编辑短信渠道：维护服务商、短信签名等渠道参数，支持编辑、连接测试、启停与删除</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三重一大模块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企业端Web后台</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统计卡片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首页展示事项总数、议题总数、会议总数、本月新增等关键统计指标卡片，直观反映当前业务态势。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待办事项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汇聚当前用户待处理的审批、待办、预警事项，按优先级（高优先/中优先/普通/待签批）分类展示，支持一键跳转处理。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快捷入口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提供新增议题、发起会议、签批流程配置、AI合规审查等常用操作的快速访问入口卡片。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数据看板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事项类别分布柱状图、会议类型分布饼图、近期会议安排列表、会议趋势折线图等可视化图表。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事项清单库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新增重大决策/重大项目安排/重要人事任免/大额资金运作四类事项，填写事项基本信息（事项名称、事项类别、涉及金额、负责部门、联系人等），上传相关附件材料。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事项清单库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事项编辑/查看/删除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支持对已有事项进行编辑修改、详情查看（含事项基本信息、附件材料、关联议题、签批记录）和删除操作。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事项清单库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批量导入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通过Excel模板批量导入事项数据，支持模板下载、数据校验、导入结果反馈，提升录入效率。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事项清单库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事项筛选/搜索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按事项类别、状态、日期范围、涉及金额等条件进行多维度筛选，支持关键词全文搜索，结果列表分页展示。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议题台账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议题新增/编辑/查看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创建议题并关联事项，填写议题名称、议题类别、汇报人、汇报部门、议题摘要等信息，支持编辑议题详情、查看完整信息。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议题台账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议题筛选/搜索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按企业、类别、日期、状态等多维度筛选议题，支持关键词搜索，列表展示议题名称、类别、汇报人、关联会议、状态等字段。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发起会议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创建五类决策会议（党委会、股东会、董事会、总经理办公会、职代会），填写会议名称、会议类型、时间地点、关联议题、参会人员等信息。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修改已创建会议的基本信息、议题安排、参会人员、会议时间地点等，支持会议状态的流转管理。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会议列表/详情查看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查看会议列表（含会议名称、类型、时间、状态、议题数等），进入会议详情查看主要信息、议题信息、参会人员、决议纪要材料等。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参会人员管理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管理各场会议的参会人员名单，支持添加、移除参会人员，设置参会角色（主持人、汇报人、列席人等）。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会议纪要上传</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会议结束后上传正式会议纪要文件，支持公文样式展示，记录纪要文号、签发日期等信息。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会议纪要查看/打印/导出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查看公文样式纪要正文、签批流程图、签批记录，支持打印和导出PDF，留存归档。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AI综合分析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AI综合分析总览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汇总AI预审结果总览，展示合规、材料、时效三道关口的整体情况，提供风险等级分布、待处理问题数量、预审通过率等核心指标。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AI合规核验</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AI合规核验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自动比对合规规则，判断事项流程是否符合制度要求，检测程序时序倒置、审批环节缺失、上会条件不满足等问题，自动引用制度条款，输出风险提示和风险评分。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AI合规核验</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AI材料核验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检查必备材料是否完整、附件内容是否可识别、多份材料间关键数据是否一致（如申报金额、招标文件金额、合同金额差异自动标红），输出缺失材料清单和数据差异提示。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AI时效预警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AI时效预警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预测当前事项是否存在审批逾期风险，提前识别堵点环节，给出时效预测和逾期风险等级，展示各环节预计耗时和实际耗时对比。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AI分析报告</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AI分析报告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自动生成AI预审分析报告，汇总合规、材料、时效等各方面审查结论，支持报告查看、预审记录查看、批次详情查看。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AI问题清单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AI问题清单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展示AI预审待处理问题清单和监管通知，按问题类型（合规/材料/时效）和风险等级分类，支持逐项查看详情、处理和回复。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AI问题清单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AI合规待确认详情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查看AI发现的具体合规问题详情，包括问题描述、风险等级、涉及制度条款、关联事项，支持确认/驳回/补充材料等操作。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签批流程</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四类事项签批流程配置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为重大决策、重大项目安排、重要人事任免、大额资金运作四类事项分别配置独立的签批流程。示例流程：填报人提交→部门负责人审核→分管领导审批→党委会审议→主要领导签批→归档。共支持6个签批节点灵活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系统管理-用户与权限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用户与权限管理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管理系统用户账号（新增/编辑/禁用/删除）、角色分配、权限控制，支持按角色配置菜单权限和数据权限。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系统管理-业务配置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配置系统业务参数、签批流程规则设置、事项类别映射、会议类型配置等业务规则。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系统管理-数据字典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数据字典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管理系统中的各类数据字典，如事项类别、会议类型、议题状态、签批节点等字典项的新增、编辑和删除。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系统管理-操作日志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操作日志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记录系统操作日志（操作人、操作时间、操作类型、操作内容、IP地址），支持按时间和操作人筛选，支持审计追踪。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平板无纸化会议端</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用户登录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用户名/密码登录，支持记住密码功能，登录后进入会议主页。系统标题展示「交控集团无纸化会议系统」。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会议主页</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会议主页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展示「待开会议」和「历史会议」两个Tab页，以卡片形式展示会议名称、时间、地点、状态等信息，快速进入对应会议。历史会议Tab有新消息时显示红点提醒。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通知消息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通知消息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接收会议通知、系统消息、状态变更提醒等，以列表形式展示通知内容和时间，支持已读/未读状态管理。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会议详情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查看会议方案、会议材料、我的笔记、会议纪要四个模块卡片，展示会议标题、时间地点等基本信息。纪要模块有待签批时显示徽标提示。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会议材料</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会议材料查阅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在线查阅本次会议相关材料文件，支持按材料分类浏览，展示材料名称、格式、大小等信息。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会议材料</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PDF材料查看与批注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打开PDF格式材料，支持缩略图导航、全文搜索、页码跳转，支持在线批注（高亮、文字标注等），批注可保存和下载。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我的笔记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我的笔记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参会人员在会议过程中记录个人笔记，支持富文本编辑和保存，笔记与会议关联，可随时查看历史笔记。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会议纪要</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会议纪要查看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查看管理员上传的正式会议纪要内容，以公文样式展示，包含纪要文号、签发日期、正文内容等。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电子签批</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电子签批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参会领导对会议纪要进行在线电子签批，支持手写签名板（签名绘制、清除、保存）、签批意见填写，系统自动归档留痕，展示已签批人员列表和签批记录。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分类列表</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分类会议列表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按会议类型（党委会/股东会/董事会/总经理办公会/职代会）分类查看全部会议记录，左侧分类侧边栏筛选，右侧展示对应会议卡片列表。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个人信息管理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查看和管理当前登录用户的个人信息，包括姓名、部门、职务、联系方式等，支持退出登录。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会议方案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会议方案查看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查看本次会议的方案信息，包括会议议程安排、议题顺序、时间分配、参会人员名单等会前准备内容。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b/>
                <w:bCs/>
                <w:i w:val="0"/>
                <w:iCs w:val="0"/>
                <w:color w:val="000000"/>
                <w:sz w:val="24"/>
                <w:szCs w:val="24"/>
                <w:u w:val="none"/>
              </w:rPr>
              <w:suppressLineNumbers w:val="0"/>
            </w:pPr>
            <w:r>
              <w:rPr>
                <w:rFonts w:hint="eastAsia" w:asciiTheme="minorEastAsia" w:hAnsiTheme="minorEastAsia" w:eastAsiaTheme="minorEastAsia" w:cstheme="minorEastAsia"/>
                <w:b w:val="0"/>
                <w:bCs w:val="0"/>
                <w:i w:val="0"/>
                <w:iCs w:val="0"/>
                <w:color w:val="000000"/>
                <w:sz w:val="24"/>
                <w:szCs w:val="24"/>
                <w:u w:val="none"/>
                <w:lang w:val="en-US" w:eastAsia="zh-CN" w:bidi="ar"/>
              </w:rPr>
              <w:t xml:space="preserve">国资委监管端Web后台</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监管仪表盘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展示议题总数、会议总数、涉及部门等统计指标；所有企业会议状态图、企业议题类型分布图、会议趋势折线图、处理周期统计等多维度可视化图表。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企业对比分析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12家监管企业的横向对比分析表，展示各企业三重一大事项数量、会议次数、合规率、逾期率等执行情况，支持排序和筛选。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近期动态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展示近期全辖区议题提交、会议召开、纪要上传等动态信息流，支持按企业、类型、时间筛选。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穿透式监管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通过左侧组织树面板（国资委→集团→子公司三级架构）切换监管企业，支持搜索、全选、清空，穿透到单个企业查看详细数据。覆盖城控集团、港口集团、交控集团等12家监管企业。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议题台账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全辖区议题台账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查看全辖区所有企业的议题台账（只读），展示议题名称、企业、类别、汇报人、关联会议、状态等字段，支持按企业、类别、日期等条件筛选和搜索。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会议台账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全辖区会议台账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查看全辖区所有企业的会议台账（只读），展示会议名称、企业、类型、时间、议题数、状态等字段，支持多维度筛选和搜索，点击可查看会议详情。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会议详情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会议详情/纪要查看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监管端只读查看会议详情（主要信息、议题信息、参会人员）和会议纪要正文内容，支持查看纪要文号、签发日期、签批记录等。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AI分析总览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AI分析总览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AI智能分析总览页，汇总合规、材料、时效、风险四维分析结果，展示整体风险态势、问题分布、企业排名等核心指标，支持按企业穿透查看。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AI合规分析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AI合规分析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从全辖区、多企业角度分析事项合规性，发现整体合规风险态势，横向对比各企业合规水平，展示合规问题分布、违规类型统计、制度条款引用等。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AI材料分析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AI材料分析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分析全辖区企业材料完整性、数据一致性，识别材料层面的共性问题（如缺失材料类型分布、金额差异频次等），支持按企业、事项类别下钻分析。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AI时效分析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AI时效分析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分析各企业事项审批时效，展示平均处理周期、逾期趋势、堵点环节分布，识别时效风险企业和逾期高发环节，提供时效预警。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AI风险研判</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AI风险研判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排名和趋势研判，风险排行分析，发现重点风险企业和重点风险事项，展示风险评分分布、风险等级趋势变化、高风险事项清单等。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分析报告</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AI分析报告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自动汇总形成监管分析报告，支持报告生成、分析记录查看、批次详情查看、报告导出，记录每次AI分析的批次、时间、范围和结论。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AI问题清单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AI问题清单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展示AI合规待确认问题清单，按问题类型（合规/材料/时效/风险）和风险等级（高/中/低）分类，支持逐项查看和处理，形成监管闭环。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AI问题清单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AI问题详情处理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查看AI发现的具体问题详情（问题描述、风险等级、涉及企业、涉及事项、发现时间、制度依据），支持确认/驳回/下发整改通知等操作，记录处理结果。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分析记录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分析记录与批次详情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查看历次AI分析执行记录，包括分析批次名称、时间、范围、结论摘要，支持进入批次详情查看完整分析结果，支持导出分析结果。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系统管理-制度规则库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制度规则库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管理三重一大相关制度文件和合规规则库，支持制度文件上传、规则条目录入、规则启用/停用，为AI合规分析提供规则依据。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系统管理-AI分析配置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AI分析配置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配置AI分析引擎参数、分析维度（合规/材料/时效/风险）、预警阈值（逾期天数、风险评分等）、分析周期等。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系统管理-用户与权限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用户与权限管理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管理监管端用户账号、角色和权限，支持按监管范围（企业/部门）配置数据访问权限。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系统管理-数据源管理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数据源管理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管理接入的监管企业数据源配置，包括企业信息维护、数据对接方式配置、数据同步状态监控等。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系统管理-数据字典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数据字典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管理监管端数据字典项，包括企业分类、事项类型、风险等级、问题类型等字典维护。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系统管理-操作日志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操作日志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记录监管端操作日志（操作人、操作时间、操作类型、操作内容），支持按时间和操作人筛选，支持审计追踪。</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财务监管模块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财务监管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余额银企对账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余额银企对账经办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招行余额银企对账经办：通过CBS发起招行余额银企对账经办，支持余额相符/调节相符/余额不符三种核对状态，单笔和批量经办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农行余额银企对账经办：通过农行直联接口查回未对账对账单并发起经办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浦发银行余额银企对账经办：通过浦发银行直联接口发起余额银企对账经办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光大银行余额银企对账经办：通过光大银行直联接口发起余额银企对账经办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建设银行余额银企对账经办：通过建设银行直联接口发起余额银企对账经办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民生银行余额银企对账经办：通过民生银行直联接口发起余额银企对账经办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余额银企对账业务查询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余额银企对账业务查询：查询已提交对账数据的流程状态和详情，支持刷新业务状态和导出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余额银企对账信息查询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余额银企对账信息查询：查询非CBS发起的历史对账交易（支持农行、浦发、光大），查看账单和对账账单信息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交易管家</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虚拟户内部转账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虚拟户内部转账：选择借方/贷方虚拟户进行资金调拨，提交后根据参数决定是否审批；审批通过后更新虚拟户实时余额并产生交易明细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虚拟户交易查询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虚拟户交易查询：查询虚拟户交易记录，支持按申请时间、交易类型、流程状态、交易状态筛选；支持查看详情和导出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资金池金额自定义配置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查询自定义配置：查询已配置的资金池金额计算公式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新增自定义配置：按银行类型和接口新增金额取值公式（支持账户余额、冻结金额、可用余额、集团内头寸），支持暂存功能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编辑自定义配置：修改已配置的金额取值公式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启用/停用自定义配置：启用或停用资金池金额计算公式，支持单笔和批量操作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判重规则查询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判重规则查询：查询各银行版本的判重规则（交易明细/电子回单/钱包交易明细/定期通知存单），支持银行个性化判重规则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明细完整性校验任务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查询明细完整性校验任务：查询已配置的明细完整性校验任务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新增明细完整性校验任务：新增定时任务，按银行类型设置校验范围和时间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编辑明细完整性校验任务：修改已配置的校验任务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启用/停用明细完整性校验任务：启用或停用校验任务，同一银行类型仅允许一个启用状态的任务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交互优化</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账户页面交互规范优化</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页面操作后不重置查询条件：新增/删除/编辑数据后页码和查询条件保持不变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列表放大镜筛选后显示查询条件：列表放大镜筛选后展示已筛选的查询条件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界面字段排序与列表宽度优化：支持列表字段排序和宽度调整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账号查询组件优化：优化账号选择组件交互体验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交易明细编辑/删除交互优化：优化交易明细编辑和删除的交互体验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交易明细批量删除操作类型优化：优化批量删除操作类型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分页器最大展示数量支持500条：列表分页器最大展示数量支持500条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金额类字段展示大写样式：金额字段支持展示大写金额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银行账户维护列表排序优化：优化银行账户维护列表排序逻辑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交易明细查询交易金额允许输入负数：交易明细查询交易金额支持输入负数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虚拟户交易查询条件优化：优化虚拟户交易查询条件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打印列表提示与后台打印数量优化：优化打印列表提示与后台打印数量一致性</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人事管理模块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通用能力</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支持账号密码登录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双因子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支持设备变更时触发短信双因子校验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忘记密码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支持忘记密码重新设置密码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通用能力</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支持按姓名、用户类型、登录账号、手机号、组织、组织类型查询用户信息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支持新增用户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支持修改用户信息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支持删除用户信息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支持给用户授权角色权限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支持启用/冻结用户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支持管理员给用户重置密码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权限管理（角色）</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支持按照角色名称查询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支持新增角色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支持修改角色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支持给角色授权菜单权限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支持删除角色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支持按照审批名称、适用单位、业务类型、状态、创建人查询审批流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审批流程维护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支持配置审批流程，配置审批节点、审批规则及条件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支持编辑、停用审批流程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审批流程查看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审批流程详情查看，审批流基本信息、审批流程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首页门户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首页门户查看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支持点击集团领导班子、中层管理人员、视同中层管理人员、计划内用工、计划外用工、人才招聘、中层备案管理、查询统计8各入口进入对应功能页面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支持按照组织名称、组织编号、组织类型筛选组织信息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支持新增组织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支持编辑组织信息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支持批量导入组织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维护组织职数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支持维护各组织的总职数、明细职数（正职、副职）、计划内外用工职数（按类别）</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组织变更记录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支持查看组织变更记录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人员组织树查询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1、支持展开/收起组织树，按照层级显示人员信息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2、领导班子至一级企业，中层/视同中层至集团部门及二级企业，计划内/外用工可穿透至三级企业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人员信息维护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支持新增/批量导入人员基本信息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支持修改人员信息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支持查看历史修改记录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支持批量导入人员基本信息、任免审批表、两书一协议等文件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人员分类管理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按五类人员（集团领导班子、中层管理人员、视同中层管理人员、计划内用工、计划外用工）分类展示人员信息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人员指标展示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展示当前选中节点下各人员分类的数量指标：职数、人数、差值、超编预警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将当前分类人员信息导出为表格文件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点击人员行，弹窗展示完整的人员信息详情（含基本信息、干部任免审批表）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人员变更记录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支持查看人员变更记录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招聘管理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招聘需求</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招聘分类展示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按五类人员分类展示各企业的招聘需求卡片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招聘需求详情查看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查看单条招聘需求的完整信息（申报编号、招聘类别、需求人数、审批状态等）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文件预览下载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支持申请报告、招聘计划明细表及“三重一大”会议材料预览和下载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智能比对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系统自动对招聘需求进行智能对比，输出对比结果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招聘需求审核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对招聘需求进行"审批通过"或"退回补正"操作，可填写审批意见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审核结果返回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审批结果给回企业端，国资端提供查询接口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招聘需求详情查看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查看单条招聘需求的完整信息（申报编号、招聘类别、需求人数、审批状态等）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文件预览下载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支持在线预览和下载申请报告、岗位明细、三重一大会议纪要等材料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招聘需求审核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对招聘需求进行"审批通过"或"退回补正"操作，可填写审批意见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审核结果返回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审批结果给回企业端，国资端提供查询接口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招聘结果备案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按企业类型、企业名称筛选查看招聘结果备案记录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查看单条招聘结果的完整信息（计划数、实际招聘、AI比对结果等）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招聘计划与实际比对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系统自动比对年度招聘计划与实际招聘结果（总人数、高校毕业生、社会人员）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人员信息名册查看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查看招聘录用人员的信息名册（含29个字段）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招聘结果备案审批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对招聘结果进行备案审批（通过/退回），查看备案审批记录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招聘结果备案记录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查看招聘结果备案的完整审批流转记录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招聘结果备案比对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系统自动比对招聘结果与计划的一致性（招聘总数、三重一大、名册更新、备案状态）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招聘结果名册同步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已审批通过的招聘结果定时同步更新至人员主数据名册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中层备案管理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预审列表查询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按企业名称搜索查看中层管理人员职数配备预审记录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预审请示文件查看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查看企业提交的中层调整方案（含各二级企业/部门的核定职数、现配职数、拟免职数、拟配职数、调整后职数等）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预审请示文件下载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下载中层领导调整方案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编制合规性校验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系统自动校验核定职数、任职年限等合规性，输出校验结果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预审审批操作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对预审事项进行"审批通过"或"退回补正"操作，填写人工审核意见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预审审批流转记录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查看预审事项的完整审批流转记录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将预审台账数据导出为文件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重点管理岗位</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重点岗位列表查询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按企业名称搜索查看重点管理岗位的人员调整记录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重点岗位详情查看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查看重点管理岗位人员调整的完整信息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重点岗位调整材料下载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下载重点岗位调整材料，包括任职请示、干部简要情况表、廉洁从业鉴定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重点岗位批复操作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对重点管理岗位调整进行批复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重点岗位批复记录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查看重点管理岗位调整的批复记录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调整结果备案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备案列表查询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按企业名称搜索查看调整结果备案记录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备案详情查看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查看单条备案的完整信息（审批编号、人员姓名、拟任职务、编制合规性校验等）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任免文件查看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查看企业上传的任免文件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人员信息名册（调整后）查看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查看调整后的完整人员信息名册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调整结果比对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系统自动比对拟调整后职数（预审单）和实际调整后职数，并生成比对结果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备案审批操作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对调整结果进行备案审批（通过/退回），填写备案意见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中层调整结果名册同步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已审批通过的中层调整结果定时同步更新至人员主数据名册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查询统计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筛选查询分析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企业组织树查询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以树形结构展示企业组织架构，支持搜索定位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多条件筛选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支持按姓名/企业/部门/职务搜索，以及管理层次、产权层次、人员状态、性别、民族、学历、政治面貌、人员类型、用工类型、职务层次、参加工作时间、任现职务时间、出生年月等多维度筛选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筛选结果指标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展示筛选结果的人员总数等统计指标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人员信息名册查询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以表格形式展示筛选后的人员信息（含29个字段：序号、姓名、身份证号、所在企业、部门、职务、状态、出生日期、性别、民族、全日制教育、在职教育、参加工作时间、政治面貌、入党时间、任现职务时间、籍贯、出生地、职务层次、人员类型、用工类型、到龄时间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点击人员行查看完整的人员信息详情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导出查询结果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将筛选查询结果导出为文件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多层级汇总穿透</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多层级树形汇总表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以树形表格展示一级/二级/三级企业的汇总统计（核定职数、现配职数、各类型员工人数、超编判断等）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汇总搜索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按企业名称搜索定位汇总节点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全部展开/收起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一键展开或收起所有树形节点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超编判断</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在多层级汇总中统计核定职数和现配职数，并形成超编判断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导出汇总表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将多层级汇总表导出为表格文件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汇总穿透钻取</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点击树形节点钻取查看下级企业的明细数据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报告KPI总览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展示年末全级次人员总数、计划外用工净减少、年度招聘计划达成率、人员调整审批通过率、核心风险预警等核心指标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人员总量与结构总览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展示总体规模及年度变动、五类人员结构（环形图）、管理层级人员分布表、用工类型合规性总评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职数与编制执行情况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展示领导班子/中层/视同中层职数执行情况、超缺编预警清单、计划内用工编制与"退二进一"执行、计划外用工额度执行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多维结构分析与专项盘点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展示年龄结构、学历结构、政治面貌与专业技能、专项后备人才盘点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后备人才盘点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围绕年轻化、专业化和高学历人才储备，对各企业后备人才梯队进行综合评估和排名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导出分析报告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将综合分析报告导出为PDF文件</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薪酬管理模块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薪酬管理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企业薪酬</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企业薪酬</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新增上报接口：申报：【对接企业端】接收集团提交的职工收入增加接收人员大类、细分层级属性等全部薪酬信息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企业薪酬首页查询：以集团维度统计实际发放总额、年度预算总额、预算执行率、总人数、平均人数、人均薪酬</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企业薪酬明细查询：展示集团及下属成员所有人的薪酬明细台账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台账导出：excel导出列表结果信息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企业负责人薪酬首页查询：以集团维度统计职务类型、发放总额、总人数、人均薪酬</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企业负责人薪酬查询：展示集团及下属成员企业负责人的薪酬横向和纵向对标台账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台账导出：excel导出列表结果信息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企业奖励性评优评先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奖项立项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新增上报接口：申报：【对接企业端】接收集团提交的奖励性评先评优奖项立项审批材料，包括立项信息、配套奖励标准方案、审批记录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上报结果查询：在数据报送管理模块的薪酬报送数据中增加：奖项立项，可查询辖区国企上传的评先评优奖项立项信息、配套奖励标准方案、审批记录，并支持导出列表和原文件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上报结果台账导出：excel导出列表结果信息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文件预览下载：支持在线预览奖项立项材料、审批记录等材料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奖项发放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新增上报接口：申报：【对接企业端】接收集团提交的奖励性评先评的奖励发放流程材料，包括完整发放明细、发放凭证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上报结果查询：查询与导出等维护功能：在数据报送管理模块的薪酬报送数据中增加：奖励发放，可查询辖区国企上传的完整发放明细、发放凭证，并支持导出列表和原文件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台账导出：excel导出列表结果信息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文件预览下载：支持在线预览奖项立项材料、审批记录等材料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企业中长期激励</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激励方案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上报接口：申报：【对接企业端】接收集团提交的经市国资委批准的年度超额利润分享实施方案，包含计提基数、超额利润测算规则、分享比例、激励对象范围（负责人、中层、核心骨干）、提取上限、分期发放规则、约束退出条款等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上报结果查询：查询与导出等维护功能：在数据报送管理模块的薪酬报送数据中增加：激励方案，可查询所有企业历年超额利润分享备案方案，支持按企业、年度、激励类型筛选查询，留存完整审批轨迹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台账导出：excel导出列表结果信息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文件预览下载：支持在线预览奖项立项材料、审批记录等材料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激励发放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新增上报接口：申报：【对接企业端】接收集团提交的激励对象发放明细，区分企业负责人、中层管理人员、核心业务骨干三类激励对象，逐人记录超额利润分享计提金额、当期实发金额、递延留存金额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上报结果查询：查询与导出等维护功能：：在数据报送管理模块的薪酬报送数据中增加：激励发放，可查询3年/ 5年分期递延发放明细，跟踪每年递延兑现金额、未兑付结余，若人员离职、考核不达标触发扣回，系统登记扣减记录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台账导出：excel导出列表结果信息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文件预览下载：支持在线预览奖项立项材料、审批记录等材料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f1f1f"/>
                <w:sz w:val="24"/>
                <w:szCs w:val="24"/>
                <w:u w:val="none"/>
              </w:rPr>
              <w:suppressLineNumbers w:val="0"/>
            </w:pPr>
            <w:r>
              <w:rPr>
                <w:rFonts w:hint="eastAsia" w:asciiTheme="minorEastAsia" w:hAnsiTheme="minorEastAsia" w:eastAsiaTheme="minorEastAsia" w:cstheme="minorEastAsia"/>
                <w:i w:val="0"/>
                <w:iCs w:val="0"/>
                <w:color w:val="1f1f1f"/>
                <w:sz w:val="24"/>
                <w:szCs w:val="24"/>
                <w:u w:val="none"/>
                <w:lang w:val="en-US" w:eastAsia="zh-CN" w:bidi="ar"/>
              </w:rPr>
              <w:t xml:space="preserve">预警管理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配置：预警规则增加支持配置临近预警：当工资总额实际发放金额达到预算额度设定阈值（如85%、90%），系统自动触发黄色预警；预警规则增加支持配置超支预警：当年度累计发放薪酬总额超出核定工资总额预算时，触发红色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增加企业负责人薪酬与经营业绩联动预警：将二级企业负责人薪酬与企业经营利润数据绑定核算，针对年度/月度利润亏损企业，进行预警；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新增计提上限预警功能：系统内置超额利润分享法定及国资管控上限标准，若测算计提金额超出备案方案上限、国资管控红线，自动弹出橙色校验预警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预警推送：预警信息同步推送至企业填报管理员、集团管理员、国资监管人员账号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1f1f1f"/>
                <w:sz w:val="24"/>
                <w:szCs w:val="24"/>
                <w:u w:val="none"/>
              </w:rPr>
            </w:pPr>
            <w:r>
              <w:rPr>
                <w:rFonts w:hint="eastAsia" w:asciiTheme="minorEastAsia" w:hAnsiTheme="minorEastAsia" w:eastAsiaTheme="minorEastAsia" w:cstheme="minorEastAsia"/>
                <w:i w:val="0"/>
                <w:iCs w:val="0"/>
                <w:color w:val="1f1f1f"/>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预警记录：系统记录全部预警台账，支持查看预警企业、预警类型、超预算金额、预警时间</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党建模块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党建模块</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发展党员管理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入党申请管理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支持党员在线提交与支部代录申请，提供列表查询功能。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5阶段流程流转</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固化5个标准阶段，支持流程状态查看、禁止跳步的递进操作、退回上一阶段。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阶段化档案管理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支持各阶段材料（汇报、政审、证书）的上传、查阅，实现“一步一档”。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时限预警督办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支持自定义预警阈值，提供超期人员名单查询及系统自动生成并发送督办任务。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发展进度监控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支持国资委查看全系统及各企业党员发展各阶段存量汇总（申请人/积极分子/预备党员），并可一键穿透至具体企业或人员名单。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党员信息管理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党员主数据维护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支持党员信息的批量导入、多条件查询、变更申请审批及出党/退休操作。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证照附件管理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支持证件照与证明材料的上传、编辑与删除。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数据权限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支持国资委查看全量党员信息，支持集团查看下属子公司的党员信息，子公司管理人员仅支持查看本公司的党员信息。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党员活动管理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活动类型配置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支持自定义活动分类的新增、查询、编辑（名称/排序）及启用/停用。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活动申报审批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支持活动方案的发起申报、进度查询、多级审批（通过/驳回）及撤销操作。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党费管理</w:t>
            </w:r>
            <w:r>
              <w:rPr>
                <w:rStyle w:val="672"/>
                <w:rFonts w:hint="eastAsia" w:asciiTheme="minorEastAsia" w:hAnsiTheme="minorEastAsia" w:eastAsiaTheme="minorEastAsia" w:cstheme="minorEastAsia"/>
                <w:sz w:val="24"/>
                <w:szCs w:val="24"/>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核算规则配置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支持设置工资基数构成项，提供规则查看、比例调整及旧规则废止功能。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党费台账管理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支持系统自动生成月度账单，提供明细查询、线上/线下缴费确认及异常账单冲正。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催缴提醒管理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支持系统定时生成催缴任务，提供历史记录查询及重发通知功能。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国资委监管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按企业维度实时汇总党费收缴完成率，对未达标国企进行红黄牌预警。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组织架构维护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支持组织节点的新增、树状图查询、信息编辑（调整隶属关系）及校验后删除。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组织档案管理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支持上传章程与批复文件，提供组织详情查看、信息更新及附件移除。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转接流程管理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支持转接单发起（含批量导入）、进度实时查询、逐级审批处理及申请撤销。</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会议记录管理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支持会议信息填报与附件上传，提供历史查询、内容编辑（归档前）及记录删除。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会议全流程管理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支持会议计划制定、结果填报与附件归档，提供会议查询、信息更新及记录作废。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测评体系设置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支持自定义评议指标与权重的新增、查询、编辑及删除。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评议结果管理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支持发起投票、自动计分、结果查询、人工修正等次及评议作废。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考核管理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指标体系维护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支持考核指标的新增、权重调整、状态切换（启用/停用）及删除。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年度考核汇总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支持系统自动抓取数据计算总分、生成排名、导出报表。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党员结构分析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支持按层级穿透查询党员底数，提供多维结构（年龄/学历）分析及报表导出。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活跃度统计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支持查询“三会一课”、组织生活会等党内政治生活的落实率、党员参会率及未达标支部名单，并支持数据导出。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党建大屏</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关键指标卡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实时展示党组织总数、党员总量、本年度发展党员数、党费收缴总额，支持数据动态刷新与异常值高亮。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党员结构多维分析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以柱状图/饼图展示年龄、学历、性别、职称分布，直观呈现队伍结构与梯队建设情况。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组织生活开展热力图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展示各级党组织“三会一课”及民主生活会的开展频次与覆盖率，识别“零活动”或“低频”支部。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党员发展进度漏斗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可视化展示“申请人→积极分子→发展对象→预备党员”的转化量，监控各阶段人员情况。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实时数据接口对接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确保大屏展示的所有数据实时从“组织管理”、“党务管理”等业务模块抓取，严禁手工录入，杜绝数据造假。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党员个人中心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我的信息管理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支持个人档案全景查看、发起信息变更申请及上传证明材料。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支部概况查看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支持自动识别组织关系并展示支部全景信息与联系人。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参会记录查询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支持个人历史参会记录的分类展示与关联会议详情（含附件）穿透查看。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缴费与查询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支持待缴金额提醒、历史账单多维度查询及一键线上支付。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待办与通知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支持一站式待办列表展示、消息分类筛选、状态标记。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三级联动（用户-角色-权限）；数据范围绑定（全平台/本企业/本人）；菜单权限可视化配置；角色启用/停用控制。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菜单树动态维护（编码/名称/父级/路由/图标/排序）；前端界面灵活重组。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字典管理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枚举值标准化（职务层次/人员类型等）；字典值全平台同步更新；启用/停用控制（前端自动隐藏/置灰）。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敏感操作全记录（模块/操作类型/操作人/IP/时间/结果/变更详情）；组合查询与溯源追责。</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招投标管理模块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招投标系统</w:t>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国资端工作台</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功能入口汇总</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国资端工作台展示监管总览、公开招标、国企采购、预警中心、预警规则配置、操作审计和系统管理七个模块入口，并展示当前端别、登录组织和用户信息。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监管关注提示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展示今日监管关注，包括较高预警需优先核查事项、待处理事项、国资抽查驳回事项，并可点击进入预警中心。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核心指标卡片</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展示未闭环预警、待国企处理、抽查驳回和年度预警闭环率等核心监管指标，并显示变化趋势、超时提示和处理压力。</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采购监管总计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汇总公开招标与国企采购的项目规模、采购金额、进行状态和未闭环预警情况，用于查看总体采购运行态势。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采购监管分项</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分别展示公开招标和国企采购分项指标，包括项目规模、采购金额、进行状态和未闭环预警情况，并可进入对应项目清单。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预警趋势分析</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展示近六个月公开招标与国企采购预警触发趋势，支持在全部、公开招标、国企采购之间切换查看。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优先处置事项</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按较高预警优先展示当前优先处置事项，包含预警等级、预警名称、关联项目、处理状态和穿透入口，并支持按采购类型筛选。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预警结构分析</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展示预警节点分布、高频预警规则和当前处置构成，节点分布覆盖评标、招标文件获取、开标、中标，高频规则展示评标结果完整性、招标文件获取期限、开标时间一致性、中标通知书状态完整性等规则。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重点监管对象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按年度预警情况展示重点监管企业排名，并以项目名称、采购类型、预警事项、状态和操作形成重点监管项目清单。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AI全域巡检</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监管总览地图区域提供AI全域巡检能力，归集区域项目、采购金额、预警和启用规则，按各节点可读取字段执行完整性与一致性判断，生成区域监管结论和进入预警中心的处理入口。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数据同步与报表导出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公开招标项目列表提供“同步数据”和“导出报表”入口，项目数据来源标注为连云港市公共资源交易平台，支持监管人员或企业用户刷新项目数据并导出当前模块报表。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多维项目检索</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公开招标支持按项目名称/项目编号、采购人/招标代理、项目节点、项目状态、交易分类和预警状态进行组合查询，并提供查询和重置操作。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项目清单管理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公开招标项目列表展示项目名称及编号、采购人/招标代理、项目所在地、交易分类、当前节点、项目状态、预警状态、预警时间、最近处理时间和查看详情入口，并展示模块总量和分页。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项目详情基础信息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公开招标项目详情页展示项目名称、项目编号、分包编号、采购单位、采购联系人、联系电话、项目所在地、预警状态和项目合规指数，支持从项目清单和预警处置页穿透进入。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项目全流程节点视图</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公开招标详情页以时间线展示立项、招标公告发布、招标文件获取、开标、评标、中标、标后七个节点，区分已完成、办理中、待推进和风险关注状态，点击节点可切换对应业务详情。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立项节点业务信息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展示项目注册信息、采购计划信息和项目分包信息，包括采购单位、采购方式、项目所在地、采购目录、项目预算、采购计划编号、计划年度、预算资金、采购组织形式、分包编号、分包名称和审核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节点资料管理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各节点的资料页展示可从电子交易系统获取的节点资料、资料来源、归集状态、文件大小、预览、下载和节点资料包打包下载；详情页主要围绕概览、资料、AI监管及标后档案进行穿透查看。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中标节点信息管理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中标节点按公告类型展示中标、成交公告信息和中标、成交通知书信息，包含项目编号、项目名称、分包名称、公告发布时间、公告状态、审核时间、审核状态等，并提供中标公告、招标文件等资料查看和下载。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标后电子档案</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标后节点提供标后档案页签，按项目组建、交易公告、变更公告、采购文件、采购公示、投标单位、评标报告七类归档材料展示文件清单，支持单组下载和电子档案资料包打包下载。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AI节点监管入口</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各节点AI监管页提供触发AI监管、监管依据数据、AI核验清单和AI监管结论。监管依据数据汇总当前节点预警规则、可读取字段和节点资料，并明确结果只使用当前节点可读取数据，不跨节点倒灌。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AI监管依据穿透</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AI核验清单中每项监管结果均提供“查看依据”，依据弹窗展示监管结果、关联规则、参与判断的业务数据、数据来源、判断说明和数据范围，用于人工复核AI结论。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项目详情展示项目合规指数、整改前指数、当前指数、整改后预测和分级规则，指数由预警健康度、资料完整度、流程合规度、整改闭环度、办理时效五个维度构成，同一问题多条规则命中时按最高等级计一次。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一键AI监管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项目合规指数弹窗提供一键AI监管，重新归集七个节点的已同步字段、资料、电子档案、预警和整改凭证，执行启用规则并消除重复命中项，重新计算当前项目合规指数并展示分析过程。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仅展示申报字段完整性、预算合规性两项AI监管能力。系统读取项目注册、采购计划、采购计划相关附件、项目预算和计划预算资金，判断项目注册与计划受理字段是否完整，核验项目预算是否超过关联采购计划预算，并在依据弹窗中列示参与判断的字段、数据来源和判断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仅展示公告期限校验、项目信息一致性两项AI监管能力。系统读取采购公告及文件中的公告发布时间、公告截止时间、项目编号、项目名称、分包名称和采购方式，核验公告期限是否满足规则要求，以及公告、招标文件与项目基础信息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展示获取期限校验能力。系统读取采购公告及文件页面中的文件获取开始时间、截止时间和规则最低期限，判断开放时间是否少于配置要求，并在依据弹窗中展示文件获取时间、规则阈值、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展示开标信息完整性、开标时间一致性两项AI监管能力。系统读取开标情况录入、开标记录、交易公告开标时间、开标方式、开标地点、代理单位、分包编号及预算金额等字段，判断开标录入字段是否完整，并比对开标情况录入时间与交易公告时间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展示评标信息完整性、评标结果完整性两项AI监管能力。系统仅使用评标情况录入可读取的结构化字段，核验评标开始/结束时间、地点、方式和评标情况是否完整，并检查推荐排名、废标单位及废标原因字段；当前Demo中废标单位原因缺失时输出监管不通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展示中标公告信息完整性、中标公告字段一致性、中标通知书状态完整性三项AI监管能力。系统读取中标、成交公告及中标、成交通知书页面可读取字段，核验中标单位、统一社会信用代码、中标价格、公告正文、项目及分包字段是否完整一致，并检查通知书审核状态是否缺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展示档案完整性AI监管能力。系统仅对电子档案下载页面实际展示的项目组建、交易公告、变更公告、采购文件、采购公示、投标单位、评标报告七类归档材料及文件名称进行核验，并在依据弹窗中展示电子档案分类、文件名称、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数据同步与报表导出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国企采购项目列表提供“同步数据”和“导出报表”入口，项目数据来源标注为连云港市公共资源交易平台，支持监管人员或企业用户刷新项目数据并导出当前模块报表。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多维项目检索</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国企采购支持按项目名称/项目编号、采购人/招标代理、项目节点、项目状态、交易分类和预警状态进行组合查询，并提供查询和重置操作。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项目清单管理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国企采购项目列表展示项目名称及编号、采购人/招标代理、项目所在地、交易分类、当前节点、项目状态、预警状态、预警时间、最近处理时间和查看详情入口，并展示模块总量和分页。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项目详情基础信息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国企采购项目详情页展示项目名称、项目编号、分包编号、采购单位、采购联系人、联系电话、项目所在地、预警状态和项目合规指数，支持从项目清单和预警处置页穿透进入。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项目全流程节点视图</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国企采购详情页以时间线展示立项、招标公告发布、招标文件获取、开标、评标、中标、标后七个节点，区分已完成、办理中、待推进和风险关注状态，点击节点可切换对应业务详情。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立项节点业务信息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展示项目注册信息、采购计划信息和项目分包信息，包括采购单位、采购方式、项目所在地、采购目录、项目预算、采购计划编号、计划年度、预算资金、采购组织形式、分包编号、分包名称和审核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节点资料管理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各节点的资料页展示可从电子交易系统获取的节点资料、资料来源、归集状态、文件大小、预览、下载和节点资料包打包下载；详情页主要围绕概览、资料、AI监管及标后档案进行穿透查看。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中标节点信息管理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中标节点按公告类型展示中标、成交公告信息和中标、成交通知书信息，包含项目编号、项目名称、分包名称、公告发布时间、公告状态、审核时间、审核状态等，并提供中标公告、招标文件等资料查看和下载。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标后电子档案</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标后节点提供标后档案页签，按项目组建、交易公告、变更公告、采购文件、采购公示、投标单位、评标报告七类归档材料展示文件清单，支持单组下载和电子档案资料包打包下载。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AI节点监管入口</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各节点AI监管页提供触发AI监管、监管依据数据、AI核验清单和AI监管结论。监管依据数据汇总当前节点预警规则、可读取字段和节点资料，并明确结果只使用当前节点可读取数据，不跨节点倒灌。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AI监管依据穿透</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AI核验清单中每项监管结果均提供“查看依据”，依据弹窗展示监管结果、关联规则、参与判断的业务数据、数据来源、判断说明和数据范围，用于人工复核AI结论。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项目详情展示项目合规指数、整改前指数、当前指数、整改后预测和分级规则，指数由预警健康度、资料完整度、流程合规度、整改闭环度、办理时效五个维度构成，同一问题多条规则命中时按最高等级计一次。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一键AI监管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项目合规指数弹窗提供一键AI监管，重新归集七个节点的已同步字段、资料、电子档案、预警和整改凭证，执行启用规则并消除重复命中项，重新计算当前项目合规指数并展示分析过程。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仅展示申报字段完整性、预算合规性两项AI监管能力。系统读取项目注册、采购计划、采购计划相关附件、项目预算和计划预算资金，判断项目注册与计划受理字段是否完整，核验项目预算是否超过关联采购计划预算，并在依据弹窗中列示参与判断的字段、数据来源和判断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仅展示公告期限校验、项目信息一致性两项AI监管能力。系统读取采购公告及文件中的公告发布时间、公告截止时间、项目编号、项目名称、分包名称和采购方式，核验公告期限是否满足规则要求，以及公告、招标文件与项目基础信息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展示获取期限校验能力。系统读取采购公告及文件页面中的文件获取开始时间、截止时间和规则最低期限，判断开放时间是否少于配置要求，并在依据弹窗中展示文件获取时间、规则阈值、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展示开标信息完整性、开标时间一致性两项AI监管能力。系统读取开标情况录入、开标记录、交易公告开标时间、开标方式、开标地点、代理单位、分包编号及预算金额等字段，判断开标录入字段是否完整，并比对开标情况录入时间与交易公告时间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展示评标信息完整性、评标结果完整性两项AI监管能力。系统仅使用评标情况录入可读取的结构化字段，核验评标开始/结束时间、地点、方式和评标情况是否完整，并检查推荐排名、废标单位及废标原因字段；当前Demo中废标单位原因缺失时输出监管不通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展示中标公告信息完整性、中标公告字段一致性、中标通知书状态完整性三项AI监管能力。系统读取中标、成交公告及中标、成交通知书页面可读取字段，核验中标单位、统一社会信用代码、中标价格、公告正文、项目及分包字段是否完整一致，并检查通知书审核状态是否缺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展示档案完整性AI监管能力。系统仅对电子档案下载页面实际展示的项目组建、交易公告、变更公告、采购文件、采购公示、投标单位、评标报告七类归档材料及文件名称进行核验，并在依据弹窗中展示电子档案分类、文件名称、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预警汇总</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集中展示公开招标和国企采购全部预警，列表字段包括预警事项、来源、项目名称及编号、所属组织、预警状态、预警时间、处理状态和查看处置入口。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预警处置详情</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查看处置进入预警处置详情，展示预警与项目信息、预警等级、处理状态、国资抽查状态、关联规则、规则触发依据、企业处理反馈和处理附件。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AI综合研判</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预警处置详情右侧展示AI综合研判，仅围绕当前一条预警、当前节点和关联规则生成监管不通过原因，不合并其他节点或其他规则的数据。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处置闭环轨迹</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详情页展示生成并下发预警、国企接收处理、企业提交处理结果、国资抽查（非必经）四步闭环轨迹，并区分待接收、处理中、已提交、抽查通过和抽查驳回状态。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国资催办与抽查</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国资端对未处理事项可发送催办；对企业已提交处理结果的事项，可执行抽查通过或驳回重办，驳回后事项重新进入国企端待办。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预警台账导出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预警中心提供导出预警台账入口，用于导出当前预警汇总数据。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查看项目详情</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预警处置详情提供查看项目详情入口，可穿透至对应公开招标或国企采购项目，并默认进入相关节点AI监管页面。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预警规则配置</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规则查询</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支持按规则名称/编号、适用节点和启用状态筛选预警规则，并提供查询和重置操作。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预警规则配置</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规则统计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展示预置规则、已启用规则和已停用规则数量，当前规则库覆盖立项、招标公告发布、招标文件获取、开标、评标、中标和标后节点。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预警规则配置</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规则库展示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规则列表展示规则名称及编号、适用节点、识别说明、启用状态、触发阈值和操作。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预警规则配置</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规则启停与阈值调整</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支持通过规则行内开关启停规则，通过数值输入框调整触发阈值，并逐条保存。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预警规则配置</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配置发布</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提供发布当前配置入口，阈值调整后需保存并发布配置。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操作审计</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审计事件查询</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支持按事件编号、操作人、目标对象或IP关键词查询，并可按所属模块、操作类型、操作结果筛选。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操作审计</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审计范围筛选</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所属模块包括公开招标、国企采购、预警规则配置、身份认证和预警中心；操作类型包括数据访问、数据导出、配置变更、登录认证和流程操作。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操作审计</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审计事件列表</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列表展示事件编号及操作内容、操作类型及模块、操作人及组织、目标对象、操作时间、操作结果和查看详情入口。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操作审计</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审计记录详情</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详情页展示操作主体与认证、访问环境与请求、操作对象与结果、审计摘要、数据变更对比、事件链和完整性校验。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操作审计</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刷新与导出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操作审计页提供刷新数据和导出记录入口。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系统管理菜单</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国资端系统管理提供组织管理、角色管理、权限管理、菜单管理、日志管理和流程管理菜单。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配置列表维护</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各管理页展示名称、编码、归属范围、状态和操作列，支持新增和编辑。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日志管理页展示操作内容、操作人员、操作时间和结果，支持导出日志及查看日志详情。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AI能力入口</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国资智管上下文问答</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国资智管助手可结合当前页面上下文、角色权限、项目、预警规则、已同步资料和核验依据回答问题，支持项目体检、监管数据查询和当前项目合规情况问答，回答中的预警和项目可穿透查看。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国企端工作台</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功能入口汇总</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国企端工作台展示监管总览、公开招标、国企采购、我的待办和预警中心五个模块入口，并展示当前端别、登录企业和采购专员信息。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国企端工作台</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业务定位展示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工作台标题区展示“国企端工作台”，说明其面向采购业务办理、项目进度跟踪与预警处置。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监管关注提示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展示当前端别下需优先关注的较高预警、待处理事项、抽查驳回和年度闭环率，可进入预警中心或对应处置页面。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核心指标卡片</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展示未闭环预警、待国企处理、抽查驳回和年度预警闭环率等核心监管指标，并显示超时提示和环比变化。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采购监管总计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汇总公开招标与国企采购的项目规模、采购金额、进行状态和未闭环预警情况，用于查看当前端别下的采购运行态势。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采购监管分项</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分别展示公开招标和国企采购的项目规模、采购金额、进行状态和未闭环预警，并支持进入对应项目清单。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预警趋势分析</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展示近六个月公开招标与国企采购预警触发趋势，可按全部、公开招标、国企采购切换。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优先处置事项</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展示当前需优先处理的较高预警事项，包含评标结果完整性、招标文件获取期限、开标时间一致性等预警，并支持穿透查看。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预警节点与规则分析</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展示预警节点分布、高频预警规则和当前处置构成，用于识别本端项目风险集中环节和高频触发规则。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重点对象查看</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展示重点监管企业排名和重点监管项目清单，项目清单包含项目名称、采购类型、预警事项、状态和查看操作。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AI全域巡检</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监管总览提供AI全域巡检能力，关联项目、预警和启用规则，按当前节点可读取字段和资料执行完整性、一致性判断，并给出可进入预警中心的巡检结论。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AI生成监管报告</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页面提供AI生成监管报告操作，围绕当前端别可见的采购项目、采购金额、预警事项和规则命中情况生成分析结果。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数据同步与报表导出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公开招标项目列表提供“同步数据”和“导出报表”入口，项目数据来源标注为连云港市公共资源交易平台，支持监管人员或企业用户刷新项目数据并导出当前模块报表。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多维项目检索</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公开招标支持按项目名称/项目编号、采购人/招标代理、项目节点、项目状态、交易分类和预警状态进行组合查询，并提供查询和重置操作。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项目清单管理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公开招标项目列表展示项目名称及编号、采购人/招标代理、项目所在地、交易分类、当前节点、项目状态、预警状态、预警时间、最近处理时间和查看详情入口，并展示模块总量和分页。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项目详情基础信息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公开招标项目详情页展示项目名称、项目编号、分包编号、采购单位、采购联系人、联系电话、项目所在地、预警状态和项目合规指数，支持从项目清单和预警处置页穿透进入。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项目全流程节点视图</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公开招标详情页以时间线展示立项、招标公告发布、招标文件获取、开标、评标、中标、标后七个节点，区分已完成、办理中、待推进和风险关注状态，点击节点可切换对应业务详情。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立项节点业务信息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展示项目注册信息、采购计划信息和项目分包信息，包括采购单位、采购方式、项目所在地、采购目录、项目预算、采购计划编号、计划年度、预算资金、采购组织形式、分包编号、分包名称和审核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节点资料管理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各节点的资料页展示可从电子交易系统获取的节点资料、资料来源、归集状态、文件大小、预览、下载和节点资料包打包下载；详情页主要围绕概览、资料、AI监管及标后档案进行穿透查看。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中标节点信息管理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中标节点按公告类型展示中标、成交公告信息和中标、成交通知书信息，包含项目编号、项目名称、分包名称、公告发布时间、公告状态、审核时间、审核状态等，并提供中标公告、招标文件等资料查看和下载。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标后电子档案</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标后节点提供标后档案页签，按项目组建、交易公告、变更公告、采购文件、采购公示、投标单位、评标报告七类归档材料展示文件清单，支持单组下载和电子档案资料包打包下载。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AI节点监管入口</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各节点AI监管页提供触发AI监管、监管依据数据、AI核验清单和AI监管结论。监管依据数据汇总当前节点预警规则、可读取字段和节点资料，并明确结果只使用当前节点可读取数据，不跨节点倒灌。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AI监管依据穿透</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AI核验清单中每项监管结果均提供“查看依据”，依据弹窗展示监管结果、关联规则、参与判断的业务数据、数据来源、判断说明和数据范围，用于人工复核AI结论。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项目详情展示项目合规指数、整改前指数、当前指数、整改后预测和分级规则，指数由预警健康度、资料完整度、流程合规度、整改闭环度、办理时效五个维度构成，同一问题多条规则命中时按最高等级计一次。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一键AI监管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项目合规指数弹窗提供一键AI监管，重新归集七个节点的已同步字段、资料、电子档案、预警和整改凭证，执行启用规则并消除重复命中项，重新计算当前项目合规指数并展示分析过程。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仅展示申报字段完整性、预算合规性两项AI监管能力。系统读取项目注册、采购计划、采购计划相关附件、项目预算和计划预算资金，判断项目注册与计划受理字段是否完整，核验项目预算是否超过关联采购计划预算，并在依据弹窗中列示参与判断的字段、数据来源和判断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仅展示公告期限校验、项目信息一致性两项AI监管能力。系统读取采购公告及文件中的公告发布时间、公告截止时间、项目编号、项目名称、分包名称和采购方式，核验公告期限是否满足规则要求，以及公告、招标文件与项目基础信息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展示获取期限校验能力。系统读取采购公告及文件页面中的文件获取开始时间、截止时间和规则最低期限，判断开放时间是否少于配置要求，并在依据弹窗中展示文件获取时间、规则阈值、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展示开标信息完整性、开标时间一致性两项AI监管能力。系统读取开标情况录入、开标记录、交易公告开标时间、开标方式、开标地点、代理单位、分包编号及预算金额等字段，判断开标录入字段是否完整，并比对开标情况录入时间与交易公告时间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展示评标信息完整性、评标结果完整性两项AI监管能力。系统仅使用评标情况录入可读取的结构化字段，核验评标开始/结束时间、地点、方式和评标情况是否完整，并检查推荐排名、废标单位及废标原因字段；当前Demo中废标单位原因缺失时输出监管不通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展示中标公告信息完整性、中标公告字段一致性、中标通知书状态完整性三项AI监管能力。系统读取中标、成交公告及中标、成交通知书页面可读取字段，核验中标单位、统一社会信用代码、中标价格、公告正文、项目及分包字段是否完整一致，并检查通知书审核状态是否缺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公开招标</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展示档案完整性AI监管能力。系统仅对电子档案下载页面实际展示的项目组建、交易公告、变更公告、采购文件、采购公示、投标单位、评标报告七类归档材料及文件名称进行核验，并在依据弹窗中展示电子档案分类、文件名称、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数据同步与报表导出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国企采购项目列表提供“同步数据”和“导出报表”入口，项目数据来源标注为连云港市公共资源交易平台，支持监管人员或企业用户刷新项目数据并导出当前模块报表。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多维项目检索</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国企采购支持按项目名称/项目编号、采购人/招标代理、项目节点、项目状态、交易分类和预警状态进行组合查询，并提供查询和重置操作。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项目清单管理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国企采购项目列表展示项目名称及编号、采购人/招标代理、项目所在地、交易分类、当前节点、项目状态、预警状态、预警时间、最近处理时间和查看详情入口，并展示模块总量和分页。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项目详情基础信息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国企采购项目详情页展示项目名称、项目编号、分包编号、采购单位、采购联系人、联系电话、项目所在地、预警状态和项目合规指数，支持从项目清单和预警处置页穿透进入。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项目全流程节点视图</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国企采购详情页以时间线展示立项、招标公告发布、招标文件获取、开标、评标、中标、标后七个节点，区分已完成、办理中、待推进和风险关注状态，点击节点可切换对应业务详情。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立项节点业务信息</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展示项目注册信息、采购计划信息和项目分包信息，包括采购单位、采购方式、项目所在地、采购目录、项目预算、采购计划编号、计划年度、预算资金、采购组织形式、分包编号、分包名称和审核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节点资料管理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各节点的资料页展示可从电子交易系统获取的节点资料、资料来源、归集状态、文件大小、预览、下载和节点资料包打包下载；详情页主要围绕概览、资料、AI监管及标后档案进行穿透查看。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中标节点信息管理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中标节点按公告类型展示中标、成交公告信息和中标、成交通知书信息，包含项目编号、项目名称、分包名称、公告发布时间、公告状态、审核时间、审核状态等，并提供中标公告、招标文件等资料查看和下载。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标后电子档案</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标后节点提供标后档案页签，按项目组建、交易公告、变更公告、采购文件、采购公示、投标单位、评标报告七类归档材料展示文件清单，支持单组下载和电子档案资料包打包下载。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AI节点监管入口</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各节点AI监管页提供触发AI监管、监管依据数据、AI核验清单和AI监管结论。监管依据数据汇总当前节点预警规则、可读取字段和节点资料，并明确结果只使用当前节点可读取数据，不跨节点倒灌。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AI监管依据穿透</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AI核验清单中每项监管结果均提供“查看依据”，依据弹窗展示监管结果、关联规则、参与判断的业务数据、数据来源、判断说明和数据范围，用于人工复核AI结论。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项目详情展示项目合规指数、整改前指数、当前指数、整改后预测和分级规则，指数由预警健康度、资料完整度、流程合规度、整改闭环度、办理时效五个维度构成，同一问题多条规则命中时按最高等级计一次。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一键AI监管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项目合规指数弹窗提供一键AI监管，重新归集七个节点的已同步字段、资料、电子档案、预警和整改凭证，执行启用规则并消除重复命中项，重新计算当前项目合规指数并展示分析过程。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立项节点仅展示申报字段完整性、预算合规性两项AI监管能力。系统读取项目注册、采购计划、采购计划相关附件、项目预算和计划预算资金，判断项目注册与计划受理字段是否完整，核验项目预算是否超过关联采购计划预算，并在依据弹窗中列示参与判断的字段、数据来源和判断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公告发布节点仅展示公告期限校验、项目信息一致性两项AI监管能力。系统读取采购公告及文件中的公告发布时间、公告截止时间、项目编号、项目名称、分包名称和采购方式，核验公告期限是否满足规则要求，以及公告、招标文件与项目基础信息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标文件获取节点展示获取期限校验能力。系统读取采购公告及文件页面中的文件获取开始时间、截止时间和规则最低期限，判断开放时间是否少于配置要求，并在依据弹窗中展示文件获取时间、规则阈值、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标节点展示开标信息完整性、开标时间一致性两项AI监管能力。系统读取开标情况录入、开标记录、交易公告开标时间、开标方式、开标地点、代理单位、分包编号及预算金额等字段，判断开标录入字段是否完整，并比对开标情况录入时间与交易公告时间是否一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评标节点展示评标信息完整性、评标结果完整性两项AI监管能力。系统仅使用评标情况录入可读取的结构化字段，核验评标开始/结束时间、地点、方式和评标情况是否完整，并检查推荐排名、废标单位及废标原因字段；当前Demo中废标单位原因缺失时输出监管不通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中标节点展示中标公告信息完整性、中标公告字段一致性、中标通知书状态完整性三项AI监管能力。系统读取中标、成交公告及中标、成交通知书页面可读取字段，核验中标单位、统一社会信用代码、中标价格、公告正文、项目及分包字段是否完整一致，并检查通知书审核状态是否缺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国企采购</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标后节点AI监管</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后节点展示档案完整性AI监管能力。系统仅对电子档案下载页面实际展示的项目组建、交易公告、变更公告、采购文件、采购公示、投标单位、评标报告七类归档材料及文件名称进行核验，并在依据弹窗中展示电子档案分类、文件名称、核验结果和数据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待办范围</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我的待办仅在国企端展示，用于接收并处理国资端下发给当前企业的国企采购预警事项，当前Demo仅展示来源为国企采购且未处理完成的待办。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待办列表</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列表展示预警事项、来源、项目名称及编号、所属组织、预警状态、预警时间、处理状态和操作，处理状态包括待处理、处理中等。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接收与继续处理</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待处理事项提供接收处理入口，接收后状态更新为处理中；处理中事项提供继续处理入口。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预警处理详情</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详情页展示预警基本信息、预警事项、预警等级、预警时间、项目名称、项目编号/来源、国资抽查状态、企业处理反馈表单和处理凭证上传入口。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处理结果提交</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企业可填写情况说明与整改措施、上传处理凭证和附件，支持保存草稿、提交处理结果；抽查驳回事项支持补充材料后重新提交。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AI识别依据</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待办详情展示当前预警的AI识别依据，仅围绕当前节点、当前规则和命中数据说明监管不通过原因，不合并同节点其他预警线索。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AI处置建议</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待办详情提供AI处置建议入口，系统读取当前节点可读取字段和关联规则，定位不通过依据，输出核查重点、处置动作和需提交材料清单，并展示分析过程。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处置闭环轨迹</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详情页展示生成并下发预警、国企接收处理、企业提交处理结果、国资抽查（非必经）四步轨迹，抽查驳回后事项重新进入企业待办。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预警台账导出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我的待办页面提供导出预警台账入口。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预警汇总</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国企端预警中心展示公开招标和国企采购全部预警，列表字段包括预警事项、来源、项目名称及编号、所属组织、预警状态、预警时间、处理状态和查看处置入口。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预警处置查看</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查看处置进入预警处置详情，可查看预警与项目信息、规则触发依据、企业处理反馈、处理附件、AI综合研判和处置闭环轨迹。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AI综合研判</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预警处置详情展示AI综合研判，围绕当前一条预警对应规则、节点和实际命中字段给出监管不通过原因。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预警台账导出</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预警中心提供导出预警台账入口。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AI能力入口</w:t>
            </w:r>
            <w:r/>
          </w:p>
        </w:tc>
        <w:tc>
          <w:tcPr>
            <w:shd w:val="clear" w:color="auto" w:fill="ffffff"/>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国资智管上下文问答</w:t>
            </w:r>
            <w:r/>
          </w:p>
        </w:tc>
        <w:tc>
          <w:tcPr>
            <w:shd w:val="clear" w:color="auto" w:fill="ffffff"/>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国资智管助手结合当前国企端页面上下文和权限范围，围绕项目、预警规则、已同步资料、核验依据和处置建议进行问答；关联预警和项目可穿透查看。</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投资管理模块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通用能力</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账号与登录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统一登录对接：支持与一张网对接实现账号同步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用户登录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账号登录：支持账号密码登录系统，支持通过一张网单点登录。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监管总览</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指标总览：展示市属国有企业年度计划核心指标及完成情况核心指标。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今日待办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待办列表：展示今日待办事项，紧急事项标红提示。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待办处理跳转：支持跳转对应业务页。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重点预警项目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重点预警列表：展示不同级别预警项目。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投资监管看板</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投资监管指标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指标总览：展示市属国有企业年度计划核心指标及完成情况核心指标。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计划执行监控：市属国有企业投资金额整体执行情况的多维度分析及图表展示。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项目分类统计：市属国有企业投资项目整体执行情况的多维度分析及图表展示。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核心监管指标：展示关键监管指标，一屏掌握市属国企投资总体态势。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项目分布分析：多维度统计项目数量与投资额分布。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执行进度分析：展示执行进度，并按审核类型分类统计。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月度执行率趋势：展示月度投资执行率趋势及年度计划变更情况。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重点情况概览：展示重点项目分类概览与重点事项清单。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预警统计总览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预警分级计数：展示分级预警数量与处置情况统计。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分级预警列表：分级预警事项列表，支持分级查看预警啥信息。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预警处置：支持针对预警信息填写处置意见并提交，形成预警处置闭环。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详情查看：查看已闭环预警的处置详情。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投资监管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年度投资计划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备案台账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备案列表：列表展示各企业年度投资计划备案，支持多条件筛选查询，支持台账导出。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查看详情：查看计划基本信息、项目清单；支持填写计划备案意见；支持调取查看版本对比。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查看版本对比：支持查看计划的多版本修改历史与版本间差异对比。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计划外预警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计划外预警列表：支持查看计划外投资项目清单，支持查看项目详情。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项目审核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待分流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待分流项目列表：展示待审核分流项目，给出审核路径建议，支持人工确认分流。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待备案（受理表）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待受理备案项目列表：展示待受理备案项目列表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备案受理：支持查看企业提交的受理表及材料清单，填写备案意见，确认受理后进展信息推送企业。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待审核（特别监管类）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待审核项目列表：展示待审核项目列表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特别监管类审核：展示待特别监管类审核项目及其受理表、附件材料，填写审核意见，审核完毕后审核意见推送企业。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二次论证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待二次论证项目列表：展示待二次论证项目列表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组织论证：支持填选二次论证会及专家信息，上传论证结果信息及材料。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已完成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已完成审核项目列表：展示已完成备案、审核、二次论证的项目列表。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审核详情查看：支持查看备案、审核、二次论证详情。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项目监控</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台账列表：展示项目台账及当前投资完成情况，支持多维度筛选查询，支持查看「详情」。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导出台账：按当前筛选结果导出项目台账。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项目详情：打开项目完整档案，查看项目全生命周期信息。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月度报告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报送历史：展示企业报送月度项目进展报告列表，支持多条件筛选查看。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查看报告详情：支持查看企业报送的月报的详细内容。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季度报告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报送历史：展示企业报送季度项目进展报告列表，支持多条件筛选查看。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查看报告详情：支持查看企业报送的季报的详细内容。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年度报告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报送历史：展示企业报送年度项目进展报告列表，支持多条件筛选查看。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查看报告详情：支持查看企业报送的年报的详细内容。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投资退出管理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退出项目台账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退出项目列表：展示退出投资项目列表，提供查看退出项目详情入口，提供退出备案、审批、查看信息入口。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项目详情：展示申报退出项目的详细信息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退出备案：对需要备案的退出项目进行备案核验，结果推送企业。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退出审批：对需要审批的退出项目进行受理、审批，结果推送企业。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记录查看：支持查看由企业端自行决策办理的退出事项详情。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项目后评价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后评价总览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KPI 统计：展示年度后评价计划、时限内完成率等核心指标。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应评项目清单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应评项目清单：展示应开展后评价的项目。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指定纳入：对未自动命中范围的项目可「指定纳入」后评价并同步推送通知企业。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报告查看：在线查看后评价报告，跟踪企业评价上报。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数据与智能</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 投资智能体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能力入口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报告分析：支持报告内容上传、知识提取，通过内部知识库及分析规则自动分析项目潜在风险并提出建议。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系统配置</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负面清单维护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清单列表：负面清单条款，支持筛选查看。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新增条款：新增负面清单条款。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编辑/启停/删除：编辑条款内容、类别与启停状态；操作记入修订留痕。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版本与变更记录：查看当前规则版本与变更记录。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分级审核参数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金额分级：支持对金额分级阈值、非主业特别监管分档、重大投资判定线、二次论证专家人数、管理层级上限、5年期国债利率等值进行修改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时限参数：支持对特别监管审核时限、年度计划备案截止、季度报告报送时限、后评价完成时限等值进行修改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口径开关：支持对净资产口径、审核与二次论证衔接、战略新兴产业非主业备案等开关进行修改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版本与变更记录：查看当前规则版本与变更记录。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预警规则阈值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规则列表：展示预警规则列表，支持按级别筛选。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编辑：对预警规则进行修改编辑。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启停切换：规则启用/停用一键切换。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版本与变更记录：查看当前规则版本与变更记录。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论证材料适用矩阵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材料矩阵列表：展示论证材料规则列表，支持分类筛选。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编辑：支持编辑编辑相关规则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版本与变更记录：查看当前矩阵版本与变更记录。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标准值库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标准值列表：按行业展示标准值列表。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编辑/启停：编辑行业名称/代码/规模档及各指标五档值，主要依据《企业绩效评价标准值2025》；支持标准启用或停用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版本与变更记录：查看当前矩阵版本与变更记录。</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司库管理模块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司库管理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资金监管综合分析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资金概览（收支情况：资金流入、资金流出、资金净流量；资金债务情况：总账户余额、数量、总带息债务余额、笔数、本月预警）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资金分析概览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监管企业资金集中度排名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大额支付趋势（近一年）：大额支出、非大额支出，本月大额支付用途流向占比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账户余额与债务规模：总账户余额、总带息债务余额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带息债务到期情况：不同到期期间内债务到期金额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监管企业收款前十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实时预警列表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资金流动趋势：资金流入、资金流出、资金净流量；可添加年份对比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账户余额银行分布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账户情况：各集团下国企数、银行数、账户数、账户总余额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资金交易时点分布：不同集团企业在时间区间内的交易时点信息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监管企业财务快报：集团企业月度财务快报，涉及资产总额、同比增长、所有者权益、同比增长、归属母公司所有者权益、同比增长、营业收入、同比增长、利润总额、同比增长、已交税费、同比增长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概览：昨日大额支付总额、笔数、本月大额支付总额、笔数、本年大额支付总额、笔数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大额资金分析：各集团大额支出、非大额支出（按金额、笔数）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大额支付资金用途分布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大额支付去向排名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大额支付趋势：大额支出金额、大额支出站总支出，可添加对比年份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资金余额分析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概览：总账户余额、上月末余额、总账户数、国企数、银行数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总账户余额情况：各集团总余额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账户余额币种分布：不同币种账号余额占比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账户余额分布：各家银行余额分布、不同账户性质余额占比、直联非直联余额占比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账户余额趋势：近一年总余额，可添加年份对比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资金收支分析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概览：总资金流入、对外、笔数、总资金流出、对外、笔数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资金流动情况：各集团资金流入、资金流出、资金净流量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资金用途分布（含大额）：支出、收入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支出币种分布（含大额）：各币种占比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流入来源前十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支出去向前十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监管企业付款前十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监管企业收款前十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资金流动趋势：资金流入、资金流出、资金净量，可添加年份对比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债务风险分析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概览：总带息债务余额、逾期占比、笔数、本月到期本金、本月到期利息、总账户余额和总带息债务余额比率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债务规模：正常债务、逾期债务；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带息债务到期情况：期限内到期的债务金额；金融机构借款、债务融资工具类型下各融资品种类型占比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债权单位前十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带息债务到期时间分布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带息债务趋势：金额、笔数；可添加年份对比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资金预警分析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概览：昨日预警、本月预警、本年预警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预警分析：大额支付预警、连续支付预警、重点交易对象预警、存量预警、负债预警、大额未报备预警、自定义预警、债务预警、大额整数交易占比较高预警、收支重合金额与比例较大预警、非同名账户来回转账预警、久悬户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预警排行：预警条数企业排名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实时预警列表：不同企业不同预警类型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资金预警整体情况分析：总预警条数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票据指标分析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概览：收票金额、收票笔数、付票金额、付票笔数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各集团票据交易情况：收票（银行承兑、商业承兑、其他）、付票（银行承兑、商业承兑、其他）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承兑机构分布：收票、付票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票据到期分析：不同票据类型不同期限内的收票、付票金额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票据趋势分析：收票、付票的金额、票据数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报表中心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大额资金预警情况：汇总企业大额资金及占比情况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大额资金预警明细：企业明细大额资金预警的收支明细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债务风险预警明细：企业带息负债及未来到期情况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虚假贸易监测：企业虚假贸易资金收入、支出情况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对外捐赠资金情况：集团对外捐赠情况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智能风险分析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企业风险态势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监管企业风险评价态势：近六年企业亮灯及得分情况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监管企业风险评价数据指标：可调整企业得分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企业风险评价模型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字段取值维护、评分指标维护、行业标准值、标准得分表、亮灯评分表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企业财务数据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资产负债表、利润表、现金流量表、所有者权益变动表、国有资本权益变动情况表、基本情况表、带息负债情况表、财务风险评价计算基础数据表、财务风险评价计算过程表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企业财务审核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审批国企上传的财报，审核通过后数据同步至财务风险态势、首页监管企业财务快报分析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资金预警管理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资金预警明细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大额支付、连续支付、重点交易对象、大额未报备、账户余额、自定义、企业债券、带息债务、大额整数交易占比较高、收支重合金额与比例较大、非同名账户来回转账、银行账户久悬户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预警信息推送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预警信息推送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重点交易对象配置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收支明细数据中的交易对手方名称或单位编码精准匹配企信通里企业的异常信息，企信通中该企业有异常就会预警；</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新增重点交易对象，用于精准匹配收支明细数据中的对手方名称或编码；</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其中有个预警类型是其他的还需要精准匹配交易对手方账号，命中则预警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预警方案配置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配置预警方案，当前接入收支明细的部分字段；系统内置部分预警方案，不可删除，可编辑、停用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数据报送管理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大额资金-大额资金数据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大额资金-大额报备数据管理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账户数据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银行账号数据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银行账户数据，来自自动上报和手动上报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账户余额数据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账户余额数据中一个账户多条数据，余额更新后则更新一条数据，根据数据所属日期区分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全量账户余额数据：一个账户一条数据，展示最新账户余额数据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收支明细数据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账户交易明细数据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资金汇总：单个账户有4条数据，根据收、付、对内、对外区分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债务融资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债务及还款信息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债务及还款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一个债务合同一条数据，根据债务本金金额及本月到期本金金额累计，汇总累计已还本金、债务本金剩余金额（债务本金金额-累计已还本金）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企业债券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采购外部接口通联债券数据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担保数据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一个担保合同多条数据，根据数据所属日期区分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企业基本信息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票据数据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票据交易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收票明细，一个票据号、子票区间根据票据状态有多条数据，同一个票据状态只有一条数据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付票明细，一个票据号、子票区间根据票据状态有多条数据，同一个票据状态只有一条数据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数据报送</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上报进度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所有企业数据上报进度，数据所属日期区分干什么的？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手动上报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手动上报企业信息、银行账户、账户余额、收支明细、债务及还款、担保、大额报备、虚假贸易监测、对外捐赠资金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数据下载中心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系统数据超1w条后，进行异步下载，异步任务及附件在此页面进行展示下载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任务状态：任务待处理（下载任务正在排队）、任务进行中（下载任务正在下载中）、成功（下载任务已成功）、失败（下载任务失败）；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项目资金管理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项目信息维护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重大项目信息维护，与其他地方的联动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固定资产投资情况表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根据项目编号关联收支明细的支出，显示该项目的已支付金额及对应明细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管理菜单、数据权限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维护组织机构信息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修改账户密码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维护系统菜单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操作日志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系统操作日志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汇率管理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手动维护汇率信息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通用参数配置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菜单样式、图标样式、资金预警管理、手动上报配置、重点交易对象预警开启配置、项目类型配置、审批流配置、系统水印配置、系统消息通知配置、系统名称配置；根据租户生效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字典值配置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系统字典值配置，与CBS字典值有映射关系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ERP配置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外部ERP接口配置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财报配置-财务模版配置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财报模版名称、周期、表头字段信息选择（可多表头选择组合）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财报配置-财务表配置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维护单表表头信息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财报配置-财务项目配置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维护表字段信息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加密配置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预算管理模块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核心功能</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预算编制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主要包括预算模板、编制审核、预算下达等功能。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主要包括月度执行分析、预算偏差预警、超预算管控等功能。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预算调整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主要包括调整审批、调整备案、动态管理等功能。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预算考核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主要包括执行率考核、偏差分析、结果应用等功能。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预警功能</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主要包括预算编制合规性、预算执行约束力、预算调整规范性等功能。</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资产管理模块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核心功能</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资产登记管理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主要包括资产台账、分类编码、折旧管理等功能。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资产使用管理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主要包括资产调拨、资产出租、资产借用等功能。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产权交易管理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主要包括转让审批、评估管理、公开交易等功能。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闲置资产盘活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主要包括闲置识别、盘活方案、跟踪督办等功能。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资产清查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both"/>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主要包括定期清查、账实核对、差异处理等功能。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预警功能</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主要包括资产闲置预警、租金异常预警、无证无账预警、产权交易异常预警等功能。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主要包括资产闲置、租金异常、无证无账、产权交易异常等7条。</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融资管理模块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前期准备</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模块功能开通</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模块功能开通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外部融资模块包含融前管理、授信管理、贷款管理、发债管理、担保管理、保函管理、融资分析、投融资业务配置、融资台账管理共9个一级菜单、27个二级菜单，需逐项开通后方可使用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用户权限配置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功能组配置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按经办、审批、管理岗分组，为各功能菜单配置查询、新增、编辑、查看、删除、导出等按钮权限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用户权限配置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为功能组赋予数据权限，控制在单位/账号/用途/摘要维度下可操作或查询的数据范围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用户权限配置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维护外部融资业务人员信息，通过角色维护的成员管理或用户维护的个性化授权赋予功能权限、账户权限、单位权限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业务参数配置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审批类参数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配置债券查询维护审批、债券还款管理审批、融资计划经办审批、融资台账历史审批等参数，控制各项经办操作是否触发审批流（Y/N）</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业务参数配置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要素展示控制参数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配置授信合同、贷款合同、担保合同、提款、融资计划等要素的展示与必录控制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业务参数配置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额度校验参数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配置融资计划、担保合同、担保计划的预占/占用金额是否校验业务金额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业务参数配置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利息预提参数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配置是否开启自动预提、预提模式（全额/差额）、自动预提日（1-31）、自动预提发起时间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业务参数配置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其他参数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包括付息计划自动刷新、贷款计息规则默认值、台账唯一主键标识设置、历史数据是否允许重复、融资分析年化成本折算基准等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审批流程配置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审批流程配置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共17个审批流程，涵盖融资计划、授信合同、贷款申请/合同/提款/还款、债券/债券还款、押品、担保合同、保函、融资台账历史、担保计划等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基础数据配置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用途摘要维护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对外部融资经常性输入的用途、摘要提前收集整理并录入系统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基础数据配置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管理员可自定义经办页面备选字段，内置5个预留字段，最多支持20个自定义扩展字段；支持贷款合同、担保合同、押品、提款、授信合同、业务品种、融资计划、债券管理的表单自定义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基础数据配置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打印模板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配置外部融资相关单据的打印模板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基础数据配置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消息通知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配置融资业务到期通知、审批通知，通知渠道支持站内消息、邮件、APP推送、微信公众号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查询系统中的融资品种列表，支持按品种名称、状态等条件筛选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融资品种启用/停用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对内置融资品种进行启用或停用操作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新增自定义融资品种，录入品种编号、名称、所属一级品种等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融资品种编辑-业务品种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编辑一级融资品种信息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融资品种编辑-业务子品种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编辑业务子品种信息，可设置银团贷款、项目信息等属性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融前管理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查询融资计划列表，展示计划编号、融资额度、已占用/可用额度等信息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录入计划年度、融资额度、品种范围、是否循环、临时计划等；支持保存草稿；计划明细非必录；支持表单配置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编辑未终止的融资计划，支持修正和变更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融资计划终止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终止融资计划，需走审批流程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融资计划撤销终止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撤销已终止的融资计划，恢复为正常状态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删除融资计划，需走审批流程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融资计划续期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对到期融资计划续期，自动迁移额度信息；支持手工占用/释放额度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查询融资询价列表，支持多条件筛选；支持导出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支持单笔新增和批量导入；录入询价金融机构、利率、额度等信息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编辑未提交的融资询价记录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融资询价删除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删除融资询价记录，支持批量删除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查询授信合同列表，展示合同编号、用信单位、授信额度、已用/可用额度、状态等；支持导出、打印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支持保存草稿、单笔新增和批量导入；录入授信编号、用信单位、合作机构、授信额度、品种范围、是否循环、是否敞口授信等；可关联授信申请编号；支持新增担保合同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支持修正和变更；修正时授信起始日可修改；增加变更功能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授信合同手工占用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手工占用授信额度，支持关联票据；生成使用明细和使用记录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授信合同手工释放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手工释放已占用的授信额度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授信合同续期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对到期授信合同续期，自动迁移额度至新合同；支持使用记录迁移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授信合同终止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终止授信合同，终止后不可再被占用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授信合同过期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支持自动过期（参数控制）和手动过期；过期后可用额度更新为0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授信合同恢复正常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将过期状态的授信合同恢复为正常状态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删除授信合同，有手工占用记录也可删除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授信合同复制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复制已有授信合同信息快速创建新合同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授信合同历史记录</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历史记录查询/查看/导出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查询授信合同的历史变动记录，展示变动类型、变动金额、业务日期、经办人等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用信单位授信查询</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用信单位授信查询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按用信单位维度查询授信额度及使用明细；支持查看、导出、打印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查询授信申请列表，展示申请流水号、合作机构、签约总额度、状态等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新增授信申请，录入合作机构、签约总额度、品种等信息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编辑授信申请信息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录入结果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录入授信申请办理结果，增加合同生成状态、是否全部录入两个标记字段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授信申请关闭</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关闭授信申请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授信申请恢复正常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将已关闭的授信申请恢复为正常状态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授信申请删除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删除授信申请记录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查询授信批复列表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新增授信批复记录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编辑授信批复信息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作废授信批复记录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授信批复删除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删除授信批复记录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贷款申请查询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查询贷款申请列表，展示申请编号、申请单位、合同金额、状态等；支持导出、打印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贷款申请新增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录入申请单位、合作机构、申请金额、贷款期限等；支持关联信用证、票据、银团信息、保证金账户；申请日期可改为历史日期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办理结果录入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录入办理结果；成功生成贷款合同；失败支持走审批流；合同金额需≤申请金额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查询贷款合同列表，展示合同编号、合同金额、贷款余额、敞口金额、执行利率、状态等；支持导出、打印、导入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单笔新增和批量导入；录入合同信息、利率信息、还本付息方式、计息基准、担保信息、银团信息等；支持关联授信、融资计划、担保计划、担保合同；新增预估执行利率字段；支持统借统贷；支持表单自定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支持修正和变更；可同步修改未结清提款计息信息（用户勾选需同步的提款）；增加利率历史区域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贷款合同展期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对贷款合同展期，延长到期日；展期后可撤销</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贷款合同终止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终止贷款合同，终止后可撤销</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作废贷款合同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删除贷款合同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贷款合同复制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复制已有贷款合同信息快速创建新合同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查询提款列表，展示提款编号、贷款合同、提款金额、贷款余额、执行利率、状态等；支持导出、打印、导入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刷新付息计划</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手动或自动刷新付息计划，当计息规则变动、利率调整、还款变动、还本计划变动时更新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支持保存草稿、单笔新增和批量导入；录入提款金额、利率信息、还本付息计划（支持导入）；增加利率历史区域；还本/付息账号可通过参数控制是否必填；支持关联担保合同、融资计划、担保计划、票据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编辑提款信息；提款已还款时可修改关联新的担保合同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提款还款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从提款直接发起还款操作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作废提款记录，释放授信额度和担保金额；支持批量作废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删除提款记录；支持批量删除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提款复制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复制已有提款信息快速创建新提款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提款历史记录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查询提款的历史变动记录，展示变动类型、金额、业务日期等；支持查询、查看、导出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查询还款列表，展示还款编号、提款编号、还款金额、状态等；支持导出、打印、导入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支持单笔新增和批量导入；录入还款金额、还款日期等；释放融资计划金额和授信额度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编辑还款信息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作废还款记录，恢复授信额度和融资计划金额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还款删除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删除还款记录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查询还本付息计划列表，展示计划还款日、还本金额、付息金额、执行状态等；最多支持400笔计划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支持单笔新增和批量导入；计划还款日可≤贷款到期日+15天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执行单条还本付息计划，完成实际还款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还本付息计划批量执行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批量执行多条还本付息计划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编辑未执行的还本付息计划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删除还本付息计划，支持批量删除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贷款还本付息计划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发起请款申请/调拨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从还本付息计划发起请款申请或调拨，后续在付款排程中完成支付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还本付息测算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还本付息测算查询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查询测算结果，展示测算期间、本金、利息、合计等；支持一次性测算2000笔数据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还本付息测算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收付实现制测算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按收付实现制进行测算，基于实际现金流计算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还本付息测算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权责发生制测算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按权责发生制进行测算，基于权责发生原则计算利息费用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查询利息预提记录，展示预提期间、预提金额、状态等；支持分段明细查看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支持手动新增预提和自动预提（按参数配置自动执行月度预提，支持全额预提和差额预提两种模式）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作废已生成的利息预提记录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利息预提删除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删除已作废的利息预提记录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发债管理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查询债券列表，展示债券编号、发行机构、债券金额、余额、状态等；支持导出、打印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刷新付息计划</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手动或自动刷新债券下的付息计划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支持保存草稿和单笔新增；录入债券基本信息、计息信息、还本付息计划（支持导入）；支持关联融资计划；支持表单配置；支持录入评级到期日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编辑债券信息，固定利率可手工维护基准利率，编辑页面可手工维护利率历史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从债券直接发起还款操作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删除债券记录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查询债券还款列表，展示还款编号、债券编号、还款金额、状态等；支持导出、打印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新增债券还款记录；还款可根据循环标记释放融资计划金额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作废债券还款记录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债券还款删除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删除债券还款记录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查询债券还本付息计划列表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新增债券还本付息计划，支持批量导入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执行单条债券还本付息计划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还本付息计划批量执行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批量执行多条债券还本付息计划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编辑未执行的债券还本付息计划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还本付息计划删除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删除债券还本付息计划，支持批量删除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债券还本付息计划</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发起请款申请/调拨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从债券还本付息计划发起请款申请或调拨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债券还本付息测算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还本付息测算查询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查询债券测算结果；支持一次性测算2000笔数据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债券还本付息测算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收付实现制测算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按收付实现制进行债券还本付息测算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债券还本付息测算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权责发生制测算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按权责发生制进行债券还本付息测算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预提方案配置（债券）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新增预提方案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新增债券预提方案，配置预提规则、预提周期、预提比例等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预提方案配置（债券）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编辑预提方案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编辑已有的债券预提方案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预提方案配置（债券）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删除预提方案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删除债券预提方案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查询债券利息预提记录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支持手动预提和自动预提（按预提方案配置自动执行）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债券利息预提作废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作废已生成的债券利息预提记录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债券利息预提删除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删除已作废的债券利息预提记录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查询押品列表，展示押品编号、名称、所有人、账面原值、账面净值、状态等；支持导出、导入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支持保存草稿、单笔新增和批量导入；录入押品基本信息、所有人类型、账面原值、账面净值等；支持表单自定义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编辑押品信息，支持变更账面原值；所有人类型和所有人允许编辑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押品终止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终止押品，录入业务日期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删除押品记录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押品复制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复制已有押品信息快速创建新押品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查询担保合同列表，展示合同编号、被担保人、担保金额、担保余额、状态等；支持导出、导入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支持保存草稿、单笔新增和批量导入；录入担保合同基本信息、被担保人、担保金额、境内外类型等；支持新增时关联授信合同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编辑担保合同信息，支持变更功能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担保合同手工占用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手工占用担保额度，支持关联票据；支持按外币*汇率进行占用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担保合同手工释放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手工释放已占用的担保额度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担保合同过期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支持自动过期和手动过期，录入业务日期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担保合同终止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终止担保合同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担保合同恢复正常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将过期状态的担保合同恢复为正常状态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删除担保合同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担保合同复制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复制已有担保合同信息快速创建新合同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担保合同续期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对到期担保合同续期，自动迁移额度信息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查询担保计划列表，展示计划编号、担保额度、已占用/可用额度等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支持保存草稿和单笔新增；录入计划年度、担保额度、品种范围等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编辑担保计划信息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担保计划关闭</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关闭担保计划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担保计划结转</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将担保计划结转至下一周期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删除担保计划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担保计划管理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手工调整使用情况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手工调整担保计划的使用情况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查询保函申请列表，展示申请编号、申请类型、保函金额、状态等；支持导出、打印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开函申请新增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新增开函申请，支持</w:t>
            </w:r>
            <w:r>
              <w:rPr>
                <w:rFonts w:hint="eastAsia" w:asciiTheme="minorEastAsia" w:hAnsiTheme="minorEastAsia" w:cstheme="minorEastAsia"/>
                <w:i w:val="0"/>
                <w:iCs w:val="0"/>
                <w:color w:val="000000"/>
                <w:sz w:val="24"/>
                <w:szCs w:val="24"/>
                <w:highlight w:val="none"/>
                <w:u w:val="none"/>
                <w:lang w:val="en-US" w:eastAsia="zh-CN" w:bidi="ar"/>
              </w:rPr>
              <w:t xml:space="preserve">主流商业银行</w:t>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国内保函授信开/闪电开/数智开、电子保函等多种申请类型</w:t>
            </w:r>
            <w:r>
              <w:rPr>
                <w:rFonts w:hint="eastAsia" w:asciiTheme="minorEastAsia" w:hAnsiTheme="minorEastAsia" w:eastAsiaTheme="minorEastAsia" w:cstheme="minorEastAsia"/>
                <w:i w:val="0"/>
                <w:iCs w:val="0"/>
                <w:color w:val="000000"/>
                <w:sz w:val="24"/>
                <w:szCs w:val="24"/>
                <w:u w:val="none"/>
                <w:lang w:val="en-US" w:eastAsia="zh-CN" w:bidi="ar"/>
              </w:rPr>
              <w:t xml:space="preserve">；录入被担保人、受益人、保函金额、保证金等信息；支持OCR智能识别</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保函请款申请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保函台账申请支持调拨，发起后进入付款排程处理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台账申请办理结果录入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录入保函申请办理结果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保函补件和刷新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对保函申请进行补件和刷新操作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保函申请管理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保函注销申请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发起保函注销申请，附件和注销原因改为必填</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查询开函列表，展示开函编号、被担保人、保函金额、状态等；支持导出、打印、导入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新增开函记录，支持OCR智能识别；录入签发手段、开立机构国家、还款账号等信息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编辑开函信息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开函还款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开函还款操作，支持还款作废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开函注销</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注销开函记录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删除开函记录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发起验真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提交后由</w:t>
            </w:r>
            <w:r>
              <w:rPr>
                <w:rFonts w:hint="eastAsia" w:asciiTheme="minorEastAsia" w:hAnsiTheme="minorEastAsia" w:cstheme="minorEastAsia"/>
                <w:i w:val="0"/>
                <w:iCs w:val="0"/>
                <w:color w:val="000000"/>
                <w:sz w:val="24"/>
                <w:szCs w:val="24"/>
                <w:highlight w:val="none"/>
                <w:u w:val="none"/>
                <w:lang w:val="en-US" w:eastAsia="zh-CN" w:bidi="ar"/>
              </w:rPr>
              <w:t xml:space="preserve">主流商业银行</w:t>
            </w:r>
            <w:r>
              <w:rPr>
                <w:rFonts w:hint="eastAsia" w:asciiTheme="minorEastAsia" w:hAnsiTheme="minorEastAsia" w:eastAsiaTheme="minorEastAsia" w:cstheme="minorEastAsia"/>
                <w:i w:val="0"/>
                <w:iCs w:val="0"/>
                <w:color w:val="000000"/>
                <w:sz w:val="24"/>
                <w:szCs w:val="24"/>
                <w:u w:val="none"/>
                <w:lang w:val="en-US" w:eastAsia="zh-CN" w:bidi="ar"/>
              </w:rPr>
              <w:t xml:space="preserve">直联接口返回验真结果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查询收函列表，展示收函编号、开函机构、保函金额、状态等；支持导出、打印、导入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新增收函记录，录入开函机构、保函金额、到期日等信息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编辑收函信息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收函收款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收函收款操作，支持收款作废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收函注销</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注销收函记录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收函删除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删除收函记录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融资分析</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债务余额与成本分析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成本分析测算查询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测算查询融资余额与成本分析（期间），展示债务余额、融资成本、年化融资成本等；年化成本折算基准可按365天或360天计算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债务余额与成本分析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查看分段清单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查看成本分析的分段计息清单明细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债务余额与成本分析</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列表导出/分段清单导出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导出成本分析列表和分段清单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融资台账管理</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台账模板配置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台账模板新增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新增台账模板，配置展示字段、金额单位（如万元）等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台账模板配置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台账模板编辑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编辑已有的台账模板配置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授信信息查询/新增/编辑/删除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轻量版授信台账的查询、新增、编辑、删除；支持管理附件、导入、导出、下载模板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授信历史记录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授信历史台账的新增、编辑、查询、查看、删除、导入、导出；支持审批参数控制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融资信息查询/新增/编辑/删除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轻量版融资台账的查询、新增、编辑、删除；支持管理附件、导入、导出、下载模板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融资历史记录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融资历史台账的新增、编辑、查询、查看、删除、导入、导出；支持审批参数控制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担保信息查询/新增/编辑/删除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轻量版担保台账的查询、新增、编辑、删除；支持管理附件、导入、导出、下载模板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担保历史记录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担保历史台账的新增、编辑、查询、查看、删除、导入、导出；支持审批参数控制</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业务考核模块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考核监管</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首页门户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登录模块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提供登录页并接入用户信息供用户登录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功能导航</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首页以卡片形式展示经营监管看板、考核结果看板、考核过程跟踪、国企内部考核看板、系统管理中心、外部董事考核等业务入口。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经营监管入口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点击“经营监管看板”进入市属企业经营监管页面。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考核结果入口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点击“考核结果看板”进入年度考核结果汇总与企业明细页面。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考核过程入口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点击“考核过程跟踪”进入指标审核、加分事项、扣分事项过程管理页面。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国企内部考核入口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点击“国企内部考核看板”查看一级集团对下属企业内部考核结果。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系统管理入口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点击“系统管理中心”进入企业管理、指标库、一企一策、预警规则等配置页面。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外部董事考核入口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点击“外部董事考核”进入兼职外部董事履职监管与考核评价页面。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模块路由跳转</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点击功能卡片后通过系统路由进入对应页面，并保持统一国资端页面框架。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公共导出与状态提示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经营数据导出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经营监管页面支持按当前统计周期和企业类型导出经营监管数据。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考核结果导出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考核结果看板支持按组织树当前范围导出考核结果。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考核过程导出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考核过程跟踪支持选择导出范围和指标审核、加分事项、扣分事项内容。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操作提示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保存、审核、下发、导出等操作完成后显示结果提示信息。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查询筛选</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统计周期选择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支持选择2026年4月、5月、6月等统计周期。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企业类型筛选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支持全部、功能类、商业类、文化类企业切换筛选。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查询条件重置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支持一键恢复默认统计周期和企业类型。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当前条件导出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按当前统计周期及企业类型导出经营监管数据。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经营KPI总览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营业收入总额</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汇总展示当前范围企业营业收入总额。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利润总额</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汇总展示当前范围企业利润总额。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资产总额</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汇总展示当前范围企业资产总额。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平均目标完成率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汇总计算并展示企业目标平均完成率。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风险预警数量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汇总展示当前有效风险预警数量，并支持进入预警相关页面。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监管企业经营概览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企业经营列表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展示企业名称、企业类型、营业收入、利润总额、净资产收益率、目标完成率、当前预警。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企业名称排序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支持按企业名称排序。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企业类型排序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支持按企业类型排序。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营业收入排序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支持按营业收入排序。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利润总额排序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支持按利润总额排序。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净资产收益率排序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支持按净资产收益率排序。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目标完成率排序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支持按目标完成率排序。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企业详情穿透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点击企业名称进入企业经营详情弹层，查看该企业经营、趋势和历年考核信息。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企业预警数量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在企业行展示当前预警条数及最高预警等级。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企业预警穿透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点击企业预警数量查看该企业当前预警和全部历史预警记录。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六类指标完成情况</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六类指标进度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展示效益提升、经营拓展、重点保障、改革创新、风险管控、企业治理等指标完成率。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完成率进度条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通过进度条和百分比直观展示各维度完成情况。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经营结构摘要</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资产结构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展示流动资产、非流动资产等资产结构及占比。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收入结构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展示主营业务收入、其他业务收入等收入结构及占比。</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利润与负债结构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展示经营性利润、投资收益、短期负债、长期负债等结构信息。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重点预警动态</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重点预警列表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展示企业名称、监测指标、当前值、预警等级、触发时间。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预警等级展示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按黄色、橙色、红色等等级显示预警状态。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点击预警记录查看预警编号、类别、指标、阈值、等级、触发时间和处理状态等。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支持将预警转处理中、解除预警或关闭预警，并填写处理说明。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预警处理人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处理预警时可记录处理人及处理时间。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预警附件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预警处理支持记录相关附件信息。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企业当前预警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企业预警明细支持查看当前有效预警。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企业全部记录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企业预警明细支持切换查看全部历史预警记录。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企业经营详情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企业基本信息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展示当前企业名称、企业类型及统计周期。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展示营业收入、利润总额、资产总额、资产负债率等核心经营指标。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经营趋势展示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展示企业经营指标趋势图。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经营结构摘要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展示企业资产、收入、利润、负债等结构明细。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六类指标完成情况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展示企业六类指标的完成率。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历史统计周期选择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支持近3年、近5年或自定义年度范围查看经营历史。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趋势指标切换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支持切换不同经营指标查看年度趋势。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年度经营对比表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展示历年营业收入、利润总额、资产总额、资产负债率、净资产收益率、经营性利润、投资收益、六维完成率。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同比变化</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历史经营表同步展示与上年度相比的变化情况。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历年考核趋势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展示企业综合得分年度趋势及年度排名。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历年考核对比</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展示历年综合得分、排名、考核等次、六维得分、加分和扣分。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年度考核明细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点击某年度查看该年度六维考核指标明细，并标识只读查看。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企业组织树</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组织树展示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展示一级集团及其下属二级、三级企业组织层级。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企业节点选择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点击组织节点切换当前考核结果查看对象。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集团汇总查看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选择全部或一级集团节点时展示范围内企业考核结果汇总。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下属企业穿透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选择二级、三级企业后查看该企业指标及考核结果。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当前查看标识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展示当前查看企业、企业层级及考核年度。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企业考核结果汇总</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结果汇总列表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展示企业名称、企业类型、综合得分及六维指标得分。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加分展示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展示企业考核加分项汇总分值。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减分展示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展示企业考核减分项汇总分值。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文化类口径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文化类企业按40分制经济效益考核口径展示。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普通企业口径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功能类、商业类企业按100分制六维综合考核口径展示。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企业行穿透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点击企业名称或表格行进入企业考核指标明细。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考核结果导出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支持导出当前组织范围内考核结果。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企业指标明细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维度筛选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支持按考核维度筛选指标。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指标属性筛选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支持定量、定性指标筛选。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填报状态筛选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支持已填报、填报中、未填报筛选。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预警状态筛选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支持正常、黄色预警、红色预警筛选。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筛选条件重置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支持重置企业指标明细筛选条件。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指标结果表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展示指标类型、一级指标、权重、指标属性、数据来源、分项指标、基准值、年度目标、当前完成值、完成度、预计得分、状态。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文化企业结果明细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文化类企业展示文化类经济效益考核结果明细。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普通企业结果明细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非文化类企业展示高质量发展绩效评价考核结果明细。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企业结果表导出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支持导出当前企业年度结果表。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定量指标详情与审计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指标详情查看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查看企业、指标类型、一级指标、分项指标、指标属性、数据来源、基准值、目标值、当前完成值、完成度、得分、状态和评分规则。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数据中台原始值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展示数据中台原始取数值。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数据更新时间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展示数据中台数据更新时间。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来源系统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展示定量数据来源系统。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取数批次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展示数据取数批次。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取数状态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展示当前取数状态。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展示定量指标是否已审计或已调整。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审计调整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支持审计人员打开定量指标审计调整页面。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审计后最终值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支持录入或确认审计后最终值。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调整原因</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调整数据时填写审计调整原因。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审计单位与人员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记录审计单位、审计人员及审计日期。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审计依据与附件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记录审计依据和审计附件。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定性佐证材料与AI审核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佐证材料查看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查看企业、年度、考核维度、一级指标、分项指标、目标要求及材料提交状态。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展示文件名称、类型、大小、上传人、上传时间和解析状态。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材料预览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支持在线预览企业上传的佐证材料。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支持下载企业佐证材料。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AI审核启动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对有材料的定性指标发起AI材料智能审核。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AI审核报告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展示AI审核结论、本项满分、AI建议得分、建议扣分及审核时间。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证明事项识别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展示AI从材料中识别出的证明事项、来源文件、页码/章节和识别摘要。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审核材料清单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AI审核报告内展示使用的材料及解析状态。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人工复核结论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支持选择认可AI结论、建议补充材料或转人工重点复核。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复核意见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支持填写并保存人工复核意见。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重新审核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支持对当前指标重新发起AI审核。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审核报告导出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支持导出AI审核报告。</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业务范围与组织树</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考核年度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支持按年度查看考核过程。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企业组织树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展示一级集团。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组织树搜索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支持按企业名称搜索组织节点。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业务标签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支持指标审核、加分事项、扣分事项三个业务标签切换。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指标审核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按当前组织范围展示考核指标及过程状态。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定量审计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定量指标支持第三方审计确认或调整。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审计调整方式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支持确认原值或调整审计值。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审计理由</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调整时填写审计原因及评分说明。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审计机构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记录审计机构、审计人员及审计日期。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审计依据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记录审计依据及附件。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定量自动计算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审计后根据当前值、基准值和评分规则重新计算结果。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定性材料检查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定性指标检查企业材料是否已提交且解析有效。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AI材料审核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对定性材料执行AI解析和审核。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科室评分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AI审核完成后由责任科室进行人工评分。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评分说明</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科室评分时填写评分说明和科室意见。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评分人员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记录科室评分人员。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材料不足退回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材料缺失或无有效材料时保持待企业填报/退回补充状态。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过程状态保存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保存指标在考核流程中的当前处理状态。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加分事项审核</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加分事项筛选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支持按年度、企业、企业类型、AI审核状态、审批状态和关键词筛选。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企业加分汇总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展示企业申报条数、合计申请加分、AI建议加分合计和最终认定加分。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事项详情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查看事项编号、企业、事项名称、事项类型、申报分值、规则依据等。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成果信息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查看突破领域、主要成果、产生效益和认定依据。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佐证材料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查看加分事项相关佐证材料及解析状态。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材料预览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支持在线预览加分事项佐证材料。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支持下载加分事项材料。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AI审核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执行规则匹配、材料完整性、事项真实性、重复申报和建议加分值审核。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人工审批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支持通过、驳回、退回补充等人工审批结论。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最终认定分值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人工审批时录入最终认定加分值并限制不超过申报上限。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审批意见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记录加分事项人工审批意见。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扣分事项登记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扣分事项筛选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支持按年度、企业、企业类型、责任科室、登记状态和关键词筛选。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扣分规则列表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按规则库展示具体扣分事项、标准扣分值、规则依据和触发条件。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发生次数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支持登记扣分事项发生次数。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严重程度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区间扣分规则支持轻微、一般、严重等情节选择。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建议扣分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系统根据规则模式和发生次数计算建议扣分。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实际扣分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允许在规则上限范围内确认实际扣分。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事实说明</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登记扣分事项发生事实和处理意见。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佐证材料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支持上传或记录扣分事项佐证材料。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暂存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支持暂存企业扣分登记。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确认登记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确认后将扣分纳入国资端考核结果汇总。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撤回确认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在允许状态下支持撤回确认并重新编辑。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批量登记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支持打开批量登记矩阵对多家企业进行扣分录入。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材料原文与AI证据预览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材料原文预览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展示佐证材料原文页面。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分页浏览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支持上一页、下一页浏览材料。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缩放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支持放大、缩小材料预览。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AI证据定位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支持定位AI引用的原文证据位置。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结构化预览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对重点项目通知、项目申报说明等材料以结构化Demo内容展示。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过程数据导出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导出范围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导出范围以左侧组织树当前选中节点为准。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导出内容选择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支持选择指标审核、加分事项、扣分事项。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Excel导出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生成考核过程明细Excel文件。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内部考核结果汇总</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全部企业汇总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展示集团下属企业内部考核汇总结果。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层级筛选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支持全部层级、二级企业、三级企业筛选。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等级筛选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支持优秀、良好、合格、待改进等结果等级筛选。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年度筛选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支持2026、2025、2024年度切换。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查询与重置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支持按筛选条件查询并重置。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结果排名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展示企业排名。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展示企业名称、层级、所属上级企业、考核总分、加分、扣分、最终得分、结果等级。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分页查看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支持内部考核结果分页浏览。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内部考核企业详情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结果概览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展示所属集团、方案名称、考核年度和考核状态。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指标结果明细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展示指标类型、一级指标、权重、属性、数据来源、分项指标、基准值、年度目标、当前完成值、完成度、基础得分、加减分、最终得分。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查看企业名称、考核维度、指标名称、属性、权重、目标要求、当前完成情况、评分标准和结果。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评分意见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查看评分意见、评分人员和评分时间。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佐证材料标签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在内部考核指标详情中切换查看佐证材料。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评分记录标签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查看内部考核评分记录。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材料预览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支持查看内部考核佐证材料。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材料下载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支持下载内部考核佐证材料。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内部考核结果导出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当前范围导出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按当前选中集团或企业范围导出内部考核结果。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内部考核结果表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生成内部考核结果Excel文件。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企业管理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企业组织树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展示一级集团、二级单位、三级子公司组织结构。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组织树搜索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支持按企业名称搜索组织节点。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按企业层级、企业性质、行业类型、经营状态、考核纳入状态筛选。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新增企业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新增企业并维护企业基础信息。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编辑企业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修改企业基础信息和监管属性。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查看企业完整基础信息。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企业导入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通过文件批量导入企业数据。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企业导出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导出企业主数据列表。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企业名称与编码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维护企业名称、简称、企业编码、统一社会信用代码。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组织层级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维护企业层级、所属一级集团和上级企业。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企业类型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维护功能类、商业类、文化类企业类型。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行业类型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维护企业行业类型。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经营状态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维护正常运营、停业、注销、清算中等状态。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纳入考核</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配置企业是否纳入考核。</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纳入经营监管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配置企业是否纳入经营监管。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评分模式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配置100分制或文化类40分制评分模式。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联系人信息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维护法定代表人、企业负责人、联系人、联系电话等。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企业状态变更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支持停用、恢复运营、注销、启用等状态操作。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指标库管理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指标库列表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展示指标名称、所属大类、一级指标名称、指标属性、行业对标和状态。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新增指标库指标。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修改已有指标信息。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启用停用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支持启用或停用指标。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支持维护指标所属大类。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新增指标类别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支持新增指标类别并配置排序和备注。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一级指标名称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配置指标对应一级指标。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指标属性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配置定量或定性属性。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行业对标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配置指标是否涉及行业对标。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状态筛选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按指标状态筛选列表。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一企一策指标配置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企业选择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通过组织树选择具体企业。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考核年度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按年度维护企业考核指标方案。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企业类型适配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根据企业类型显示对应模块和评分模式。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模块权重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展示模块总权重、已分配权重和剩余权重。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添加指标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从指标库选择并添加企业考核指标。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一级指标权重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配置一级指标权重。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分项指标权重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配置分项指标权重。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指标属性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配置定量或定性。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数据来源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配置数据中台、企业填报、国资委填报、人工填报等来源。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基准值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配置考核指标基准值。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目标值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配置年度目标值。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计量单位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配置亿元、万元、元、项、百分比、无等单位。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年度目标/定性要求</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维护年度目标或定性任务要求。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责任科室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配置指标责任科室。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配置指标评分规则或评分说明。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启用状态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配置指标启用或停用。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编辑已配置的一企一策指标。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指标删除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删除已配置指标。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企业指标草稿与下发</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草稿列表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展示企业名称、类型、年度、模块数、指标数、总权重、状态、最近更新人和更新时间。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新增企业配置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为企业新建年度指标配置。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导入指标配置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支持导入企业指标配置。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编辑草稿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进入企业指标方案继续编辑。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确认配置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确认企业年度指标配置。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批量选择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支持勾选多家企业进行下发。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下发企业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将已确认指标方案下发到企业端。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下发确认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下发前展示企业清单并二次确认。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下发记录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查看历史下发批次。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下发批次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记录批次号、企业、类型、年度和下发时间。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下发记录查看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查看某次下发记录详情。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预警规则配置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预警规则列表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展示规则名称、预警类别、适用企业、监测指标、判断方式、阈值、提醒对象、状态和更新时间。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规则查询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按规则名称、预警类别、适用企业和启用状态筛选。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新增预警规则。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修改预警规则。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删除规则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删除预警规则并进行确认。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预警类别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配置经营指标、财务风险、考核进度、数据报送、佐证材料、AI审核风险等预警类别。</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适用企业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支持全部监管企业或指定企业。</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监测指标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根据预警类别选择对应监测指标。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判断方式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支持大于等于阈值、小于等于阈值、超过期限等触发方式。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黄色阈值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配置黄色预警阈值。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橙色阈值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配置橙色预警阈值。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红色阈值</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配置红色预警阈值。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提醒方式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支持站内消息、短信提醒等提醒方式配置。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提醒对象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支持企业填报人员、企业负责人、国资委业务处室、国资委分管领导等提醒对象。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提醒频率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支持首次提醒、每日提醒、每周提醒等频率配置。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规则状态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支持启用或停用规则。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数据管理-外部董事档案</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档案列表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展示姓名、工作单位、职务、专业特长、学历、职称、任职企业数量、聘任批次、届次、任职起止日期和状态。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档案查询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支持按姓名等关键字查询外部董事。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状态筛选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支持在任、即将到期、临期提醒、已到期、已离任、未任职筛选。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新增外部董事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新增外部董事基础档案。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编辑外部董事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修改外部董事基础信息。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档案详情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查看外部董事完整档案信息。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任职情况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查看外部董事当前及历史任职关系。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新增任职关系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新增任职企业、职务、聘任批次、任期起止、届次和任职状态。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编辑任职关系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修改已存在的任职关系。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临期提醒</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根据任职结束日期自动显示即将到期或临期提醒。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历史任职记录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展示外部董事历次任职企业及聘期。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数据管理-任期履职任务书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任务书查看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查看当前任期履职任务书。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任务书版本</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展示任务书当前版本和版本属性。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任务目标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每份任务书配置2—4项核心价值创造目标。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目标方向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维护任务目标所属价值创造方向。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目标内容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维护具体目标内容和目标值/任务要求。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完成时限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配置每项任务完成时限。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完成情况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展示当前完成情况和完成进度。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佐证说明</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展示任务目标佐证说明。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申请调整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对当前任务书发起调整申请。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版本留痕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任务书调整后生成新版本，原版本保持只读。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三方确认状态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展示国资委、外部董事本人、任职企业董事会确认状态。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履职数据-董事会履职</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履职汇总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展示应出席会议、实际出席、缺席、委托出席、会议出席率、意见数量、重大议案数量和同意票比例。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任职企业筛选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按任职企业筛选董事会履职记录。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会议列表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展示会议名称、企业、时间、类型、出席、出席方式、委托、表决结果和意见数量。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会议详情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查看会议地点、出席情况、表决情况和履职意见。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会议通知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查看会议通知材料。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会议纪要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预览会议纪要。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议案材料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预览会议议案材料。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会议附件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查看会议相关附件和议程。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履职数据-报告管理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展示报告总数、各类型报告数、已提交、逾期、未提交和材料完整率。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任职企业筛选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按任职企业筛选报告。</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报告类型筛选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按会前报告、会后履职报告、专项报告、年度述职、任期述职等筛选。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展示报告名称、关联会议、要求提交时间、实际提交时间、逾期状态和材料状态。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查看报告结构化内容和相关履职内容。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报告时效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展示报告是否逾期及逾期天数。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报告附件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查看或模拟预览报告附件。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履职数据-调研及现场工作</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调研汇总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展示年度调研次数和最近一次调研时间。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现场工作天数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汇总年度现场工作天数。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30天要求</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对照30个工作日要求展示完成情况和差额。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任职企业达标情况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按任职企业展示现场工作达标情况。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调研记录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展示调研时间、企业、地点、主题、参加人员、对象、内容和成果。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调研报告附件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支持预览调研报告附件。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现场工作明细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展示工作日期、企业、履职类型、地点、事项、工时、折算工作日和企业确认状态。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计入规则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仅“是否计入现场工作日=是”的记录参与工作日汇总。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履职数据-意见建议</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意见汇总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展示意见总数、已采纳、部分采纳、未采纳和意见采纳率。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意见采纳台账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展示关联会议、议案、意见时间、内容、类型、企业是否采纳、采纳状态和实际效果。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未采纳原因</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对未采纳意见展示原因。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重大议案监测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展示重大议案数量、同意/反对/弃权数量和同意票比例。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重大议案明细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展示会议、议案、表决时间、表决结果和意见说明。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95%风险提示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年度重大议案同意票比例超过95%时提示关注独立履职风险。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履职风险记录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展示统一warning数据生成的履职风险记录。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风险详情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查看风险事项、触发规则、当前值、阈值、触发时间、处理状态。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书面质询关联</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风险记录可关联书面质询。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履职数据-履职纪实</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履职纪实汇总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展示会议、调研、报告、意见建议、现场工作和风险事项数量。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任职企业筛选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按任职企业查看履职纪实。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时间轴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按时间倒序展示个人履职事件。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查看事件时间、类型、任职企业、数据来源和来源系统。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会议事件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事件详情展示会议履职情况。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调研事件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事件详情展示调研地点、对象、人员、内容和成果。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报告事件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事件详情展示报告类型、关联会议和提交情况。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意见事件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事件详情展示意见采纳情况。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现场工作事件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事件详情展示工作地点、事项、工时和确认状态。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风险事件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事件详情展示触发规则、当前值、阈值和处理状态。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任务推进事件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事件详情展示任期任务书状态、版本和目标。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考核评价-指标体系</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评价功能导航</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考核评价包含指标体系、双主体评价、考核进度、综合评分。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年度考核方案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支持年度考核方案独立配置。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任期考核方案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支持任期考核方案独立配置。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方案列表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展示年度/任期方案、状态和当前启用方案。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支持空白创建、复制上一年度或复制指定年度方案。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考核维度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按职业操守、履职能力、勤勉程度、履职成效等维度配置。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新增外部董事考核指标。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编辑指标名称、属性、分值、来源、责任主体、责任处室等。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删除指标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删除指标。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启用停用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启用或停用指标。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数据来源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支持数据中台、企业董事会系统、国资委OA、外部董事填报、企业维护、系统自动计算等来源。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评分方式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配置指标评分方式。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责任评价主体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配置系统自动评价、国资委、任职企业董事会或双方共同评价。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评分档位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为指标配置多档评分条件、分值和说明。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预警规则标识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评分档位可标识是否触发预警或特殊规则。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特殊规则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新增、编辑、删除年度/任期特殊规则。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直接认定规则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支持配置直接认定不称职等特殊规则。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方案分值校验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统计各维度已配置分值与差额，提示配置完整性。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考核评价-双主体评价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考核类型切换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支持年度考核、任期考核切换。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综合状态筛选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支持评价中、待国资委评价、等待企业评价、待复核、已完成等状态筛选。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双主体列表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展示外部董事、任职企业、企业评价状态、国资委评价状态、企业得分、国资委得分和综合状态。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企业评价只读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国资端可查看企业逐项评分、评价主体和加权得分，但不能代替企业修改。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国资委评价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国资委对逐项指标填写评分和评分说明。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系统建议分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展示系统基于履职数据生成的建议分。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评价参考底稿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展示国资委评价参考数据和来源依据。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任期年度口径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任期评价按每个自然年度分别展示会议出席、现场工作、报告时效、意见采纳和重大议案等年度判断。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总体评价意见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填写国资委综合评语及调整原因。</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评分版本记录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每次保存和调整保留评价版本及逐项评分变化。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考核评价-考核进度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考核类型筛选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支持年度考核、任期考核切换。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阶段状态筛选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支持未开始、进行中、已完成、待认定、已认定、已锁定等状态。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进度列表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展示外部董事、任职企业、考核类型、年度/任期等信息。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阶段进度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展示企业评价、国资委评价、综合评分、结果认定等阶段完成情况。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状态跟踪</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根据考核流程变化更新当前阶段状态。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考核评价-综合评分与结果</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综合评分列表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展示外部董事、企业、考核类型、年度/任期、企业评价、国资委评价、综合得分、系统建议等次、最终等次和状态。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综合评分详情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查看评价对象基本信息和综合评分计算。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双主体权重计算</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按企业评价和国资委评价当前权重自动汇总综合得分。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四维得分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展示职业操守、履职能力、勤勉程度、履职成效等维度综合得分。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特殊情形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展示不称职直接认定等特殊规则命中状态、触发事实、数据依据和处理状态。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突出表现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支持确认风险防控突出表现和价值创造突出表现。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系统建议等次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根据综合得分和特殊规则形成系统建议等次。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最终等次认定</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由国资端确认最终认定等次。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认定意见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填写最终认定意见并保存认定人、认定时间和认定方式。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结果通知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综合评分详情包含结果通知功能区。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申诉处理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综合评分详情包含申诉处理功能区。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结果运用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综合评分详情包含结果运用功能区。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任期年度指标判断</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任期结果按年度展示会议出席、现场工作、报告时效、意见采纳和重大议案规则判断。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数据看板</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查看口径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支持年度和任期口径切换。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考核等次分布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按正式考核结果展示优秀、称职、基本称职、不称职等分布。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外部董事排名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展示外部董事综合得分排名、任职企业数量、企业评价、国资委评价、最终等次和预警数量。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企业维度分析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按任职企业聚合四维得分和平均综合得分。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意见采纳率排名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按外部董事统计意见数量、采纳数量和采纳率。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外部董事预警汇总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按外部董事汇总红色、橙色、黄色预警数量和涉及类型。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预警人员穿透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点击外部董事查看其各任职企业预警明细。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预警详情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查看单条预警触发规则、当前值、阈值、数据来源、处置建议和原始业务记录。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个人履职画像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查看外部董事个人四维履职画像。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历史得分趋势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展示企业评价、国资委评价和综合得分历史趋势。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履职轨迹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汇总会议、表决、意见、调研、报告、风险和任务完成记录。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333333"/>
                <w:sz w:val="24"/>
                <w:szCs w:val="24"/>
                <w:u w:val="none"/>
              </w:rPr>
              <w:suppressLineNumbers w:val="0"/>
            </w:pPr>
            <w:r>
              <w:rPr>
                <w:rFonts w:hint="eastAsia" w:asciiTheme="minorEastAsia" w:hAnsiTheme="minorEastAsia" w:eastAsiaTheme="minorEastAsia" w:cstheme="minorEastAsia"/>
                <w:i w:val="0"/>
                <w:iCs w:val="0"/>
                <w:color w:val="333333"/>
                <w:sz w:val="24"/>
                <w:szCs w:val="24"/>
                <w:u w:val="none"/>
                <w:lang w:val="en-US" w:eastAsia="zh-CN" w:bidi="ar"/>
              </w:rPr>
              <w:t xml:space="preserve">审计日志</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日志查询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支持按操作人、操作类型、业务对象、开始时间、结束时间查询。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日志列表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展示操作时间、操作人、操作处室、操作类型、业务对象、业务ID和操作说明。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数据快照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查看操作前后的数据快照。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变更前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查看关键数据变更前内容。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333333"/>
                <w:sz w:val="24"/>
                <w:szCs w:val="24"/>
                <w:u w:val="none"/>
              </w:rPr>
            </w:pPr>
            <w:r>
              <w:rPr>
                <w:rFonts w:hint="eastAsia" w:asciiTheme="minorEastAsia" w:hAnsiTheme="minorEastAsia" w:eastAsiaTheme="minorEastAsia" w:cstheme="minorEastAsia"/>
                <w:i w:val="0"/>
                <w:iCs w:val="0"/>
                <w:color w:val="333333"/>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变更后</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111827"/>
                <w:sz w:val="24"/>
                <w:szCs w:val="24"/>
                <w:u w:val="none"/>
              </w:rPr>
              <w:suppressLineNumbers w:val="0"/>
            </w:pPr>
            <w:r>
              <w:rPr>
                <w:rFonts w:hint="eastAsia" w:asciiTheme="minorEastAsia" w:hAnsiTheme="minorEastAsia" w:eastAsiaTheme="minorEastAsia" w:cstheme="minorEastAsia"/>
                <w:i w:val="0"/>
                <w:iCs w:val="0"/>
                <w:color w:val="111827"/>
                <w:sz w:val="24"/>
                <w:szCs w:val="24"/>
                <w:u w:val="none"/>
                <w:lang w:val="en-US" w:eastAsia="zh-CN" w:bidi="ar"/>
              </w:rPr>
              <w:t xml:space="preserve">查看关键数据变更后内容。</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OA模块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WEB管理端</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门户与公共能力</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应用门户：展示全部OA业务应用入口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日期天气：展示日期、星期、城市、天气和温度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通知提醒：展示未读消息数量和通知入口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操作指引：提供系统主要功能的分步操作引导</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帮助中心：展示操作手册、功能说明和帮助进度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个人信息：展示当前用户、部门和岗位信息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全量搜索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业务搜索：搜索模块、待办、公文和文件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AI办公助手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智能问答：查询待办、公文、会议、日程和操作手册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AI办公助手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公文辅助：辅助起草请示、报告和优化公文表述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附件管理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文件操作：管理原始文件和过程材料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数量统计：展示待办公文、待阅文件、待审批和今日日程数量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AI提醒</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智能提醒：提醒紧急来文、待处理会议和企业请示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公文待办：汇总个人需要办理的公文和业务任务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待阅中心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文件待阅：汇总需要个人阅知的文件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待审批：汇总个人审批事项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协同系统</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外部系统入口：三重一大、财务、预算、司库、融资、资产、投资、招投标、人资、党建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会议与日程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今日安排：展示今日会议和日程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日程范围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我的日程：查看本人创建或归属本人的日程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日程范围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委领导日程：按权限查看领导日程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日程范围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全员日程：按权限查看单位人员日程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日/周/月视图：按不同时间维度查看日程安排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人员与类型筛选：按姓名、部门和日程类型筛选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新建日程：填写主题、日期、时间、地点和备注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提醒与权限：设置提醒、可见范围和详情权限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编辑删除：维护本人或授权日程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数据输出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导出日程：导出日期、人员、主题、时间和地点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办理进度</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进度总览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文办理：展示来文当前节点、状态和完成比例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进度总览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事落实：展示交办事项、责任人和完成情况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搜索筛选：按标题、文号、单位、状态和时间查询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趋势与完成率：按周/月/年查看收文量、办结量及完成率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异常提醒</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超时事项：标识已超时和临近截止事项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会议类型选择：区分内部会议和外部会议通知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分类查询：按办理范围、状态、日期和名称查看会议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内部会议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新建会议：填写名称、类型、时间、地点、部门和简介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内部会议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议题与材料：维护议题、汇报人、议题材料和备注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内部会议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参会与提醒：选择建议参会人员并设置提醒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发起会议通知：生成会议通知单并进入阅办流程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领导阅示与批转：领导填写意见并批转党群科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党群科拟办：填写拟办意见和参会安排建议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确定参会人员：科室负责人确定人员并发送通知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参会反馈：查看确认、请假、缺席和未反馈情况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会前管理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取消会议：登记取消原因并通知参会人员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召开管理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开始/结束会议：登记实际时间、实到、请假、缺席和临时列席</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纪要管理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上传或生成纪要：上传会议纪要或使用AI生成草稿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纪要签批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签批流程：设置顺序/并行签批并发送领导待办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归档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一会一档：核验方案、材料、参会、纪要和签批记录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外部会议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登记通知：登记来源、文号、时间、地点、反馈和材料期限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外部会议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参会办理：经阅示、拟办后确定人员并登记参加结果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来文办理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分类与查询：查看待办、待阅、已办理和全部来文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收文登记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上传与AI识别：上传原文并识别标题、文号、单位、日期和摘要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收文登记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登记属性：设置紧急程度、密级、期限和附件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尹主任拟办：填写拟办意见并提出处理方式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邵主任阅示：填写领导批示或退回补充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党群科拟办：确定承办科室、处理方式和办理要求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办理流程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科室分派：指定具体工作人员和分派意见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任务落实与反馈：完成阅知或交办任务并反馈结果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办结核验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完整性检查：核对意见、任务、反馈和附件是否齐全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归档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办理归档：形成原文、意见、结果和记录的完整档案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阅办单与记录：汇总登记信息、各级意见、材料和流转历史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文件传阅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传阅分类：查看我发起、待我阅知和已完成传阅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新建传阅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上传与AI解析：识别标题、文号、来源、摘要和关注点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传阅设置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范围与方式：设置并行/顺序、期限、提醒、意见要求和人员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阅知办理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确认已阅：查看原文和要求，填写意见并确认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反馈管理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进度与催阅：查看待阅/已阅人员并发送提醒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办结归档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传阅归档：全部人员完成后归档传阅单和反馈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列表与详情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企业请示阅办：查看原文、办理信息、领导意见、材料和流转记录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公共审批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登记至批阅：登记→拟办→处室意见→分管领导审核→主要领导批阅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处室办理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分派与答复起草：指定工作人员并起草正式复函或批复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正式发文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发文全流程：自动补齐发文审核、领导签发、正式用印和正式发文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办理反馈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反馈与归档：确认答复送达、填写结果并补齐材料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列表与详情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企业报告阅办：查看原文、意见、落实结果和流转记录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公共审批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登记至阅示：登记→拟办→处室意见→分管领导审核→主要领导阅示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落实办理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阅知/登记/落实：工作人员按批示完成相应处理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反馈归档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办理结果归档：反馈落实情况并核对材料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业务申请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请假报备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请假申请：填写类型、时间、天数、事由、交接和附件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用章申请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用章审批：填写印章、事项、材料、份数和时间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发文申请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发文拟稿流转：维护标题、文号、主送、正文和附件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授权申请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授权审批：设置授权对象、范围、期限和说明</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通用申请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综合申请：用车、物品、场地和设备等申请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督查通报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通报管理：维护标题、内容、范围和附件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工作要点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任务落实：维护年度要点、责任部门、责任人和期限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基础信息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通讯录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组织人员查询：按组织、部门、姓名和岗位查询人员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组织机构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组织维护查看：展示单位、部门、人员及功能账号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账号与角色：查询用户、分配角色、查看生效权限、重置密码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角色权限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权限配置：配置模块、菜单、操作、字段和数据范围权限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菜单配置：配置系统菜单显示、排序和启用状态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流程配置与模板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流程设计：配置流程范围、节点、办理人、时限、提醒和发布版本</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表单设计：配置文本、日期、人员、部门、附件、富文本和明细字段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节点人员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办理人配置：配置流程节点对应人员、角色或部门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流程监控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运行监控：查看运行流程、当前节点和异常情况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消息模板</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提醒模板：配置待办、临期、超时、办结通知内容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日志审计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操作日志：记录操作时间、操作人、内容和模块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移动端</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主导航</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移动应用门户：集中展示全部业务应用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个人任务聚合：展示任务统计、AI提醒、快捷应用和今日日程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AI助手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智能办公问答：回答公文、会议、制度、投资事项和个人待办问题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统一任务中心：汇总待办、待阅和待审批事项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个人中心：个人信息、消息、文件、联系人、设置和帮助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首页</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移动日程入口：查看、新增和维护日程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办理进度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移动进度中心：查看来文与事项落实进度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会议业务入口：选择内部会议或外部会议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来文办理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个人来文入口：查看待办来文和详情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文件传阅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移动传阅入口：查看或新建传阅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请示与报告</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企业来文入口：查看请示、报告及办理状态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常用申请入口：请假、用章、发文、授权、通用申请、督查和工作要点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数量统计：展示待办、待阅和审批数量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AI提醒</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智能提醒：提醒紧急来文、会议和请示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快捷应用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直达表单：发文拟稿、收文发起、会议申请、督办发起、请示登记、请假、用章、授权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今日日程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日程列表：展示当天最多四条日程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统一待办</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任务概览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三类统计：待审批、待办件和待阅知数量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分类页签：待办、待阅、待审批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查询筛选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搜索和条件筛选：按标题、来源、提交人、业务类型和紧急程度筛选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事项信息：查看摘要、来源、阶段、时限、材料和流程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办理意见：待办事项填写意见并提交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审批处理：同意审批或退回修改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任务办理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确认已阅：完成文件阅知并更新统计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日程范围</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我的/领导/全员日程：按角色权限查看不同人员范围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视图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日/周/月视图：按时间维度浏览日程和忙闲</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筛选</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人员和部门筛选：搜索人员、按部门筛选、全选或清空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详情或忙闲：有权限查看详情，无权限仅显示忙碌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日程维护</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新增编辑删除：填写主题、类型、归属、时间、地点、备注和提醒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权限设置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可见与详情权限：设置全员、本部门、本人可见及忙闲权限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会议入口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类型选择：选择内部会议或外部会议通知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搜索筛选：按名称、通知标题、状态和日期筛选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新增登记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新建会议/登记通知：内部会议新建，外部会议登记通知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AI创建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会议模板：选择常委会、常务会、专题会、三重一大等模板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通知阅办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领导阅示和党群科办理：发起通知、领导阅示、拟办、确定人员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参会管理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反馈和通知：查看确认、请假、缺席、未反馈情况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召开管理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开始和结束会议：登记实际时间和参会情况</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纪要签批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纪要和归档：上传/生成纪要，发起签批，领导签批并归档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异常处理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取消会议：登记取消原因并通知全部参会人员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来文办理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列表查询</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来文分类：查看待办、待阅、已办理和全部来文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收文登记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移动登记：上传原文、填写或校对文件信息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拟办至人员办理：拟办、阅示、党群科拟办、科室分派和人员办理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结果办理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反馈与核验：反馈办理结果，办结核验或退回补充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节点和记录：查看8节点进度、当前办理人、意见和时间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文件传阅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传阅记录：查看我发起、待阅和已完成传阅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新建传阅：上传文件、填写信息、设置人员和期限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阅知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确认已阅：查看文件和要求，填写反馈并确认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请示全流程：查看原文、意见、答复和流转记录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正式发文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一键同步发文：自动完成审核、签发、用印和正式发文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反馈归档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办理反馈：确认正式答复已发送后反馈结果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详情办理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报告全流程：查看原文、阅示意见、落实结果和记录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落实归档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阅知或落实：完成阅知、登记或落实并反馈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业务申请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请假报备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移动申请：填写请假信息并提交审批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用章申请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移动申请：填写印章、事项和材料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发文申请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移动拟稿：填写发文基本信息和附件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授权申请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移动授权：设置授权对象、范围和期限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通用申请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综合申请：用车、物品、场地和设备等申请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业务管理</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督查通报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移动通报：查看或发起督查通报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工作要点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移动落实：查看年度要点及责任任务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身份与联系方式：查看单位、部门、岗位、账号、手机、电话和邮箱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消息中心</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消息管理：查看全部/未读消息和消息详情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我的文件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文件管理：查看最近接收和已下载文件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常用联系人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通讯录：按姓名、部门或岗位查询内部人员</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系统设置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个人设置：查看角色、数据范围、账号状态和登录记录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小助手配置</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助手个性化：设置助手形象、称呼、回复风格和主动建议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帮助与反馈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使用支持：查看操作指南、提交问题或拨打服务热线</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设备与账号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缓存和退出：清理本地缓存或退出当前账号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平板端</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登录与账号</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系统登录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登录：进入国资委无纸化会议系统</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账号操作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退出登录：退出当前无纸化会议账号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会议首页</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会议页签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待开会议：查看尚未召开的会议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会议页签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历史会议：查看已结束或历史会议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会议分类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分类查询：党委会、董事会、总经理办公会、职代会、工作会、经营分析会等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会议卡片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会议信息：展示名称、时间、地点和状态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会议详情</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基本信息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会议概况：查看会议名称、日期、时间和地点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会议方案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方案与议程：查看会议方案和会议议程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会议材料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材料清单：按议题或类别查看会议材料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我的笔记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个人笔记：查看和维护个人会议笔记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会议纪要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纪要与状态：查看会议纪要和待签批数量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文件阅读</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PDF导航</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缩略图和翻页：查看缩略图、上一页、下一页和页码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PDF查找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文件搜索：搜索会议材料内容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PDF显示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缩放与全屏：调整阅读比例或全屏查看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文件下载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下载材料：下载当前会议方案、材料或纪要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文件批注</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批注模式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手写勾画：在会议材料页面进行手写或勾画</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批注编辑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撤销和清除：撤销最近批注或清除当前批注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批注保存</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保存批注：保存当前文件的个人批注记录</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纪要签批</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签批材料</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查看纪要：打开待签批会议纪要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手写签名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签名录入：在签批区域手写签名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签名编辑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撤销和清除：修改当前手写签名</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签批意见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意见填写：填写对会议纪要的签批意见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签批结果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通过签批：确认同意会议纪要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签批结果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退回修改：将纪要退回起草人员修改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签批记录</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记录查看：查看签批人、签批意见和时间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通知消息</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通知列表</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消息查看：查看会议通知和系统消息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未读状态</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未读提醒：标识尚未阅读的通知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通知详情</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消息正文：查看通知来源、时间和正文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个人中心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个人信息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身份信息：查看姓名、工号、部门和职务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联系方式</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联系信息：查看手机、邮箱和办公地点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页面导航</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返回操作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层级返回：返回会议列表、会议详情或上一级页面</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可视化驾驶舱</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驾驶舱</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驾驶舱底座开发</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数据接入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通过有效的数据接入，确保能够从多样化的数据源中获取数据并进行可视化展示；常见的数据接入方式支持包括：文件类、关系型数据库、非关系型数据库、对象存储、API接口和人工输入等。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数据源管理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管理和维护各种数据源的接入、配置和使用；通过有效的数据源管理，可视化驾驶舱能够更灵活地适应不同的数据来源，确保系统能够稳定、高效地获取和处理各种类型的数据，以满足用户的可视化需求。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数据加载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将经过提取、清洗和转换的数据载入到可视化驾驶舱，以便进行图表、仪表板等可视化展示和分析的过程，能够实现高效、可靠地将经过处理的数据加载到系统中，从而支持用户对数据的实时、准确的可视化分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分析模型是用于处理和分析数据，这些模型可以包括各种数据分析、计算和预测方法，同时还可以根据具体的业务场景和用户需求进行选择和定制，以确保在大屏上呈现的信息具有深度和洞察力，能够高效地处理和展示大量数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驾驶舱页面设计</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数据可视化</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通过图形、图表、地图等视觉元素来呈现数据的过程，以更容易理解和分析数据；通过将数据以可交互、易于理解的形式呈现。</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图文分析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通过结合图形和文本进行综合分析，以更全面地理解信息；涵盖了对图像、图表、图形和文字等多种信息形式的同时理解。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智能钻取</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允许用户在可视化报告中点击或选择特定的数据点，然后以更详细的方式查看该数据点的更多信息，甚至进行进一步的分析。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通过计算机算法和模型自动处理和解释数据，整合项目的数据、人工智能能力，提高用户对数据的理解效率。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总驾驶舱</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基础规模与状况</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指标主要包括：资产总量、可用资金、资产负债总额、营收利润、投资计划总额、融资债务总量、流动保障倍数等。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风险与合规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指标主要包括：风险预警总数、高风险企业数量、“三重一大”决策合规率、采购价格偏离率、预警处置及时率、整体风险化解率等。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经营绩效与效率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指标主要包括：净资产收益率、预算执行率、投资计划完成率、总资产报酬率、总资产周转率、资产盘活转化率、预算投资协同偏差率等。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经营监管专题</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经营监管总览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指标主要包括：融资总额、年度预算总额、预算执行总额、营业收入、利润总额、资金总额等。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融资债务全景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综合融资成本率、融资计划执行率、带息负债总额、银行贷款余额、债券余额、融资租赁余额、未来1个月到期债务、未来3个月到期债务、未来12个月到期债务、短期债务占比、长期债务占比、非标融资占比、融资成本区间分布、资产负债率、现金短债比、利息保障倍数、偿债覆盖率、融资依赖度、高成本融资笔数、兑付风险预警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预算执行率、采购费用执行率、预算执行偏差率、超预算金额、预算-支付匹配率、管理费用执行率、销售费用执行率、财务费用执行率、研发费用执行率、业务招待费执行率、会议费执行率、差旅费同比增幅、项目预算总额、项目预算执行率、经营预算整体达成率、费用管控综合偏差率、企业预算执行排名、项目预算执行排名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财务管控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营业成本、销售费用、管理费用、研发费用、财务费用、四项费用、净利润、营收同比增长率、利润同比增长率、净资产收益率、国有资本回报率、营业收入利润率、成本费用利润率、总资产周转率、应收账款周转率、存货周转率、两金余额、两金占流动资产比重、带息负债总额、连续亏损企业户数、可用资金余额、资金池余额、当月支付总金额、当月大额支付笔数、无合同支付笔数、无合同支付占比、资金异常集中度、利润形成分析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三重一大专题</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事项总览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主要指标包括：事项总数、重大决策事项数、重要人事任免数、重大项目安排数、大额资金使用数、在途事项数、已办结事项数、决策事项上会率等。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流程合规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主要指标包括：先执行后补程序数、前置研究未履行数、资料缺失事项数等。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执行闭环</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主要指标包括：事项办结率、事项逾期率等。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穿透分析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主要指标包括：年度投资计划决策数、融资担保决策数、大额资金调动决策数、事项类型分布、企业分布、平均办理周期（分类型）等。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投资监管专题</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主要指标包括：年度投资计划总额、年度投资计划总数、重大战略项目计划投资额、重大战略项目已投投资额、累计完成投资额、投资完成率、计划外投资占比、投资回报率等。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项目监管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主要指标包括：项目超概算率、项目进度偏差率、竣工完成支付度、重大变更次数、滞后项目数、超概项目数等。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合规风控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主要指标包括：主业投资项目数、负面清单项目数、已绑定投资项目决策数、投资概算控制率、三重一大决策合规等。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效益评价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主要指标包括：投资回收期偏差率、投资收益率偏差率、项目投产达标率、已转固定资产数、收益达标率等。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GIS展示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主要指标包括：项目分布、项目规模分布、项目行业分布、项目状态分布等。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招财管理专题</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主要指标包括：采购项目总数、招标项目数、中标项目数、合同签订数等。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合规监控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主要指标包括：超预算采购数、超概算采购数、招投标合规率、单一来源占比等。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流程监管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主要指标包括：投前计划备案项目数、投中招标执行项目数、投后履约验收项目数等。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供应商管理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主要指标包括：供应商总数、供应商履约评价合格率等。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结果落地</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主要指标包括：中标结果落地率等。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资产管理专题</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资产总览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主要指标包括：资产总额、资产原值、资产净值、资产成新率、固定资产总额、土地资产总额、房产资产总额、无形资产总额等。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运营效能</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主要指标包括：在用资产金额、租赁资产金额、欠缴资产总额、闲置资产金额、闲置资产占比、报废资产金额、资产收益率等。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GIS地图</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主要指标包括：土地位置分布、房产位置分布、资产产权状态、资产使用状态等。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合规风控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主要指标包括：账实一致率、账实不符项数、抵押担保合规数、抵押到期预警数、租金欠缴预警数  、权证缺失预警数等。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党建人事专题</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组织架构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主要指标包括：公司总数、各管理层级公司数/名称、各产权层级公司数/名称等。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人员总览</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主要指标包括：职工总数、从业人员数、工资总额等。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编制执行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主要指标包括：核定编制数、实有人数、超编人数、超编率等。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结构健康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主要指标包括：本科及以上占比、中级职称及以上占比、中层及以上占比、35岁以下骨干占比、关键人才占比、四类用工人员占比等。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任免监督</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主要指标包括：重要干部任免数、关键岗位超期任职数等。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组织架构</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主要指标包括：党组织总数、党委数、党支部数、党员总数、正式党员数、预备党员数、党员占职工比例等。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党员教育</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主要指标包括：三会一课开展数、主题党日开展数等。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党员生活</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主要指标包括：组织生活完成率、未开展组织生活支部数、组织生活未落实预警等。</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党务工作</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主要指标包括：发展党员数、发展党员资料完整率等。</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ff0000"/>
                <w:sz w:val="24"/>
                <w:szCs w:val="24"/>
                <w:u w:val="none"/>
              </w:rPr>
              <w:suppressLineNumbers w:val="0"/>
            </w:pPr>
            <w:r>
              <w:rPr>
                <w:rFonts w:hint="eastAsia" w:asciiTheme="minorEastAsia" w:hAnsiTheme="minorEastAsia" w:eastAsiaTheme="minorEastAsia" w:cstheme="minorEastAsia"/>
                <w:b/>
                <w:bCs/>
                <w:i w:val="0"/>
                <w:iCs w:val="0"/>
                <w:color w:val="auto"/>
                <w:sz w:val="24"/>
                <w:szCs w:val="24"/>
                <w:u w:val="none"/>
                <w:lang w:val="en-US" w:eastAsia="zh-CN" w:bidi="ar"/>
              </w:rPr>
              <w:t xml:space="preserve">AI应用模块</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AI预警</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知识工程开发</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国资主数据模型开发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开发企业、账户、合同、项目、发票、交易对手等主数据模型及编码映射逻辑，统一AI应用调用的数据口径，为预警、审批和智能体分析提供一致的数据主键与关联基础。</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多源业务数据接入开发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开发政策、财务、司库、融资、合同、三重一大、招投标和贸易等数据接入映射，支持接口、数据库视图、文件交换和批量导入等方式，形成可被AI能力调用的数据服务。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数据质量校验与异常回补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开发字段完整性、枚举值、金额勾稽、时间范围、主体一致性和重复数据等质量校验规则，对异常数据生成回补清单，避免低质量数据直接进入预警和智能体分析链路。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非结构化材料解析入库</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开发制度文件、合同文本、发票影像、仓单、物流单证、会议纪要和审批附件的解析入库流程，完成OCR识别、版面解析、段落切分和元数据挂接。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RAG检索与原文引用服务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开发面向智能体的检索增强服务，支持政策条款定位、原文片段召回、相似案例检索和引用编号输出，使AI结论能够追溯到制度原文和业务证据。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实体抽取与关系挂接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开发企业、人员、账户、合同、供应商、发票、担保、项目和资金流水等实体抽取及关系挂接能力，为融资穿透、围串标识别和贸易真实性核验提供图谱数据基础。</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国资监管规则库开发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开发规则条款、触发条件、风险级别、适用对象、计算口径、证据要求和处置动作等规则模型，支撑预警规则、审批校验和智能体合规审查共用同一套规则服务。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证据链打包服务开发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开发证据链聚合接口，将一次分析涉及的数据、规则、原文、附件、调用记录和输出报告打包，供审批、预警、督办、驾驶舱和审计复核环节统一查看。</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AI预警规则引擎</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预警规则计算引擎开发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开发覆盖财务、三重一大、人事、投资、招标采购、资产、资金司库、党建廉洁和综合监管等领域的规则计算能力，支持阈值、条件组合和风险等级映射。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实时预警触发服务开发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开发预警触发服务，接收业务数据变更、资金流水、审批事项和定时扫描任务，按规则快速识别风险并生成结构化预警事件。</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预警阈值与策略配置开发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开发预警阈值、适用企业范围、业务条线、风险等级、推送对象和生效版本等配置能力，使监管人员能够按规则版本管理预警策略。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四级预警分派推送开发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开发红、橙、黄、蓝四级预警分派和推送能力，根据风险等级、所属企业、监管权限和责任部门自动生成待办或消息通知。</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预警台账与整改闭环开发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开发预警台账、整改要求、处置状态、复核意见、销号记录和风险档案回写能力，形成从发现到整改归档的闭环管理链路。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预警规则设计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财务风险领域（24条）。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三重一大合规领域（8条）。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招聘与人事领域（7条）。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投资与项目领域（8条）。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招标采购领域（8条）。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资产管理领域（7条）。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资金与司库领域（6条）。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党建领域（5条）。</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综合监管领域（6条）。</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各模块预警联动机制</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大额资金监管：对公≥100万、对私≥1万及异常支付触发预警后，穿透校验合同、预算、三重一大及立项流程，识别拆分、用途不符等问题；异常项推送人工复核，核实后解锁流程，防范资金违规支付风险。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融资模块：融资信息不匹配、附件缺失、违规担保等触发预警后，穿透比对内部流程与融资系统数据，校验银行、利率、金额等核心字段一致性；异常项推送人工核实，确保融资真实合规，防范隐性债务风险。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财务模块：财务指标异动、数据勾稽异常触发预警后，穿透联动业务、预算系统，追溯异动原因，校验数据逻辑性；异常项推送人工复核，保障财务数据真实准确。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预算模块：超预算、执行偏差异常触发预警后，自动比对实际与预算数据，核算完成率、识别偏差原因；异常项推送人工校验，强化预算刚性约束，防范随意调整风险。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人事模块：中层/视同中层超职数、招聘总量超标、任免程序不合规触发预警后，自动阻断任免/招聘审批，穿透校验职数编制、任免程序、党委会前置研究，自动比对任职条件、廉洁鉴定、表决情况；异常推送人工复核，确保人事任免合规、编制可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投标模块：化整为零规避招标、围串标、雷同标书触发预警后，穿透校验项目拆分、招标方式、投标关联关系、报价异常、评标倾向性，自动筛查资质造假、出借资质；异常推送人工核查，确保招投标阳光合规。</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模块：非主业投资、明股实债、收益率不达标、未批先投、超概算触发预警后，自动阻断投资审批，穿透校验项目立项、可研、三重一大、资金来源、负债率、收益测算，识别资本金不足、违规举债；异常推送人工复核，严控投资风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AI智能审批</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AI智能审批校验</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审批材料完整性校验开发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开发审批附件、合同、会议纪要、预算证明、付款依据和业务申请单的完整性检查能力，对缺失材料和冲突字段自动生成补正提示。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流程合规与阈值校验开发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开发三重一大、资金支付、投资立项、招投标、融资和人事等流程节点的合规校验能力，对超权限、超预算、缺流程和不符合制度口径的事项生成拦截依据。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AI智能审批联动输出</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审批风险阻断接口开发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开发审批流程阻断接口，将高风险预警、材料不完整、制度依据不足和字段不一致等结果回传至业务流程，支持暂缓提交、转人工复核或补充材料。</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审批意见与审计留痕开发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开发审批辅助意见生成、政策依据引用、人工采纳记录和审计日志留存能力，确保审批过程中的AI建议可以被复核、追责和归档。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AI大模型</w:t>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模型服务与RAG</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私有化模型调用适配开发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开发客户侧私有化模型服务的调用适配、路由配置、参数传递、失败重试和结果解析能力，为问答、审查、归因和报告生成等场景提供统一模型接口。</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检索增强生成链路开发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开发检索、重排、引用、提示词组装和答案生成链路，使智能体在输出分析结论前能够检索政策、规则、案例和业务证据。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知识库权限隔离开发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开发按租户、角色、企业范围、业务域和数据密级控制知识库访问的能力，保证不同智能体和不同用户只能检索授权范围内的数据和知识。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知识图谱与Prompt工程</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图谱路径查询服务开发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开发主体关系、担保链条、资金路径、投标关联和贸易网络的路径查询能力，支持N-hop穿透、关键节点识别和异常关系召回。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场景Prompt与结构化输出开发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开发政策问答、风险归因、合规审查、融资核验、贸易真实性审查和审批意见等场景模板，并约束输出字段、引用格式和结论边界。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智能体编排运行</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MCP、skill与tools编排开发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开发超级智能体的工具编排能力，将检索、取数、OCR、规则核验、图路径查询、指标计算、报告生成和流程回写组织为可复用的skill和tools调用链。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智能体评估与运行监控开发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开发智能体调用日志、耗时统计、失败重试、输出质量抽检、评估集执行和效果指标汇总能力，为上线调优和后续运维提供数据支撑。</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办公助手（智能体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智能公文处理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自动起草符合国资规范的公文，校对格式、用词合规性，支持多公文版本对比优化。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国资政策问答</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基于政策知识库，解答国资监管、流程审批、业务规范等问题，支持自然语言交互。</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监管任务督办</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监管任务与指标辅助生成，任务督办自动下发，结果核验与闭环。</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考核管理（智能体）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智能考核体系构建</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结合国资监管要求与企业业务目标，自动建立分类考核指标体系、匹配标准考核模板，支持动态调整。</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考核数据智能评审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整合财务、业务、党建多源数据，自动核算评分并生成企业年度考核综合结果。</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薪酬总额管控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依据企业经营、人员结构与考核结果，智能核定工资总额。</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负责人薪酬管理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基于考核结果自动测算负责人薪酬，开展差异对比与合规校验</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核心指标</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利润总额、经营性利润、资产负债率、成本费用、薪酬总额、预算执行率、工资发放差异。</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投资可行性（智能体）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项目前期尽调辅助</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自动整合被投项目、标的企业的工商信息、信用记录、经营数据、行业舆情等多源信息，自动生成尽调核心信息摘要与风险点初筛报告。</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投资可行性分析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结合政策要求、行业平均标准和发展趋势，自动测算投资回报率、回收期、净现值等核心指标。</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投后风险动态监测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实时抓取被投项目经营数据、市场变动信息，对收益偏离预期、合规风险等问题自动识别。</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投资合规性准入、投资方向管控、投资收益与负债约束、分级审批管理、投后全流程监管、违规行为禁令。</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围标串标管控（智能体）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围串标智能识别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构建投标方、代理机构、专家关联网络，自动筛查投标文件雷同、报价异常、资质重合等线索。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合规智能审查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自动校验招标、评标、中标全流程，重点审查明招暗定、排斥限制、转包分包、目标低价等违规情形。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采购价格智能分析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对接历史价和市场价，在中标价偏离阈值时自动预警。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供应商全生命周期管理</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自动抓取工商、征信、履约数据，对供应商进行智能风险画像。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招投标程序管控、围串标行为禁令、招标合规性审查、中标与履约管理、采购与价格管控、供应商准入管理。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财务监管（智能体）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大额资金智能监管</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自动穿透付款申请、合同、三重一大等业务流程，预警拦截大额、无合同、重复付款。</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财务数据智能分析</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自动校验数据勾稽关系与同期数一致性，对关键指标异常穿透归因分析。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预算执行动态监控</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按月自动比对实际数据与预算，计算执行偏差，锁定数据防篡改。</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虚开发票智能识别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基于发票数据、关系图谱数据，运用规则策略与图计算，自动识别员工违规报销与虚开发票行为。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大额资金支付管控、预算执行管控、成本效益管控、财务数据真实性、发票合规管控。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融资风险（智能体）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融资全流程穿透核验</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自动抓取融资合同审批、放款凭证信息，与融资服务平台字段比对，不匹配即打标推送核实。</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融资合规智能审查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对照国资监管规则，自动识别违规举债、明股实债、违规担保等风险。</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融资规模与成本监测</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实时监控融资总额、成本、授信使用情况，对超规模、超成本、违规融通自动识别预警。</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融资程序合规管控、融资行为禁令、融资背景管控、负债规模管控。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虚假贸易管控（智能体）</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贸易背景真实性核查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自动比对贸易合同、仓单、物流单证、发票信息，识别空转贸易、走单走票不走货等虚假贸易情形。</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关联交易智能识别</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抓取交易对手股权关系、人员关联信息，识别未披露的关联交易。</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贸易风险动态预警</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跟踪大宗商品价格波动、汇率变动、交易对手信用变化。</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贸易业务合规审查</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对照国资贸易监管规则，自动审查贸易业务审批流程、授信用信合规性。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控制点</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贸易业务合规准入、虚假贸易禁令、贸易背景真实性、关联交易管理、贸易风险管控、贸易审批与资金管理。</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restart"/>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安全脱敏与开发联调</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敏感数据识别规则开发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开发个人信息、金融账户、合同商业信息、监管处置信息和高敏财务字段的识别规则，为入库、检索、模型调用和报告输出环节提供脱敏依据。</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静态与动态脱敏开发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开发测试数据、评估数据、在线检索、提示词构造和报告输出中的脱敏处理能力，对身份证号、手机号、银行账号、合同编号、金额和经办人字段按角色和场景展示。</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调用审计与越权拦截开发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开发智能体调用、证据查看、规则变更、报告导出和脱敏策略调整的审计日志，同时对跨企业、跨县区、跨业务域的越权访问进行拦截。</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业务系统接口联调开发</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完成与数据中台、业务中台、流程引擎、财务司库、融资管理、合同贸易、招投标管理、OCR和图数据库等系统的数据链路和结果回写联调。</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4" w:type="pct"/>
            <w:vAlign w:val="center"/>
            <w:vMerge w:val="continue"/>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历史案例回放与缺陷修复</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基于财务异常、融资风险、虚假贸易、围串标、审批阻断和预警处置等历史案例开展回放测试，修复规则、接口、提示词、检索和输出结构中的缺陷。</w:t>
            </w:r>
            <w:r/>
          </w:p>
        </w:tc>
      </w:tr>
      <w:tr>
        <w:trPr>
          <w:trHeight w:val="380"/>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cstheme="minorEastAsia"/>
                <w:b/>
                <w:bCs/>
                <w:i w:val="0"/>
                <w:iCs w:val="0"/>
                <w:color w:val="000000"/>
                <w:sz w:val="24"/>
                <w:szCs w:val="24"/>
                <w:u w:val="none"/>
                <w:lang w:val="en-US" w:eastAsia="zh-CN"/>
              </w:rPr>
              <w:t xml:space="preserve">微信公众号</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437" w:type="pct"/>
            <w:vAlign w:val="center"/>
            <w:textDirection w:val="lrTb"/>
            <w:noWrap w:val="false"/>
          </w:tcPr>
          <w:p>
            <w:pPr>
              <w:jc w:val="center"/>
              <w:keepLines w:val="0"/>
              <w:keepNext w:val="0"/>
              <w:pageBreakBefore w:val="0"/>
              <w:spacing w:line="400" w:lineRule="exact"/>
              <w:rPr>
                <w:rFonts w:hint="eastAsia"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keepLines w:val="0"/>
              <w:keepNext w:val="0"/>
              <w:pageBreakBefore w:val="0"/>
              <w:spacing w:line="400" w:lineRule="exact"/>
              <w:rPr>
                <w:rFonts w:hint="default" w:asciiTheme="minorEastAsia" w:hAnsiTheme="minorEastAsia" w:eastAsiaTheme="minorEastAsia" w:cstheme="minorEastAsia"/>
                <w:i w:val="0"/>
                <w:iCs w:val="0"/>
                <w:color w:val="000000"/>
                <w:sz w:val="24"/>
                <w:szCs w:val="24"/>
                <w:u w:val="none"/>
                <w:lang w:val="en-US" w:eastAsia="zh-CN"/>
              </w:rPr>
            </w:pPr>
            <w:r>
              <w:rPr>
                <w:rFonts w:hint="eastAsia" w:asciiTheme="minorEastAsia" w:hAnsiTheme="minorEastAsia" w:cstheme="minorEastAsia"/>
                <w:i w:val="0"/>
                <w:iCs w:val="0"/>
                <w:color w:val="000000"/>
                <w:sz w:val="24"/>
                <w:szCs w:val="24"/>
                <w:u w:val="none"/>
                <w:lang w:val="en-US" w:eastAsia="zh-CN"/>
              </w:rPr>
              <w:t xml:space="preserve">微信公众号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30" w:type="pct"/>
            <w:vAlign w:val="center"/>
            <w:textDirection w:val="lrTb"/>
            <w:noWrap w:val="false"/>
          </w:tcPr>
          <w:p>
            <w:pPr>
              <w:jc w:val="center"/>
              <w:keepLines w:val="0"/>
              <w:keepNext w:val="0"/>
              <w:pageBreakBefore w:val="0"/>
              <w:spacing w:line="400" w:lineRule="exact"/>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cstheme="minorEastAsia"/>
                <w:i w:val="0"/>
                <w:iCs w:val="0"/>
                <w:color w:val="000000"/>
                <w:sz w:val="24"/>
                <w:szCs w:val="24"/>
                <w:u w:val="none"/>
                <w:lang w:val="en-US" w:eastAsia="zh-CN" w:bidi="ar"/>
              </w:rPr>
              <w:t xml:space="preserve">微信公众号</w:t>
            </w:r>
            <w:r/>
          </w:p>
        </w:tc>
        <w:tc>
          <w:tcPr>
            <w:shd w:val="clear" w:color="auto" w:fill="auto"/>
            <w:tcBorders>
              <w:top w:val="single" w:color="000000" w:sz="4" w:space="0"/>
              <w:left w:val="single" w:color="000000" w:sz="4" w:space="0"/>
              <w:bottom w:val="single" w:color="000000" w:sz="4" w:space="0"/>
              <w:right w:val="single" w:color="000000" w:sz="4" w:space="0"/>
            </w:tcBorders>
            <w:tcW w:w="1974" w:type="pct"/>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依托连云港市县国资监管“一张网”系统整体架构，配套定制开发国资监管专属微信公众号，作为平台移动端轻量化延伸入口，面向市国资委管理人员、市属国企经营管理人员、企业职工提供掌上查询、消息推送、待办提醒、信息公开、互动办事一体化服务</w:t>
            </w:r>
            <w:r/>
          </w:p>
        </w:tc>
      </w:tr>
    </w:tbl>
    <w:p>
      <w:pPr>
        <w:jc w:val="left"/>
        <w:keepLines w:val="0"/>
        <w:keepNext w:val="0"/>
        <w:pageBreakBefore w:val="0"/>
        <w:spacing w:line="400" w:lineRule="exact"/>
        <w:widowControl/>
        <w:rPr>
          <w:rFonts w:hint="default" w:asciiTheme="minorEastAsia" w:hAnsiTheme="minorEastAsia" w:eastAsiaTheme="minorEastAsia" w:cstheme="minorEastAsia"/>
          <w:b/>
          <w:bCs/>
          <w:i w:val="0"/>
          <w:iCs w:val="0"/>
          <w:color w:val="000000"/>
          <w:sz w:val="24"/>
          <w:szCs w:val="24"/>
          <w:u w:val="none"/>
          <w:lang w:val="en-US" w:eastAsia="zh-CN"/>
        </w:rPr>
        <w:suppressLineNumbers w:val="0"/>
      </w:pPr>
      <w:r>
        <w:rPr>
          <w:rFonts w:hint="eastAsia" w:asciiTheme="minorEastAsia" w:hAnsiTheme="minorEastAsia" w:eastAsiaTheme="minorEastAsia" w:cstheme="minorEastAsia"/>
          <w:b/>
          <w:bCs/>
          <w:i w:val="0"/>
          <w:iCs w:val="0"/>
          <w:color w:val="000000"/>
          <w:sz w:val="24"/>
          <w:szCs w:val="24"/>
          <w:u w:val="none"/>
          <w:lang w:val="en-US" w:eastAsia="zh-CN"/>
        </w:rPr>
        <w:t xml:space="preserve">2.项目实施软硬件产品配备要求</w:t>
      </w:r>
      <w:r/>
    </w:p>
    <w:tbl>
      <w:tblPr>
        <w:tblStyle w:val="645"/>
        <w:tblW w:w="50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1"/>
        <w:gridCol w:w="1930"/>
        <w:gridCol w:w="5855"/>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cstheme="minorEastAsia"/>
                <w:b/>
                <w:bCs/>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Theme="minorEastAsia" w:hAnsiTheme="minorEastAsia" w:cstheme="minorEastAsia"/>
                <w:b/>
                <w:bCs/>
                <w:i w:val="0"/>
                <w:iCs w:val="0"/>
                <w:color w:val="000000"/>
                <w:sz w:val="24"/>
                <w:szCs w:val="24"/>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42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b/>
                <w:bCs/>
                <w:i w:val="0"/>
                <w:iCs w:val="0"/>
                <w:color w:val="000000"/>
                <w:sz w:val="24"/>
                <w:szCs w:val="24"/>
                <w:u w:val="none"/>
                <w:lang w:val="en-US" w:eastAsia="zh-CN" w:bidi="ar"/>
              </w:rPr>
              <w:suppressLineNumbers w:val="0"/>
            </w:pPr>
            <w:r>
              <w:rPr>
                <w:rFonts w:hint="eastAsia" w:ascii="宋体" w:hAnsi="宋体" w:cs="宋体"/>
                <w:b/>
                <w:bCs/>
                <w:sz w:val="24"/>
                <w:szCs w:val="24"/>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日志分析管理系统</w:t>
            </w:r>
            <w:r/>
          </w:p>
        </w:tc>
        <w:tc>
          <w:tcPr>
            <w:shd w:val="clear" w:color="auto" w:fill="auto"/>
            <w:tcBorders>
              <w:top w:val="single" w:color="000000" w:sz="4" w:space="0"/>
              <w:left w:val="single" w:color="000000" w:sz="4" w:space="0"/>
              <w:bottom w:val="single" w:color="000000" w:sz="4" w:space="0"/>
              <w:right w:val="single" w:color="000000" w:sz="4" w:space="0"/>
            </w:tcBorders>
            <w:tcW w:w="3425" w:type="pct"/>
            <w:vAlign w:val="center"/>
            <w:textDirection w:val="lrTb"/>
            <w:noWrap w:val="false"/>
          </w:tcPr>
          <w:p>
            <w:pPr>
              <w:pStyle w:val="648"/>
              <w:ind w:left="0" w:firstLine="0"/>
              <w:rPr>
                <w:rFonts w:hint="eastAsia" w:asciiTheme="minorEastAsia" w:hAnsiTheme="minorEastAsia" w:eastAsiaTheme="minorEastAsia" w:cstheme="minorEastAsia"/>
                <w:b/>
                <w:bCs/>
                <w:i w:val="0"/>
                <w:iCs w:val="0"/>
                <w:color w:val="000000"/>
                <w:sz w:val="24"/>
                <w:szCs w:val="24"/>
                <w:u w:val="none"/>
                <w:lang w:val="en-US" w:eastAsia="zh-CN" w:bidi="ar"/>
              </w:rPr>
            </w:pPr>
            <w:r>
              <w:rPr>
                <w:rFonts w:hint="eastAsia" w:asciiTheme="minorEastAsia" w:hAnsiTheme="minorEastAsia" w:eastAsiaTheme="minorEastAsia" w:cstheme="minorEastAsia"/>
                <w:b/>
                <w:bCs/>
                <w:i/>
                <w:iCs/>
                <w:color w:val="auto"/>
                <w:sz w:val="24"/>
                <w:szCs w:val="24"/>
                <w:lang w:bidi="ar"/>
              </w:rPr>
              <w:t xml:space="preserve">1</w:t>
            </w:r>
            <w:r>
              <w:rPr>
                <w:rFonts w:hint="eastAsia" w:asciiTheme="minorEastAsia" w:hAnsiTheme="minorEastAsia" w:eastAsiaTheme="minorEastAsia" w:cstheme="minorEastAsia"/>
                <w:b/>
                <w:bCs/>
                <w:i/>
                <w:iCs/>
                <w:color w:val="auto"/>
                <w:sz w:val="24"/>
                <w:szCs w:val="24"/>
                <w:u w:val="single"/>
                <w:lang w:bidi="ar"/>
              </w:rPr>
              <w:t xml:space="preserve">、主机审计许可证书数量≥100，综合日志处理性能≥10000EPS，日志采集处理均值≥12000EPS。规格：2U，内存大小≥32G，硬盘容量≥8T ，冗余电源，接口≥6千兆电口+4千兆光口，国产化CPU，国产化操作系统。</w:t>
            </w:r>
            <w:r>
              <w:rPr>
                <w:rFonts w:hint="eastAsia" w:asciiTheme="minorEastAsia" w:hAnsiTheme="minorEastAsia" w:eastAsiaTheme="minorEastAsia" w:cstheme="minorEastAsia"/>
                <w:b/>
                <w:bCs/>
                <w:i/>
                <w:iCs/>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系统具备多元化日志采集能力，采用主动采集与被动接收相结合的双模数据采集架构，支持Agent客户端部署采集模式，同时兼容Syslog、WMI、WebService、FTP、SFTP、Kafka等主流协议接口实现日志数据全方位收集，实现系统的日志接入场景。</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3、支持安全设备、网络设备、中间件、服务器、数据库、操作系统、业务系统等不少于800种日志对象的日志数据采集。</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系统支持针对每一个接入日志源配置专属自定义过滤规则，可自动甄别并过滤冗余、无效日志数据，可根据现场实际业务场景灵活筛选采集数据，有效减少无效安全事件上报至核心服务器，大幅降低网络带宽资源消耗，同时节省数据库存储空间，提升系统整体运行效率。</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w:t>
            </w:r>
            <w:r>
              <w:rPr>
                <w:rFonts w:hint="eastAsia" w:asciiTheme="minorEastAsia" w:hAnsiTheme="minorEastAsia" w:eastAsiaTheme="minorEastAsia" w:cstheme="minorEastAsia"/>
                <w:color w:val="auto"/>
                <w:sz w:val="24"/>
                <w:szCs w:val="24"/>
                <w:lang w:bidi="ar"/>
              </w:rPr>
              <w:t xml:space="preserve">内置CiscoPIX和交换机的事件编码知识库；内置Windows、Linux、Solaris、AIX操作系统的事件ID知识库；内置Oracle、SQLServer、MySQL、Informix、DB2数据库的事件编码知识库；能够查看系统内置的事件库中事件类型名称及其描述信息；内置等级保护知识库；内置病毒爆发、网络攻击、网络拥堵、网络扫描、设备故障、系统瘫痪、信息泄密等案例库。</w:t>
            </w:r>
            <w:r>
              <w:rPr>
                <w:rFonts w:hint="eastAsia" w:asciiTheme="minorEastAsia" w:hAnsiTheme="minorEastAsia" w:eastAsiaTheme="minorEastAsia" w:cstheme="minorEastAsia"/>
                <w:b/>
                <w:bCs/>
                <w:color w:val="auto"/>
                <w:sz w:val="24"/>
                <w:szCs w:val="24"/>
                <w:lang w:bidi="ar"/>
              </w:rPr>
              <w:t xml:space="preserve">（</w:t>
            </w:r>
            <w:r>
              <w:rPr>
                <w:rFonts w:hint="eastAsia" w:asciiTheme="minorEastAsia" w:hAnsiTheme="minorEastAsia" w:eastAsiaTheme="minorEastAsia" w:cstheme="minorEastAsia"/>
                <w:b/>
                <w:bCs/>
                <w:color w:val="auto"/>
                <w:sz w:val="24"/>
                <w:szCs w:val="24"/>
                <w:lang w:val="en-US" w:eastAsia="zh-CN" w:bidi="ar"/>
              </w:rPr>
              <w:t xml:space="preserve">投标文件中提供第三方检测机构出具的检测报告证明材料并加盖投标人公章</w:t>
            </w:r>
            <w:r>
              <w:rPr>
                <w:rFonts w:hint="eastAsia" w:asciiTheme="minorEastAsia" w:hAnsiTheme="minorEastAsia" w:eastAsiaTheme="minorEastAsia" w:cstheme="minorEastAsia"/>
                <w:b/>
                <w:bCs/>
                <w:color w:val="auto"/>
                <w:sz w:val="24"/>
                <w:szCs w:val="24"/>
                <w:lang w:bidi="ar"/>
              </w:rPr>
              <w:t xml:space="preserve">）</w:t>
            </w:r>
            <w:r/>
          </w:p>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6、系统具备灵活的日志转发能力，支持单一日志源及多日志源批量转发配置，同时支持自定义定时转发任务；可通过Syslog、Kafka协议将日志数据转发至第三方业务平台，且支持原始日志、解析后结构化日志两种转发模式，满足多平台数据对接、联动分析需求。</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7、系统支持基于TLS加密协议完成日志全程传输，保障日志传输过程安全防窃取、防篡改；具备日志传输状态实时监控能力，可监测各日志源最新同步时间、传输运行状态，同时支持统计各日志源当日传输数据量、累计传输总量，实现日志传输全流程可视化管控。</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8、支持SM3国密算法，保障日志完整性，可以有效防止日志篡改等攻击行为。</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▲9、支持POC测试工具一键生成数据,验证日志数据采集是否成功，避免设备部署后采集失效但不被发现等风险。</w:t>
            </w:r>
            <w:r>
              <w:rPr>
                <w:rFonts w:hint="eastAsia" w:asciiTheme="minorEastAsia" w:hAnsiTheme="minorEastAsia" w:eastAsiaTheme="minorEastAsia" w:cstheme="minorEastAsia"/>
                <w:b/>
                <w:bCs/>
                <w:i w:val="0"/>
                <w:iCs w:val="0"/>
                <w:color w:val="000000"/>
                <w:sz w:val="24"/>
                <w:szCs w:val="24"/>
                <w:u w:val="none"/>
                <w:lang w:val="en-US" w:eastAsia="zh-CN" w:bidi="ar"/>
              </w:rPr>
              <w:t xml:space="preserve">（</w:t>
            </w:r>
            <w:r>
              <w:rPr>
                <w:rFonts w:hint="eastAsia" w:asciiTheme="minorEastAsia" w:hAnsiTheme="minorEastAsia" w:cstheme="minorEastAsia"/>
                <w:b/>
                <w:bCs/>
                <w:i w:val="0"/>
                <w:iCs w:val="0"/>
                <w:color w:val="000000"/>
                <w:sz w:val="24"/>
                <w:szCs w:val="24"/>
                <w:u w:val="none"/>
                <w:lang w:val="en-US" w:eastAsia="zh-CN" w:bidi="ar"/>
              </w:rPr>
              <w:t xml:space="preserve">投标文件中提供</w:t>
            </w:r>
            <w:r>
              <w:rPr>
                <w:rFonts w:hint="eastAsia" w:asciiTheme="minorEastAsia" w:hAnsiTheme="minorEastAsia" w:eastAsiaTheme="minorEastAsia" w:cstheme="minorEastAsia"/>
                <w:b/>
                <w:bCs/>
                <w:i w:val="0"/>
                <w:iCs w:val="0"/>
                <w:color w:val="000000"/>
                <w:sz w:val="24"/>
                <w:szCs w:val="24"/>
                <w:u w:val="none"/>
                <w:lang w:val="en-US" w:eastAsia="zh-CN" w:bidi="ar"/>
              </w:rPr>
              <w:t xml:space="preserve">功能截图并加盖投标人公章）</w:t>
            </w:r>
            <w:r>
              <w:rPr>
                <w:rFonts w:hint="eastAsia" w:asciiTheme="minorEastAsia" w:hAnsiTheme="minorEastAsia" w:eastAsiaTheme="minorEastAsia" w:cstheme="minorEastAsia"/>
                <w:b/>
                <w:bCs/>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10、系统预置多场景标准化安全审计策略模板，涵盖Windows主机审计、Linux/Unix主机审计、数据库系统审计等主流业务场景模板，内置标准化审计规则数量不少于40条，可快速适配各类主机、数据库的合规审计、安全监测需求，简化审计策略配置流程。</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零信任综合网关</w:t>
            </w:r>
            <w:r/>
          </w:p>
        </w:tc>
        <w:tc>
          <w:tcPr>
            <w:shd w:val="clear" w:color="auto" w:fill="auto"/>
            <w:tcBorders>
              <w:top w:val="single" w:color="000000" w:sz="4" w:space="0"/>
              <w:left w:val="single" w:color="000000" w:sz="4" w:space="0"/>
              <w:bottom w:val="single" w:color="000000" w:sz="4" w:space="0"/>
              <w:right w:val="single" w:color="000000" w:sz="4" w:space="0"/>
            </w:tcBorders>
            <w:tcW w:w="3425"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w:t>
            </w:r>
            <w:r>
              <w:rPr>
                <w:rFonts w:hint="eastAsia" w:asciiTheme="minorEastAsia" w:hAnsiTheme="minorEastAsia" w:eastAsiaTheme="minorEastAsia" w:cstheme="minorEastAsia"/>
                <w:b/>
                <w:bCs/>
                <w:i w:val="0"/>
                <w:iCs w:val="0"/>
                <w:color w:val="000000"/>
                <w:sz w:val="24"/>
                <w:szCs w:val="24"/>
                <w:u w:val="none"/>
                <w:lang w:val="en-US" w:eastAsia="zh-CN" w:bidi="ar"/>
              </w:rPr>
              <w:t xml:space="preserve">1.</w:t>
            </w:r>
            <w:r>
              <w:rPr>
                <w:rFonts w:hint="eastAsia" w:asciiTheme="minorEastAsia" w:hAnsiTheme="minorEastAsia" w:eastAsiaTheme="minorEastAsia" w:cstheme="minorEastAsia"/>
                <w:b/>
                <w:bCs/>
                <w:i/>
                <w:iCs/>
                <w:color w:val="000000"/>
                <w:sz w:val="24"/>
                <w:szCs w:val="24"/>
                <w:u w:val="single"/>
                <w:lang w:val="en-US" w:eastAsia="zh-CN" w:bidi="ar"/>
              </w:rPr>
              <w:t xml:space="preserve">配置及性能 SSL性能参数：最大理论加密流量（Mbps）≧600，最大理论建议并发用户数≧1200。</w:t>
            </w:r>
            <w:r>
              <w:rPr>
                <w:rFonts w:hint="eastAsia" w:asciiTheme="minorEastAsia" w:hAnsiTheme="minorEastAsia" w:eastAsiaTheme="minorEastAsia" w:cstheme="minorEastAsia"/>
                <w:b/>
                <w:bCs/>
                <w:i/>
                <w:iCs/>
                <w:color w:val="000000"/>
                <w:sz w:val="24"/>
                <w:szCs w:val="24"/>
                <w:u w:val="single"/>
                <w:lang w:val="en-US" w:eastAsia="zh-CN" w:bidi="ar"/>
              </w:rPr>
              <w:br/>
            </w:r>
            <w:r>
              <w:rPr>
                <w:rFonts w:hint="eastAsia" w:asciiTheme="minorEastAsia" w:hAnsiTheme="minorEastAsia" w:eastAsiaTheme="minorEastAsia" w:cstheme="minorEastAsia"/>
                <w:b/>
                <w:bCs/>
                <w:i/>
                <w:iCs/>
                <w:color w:val="000000"/>
                <w:sz w:val="24"/>
                <w:szCs w:val="24"/>
                <w:u w:val="single"/>
                <w:lang w:val="en-US" w:eastAsia="zh-CN" w:bidi="ar"/>
              </w:rPr>
              <w:t xml:space="preserve">硬件参数：国产化操作系统及CPU，1U标准机架设备，冗余电源，内存大小≧16G，硬盘容量≧480G SSD，接口≧6千兆电口+4千兆光口。</w:t>
            </w:r>
            <w:r>
              <w:rPr>
                <w:rFonts w:hint="eastAsia" w:asciiTheme="minorEastAsia" w:hAnsiTheme="minorEastAsia" w:eastAsiaTheme="minorEastAsia" w:cstheme="minorEastAsia"/>
                <w:b/>
                <w:bCs/>
                <w:i/>
                <w:iCs/>
                <w:color w:val="000000"/>
                <w:sz w:val="24"/>
                <w:szCs w:val="24"/>
                <w:u w:val="singl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2.软件授权提供不低于50个软件接入授权。</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3.认证方式支持为满足身份安全要求，应支持多因素认证，至少包括：账号密码认证、短信认证、证书认证、动态令牌认证、扫码认证，以及对接统一认证平台实现单点登录等认证方式。为强化系统认证安全性，可配置在触发异常环境的条件时，用户需完成增强认证才可登录。可配置的异常环境包括但不限于：账号首次登录、账号在该终端首次登录、闲置账号登录、弱密码登录、异常时间登录、非常用地点登录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4.权限及访问控制 为满足组织灵活的管理要求，支持配置动态访问规则，可配置化的ACL规则引擎，可以灵活地将终端环境、用户身份、处置动作等进行配置，针对不同操作系统设定单独或多系统访问控制策略。</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▲5. 为了提升终端用户访问体验，对于多线路接入单网关访问业务的场景，支持时延优先的选路模式，支持周期性探测线路时延和多次探测确认恶化后切换。多网关接入访问业务的场景，支持最低时延+相对时延阈值随机选择策略。</w:t>
            </w:r>
            <w:r>
              <w:rPr>
                <w:rFonts w:hint="eastAsia" w:asciiTheme="minorEastAsia" w:hAnsiTheme="minorEastAsia" w:eastAsiaTheme="minorEastAsia" w:cstheme="minorEastAsia"/>
                <w:b/>
                <w:bCs/>
                <w:i w:val="0"/>
                <w:iCs w:val="0"/>
                <w:color w:val="000000"/>
                <w:sz w:val="24"/>
                <w:szCs w:val="24"/>
                <w:u w:val="none"/>
                <w:lang w:val="en-US" w:eastAsia="zh-CN" w:bidi="ar"/>
              </w:rPr>
              <w:t xml:space="preserve">（</w:t>
            </w:r>
            <w:r>
              <w:rPr>
                <w:rFonts w:hint="eastAsia" w:asciiTheme="minorEastAsia" w:hAnsiTheme="minorEastAsia" w:cstheme="minorEastAsia"/>
                <w:b/>
                <w:bCs/>
                <w:i w:val="0"/>
                <w:iCs w:val="0"/>
                <w:color w:val="000000"/>
                <w:sz w:val="24"/>
                <w:szCs w:val="24"/>
                <w:u w:val="none"/>
                <w:lang w:val="en-US" w:eastAsia="zh-CN" w:bidi="ar"/>
              </w:rPr>
              <w:t xml:space="preserve">投标文件中提供</w:t>
            </w:r>
            <w:r>
              <w:rPr>
                <w:rFonts w:hint="eastAsia" w:asciiTheme="minorEastAsia" w:hAnsiTheme="minorEastAsia" w:eastAsiaTheme="minorEastAsia" w:cstheme="minorEastAsia"/>
                <w:b/>
                <w:bCs/>
                <w:i w:val="0"/>
                <w:iCs w:val="0"/>
                <w:color w:val="000000"/>
                <w:sz w:val="24"/>
                <w:szCs w:val="24"/>
                <w:u w:val="none"/>
                <w:lang w:val="en-US" w:eastAsia="zh-CN" w:bidi="ar"/>
              </w:rPr>
              <w:t xml:space="preserve">功能截图并加盖投标人公章）</w:t>
            </w:r>
            <w:r>
              <w:rPr>
                <w:rFonts w:hint="eastAsia" w:asciiTheme="minorEastAsia" w:hAnsiTheme="minorEastAsia" w:eastAsiaTheme="minorEastAsia" w:cstheme="minorEastAsia"/>
                <w:b/>
                <w:bCs/>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▲6.WEB安全为提升业务应用的数据安全性，应支持针对发布的WEB应用开启WEB水印，同时支持对WEB应用禁止复制、禁止打印、禁止下载、禁止浏览器调试等功能，以保护应用的数据安全与应用安全。</w:t>
            </w:r>
            <w:r>
              <w:rPr>
                <w:rFonts w:hint="eastAsia" w:asciiTheme="minorEastAsia" w:hAnsiTheme="minorEastAsia" w:eastAsiaTheme="minorEastAsia" w:cstheme="minorEastAsia"/>
                <w:b/>
                <w:bCs/>
                <w:i w:val="0"/>
                <w:iCs w:val="0"/>
                <w:color w:val="000000"/>
                <w:sz w:val="24"/>
                <w:szCs w:val="24"/>
                <w:u w:val="none"/>
                <w:lang w:val="en-US" w:eastAsia="zh-CN" w:bidi="ar"/>
              </w:rPr>
              <w:t xml:space="preserve">（</w:t>
            </w:r>
            <w:r>
              <w:rPr>
                <w:rFonts w:hint="eastAsia" w:asciiTheme="minorEastAsia" w:hAnsiTheme="minorEastAsia" w:cstheme="minorEastAsia"/>
                <w:b/>
                <w:bCs/>
                <w:i w:val="0"/>
                <w:iCs w:val="0"/>
                <w:color w:val="000000"/>
                <w:sz w:val="24"/>
                <w:szCs w:val="24"/>
                <w:u w:val="none"/>
                <w:lang w:val="en-US" w:eastAsia="zh-CN" w:bidi="ar"/>
              </w:rPr>
              <w:t xml:space="preserve">投标文件中提供</w:t>
            </w:r>
            <w:r>
              <w:rPr>
                <w:rFonts w:hint="eastAsia" w:asciiTheme="minorEastAsia" w:hAnsiTheme="minorEastAsia" w:eastAsiaTheme="minorEastAsia" w:cstheme="minorEastAsia"/>
                <w:b/>
                <w:bCs/>
                <w:i w:val="0"/>
                <w:iCs w:val="0"/>
                <w:color w:val="000000"/>
                <w:sz w:val="24"/>
                <w:szCs w:val="24"/>
                <w:u w:val="none"/>
                <w:lang w:val="en-US" w:eastAsia="zh-CN" w:bidi="ar"/>
              </w:rPr>
              <w:t xml:space="preserve">功能截图并加盖投标人公章）</w:t>
            </w:r>
            <w:r>
              <w:rPr>
                <w:rFonts w:hint="eastAsia" w:asciiTheme="minorEastAsia" w:hAnsiTheme="minorEastAsia" w:eastAsiaTheme="minorEastAsia" w:cstheme="minorEastAsia"/>
                <w:b/>
                <w:bCs/>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7.隧道资源发布 支持隧道模式资源发布，基于TCP、UDP、ICMP等协议代理访问业务资源，支持发布IP、IP范围、IP段、具体域名及通配符域名等形式的服务器地址，满足常见办公业务的代理，收缩业务暴露面。支持以隧道模式发布http/https协议的资源，以增加在隧道模式下发布的资源的URL级别审计能力，同时支持为隧道资源添加WEB水印以及单点登录功能。</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8.DNS解析 支持以私有DNS发布企业资源，无需额外购买DNS服务即可使用域名访问内网资源，支持管理员自主配置是否允许从具体网络区域（局域网/互联网）接入时使用此私有DNS解析地址。</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9.审计及运维能力 应支持将具有异常登录行为的用户日志自动打标签为用户安全日志，以便于管理员快速审计定位。用户安全日志包括但不限于：账号安全、中间人攻击、SPA安全、cookie劫持等。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10.支持终端环境诊断排查，提供终端诊断工具，支持对当前终端的基本环境进行扫描和一键修复；支持客户端应用访问诊断，输入应用地址后自动检测应用连通性；支持客户端自助日志收集；</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11. 多因素认证 为了进一步保障用户身份安全，需支持多因素认证，支持管理员结合已对接的主认证和辅认证类型进行设置，可自由选择采用首次认证+二次认证+终端认证+增强认证等方式。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12. 用户目录 支持对接外部用户服务器来导入用户目录（如ad/ldap、企业微信、钉钉等），并为未导入用户配置登录策略，可设置其禁止登录，或设置允许登录但为其配置默认访问权限，简化管理人员的用户配置。</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13.自适应认证</w:t>
            </w:r>
            <w:r>
              <w:rPr>
                <w:rFonts w:hint="eastAsia" w:asciiTheme="minorEastAsia" w:hAnsiTheme="minorEastAsia" w:cstheme="minorEastAsia"/>
                <w:i w:val="0"/>
                <w:iCs w:val="0"/>
                <w:color w:val="000000"/>
                <w:sz w:val="24"/>
                <w:szCs w:val="24"/>
                <w:u w:val="none"/>
                <w:lang w:val="en-US" w:eastAsia="zh-CN" w:bidi="ar"/>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为了保障单位员工认证安全与便捷的平衡，支持在满足条件的情况下为用户配置免除二次认证，可配置的条件包括但不限于授信终端环境、自定义网络环境等。</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(投标文件提供产品功能截图</w:t>
            </w:r>
            <w:r>
              <w:rPr>
                <w:rFonts w:hint="eastAsia" w:asciiTheme="minorEastAsia" w:hAnsiTheme="minorEastAsia" w:cstheme="minorEastAsia"/>
                <w:b/>
                <w:bCs/>
                <w:i w:val="0"/>
                <w:iCs w:val="0"/>
                <w:color w:val="000000"/>
                <w:sz w:val="24"/>
                <w:szCs w:val="24"/>
                <w:u w:val="none"/>
                <w:lang w:val="en-US" w:eastAsia="zh-CN" w:bidi="ar"/>
              </w:rPr>
              <w:t xml:space="preserve">或</w:t>
            </w:r>
            <w:r>
              <w:rPr>
                <w:rFonts w:hint="eastAsia" w:asciiTheme="minorEastAsia" w:hAnsiTheme="minorEastAsia" w:eastAsiaTheme="minorEastAsia" w:cstheme="minorEastAsia"/>
                <w:b/>
                <w:bCs/>
                <w:i w:val="0"/>
                <w:iCs w:val="0"/>
                <w:color w:val="000000"/>
                <w:sz w:val="24"/>
                <w:szCs w:val="24"/>
                <w:u w:val="none"/>
                <w:lang w:val="en-US" w:eastAsia="zh-CN" w:bidi="ar"/>
              </w:rPr>
              <w:t xml:space="preserve">第三方</w:t>
            </w:r>
            <w:r>
              <w:rPr>
                <w:rFonts w:hint="eastAsia" w:asciiTheme="minorEastAsia" w:hAnsiTheme="minorEastAsia" w:cstheme="minorEastAsia"/>
                <w:b/>
                <w:bCs/>
                <w:i w:val="0"/>
                <w:iCs w:val="0"/>
                <w:color w:val="000000"/>
                <w:sz w:val="24"/>
                <w:szCs w:val="24"/>
                <w:u w:val="none"/>
                <w:lang w:val="en-US" w:eastAsia="zh-CN" w:bidi="ar"/>
              </w:rPr>
              <w:t xml:space="preserve">检</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测机构</w:t>
            </w:r>
            <w:r>
              <w:rPr>
                <w:rFonts w:hint="eastAsia" w:asciiTheme="minorEastAsia" w:hAnsiTheme="minorEastAsia" w:cstheme="minorEastAsia"/>
                <w:b/>
                <w:bCs/>
                <w:i w:val="0"/>
                <w:iCs w:val="0"/>
                <w:color w:val="000000"/>
                <w:sz w:val="24"/>
                <w:szCs w:val="24"/>
                <w:u w:val="none"/>
                <w:lang w:val="en-US" w:eastAsia="zh-CN" w:bidi="ar"/>
              </w:rPr>
              <w:t xml:space="preserve">出具的</w:t>
            </w:r>
            <w:r>
              <w:rPr>
                <w:rFonts w:hint="eastAsia" w:asciiTheme="minorEastAsia" w:hAnsiTheme="minorEastAsia" w:eastAsiaTheme="minorEastAsia" w:cstheme="minorEastAsia"/>
                <w:b/>
                <w:bCs/>
                <w:i w:val="0"/>
                <w:iCs w:val="0"/>
                <w:color w:val="000000"/>
                <w:sz w:val="24"/>
                <w:szCs w:val="24"/>
                <w:u w:val="none"/>
                <w:lang w:val="en-US" w:eastAsia="zh-CN" w:bidi="ar"/>
              </w:rPr>
              <w:t xml:space="preserve">检测报告证明</w:t>
            </w:r>
            <w:r>
              <w:rPr>
                <w:rFonts w:hint="eastAsia" w:asciiTheme="minorEastAsia" w:hAnsiTheme="minorEastAsia" w:cstheme="minorEastAsia"/>
                <w:b/>
                <w:bCs/>
                <w:i w:val="0"/>
                <w:iCs w:val="0"/>
                <w:color w:val="000000"/>
                <w:sz w:val="24"/>
                <w:szCs w:val="24"/>
                <w:u w:val="none"/>
                <w:lang w:val="en-US" w:eastAsia="zh-CN" w:bidi="ar"/>
              </w:rPr>
              <w:t xml:space="preserve">材料</w:t>
            </w:r>
            <w:r>
              <w:rPr>
                <w:rFonts w:hint="eastAsia" w:asciiTheme="minorEastAsia" w:hAnsiTheme="minorEastAsia" w:eastAsiaTheme="minorEastAsia" w:cstheme="minorEastAsia"/>
                <w:b/>
                <w:bCs/>
                <w:i w:val="0"/>
                <w:iCs w:val="0"/>
                <w:color w:val="000000"/>
                <w:sz w:val="24"/>
                <w:szCs w:val="24"/>
                <w:u w:val="none"/>
                <w:lang w:val="en-US" w:eastAsia="zh-CN" w:bidi="ar"/>
              </w:rPr>
              <w:t xml:space="preserve">，并加盖投标人公章)</w:t>
            </w:r>
            <w:r>
              <w:rPr>
                <w:rFonts w:hint="eastAsia" w:asciiTheme="minorEastAsia" w:hAnsiTheme="minorEastAsia" w:eastAsiaTheme="minorEastAsia" w:cstheme="minorEastAsia"/>
                <w:b/>
                <w:bCs/>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14.单点登录 支持帐号密码代填的单点登录功能，支持智能识别登录页面的用户名和密码输入框，根据设置的用户名密码规则自动填写WEB业务系统的帐号密码并登录；支持精准识别的代填模式，以业务登录界面的帐号输入框、密码输入框、登录按钮等作为匹配项，自定义精确匹配零信任用户名、密码、组织架构名、手机号、邮箱、邮箱前缀等值，也可以设置由终端用户自定义输入或管理员设定固定值登录。</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15.本地用户管理应用识别 支持通过组织架构、角色等方式进行本地用户管理；新增或修改本地用户时，可编辑的用户属性应包括但不限于：用户名、显示名、组织信息、关联角色、手机号码、密码、电子邮箱、用户有效期、帐号是否启用、应用授权等。</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16.支持以虚拟IP方式，访问真实的业务系统，以便于审计设备区分访问用户。支持共享虚拟IP池与独享虚拟IP两种模式。</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17.终端接入能力</w:t>
            </w:r>
            <w:r>
              <w:rPr>
                <w:rFonts w:hint="eastAsia" w:asciiTheme="minorEastAsia" w:hAnsiTheme="minorEastAsia" w:cstheme="minorEastAsia"/>
                <w:i w:val="0"/>
                <w:iCs w:val="0"/>
                <w:color w:val="000000"/>
                <w:sz w:val="24"/>
                <w:szCs w:val="24"/>
                <w:u w:val="none"/>
                <w:lang w:val="en-US" w:eastAsia="zh-CN" w:bidi="ar"/>
              </w:rPr>
              <w:t xml:space="preserve">：</w:t>
            </w:r>
            <w:r>
              <w:rPr>
                <w:rFonts w:hint="eastAsia" w:asciiTheme="minorEastAsia" w:hAnsiTheme="minorEastAsia" w:eastAsiaTheme="minorEastAsia" w:cstheme="minorEastAsia"/>
                <w:i w:val="0"/>
                <w:iCs w:val="0"/>
                <w:color w:val="000000"/>
                <w:sz w:val="24"/>
                <w:szCs w:val="24"/>
                <w:u w:val="none"/>
                <w:lang w:val="en-US" w:eastAsia="zh-CN" w:bidi="ar"/>
              </w:rPr>
              <w:t xml:space="preserve">为保障业务正常访问，客户端应兼容主流操作系统和芯片，操作系统至少包括Windows、macOS、麒麟、UOS、中科方德、Ubuntu、Android、i0S、Harmony0S next,芯片至少包括兆芯、海光、飞腾、鲲鹏、海思麒麟、龙芯。</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数据库</w:t>
            </w:r>
            <w:r/>
          </w:p>
        </w:tc>
        <w:tc>
          <w:tcPr>
            <w:shd w:val="clear" w:color="auto" w:fill="auto"/>
            <w:tcBorders>
              <w:top w:val="single" w:color="000000" w:sz="4" w:space="0"/>
              <w:left w:val="single" w:color="000000" w:sz="4" w:space="0"/>
              <w:bottom w:val="single" w:color="000000" w:sz="4" w:space="0"/>
              <w:right w:val="single" w:color="000000" w:sz="4" w:space="0"/>
            </w:tcBorders>
            <w:tcW w:w="3425" w:type="pct"/>
            <w:vAlign w:val="center"/>
            <w:textDirection w:val="lrTb"/>
            <w:noWrap w:val="false"/>
          </w:tcPr>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数据库安装</w:t>
            </w:r>
            <w:r/>
          </w:p>
          <w:p>
            <w:pPr>
              <w:numPr>
                <w:ilvl w:val="0"/>
                <w:numId w:val="0"/>
              </w:num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a)支持命令行或图形化的安装； </w:t>
            </w:r>
            <w:r/>
          </w:p>
          <w:p>
            <w:pPr>
              <w:numPr>
                <w:ilvl w:val="0"/>
                <w:numId w:val="0"/>
              </w:num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b)支持命令行或图形化的可配置安装能力； </w:t>
            </w:r>
            <w:r/>
          </w:p>
          <w:p>
            <w:pPr>
              <w:numPr>
                <w:ilvl w:val="0"/>
                <w:numId w:val="0"/>
              </w:num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c)依据安装环境提供相应的初始化参数配置值； </w:t>
            </w:r>
            <w:r/>
          </w:p>
          <w:p>
            <w:pPr>
              <w:numPr>
                <w:ilvl w:val="0"/>
                <w:numId w:val="0"/>
              </w:num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d)提供图形化软件组件管理向导工具</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数据库重启</w:t>
            </w:r>
            <w:r/>
          </w:p>
          <w:p>
            <w:pPr>
              <w:numPr>
                <w:ilvl w:val="0"/>
                <w:numId w:val="0"/>
              </w:num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a)支持命令行或图形化的方式关闭和启 动服务； </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b)关闭服务后，再启动服务，服务正常</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安装配置日志</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提供软件安装的日志记录功能；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记录的软件安装信息完整正确；</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提供安装配置操作的日志记录功能；</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d) 记录的配置操作信息完整正确</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升级维护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a)支持版本升级，保证版本间功能和数据 的兼容性； </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b)厂商提供当前版本与历史版本的差异说明文档，包含新版本对软件和硬件的支持情况</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参数配置</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依据工作负载和运行环境，提供配置参数修改的能力；</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 修改数据库配置参数后，配置参数立即生效或数据库重新启动生效，立即生效的</w:t>
            </w:r>
            <w:r>
              <w:rPr>
                <w:rFonts w:hint="eastAsia" w:ascii="宋体" w:hAnsi="宋体" w:cs="Helvetica"/>
                <w:b/>
                <w:bCs w:val="0"/>
                <w:i/>
                <w:sz w:val="24"/>
                <w:szCs w:val="24"/>
                <w:u w:val="single"/>
              </w:rPr>
              <w:t xml:space="preserve">配置参数和需要数据库重新启动方可生效的配置参数应在相关文档中明确</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基础数据类型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a)支持数值类型；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b)支持字符类型；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c)支持二进制类型；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d)支持日期和时间类型；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e)支持布尔类型；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f)支持（大）文本类型； </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g)支持大对象类型</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数据存储基础功能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支持基础数据类型</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数据检索基础功能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支持基础数据类型</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核心SQL能力</w:t>
            </w:r>
            <w:r>
              <w:rPr>
                <w:rFonts w:hint="eastAsia" w:ascii="宋体" w:hAnsi="宋体" w:cs="Helvetica"/>
                <w:b/>
                <w:bCs w:val="0"/>
                <w:i/>
                <w:sz w:val="24"/>
                <w:szCs w:val="24"/>
                <w:u w:val="single"/>
              </w:rPr>
              <w:t xml:space="preserve">：</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支持左外连接；</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支持右外连接；</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支持内连接；</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支持全连接</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字符集</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中文字符集符合 GB 18030 的要求</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常用操作符</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支持逻辑操作符及相关运算；</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支持比较操作符及相关运算；</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 支持算术运算符及相关运算</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条件表达式</w:t>
            </w:r>
            <w:r>
              <w:rPr>
                <w:rFonts w:hint="eastAsia" w:ascii="宋体" w:hAnsi="宋体" w:cs="Helvetica"/>
                <w:b/>
                <w:bCs w:val="0"/>
                <w:i/>
                <w:sz w:val="24"/>
                <w:szCs w:val="24"/>
                <w:u w:val="single"/>
              </w:rPr>
              <w:t xml:space="preserve">：</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a)支持对比条件表达式；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b)支持逻辑条件表达式；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c)支持空值条件表达式；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d)支持等于条件表达式；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e)支持模式匹配条件表达式；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f)支持区间条件表达式；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g)支持 IN 条件表达式；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h)支持存在条件表达式； </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i)支持以上条件表达式的复合表达式</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SQL执行</w:t>
            </w:r>
            <w:r>
              <w:rPr>
                <w:rFonts w:hint="eastAsia" w:ascii="宋体" w:hAnsi="宋体" w:cs="Helvetica"/>
                <w:b/>
                <w:bCs w:val="0"/>
                <w:i/>
                <w:sz w:val="24"/>
                <w:szCs w:val="24"/>
                <w:u w:val="single"/>
              </w:rPr>
              <w:t xml:space="preserve">计划</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w:t>
            </w:r>
            <w:r>
              <w:rPr>
                <w:rFonts w:ascii="宋体" w:hAnsi="宋体" w:cs="Helvetica"/>
                <w:b/>
                <w:bCs w:val="0"/>
                <w:i/>
                <w:sz w:val="24"/>
                <w:szCs w:val="24"/>
                <w:u w:val="single"/>
              </w:rPr>
              <w:t xml:space="preserve">SQL计划，使SQL按照指定的语句执</w:t>
            </w:r>
            <w:r>
              <w:rPr>
                <w:rFonts w:hint="eastAsia" w:ascii="宋体" w:hAnsi="宋体" w:cs="Helvetica"/>
                <w:b/>
                <w:bCs w:val="0"/>
                <w:i/>
                <w:sz w:val="24"/>
                <w:szCs w:val="24"/>
                <w:u w:val="single"/>
              </w:rPr>
              <w:t xml:space="preserve">行，并实现预期结果</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基础对象类型</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a)支持用户的创建、删除、修改；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b)支持角色的创建、删除、修改；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c)支持存储过程的创建、删除、修改；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d)支持表操作功能；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e)支持自增序列；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f)支持主键约束、唯一性约束、检查约束 和联合主键约束；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g)支持游标功能；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h)支持视图的创建、删除、修改；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i)支持数值计算函数、字符处理函数、日 期时间值函数、间隔函数、类型转换函数、 位运算函数、聚合函数、格式化、系统信 息等常用函数</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基础表分区管理</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a)哈希分区方式；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b)范围分区方式；</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c)列表分区方式</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对象变更</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a）支持数据库的创建、删除、更新以及数 据库属性的查询；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b）支持在线变更表结构、索引；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c）支持数据的增加、删除、修改和查询</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事务基础特性</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支持事务的 ACID</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死锁检测与处理</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在并发执行过程中，能检测到死锁；</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提供解决全局死锁的机制；</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具备死锁处理能力；</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具备死锁超时回滚的能力；</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e) 具备死锁检测与处理记录功能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运行时统</w:t>
            </w:r>
            <w:r>
              <w:rPr>
                <w:rFonts w:hint="eastAsia" w:ascii="宋体" w:hAnsi="宋体" w:cs="Helvetica"/>
                <w:b/>
                <w:bCs w:val="0"/>
                <w:i/>
                <w:sz w:val="24"/>
                <w:szCs w:val="24"/>
                <w:u w:val="single"/>
              </w:rPr>
              <w:t xml:space="preserve">计信息基础功能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a）数据库慢 SQL 统计：</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1）支持统计 SQL 语句；</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2）支持统计用户名；</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3）支持统计数据库名；</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4）支持统计执行时长；</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b）数据库性能状态统计：</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1）支持统计每秒事务数和查询数；</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2）支持统计 SQL 平均响应时间；</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3）支持统计高频 SQL</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日志</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具备对各类事件进行日志记录的功能，可通过日志查看操作内容、执行过程和结</w:t>
            </w:r>
            <w:r>
              <w:rPr>
                <w:rFonts w:hint="eastAsia" w:ascii="宋体" w:hAnsi="宋体" w:cs="Helvetica"/>
                <w:b/>
                <w:bCs w:val="0"/>
                <w:i/>
                <w:sz w:val="24"/>
                <w:szCs w:val="24"/>
                <w:u w:val="single"/>
              </w:rPr>
              <w:t xml:space="preserve">果；</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具备提示和警告功能，提示或警告数据库结构修改、数据库运行配置修改等重要</w:t>
            </w:r>
            <w:r>
              <w:rPr>
                <w:rFonts w:hint="eastAsia" w:ascii="宋体" w:hAnsi="宋体" w:cs="Helvetica"/>
                <w:b/>
                <w:bCs w:val="0"/>
                <w:i/>
                <w:sz w:val="24"/>
                <w:szCs w:val="24"/>
                <w:u w:val="single"/>
              </w:rPr>
              <w:t xml:space="preserve">操作；</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日志完整正确，并且提供可读文本的形式；</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支持中文日志</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远程运维：具备远程维护功能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报警</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厂商提供通知管理员的方法或工具；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支持设置报警基线，数据库运行中遇到重要事件、异常事件和状态、超过报警阈</w:t>
            </w:r>
            <w:r>
              <w:rPr>
                <w:rFonts w:hint="eastAsia" w:ascii="宋体" w:hAnsi="宋体" w:cs="Helvetica"/>
                <w:b/>
                <w:bCs w:val="0"/>
                <w:i/>
                <w:sz w:val="24"/>
                <w:szCs w:val="24"/>
                <w:u w:val="single"/>
              </w:rPr>
              <w:t xml:space="preserve">值等情况时，通知管理员；</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提供报警API；</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报警发生时，支持报警信息的实时展示</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数据迁移</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提供元数据、数据库、数据库对象、表数据快速迁移的功能；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支持数据迁移工具实现同构或异构数</w:t>
            </w:r>
            <w:r>
              <w:rPr>
                <w:rFonts w:hint="eastAsia" w:ascii="宋体" w:hAnsi="宋体" w:cs="Helvetica"/>
                <w:b/>
                <w:bCs w:val="0"/>
                <w:i/>
                <w:sz w:val="24"/>
                <w:szCs w:val="24"/>
                <w:u w:val="single"/>
              </w:rPr>
              <w:t xml:space="preserve">据库之间的数据迁移；</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支持全量数据迁移、增量数据持续同步等迁移模式；</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在数据迁移过程中具备应对传输异常</w:t>
            </w:r>
            <w:r>
              <w:rPr>
                <w:rFonts w:hint="eastAsia" w:ascii="宋体" w:hAnsi="宋体" w:cs="Helvetica"/>
                <w:b/>
                <w:bCs w:val="0"/>
                <w:i/>
                <w:sz w:val="24"/>
                <w:szCs w:val="24"/>
                <w:u w:val="single"/>
              </w:rPr>
              <w:t xml:space="preserve">的能力，保障数据迁移的稳定性、连续性和一致性；</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e) 支持存量数据的一次性迁移和增量数</w:t>
            </w:r>
            <w:r>
              <w:rPr>
                <w:rFonts w:hint="eastAsia" w:ascii="宋体" w:hAnsi="宋体" w:cs="Helvetica"/>
                <w:b/>
                <w:bCs w:val="0"/>
                <w:i/>
                <w:sz w:val="24"/>
                <w:szCs w:val="24"/>
                <w:u w:val="single"/>
              </w:rPr>
              <w:t xml:space="preserve">据库的持续同步；</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f) 支持多种不同类型的源数据库和目标</w:t>
            </w:r>
            <w:r>
              <w:rPr>
                <w:rFonts w:hint="eastAsia" w:ascii="宋体" w:hAnsi="宋体" w:cs="Helvetica"/>
                <w:b/>
                <w:bCs w:val="0"/>
                <w:i/>
                <w:sz w:val="24"/>
                <w:szCs w:val="24"/>
                <w:u w:val="single"/>
              </w:rPr>
              <w:t xml:space="preserve">数据库之间的数据迁移</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hint="eastAsia" w:ascii="宋体" w:hAnsi="宋体" w:cs="Helvetica"/>
                <w:b/>
                <w:bCs w:val="0"/>
                <w:i/>
                <w:sz w:val="24"/>
                <w:szCs w:val="24"/>
                <w:u w:val="single"/>
              </w:rPr>
              <w:t xml:space="preserve">数据比对基础功能</w:t>
            </w:r>
            <w:r/>
          </w:p>
          <w:p>
            <w:pPr>
              <w:numPr>
                <w:ilvl w:val="0"/>
                <w:numId w:val="0"/>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hint="eastAsia" w:ascii="宋体" w:hAnsi="宋体" w:cs="Helvetica"/>
                <w:b/>
                <w:bCs w:val="0"/>
                <w:i/>
                <w:sz w:val="24"/>
                <w:szCs w:val="24"/>
                <w:u w:val="single"/>
              </w:rPr>
              <w:t xml:space="preserve">对源数据库和目标数据库之间的数据进行比对，支持数据一致性，并提供一致性比对报告</w:t>
            </w:r>
            <w:r/>
          </w:p>
          <w:p>
            <w:pPr>
              <w:numPr>
                <w:ilvl w:val="0"/>
                <w:numId w:val="1"/>
              </w:numPr>
              <w:ind w:firstLine="0"/>
              <w:jc w:val="left"/>
              <w:keepLines w:val="0"/>
              <w:keepNext w:val="0"/>
              <w:pageBreakBefore w:val="0"/>
              <w:spacing w:line="288" w:lineRule="auto"/>
              <w:widowControl/>
              <w:rPr>
                <w:rFonts w:hint="default" w:ascii="宋体" w:hAnsi="宋体" w:eastAsia="宋体" w:cs="Helvetica"/>
                <w:b/>
                <w:bCs w:val="0"/>
                <w:i/>
                <w:sz w:val="24"/>
                <w:szCs w:val="24"/>
                <w:u w:val="single"/>
                <w:lang w:eastAsia="zh-CN"/>
              </w:rPr>
            </w:pPr>
            <w:r>
              <w:rPr>
                <w:rFonts w:ascii="宋体" w:hAnsi="宋体" w:cs="Helvetica"/>
                <w:b/>
                <w:bCs w:val="0"/>
                <w:i/>
                <w:sz w:val="24"/>
                <w:szCs w:val="24"/>
                <w:u w:val="single"/>
              </w:rPr>
              <w:t xml:space="preserve">数据备份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a) 运行状态下支持对数据库进行全库备份； </w:t>
            </w:r>
            <w:r/>
          </w:p>
          <w:p>
            <w:pPr>
              <w:ind w:firstLine="0"/>
              <w:jc w:val="left"/>
              <w:keepLines w:val="0"/>
              <w:keepNext w:val="0"/>
              <w:pageBreakBefore w:val="0"/>
              <w:spacing w:line="288" w:lineRule="auto"/>
              <w:widowControl/>
              <w:rPr>
                <w:rFonts w:hint="eastAsia" w:ascii="宋体" w:hAnsi="宋体" w:eastAsia="宋体" w:cs="Helvetica"/>
                <w:b/>
                <w:bCs w:val="0"/>
                <w:i/>
                <w:sz w:val="24"/>
                <w:szCs w:val="24"/>
                <w:u w:val="single"/>
                <w:lang w:eastAsia="zh-CN"/>
              </w:rPr>
            </w:pPr>
            <w:r>
              <w:rPr>
                <w:rFonts w:ascii="宋体" w:hAnsi="宋体" w:cs="Helvetica"/>
                <w:b/>
                <w:bCs w:val="0"/>
                <w:i/>
                <w:sz w:val="24"/>
                <w:szCs w:val="24"/>
                <w:u w:val="single"/>
              </w:rPr>
              <w:t xml:space="preserve">b) 运行状态下支持对数据库进行部分备份； </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运行状态下支持对数据库进行增量备份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多种存储媒体备份、还原</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支持多种备份存储媒体，支持多种存储媒体的部分、完整数据库数据还原处理能力</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备份还原的一致性校验</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提供数据库备份数据一致性校验的命令或工具</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集群构建与管理</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支持集群的运行环境；</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支持创建并配置数据库集群；</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配置信息至少包括日常运维管理、容灾管理、日志管理、备份管理、监控等</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数据分布</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支持自动数据分布；</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按照指定规则设置数据分布</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分布式计</w:t>
            </w:r>
            <w:r>
              <w:rPr>
                <w:rFonts w:hint="eastAsia" w:ascii="宋体" w:hAnsi="宋体" w:cs="Helvetica"/>
                <w:b/>
                <w:bCs w:val="0"/>
                <w:i/>
                <w:sz w:val="24"/>
                <w:szCs w:val="24"/>
                <w:u w:val="single"/>
              </w:rPr>
              <w:t xml:space="preserve">算</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支持在分布式节点上的并行计算</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集群扩展</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支持在线扩容、缩容；</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集群扩容、缩容过程中支持分布式事务ACID 特性</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数据重分布：</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支持按照数据库集群的节点、状态和负载的变化，进行动态重分布</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对应用透明</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当数据分布、分布计算、集群扩展、数据重分布等变化时，不需要修改应用代码</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均分负载</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支持在集群环境下，事务并行执行</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数据库开发调试工具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具备图形化功能，提高易用性；</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具备导入、编辑、保存、执行 SQL 语句和 SQL 脚本功能；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具备复制、编辑现有数据库对象功能；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具备关键词显示标记、动态语法提示的SQL 编辑器功能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用户、角色管理工具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支持创建、修改、删除用户的功能；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b）提供定义用户的功能；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支持创建、修改、删除角色的功能，且提供用户自定义角色的功能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SQL 执行</w:t>
            </w:r>
            <w:r>
              <w:rPr>
                <w:rFonts w:hint="eastAsia" w:ascii="宋体" w:hAnsi="宋体" w:cs="Helvetica"/>
                <w:b/>
                <w:bCs w:val="0"/>
                <w:i/>
                <w:sz w:val="24"/>
                <w:szCs w:val="24"/>
                <w:u w:val="single"/>
              </w:rPr>
              <w:t xml:space="preserve">计划查看工具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提供与数据库管理系统进行 SQL 交互的工具，方便运维工作；</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支持查看 SQL 语句查询执行计划与统计信息</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数据库对</w:t>
            </w:r>
            <w:r>
              <w:rPr>
                <w:rFonts w:hint="eastAsia" w:ascii="宋体" w:hAnsi="宋体" w:cs="Helvetica"/>
                <w:b/>
                <w:bCs w:val="0"/>
                <w:i/>
                <w:sz w:val="24"/>
                <w:szCs w:val="24"/>
                <w:u w:val="single"/>
              </w:rPr>
              <w:t xml:space="preserve">象工具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支持创建、修改、删除表的功能，支持定义表结构、约束、存储配置管理的功能；b) 支持创建、修改、删除索引的功能，支持定义索引结构、类型、存储配置管理的</w:t>
            </w:r>
            <w:r>
              <w:rPr>
                <w:rFonts w:hint="eastAsia" w:ascii="宋体" w:hAnsi="宋体" w:cs="Helvetica"/>
                <w:b/>
                <w:bCs w:val="0"/>
                <w:i/>
                <w:sz w:val="24"/>
                <w:szCs w:val="24"/>
                <w:u w:val="single"/>
              </w:rPr>
              <w:t xml:space="preserve">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支持创建、修改、删除视图的功能，支持视图定义的功能；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支持创建、修改、删除约束的功能，支持约束定义的功能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导入导出工具：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支持导出不同格式，可以将不同格式数据导入到数据库中；</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支持不同级别和不同数据库对象的导</w:t>
            </w:r>
            <w:r>
              <w:rPr>
                <w:rFonts w:hint="eastAsia" w:ascii="宋体" w:hAnsi="宋体" w:cs="Helvetica"/>
                <w:b/>
                <w:bCs w:val="0"/>
                <w:i/>
                <w:sz w:val="24"/>
                <w:szCs w:val="24"/>
                <w:u w:val="single"/>
              </w:rPr>
              <w:t xml:space="preserve">入</w:t>
            </w:r>
            <w:r>
              <w:rPr>
                <w:rFonts w:ascii="宋体" w:hAnsi="宋体" w:cs="Helvetica"/>
                <w:b/>
                <w:bCs w:val="0"/>
                <w:i/>
                <w:sz w:val="24"/>
                <w:szCs w:val="24"/>
                <w:u w:val="single"/>
              </w:rPr>
              <w:t xml:space="preserve">/导出功能；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支持从文本文件或者其他上游数据源</w:t>
            </w:r>
            <w:r>
              <w:rPr>
                <w:rFonts w:hint="eastAsia" w:ascii="宋体" w:hAnsi="宋体" w:cs="Helvetica"/>
                <w:b/>
                <w:bCs w:val="0"/>
                <w:i/>
                <w:sz w:val="24"/>
                <w:szCs w:val="24"/>
                <w:u w:val="single"/>
              </w:rPr>
              <w:t xml:space="preserve">将数据导入；</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支持 SQL 脚本进行导入导出</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数据库运维工具：</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支持数据库、数据库存储对象结构、数据、统计信息更新维护；</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支持数据库创建、数据库修改、数据库删除、数据库模板维护；</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支持数据库任务自动化调度作业管理；</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支持图形化展示数据库管理的各种元</w:t>
            </w:r>
            <w:r>
              <w:rPr>
                <w:rFonts w:hint="eastAsia" w:ascii="宋体" w:hAnsi="宋体" w:cs="Helvetica"/>
                <w:b/>
                <w:bCs w:val="0"/>
                <w:i/>
                <w:sz w:val="24"/>
                <w:szCs w:val="24"/>
                <w:u w:val="single"/>
              </w:rPr>
              <w:t xml:space="preserve">数据界面，展示的内容具有层次性，包括模式、非模式数据字典信息</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图形化的开发工具</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厂商提供图形化的开发工具</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图形化运维工具</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厂商提供图形化的运维工具</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稳定运行：</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支持连续稳定运行；</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支持数据库管理系统运行风险的报警</w:t>
            </w:r>
            <w:r>
              <w:rPr>
                <w:rFonts w:hint="eastAsia" w:ascii="宋体" w:hAnsi="宋体" w:cs="Helvetica"/>
                <w:b/>
                <w:bCs w:val="0"/>
                <w:i/>
                <w:sz w:val="24"/>
                <w:szCs w:val="24"/>
                <w:u w:val="single"/>
              </w:rPr>
              <w:t xml:space="preserve">能力</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快速切换：</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支持快速切换，在主数据库出现故障时，能够快速切换到备用数据库，保障业务正常运行</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恢复无断点</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支持无断点恢复能力</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主备备份：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支持多副本，支持主副本与从副本之间的数据同步，最低时延由生产厂商提供；</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b)提供数据库复制技术，包括基于日志的</w:t>
            </w:r>
            <w:r>
              <w:rPr>
                <w:rFonts w:hint="eastAsia" w:ascii="宋体" w:hAnsi="宋体" w:cs="Helvetica"/>
                <w:b/>
                <w:bCs w:val="0"/>
                <w:i/>
                <w:sz w:val="24"/>
                <w:szCs w:val="24"/>
                <w:u w:val="single"/>
              </w:rPr>
              <w:t xml:space="preserve">备用数据库远程数据库备份技术，并具备数据副本间的复制能力</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实例容灾</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在任意数据库实例出现故障时，集群内服务正常运行，数据不丢失，集群整体业</w:t>
            </w:r>
            <w:r>
              <w:rPr>
                <w:rFonts w:hint="eastAsia" w:ascii="宋体" w:hAnsi="宋体" w:cs="Helvetica"/>
                <w:b/>
                <w:bCs w:val="0"/>
                <w:i/>
                <w:sz w:val="24"/>
                <w:szCs w:val="24"/>
                <w:u w:val="single"/>
              </w:rPr>
              <w:t xml:space="preserve">务可用；</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在实例故障、节点故障等单数据库实例故障时，RPO 时间等于 0，RTO 时间小于 30s</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容灾部署</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a)提供远程容灾部署与管理功能；</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b)提供生产中心与备份中心之间的容灾部</w:t>
            </w:r>
            <w:r>
              <w:rPr>
                <w:rFonts w:hint="eastAsia" w:ascii="宋体" w:hAnsi="宋体" w:cs="Helvetica"/>
                <w:b/>
                <w:bCs w:val="0"/>
                <w:i/>
                <w:sz w:val="24"/>
                <w:szCs w:val="24"/>
                <w:u w:val="single"/>
              </w:rPr>
              <w:t xml:space="preserve">署与管理功能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同城容灾</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支持同城双中心部署，当主中心故障</w:t>
            </w:r>
            <w:r>
              <w:rPr>
                <w:rFonts w:hint="eastAsia" w:ascii="宋体" w:hAnsi="宋体" w:cs="Helvetica"/>
                <w:b/>
                <w:bCs w:val="0"/>
                <w:i/>
                <w:sz w:val="24"/>
                <w:szCs w:val="24"/>
                <w:u w:val="single"/>
              </w:rPr>
              <w:t xml:space="preserve">时，业务切换到备中心；</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由于网络、供电等原因造成的可用区级故障，触发集群计划外停机，在同城多可</w:t>
            </w:r>
            <w:r>
              <w:rPr>
                <w:rFonts w:hint="eastAsia" w:ascii="宋体" w:hAnsi="宋体" w:cs="Helvetica"/>
                <w:b/>
                <w:bCs w:val="0"/>
                <w:i/>
                <w:sz w:val="24"/>
                <w:szCs w:val="24"/>
                <w:u w:val="single"/>
              </w:rPr>
              <w:t xml:space="preserve">用区场景下，</w:t>
            </w:r>
            <w:r>
              <w:rPr>
                <w:rFonts w:ascii="宋体" w:hAnsi="宋体" w:cs="Helvetica"/>
                <w:b/>
                <w:bCs w:val="0"/>
                <w:i/>
                <w:sz w:val="24"/>
                <w:szCs w:val="24"/>
                <w:u w:val="single"/>
              </w:rPr>
              <w:t xml:space="preserve">RPO 时间等于0，RTO 时间小于1 分钟</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服务端编程稳定性</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支持当用户自定义的存储过程、函数运行异常时，数据库稳定运行</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网络容错</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网络中断时，保障事务一致性</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检测报警</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支持数据库实例启动时错误检测能力；b) 支持加载不同文件格式、不同大小数据出现错误时的故障检测和处理能力；</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支持数据库备份执行过程中发生故障</w:t>
            </w:r>
            <w:r>
              <w:rPr>
                <w:rFonts w:hint="eastAsia" w:ascii="宋体" w:hAnsi="宋体" w:cs="Helvetica"/>
                <w:b/>
                <w:bCs w:val="0"/>
                <w:i/>
                <w:sz w:val="24"/>
                <w:szCs w:val="24"/>
                <w:u w:val="single"/>
              </w:rPr>
              <w:t xml:space="preserve">时报错或者报警能力；</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支持数据库恢复发生故障时报错或者</w:t>
            </w:r>
            <w:r>
              <w:rPr>
                <w:rFonts w:hint="eastAsia" w:ascii="宋体" w:hAnsi="宋体" w:cs="Helvetica"/>
                <w:b/>
                <w:bCs w:val="0"/>
                <w:i/>
                <w:sz w:val="24"/>
                <w:szCs w:val="24"/>
                <w:u w:val="single"/>
              </w:rPr>
              <w:t xml:space="preserve">报警能力</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故障恢复</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系统故障重启后能正常运行且支持数</w:t>
            </w:r>
            <w:r>
              <w:rPr>
                <w:rFonts w:hint="eastAsia" w:ascii="宋体" w:hAnsi="宋体" w:cs="Helvetica"/>
                <w:b/>
                <w:bCs w:val="0"/>
                <w:i/>
                <w:sz w:val="24"/>
                <w:szCs w:val="24"/>
                <w:u w:val="single"/>
              </w:rPr>
              <w:t xml:space="preserve">据一致性；</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支持完全媒体故障恢复的能力；</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 提供基于时间点故障恢复功能</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不同级别故障可恢复</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支持数据库事务故障、系统故障、存储媒体故障不同级别的可恢复能力</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云化部署</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支持虚拟化部署或容器化部署等云化部署方式</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硬件平台兼容</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 同源支持以下至少三种 CPU 平台架构：1) ARM；2) LoongArch；3) MIPS</w:t>
            </w:r>
            <w:r>
              <w:rPr>
                <w:rFonts w:hint="eastAsia" w:ascii="宋体" w:hAnsi="宋体" w:cs="Helvetica"/>
                <w:b/>
                <w:bCs w:val="0"/>
                <w:i/>
                <w:sz w:val="24"/>
                <w:szCs w:val="24"/>
                <w:u w:val="single"/>
              </w:rPr>
              <w:t xml:space="preserve">;</w:t>
            </w:r>
            <w:r>
              <w:rPr>
                <w:rFonts w:ascii="宋体" w:hAnsi="宋体" w:cs="Helvetica"/>
                <w:b/>
                <w:bCs w:val="0"/>
                <w:i/>
                <w:sz w:val="24"/>
                <w:szCs w:val="24"/>
                <w:u w:val="single"/>
              </w:rPr>
              <w:t xml:space="preserve">4) SW64</w:t>
            </w:r>
            <w:r>
              <w:rPr>
                <w:rFonts w:hint="eastAsia" w:ascii="宋体" w:hAnsi="宋体" w:cs="Helvetica"/>
                <w:b/>
                <w:bCs w:val="0"/>
                <w:i/>
                <w:sz w:val="24"/>
                <w:szCs w:val="24"/>
                <w:u w:val="single"/>
              </w:rPr>
              <w:t xml:space="preserve">;</w:t>
            </w:r>
            <w:r>
              <w:rPr>
                <w:rFonts w:ascii="宋体" w:hAnsi="宋体" w:cs="Helvetica"/>
                <w:b/>
                <w:bCs w:val="0"/>
                <w:i/>
                <w:sz w:val="24"/>
                <w:szCs w:val="24"/>
                <w:u w:val="single"/>
              </w:rPr>
              <w:t xml:space="preserve">5) x86</w:t>
            </w:r>
            <w:r>
              <w:rPr>
                <w:rFonts w:hint="eastAsia" w:ascii="宋体" w:hAnsi="宋体" w:cs="Helvetica"/>
                <w:b/>
                <w:bCs w:val="0"/>
                <w:i/>
                <w:sz w:val="24"/>
                <w:szCs w:val="24"/>
                <w:u w:val="single"/>
              </w:rPr>
              <w:t xml:space="preserve">;</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 支持 SMP 和 NUMA 的运行环境</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lang w:val="en-US" w:eastAsia="zh-CN"/>
              </w:rPr>
              <w:t xml:space="preserve">标准兼容</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支持 ODBC</w:t>
            </w:r>
            <w:r>
              <w:rPr>
                <w:rFonts w:hint="eastAsia" w:ascii="宋体" w:hAnsi="宋体" w:cs="Helvetica"/>
                <w:b/>
                <w:bCs w:val="0"/>
                <w:i/>
                <w:sz w:val="24"/>
                <w:szCs w:val="24"/>
                <w:u w:val="single"/>
              </w:rPr>
              <w:t xml:space="preserve">、</w:t>
            </w:r>
            <w:r>
              <w:rPr>
                <w:rFonts w:ascii="宋体" w:hAnsi="宋体" w:cs="Helvetica"/>
                <w:b/>
                <w:bCs w:val="0"/>
                <w:i/>
                <w:sz w:val="24"/>
                <w:szCs w:val="24"/>
                <w:u w:val="single"/>
              </w:rPr>
              <w:t xml:space="preserve">支持 JDBC</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lang w:val="en-US" w:eastAsia="zh-CN"/>
              </w:rPr>
            </w:pPr>
            <w:r>
              <w:rPr>
                <w:rFonts w:hint="eastAsia" w:ascii="宋体" w:hAnsi="宋体" w:cs="Helvetica"/>
                <w:b/>
                <w:bCs w:val="0"/>
                <w:i/>
                <w:sz w:val="24"/>
                <w:szCs w:val="24"/>
                <w:u w:val="single"/>
                <w:lang w:val="en-US" w:eastAsia="zh-CN"/>
              </w:rPr>
              <w:t xml:space="preserve">交付方式</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以光盘、便携式移动设备、镜像文件、在 线下载等交付方式提供产品交付物</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产品维护周期</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产品自发布之日起至产品停止功能升级（包含不限于新特性、新硬件支持、问题修复、安全补丁等）之日止≥</w:t>
            </w:r>
            <w:r>
              <w:rPr>
                <w:rFonts w:ascii="宋体" w:hAnsi="宋体" w:cs="Helvetica"/>
                <w:b/>
                <w:bCs w:val="0"/>
                <w:i/>
                <w:sz w:val="24"/>
                <w:szCs w:val="24"/>
                <w:u w:val="single"/>
              </w:rPr>
              <w:t xml:space="preserve">5 年</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产品延伸服务周期</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rPr>
              <w:t xml:space="preserve">产品停止功能升级之日起至产品停止功能维护（包括问题修复、安全补丁等）之日止≥</w:t>
            </w:r>
            <w:r>
              <w:rPr>
                <w:rFonts w:ascii="宋体" w:hAnsi="宋体" w:cs="Helvetica"/>
                <w:b/>
                <w:bCs w:val="0"/>
                <w:i/>
                <w:sz w:val="24"/>
                <w:szCs w:val="24"/>
                <w:u w:val="single"/>
              </w:rPr>
              <w:t xml:space="preserve">4 年</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产品延伸安全服务周期</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产品功能维护停止之日起至产品停止安全 维护（包括中高风险漏洞修复）之日止≥2 年</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售后服务最小保障期</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自销售之日起，产品售后服务周期≥6 年</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供应链与服务保障基础要求</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a)提供多种形式支持服务，包含电话、电</w:t>
            </w:r>
            <w:r>
              <w:rPr>
                <w:rFonts w:hint="eastAsia" w:ascii="宋体" w:hAnsi="宋体" w:cs="Helvetica"/>
                <w:b/>
                <w:bCs w:val="0"/>
                <w:i/>
                <w:sz w:val="24"/>
                <w:szCs w:val="24"/>
                <w:u w:val="single"/>
              </w:rPr>
              <w:t xml:space="preserve">子邮件、远程连接等；</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b)提供技术支持服务，支持同城4h、异地12h 响应要求，两个工作日解决问题，对于未能解决的问题和故障提供可行的升级方</w:t>
            </w:r>
            <w:r>
              <w:rPr>
                <w:rFonts w:hint="eastAsia" w:ascii="宋体" w:hAnsi="宋体" w:cs="Helvetica"/>
                <w:b/>
                <w:bCs w:val="0"/>
                <w:i/>
                <w:sz w:val="24"/>
                <w:szCs w:val="24"/>
                <w:u w:val="single"/>
              </w:rPr>
              <w:t xml:space="preserve">案；</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c)提供培训材料、产品手册、培训视频等</w:t>
            </w:r>
            <w:r>
              <w:rPr>
                <w:rFonts w:hint="eastAsia" w:ascii="宋体" w:hAnsi="宋体" w:cs="Helvetica"/>
                <w:b/>
                <w:bCs w:val="0"/>
                <w:i/>
                <w:sz w:val="24"/>
                <w:szCs w:val="24"/>
                <w:u w:val="single"/>
              </w:rPr>
              <w:t xml:space="preserve">培训相关内容；</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d) 建立全国技术服务体系和服务团队，符合专业服务体系标准要求，提供原厂中文</w:t>
            </w:r>
            <w:r>
              <w:rPr>
                <w:rFonts w:hint="eastAsia" w:ascii="宋体" w:hAnsi="宋体" w:cs="Helvetica"/>
                <w:b/>
                <w:bCs w:val="0"/>
                <w:i/>
                <w:sz w:val="24"/>
                <w:szCs w:val="24"/>
                <w:u w:val="single"/>
              </w:rPr>
              <w:t xml:space="preserve">服务；</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e) 服务周期内支持版本免费升级；</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f) 开源产品对获得的社区源代码进行安</w:t>
            </w:r>
            <w:r>
              <w:rPr>
                <w:rFonts w:hint="eastAsia" w:ascii="宋体" w:hAnsi="宋体" w:cs="Helvetica"/>
                <w:b/>
                <w:bCs w:val="0"/>
                <w:i/>
                <w:sz w:val="24"/>
                <w:szCs w:val="24"/>
                <w:u w:val="single"/>
              </w:rPr>
              <w:t xml:space="preserve">全性和知识产权审查与管理；</w:t>
            </w:r>
            <w:r/>
          </w:p>
          <w:p>
            <w:p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g) 提供数据库参数、慢 SQL 语句的性能优化指南，包含性能优化的具体措施、技巧、案例及建议等；</w:t>
            </w:r>
            <w:r/>
          </w:p>
          <w:p>
            <w:pPr>
              <w:numPr>
                <w:ilvl w:val="0"/>
                <w:numId w:val="1"/>
              </w:numPr>
              <w:ind w:firstLine="0"/>
              <w:jc w:val="left"/>
              <w:keepLines w:val="0"/>
              <w:keepNext w:val="0"/>
              <w:pageBreakBefore w:val="0"/>
              <w:spacing w:line="288" w:lineRule="auto"/>
              <w:widowControl/>
              <w:rPr>
                <w:rFonts w:ascii="宋体" w:hAnsi="宋体" w:cs="Helvetica"/>
                <w:b/>
                <w:bCs w:val="0"/>
                <w:i/>
                <w:sz w:val="24"/>
                <w:szCs w:val="24"/>
                <w:u w:val="single"/>
              </w:rPr>
            </w:pPr>
            <w:r>
              <w:rPr>
                <w:rFonts w:hint="eastAsia" w:ascii="宋体" w:hAnsi="宋体" w:cs="Helvetica"/>
                <w:b/>
                <w:bCs w:val="0"/>
                <w:i/>
                <w:sz w:val="24"/>
                <w:szCs w:val="24"/>
                <w:u w:val="single"/>
                <w:lang w:val="en-US" w:eastAsia="zh-CN"/>
              </w:rPr>
              <w:t xml:space="preserve">安全基本要求</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数据库应当符合安全可靠测评要求</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漏洞管理</w:t>
            </w:r>
            <w:r/>
          </w:p>
          <w:p>
            <w:pPr>
              <w:numPr>
                <w:ilvl w:val="0"/>
                <w:numId w:val="0"/>
              </w:numPr>
              <w:ind w:firstLine="0"/>
              <w:jc w:val="left"/>
              <w:keepLines w:val="0"/>
              <w:keepNext w:val="0"/>
              <w:pageBreakBefore w:val="0"/>
              <w:spacing w:line="288" w:lineRule="auto"/>
              <w:widowControl/>
              <w:rPr>
                <w:rFonts w:ascii="宋体" w:hAnsi="宋体" w:cs="Helvetica"/>
                <w:b/>
                <w:bCs w:val="0"/>
                <w:i/>
                <w:sz w:val="24"/>
                <w:szCs w:val="24"/>
                <w:u w:val="single"/>
              </w:rPr>
            </w:pPr>
            <w:r>
              <w:rPr>
                <w:rFonts w:ascii="宋体" w:hAnsi="宋体" w:cs="Helvetica"/>
                <w:b/>
                <w:bCs w:val="0"/>
                <w:i/>
                <w:sz w:val="24"/>
                <w:szCs w:val="24"/>
                <w:u w:val="single"/>
              </w:rPr>
              <w:t xml:space="preserve">建立漏洞管理机制，及时通过邮件、网站 等方式将安全漏洞告知用户，并提供安全 补丁对漏洞进行修复</w:t>
            </w:r>
            <w:r/>
          </w:p>
          <w:p>
            <w:pPr>
              <w:numPr>
                <w:ilvl w:val="0"/>
                <w:numId w:val="1"/>
              </w:numPr>
              <w:ind w:firstLine="0"/>
              <w:jc w:val="left"/>
              <w:keepLines w:val="0"/>
              <w:keepNext w:val="0"/>
              <w:pageBreakBefore w:val="0"/>
              <w:spacing w:line="288" w:lineRule="auto"/>
              <w:widowControl/>
              <w:rPr>
                <w:rFonts w:hint="eastAsia" w:ascii="宋体" w:hAnsi="宋体" w:cs="Helvetica"/>
                <w:b/>
                <w:bCs w:val="0"/>
                <w:i/>
                <w:sz w:val="24"/>
                <w:szCs w:val="24"/>
                <w:u w:val="single"/>
              </w:rPr>
            </w:pPr>
            <w:r>
              <w:rPr>
                <w:rFonts w:hint="eastAsia" w:ascii="宋体" w:hAnsi="宋体" w:cs="Helvetica"/>
                <w:b/>
                <w:bCs w:val="0"/>
                <w:i/>
                <w:sz w:val="24"/>
                <w:szCs w:val="24"/>
                <w:u w:val="single"/>
              </w:rPr>
              <w:t xml:space="preserve">身份鉴别及访问控制</w:t>
            </w:r>
            <w:r/>
          </w:p>
          <w:p>
            <w:pPr>
              <w:numPr>
                <w:ilvl w:val="0"/>
                <w:numId w:val="0"/>
              </w:numPr>
              <w:ind w:firstLine="0"/>
              <w:jc w:val="left"/>
              <w:keepLines w:val="0"/>
              <w:keepNext w:val="0"/>
              <w:pageBreakBefore w:val="0"/>
              <w:spacing w:line="288" w:lineRule="auto"/>
              <w:widowControl/>
              <w:rPr>
                <w:rFonts w:hint="eastAsia" w:ascii="宋体" w:hAnsi="宋体" w:cs="宋体" w:eastAsiaTheme="minorEastAsia"/>
                <w:b/>
                <w:bCs w:val="0"/>
                <w:i/>
                <w:iCs/>
                <w:sz w:val="24"/>
                <w:szCs w:val="24"/>
                <w:u w:val="single"/>
                <w:lang w:val="en-US" w:eastAsia="zh-CN" w:bidi="ar-SA"/>
              </w:rPr>
            </w:pPr>
            <w:r>
              <w:rPr>
                <w:rFonts w:hint="eastAsia" w:ascii="宋体" w:hAnsi="宋体" w:cs="Helvetica"/>
                <w:b/>
                <w:bCs w:val="0"/>
                <w:i/>
                <w:sz w:val="24"/>
                <w:szCs w:val="24"/>
                <w:u w:val="single"/>
              </w:rPr>
              <w:t xml:space="preserve">提供身份鉴别及访问控制，加解密的密码要求符合</w:t>
            </w:r>
            <w:r>
              <w:rPr>
                <w:rFonts w:ascii="宋体" w:hAnsi="宋体" w:cs="Helvetica"/>
                <w:b/>
                <w:bCs w:val="0"/>
                <w:i/>
                <w:sz w:val="24"/>
                <w:szCs w:val="24"/>
                <w:u w:val="single"/>
              </w:rPr>
              <w:t xml:space="preserve">GM/T0028 的相关规定</w:t>
            </w:r>
            <w:r>
              <w:rPr>
                <w:rFonts w:hint="eastAsia" w:ascii="宋体" w:hAnsi="宋体" w:cs="Helvetica"/>
                <w:b/>
                <w:bCs w:val="0"/>
                <w:i/>
                <w:sz w:val="24"/>
                <w:szCs w:val="24"/>
                <w:u w:val="single"/>
                <w:lang w:eastAsia="zh-CN"/>
              </w:rPr>
              <w:t xml:space="preserve">。</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keepLines w:val="0"/>
              <w:keepNext w:val="0"/>
              <w:pageBreakBefore w:val="0"/>
              <w:spacing w:line="360" w:lineRule="auto"/>
              <w:widowControl/>
              <w:rPr>
                <w:rFonts w:hint="eastAsia" w:asciiTheme="minorEastAsia" w:hAnsi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129"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操作系统</w:t>
            </w:r>
            <w:r>
              <w:rPr>
                <w:rFonts w:hint="eastAsia" w:asciiTheme="minorEastAsia" w:hAnsiTheme="minorEastAsia" w:eastAsiaTheme="minorEastAsia" w:cstheme="minorEastAsia"/>
                <w:i w:val="0"/>
                <w:iCs w:val="0"/>
                <w:color w:val="000000"/>
                <w:sz w:val="24"/>
                <w:szCs w:val="24"/>
                <w:u w:val="none"/>
                <w:lang w:val="en-US" w:eastAsia="zh-CN" w:bidi="ar"/>
              </w:rPr>
              <w:br/>
            </w:r>
            <w:r>
              <w:rPr>
                <w:rFonts w:hint="eastAsia" w:asciiTheme="minorEastAsia" w:hAnsiTheme="minorEastAsia" w:eastAsiaTheme="minorEastAsia" w:cstheme="minorEastAsia"/>
                <w:i w:val="0"/>
                <w:iCs w:val="0"/>
                <w:color w:val="000000"/>
                <w:sz w:val="24"/>
                <w:szCs w:val="24"/>
                <w:u w:val="none"/>
                <w:lang w:val="en-US" w:eastAsia="zh-CN" w:bidi="ar"/>
              </w:rPr>
              <w:t xml:space="preserve">（服务器端）</w:t>
            </w:r>
            <w:r/>
          </w:p>
        </w:tc>
        <w:tc>
          <w:tcPr>
            <w:shd w:val="clear" w:color="auto" w:fill="auto"/>
            <w:tcBorders>
              <w:top w:val="single" w:color="000000" w:sz="4" w:space="0"/>
              <w:left w:val="single" w:color="000000" w:sz="4" w:space="0"/>
              <w:bottom w:val="single" w:color="000000" w:sz="4" w:space="0"/>
              <w:right w:val="single" w:color="000000" w:sz="4" w:space="0"/>
            </w:tcBorders>
            <w:tcW w:w="3425" w:type="pct"/>
            <w:vAlign w:val="center"/>
            <w:textDirection w:val="lrTb"/>
            <w:noWrap w:val="false"/>
          </w:tcPr>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1.操作系统支持多CPU架构：操作系统支持同源兼容ARM、LoongArch、MIPS、SW64等架构的CPU。</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2.多核支持：操作系统支持双核及多核处理器，包括核间负载均衡、线程绑定等，并提供接口，通过访问接口获取运行状态和控制多核调度。</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3.CPU虚拟化支持：操作系统支持CPU虚拟化技术。</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4.动态调节CPU运行频率：操作系统根据负载情况，自动调节CPU的运行频率。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5.支持多CPU：支持跨路内存访问，支持CPU间负载均衡，支持并优化NUMA体系架构。</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6.支持CPU内置安全功能：操作系统支持CPU硬件密码运算与随机数生成等功能；提供编程接口供应用程序调用；支持通过硬件指令判别临界区冲突；支持调用CPU指令，实现自旋锁。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7.安装方式：操作系统支持光盘安装、USB闪存盘安装、网络安装和无人值守安装。</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8.安装模式：操作系统支持图形或文本安装模式。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安装过程配置：操作系统支持安装界面文种设置、逻辑分区配置（如LVM）、自定义分区设置、安装组件设置、时区设置、键盘布局设置、初始用户设置、计算机名设置和网络设置，支持通过USB闪存盘等方式加载硬件驱动、支持设置加密文件系统。</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10.系统引导：a）操作系统应支持UEFI2.0及以上规范固件引导；当计算机以UEFI模式启动安装时，安装程序应分配ESP，并在ESP中放置启动引导文件，使系统能以UEFI模式引导；</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b）支持bootloader引导，支持MBR及GPT。</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11.引导修复：操作系统安装媒体提供系统引导修复功能，当已安装的系统引导被破坏时，可重建系统引导。</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12.引导参数编辑：操作系统支持用户编辑引导参数，支持GRUB口令保护。</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13.数据保护：安装程序在安装执行前明确提示用户可能会删除已有数据，并提供退出/取消功能，当用户取消安装时，不改变硬盘上已有数据。</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14.分辨率自适应：操作系统安装完成后应自动适配显示器最佳分辨率（文本模式除外）。</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15.安装配置正确性校验：操作系统安装和配置过程中，如用户自定义的某些配置可能会影响系统启动或正常使用，予以明确提示。</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16.内核要求：</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a）若操作系统是基于Linux内核的服务器操作系统应兼容4.19版内核</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b）若操作系统属于其他类型内核不做要求。</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17.进程、线程调度NUMA：操作系统支持基于NUMA的亲和调度。</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18.多核轮询：操作系统支持CPU多核轮询调度。</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19.进程调度：操作系统具备进程优先级动态调整能力，允许在进程运行时对优先级进行调整；区分实时进程与非实时进程，分别进行调度；支持进程运行状态检查。</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20.内存容量：操作系统支持最大内存不小于4TB。</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21.内存大页管理：操作系统允许应用申请内存大页降低页表转换。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22.内存管理NUMA：操作系统支持NUMA近节点优化。</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23.内存超分：操作系统支持虚拟内存超分，提升内存的使用率。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24.RAID支持：操作系统支持硬RAID和软RAID，支持软RAID级别0、1、5、6、10。</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25.虚拟文件系统：操作系统支持将不同功能的外部设备抽象为统一的文件操作接口，包括存储、输入输出设备。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26.文件管理：操作系统支持文件存储、检索和共享。</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27.可移动存储：操作系统支持对可移动外部存储的管理，包括启停、禁用、恢复等。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28.外部独立存储：操作系统支持使用外部独立存储设备。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29.多路径聚合：操作系统支持存储多路径聚合及I/O动态负载均衡。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30.故障检测：操作系统支持硬盘损坏或老化检测及信息收集。</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31.虚拟内存：操作系统支持将硬盘的特定分区或文件作为虚拟扩展内存用于存放内存数据，支持虚拟内存压缩。</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32.网络块设备挂载：操作系统支持FCoE、iSCSI，支持将Ceph块设备视为常规存储设备挂载到某个目录并作为标准文件系统使用。</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33.存储缓存：操作系统支持快速块设备作为慢速块设备缓存以加速I/O。</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34.网络链路检测：操作系统支持网络链路故障检测、链路事件通知和链路状态查询。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35.TCP卸载引擎：操作系统支持运行TCP协议卸载引擎的网卡。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36.网络协议：操作系统支持IPv4、IPv6。</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37.多网卡绑定：操作系统支持多网卡绑定。</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38.用户态TCP/IP协议栈：操作系统支持用户态TCP/IP协议栈。</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39.文件系统支持：操作系统支持XFS、EXT3、EXT4、NTFS、FAT32：等文件系统，支持相应格式分区创建、删除、格式化等。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40.日志式文件系统：操作系统支持日志式文件系统。</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41.文件处理能力：操作系统支持最大文件不小于4TB，最大分区与文件系统不小于10PB，最大文件名长度不小于255字节。</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42.分区大小调整：操作系统支持动态调整分区大小，对系统分区容量进行改变。</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43.产品许可机制：</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a）操作系统支持序列号授权、批量激活服务、场地授权等方式；未激活期间，系统不得频繁提示干扰用户正常使用；未激活系统不得影响用户数据安全与完整性；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b）免激活的系统不适用。</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44.集成开发环境/开发框架：操作系统通过内置、软件仓库或附加光盘等方式提供开发环境，包括Qt、Eclipse、VSCode等。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45.开发工具库：操作系统通过内置、软件仓库或附加光盘等方式提供开发库，包括GNU C、GNUC++、Java、Qt、Gtk+、Cairo、OpenGL、Perl、Python、Ruby、Rust、Golang、JS等。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46.编译器开发工具：操作系统通过内置、软件仓库或附加光盘等方式提供编译开发工具，包括GCC、G++、Binutils、GDB、Make、CMake等。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47.文本编辑工具：操作系统通过内置、软件仓库或附加光盘等方式提供文本编辑工具，包括Emacs、Vim等。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48.软件包管理：操作系统支持查询软件包描述和包含文件，以及软件包依赖；支持在安装时自动提示并下载安装缺失的依赖软件包。</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49.开发文档：供应商应提供软件开发参考文档、驱动开发参考文档、应用移植开发文档、API文档。</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50.网络服务：操作系统支持TCP/UDP。</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51.网络共享：操作系统支持基于NFS、SMB、FTP、CIFS等协议的数据网络共享服务。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52.WEB服务：操作系统支持基于HTTP、HTTPS、FastCGI等协议WEB服务。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53.加密传输服务：操作系统支持基于IPSec和SSL协议的隧道加密传输服务。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54.数字证书服务：操作系统支持基于PKI体系的数字证书服务。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55.访问控制服务：操作系统支持基于RBAC（基于角色的访问控制）机制的访问控制服务。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56.网络管理服务：操作系统支持基于SNMP、NETCONF、RESTCONF等协议的网络管理服务。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57.时间同步服务：操作系统支持基于NTP协议网络时间同步服务。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58.远程连接服务：操作系统支持RPC、rsync、SSH等远程服务。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59.邮件服务：操作系统支持基于SMTP、POP3、IMAP等的邮件服务。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60.身份鉴别服务：操作系统支持基于轻量级目录访问协议的统一身份鉴别服务。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61.数据存储和查询服务：操作系统支持结构化和非结构化格式数据的存储和查询服务；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62.操作系统支持块、文件、对象等类型的数据存储服务；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63.操作系统支持SQL、NoSQL、键值等类型的数据库。</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64.存储服务：操作系统支持多种传输速率和存储协议的SAN和NAS存储。</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65.集群支持：操作系统支持服务基于主备机制的分布式集群、高可用集群的部署模式；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66.操作系统支持服务基于分布式通信协议的分布式集群、高可用集群的部署模式；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67.操作系统支持基于虚拟路由器冗余协议的高可用集群部署模式。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68.分布式服务：操作系统支持基于同步、异步请求处理机制的分布式服务。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69.负载均衡模式：操作系统支持基于OSI模型的4/7层和链路层的负载均衡模式；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70.操作系统支持基于不同调度算法的负载均衡模式。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71.高可用服务：操作系统提供对HA的支持，支持多种集群配置模式，包括主主模式、主备模式、N+1模式和N+M模式，支持资源及节点故障检测。</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72.开源数据库：供应商可通过安装镜像内置、软件仓库或附加光盘等方式提供开源数据库，并对提供的开源组件进行签名认证，确保组件的安全性、稳定性、可靠性。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73.开源中间件：供应商可通过安装镜像内置、软件仓库或附加光盘等方式提供开源中间件，并对提供的开源组件进行签名认证，确保组件的安全性、稳定性、可靠性。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74.单机虚拟化管理：供应商可通过安装镜像内置、软件仓库或附加光盘等方式提供开源单机虚拟化管理软件，并对提供的开源组件进行签名认证，确保组件的安全性、稳定性、可靠性。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75.容器虚拟化软件：供应商可通过安装镜像内置、软件仓库或附加光盘等方式提供开源容器虚拟化软件，并对提供的开源组件进行签名认证，确保组件的安全性、稳定性、可靠性。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76.容器管理工具：供应商可通过安装镜像内置、软件仓库或附加光盘等方式提供开源容器管理工具，并对提供的开源组件进行签名认证，确保组件的安全性、稳定性、可靠性。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77.分布式存储软件：供应商可通过安装镜像内置、软件仓库或附加光盘等方式提供开源分布式存储软件，并对提供的开源组件进行签名认证，确保组件的安全性、稳定性、可靠性。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78.云计算管理平台：供应商可通过安装镜像内置、软件仓库或附加光盘等方式提供开源云计算管理平台，并对提供的开源组件进行签名认证，确保组件的安全性、稳定性、可靠性。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79.虚拟化部署：操作系统支持在KVM、Xen、Hyper-V虚拟机上安装部署操作系统。</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80.内核虚拟化（KVM）：操作系统支持KVM虚拟化：对虚拟机进行启、停等管理操作；对虚拟机硬盘做快照并从快照恢复；兼容qemu、libvirt标准接口；支持UEFI或legacyBIOS方式启动；支持虚拟时钟arch-timer</w:t>
            </w:r>
            <w:r>
              <w:rPr>
                <w:rFonts w:hint="eastAsia" w:ascii="宋体" w:hAnsi="宋体" w:eastAsia="宋体" w:cs="宋体"/>
                <w:b/>
                <w:bCs/>
                <w:i/>
                <w:iCs/>
                <w:sz w:val="24"/>
                <w:szCs w:val="24"/>
                <w:u w:val="single"/>
              </w:rPr>
              <w:t xml:space="preserve">；支持虚拟鼠标、键盘、触控板、声卡、显卡、硬盘、CDROM、串口pty/pipe/file：等设备；支持Virtio协议下的虚拟设备，包括串口、blk驱动硬盘、SCSI驱动硬盘、不同后端控制器类型的Virtio网卡（包括内核态、用户态、qemu）、GPU、vsock设备等；支持硬盘和网卡选择类型VFIO设备；支持虚拟机CPU、内存、网卡、硬盘等离线调整；支持虚拟机网卡、硬盘、USB：设备热插拔；支持PCI/PCIE：设备直通；支持虚拟机热迁移和加密传输；支持虚拟机远程访问；支持虚拟机CPU和I/O线程绑定。</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81.KVM虚拟机管理：操作系统支持虚拟机对主机的访问控制；虚拟机可以拥有独立的物理资源，且各个虚拟机之间严格隔离；支持大页内存运行虚拟机；支持三种CPU型号模拟模式，包括直通、宿主模型、自定义支持虚拟机资源调配控制，包括Numa、CPU、内存、I/O、网卡；支持CPU拓扑模拟和透传。</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82.容器虚拟化：操作系统支持OCI；支持进程命名空间隔离技术包括不</w:t>
            </w:r>
            <w:r>
              <w:rPr>
                <w:rFonts w:hint="eastAsia" w:ascii="宋体" w:hAnsi="宋体" w:eastAsia="宋体" w:cs="宋体"/>
                <w:b/>
                <w:bCs/>
                <w:i/>
                <w:iCs/>
                <w:sz w:val="24"/>
                <w:szCs w:val="24"/>
                <w:u w:val="single"/>
              </w:rPr>
              <w:t xml:space="preserve">限于mnt、pid、ipc、uts、user、network等；支持在同CPU指令架构下的不同规格硬件上无缝分发，保障运行兼容性；支持沙箱扩展；支持面向容器的独立逻辑文件管理，具备在容器创建时指定专用根文件夹，容器内进程文件访问重定向等功能；支持日志查询功能；支持通过控制终端对容器内主进程的标准输入输出对接交互；支持通过控制终端对容器内新建进程的标准输入输出对接交互；支持容器存储卷管理（新增、删除、卷容量配置、自动回收）、卷共享；支持面向容器的网络设备资源分配和使用；支持CNI支持容器获取物理节点资源信息。</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83.容器镜像和存储管理：操作系统支持容器镜像导入、导出；支持容器镜像分层保存、导入。</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84.容器资源隔离和调配：操作系统支持容器资源在线</w:t>
            </w:r>
            <w:r>
              <w:rPr>
                <w:rFonts w:hint="eastAsia" w:ascii="宋体" w:hAnsi="宋体" w:eastAsia="宋体" w:cs="宋体"/>
                <w:b/>
                <w:bCs/>
                <w:i/>
                <w:iCs/>
                <w:sz w:val="24"/>
                <w:szCs w:val="24"/>
                <w:u w:val="single"/>
              </w:rPr>
              <w:t xml:space="preserve">调整，包括CPU资源、内存资源、I/O资源等；支持文件配额分配、存储带宽资源使用量监控等机制，实现容器级I/O控制能力；支持面向容器的网络带宽调度策略，实现容器级网络带宽分配、使用量监控等机制；支持面向容器的存储空间使用监控、分配机制；支持容器CPU核独占；支持面向容器的CPU时间片资源按需划分机制；支持面向容器的内存分配和回收机制，实现内存使用量跟踪和管理；支持同一集群在线、离线业务混合部署；支持对容器的编排、负载均衡、调度等能力；支持根据容器在线与离线混合部署状态进行资源优先调度，提高计算机资源利用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85.字符编码集：操作系统应符合GB18030的要求。</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86.中文帮助文档：操作系统内置中文帮助文档。</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87.多语言图形界面：操作系统的多文种图形用户界面应支持GB18030规定。</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88.中文图形界面：操作系统支持中文图形操作界面。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89.系统信息查看工具：操作系统支持查看系统版本、内核版本、内存容量、CPU型号等信息。</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90.网络管理工具：操作系统支持多网口自动连接、网络地址（常被称为“IP：地址”）设置、DNS设置、路由设置；支持多网卡链路聚合，模式类型包括但不仅限于轮询、主备、802.3AD：动态链路聚合。</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91.日期和时间管理工具：操作系统可设置时间同步服务器地址，支持局域网和广域网的同步设置。</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92.日志服务管理工具：操作系统支持收集系统日志。</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93.帐户管理工具：操作系统支持帐户添加、删除、属性修改等。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94.用户操作审计工具：操作系统支持用户操作痕迹查询。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95.存储管理工具：操作系统支持EXT、XFS、NTFS、FAT、SWAP等多种格式的分区管理。</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96.SNMP协议工具包：操作系统支持SNMP设备和操作信息检索。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97.文本终端连接工具：操作系统支持多终端协同管理。</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98.服务管理工具集：操作系统支持服务启动与停止，查看服务状态及日志，查询服务启动顺序及依赖关系。</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99.配置管理工具：操作系统提供配置管理工具，可以简化任务配置及服务管理。</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100.监控管理工具：操作系统支持监控系统资源使用情况，包含CPU、内存、存储I/O、网络I/O等。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101.守护进程：操作系统支持按需启动守护进程，用户可自定义设定需求守护的进程，如遇异常可重新加载，实现应用持续运行。</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102.版本兼容：操作系统基础运行库或开发环境向后（向下）兼容，即系统版本升级后，能兼容上一版本所运行的软件与设备。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103.兼容周期：操作系统主版本兼容维护时间自发布之日起不低于5年，包括但不限于安全修复、功能升级、新硬件支持等。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104.兼容方式：操作系统支持以增量升级包的方式实现版本更新。</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105.文件系统层次结构：供应商应给出长期兼容支持的文件系统层次结构。</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106.运行库：运行库否供应商应给出长期兼容支持的运行库。</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107.命令：供应商应给出长期兼容支持的常用命令。</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108.软件包格式转换：操作系统支持RPM或DEB格式的软件包，当系统不支持RPM或DEB格式的软件包时，提供工具对软件包格式进行转换。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109.集群软件：供应商提供兼容的集群软件清单，且至少兼容一款产品。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110.虚拟化云平台：供应商提供兼容的虚拟化平台软件清单，且至少兼容三款产品。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111.容器云：供应商提供兼容的容器云软件清单，且至少兼容三款产品。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112.存储软件：供应商提供兼容的存储软件清单，且至少兼容一款产品。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113.数据库管理系统：供应商提供兼容的数据库软件清单，且至少兼容三款产品。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114.中间件：供应商提供兼容的中间件软件清单，且至少兼容三款产品。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115.运维平台：供应商提供兼容的运维平台软件清单，且至少兼容一款产品版。</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116.备份软件：供应商提供兼容的备份恢复软件清单，且至少兼容一款产品。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117.大数据平台：供应商提供兼容的大数据平台软件清单，且至少兼容一款产品。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118.终端防护及杀毒：供应商提供兼容的终端防护及杀毒软件清单，且至少兼容一款产品。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119.网络防护：供应商提供兼容的网络防护软件清单，且至少兼容一款产品。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120.身份认证：供应商提供兼容的身份认证软件清单，且至少兼容一款产品。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121.服务器整机：供应商提供兼容的服务器整机品牌及型号清单，且至少兼容一款产品。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122.AI服务器：供应商提供兼容的AI：服务器整机品牌及型号清单，且至少兼容一款产品。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123.存储：供应商提供兼容的存储服务器整机品牌及型号清单，且至少兼容一款产品。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124.部件兼容：供应商提供兼容的系统总线、HBA卡、RAID卡、网卡、光纤卡、AI加速卡、GPU、NPU等品牌及型号清单。</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125.操作系统连续运行168小时：操作系统高负载下连续常态运行168小时无故障。</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126.备份还原：操作系统提供备份还原功能，支持生成系统状态快照及恢复系统状态。</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127.内存纠错：操作系统支持DDR3、DDR4等内存上的ECC查错、纠错。</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128.CPU热插拔：硬件支持时，操作系统支持CPU热插拔。</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129.内存热插拔：硬件支持时，操作系统支持内存热插拔。</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130.硬盘热插拔：硬件支持时，操作系统支持硬盘热插拔。</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131.远程维护：操作系统提供远程控制管理工具，支持RDP、SSH、SPICE、VNC等协议，方便用户进行文本或图形化形式的远程连接及维护。</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132.文件完整检查：操作系统提供文件系统检查工具，对文件系统完整性进行检测和修复。</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133.内核分析：操作系统提供内核性能分析工具，提供性能分析框架，支持对内核函数层面进行分析；提供内核探测工具，支持对内核及用户态程序动态追踪。</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134.集中管可控：操作系统提供集中管控工具，支持对区域内服务器操作系统进行集中管理维护。</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135.兼容性评价：操作系统提供软硬件兼容性检查工具，自动分析应用软件、硬件兼容性，定位兼容性问题；提供操作系统跨版本兼容性分析工具，在迁移前检查分析软硬件，定位兼容性问题。</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136.性能调优：操作系统提供性能测试调优工具，按系统工作特点（如计算为主、存储为主等）自动优化系统配置。</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137.日志记录与存储：操作系统支持对安全事件的日志记录，包括帐户增删改、成功登录、失败登录、敏感服务开启关闭、配置修改等，日志信息详实，包括所属用户、访问时间、访问地址等；支持内核异常日志信息的记录和存储；支持内核崩溃转储机制，系统崩溃时可收集整个内存信息；支持配置远程日志功能，可将指定日志内容归档到日志服务器；支持对日志功能进行访问控制，防止未经授权的访问。</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138.日志处理与分析：操作系统提供系统错误问题回溯分析工具，对系统崩溃问题及错误问题进行回溯；支持日志切分、一键收集、转储、同步机制。</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139.脆弱性管理：操作系统提供故障管理框架，内置故障分析专家系统，可与外部同类型系统互联；具备故障响应、故障警告功能，提供用户接口，支持故障响应、警告信息分发；支持故障管理守护进程，使用统一的传输信道或机制上报故障信息；具备硬件故障信息捕获、紧急处理功能，包括CPU、内存及PCIe：设备等硬件的故障；支持诊断/响应组件动态加载机制；提供或支持第三方远程诊断框架及调测工具集，实现远程诊断及调试断点功能；支持物理机、虚拟机中操作系统的故障恢复。</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140.热补丁：操作系统支持对内核热补丁进行编号，每个热补丁拥有独立编号；支持增量修复以及回滚机制；提供热补丁合法性和一致性校验功能；提供热补丁管理机制和工具，功能至少覆盖补丁查询、安装、移除；提供热补丁升级和回滚系统日志，便于查询或回溯。</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141.升级内容：操作系统支持系统增量升级功能，对系统部件、安全补丁等升级。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142.升级方式：操作系统支持在线升级和离线升级。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143.数据保护：操作系统升级不得修改破坏用户数据。</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144.兼容性：操作系统升级不得影响原有软硬件兼容性，如有影响应显式的提示告知用户。</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145.回退：操作系统提供升级回退机制，能卸载已升级的软件包，恢复系统原有状态，如升级为不可回退，则系统升级前以显式的提示告知用户。</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146.交付方式：供应商提供光盘、USB闪存盘、镜像文件（下载）等交付方式。</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147.产品维护周期：产品自发布之日起至产品停止功能升级（包含不限于新特性、新硬件支持、问题修复、安全补丁等）之日止≥5年。</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148.产品延伸服务周期：产品停止功能升级之日起至产品停止功能维护（包括问题修复、安全补丁等）之日止≥5 年</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149.产品延伸安全服务周期：≥3年。</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150.售后服务最小保障期：≥8年。</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151.原厂服务：服务由操作系统厂商的正式员工提供，不由代理商提供。</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152.服务热线电话：操作系统厂商为最终用户提供工作日每日不少于8h（覆盖一般工作时间，具体时间由企业标准给出）中文技术服务热线。</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153.技术服务标准：操作系统厂商提供工作日每日不少于8h：技术支持服务。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154.定制优化增值服务：操作系统厂商提供代码级定制优化服务。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155.技术服务时效：操作系统厂商满足同城4h、异地12h：响应要求，两个工作日解决问题，对于未能解决的问题和故障提供可行的升级方案。</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156.技术服务保障：发生非人为因素故障，在七日内由操作系统厂商原厂人员免费对产品进行补充或更换。</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157.现场安装调试：操作系统厂商提供产品安装与现场调试，并提供安装与调试所需的工具和设备。</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158.配套资料：交付产品时操作系统厂商提供配套的技术资料，包括但不限于系统说明文件、用户手册（用户安装、操作、维护、故障排除）等。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159.系统更换：服务期内，操作系统厂商支持版本免费更换（注：更换后不延长服务期）。</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160.服务团队：操作系统厂商建立全国技术服务体系和服务团队，为客户提供专业的原厂中文服务。</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161.数据收集安全保障：除用户授权采集的信息外不采集其他数据，相关信息采集无安全风险，相关数据存储在大陆境内。</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162.数据供给安全保障：涉及数据下载的线上服务物理服务器不出境，包括代码仓库、系统补丁、安全补丁、服务网站等。</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163.代码无风险：操作系统厂商提供源代码，源代码可供第三方机构审查，开源许可合规，代码知识产权无风险，无恶意安全漏洞或后门，代码可追溯、可重构。</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164.工程构建体系：操作系统厂商具备统一的工程构建体系，能用一套操作系统源码构建用于云侧计算、边侧计算场景中部署运行的操作系统，降低部署后系统维护、使用复杂度。</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165.操作系统基本要求：操作系统应当符合安全可靠测评要求。</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166.密码算法实现：操作系统支持GM/T0002、GM/T0003和GM/T0004规定的密码算法运算。</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166.随机数生成：操作系统随机数质量符合GM/T0005《随机性检测规范》或GB/T32915《信息安全技术二元序列随机性检测方法》。</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168.内置数字证书：操作系统内置国家电子认证根CA的根证书。</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169.密码协议实现：操作系统支持符合GB/T38636—2020的TLCP。</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170.防火墙：操作系统提供防火墙配置管理工具，支持基于协议、网络地址、端口的访问控制规则配置，规则修改后立即生效；支持关闭指定服务和端口，包括但不限于关闭远程访问、共享访问等；支持防止ARP欺骗攻击。</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171.安全框架：操作系统提供统一访问控制安全框架。</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172.三员管理：操作系统支持系统管理员、安全管理员、审计管理员分权管理。</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173.文件完整性：操作系统支持静态文件度量（如IMA）和动态内存度量，保障特定文件及内存中运行程序的完整性。</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174.可信计算：操作系统支持机密计算框架，提供机密计算SDK，能接入1种以上可信执行环境。</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175.内核保护：操作系统支持内核完整性保护，保障内核不被非授权改变；提供内核模块加载黑名单机制。</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176.身份鉴别服务：用户标识使用帐户名和帐户ID，在操作系统的整个生存周期内用户标识具有唯一性；支持用户口令复杂度校验及强口令管理；支持用户口令有效期配置；支持口令鉴别失败控制；支持口令加密算法配置，用户口令进行加密后以不可逆的密文形式保存；支持禁止根帐户（root）远程登录设置。</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177.自主访问控制：允许客体拥有者以普通帐户决定并控制对客体的访问，并阻止非授权用户对客体的访问；普通用户缺省拥有新建、读写和删除私有目录下文件的权限；支持细粒度的自主访问控制，将访问控制的粒度控制在单个用户，对系统中的每一个客体，实现由客体拥有者以指定用户方式确定其对该客体的访问权限，而其他同组用户或非同组的用户和用户组对该客体的访问权则由客体拥有者授予。</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178.强制访问控制：操作系统支持对应用程序的访问控制与资源限制，包括对文件、网络等客体的访问控制；支持应用安装控制、应用执行控制。</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179.安全审计：操作系统能对身份鉴别的使用、自主访问控制、标记和强制访问控制策略的修改等生成审计日志；审计记录包括：事件类型、事件发生的日期、触发事件的用户、事件成功或失败等字段；支持审计日志查询和导出功能。</w:t>
            </w:r>
            <w:r/>
          </w:p>
          <w:p>
            <w:pPr>
              <w:ind w:left="0" w:firstLine="0"/>
              <w:jc w:val="both"/>
              <w:keepLines w:val="0"/>
              <w:keepNext w:val="0"/>
              <w:pageBreakBefore w:val="0"/>
              <w:spacing w:line="288" w:lineRule="auto"/>
              <w:widowControl w:val="off"/>
              <w:rPr>
                <w:rFonts w:hint="eastAsia" w:ascii="宋体" w:hAnsi="宋体" w:eastAsia="宋体" w:cs="宋体"/>
                <w:b/>
                <w:bCs/>
                <w:i/>
                <w:iCs/>
                <w:sz w:val="24"/>
                <w:szCs w:val="24"/>
                <w:u w:val="single"/>
                <w:lang w:val="en-US" w:eastAsia="zh-CN" w:bidi="ar-SA"/>
              </w:rPr>
            </w:pPr>
            <w:r>
              <w:rPr>
                <w:rFonts w:hint="eastAsia" w:ascii="宋体" w:hAnsi="宋体" w:eastAsia="宋体" w:cs="宋体"/>
                <w:b/>
                <w:bCs/>
                <w:i/>
                <w:iCs/>
                <w:sz w:val="24"/>
                <w:szCs w:val="24"/>
                <w:u w:val="single"/>
              </w:rPr>
              <w:t xml:space="preserve">180.漏洞管理：操作系统支持漏洞编号，每个漏洞独立编号，可直接使用NVDB、CNVD：或CVE编号；漏洞提醒，发现或获悉漏洞信息时，通过系统推送、电子邮件或官方网站等方式通知用户；漏洞修复，对已发现的安全漏洞通过补丁等方式对系统漏洞进行修复；漏洞列表，提供每个版本已修复的漏洞列表，提供命令或网页等方式方便用户查询漏洞及其修复情况。</w:t>
            </w:r>
            <w:r/>
          </w:p>
        </w:tc>
      </w:tr>
    </w:tbl>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w:t>
      </w:r>
      <w:r/>
    </w:p>
    <w:p>
      <w:pPr>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1.上述所有技术参数及功能指标中所要求的检测报告检测项与技术参数及功能指标中所列要求表述不完全一致，功能相近的，由评标委员会统一认定。</w:t>
      </w:r>
      <w:r/>
    </w:p>
    <w:p>
      <w:pPr>
        <w:ind w:firstLine="480"/>
        <w:spacing w:line="360" w:lineRule="auto"/>
        <w:rPr>
          <w:rFonts w:hint="default" w:asciiTheme="minorEastAsia" w:hAnsiTheme="minorEastAsia"/>
          <w:sz w:val="24"/>
          <w:szCs w:val="24"/>
          <w:lang w:val="en-US" w:eastAsia="zh-CN"/>
        </w:rPr>
      </w:pPr>
      <w:r>
        <w:rPr>
          <w:rFonts w:hint="eastAsia" w:asciiTheme="minorEastAsia" w:hAnsiTheme="minorEastAsia"/>
          <w:sz w:val="24"/>
          <w:szCs w:val="24"/>
          <w:lang w:val="en-US" w:eastAsia="zh-CN"/>
        </w:rPr>
        <w:t xml:space="preserve">2.</w:t>
      </w:r>
      <w:r>
        <w:rPr>
          <w:rFonts w:hint="eastAsia" w:asciiTheme="minorEastAsia" w:hAnsiTheme="minorEastAsia"/>
          <w:sz w:val="24"/>
          <w:szCs w:val="24"/>
        </w:rPr>
        <w:t xml:space="preserve">根据《操作系统政府采购需求标准（2023年版）》、《数据库政府采购需求标准（2023年版）》政府采购需求标准，投标人在投标环节对所提供上述产品实质性条款技术指标要求逐条响应即视为相关产品符合要求。上述内容中涉及供应商提供、供应商给出等相关表述，在投标环节只须响应条款内容，无须按照条款要求提供或给出相关具体内容。如若中标，在签订合同前将具体内容提供给采购人确认。</w:t>
      </w:r>
      <w:r/>
    </w:p>
    <w:p>
      <w:pPr>
        <w:ind w:firstLine="482"/>
        <w:spacing w:line="360" w:lineRule="auto"/>
        <w:rPr>
          <w:rFonts w:hint="default" w:asciiTheme="minorEastAsia" w:hAnsiTheme="minorEastAsia"/>
          <w:b/>
          <w:bCs/>
          <w:sz w:val="24"/>
          <w:szCs w:val="24"/>
          <w:lang w:val="en-US" w:eastAsia="zh-CN"/>
        </w:rPr>
      </w:pPr>
      <w:r>
        <w:rPr>
          <w:rFonts w:hint="eastAsia" w:asciiTheme="minorEastAsia" w:hAnsiTheme="minorEastAsia"/>
          <w:b/>
          <w:bCs/>
          <w:sz w:val="24"/>
          <w:szCs w:val="24"/>
          <w:lang w:val="en-US" w:eastAsia="zh-CN"/>
        </w:rPr>
        <w:t xml:space="preserve">3.其他服务技术要求</w:t>
      </w:r>
      <w:r/>
    </w:p>
    <w:tbl>
      <w:tblPr>
        <w:tblStyle w:val="645"/>
        <w:tblW w:w="50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4"/>
        <w:gridCol w:w="1667"/>
        <w:gridCol w:w="4229"/>
        <w:gridCol w:w="793"/>
        <w:gridCol w:w="827"/>
      </w:tblGrid>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pageBreakBefore w:val="0"/>
              <w:spacing w:line="360" w:lineRule="auto"/>
              <w:widowControl/>
              <w:rPr>
                <w:rFonts w:hint="default" w:asciiTheme="minorEastAsia" w:hAnsiTheme="minorEastAsia" w:cstheme="minorEastAsia"/>
                <w:i w:val="0"/>
                <w:iCs w:val="0"/>
                <w:color w:val="000000"/>
                <w:sz w:val="24"/>
                <w:szCs w:val="24"/>
                <w:u w:val="none"/>
                <w:lang w:val="en-US" w:eastAsia="zh-CN" w:bidi="ar"/>
              </w:rPr>
              <w:suppressLineNumbers w:val="0"/>
            </w:pPr>
            <w:r>
              <w:rPr>
                <w:rFonts w:hint="eastAsia" w:asciiTheme="minorEastAsia" w:hAnsiTheme="minorEastAsia" w:cstheme="minorEastAsia"/>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cstheme="minorEastAsia"/>
                <w:i w:val="0"/>
                <w:iCs w:val="0"/>
                <w:color w:val="000000"/>
                <w:sz w:val="24"/>
                <w:szCs w:val="24"/>
                <w:u w:val="none"/>
                <w:lang w:val="en-US" w:eastAsia="zh-CN" w:bidi="ar"/>
              </w:rPr>
              <w:t xml:space="preserve">服务名称</w:t>
            </w:r>
            <w:r/>
          </w:p>
        </w:tc>
        <w:tc>
          <w:tcPr>
            <w:shd w:val="clear" w:color="auto" w:fill="auto"/>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center"/>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highlight w:val="none"/>
                <w:u w:val="none"/>
                <w:lang w:val="en-US" w:eastAsia="zh-CN" w:bidi="ar"/>
              </w:rPr>
              <w:suppressLineNumbers w:val="0"/>
            </w:pPr>
            <w:r>
              <w:rPr>
                <w:rFonts w:hint="eastAsia" w:asciiTheme="minorEastAsia" w:hAnsiTheme="minorEastAsia" w:cstheme="minorEastAsia"/>
                <w:i w:val="0"/>
                <w:iCs w:val="0"/>
                <w:color w:val="000000"/>
                <w:sz w:val="24"/>
                <w:szCs w:val="24"/>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cstheme="minorEastAsia"/>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pageBreakBefore w:val="0"/>
              <w:spacing w:line="360" w:lineRule="auto"/>
              <w:widowControl/>
              <w:rPr>
                <w:rFonts w:hint="default"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cstheme="minorEastAsia"/>
                <w:i w:val="0"/>
                <w:iCs w:val="0"/>
                <w:color w:val="000000"/>
                <w:sz w:val="24"/>
                <w:szCs w:val="24"/>
                <w:u w:val="none"/>
                <w:lang w:val="en-US" w:eastAsia="zh-CN" w:bidi="ar"/>
              </w:rPr>
              <w:t xml:space="preserve">单位</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算力服务</w:t>
            </w:r>
            <w:r/>
          </w:p>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（一）Token运营平台功能要求</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依托Token运营平台提供模型算力服务，平台应具备以下功能：</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1、多源模型统一接入：支持本地部署（Qwen、DeepSeek等）及第三方厂商模型统一注册接入，兼容OpenAI标准协议，经统一AI网关集中调度；</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2、统一凭证管理：API Key统一纳管分发，实现访问安全隔离；</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3、多级配额管控：支持租户、项目空间、用户多级Token额度分配与动态调整，超配额自动限流或拦截；</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4、全链路计量统计：精准统计输入/输出Token及调用次数，支持按部门、应用、模型、用户多维度消耗统计与排行；</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5、成本核算追溯：依据模型单价与用量自动核算费用，支持日/月/季度/年度统计，用量明细可下钻追溯；</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6、模型健康监控：对自建及第三方模型统一健康检测，实时监测可用性、响应时间、错误率；</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（二）Token服务量要求</w:t>
            </w:r>
            <w:r/>
          </w:p>
          <w:p>
            <w:pPr>
              <w:keepLines w:val="0"/>
              <w:keepNext w:val="0"/>
              <w:pageBreakBefore w:val="0"/>
              <w:spacing w:line="360" w:lineRule="auto"/>
              <w:rPr>
                <w:rFonts w:hint="eastAsia" w:asciiTheme="minorEastAsia" w:hAnsiTheme="minorEastAsia" w:eastAsiaTheme="minorEastAsia" w:cstheme="minorEastAsia"/>
                <w:i w:val="0"/>
                <w:iCs w:val="0"/>
                <w:color w:val="000000"/>
                <w:sz w:val="24"/>
                <w:szCs w:val="24"/>
                <w:highlight w:val="none"/>
                <w:u w:val="none"/>
                <w:lang w:val="en-US" w:eastAsia="zh-CN" w:bidi="ar"/>
              </w:rPr>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一年内预估Token总使用量不少于200亿次，按业务场景拆分如下：</w:t>
            </w:r>
            <w:r/>
          </w:p>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bidi="ar-SA"/>
              </w:rPr>
              <w:suppressLineNumbers w:val="0"/>
            </w:pP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1、文档解析与RAG知识库检索；</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2、跨模块AI风险穿透预警、批量合规校验；</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3、支撑七大国资专属智能体运行；</w:t>
            </w:r>
            <w:r>
              <w:rPr>
                <w:rFonts w:hint="eastAsia" w:asciiTheme="minorEastAsia" w:hAnsiTheme="minorEastAsia" w:eastAsiaTheme="minorEastAsia" w:cstheme="minorEastAsia"/>
                <w:i w:val="0"/>
                <w:iCs w:val="0"/>
                <w:color w:val="000000"/>
                <w:sz w:val="24"/>
                <w:szCs w:val="24"/>
                <w:highlight w:val="none"/>
                <w:u w:val="none"/>
                <w:lang w:val="en-US" w:eastAsia="zh-CN" w:bidi="ar"/>
              </w:rPr>
              <w:br/>
            </w:r>
            <w:r>
              <w:rPr>
                <w:rFonts w:hint="eastAsia" w:asciiTheme="minorEastAsia" w:hAnsiTheme="minorEastAsia" w:eastAsiaTheme="minorEastAsia" w:cstheme="minorEastAsia"/>
                <w:i w:val="0"/>
                <w:iCs w:val="0"/>
                <w:color w:val="000000"/>
                <w:sz w:val="24"/>
                <w:szCs w:val="24"/>
                <w:highlight w:val="none"/>
                <w:u w:val="none"/>
                <w:lang w:val="en-US" w:eastAsia="zh-CN" w:bidi="ar"/>
              </w:rPr>
              <w:t xml:space="preserve">4、交互式问答、领导智能研判、驾驶舱智能解读、AI辅助审批文书生成。</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项</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99"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cstheme="minorEastAsia"/>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2475" w:type="pct"/>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包括1年期政务外网链路租赁费。</w:t>
            </w:r>
            <w:r/>
          </w:p>
        </w:tc>
        <w:tc>
          <w:tcPr>
            <w:shd w:val="clear" w:color="auto" w:fill="auto"/>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rPr>
              <w:suppressLineNumbers w:val="0"/>
            </w:pPr>
            <w:r>
              <w:rPr>
                <w:rFonts w:hint="eastAsia" w:asciiTheme="minorEastAsia" w:hAnsiTheme="minorEastAsia" w:eastAsiaTheme="minorEastAsia" w:cstheme="minorEastAsia"/>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i w:val="0"/>
                <w:iCs w:val="0"/>
                <w:color w:val="000000"/>
                <w:sz w:val="24"/>
                <w:szCs w:val="24"/>
                <w:u w:val="none"/>
                <w:lang w:val="en-US" w:eastAsia="zh-CN"/>
              </w:rPr>
              <w:suppressLineNumbers w:val="0"/>
            </w:pPr>
            <w:r>
              <w:rPr>
                <w:rFonts w:hint="eastAsia" w:asciiTheme="minorEastAsia" w:hAnsiTheme="minorEastAsia" w:eastAsiaTheme="minorEastAsia" w:cstheme="minorEastAsia"/>
                <w:i w:val="0"/>
                <w:iCs w:val="0"/>
                <w:color w:val="000000"/>
                <w:sz w:val="24"/>
                <w:szCs w:val="24"/>
                <w:u w:val="none"/>
                <w:lang w:val="en-US" w:eastAsia="zh-CN"/>
              </w:rPr>
              <w:t xml:space="preserve">年</w:t>
            </w:r>
            <w:r/>
          </w:p>
        </w:tc>
      </w:tr>
    </w:tbl>
    <w:p>
      <w:pPr>
        <w:pStyle w:val="642"/>
        <w:ind w:firstLine="482"/>
        <w:spacing w:before="0" w:after="0" w:line="500" w:lineRule="exact"/>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 xml:space="preserve">四、人员配备要求</w:t>
      </w:r>
      <w:r/>
    </w:p>
    <w:p>
      <w:pPr>
        <w:ind w:firstLine="482"/>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1.人员配备</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项目建设期人员要求：根据项目的实际情况，建立完善的人员组织机构，须配备1名项目负责人</w:t>
      </w:r>
      <w:r>
        <w:rPr>
          <w:rFonts w:hint="eastAsia" w:asciiTheme="minorEastAsia" w:hAnsiTheme="minorEastAsia" w:cstheme="minorEastAsia"/>
          <w:sz w:val="24"/>
          <w:szCs w:val="24"/>
          <w:highlight w:val="none"/>
          <w:lang w:val="en-US" w:eastAsia="zh-CN"/>
        </w:rPr>
        <w:t xml:space="preserve">、1名技术负责人</w:t>
      </w:r>
      <w:r>
        <w:rPr>
          <w:rFonts w:hint="eastAsia" w:asciiTheme="minorEastAsia" w:hAnsiTheme="minorEastAsia" w:eastAsiaTheme="minorEastAsia" w:cstheme="minorEastAsia"/>
          <w:sz w:val="24"/>
          <w:szCs w:val="24"/>
          <w:highlight w:val="none"/>
          <w:lang w:val="en-US" w:eastAsia="zh-CN"/>
        </w:rPr>
        <w:t xml:space="preserve">驻场服务、</w:t>
      </w:r>
      <w:r>
        <w:rPr>
          <w:rFonts w:hint="eastAsia" w:asciiTheme="minorEastAsia" w:hAnsiTheme="minorEastAsia" w:cstheme="minorEastAsia"/>
          <w:sz w:val="24"/>
          <w:szCs w:val="24"/>
          <w:highlight w:val="none"/>
          <w:lang w:val="en-US" w:eastAsia="zh-CN"/>
        </w:rPr>
        <w:t xml:space="preserve">另配</w:t>
      </w:r>
      <w:r>
        <w:rPr>
          <w:rFonts w:hint="eastAsia" w:asciiTheme="minorEastAsia" w:hAnsiTheme="minorEastAsia" w:eastAsiaTheme="minorEastAsia" w:cstheme="minorEastAsia"/>
          <w:sz w:val="24"/>
          <w:szCs w:val="24"/>
          <w:highlight w:val="none"/>
          <w:lang w:val="en-US" w:eastAsia="zh-CN"/>
        </w:rPr>
        <w:t xml:space="preserve">不少于</w:t>
      </w:r>
      <w:r>
        <w:rPr>
          <w:rFonts w:hint="eastAsia" w:asciiTheme="minorEastAsia" w:hAnsiTheme="minorEastAsia" w:cstheme="minorEastAsia"/>
          <w:sz w:val="24"/>
          <w:szCs w:val="24"/>
          <w:highlight w:val="none"/>
          <w:lang w:val="en-US" w:eastAsia="zh-CN"/>
        </w:rPr>
        <w:t xml:space="preserve">20</w:t>
      </w:r>
      <w:r>
        <w:rPr>
          <w:rFonts w:hint="eastAsia" w:asciiTheme="minorEastAsia" w:hAnsiTheme="minorEastAsia" w:eastAsiaTheme="minorEastAsia" w:cstheme="minorEastAsia"/>
          <w:sz w:val="24"/>
          <w:szCs w:val="24"/>
          <w:highlight w:val="none"/>
          <w:lang w:val="en-US" w:eastAsia="zh-CN"/>
        </w:rPr>
        <w:t xml:space="preserve">名技术人员</w:t>
      </w:r>
      <w:r>
        <w:rPr>
          <w:rFonts w:hint="eastAsia" w:asciiTheme="minorEastAsia" w:hAnsiTheme="minorEastAsia" w:cstheme="minorEastAsia"/>
          <w:sz w:val="24"/>
          <w:szCs w:val="24"/>
          <w:highlight w:val="none"/>
          <w:lang w:val="en-US" w:eastAsia="zh-CN"/>
        </w:rPr>
        <w:t xml:space="preserve">现场开发</w:t>
      </w:r>
      <w:r>
        <w:rPr>
          <w:rFonts w:hint="eastAsia" w:asciiTheme="minorEastAsia" w:hAnsiTheme="minorEastAsia" w:eastAsiaTheme="minorEastAsia" w:cstheme="minorEastAsia"/>
          <w:sz w:val="24"/>
          <w:szCs w:val="24"/>
          <w:highlight w:val="none"/>
          <w:lang w:val="en-US" w:eastAsia="zh-CN"/>
        </w:rPr>
        <w:t xml:space="preserve">。相关人员须服从采购人管理，如采购人认为以上人员不满足岗位要求，须无条件更换。以上人员无故不得更换，更换需经采购人书面同意。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项目质保期维护期人员要求：项目质保维护</w:t>
      </w:r>
      <w:bookmarkStart w:id="32" w:name="_GoBack"/>
      <w:r/>
      <w:bookmarkEnd w:id="32"/>
      <w:r>
        <w:rPr>
          <w:rFonts w:hint="eastAsia" w:asciiTheme="minorEastAsia" w:hAnsiTheme="minorEastAsia" w:eastAsiaTheme="minorEastAsia" w:cstheme="minorEastAsia"/>
          <w:sz w:val="24"/>
          <w:szCs w:val="24"/>
          <w:highlight w:val="none"/>
          <w:lang w:val="en-US" w:eastAsia="zh-CN"/>
        </w:rPr>
        <w:t xml:space="preserve">期至少委派</w:t>
      </w:r>
      <w:r>
        <w:rPr>
          <w:rFonts w:hint="eastAsia" w:asciiTheme="minorEastAsia" w:hAnsi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lang w:val="en-US" w:eastAsia="zh-CN"/>
        </w:rPr>
        <w:t xml:space="preserve">名</w:t>
      </w:r>
      <w:r>
        <w:rPr>
          <w:rFonts w:hint="eastAsia" w:asciiTheme="minorEastAsia" w:hAnsiTheme="minorEastAsia" w:cstheme="minorEastAsia"/>
          <w:sz w:val="24"/>
          <w:szCs w:val="24"/>
          <w:highlight w:val="none"/>
          <w:lang w:val="en-US" w:eastAsia="zh-CN"/>
        </w:rPr>
        <w:t xml:space="preserve">人员</w:t>
      </w:r>
      <w:r>
        <w:rPr>
          <w:rFonts w:hint="eastAsia" w:asciiTheme="minorEastAsia" w:hAnsiTheme="minorEastAsia" w:eastAsiaTheme="minorEastAsia" w:cstheme="minorEastAsia"/>
          <w:sz w:val="24"/>
          <w:szCs w:val="24"/>
          <w:highlight w:val="none"/>
          <w:lang w:val="en-US" w:eastAsia="zh-CN"/>
        </w:rPr>
        <w:t xml:space="preserve">驻场，负责平台维护工作。相关人员须服从采购人管理，如采购人认为以上人员不满足岗位要求，须无条件更换。以上人员无故不得更换，更换需经采购人书面同意。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中标人在项目建设和质保维护期间，须严格遵守采购人相关规定。</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w:t>
      </w:r>
      <w:r>
        <w:rPr>
          <w:rFonts w:hint="eastAsia" w:asciiTheme="minorEastAsia" w:hAnsiTheme="minorEastAsia" w:eastAsiaTheme="minorEastAsia" w:cstheme="minorEastAsia"/>
          <w:b/>
          <w:bCs/>
          <w:sz w:val="24"/>
          <w:szCs w:val="24"/>
          <w:highlight w:val="none"/>
          <w:lang w:val="en-US" w:eastAsia="zh-CN"/>
        </w:rPr>
        <w:t xml:space="preserve">.</w:t>
      </w:r>
      <w:r>
        <w:rPr>
          <w:rFonts w:hint="eastAsia" w:asciiTheme="minorEastAsia" w:hAnsiTheme="minorEastAsia" w:eastAsiaTheme="minorEastAsia" w:cstheme="minorEastAsia"/>
          <w:b/>
          <w:bCs/>
          <w:sz w:val="24"/>
          <w:szCs w:val="24"/>
          <w:highlight w:val="none"/>
        </w:rPr>
        <w:t xml:space="preserve">人员工作内容及职责</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（1）项目管理团队人员工作内容及职责</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①项目负责人1 名，协调各种资源，对项目整体建设负责。包括负责制定项目计划、项目的管理、开发、质量保证过程，确保客户的成本、进度、绩效和质量目标。</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②技术负责人1 名，协调各种资源，对项目整体建设技术内容负责。包括负责项目总体技术架构的设计和把控，解决项目技术难点。</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③软件开发工程师</w:t>
      </w:r>
      <w:r>
        <w:rPr>
          <w:rFonts w:hint="eastAsia" w:asciiTheme="minorEastAsia" w:hAnsi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名</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负责软件平台开发实现、模块测试、接口开发、共联联调；按照项目设计要求完成代码编写、逻辑实现、问题修复；配合完成软件测试、漏洞整改、性能优化等相关工作，确保平台功能完善、运行稳定。</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（2）项目实施团队人员工作内容及职责</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项目实施团队人员负责系统各子模块的方案设计、设备安装调试、系统软件开发、系统集成、</w:t>
      </w:r>
      <w:r>
        <w:rPr>
          <w:rFonts w:hint="eastAsia" w:asciiTheme="minorEastAsia" w:hAnsiTheme="minorEastAsia" w:cstheme="minorEastAsia"/>
          <w:sz w:val="24"/>
          <w:szCs w:val="24"/>
          <w:highlight w:val="none"/>
          <w:lang w:val="en-US" w:eastAsia="zh-CN"/>
        </w:rPr>
        <w:t xml:space="preserve">系统信息安全测试、</w:t>
      </w:r>
      <w:r>
        <w:rPr>
          <w:rFonts w:hint="eastAsia" w:asciiTheme="minorEastAsia" w:hAnsiTheme="minorEastAsia" w:eastAsiaTheme="minorEastAsia" w:cstheme="minorEastAsia"/>
          <w:sz w:val="24"/>
          <w:szCs w:val="24"/>
          <w:highlight w:val="none"/>
        </w:rPr>
        <w:t xml:space="preserve">培训、试运行等，配合项目管理团队人员完成项目验收工作。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（3）驻场人员工作内容及职责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①驻点人员需对系统运行情况每周巡检，故障排查，保障系统稳定运行。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②每周出具巡检报告，服务期满后，出具总结报告。</w:t>
      </w:r>
      <w:r/>
    </w:p>
    <w:p>
      <w:p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③进行所有涉及到本系统的数据管理（含标签）和数据库管理</w:t>
      </w:r>
      <w:r>
        <w:rPr>
          <w:rFonts w:hint="eastAsia" w:asciiTheme="minorEastAsia" w:hAnsiTheme="minorEastAsia" w:cstheme="minorEastAsia"/>
          <w:sz w:val="24"/>
          <w:szCs w:val="24"/>
          <w:lang w:eastAsia="zh-CN"/>
        </w:rPr>
        <w:t xml:space="preserve">。</w:t>
      </w:r>
      <w:r/>
    </w:p>
    <w:p>
      <w:p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④节假日及重大活动期间的平台保障服务。</w:t>
      </w:r>
      <w:r/>
    </w:p>
    <w:p>
      <w:pPr>
        <w:pStyle w:val="642"/>
        <w:ind w:firstLine="482"/>
        <w:spacing w:before="0" w:after="0" w:line="500" w:lineRule="exact"/>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 xml:space="preserve">五、服务期限与项目进度安排</w:t>
      </w:r>
      <w:r/>
    </w:p>
    <w:p>
      <w:pPr>
        <w:ind w:firstLine="480"/>
        <w:spacing w:line="360" w:lineRule="auto"/>
        <w:rPr>
          <w:rFonts w:hint="eastAsia" w:ascii="宋体" w:hAnsi="宋体" w:eastAsia="宋体" w:cs="宋体"/>
          <w:b/>
          <w:bCs/>
          <w:i/>
          <w:iCs/>
          <w:color w:val="auto"/>
          <w:sz w:val="24"/>
          <w:highlight w:val="none"/>
          <w:u w:val="single"/>
        </w:rPr>
      </w:pPr>
      <w:r>
        <w:rPr>
          <w:rFonts w:hint="eastAsia" w:ascii="宋体" w:hAnsi="宋体" w:eastAsia="宋体" w:cs="宋体"/>
          <w:b/>
          <w:bCs/>
          <w:i/>
          <w:iCs/>
          <w:sz w:val="24"/>
          <w:szCs w:val="24"/>
          <w:highlight w:val="none"/>
          <w:u w:val="single"/>
        </w:rPr>
        <w:t xml:space="preserve">1、服务期限：</w:t>
      </w:r>
      <w:r>
        <w:rPr>
          <w:rFonts w:hint="eastAsia" w:ascii="宋体" w:hAnsi="宋体" w:eastAsia="宋体" w:cs="宋体"/>
          <w:b/>
          <w:bCs/>
          <w:i/>
          <w:iCs/>
          <w:color w:val="auto"/>
          <w:sz w:val="24"/>
          <w:highlight w:val="none"/>
          <w:u w:val="single"/>
        </w:rPr>
        <w:t xml:space="preserve">自合同签订之日起，5个月内完成系统上线初验并开始试运行，试运行1个月后进行终验；自项目终验合格之日起提供2年运行保障服务。</w:t>
      </w:r>
      <w:r/>
    </w:p>
    <w:p>
      <w:pPr>
        <w:ind w:firstLine="480"/>
        <w:spacing w:line="360" w:lineRule="auto"/>
        <w:rPr>
          <w:rFonts w:hint="eastAsia" w:ascii="黑体" w:hAnsi="黑体" w:eastAsia="黑体"/>
          <w:b/>
          <w:sz w:val="24"/>
        </w:rPr>
      </w:pPr>
      <w:r>
        <w:rPr>
          <w:rFonts w:hint="eastAsia" w:ascii="Times New Roman" w:hAnsi="Times New Roman"/>
          <w:sz w:val="24"/>
          <w:szCs w:val="24"/>
          <w:highlight w:val="none"/>
        </w:rPr>
        <w:t xml:space="preserve">2、项目进度安排：自合同签订之日起</w:t>
      </w: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个月内完成平台部署</w:t>
      </w:r>
      <w:r>
        <w:rPr>
          <w:rFonts w:hint="eastAsia" w:ascii="Times New Roman" w:hAnsi="Times New Roman"/>
          <w:sz w:val="24"/>
          <w:szCs w:val="24"/>
          <w:highlight w:val="none"/>
          <w:lang w:val="en-US" w:eastAsia="zh-CN"/>
        </w:rPr>
        <w:t xml:space="preserve">并上线试运行</w:t>
      </w:r>
      <w:r>
        <w:rPr>
          <w:rFonts w:hint="eastAsia" w:ascii="Times New Roman" w:hAnsi="Times New Roman"/>
          <w:sz w:val="24"/>
          <w:szCs w:val="24"/>
          <w:highlight w:val="none"/>
        </w:rPr>
        <w:t xml:space="preserve">，中标人可向采购人申请初步验收。初步验收后，项目进入试运行阶段，试运行周期</w:t>
      </w:r>
      <w:r>
        <w:rPr>
          <w:rFonts w:hint="eastAsia" w:ascii="Times New Roman" w:hAnsi="Times New Roman"/>
          <w:sz w:val="24"/>
          <w:szCs w:val="24"/>
          <w:highlight w:val="none"/>
          <w:lang w:val="en-US" w:eastAsia="zh-CN"/>
        </w:rPr>
        <w:t xml:space="preserve">不少于1</w:t>
      </w:r>
      <w:r>
        <w:rPr>
          <w:rFonts w:hint="eastAsia" w:ascii="Times New Roman" w:hAnsi="Times New Roman"/>
          <w:sz w:val="24"/>
          <w:szCs w:val="24"/>
          <w:highlight w:val="none"/>
        </w:rPr>
        <w:t xml:space="preserve">个月，试运行期满后，项目系统无问题，中标人可向采购人申请最终验收，由采购人进行相关服务的验收。</w:t>
      </w:r>
      <w:r/>
    </w:p>
    <w:p>
      <w:pPr>
        <w:pStyle w:val="642"/>
        <w:ind w:firstLine="482"/>
        <w:spacing w:before="0" w:after="0" w:line="500" w:lineRule="exact"/>
        <w:rPr>
          <w:rFonts w:hint="eastAsia" w:asciiTheme="minorEastAsia" w:hAnsiTheme="minorEastAsia" w:eastAsiaTheme="minorEastAsia" w:cstheme="minorEastAsia"/>
          <w:b/>
          <w:bCs/>
          <w:sz w:val="24"/>
          <w:szCs w:val="24"/>
          <w:highlight w:val="none"/>
          <w:lang w:val="en-US" w:eastAsia="zh-CN" w:bidi="ar-SA"/>
        </w:rPr>
      </w:pPr>
      <w:r>
        <w:rPr>
          <w:rFonts w:hint="eastAsia" w:asciiTheme="minorEastAsia" w:hAnsiTheme="minorEastAsia" w:eastAsiaTheme="minorEastAsia" w:cstheme="minorEastAsia"/>
          <w:b/>
          <w:bCs/>
          <w:sz w:val="24"/>
          <w:szCs w:val="24"/>
          <w:highlight w:val="none"/>
          <w:lang w:val="en-US" w:eastAsia="zh-CN" w:bidi="ar-SA"/>
        </w:rPr>
        <w:t xml:space="preserve">六、服务标准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《2024版连云港市国资委规范性文件汇编》</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《市属监管企业投资项目负面清单》（连国资〔2021〕14号）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《违规经营投资责任追究暂行办法》（连国资〔2018〕35号）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《债务统计分析暨预警系统运行管理制度》（连国资〔2022〕95号）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《大额资金动态监测系统运行管理工作办法》（连国资〔2024〕73号）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《全面预算管理工作规则》（2025年10月28日）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《连云港市市属监管企业主责主业管理办法》（2025年10月28日）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《关于加强2026年度市属监管企业招聘管理工作的通知》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《「三重一大」决策制度实施办法》其他相关国资监管制度文件</w:t>
      </w:r>
      <w:r/>
    </w:p>
    <w:p>
      <w:pPr>
        <w:ind w:firstLine="480"/>
        <w:spacing w:line="360" w:lineRule="auto"/>
        <w:rPr>
          <w:rFonts w:hint="eastAsia" w:eastAsiaTheme="minorEastAsia"/>
          <w:b w:val="0"/>
          <w:bCs w:val="0"/>
          <w:sz w:val="24"/>
          <w:highlight w:val="none"/>
          <w:lang w:val="en-US" w:eastAsia="zh-CN"/>
        </w:rPr>
      </w:pPr>
      <w:r>
        <w:rPr>
          <w:rFonts w:hint="eastAsia" w:ascii="Times New Roman" w:hAnsi="Times New Roman"/>
          <w:b w:val="0"/>
          <w:bCs w:val="0"/>
          <w:color w:val="000000"/>
          <w:sz w:val="24"/>
          <w:szCs w:val="24"/>
          <w:lang w:val="en-US" w:eastAsia="zh-CN"/>
        </w:rPr>
        <w:t xml:space="preserve">注：</w:t>
      </w:r>
      <w:r>
        <w:rPr>
          <w:rFonts w:ascii="Times New Roman" w:hAnsi="Times New Roman"/>
          <w:b w:val="0"/>
          <w:bCs w:val="0"/>
          <w:color w:val="000000"/>
          <w:sz w:val="24"/>
          <w:szCs w:val="24"/>
        </w:rPr>
        <w:t xml:space="preserve">上述所列标准，</w:t>
      </w:r>
      <w:r>
        <w:rPr>
          <w:rFonts w:ascii="Times New Roman" w:hAnsi="Times New Roman"/>
          <w:b w:val="0"/>
          <w:bCs w:val="0"/>
          <w:sz w:val="24"/>
          <w:szCs w:val="24"/>
        </w:rPr>
        <w:t xml:space="preserve">在项目履约期间，如</w:t>
      </w:r>
      <w:r>
        <w:rPr>
          <w:rFonts w:hint="eastAsia" w:ascii="Times New Roman" w:hAnsi="Times New Roman"/>
          <w:b w:val="0"/>
          <w:bCs w:val="0"/>
          <w:sz w:val="24"/>
          <w:szCs w:val="24"/>
          <w:lang w:val="en-US" w:eastAsia="zh-CN"/>
        </w:rPr>
        <w:t xml:space="preserve">国家和行业</w:t>
      </w:r>
      <w:r>
        <w:rPr>
          <w:rFonts w:ascii="Times New Roman" w:hAnsi="Times New Roman"/>
          <w:b w:val="0"/>
          <w:bCs w:val="0"/>
          <w:sz w:val="24"/>
          <w:szCs w:val="24"/>
        </w:rPr>
        <w:t xml:space="preserve">有最新</w:t>
      </w:r>
      <w:r>
        <w:rPr>
          <w:rFonts w:hint="eastAsia" w:ascii="Times New Roman" w:hAnsi="Times New Roman"/>
          <w:b w:val="0"/>
          <w:bCs w:val="0"/>
          <w:sz w:val="24"/>
          <w:szCs w:val="24"/>
          <w:lang w:val="en-US" w:eastAsia="zh-CN"/>
        </w:rPr>
        <w:t xml:space="preserve">规范</w:t>
      </w:r>
      <w:r>
        <w:rPr>
          <w:rFonts w:ascii="Times New Roman" w:hAnsi="Times New Roman"/>
          <w:b w:val="0"/>
          <w:bCs w:val="0"/>
          <w:sz w:val="24"/>
          <w:szCs w:val="24"/>
        </w:rPr>
        <w:t xml:space="preserve">标准，按照最新规范标准执行。</w:t>
      </w:r>
      <w:r/>
    </w:p>
    <w:p>
      <w:pPr>
        <w:pStyle w:val="642"/>
        <w:ind w:firstLine="482"/>
        <w:spacing w:before="0" w:after="0" w:line="500" w:lineRule="exact"/>
        <w:rPr>
          <w:rFonts w:hint="eastAsia" w:asciiTheme="minorHAnsi" w:hAnsiTheme="minorHAnsi" w:eastAsiaTheme="minorEastAsia" w:cstheme="minorBidi"/>
          <w:b/>
          <w:bCs/>
          <w:sz w:val="24"/>
          <w:szCs w:val="22"/>
          <w:highlight w:val="none"/>
          <w:lang w:val="en-US" w:eastAsia="zh-CN" w:bidi="ar-SA"/>
        </w:rPr>
      </w:pPr>
      <w:r>
        <w:rPr>
          <w:rFonts w:hint="eastAsia" w:asciiTheme="minorHAnsi" w:hAnsiTheme="minorHAnsi" w:eastAsiaTheme="minorEastAsia" w:cstheme="minorBidi"/>
          <w:b/>
          <w:bCs/>
          <w:sz w:val="24"/>
          <w:szCs w:val="22"/>
          <w:highlight w:val="none"/>
          <w:lang w:val="en-US" w:eastAsia="zh-CN" w:bidi="ar-SA"/>
        </w:rPr>
        <w:t xml:space="preserve">七、培训要求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为保证项目建设质量，更好地满足采购人系统应用的需要，制定以下培训方案要求：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测试、培训记录等。培训所需要的费用（包括但不限于培训材料费用、专家费用、交通费用等）由</w:t>
      </w:r>
      <w:r>
        <w:rPr>
          <w:rFonts w:hint="eastAsia" w:asciiTheme="minorEastAsia" w:hAnsiTheme="minorEastAsia" w:eastAsiaTheme="minorEastAsia" w:cstheme="minorEastAsia"/>
          <w:sz w:val="24"/>
          <w:lang w:val="en-US" w:eastAsia="zh-CN"/>
        </w:rPr>
        <w:t xml:space="preserve">中标人</w:t>
      </w:r>
      <w:r>
        <w:rPr>
          <w:rFonts w:hint="eastAsia" w:asciiTheme="minorEastAsia" w:hAnsiTheme="minorEastAsia" w:eastAsiaTheme="minorEastAsia" w:cstheme="minorEastAsia"/>
          <w:sz w:val="24"/>
        </w:rPr>
        <w:t xml:space="preserve">承担。</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培训对象：培训对象包括但不限于以下人员：系统业务应用人员、系统运行维护管理人员等。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培训方式：集中授课、现场应用操作指导等。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培训内容：内容包含但不限于系统总体情况进行介绍、业务应用操作、网络架构、数据库架构、常见故障分析、系统运维工作等。（所有培训以中文进行）。</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w:t>
      </w:r>
      <w:r>
        <w:rPr>
          <w:rFonts w:hint="eastAsia" w:asciiTheme="minorEastAsia" w:hAnsiTheme="minorEastAsia" w:eastAsiaTheme="minorEastAsia" w:cstheme="minorEastAsia"/>
          <w:sz w:val="24"/>
        </w:rPr>
        <w:t xml:space="preserve">培训师资：原厂专业资深工程师、专业资格人员和行业专家等。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培训教材：投标人需结合项目建设需求，细化培训方案，针对各个建设模块组织相应的培训内容与课程编制，形成纸质、电子及视频教材，并交采购人留存。</w:t>
      </w:r>
      <w:r/>
    </w:p>
    <w:p>
      <w:pPr>
        <w:ind w:firstLine="48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培训规模：建设期</w:t>
      </w:r>
      <w:r>
        <w:rPr>
          <w:rFonts w:hint="eastAsia" w:asciiTheme="minorEastAsia" w:hAnsiTheme="minorEastAsia" w:eastAsiaTheme="minorEastAsia" w:cstheme="minorEastAsia"/>
          <w:sz w:val="24"/>
          <w:lang w:val="en-US" w:eastAsia="zh-CN"/>
        </w:rPr>
        <w:t xml:space="preserve">不少于3次；</w:t>
      </w:r>
      <w:r>
        <w:rPr>
          <w:rFonts w:hint="eastAsia" w:asciiTheme="minorEastAsia" w:hAnsiTheme="minorEastAsia" w:eastAsiaTheme="minorEastAsia" w:cstheme="minorEastAsia"/>
          <w:sz w:val="24"/>
        </w:rPr>
        <w:t xml:space="preserve">质量保证期内不少于</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次/年。</w:t>
      </w:r>
      <w:r/>
    </w:p>
    <w:p>
      <w:pPr>
        <w:pStyle w:val="642"/>
        <w:ind w:firstLine="482"/>
        <w:spacing w:before="0" w:after="0" w:line="500" w:lineRule="exact"/>
        <w:rPr>
          <w:rFonts w:hint="eastAsia" w:asciiTheme="minorHAnsi" w:hAnsiTheme="minorHAnsi" w:eastAsiaTheme="minorEastAsia" w:cstheme="minorBidi"/>
          <w:b/>
          <w:bCs/>
          <w:sz w:val="24"/>
          <w:szCs w:val="22"/>
          <w:highlight w:val="none"/>
          <w:lang w:val="en-US" w:eastAsia="zh-CN" w:bidi="ar-SA"/>
        </w:rPr>
      </w:pPr>
      <w:r>
        <w:rPr>
          <w:rFonts w:hint="eastAsia" w:asciiTheme="minorHAnsi" w:hAnsiTheme="minorHAnsi" w:eastAsiaTheme="minorEastAsia" w:cstheme="minorBidi"/>
          <w:b/>
          <w:bCs/>
          <w:sz w:val="24"/>
          <w:szCs w:val="22"/>
          <w:highlight w:val="none"/>
          <w:lang w:val="en-US" w:eastAsia="zh-CN" w:bidi="ar-SA"/>
        </w:rPr>
        <w:t xml:space="preserve">八、知识产权归属和处理方式</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知识产权归属原则</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1.1现有知识产权归属</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本项目合作前。采购人及中标人已独立拥有的知识产权（包括但不限于软件著作权、专利、商标、技术秘密等）仍归各自所有。中标人为开展本项目服务使用的自身现有技术成果，其知识产权归属中标人，但中标人应保证该等技术成果的合法性及采购人在本项目中的使用权。</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1.2新增知识产权归属</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由中标人基于采购人提出的需求开发的软件模块、代码、算法、界面设计等知识产权，归采购人所有。中标人仅享有在本合同约定范围内的署名权及后续技术支持中必要的使用权。中标人在开发过程中形成的具有通用性的技术组件、工具库、框架等（非针对采购人特定需求定制），其知识产权归中标人所有，但采购人有权在本项目及后续升级维护中无偿、永久使用该等成果。</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2.知识产权授权与使用</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采购人权利</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采购人对归属于自身的知识产权享有完整的所有权，可自行或授权第三方进行修改、复制、发行、许可使用、转让等处置，并有权将相关成果应用于自身其他业务系统，无需向中标人支付额外费用。</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中标人权利与限制</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中标人可在</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约定的开发、测试、维护阶段使用采购人提供的非公开数据及技术资料，但不得用于本项目以外的其他目的，且需采取严格保密措施。</w:t>
      </w:r>
      <w:r/>
    </w:p>
    <w:p>
      <w:pPr>
        <w:ind w:firstLine="480"/>
        <w:jc w:val="both"/>
        <w:keepLines w:val="0"/>
        <w:keepNext w:val="0"/>
        <w:pageBreakBefore w:val="0"/>
        <w:spacing w:before="40" w:after="4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中标人如需将项目中归属于自身的通用技术成果用于其他商业项目，应确保不包含采购人的</w:t>
      </w:r>
      <w:r>
        <w:rPr>
          <w:rFonts w:hint="eastAsia" w:ascii="宋体" w:hAnsi="宋体" w:eastAsia="宋体" w:cs="宋体"/>
          <w:color w:val="000000"/>
          <w:sz w:val="24"/>
          <w:szCs w:val="24"/>
          <w:highlight w:val="none"/>
          <w:lang w:val="en-US" w:eastAsia="zh-CN"/>
        </w:rPr>
        <w:t xml:space="preserve">工作</w:t>
      </w:r>
      <w:r>
        <w:rPr>
          <w:rFonts w:hint="eastAsia" w:ascii="宋体" w:hAnsi="宋体" w:eastAsia="宋体" w:cs="宋体"/>
          <w:color w:val="000000"/>
          <w:sz w:val="24"/>
          <w:szCs w:val="24"/>
          <w:highlight w:val="none"/>
        </w:rPr>
        <w:t xml:space="preserve">秘密、业务数据或特定需求逻辑，且不得与采购人的知识产权产生冲突。</w:t>
      </w:r>
      <w:r/>
    </w:p>
    <w:p>
      <w:pPr>
        <w:ind w:firstLine="480"/>
        <w:jc w:val="both"/>
        <w:keepLines w:val="0"/>
        <w:keepNext w:val="0"/>
        <w:pageBreakBefore w:val="0"/>
        <w:spacing w:before="40" w:after="40" w:line="360" w:lineRule="auto"/>
        <w:rPr>
          <w:rFonts w:hint="eastAsia" w:asciiTheme="minorHAnsi" w:hAnsiTheme="minorHAnsi" w:eastAsiaTheme="minorEastAsia" w:cstheme="minorBidi"/>
          <w:b/>
          <w:bCs/>
          <w:sz w:val="24"/>
          <w:szCs w:val="22"/>
          <w:highlight w:val="none"/>
          <w:lang w:val="en-US" w:eastAsia="zh-CN" w:bidi="ar-SA"/>
        </w:rPr>
      </w:pPr>
      <w:r>
        <w:rPr>
          <w:rFonts w:hint="eastAsia" w:asciiTheme="minorHAnsi" w:hAnsiTheme="minorHAnsi" w:eastAsiaTheme="minorEastAsia" w:cstheme="minorBidi"/>
          <w:b/>
          <w:bCs/>
          <w:sz w:val="24"/>
          <w:szCs w:val="22"/>
          <w:highlight w:val="none"/>
          <w:lang w:val="en-US" w:eastAsia="zh-CN" w:bidi="ar-SA"/>
        </w:rPr>
        <w:t xml:space="preserve">九、考核标准及考核办法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建设期及运维期，中标人应负责本项目的总体集成及全过程建设协调工作，保证本项目建设内容的完整性，各模块软件的功能及性能响应性，不同模块软件数据交换接口的实时性及数据类型的丰富性。中标人应及时发现并解决建设期间上述内容建设关联中存在的接口兼容、数据拥塞、网络链路、技术架构等各方面的风险及问题，保障项目完成后的实战应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2.中标人应在采购人指定环境和要求时间内完成系统部署，确保项目建设内容完整无缺、各模块软件功能完备且性能响应高效。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3.初验、终验及维保结束前，应交付的所有该阶段过程性文档（包括但不限于软件开发类文档、系统维护类文档、项目验收类文档等）。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.建设、运维期间采购人单位与监理单位对所发现的问题以书面通知的相关事项，如在规定时间内无故未完成整改，且未说明原因，拒不执行并警告无效后，将予以每次</w:t>
      </w:r>
      <w:r>
        <w:rPr>
          <w:rFonts w:hint="eastAsia" w:asciiTheme="minorEastAsia" w:hAnsiTheme="minorEastAsia" w:eastAsiaTheme="minorEastAsia" w:cstheme="minorEastAsia"/>
          <w:sz w:val="24"/>
          <w:lang w:val="en-US" w:eastAsia="zh-CN"/>
        </w:rPr>
        <w:t xml:space="preserve">1000</w:t>
      </w:r>
      <w:r>
        <w:rPr>
          <w:rFonts w:hint="eastAsia" w:asciiTheme="minorEastAsia" w:hAnsiTheme="minorEastAsia" w:eastAsiaTheme="minorEastAsia" w:cstheme="minorEastAsia"/>
          <w:sz w:val="24"/>
        </w:rPr>
        <w:t xml:space="preserve">元处罚。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.项目经理在不发生离职或重大伤病事故的情况下，不得予以更换。如因特殊原因需要更换人员的，必须按相关文件规定办理相关手续并经得委托方同意，如未经委托方同意擅自更换的，按每次</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000元进行处罚，并重新办理相关手续。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w:t>
      </w:r>
      <w:r>
        <w:rPr>
          <w:rFonts w:hint="eastAsia" w:asciiTheme="minorEastAsia" w:hAnsiTheme="minorEastAsia" w:eastAsiaTheme="minorEastAsia" w:cstheme="minorEastAsia"/>
          <w:sz w:val="24"/>
        </w:rPr>
        <w:t xml:space="preserve">.遇到重大活动、重要保障任务及重要警情任务时，接采购方通知须无条件执行采购方保障要求及人员安排，如无故不执行保障要求，每次扣款500元。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.项目建设及维护期间项目组成员未履行请假手续擅自离场的，发现一次扣款1000元，上班迟到、早退的，每次扣款500元。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.在系统运维期内，中标人须严格按照要求完成运维相关工作。系统出现故障影响应用且在24小时内不能恢复，严重影响</w:t>
      </w:r>
      <w:r>
        <w:rPr>
          <w:rFonts w:hint="eastAsia" w:asciiTheme="minorEastAsia" w:hAnsiTheme="minorEastAsia" w:eastAsiaTheme="minorEastAsia" w:cstheme="minorEastAsia"/>
          <w:sz w:val="24"/>
          <w:lang w:val="en-US" w:eastAsia="zh-CN"/>
        </w:rPr>
        <w:t xml:space="preserve">平台使用</w:t>
      </w:r>
      <w:r>
        <w:rPr>
          <w:rFonts w:hint="eastAsia" w:asciiTheme="minorEastAsia" w:hAnsiTheme="minorEastAsia" w:eastAsiaTheme="minorEastAsia" w:cstheme="minorEastAsia"/>
          <w:sz w:val="24"/>
        </w:rPr>
        <w:t xml:space="preserve">及重大安保活动的，扣</w:t>
      </w: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000元/次。</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.因不可抗力因素或非中标人因素造成维护工作无法达到考核要求的，经采购人同意，可不纳入总体考核。</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bCs/>
          <w:sz w:val="24"/>
          <w:szCs w:val="22"/>
          <w:lang w:val="en-US" w:eastAsia="zh-CN" w:bidi="ar-SA"/>
        </w:rPr>
      </w:pPr>
      <w:r>
        <w:rPr>
          <w:rFonts w:hint="eastAsia" w:asciiTheme="minorEastAsia" w:hAnsiTheme="minorEastAsia" w:eastAsiaTheme="minorEastAsia" w:cstheme="minorEastAsia"/>
          <w:b/>
          <w:bCs/>
          <w:sz w:val="24"/>
          <w:szCs w:val="22"/>
          <w:lang w:val="en-US" w:eastAsia="zh-CN" w:bidi="ar-SA"/>
        </w:rPr>
        <w:t xml:space="preserve">十、履约验收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cstheme="minorEastAsia"/>
          <w:sz w:val="24"/>
          <w:lang w:val="en-US" w:eastAsia="zh-CN"/>
        </w:rPr>
        <w:t xml:space="preserve">1.</w:t>
      </w:r>
      <w:r>
        <w:rPr>
          <w:rFonts w:hint="eastAsia" w:asciiTheme="minorEastAsia" w:hAnsiTheme="minorEastAsia" w:eastAsiaTheme="minorEastAsia" w:cstheme="minorEastAsia"/>
          <w:sz w:val="24"/>
        </w:rPr>
        <w:t xml:space="preserve">项目完成全部建设内容，并连续稳定运行30天以上，中标人提交全部有关技术文件、资料、培训文档等，中标供应商可提出初验申请。初验合格并试运行</w:t>
      </w:r>
      <w:r>
        <w:rPr>
          <w:rFonts w:hint="eastAsia" w:asciiTheme="minorEastAsia" w:hAnsiTheme="minorEastAsia" w:cstheme="minorEastAsia"/>
          <w:sz w:val="24"/>
          <w:lang w:val="en-US" w:eastAsia="zh-CN"/>
        </w:rPr>
        <w:t xml:space="preserve">3</w:t>
      </w:r>
      <w:r>
        <w:rPr>
          <w:rFonts w:hint="eastAsia" w:asciiTheme="minorEastAsia" w:hAnsiTheme="minorEastAsia" w:eastAsiaTheme="minorEastAsia" w:cstheme="minorEastAsia"/>
          <w:sz w:val="24"/>
        </w:rPr>
        <w:t xml:space="preserve">0 天以上，中标人提供等保测评</w:t>
      </w:r>
      <w:r>
        <w:rPr>
          <w:rFonts w:hint="eastAsia" w:asciiTheme="minorEastAsia" w:hAnsiTheme="minorEastAsia" w:cstheme="minorEastAsia"/>
          <w:sz w:val="24"/>
          <w:lang w:val="en-US" w:eastAsia="zh-CN"/>
        </w:rPr>
        <w:t xml:space="preserve">和商用密码应用安全性评估</w:t>
      </w:r>
      <w:r>
        <w:rPr>
          <w:rFonts w:hint="eastAsia" w:asciiTheme="minorEastAsia" w:hAnsiTheme="minorEastAsia" w:eastAsiaTheme="minorEastAsia" w:cstheme="minorEastAsia"/>
          <w:sz w:val="24"/>
        </w:rPr>
        <w:t xml:space="preserve">报告，经采购人同意，由采购人组织相关专家等进行终验，如验收不能通过，中标人应在验收会议规定的整改期限内对存在问题进行整改，直至合格，方能通过验收。验收、检测、测评等所需费用由中标人承担。</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具备以下条件，方可通过验收：</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en-US" w:eastAsia="zh-CN"/>
        </w:rPr>
        <w:t xml:space="preserve">验收标准：</w:t>
      </w:r>
      <w:r>
        <w:rPr>
          <w:rFonts w:hint="eastAsia" w:asciiTheme="minorEastAsia" w:hAnsiTheme="minorEastAsia" w:eastAsiaTheme="minorEastAsia" w:cstheme="minorEastAsia"/>
          <w:sz w:val="24"/>
        </w:rPr>
        <w:t xml:space="preserve">符合相关国家标准和行业标准的规定；符合本合同及政府采购招标文件中规定的各项标准和要求，且试运行情况良好。</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内容任一项验收不合格的，乙方应负责在甲方限定的期限内完成整改，因整改而导致的费用和损失由乙方自行承担，若导致项目逾期的，乙方承担逾期违约责任。乙方未按甲方要求进行整改或经三次整改仍不合格的，视为乙方违约，甲方有权解除本合同，给甲方造成损失的，乙方应赔偿一切直接、间接损失。</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（3）所有项目全过程文件材料及验收材料需按照相关要求进行档案收集、整理和归档工作。</w:t>
      </w:r>
      <w:r/>
    </w:p>
    <w:p>
      <w:pPr>
        <w:pStyle w:val="648"/>
        <w:ind w:firstLine="562"/>
        <w:jc w:val="both"/>
        <w:keepLines w:val="0"/>
        <w:keepNext w:val="0"/>
        <w:pageBreakBefore w:val="0"/>
        <w:spacing w:line="360" w:lineRule="auto"/>
        <w:widowControl w:val="off"/>
        <w:rPr>
          <w:rFonts w:hint="eastAsia" w:asciiTheme="minorEastAsia" w:hAnsiTheme="minorEastAsia" w:eastAsiaTheme="minorEastAsia" w:cstheme="minorEastAsia"/>
          <w:sz w:val="24"/>
          <w:szCs w:val="22"/>
          <w:lang w:val="en-US" w:eastAsia="zh-CN" w:bidi="ar-SA"/>
        </w:rPr>
      </w:pPr>
      <w:r>
        <w:rPr>
          <w:rFonts w:hint="eastAsia" w:asciiTheme="minorEastAsia" w:hAnsiTheme="minorEastAsia" w:eastAsiaTheme="minorEastAsia" w:cstheme="minorEastAsia"/>
          <w:sz w:val="24"/>
          <w:szCs w:val="22"/>
          <w:lang w:val="en-US" w:eastAsia="zh-CN" w:bidi="ar-SA"/>
        </w:rPr>
        <w:t xml:space="preserve">（4）系统完成试运行及用户培训工作后，由中标人提交合格的等保测评及</w:t>
      </w:r>
      <w:r/>
    </w:p>
    <w:p>
      <w:pPr>
        <w:pStyle w:val="648"/>
        <w:ind w:left="0" w:firstLine="0"/>
        <w:jc w:val="both"/>
        <w:keepLines w:val="0"/>
        <w:keepNext w:val="0"/>
        <w:pageBreakBefore w:val="0"/>
        <w:spacing w:line="360" w:lineRule="auto"/>
        <w:widowControl w:val="off"/>
        <w:rPr>
          <w:rFonts w:hint="eastAsia" w:asciiTheme="minorEastAsia" w:hAnsiTheme="minorEastAsia" w:eastAsiaTheme="minorEastAsia" w:cstheme="minorEastAsia"/>
          <w:sz w:val="24"/>
          <w:szCs w:val="22"/>
          <w:lang w:val="en-US" w:eastAsia="zh-CN" w:bidi="ar-SA"/>
        </w:rPr>
      </w:pPr>
      <w:r>
        <w:rPr>
          <w:rFonts w:hint="eastAsia" w:asciiTheme="minorEastAsia" w:hAnsiTheme="minorEastAsia" w:eastAsiaTheme="minorEastAsia" w:cstheme="minorEastAsia"/>
          <w:sz w:val="24"/>
          <w:szCs w:val="22"/>
          <w:lang w:val="en-US" w:eastAsia="zh-CN" w:bidi="ar-SA"/>
        </w:rPr>
        <w:t xml:space="preserve">第三方检测报告，可申请项目验收。</w:t>
      </w:r>
      <w:r/>
    </w:p>
    <w:p>
      <w:pPr>
        <w:ind w:firstLine="480"/>
        <w:spacing w:line="360" w:lineRule="auto"/>
        <w:rPr>
          <w:rFonts w:ascii="宋体" w:hAnsi="宋体" w:eastAsia="宋体" w:cs="宋体"/>
          <w:sz w:val="24"/>
          <w:szCs w:val="24"/>
        </w:rPr>
      </w:pPr>
      <w:r>
        <w:rPr>
          <w:rFonts w:hint="eastAsia" w:asciiTheme="minorEastAsia" w:hAnsiTheme="minorEastAsia" w:eastAsiaTheme="minorEastAsia" w:cstheme="minorEastAsia"/>
          <w:sz w:val="24"/>
          <w:szCs w:val="22"/>
          <w:lang w:val="en-US" w:eastAsia="zh-CN" w:bidi="ar-SA"/>
        </w:rPr>
        <w:t xml:space="preserve">  </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本项目执行</w:t>
      </w:r>
      <w:r>
        <w:rPr>
          <w:rFonts w:hint="eastAsia" w:asciiTheme="minorEastAsia" w:hAnsiTheme="minorEastAsia"/>
          <w:sz w:val="24"/>
          <w:szCs w:val="24"/>
        </w:rPr>
        <w:t xml:space="preserve">《操作系统政府采购需求标准（2023年版）》、《数据库政府采购需求标准（2023年版）》政府采购需求标准、</w:t>
      </w:r>
      <w:r>
        <w:rPr>
          <w:rFonts w:hint="eastAsia" w:ascii="宋体" w:hAnsi="宋体" w:eastAsia="宋体" w:cs="宋体"/>
          <w:sz w:val="24"/>
          <w:szCs w:val="24"/>
        </w:rPr>
        <w:t xml:space="preserve">《财政部 生态环境部 工业和信息化部关于印发《绿色数据中心政府采购需求标准（试行）&gt;的通知》（财库〔2023〕7号）的相关要求。涉及本次采购标的的</w:t>
      </w: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采购人有权在履约验收时对中标人提供的产品或服务进行抽查检测，必要时可委托取得相关资质的第三方机构对其进行检测、认证。</w:t>
      </w:r>
      <w:r/>
    </w:p>
    <w:p>
      <w:pPr>
        <w:ind w:firstLine="480"/>
        <w:spacing w:line="360" w:lineRule="auto"/>
        <w:rPr>
          <w:rFonts w:hint="default" w:asciiTheme="minorEastAsia" w:hAnsiTheme="minorEastAsia" w:eastAsiaTheme="minorEastAsia" w:cstheme="minorEastAsia"/>
          <w:sz w:val="24"/>
          <w:szCs w:val="22"/>
          <w:lang w:val="en-US" w:eastAsia="zh-CN" w:bidi="ar-SA"/>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本项目执行关于调整</w:t>
      </w:r>
      <w:bookmarkStart w:id="13" w:name="OLE_LINK7"/>
      <w:r>
        <w:rPr>
          <w:rFonts w:hint="eastAsia" w:ascii="宋体" w:hAnsi="宋体" w:eastAsia="宋体" w:cs="宋体"/>
          <w:sz w:val="24"/>
          <w:szCs w:val="24"/>
        </w:rPr>
        <w:t xml:space="preserve">《网络关键设备和网络安全专用产品目录》</w:t>
      </w:r>
      <w:bookmarkEnd w:id="13"/>
      <w:r>
        <w:rPr>
          <w:rFonts w:hint="eastAsia" w:ascii="宋体" w:hAnsi="宋体" w:eastAsia="宋体" w:cs="宋体"/>
          <w:sz w:val="24"/>
          <w:szCs w:val="24"/>
        </w:rPr>
        <w:t xml:space="preserve">的公告、《关于调整网络安全专用产品安全管理有关事项的公告》的相关要求，自2023年7月1日起，列入《网络关键设备和网络安全专用产品目录》的网络安全专用产品应当按照</w:t>
      </w:r>
      <w:bookmarkStart w:id="14" w:name="OLE_LINK8"/>
      <w:r>
        <w:rPr>
          <w:rFonts w:hint="eastAsia" w:ascii="宋体" w:hAnsi="宋体" w:eastAsia="宋体" w:cs="宋体"/>
          <w:sz w:val="24"/>
          <w:szCs w:val="24"/>
        </w:rPr>
        <w:t xml:space="preserve">《信息安全技术网络安全专用产品安全技术要求》</w:t>
      </w:r>
      <w:bookmarkEnd w:id="14"/>
      <w:r>
        <w:rPr>
          <w:rFonts w:hint="eastAsia" w:ascii="宋体" w:hAnsi="宋体" w:eastAsia="宋体" w:cs="宋体"/>
          <w:sz w:val="24"/>
          <w:szCs w:val="24"/>
        </w:rPr>
        <w:t xml:space="preserve">等相关国家标准的强制性要求，由具备资格的机构安全认证合格或者安全检测符合要求后，方可销售或者提供。如验收时发现所投产品不符合要求，供应商将承担一切不利后果。</w:t>
      </w:r>
      <w:r/>
    </w:p>
    <w:p>
      <w:pPr>
        <w:pStyle w:val="642"/>
        <w:ind w:firstLine="482"/>
        <w:spacing w:before="0" w:after="0" w:line="500" w:lineRule="exact"/>
        <w:rPr>
          <w:rFonts w:hint="eastAsia" w:asciiTheme="minorEastAsia" w:hAnsiTheme="minorEastAsia" w:eastAsiaTheme="minorEastAsia" w:cstheme="minorEastAsia"/>
          <w:b/>
          <w:bCs/>
          <w:sz w:val="24"/>
          <w:szCs w:val="22"/>
          <w:lang w:val="en-US" w:eastAsia="zh-CN" w:bidi="ar-SA"/>
        </w:rPr>
      </w:pPr>
      <w:r>
        <w:rPr>
          <w:rFonts w:hint="eastAsia" w:asciiTheme="minorEastAsia" w:hAnsiTheme="minorEastAsia" w:eastAsiaTheme="minorEastAsia" w:cstheme="minorEastAsia"/>
          <w:b/>
          <w:bCs/>
          <w:sz w:val="24"/>
          <w:szCs w:val="22"/>
          <w:lang w:val="en-US" w:eastAsia="zh-CN" w:bidi="ar-SA"/>
        </w:rPr>
        <w:t xml:space="preserve">十一、付款方式与履约保证金</w:t>
      </w:r>
      <w:r/>
    </w:p>
    <w:p>
      <w:pPr>
        <w:ind w:firstLine="480"/>
        <w:jc w:val="left"/>
        <w:spacing w:line="360" w:lineRule="auto"/>
        <w:rPr>
          <w:rFonts w:hint="eastAsia" w:asciiTheme="minorEastAsia" w:hAnsiTheme="minorEastAsia" w:eastAsiaTheme="minorEastAsia" w:cstheme="minorEastAsia"/>
          <w:b/>
          <w:bCs/>
          <w:i/>
          <w:iCs/>
          <w:sz w:val="24"/>
          <w:szCs w:val="24"/>
          <w:highlight w:val="none"/>
          <w:u w:val="single"/>
        </w:rPr>
      </w:pPr>
      <w:r>
        <w:rPr>
          <w:rFonts w:hint="eastAsia" w:asciiTheme="minorEastAsia" w:hAnsiTheme="minorEastAsia" w:eastAsiaTheme="minorEastAsia" w:cstheme="minorEastAsia"/>
          <w:b/>
          <w:bCs/>
          <w:sz w:val="24"/>
          <w:szCs w:val="24"/>
          <w:highlight w:val="none"/>
          <w:u w:val="single"/>
        </w:rPr>
        <w:t xml:space="preserve">1</w:t>
      </w:r>
      <w:r>
        <w:rPr>
          <w:rFonts w:hint="eastAsia" w:asciiTheme="minorEastAsia" w:hAnsiTheme="minorEastAsia" w:eastAsiaTheme="minorEastAsia" w:cstheme="minorEastAsia"/>
          <w:b/>
          <w:bCs/>
          <w:sz w:val="24"/>
          <w:szCs w:val="24"/>
          <w:highlight w:val="none"/>
          <w:u w:val="single"/>
          <w:lang w:val="en-US" w:eastAsia="zh-CN"/>
        </w:rPr>
        <w:t xml:space="preserve">.</w:t>
      </w:r>
      <w:r>
        <w:rPr>
          <w:rFonts w:hint="eastAsia" w:asciiTheme="minorEastAsia" w:hAnsiTheme="minorEastAsia" w:eastAsiaTheme="minorEastAsia" w:cstheme="minorEastAsia"/>
          <w:b/>
          <w:bCs/>
          <w:i/>
          <w:iCs/>
          <w:sz w:val="24"/>
          <w:szCs w:val="24"/>
          <w:highlight w:val="none"/>
          <w:u w:val="single"/>
        </w:rPr>
        <w:t xml:space="preserve">付款方式</w:t>
      </w:r>
      <w:r>
        <w:rPr>
          <w:rFonts w:hint="eastAsia" w:asciiTheme="minorEastAsia" w:hAnsiTheme="minorEastAsia" w:eastAsiaTheme="minorEastAsia" w:cstheme="minorEastAsia"/>
          <w:b/>
          <w:bCs/>
          <w:i/>
          <w:iCs/>
          <w:sz w:val="24"/>
          <w:szCs w:val="24"/>
          <w:highlight w:val="none"/>
          <w:u w:val="single"/>
          <w:lang w:eastAsia="zh-CN"/>
        </w:rPr>
        <w:t xml:space="preserve">：</w:t>
      </w:r>
      <w:r>
        <w:rPr>
          <w:rFonts w:hint="eastAsia" w:asciiTheme="minorEastAsia" w:hAnsiTheme="minorEastAsia" w:eastAsiaTheme="minorEastAsia" w:cstheme="minorEastAsia"/>
          <w:b/>
          <w:bCs/>
          <w:i/>
          <w:iCs/>
          <w:sz w:val="24"/>
          <w:szCs w:val="24"/>
          <w:highlight w:val="none"/>
          <w:u w:val="single"/>
        </w:rPr>
        <w:t xml:space="preserve">合同签订后项目组进场</w:t>
      </w:r>
      <w:r>
        <w:rPr>
          <w:rFonts w:hint="eastAsia" w:asciiTheme="minorEastAsia" w:hAnsiTheme="minorEastAsia" w:eastAsiaTheme="minorEastAsia" w:cstheme="minorEastAsia"/>
          <w:b/>
          <w:bCs/>
          <w:i/>
          <w:iCs/>
          <w:sz w:val="24"/>
          <w:szCs w:val="24"/>
          <w:highlight w:val="none"/>
          <w:u w:val="single"/>
          <w:lang w:val="en-US" w:eastAsia="zh-CN"/>
        </w:rPr>
        <w:t xml:space="preserve">后15日内</w:t>
      </w:r>
      <w:r>
        <w:rPr>
          <w:rFonts w:hint="eastAsia" w:asciiTheme="minorEastAsia" w:hAnsiTheme="minorEastAsia" w:eastAsiaTheme="minorEastAsia" w:cstheme="minorEastAsia"/>
          <w:b/>
          <w:bCs/>
          <w:i/>
          <w:iCs/>
          <w:sz w:val="24"/>
          <w:szCs w:val="24"/>
          <w:highlight w:val="none"/>
          <w:u w:val="single"/>
        </w:rPr>
        <w:t xml:space="preserve">，支付合同款总额的30%</w:t>
      </w:r>
      <w:r>
        <w:rPr>
          <w:rFonts w:hint="eastAsia" w:asciiTheme="minorEastAsia" w:hAnsiTheme="minorEastAsia" w:eastAsiaTheme="minorEastAsia" w:cstheme="minorEastAsia"/>
          <w:b/>
          <w:bCs/>
          <w:i/>
          <w:iCs/>
          <w:sz w:val="24"/>
          <w:szCs w:val="24"/>
          <w:highlight w:val="none"/>
          <w:u w:val="single"/>
          <w:lang w:eastAsia="zh-CN"/>
        </w:rPr>
        <w:t xml:space="preserve">。</w:t>
      </w:r>
      <w:r>
        <w:rPr>
          <w:rFonts w:hint="eastAsia" w:asciiTheme="minorEastAsia" w:hAnsiTheme="minorEastAsia" w:eastAsiaTheme="minorEastAsia" w:cstheme="minorEastAsia"/>
          <w:b/>
          <w:bCs/>
          <w:i/>
          <w:iCs/>
          <w:sz w:val="24"/>
          <w:szCs w:val="24"/>
          <w:highlight w:val="none"/>
          <w:u w:val="single"/>
        </w:rPr>
        <w:t xml:space="preserve">完成合同建设内容并初验合格后</w:t>
      </w:r>
      <w:r>
        <w:rPr>
          <w:rFonts w:hint="eastAsia" w:asciiTheme="minorEastAsia" w:hAnsiTheme="minorEastAsia" w:eastAsiaTheme="minorEastAsia" w:cstheme="minorEastAsia"/>
          <w:b/>
          <w:bCs/>
          <w:i/>
          <w:iCs/>
          <w:sz w:val="24"/>
          <w:szCs w:val="24"/>
          <w:highlight w:val="none"/>
          <w:u w:val="single"/>
          <w:lang w:val="en-US" w:eastAsia="zh-CN"/>
        </w:rPr>
        <w:t xml:space="preserve">15日内</w:t>
      </w:r>
      <w:r>
        <w:rPr>
          <w:rFonts w:hint="eastAsia" w:asciiTheme="minorEastAsia" w:hAnsiTheme="minorEastAsia" w:eastAsiaTheme="minorEastAsia" w:cstheme="minorEastAsia"/>
          <w:b/>
          <w:bCs/>
          <w:i/>
          <w:iCs/>
          <w:sz w:val="24"/>
          <w:szCs w:val="24"/>
          <w:highlight w:val="none"/>
          <w:u w:val="single"/>
        </w:rPr>
        <w:t xml:space="preserve">，支付至合同款总额的</w:t>
      </w:r>
      <w:r>
        <w:rPr>
          <w:rFonts w:hint="eastAsia" w:asciiTheme="minorEastAsia" w:hAnsiTheme="minorEastAsia" w:eastAsiaTheme="minorEastAsia" w:cstheme="minorEastAsia"/>
          <w:b/>
          <w:bCs/>
          <w:i/>
          <w:iCs/>
          <w:sz w:val="24"/>
          <w:szCs w:val="24"/>
          <w:highlight w:val="none"/>
          <w:u w:val="single"/>
          <w:lang w:val="en-US" w:eastAsia="zh-CN"/>
        </w:rPr>
        <w:t xml:space="preserve">90</w:t>
      </w:r>
      <w:r>
        <w:rPr>
          <w:rFonts w:hint="eastAsia" w:asciiTheme="minorEastAsia" w:hAnsiTheme="minorEastAsia" w:eastAsiaTheme="minorEastAsia" w:cstheme="minorEastAsia"/>
          <w:b/>
          <w:bCs/>
          <w:i/>
          <w:iCs/>
          <w:sz w:val="24"/>
          <w:szCs w:val="24"/>
          <w:highlight w:val="none"/>
          <w:u w:val="single"/>
        </w:rPr>
        <w:t xml:space="preserve">%</w:t>
      </w:r>
      <w:r>
        <w:rPr>
          <w:rFonts w:hint="eastAsia" w:asciiTheme="minorEastAsia" w:hAnsiTheme="minorEastAsia" w:eastAsiaTheme="minorEastAsia" w:cstheme="minorEastAsia"/>
          <w:b/>
          <w:bCs/>
          <w:i/>
          <w:iCs/>
          <w:sz w:val="24"/>
          <w:szCs w:val="24"/>
          <w:highlight w:val="none"/>
          <w:u w:val="single"/>
          <w:lang w:eastAsia="zh-CN"/>
        </w:rPr>
        <w:t xml:space="preserve">；</w:t>
      </w:r>
      <w:r>
        <w:rPr>
          <w:rFonts w:hint="eastAsia" w:asciiTheme="minorEastAsia" w:hAnsiTheme="minorEastAsia" w:eastAsiaTheme="minorEastAsia" w:cstheme="minorEastAsia"/>
          <w:b/>
          <w:bCs/>
          <w:i/>
          <w:iCs/>
          <w:sz w:val="24"/>
          <w:szCs w:val="24"/>
          <w:highlight w:val="none"/>
          <w:u w:val="single"/>
        </w:rPr>
        <w:t xml:space="preserve">终验合格后</w:t>
      </w:r>
      <w:r>
        <w:rPr>
          <w:rFonts w:hint="eastAsia" w:asciiTheme="minorEastAsia" w:hAnsiTheme="minorEastAsia" w:eastAsiaTheme="minorEastAsia" w:cstheme="minorEastAsia"/>
          <w:b/>
          <w:bCs/>
          <w:i/>
          <w:iCs/>
          <w:sz w:val="24"/>
          <w:szCs w:val="24"/>
          <w:highlight w:val="none"/>
          <w:u w:val="single"/>
          <w:lang w:val="en-US" w:eastAsia="zh-CN"/>
        </w:rPr>
        <w:t xml:space="preserve">15日内</w:t>
      </w:r>
      <w:r>
        <w:rPr>
          <w:rFonts w:hint="eastAsia" w:asciiTheme="minorEastAsia" w:hAnsiTheme="minorEastAsia" w:eastAsiaTheme="minorEastAsia" w:cstheme="minorEastAsia"/>
          <w:b/>
          <w:bCs/>
          <w:i/>
          <w:iCs/>
          <w:sz w:val="24"/>
          <w:szCs w:val="24"/>
          <w:highlight w:val="none"/>
          <w:u w:val="single"/>
        </w:rPr>
        <w:t xml:space="preserve">，支付至合同</w:t>
      </w:r>
      <w:r>
        <w:rPr>
          <w:rFonts w:hint="eastAsia" w:asciiTheme="minorEastAsia" w:hAnsiTheme="minorEastAsia" w:eastAsiaTheme="minorEastAsia" w:cstheme="minorEastAsia"/>
          <w:b/>
          <w:bCs/>
          <w:i/>
          <w:iCs/>
          <w:sz w:val="24"/>
          <w:szCs w:val="24"/>
          <w:highlight w:val="none"/>
          <w:u w:val="single"/>
          <w:lang w:val="en-US" w:eastAsia="zh-CN"/>
        </w:rPr>
        <w:t xml:space="preserve">金额</w:t>
      </w:r>
      <w:r>
        <w:rPr>
          <w:rFonts w:hint="eastAsia" w:asciiTheme="minorEastAsia" w:hAnsiTheme="minorEastAsia" w:eastAsiaTheme="minorEastAsia" w:cstheme="minorEastAsia"/>
          <w:b/>
          <w:bCs/>
          <w:i/>
          <w:iCs/>
          <w:sz w:val="24"/>
          <w:szCs w:val="24"/>
          <w:highlight w:val="none"/>
          <w:u w:val="single"/>
        </w:rPr>
        <w:t xml:space="preserve">的</w:t>
      </w:r>
      <w:r>
        <w:rPr>
          <w:rFonts w:hint="eastAsia" w:asciiTheme="minorEastAsia" w:hAnsiTheme="minorEastAsia" w:eastAsiaTheme="minorEastAsia" w:cstheme="minorEastAsia"/>
          <w:b/>
          <w:bCs/>
          <w:i/>
          <w:iCs/>
          <w:sz w:val="24"/>
          <w:szCs w:val="24"/>
          <w:highlight w:val="none"/>
          <w:u w:val="single"/>
          <w:lang w:val="en-US" w:eastAsia="zh-CN"/>
        </w:rPr>
        <w:t xml:space="preserve">100</w:t>
      </w:r>
      <w:r>
        <w:rPr>
          <w:rFonts w:hint="eastAsia" w:asciiTheme="minorEastAsia" w:hAnsiTheme="minorEastAsia" w:eastAsiaTheme="minorEastAsia" w:cstheme="minorEastAsia"/>
          <w:b/>
          <w:bCs/>
          <w:i/>
          <w:iCs/>
          <w:sz w:val="24"/>
          <w:szCs w:val="24"/>
          <w:highlight w:val="none"/>
          <w:u w:val="single"/>
        </w:rPr>
        <w:t xml:space="preserve">%。</w:t>
      </w:r>
      <w:r/>
    </w:p>
    <w:p>
      <w:pPr>
        <w:ind w:firstLine="480"/>
        <w:jc w:val="left"/>
        <w:spacing w:line="360" w:lineRule="auto"/>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本项目不收取履约保证金。</w:t>
      </w:r>
      <w:r/>
    </w:p>
    <w:p>
      <w:pPr>
        <w:pStyle w:val="642"/>
        <w:ind w:firstLine="482"/>
        <w:spacing w:before="0" w:after="0" w:line="500" w:lineRule="exact"/>
        <w:rPr>
          <w:rFonts w:hint="default" w:asciiTheme="minorEastAsia" w:hAnsiTheme="minorEastAsia" w:eastAsiaTheme="minorEastAsia" w:cstheme="minorEastAsia"/>
          <w:b/>
          <w:bCs/>
          <w:sz w:val="24"/>
          <w:szCs w:val="22"/>
          <w:lang w:val="en-US" w:eastAsia="zh-CN" w:bidi="ar-SA"/>
        </w:rPr>
      </w:pPr>
      <w:r>
        <w:rPr>
          <w:rFonts w:hint="eastAsia" w:asciiTheme="minorEastAsia" w:hAnsiTheme="minorEastAsia" w:eastAsiaTheme="minorEastAsia" w:cstheme="minorEastAsia"/>
          <w:b/>
          <w:bCs/>
          <w:sz w:val="24"/>
          <w:szCs w:val="22"/>
          <w:lang w:val="en-US" w:eastAsia="zh-CN" w:bidi="ar-SA"/>
        </w:rPr>
        <w:t xml:space="preserve">十二、报价要求及其他</w:t>
      </w:r>
      <w:r/>
    </w:p>
    <w:p>
      <w:pPr>
        <w:ind w:firstLine="480"/>
        <w:jc w:val="both"/>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1.本项目响应报价最高不得超过最高限价，否则作无效响应处理</w:t>
      </w:r>
      <w:r>
        <w:rPr>
          <w:rFonts w:hint="eastAsia" w:asciiTheme="minorEastAsia" w:hAnsiTheme="minorEastAsia" w:eastAsiaTheme="minorEastAsia" w:cstheme="minorEastAsia"/>
          <w:sz w:val="24"/>
          <w:szCs w:val="24"/>
          <w:highlight w:val="none"/>
          <w:lang w:eastAsia="zh-CN"/>
        </w:rPr>
        <w:t xml:space="preserve">。</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.报价币种为人民币。</w:t>
      </w:r>
      <w:r>
        <w:rPr>
          <w:rFonts w:hint="eastAsia" w:asciiTheme="minorEastAsia" w:hAnsiTheme="minorEastAsia" w:eastAsiaTheme="minorEastAsia" w:cstheme="minorEastAsia"/>
          <w:sz w:val="24"/>
          <w:szCs w:val="24"/>
        </w:rPr>
        <w:t xml:space="preserve">应根据国家收费标准并结合市场实际进行报价，总价包干。</w:t>
      </w:r>
      <w:r>
        <w:rPr>
          <w:rFonts w:hint="eastAsia" w:asciiTheme="minorEastAsia" w:hAnsiTheme="minorEastAsia" w:eastAsiaTheme="minorEastAsia" w:cstheme="minorEastAsia"/>
          <w:sz w:val="24"/>
          <w:szCs w:val="24"/>
          <w:highlight w:val="none"/>
        </w:rPr>
        <w:t xml:space="preserve">总报价应包括为完成本项目发生的所有费用，包括不限于设备、开发、测试、验收、培训、保险、人工费用、管理、质保、驻场服务、税费、利润等。</w:t>
      </w:r>
      <w:r/>
    </w:p>
    <w:p>
      <w:pPr>
        <w:ind w:firstLine="480"/>
        <w:jc w:val="both"/>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20"/>
        <w:spacing w:line="360" w:lineRule="auto"/>
        <w:rPr>
          <w:rFonts w:ascii="黑体" w:hAnsi="黑体" w:eastAsia="黑体"/>
          <w:b w:val="0"/>
        </w:rPr>
      </w:pPr>
      <w:r/>
      <w:bookmarkStart w:id="15" w:name="_Toc162361614"/>
      <w:r>
        <w:rPr>
          <w:rFonts w:ascii="黑体" w:hAnsi="黑体" w:eastAsia="黑体"/>
          <w:b w:val="0"/>
        </w:rPr>
        <w:br w:type="page" w:clear="all"/>
      </w:r>
      <w:r/>
    </w:p>
    <w:p>
      <w:pPr>
        <w:pStyle w:val="641"/>
        <w:jc w:val="center"/>
        <w:spacing w:line="360" w:lineRule="auto"/>
        <w:rPr>
          <w:rFonts w:ascii="黑体" w:hAnsi="黑体" w:eastAsia="黑体"/>
          <w:b w:val="0"/>
        </w:rPr>
      </w:pPr>
      <w:r/>
      <w:bookmarkStart w:id="16" w:name="_Toc22195"/>
      <w:r>
        <w:rPr>
          <w:rFonts w:ascii="黑体" w:hAnsi="黑体" w:eastAsia="黑体"/>
          <w:b w:val="0"/>
        </w:rPr>
        <w:t xml:space="preserve">第五章</w:t>
      </w:r>
      <w:r>
        <w:rPr>
          <w:rFonts w:hint="eastAsia" w:ascii="黑体" w:hAnsi="黑体" w:eastAsia="黑体"/>
          <w:b w:val="0"/>
        </w:rPr>
        <w:t xml:space="preserve">  评标方法与评标标准</w:t>
      </w:r>
      <w:bookmarkEnd w:id="15"/>
      <w:r/>
      <w:bookmarkEnd w:id="16"/>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eastAsiaTheme="minorEastAsia" w:cs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eastAsiaTheme="minorEastAsia" w:cstheme="minorEastAsia"/>
          <w:sz w:val="24"/>
          <w:szCs w:val="24"/>
          <w:highlight w:val="none"/>
        </w:rPr>
        <w:t xml:space="preserve">评标委员会按照评审得分由高到低顺序推荐</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1.价格分（1</w:t>
      </w:r>
      <w:r>
        <w:rPr>
          <w:rFonts w:hint="eastAsia" w:asciiTheme="minorEastAsia" w:hAnsiTheme="minorEastAsia" w:eastAsiaTheme="minorEastAsia" w:cstheme="minorEastAsia"/>
          <w:b/>
          <w:sz w:val="24"/>
          <w:szCs w:val="24"/>
          <w:lang w:val="en-US" w:eastAsia="zh-CN"/>
        </w:rPr>
        <w:t xml:space="preserve">0</w:t>
      </w:r>
      <w:r>
        <w:rPr>
          <w:rFonts w:hint="eastAsia" w:asciiTheme="minorEastAsia" w:hAnsiTheme="minorEastAsia" w:eastAsiaTheme="minorEastAsia" w:cstheme="minorEastAsia"/>
          <w:b/>
          <w:sz w:val="24"/>
          <w:szCs w:val="24"/>
        </w:rPr>
        <w:t xml:space="preserve">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投标报价得分=（评标基准价/投标报价）×1</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分。</w:t>
      </w:r>
      <w:r/>
    </w:p>
    <w:p>
      <w:pPr>
        <w:jc w:val="left"/>
        <w:spacing w:line="360" w:lineRule="auto"/>
        <w:rPr>
          <w:rFonts w:hint="default"/>
          <w:sz w:val="24"/>
          <w:szCs w:val="24"/>
          <w:lang w:val="en-US" w:eastAsia="zh-CN"/>
        </w:rPr>
      </w:pPr>
      <w:r>
        <w:rPr>
          <w:rFonts w:hint="eastAsia" w:asciiTheme="minorEastAsia" w:hAnsiTheme="minorEastAsia" w:cstheme="minorEastAsia"/>
          <w:b/>
          <w:sz w:val="24"/>
          <w:szCs w:val="24"/>
          <w:lang w:val="en-US" w:eastAsia="zh-CN"/>
        </w:rPr>
        <w:t xml:space="preserve">    </w:t>
      </w: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2.商务分（</w:t>
      </w:r>
      <w:r>
        <w:rPr>
          <w:rFonts w:hint="eastAsia" w:asciiTheme="minorEastAsia" w:hAnsiTheme="minorEastAsia" w:cstheme="minorEastAsia"/>
          <w:b/>
          <w:sz w:val="24"/>
          <w:szCs w:val="24"/>
          <w:lang w:val="en-US" w:eastAsia="zh-CN"/>
        </w:rPr>
        <w:t xml:space="preserve">50</w:t>
      </w:r>
      <w:r>
        <w:rPr>
          <w:rFonts w:hint="eastAsia" w:asciiTheme="minorEastAsia" w:hAnsiTheme="minorEastAsia" w:eastAsiaTheme="minorEastAsia" w:cstheme="minorEastAsia"/>
          <w:b/>
          <w:sz w:val="24"/>
          <w:szCs w:val="24"/>
        </w:rPr>
        <w:t xml:space="preserve">分）</w:t>
      </w:r>
      <w:r/>
    </w:p>
    <w:tbl>
      <w:tblPr>
        <w:tblStyle w:val="645"/>
        <w:tblW w:w="8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596"/>
      </w:tblGrid>
      <w:tr>
        <w:trPr>
          <w:jc w:val="center"/>
          <w:trHeight w:val="624"/>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评审因素</w:t>
            </w:r>
            <w:r/>
          </w:p>
        </w:tc>
        <w:tc>
          <w:tcPr>
            <w:tcW w:w="65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624"/>
        </w:trPr>
        <w:tc>
          <w:tcPr>
            <w:shd w:val="clear" w:color="auto" w:fill="auto"/>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技术参数响应</w:t>
            </w:r>
            <w:r/>
          </w:p>
          <w:p>
            <w:pPr>
              <w:jc w:val="center"/>
              <w:keepLines w:val="0"/>
              <w:keepNext w:val="0"/>
              <w:pageBreakBefore w:val="0"/>
              <w:spacing w:line="480" w:lineRule="exact"/>
              <w:widowControl w:val="off"/>
              <w:rPr>
                <w:rFonts w:hint="eastAsia" w:asciiTheme="minorEastAsia" w:hAnsiTheme="minorEastAsia" w:eastAsiaTheme="minorEastAsia" w:cstheme="minorEastAsia"/>
                <w:b/>
                <w:color w:val="000000"/>
                <w:sz w:val="24"/>
                <w:szCs w:val="24"/>
                <w:highlight w:val="none"/>
                <w:lang w:val="en-US" w:eastAsia="zh-CN" w:bidi="ar-SA"/>
              </w:rPr>
            </w:pP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lang w:val="en-US" w:eastAsia="zh-CN"/>
              </w:rPr>
              <w:t xml:space="preserve">分</w:t>
            </w:r>
            <w:r>
              <w:rPr>
                <w:rFonts w:hint="eastAsia" w:asciiTheme="minorEastAsia" w:hAnsiTheme="minorEastAsia" w:eastAsiaTheme="minorEastAsia" w:cstheme="minorEastAsia"/>
                <w:sz w:val="24"/>
                <w:szCs w:val="24"/>
                <w:highlight w:val="none"/>
                <w:lang w:eastAsia="zh-CN"/>
              </w:rPr>
              <w:t xml:space="preserve">）</w:t>
            </w:r>
            <w:r/>
          </w:p>
        </w:tc>
        <w:tc>
          <w:tcPr>
            <w:shd w:val="clear" w:color="auto" w:fill="auto"/>
            <w:tcW w:w="6596" w:type="dxa"/>
            <w:vAlign w:val="center"/>
            <w:textDirection w:val="lrTb"/>
            <w:noWrap w:val="false"/>
          </w:tcPr>
          <w:p>
            <w:pPr>
              <w:jc w:val="both"/>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技术参数响应评审基准分</w:t>
            </w:r>
            <w:r>
              <w:rPr>
                <w:rFonts w:hint="eastAsia" w:asciiTheme="minorEastAsia" w:hAnsi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分，标注“▲”项的参数每有一项负偏离扣</w:t>
            </w: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分，</w:t>
            </w:r>
            <w:r>
              <w:rPr>
                <w:rFonts w:hint="eastAsia" w:asciiTheme="minorEastAsia" w:hAnsiTheme="minorEastAsia" w:eastAsiaTheme="minorEastAsia" w:cstheme="minorEastAsia"/>
                <w:sz w:val="24"/>
                <w:szCs w:val="24"/>
                <w:highlight w:val="none"/>
                <w:lang w:val="en-US" w:eastAsia="zh-CN"/>
              </w:rPr>
              <w:t xml:space="preserve">非</w:t>
            </w:r>
            <w:r>
              <w:rPr>
                <w:rFonts w:hint="eastAsia" w:asciiTheme="minorEastAsia" w:hAnsiTheme="minorEastAsia" w:eastAsiaTheme="minorEastAsia" w:cstheme="minorEastAsia"/>
                <w:sz w:val="24"/>
                <w:szCs w:val="24"/>
                <w:highlight w:val="none"/>
              </w:rPr>
              <w:t xml:space="preserve">“▲”项</w:t>
            </w:r>
            <w:r>
              <w:rPr>
                <w:rFonts w:hint="eastAsia" w:asciiTheme="minorEastAsia" w:hAnsiTheme="minorEastAsia" w:eastAsiaTheme="minorEastAsia" w:cstheme="minorEastAsia"/>
                <w:sz w:val="24"/>
                <w:szCs w:val="24"/>
                <w:highlight w:val="none"/>
                <w:lang w:val="en-US" w:eastAsia="zh-CN"/>
              </w:rPr>
              <w:t xml:space="preserve">的参数每有一项负偏离扣1分，</w:t>
            </w:r>
            <w:r>
              <w:rPr>
                <w:rFonts w:hint="eastAsia" w:asciiTheme="minorEastAsia" w:hAnsiTheme="minorEastAsia" w:eastAsiaTheme="minorEastAsia" w:cstheme="minorEastAsia"/>
                <w:sz w:val="24"/>
                <w:szCs w:val="24"/>
                <w:highlight w:val="none"/>
              </w:rPr>
              <w:t xml:space="preserve">扣完为止。</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000000"/>
                <w:sz w:val="24"/>
                <w:szCs w:val="24"/>
                <w:highlight w:val="none"/>
                <w:lang w:val="en-US" w:eastAsia="zh-CN" w:bidi="ar-SA"/>
              </w:rPr>
            </w:pPr>
            <w:r>
              <w:rPr>
                <w:rFonts w:hint="eastAsia" w:asciiTheme="minorEastAsia" w:hAnsiTheme="minorEastAsia" w:eastAsiaTheme="minorEastAsia" w:cstheme="minorEastAsia"/>
                <w:b/>
                <w:sz w:val="24"/>
                <w:szCs w:val="24"/>
                <w:highlight w:val="none"/>
              </w:rPr>
              <w:t xml:space="preserve">（投标文件中详细填写技术要求响应及偏离表，须逐条响应。标注“▲”项要求提供证明材料的未提供证明材料或经评审委员会认定所提供材料与招标文件要求不符的均视为负偏离。投标人可在证明材料中做明显标识及说明，便于评审）</w:t>
            </w:r>
            <w:r>
              <w:rPr>
                <w:rFonts w:hint="eastAsia" w:asciiTheme="minorEastAsia" w:hAnsiTheme="minorEastAsia" w:eastAsiaTheme="minorEastAsia" w:cstheme="minorEastAsia"/>
                <w:b w:val="0"/>
                <w:bCs/>
                <w:sz w:val="24"/>
                <w:szCs w:val="24"/>
                <w:highlight w:val="none"/>
                <w:lang w:val="en-US" w:eastAsia="zh-CN"/>
              </w:rPr>
              <w:t xml:space="preserve">注：</w:t>
            </w:r>
            <w:r>
              <w:rPr>
                <w:rFonts w:hint="eastAsia" w:asciiTheme="minorEastAsia" w:hAnsiTheme="minorEastAsia" w:eastAsiaTheme="minorEastAsia" w:cstheme="minorEastAsia"/>
                <w:sz w:val="24"/>
                <w:szCs w:val="24"/>
                <w:highlight w:val="none"/>
              </w:rPr>
              <w:t xml:space="preserve">中标后，需给</w:t>
            </w:r>
            <w:r>
              <w:rPr>
                <w:rFonts w:hint="eastAsia" w:asciiTheme="minorEastAsia" w:hAnsiTheme="minorEastAsia" w:eastAsiaTheme="minorEastAsia" w:cstheme="minorEastAsia"/>
                <w:sz w:val="24"/>
                <w:szCs w:val="24"/>
                <w:highlight w:val="none"/>
                <w:lang w:val="en-US" w:eastAsia="zh-CN"/>
              </w:rPr>
              <w:t xml:space="preserve">采购人</w:t>
            </w:r>
            <w:r>
              <w:rPr>
                <w:rFonts w:hint="eastAsia" w:asciiTheme="minorEastAsia" w:hAnsiTheme="minorEastAsia" w:eastAsiaTheme="minorEastAsia" w:cstheme="minorEastAsia"/>
                <w:sz w:val="24"/>
                <w:szCs w:val="24"/>
                <w:highlight w:val="none"/>
              </w:rPr>
              <w:t xml:space="preserve">提供</w:t>
            </w:r>
            <w:r>
              <w:rPr>
                <w:rFonts w:hint="eastAsia" w:asciiTheme="minorEastAsia" w:hAnsiTheme="minorEastAsia" w:cstheme="minorEastAsia"/>
                <w:sz w:val="24"/>
                <w:szCs w:val="24"/>
                <w:highlight w:val="none"/>
                <w:lang w:val="en-US" w:eastAsia="zh-CN"/>
              </w:rPr>
              <w:t xml:space="preserve">证明</w:t>
            </w:r>
            <w:r>
              <w:rPr>
                <w:rFonts w:hint="eastAsia" w:asciiTheme="minorEastAsia" w:hAnsiTheme="minorEastAsia" w:eastAsiaTheme="minorEastAsia" w:cstheme="minorEastAsia"/>
                <w:sz w:val="24"/>
                <w:szCs w:val="24"/>
                <w:highlight w:val="none"/>
              </w:rPr>
              <w:t xml:space="preserve">材料原件备查。如采购人发现</w:t>
            </w:r>
            <w:r>
              <w:rPr>
                <w:rFonts w:hint="eastAsia" w:asciiTheme="minorEastAsia" w:hAnsiTheme="minorEastAsia" w:cstheme="minorEastAsia"/>
                <w:sz w:val="24"/>
                <w:szCs w:val="24"/>
                <w:highlight w:val="none"/>
                <w:lang w:val="en-US" w:eastAsia="zh-CN"/>
              </w:rPr>
              <w:t xml:space="preserve">中标人</w:t>
            </w:r>
            <w:r>
              <w:rPr>
                <w:rFonts w:hint="eastAsia" w:asciiTheme="minorEastAsia" w:hAnsiTheme="minorEastAsia" w:eastAsiaTheme="minorEastAsia" w:cstheme="minorEastAsia"/>
                <w:sz w:val="24"/>
                <w:szCs w:val="24"/>
                <w:highlight w:val="none"/>
              </w:rPr>
              <w:t xml:space="preserve">提供的产品与其响应文件不一致或不满足技术参数指标，对虚假应标者取消中标资格并追究相应法律责任。</w:t>
            </w:r>
            <w:r/>
          </w:p>
        </w:tc>
      </w:tr>
      <w:tr>
        <w:trPr>
          <w:jc w:val="center"/>
          <w:trHeight w:val="624"/>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sz w:val="24"/>
                <w:szCs w:val="24"/>
                <w:lang w:val="en-US" w:eastAsia="zh-CN"/>
              </w:rPr>
              <w:t xml:space="preserve">合同履约能力</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24</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tcW w:w="6596" w:type="dxa"/>
            <w:vAlign w:val="center"/>
            <w:textDirection w:val="lrTb"/>
            <w:noWrap w:val="false"/>
          </w:tcPr>
          <w:p>
            <w:pPr>
              <w:numPr>
                <w:ilvl w:val="0"/>
                <w:numId w:val="0"/>
              </w:numPr>
              <w:jc w:val="left"/>
              <w:keepLines w:val="0"/>
              <w:keepNext w:val="0"/>
              <w:pageBreakBefore w:val="0"/>
              <w:spacing w:line="480" w:lineRule="exact"/>
              <w:widowControl w:val="off"/>
              <w:tabs>
                <w:tab w:val="left" w:pos="29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lang w:val="en-US" w:eastAsia="zh-CN"/>
              </w:rPr>
              <w:t xml:space="preserve">具有</w:t>
            </w:r>
            <w:r>
              <w:rPr>
                <w:rFonts w:hint="eastAsia" w:asciiTheme="minorEastAsia" w:hAnsiTheme="minorEastAsia" w:eastAsiaTheme="minorEastAsia" w:cstheme="minorEastAsia"/>
                <w:sz w:val="24"/>
                <w:szCs w:val="24"/>
              </w:rPr>
              <w:t xml:space="preserve">质量管理体系认证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环境管理体系认证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信息安全管理体系认证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cstheme="minorEastAsia"/>
                <w:sz w:val="24"/>
                <w:szCs w:val="24"/>
                <w:lang w:val="en-US" w:eastAsia="zh-CN"/>
              </w:rPr>
              <w:t xml:space="preserve">业务连续性管理体系</w:t>
            </w:r>
            <w:r>
              <w:rPr>
                <w:rFonts w:hint="eastAsia" w:asciiTheme="minorEastAsia" w:hAnsiTheme="minorEastAsia" w:eastAsiaTheme="minorEastAsia" w:cstheme="minorEastAsia"/>
                <w:sz w:val="24"/>
                <w:szCs w:val="24"/>
              </w:rPr>
              <w:t xml:space="preserve">认证</w:t>
            </w:r>
            <w:r>
              <w:rPr>
                <w:rFonts w:hint="eastAsia" w:asciiTheme="minorEastAsia" w:hAnsiTheme="minorEastAsia" w:eastAsiaTheme="minorEastAsia" w:cstheme="minorEastAsia"/>
                <w:sz w:val="24"/>
                <w:szCs w:val="24"/>
                <w:lang w:val="en-US" w:eastAsia="zh-CN"/>
              </w:rPr>
              <w:t xml:space="preserve">证书的</w:t>
            </w:r>
            <w:r>
              <w:rPr>
                <w:rFonts w:hint="eastAsia" w:asciiTheme="minorEastAsia" w:hAnsiTheme="minorEastAsia" w:eastAsiaTheme="minorEastAsia" w:cstheme="minorEastAsia"/>
                <w:sz w:val="24"/>
                <w:szCs w:val="24"/>
              </w:rPr>
              <w:t xml:space="preserve">，每提供</w:t>
            </w:r>
            <w:r>
              <w:rPr>
                <w:rFonts w:hint="eastAsia" w:asciiTheme="minorEastAsia" w:hAnsiTheme="minorEastAsia" w:eastAsiaTheme="minorEastAsia" w:cstheme="minorEastAsia"/>
                <w:sz w:val="24"/>
                <w:szCs w:val="24"/>
                <w:lang w:val="en-US" w:eastAsia="zh-CN"/>
              </w:rPr>
              <w:t xml:space="preserve">一个证书</w:t>
            </w:r>
            <w:r>
              <w:rPr>
                <w:rFonts w:hint="eastAsia" w:asciiTheme="minorEastAsia" w:hAnsiTheme="minorEastAsia" w:eastAsiaTheme="minorEastAsia" w:cstheme="minorEastAsia"/>
                <w:sz w:val="24"/>
                <w:szCs w:val="24"/>
              </w:rPr>
              <w:t xml:space="preserve">得</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.投标人具有大数据企业服务能力评价证书的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bidi="ar-SA"/>
              </w:rPr>
              <w:t xml:space="preserve">3</w:t>
            </w:r>
            <w:r>
              <w:rPr>
                <w:rFonts w:hint="eastAsia" w:asciiTheme="minorEastAsia" w:hAnsiTheme="minorEastAsia" w:eastAsiaTheme="minorEastAsia" w:cstheme="minorEastAsia"/>
                <w:sz w:val="24"/>
                <w:szCs w:val="24"/>
                <w:highlight w:val="none"/>
                <w:lang w:val="en-US" w:eastAsia="zh-CN" w:bidi="ar-SA"/>
              </w:rPr>
              <w:t xml:space="preserve">.</w:t>
            </w:r>
            <w:r>
              <w:rPr>
                <w:rFonts w:hint="eastAsia" w:asciiTheme="minorEastAsia" w:hAnsiTheme="minorEastAsia" w:eastAsiaTheme="minorEastAsia" w:cstheme="minorEastAsia"/>
                <w:sz w:val="24"/>
                <w:szCs w:val="24"/>
                <w:highlight w:val="none"/>
              </w:rPr>
              <w:t xml:space="preserve">投标人具有</w:t>
            </w:r>
            <w:r>
              <w:rPr>
                <w:rFonts w:hint="eastAsia" w:asciiTheme="minorEastAsia" w:hAnsiTheme="minorEastAsia" w:eastAsiaTheme="minorEastAsia" w:cstheme="minorEastAsia"/>
                <w:sz w:val="24"/>
                <w:szCs w:val="24"/>
              </w:rPr>
              <w:t xml:space="preserve">CPMM软件项目管理能力等级证书</w:t>
            </w:r>
            <w:r>
              <w:rPr>
                <w:rFonts w:hint="eastAsia" w:asciiTheme="minorEastAsia" w:hAnsiTheme="minorEastAsia" w:eastAsiaTheme="minorEastAsia" w:cstheme="minorEastAsia"/>
                <w:sz w:val="24"/>
                <w:szCs w:val="24"/>
                <w:highlight w:val="none"/>
              </w:rPr>
              <w:t xml:space="preserve">的</w:t>
            </w:r>
            <w:r>
              <w:rPr>
                <w:rFonts w:hint="eastAsia" w:asciiTheme="minorEastAsia" w:hAnsiTheme="minorEastAsia" w:eastAsiaTheme="minorEastAsia" w:cstheme="minorEastAsia"/>
                <w:b/>
                <w:bCs/>
                <w:sz w:val="24"/>
                <w:szCs w:val="24"/>
                <w:highlight w:val="none"/>
              </w:rPr>
              <w:t xml:space="preserve">得</w:t>
            </w:r>
            <w:r>
              <w:rPr>
                <w:rFonts w:hint="eastAsia" w:asciiTheme="minorEastAsia" w:hAnsiTheme="minorEastAsia" w:cstheme="minorEastAsia"/>
                <w:b/>
                <w:bCs/>
                <w:sz w:val="24"/>
                <w:szCs w:val="24"/>
                <w:highlight w:val="none"/>
                <w:lang w:val="en-US" w:eastAsia="zh-CN"/>
              </w:rPr>
              <w:t xml:space="preserve">5</w:t>
            </w:r>
            <w:r>
              <w:rPr>
                <w:rFonts w:hint="eastAsia" w:asciiTheme="minorEastAsia" w:hAnsiTheme="minorEastAsia" w:eastAsiaTheme="minorEastAsia" w:cstheme="minorEastAsia"/>
                <w:b/>
                <w:bCs/>
                <w:sz w:val="24"/>
                <w:szCs w:val="24"/>
                <w:highlight w:val="none"/>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cstheme="minorEastAsia"/>
                <w:sz w:val="24"/>
                <w:szCs w:val="24"/>
                <w:lang w:val="en-US" w:eastAsia="zh-CN" w:bidi="ar-SA"/>
              </w:rPr>
              <w:t xml:space="preserve">4</w:t>
            </w:r>
            <w:r>
              <w:rPr>
                <w:rFonts w:hint="eastAsia" w:asciiTheme="minorEastAsia" w:hAnsiTheme="minorEastAsia" w:eastAsiaTheme="minorEastAsia" w:cstheme="minorEastAsia"/>
                <w:sz w:val="24"/>
                <w:szCs w:val="24"/>
                <w:lang w:val="en-US" w:eastAsia="zh-CN" w:bidi="ar-SA"/>
              </w:rPr>
              <w:t xml:space="preserve">.</w:t>
            </w:r>
            <w:r>
              <w:rPr>
                <w:rFonts w:hint="eastAsia" w:asciiTheme="minorEastAsia" w:hAnsiTheme="minorEastAsia" w:eastAsiaTheme="minorEastAsia" w:cstheme="minorEastAsia"/>
                <w:sz w:val="24"/>
                <w:szCs w:val="24"/>
              </w:rPr>
              <w:t xml:space="preserve">投标人具有CCRC信息安全服务资质(软件安全开发)</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.投标人具有数字化技术应用与创新能力评价（CN-DETS）证</w:t>
            </w:r>
            <w:r>
              <w:rPr>
                <w:rFonts w:hint="eastAsia" w:asciiTheme="minorEastAsia" w:hAnsiTheme="minorEastAsia" w:eastAsiaTheme="minorEastAsia" w:cstheme="minorEastAsia"/>
                <w:sz w:val="24"/>
                <w:szCs w:val="24"/>
                <w:lang w:val="en-US" w:eastAsia="zh-CN"/>
              </w:rPr>
              <w:t xml:space="preserve">书</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jc w:val="both"/>
              <w:keepLines w:val="0"/>
              <w:keepNext w:val="0"/>
              <w:pageBreakBefore w:val="0"/>
              <w:spacing w:line="48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上述1-</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lang w:val="en-US" w:eastAsia="zh-CN"/>
              </w:rPr>
              <w:t xml:space="preserve">项投标文件中提供有效证书扫描件并加盖投标人公章，否则不得分</w:t>
            </w:r>
            <w:r>
              <w:rPr>
                <w:rFonts w:hint="eastAsia" w:asciiTheme="minorEastAsia" w:hAnsiTheme="minorEastAsia" w:eastAsiaTheme="minorEastAsia" w:cstheme="minorEastAsia"/>
                <w:b/>
                <w:bCs/>
                <w:sz w:val="24"/>
                <w:szCs w:val="24"/>
                <w:lang w:eastAsia="zh-CN"/>
              </w:rPr>
              <w:t xml:space="preserve">）</w:t>
            </w:r>
            <w:r/>
          </w:p>
        </w:tc>
      </w:tr>
      <w:tr>
        <w:trPr>
          <w:jc w:val="center"/>
          <w:trHeight w:val="624"/>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项目团队成员</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cstheme="minorEastAsia"/>
                <w:sz w:val="24"/>
                <w:szCs w:val="24"/>
                <w:lang w:val="en-US" w:eastAsia="zh-CN"/>
              </w:rPr>
              <w:t xml:space="preserve">10</w:t>
            </w:r>
            <w:r>
              <w:rPr>
                <w:rFonts w:hint="eastAsia" w:asciiTheme="minorEastAsia" w:hAnsiTheme="minorEastAsia" w:eastAsiaTheme="minorEastAsia" w:cstheme="minorEastAsia"/>
                <w:sz w:val="24"/>
                <w:szCs w:val="24"/>
                <w:lang w:val="en-US" w:eastAsia="zh-CN"/>
              </w:rPr>
              <w:t xml:space="preserve">分）</w:t>
            </w:r>
            <w:r/>
          </w:p>
        </w:tc>
        <w:tc>
          <w:tcPr>
            <w:tcW w:w="6596"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szCs w:val="24"/>
              </w:rPr>
              <w:t xml:space="preserve">拟派项目负责人具备信息系统项目管理师</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、系统架构设计师</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注册信息安全管理人员证书的，每</w:t>
            </w:r>
            <w:r>
              <w:rPr>
                <w:rFonts w:hint="eastAsia" w:asciiTheme="minorEastAsia" w:hAnsiTheme="minorEastAsia" w:eastAsia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一个</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w:t>
            </w:r>
            <w:r>
              <w:rPr>
                <w:rFonts w:hint="eastAsia" w:asciiTheme="minorEastAsia" w:hAnsiTheme="minorEastAsia" w:eastAsiaTheme="minorEastAsia" w:cstheme="minorEastAsia"/>
                <w:b/>
                <w:bCs/>
                <w:sz w:val="24"/>
                <w:szCs w:val="24"/>
                <w:lang w:val="en-US" w:eastAsia="zh-CN"/>
              </w:rPr>
              <w:t xml:space="preserve">高</w:t>
            </w:r>
            <w:r>
              <w:rPr>
                <w:rFonts w:hint="eastAsia" w:asciiTheme="minorEastAsia" w:hAnsiTheme="minorEastAsia" w:eastAsiaTheme="minorEastAsia" w:cstheme="minorEastAsia"/>
                <w:b/>
                <w:bCs/>
                <w:sz w:val="24"/>
                <w:szCs w:val="24"/>
              </w:rPr>
              <w:t xml:space="preserve">得3分。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2.拟派技术负责人具备软件设计师</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、软件测试工程师（高级）</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注册信息安全工程师证书的，每</w:t>
            </w:r>
            <w:r>
              <w:rPr>
                <w:rFonts w:hint="eastAsia" w:asciiTheme="minorEastAsia" w:hAnsiTheme="minorEastAsia" w:eastAsia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一个</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w:t>
            </w:r>
            <w:r>
              <w:rPr>
                <w:rFonts w:hint="eastAsia" w:asciiTheme="minorEastAsia" w:hAnsiTheme="minorEastAsia" w:eastAsiaTheme="minorEastAsia" w:cstheme="minorEastAsia"/>
                <w:b/>
                <w:bCs/>
                <w:sz w:val="24"/>
                <w:szCs w:val="24"/>
                <w:lang w:val="en-US" w:eastAsia="zh-CN"/>
              </w:rPr>
              <w:t xml:space="preserve">高</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3.拟投入项目组人员（项目负责人、技术负责人除外）具有</w:t>
            </w:r>
            <w:r>
              <w:rPr>
                <w:rFonts w:hint="eastAsia" w:asciiTheme="minorEastAsia" w:hAnsiTheme="minorEastAsia" w:eastAsiaTheme="minorEastAsia" w:cstheme="minorEastAsia"/>
                <w:sz w:val="24"/>
                <w:szCs w:val="24"/>
                <w:highlight w:val="none"/>
                <w:lang w:val="en-US" w:eastAsia="zh-CN"/>
              </w:rPr>
              <w:t xml:space="preserve">信息化类</w:t>
            </w:r>
            <w:r>
              <w:rPr>
                <w:rFonts w:hint="eastAsia" w:asciiTheme="minorEastAsia" w:hAnsiTheme="minorEastAsia" w:eastAsiaTheme="minorEastAsia" w:cstheme="minorEastAsia"/>
                <w:sz w:val="24"/>
                <w:szCs w:val="24"/>
                <w:highlight w:val="none"/>
              </w:rPr>
              <w:t xml:space="preserve">中级或以上职称证书</w:t>
            </w:r>
            <w:r>
              <w:rPr>
                <w:rFonts w:hint="eastAsia" w:asciiTheme="minorEastAsia" w:hAnsiTheme="minorEastAsia" w:eastAsia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rPr>
              <w:t xml:space="preserve">ITSS-IT服务工程师证书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信息安全保障人员证书、</w:t>
            </w:r>
            <w:r>
              <w:rPr>
                <w:rFonts w:hint="eastAsia" w:asciiTheme="minorEastAsia" w:hAnsiTheme="minorEastAsia" w:eastAsiaTheme="minorEastAsia" w:cstheme="minorEastAsia"/>
                <w:sz w:val="24"/>
                <w:szCs w:val="24"/>
              </w:rPr>
              <w:t xml:space="preserve">数据库系统工程师证书的，每提供一</w:t>
            </w:r>
            <w:r>
              <w:rPr>
                <w:rFonts w:hint="eastAsia" w:asciiTheme="minorEastAsia" w:hAnsiTheme="minorEastAsia" w:eastAsiaTheme="minorEastAsia" w:cstheme="minorEastAsia"/>
                <w:sz w:val="24"/>
                <w:szCs w:val="24"/>
                <w:lang w:val="en-US"/>
              </w:rPr>
              <w:t xml:space="preserve">类</w:t>
            </w:r>
            <w:r>
              <w:rPr>
                <w:rFonts w:hint="eastAsia" w:asciiTheme="minorEastAsia" w:hAnsiTheme="minorEastAsia" w:eastAsiaTheme="minorEastAsia" w:cstheme="minorEastAsia"/>
                <w:sz w:val="24"/>
                <w:szCs w:val="24"/>
              </w:rPr>
              <w:t xml:space="preserve">证书得</w:t>
            </w:r>
            <w:r>
              <w:rPr>
                <w:rFonts w:hint="eastAsia" w:asciiTheme="minorEastAsia" w:hAnsi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eastAsiaTheme="minorEastAsia" w:cstheme="minorEastAsia"/>
                <w:b/>
                <w:bCs/>
                <w:sz w:val="24"/>
                <w:szCs w:val="24"/>
                <w:lang w:val="en-US" w:eastAsia="zh-CN"/>
              </w:rPr>
              <w:t xml:space="preserve">上述1-3项</w:t>
            </w:r>
            <w:r>
              <w:rPr>
                <w:rFonts w:hint="eastAsia" w:asciiTheme="minorEastAsia" w:hAnsiTheme="minorEastAsia" w:eastAsiaTheme="minorEastAsia" w:cstheme="minorEastAsia"/>
                <w:b/>
                <w:bCs/>
                <w:sz w:val="24"/>
                <w:szCs w:val="24"/>
              </w:rPr>
              <w:t xml:space="preserve">投标文件中提供有效相关证书扫描件及202</w:t>
            </w:r>
            <w:r>
              <w:rPr>
                <w:rFonts w:hint="eastAsia" w:asciiTheme="minorEastAsia" w:hAnsi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年</w:t>
            </w: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月（含）以来任意1个月由投标人为其缴纳的社保证明材料，并加盖投标人公章，否则不得分</w:t>
            </w:r>
            <w:r>
              <w:rPr>
                <w:rFonts w:hint="eastAsia" w:asciiTheme="minorEastAsia" w:hAnsiTheme="minorEastAsia" w:cstheme="minorEastAsia"/>
                <w:b/>
                <w:bCs/>
                <w:sz w:val="24"/>
                <w:szCs w:val="24"/>
                <w:lang w:eastAsia="zh-CN"/>
              </w:rPr>
              <w:t xml:space="preserve">。项目组人员</w:t>
            </w:r>
            <w:r>
              <w:rPr>
                <w:rFonts w:hint="eastAsia" w:asciiTheme="minorEastAsia" w:hAnsiTheme="minorEastAsia" w:eastAsiaTheme="minorEastAsia" w:cstheme="minorEastAsia"/>
                <w:b/>
                <w:bCs/>
                <w:sz w:val="24"/>
                <w:szCs w:val="24"/>
              </w:rPr>
              <w:t xml:space="preserve">一人多证不重复得分）</w:t>
            </w:r>
            <w:r/>
          </w:p>
        </w:tc>
      </w:tr>
      <w:tr>
        <w:trPr>
          <w:jc w:val="center"/>
          <w:trHeight w:val="624"/>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服务能力</w:t>
            </w:r>
            <w:r/>
          </w:p>
          <w:p>
            <w:pPr>
              <w:jc w:val="center"/>
              <w:keepLines w:val="0"/>
              <w:keepNext w:val="0"/>
              <w:pageBreakBefore w:val="0"/>
              <w:spacing w:line="480" w:lineRule="exact"/>
              <w:widowControl w:val="off"/>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（4分）</w:t>
            </w:r>
            <w:r/>
          </w:p>
        </w:tc>
        <w:tc>
          <w:tcPr>
            <w:tcW w:w="6596"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投标人</w:t>
            </w:r>
            <w:r>
              <w:rPr>
                <w:rFonts w:hint="eastAsia" w:asciiTheme="minorEastAsia" w:hAnsiTheme="minorEastAsia" w:eastAsiaTheme="minorEastAsia" w:cstheme="minorEastAsia"/>
                <w:sz w:val="24"/>
                <w:szCs w:val="24"/>
              </w:rPr>
              <w:t xml:space="preserve">具有</w:t>
            </w:r>
            <w:r>
              <w:rPr>
                <w:rFonts w:hint="eastAsia" w:asciiTheme="minorEastAsia" w:hAnsiTheme="minorEastAsia" w:cstheme="minorEastAsia"/>
                <w:sz w:val="24"/>
                <w:szCs w:val="24"/>
                <w:lang w:val="en-US" w:eastAsia="zh-CN"/>
              </w:rPr>
              <w:t xml:space="preserve">三重一大、财务管理、考核评估、数据治理</w:t>
            </w:r>
            <w:r>
              <w:rPr>
                <w:rFonts w:hint="eastAsia" w:asciiTheme="minorEastAsia" w:hAnsiTheme="minorEastAsia" w:eastAsiaTheme="minorEastAsia" w:cstheme="minorEastAsia"/>
                <w:sz w:val="24"/>
                <w:szCs w:val="24"/>
              </w:rPr>
              <w:t xml:space="preserve">类相关</w:t>
            </w:r>
            <w:r>
              <w:rPr>
                <w:rFonts w:hint="eastAsia" w:asciiTheme="minorEastAsia" w:hAnsiTheme="minorEastAsia" w:cstheme="minorEastAsia"/>
                <w:sz w:val="24"/>
                <w:szCs w:val="24"/>
                <w:lang w:val="en-US" w:eastAsia="zh-CN"/>
              </w:rPr>
              <w:t xml:space="preserve">软件</w:t>
            </w:r>
            <w:r>
              <w:rPr>
                <w:rFonts w:hint="eastAsia" w:asciiTheme="minorEastAsia" w:hAnsiTheme="minorEastAsia" w:eastAsiaTheme="minorEastAsia" w:cstheme="minorEastAsia"/>
                <w:sz w:val="24"/>
                <w:szCs w:val="24"/>
              </w:rPr>
              <w:t xml:space="preserve">著作权</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的，</w:t>
            </w:r>
            <w:r>
              <w:rPr>
                <w:rFonts w:hint="eastAsia" w:asciiTheme="minorEastAsia" w:hAnsiTheme="minorEastAsia" w:cstheme="minorEastAsia"/>
                <w:sz w:val="24"/>
                <w:szCs w:val="24"/>
                <w:lang w:val="en-US" w:eastAsia="zh-CN"/>
              </w:rPr>
              <w:t xml:space="preserve">每提供</w:t>
            </w:r>
            <w:r>
              <w:rPr>
                <w:rFonts w:hint="eastAsia" w:asciiTheme="minorEastAsia" w:hAnsiTheme="minorEastAsia" w:eastAsiaTheme="minorEastAsia" w:cstheme="minorEastAsia"/>
                <w:sz w:val="24"/>
                <w:szCs w:val="24"/>
              </w:rPr>
              <w:t xml:space="preserve">一类</w:t>
            </w:r>
            <w:r>
              <w:rPr>
                <w:rFonts w:hint="eastAsia" w:asciiTheme="minorEastAsia" w:hAnsiTheme="minorEastAsia" w:cstheme="minorEastAsia"/>
                <w:sz w:val="24"/>
                <w:szCs w:val="24"/>
                <w:lang w:val="en-US" w:eastAsia="zh-CN"/>
              </w:rPr>
              <w:t xml:space="preserve">相关证书的</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最高得4分</w:t>
            </w:r>
            <w:r>
              <w:rPr>
                <w:rFonts w:hint="eastAsia" w:asciiTheme="minorEastAsia" w:hAnsi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投标文件中提供相关软件著作权证书扫描件并加盖投标人公章。</w:t>
            </w:r>
            <w:r>
              <w:rPr>
                <w:rFonts w:hint="eastAsia" w:asciiTheme="minorEastAsia" w:hAnsiTheme="minorEastAsia" w:eastAsiaTheme="minorEastAsia" w:cstheme="minorEastAsia"/>
                <w:b/>
                <w:bCs/>
                <w:sz w:val="24"/>
                <w:szCs w:val="24"/>
              </w:rPr>
              <w:t xml:space="preserve">类别名称不完全一致的由</w:t>
            </w:r>
            <w:r>
              <w:rPr>
                <w:rFonts w:hint="eastAsia" w:asciiTheme="minorEastAsia" w:hAnsiTheme="minorEastAsia" w:cstheme="minorEastAsia"/>
                <w:b/>
                <w:bCs/>
                <w:sz w:val="24"/>
                <w:szCs w:val="24"/>
                <w:lang w:val="en-US" w:eastAsia="zh-CN"/>
              </w:rPr>
              <w:t xml:space="preserve">评委会</w:t>
            </w:r>
            <w:r>
              <w:rPr>
                <w:rFonts w:hint="eastAsia" w:asciiTheme="minorEastAsia" w:hAnsiTheme="minorEastAsia" w:eastAsiaTheme="minorEastAsia" w:cstheme="minorEastAsia"/>
                <w:b/>
                <w:bCs/>
                <w:sz w:val="24"/>
                <w:szCs w:val="24"/>
              </w:rPr>
              <w:t xml:space="preserve">小组统一认定后</w:t>
            </w:r>
            <w:r>
              <w:rPr>
                <w:rFonts w:hint="eastAsia" w:asciiTheme="minorEastAsia" w:hAnsiTheme="minorEastAsia" w:cstheme="minorEastAsia"/>
                <w:b/>
                <w:bCs/>
                <w:sz w:val="24"/>
                <w:szCs w:val="24"/>
                <w:lang w:val="en-US" w:eastAsia="zh-CN"/>
              </w:rPr>
              <w:t xml:space="preserve">给予得分</w:t>
            </w:r>
            <w:r>
              <w:rPr>
                <w:rFonts w:hint="eastAsia" w:asciiTheme="minorEastAsia" w:hAnsiTheme="minorEastAsia" w:cstheme="minorEastAsia"/>
                <w:b/>
                <w:bCs/>
                <w:sz w:val="24"/>
                <w:szCs w:val="24"/>
                <w:lang w:eastAsia="zh-CN"/>
              </w:rPr>
              <w:t xml:space="preserve">）</w:t>
            </w:r>
            <w:r/>
          </w:p>
        </w:tc>
      </w:tr>
      <w:tr>
        <w:trPr>
          <w:jc w:val="center"/>
          <w:trHeight w:val="624"/>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业绩</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W w:w="6596"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val="en-US" w:eastAsia="zh-CN"/>
              </w:rPr>
              <w:t xml:space="preserve">自</w:t>
            </w:r>
            <w:r>
              <w:rPr>
                <w:rFonts w:hint="eastAsia" w:asciiTheme="minorEastAsia" w:hAnsiTheme="minorEastAsia" w:eastAsiaTheme="minorEastAsia" w:cstheme="minorEastAsia"/>
                <w:sz w:val="24"/>
                <w:szCs w:val="24"/>
              </w:rPr>
              <w:t xml:space="preserve">2023年1月1日至今</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lang w:val="en-US" w:eastAsia="zh-CN"/>
              </w:rPr>
              <w:t xml:space="preserve">具有软件开发类似项目</w:t>
            </w:r>
            <w:r>
              <w:rPr>
                <w:rFonts w:hint="eastAsia" w:asciiTheme="minorEastAsia" w:hAnsiTheme="minorEastAsia" w:eastAsiaTheme="minorEastAsia" w:cstheme="minorEastAsia"/>
                <w:sz w:val="24"/>
                <w:szCs w:val="24"/>
              </w:rPr>
              <w:t xml:space="preserve">业绩</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，每提供</w:t>
            </w:r>
            <w:r>
              <w:rPr>
                <w:rFonts w:hint="eastAsia" w:asciiTheme="minorEastAsia" w:hAnsiTheme="minorEastAsia" w:eastAsiaTheme="minorEastAsia" w:cstheme="minorEastAsia"/>
                <w:sz w:val="24"/>
                <w:szCs w:val="24"/>
                <w:lang w:val="en-US" w:eastAsia="zh-CN"/>
              </w:rPr>
              <w:t xml:space="preserve">一个</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(投标文件中</w:t>
            </w:r>
            <w:r>
              <w:rPr>
                <w:rFonts w:hint="eastAsia" w:asciiTheme="minorEastAsia" w:hAnsiTheme="minorEastAsia" w:eastAsiaTheme="minorEastAsia" w:cstheme="minorEastAsia"/>
                <w:b/>
                <w:bCs/>
                <w:sz w:val="24"/>
                <w:szCs w:val="24"/>
                <w:lang w:val="en-US" w:eastAsia="zh-CN"/>
              </w:rPr>
              <w:t xml:space="preserve">提供合同扫描件并加盖投标人公章，否则不得分。</w:t>
            </w:r>
            <w:r>
              <w:rPr>
                <w:rFonts w:hint="eastAsia" w:asciiTheme="minorEastAsia" w:hAnsiTheme="minorEastAsia" w:eastAsiaTheme="minorEastAsia" w:cstheme="minorEastAsia"/>
                <w:b/>
                <w:bCs/>
                <w:sz w:val="24"/>
                <w:szCs w:val="24"/>
              </w:rPr>
              <w:t xml:space="preserve">合同</w:t>
            </w:r>
            <w:r>
              <w:rPr>
                <w:rFonts w:hint="eastAsia" w:asciiTheme="minorEastAsia" w:hAnsiTheme="minorEastAsia" w:eastAsiaTheme="minorEastAsia" w:cstheme="minorEastAsia"/>
                <w:b/>
                <w:bCs/>
                <w:sz w:val="24"/>
                <w:szCs w:val="24"/>
                <w:lang w:val="en-US" w:eastAsia="zh-CN"/>
              </w:rPr>
              <w:t xml:space="preserve">至少</w:t>
            </w:r>
            <w:r>
              <w:rPr>
                <w:rFonts w:hint="eastAsia" w:asciiTheme="minorEastAsia" w:hAnsiTheme="minorEastAsia" w:eastAsiaTheme="minorEastAsia" w:cstheme="minorEastAsia"/>
                <w:b/>
                <w:bCs/>
                <w:sz w:val="24"/>
                <w:szCs w:val="24"/>
              </w:rPr>
              <w:t xml:space="preserve">包括签订日期、签字盖章页及能体现采购内容的关键页</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时间以合同签订日期为准</w:t>
            </w: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lang w:val="en-US" w:eastAsia="zh-CN"/>
              </w:rPr>
              <w:t xml:space="preserve">合同内容经评审委员会一致认定</w:t>
            </w:r>
            <w:r>
              <w:rPr>
                <w:rFonts w:hint="eastAsia" w:asciiTheme="minorEastAsia" w:hAnsiTheme="minorEastAsia" w:eastAsiaTheme="minorEastAsia" w:cstheme="minorEastAsia"/>
                <w:b/>
                <w:bCs/>
                <w:sz w:val="24"/>
                <w:szCs w:val="24"/>
              </w:rPr>
              <w:t xml:space="preserve">)</w:t>
            </w:r>
            <w:r/>
          </w:p>
        </w:tc>
      </w:tr>
    </w:tbl>
    <w:p>
      <w:pPr>
        <w:jc w:val="left"/>
        <w:keepLines w:val="0"/>
        <w:keepNext w:val="0"/>
        <w:pageBreakBefore w:val="0"/>
        <w:spacing w:line="480" w:lineRule="exact"/>
        <w:widowControl w:val="off"/>
        <w:rPr>
          <w:rFonts w:hint="eastAsia" w:ascii="宋体" w:hAnsi="宋体" w:cs="Calibri"/>
          <w:b/>
          <w:color w:val="000000"/>
          <w:sz w:val="21"/>
          <w:szCs w:val="21"/>
          <w:lang w:val="en-US" w:eastAsia="zh-CN"/>
        </w:rPr>
      </w:pPr>
      <w:r>
        <w:rPr>
          <w:rFonts w:hint="eastAsia" w:asciiTheme="minorEastAsia" w:hAnsiTheme="minorEastAsia" w:eastAsiaTheme="minorEastAsia" w:cstheme="minorEastAsia"/>
          <w:b/>
          <w:bCs/>
          <w:sz w:val="24"/>
          <w:szCs w:val="24"/>
          <w:lang w:val="en-US" w:eastAsia="zh-CN"/>
        </w:rPr>
        <w:t xml:space="preserve">（注：</w:t>
      </w:r>
      <w:r>
        <w:rPr>
          <w:rFonts w:hint="eastAsia" w:asciiTheme="minorEastAsia" w:hAnsiTheme="minorEastAsia" w:eastAsiaTheme="minorEastAsia" w:cstheme="minorEastAsia"/>
          <w:b/>
          <w:bCs/>
          <w:sz w:val="24"/>
          <w:szCs w:val="24"/>
        </w:rPr>
        <w:t xml:space="preserve">联合体参与投标的，招标文件中要求投标人具有相关认证，业绩，人员等，联合体成员中任意一方具有并提供即为满足评审要求，要求加盖投标人公章的加盖牵头人公章即可</w:t>
      </w:r>
      <w:r>
        <w:rPr>
          <w:rFonts w:hint="eastAsia" w:asciiTheme="minorEastAsia" w:hAnsiTheme="minorEastAsia" w:eastAsiaTheme="minorEastAsia" w:cstheme="minorEastAsia"/>
          <w:b/>
          <w:bCs/>
          <w:sz w:val="24"/>
          <w:szCs w:val="24"/>
          <w:lang w:eastAsia="zh-CN"/>
        </w:rPr>
        <w:t xml:space="preserve">）</w:t>
      </w:r>
      <w:r/>
    </w:p>
    <w:p>
      <w:pPr>
        <w:ind w:firstLine="482"/>
        <w:jc w:val="left"/>
        <w:spacing w:line="360" w:lineRule="auto"/>
        <w:rPr>
          <w:rFonts w:hint="eastAsia" w:asciiTheme="minorEastAsia" w:hAnsiTheme="minorEastAsia" w:eastAsiaTheme="minorEastAsia" w:cstheme="minorEastAsia"/>
          <w:b/>
          <w:sz w:val="24"/>
          <w:szCs w:val="24"/>
          <w:highlight w:val="none"/>
          <w:lang w:eastAsia="zh-CN"/>
        </w:rPr>
      </w:pPr>
      <w:r>
        <w:rPr>
          <w:rFonts w:hint="eastAsia" w:asciiTheme="minorEastAsia" w:hAnsiTheme="minorEastAsia" w:eastAsiaTheme="minorEastAsia" w:cstheme="minorEastAsia"/>
          <w:b/>
          <w:sz w:val="24"/>
          <w:szCs w:val="24"/>
          <w:lang w:val="en-US" w:eastAsia="zh-CN"/>
        </w:rPr>
        <w:t xml:space="preserve">3.技术</w:t>
      </w:r>
      <w:r>
        <w:rPr>
          <w:rFonts w:hint="eastAsia" w:asciiTheme="minorEastAsia" w:hAnsiTheme="minorEastAsia" w:eastAsiaTheme="minorEastAsia" w:cstheme="minorEastAsia"/>
          <w:b/>
          <w:sz w:val="24"/>
          <w:szCs w:val="24"/>
        </w:rPr>
        <w:t xml:space="preserve">分（</w:t>
      </w:r>
      <w:r>
        <w:rPr>
          <w:rFonts w:hint="eastAsia" w:asciiTheme="minorEastAsia" w:hAnsiTheme="minorEastAsia" w:cstheme="minorEastAsia"/>
          <w:b/>
          <w:sz w:val="24"/>
          <w:szCs w:val="24"/>
          <w:lang w:val="en-US" w:eastAsia="zh-CN"/>
        </w:rPr>
        <w:t xml:space="preserve">40</w:t>
      </w:r>
      <w:r>
        <w:rPr>
          <w:rFonts w:hint="eastAsia" w:asciiTheme="minorEastAsia" w:hAnsiTheme="minorEastAsia" w:eastAsiaTheme="minorEastAsia" w:cstheme="minorEastAsia"/>
          <w:b/>
          <w:sz w:val="24"/>
          <w:szCs w:val="24"/>
        </w:rPr>
        <w:t xml:space="preserve">分）</w:t>
      </w:r>
      <w:r>
        <w:rPr>
          <w:rFonts w:hint="eastAsia" w:asciiTheme="minorEastAsia" w:hAnsiTheme="minorEastAsia" w:eastAsiaTheme="minorEastAsia" w:cstheme="minorEastAsia"/>
          <w:b/>
          <w:sz w:val="24"/>
          <w:szCs w:val="24"/>
          <w:highlight w:val="none"/>
          <w:lang w:eastAsia="zh-CN"/>
        </w:rPr>
        <w:t xml:space="preserve">（</w:t>
      </w:r>
      <w:r>
        <w:rPr>
          <w:rFonts w:hint="eastAsia" w:asciiTheme="minorEastAsia" w:hAnsiTheme="minorEastAsia" w:eastAsiaTheme="minorEastAsia" w:cstheme="minorEastAsia"/>
          <w:b/>
          <w:sz w:val="24"/>
          <w:szCs w:val="24"/>
          <w:highlight w:val="none"/>
          <w:lang w:val="en-US" w:eastAsia="zh-CN"/>
        </w:rPr>
        <w:t xml:space="preserve">本部分</w:t>
      </w:r>
      <w:r>
        <w:rPr>
          <w:rFonts w:hint="eastAsia" w:asciiTheme="minorEastAsia" w:hAnsiTheme="minorEastAsia" w:eastAsiaTheme="minorEastAsia" w:cstheme="minorEastAsia"/>
          <w:b/>
          <w:color w:val="000000"/>
          <w:sz w:val="24"/>
          <w:szCs w:val="24"/>
          <w:highlight w:val="none"/>
        </w:rPr>
        <w:t xml:space="preserve">采用暗标方式进行评审</w:t>
      </w:r>
      <w:r>
        <w:rPr>
          <w:rFonts w:hint="eastAsia" w:asciiTheme="minorEastAsia" w:hAnsiTheme="minorEastAsia" w:eastAsiaTheme="minorEastAsia" w:cstheme="minorEastAsia"/>
          <w:b/>
          <w:color w:val="000000"/>
          <w:sz w:val="24"/>
          <w:szCs w:val="24"/>
          <w:highlight w:val="none"/>
          <w:lang w:eastAsia="zh-CN"/>
        </w:rPr>
        <w:t xml:space="preserve">）</w:t>
      </w:r>
      <w:r/>
    </w:p>
    <w:tbl>
      <w:tblPr>
        <w:tblStyle w:val="645"/>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101"/>
        <w:gridCol w:w="6409"/>
      </w:tblGrid>
      <w:tr>
        <w:trPr>
          <w:jc w:val="center"/>
          <w:trHeight w:val="621"/>
        </w:trPr>
        <w:tc>
          <w:tcPr>
            <w:tcW w:w="182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评审因素</w:t>
            </w:r>
            <w:r/>
          </w:p>
        </w:tc>
        <w:tc>
          <w:tcPr>
            <w:gridSpan w:val="2"/>
            <w:tcW w:w="651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整体</w:t>
            </w:r>
            <w:r>
              <w:rPr>
                <w:rFonts w:hint="eastAsia" w:asciiTheme="minorEastAsia" w:hAnsiTheme="minorEastAsia" w:eastAsiaTheme="minorEastAsia" w:cstheme="minorEastAsia"/>
                <w:sz w:val="24"/>
                <w:szCs w:val="24"/>
              </w:rPr>
              <w:t xml:space="preserve">建设方案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gridSpan w:val="2"/>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投标人结合项目需求提供项目建设方案。方案包含</w:t>
            </w:r>
            <w:r>
              <w:rPr>
                <w:rFonts w:hint="eastAsia" w:asciiTheme="minorEastAsia" w:hAnsiTheme="minorEastAsia" w:eastAsiaTheme="minorEastAsia" w:cstheme="minorEastAsia"/>
                <w:sz w:val="24"/>
                <w:szCs w:val="24"/>
              </w:rPr>
              <w:t xml:space="preserve">但不限于项目基本概述、建设任务、对本项目的理解、</w:t>
            </w:r>
            <w:r>
              <w:rPr>
                <w:rFonts w:hint="eastAsia" w:asciiTheme="minorEastAsia" w:hAnsiTheme="minorEastAsia" w:cstheme="minorEastAsia"/>
                <w:sz w:val="24"/>
                <w:szCs w:val="24"/>
                <w:lang w:val="en-US" w:eastAsia="zh-CN"/>
              </w:rPr>
              <w:t xml:space="preserve">各模块的建设内容</w:t>
            </w:r>
            <w:r>
              <w:rPr>
                <w:rFonts w:hint="eastAsia" w:asciiTheme="minorEastAsia" w:hAnsiTheme="minorEastAsia" w:eastAsiaTheme="minorEastAsia" w:cstheme="minorEastAsia"/>
                <w:sz w:val="24"/>
                <w:szCs w:val="24"/>
              </w:rPr>
              <w:t xml:space="preserve">等。</w:t>
            </w:r>
            <w:r>
              <w:rPr>
                <w:rFonts w:hint="eastAsia" w:asciiTheme="minorEastAsia" w:hAnsiTheme="minorEastAsia" w:eastAsiaTheme="minorEastAsia" w:cstheme="minorEastAsia"/>
                <w:sz w:val="24"/>
                <w:szCs w:val="24"/>
                <w:lang w:val="en-US" w:eastAsia="zh-CN"/>
              </w:rPr>
              <w:t xml:space="preserve">评委</w:t>
            </w:r>
            <w:r>
              <w:rPr>
                <w:rFonts w:hint="eastAsia" w:asciiTheme="minorEastAsia" w:hAnsiTheme="minorEastAsia" w:eastAsiaTheme="minorEastAsia" w:cstheme="minorEastAsia"/>
                <w:sz w:val="24"/>
                <w:szCs w:val="24"/>
              </w:rPr>
              <w:t xml:space="preserve">对项目整体建设方案内容的合理性、安全性、完整性和可行性综合评价</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功能</w:t>
            </w:r>
            <w:r>
              <w:rPr>
                <w:rFonts w:hint="eastAsia" w:asciiTheme="minorEastAsia" w:hAnsiTheme="minorEastAsia" w:eastAsiaTheme="minorEastAsia" w:cstheme="minorEastAsia"/>
                <w:sz w:val="24"/>
                <w:szCs w:val="24"/>
                <w:lang w:val="en-US" w:eastAsia="zh-CN"/>
              </w:rPr>
              <w:t xml:space="preserve">指标</w:t>
            </w:r>
            <w:r>
              <w:rPr>
                <w:rFonts w:hint="eastAsia" w:asciiTheme="minorEastAsia" w:hAnsiTheme="minorEastAsia" w:eastAsiaTheme="minorEastAsia" w:cstheme="minorEastAsia"/>
                <w:sz w:val="24"/>
                <w:szCs w:val="24"/>
              </w:rPr>
              <w:t xml:space="preserve">是否满足招标文件要求</w:t>
            </w:r>
            <w:r>
              <w:rPr>
                <w:rFonts w:hint="eastAsia" w:asciiTheme="minorEastAsia" w:hAnsiTheme="minorEastAsia" w:eastAsiaTheme="minorEastAsia" w:cstheme="minorEastAsia"/>
                <w:sz w:val="24"/>
                <w:szCs w:val="24"/>
                <w:lang w:val="en-US" w:eastAsia="zh-CN"/>
              </w:rPr>
              <w:t xml:space="preserve">等情况</w:t>
            </w:r>
            <w:r>
              <w:rPr>
                <w:rFonts w:hint="eastAsia" w:asciiTheme="minorEastAsia" w:hAnsiTheme="minorEastAsia" w:eastAsiaTheme="minorEastAsia" w:cstheme="minorEastAsia"/>
                <w:sz w:val="24"/>
                <w:szCs w:val="24"/>
              </w:rPr>
              <w:t xml:space="preserve">进行综合评定</w:t>
            </w:r>
            <w:r>
              <w:rPr>
                <w:rFonts w:hint="eastAsia" w:asciiTheme="minorEastAsia" w:hAnsiTheme="minorEastAsia" w:eastAsiaTheme="minorEastAsia" w:cstheme="minorEastAsia"/>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建设内容全面详细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阐述清晰，措施完善，</w:t>
            </w:r>
            <w:r>
              <w:rPr>
                <w:rFonts w:hint="eastAsia" w:asciiTheme="minorEastAsia" w:hAnsiTheme="minorEastAsia" w:eastAsiaTheme="minorEastAsia" w:cstheme="minorEastAsia"/>
                <w:sz w:val="24"/>
                <w:szCs w:val="24"/>
              </w:rPr>
              <w:t xml:space="preserve">针对性、可操作性强，完全满足项目要求的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全面详细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阐述较清晰，措施较完善，</w:t>
            </w:r>
            <w:r>
              <w:rPr>
                <w:rFonts w:hint="eastAsia" w:asciiTheme="minorEastAsia" w:hAnsiTheme="minorEastAsia" w:eastAsiaTheme="minorEastAsia" w:cstheme="minorEastAsia"/>
                <w:sz w:val="24"/>
                <w:szCs w:val="24"/>
              </w:rPr>
              <w:t xml:space="preserve">针对性、可操作性</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强，</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eastAsiaTheme="minorEastAsia" w:cstheme="minorEastAsia"/>
                <w:sz w:val="24"/>
                <w:szCs w:val="24"/>
                <w:lang w:val="en-US" w:eastAsia="zh-CN"/>
              </w:rPr>
              <w:t xml:space="preserve">有缺项，内容简单粗糙，</w:t>
            </w:r>
            <w:r>
              <w:rPr>
                <w:rFonts w:hint="eastAsia" w:asciiTheme="minorEastAsia" w:hAnsiTheme="minorEastAsia" w:eastAsiaTheme="minorEastAsia" w:cstheme="minorEastAsia"/>
                <w:sz w:val="24"/>
                <w:szCs w:val="24"/>
              </w:rPr>
              <w:t xml:space="preserve">针对性、可操作</w:t>
            </w:r>
            <w:r>
              <w:rPr>
                <w:rFonts w:hint="eastAsia" w:asciiTheme="minorEastAsia" w:hAnsiTheme="minorEastAsia" w:eastAsiaTheme="minorEastAsia" w:cstheme="minorEastAsia"/>
                <w:sz w:val="24"/>
                <w:szCs w:val="24"/>
                <w:lang w:val="en-US" w:eastAsia="zh-CN"/>
              </w:rPr>
              <w:t xml:space="preserve">性不强</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与</w:t>
            </w:r>
            <w:r>
              <w:rPr>
                <w:rFonts w:hint="eastAsia" w:asciiTheme="minorEastAsia" w:hAnsiTheme="minorEastAsia" w:eastAsiaTheme="minorEastAsia" w:cstheme="minorEastAsia"/>
                <w:sz w:val="24"/>
                <w:szCs w:val="24"/>
              </w:rPr>
              <w:t xml:space="preserve">项目要求</w:t>
            </w:r>
            <w:r>
              <w:rPr>
                <w:rFonts w:hint="eastAsia" w:asciiTheme="minorEastAsia" w:hAnsiTheme="minorEastAsia" w:eastAsiaTheme="minorEastAsia" w:cstheme="minorEastAsia"/>
                <w:sz w:val="24"/>
                <w:szCs w:val="24"/>
                <w:lang w:val="en-US" w:eastAsia="zh-CN"/>
              </w:rPr>
              <w:t xml:space="preserve">存在偏差</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b/>
                <w:bCs/>
                <w:sz w:val="24"/>
                <w:szCs w:val="24"/>
                <w:lang w:eastAsia="zh-CN"/>
              </w:rPr>
              <w:t xml:space="preserve">；</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项目实施方案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gridSpan w:val="2"/>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投标人结合项目需求提供项目实施方案，</w:t>
            </w:r>
            <w:r>
              <w:rPr>
                <w:rFonts w:hint="eastAsia" w:asciiTheme="minorEastAsia" w:hAnsiTheme="minorEastAsia" w:eastAsiaTheme="minorEastAsia" w:cstheme="minorEastAsia"/>
                <w:sz w:val="24"/>
                <w:szCs w:val="24"/>
                <w:lang w:val="en-US" w:eastAsia="zh-CN"/>
              </w:rPr>
              <w:t xml:space="preserve">方案包含但不限于</w:t>
            </w:r>
            <w:r>
              <w:rPr>
                <w:rFonts w:hint="eastAsia" w:asciiTheme="minorEastAsia" w:hAnsiTheme="minorEastAsia" w:eastAsiaTheme="minorEastAsia" w:cstheme="minorEastAsia"/>
                <w:sz w:val="24"/>
                <w:szCs w:val="24"/>
              </w:rPr>
              <w:t xml:space="preserve">项目实施组织机构</w:t>
            </w:r>
            <w:r>
              <w:rPr>
                <w:rFonts w:hint="eastAsia" w:asciiTheme="minorEastAsia" w:hAnsiTheme="minorEastAsia" w:eastAsiaTheme="minorEastAsia" w:cstheme="minorEastAsia"/>
                <w:sz w:val="24"/>
                <w:szCs w:val="24"/>
                <w:lang w:val="en-US" w:eastAsia="zh-CN"/>
              </w:rPr>
              <w:t xml:space="preserve">是否健全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项目管理措施完善</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规范</w:t>
            </w:r>
            <w:r>
              <w:rPr>
                <w:rFonts w:hint="eastAsia" w:asciiTheme="minorEastAsia" w:hAnsiTheme="minorEastAsia" w:eastAsiaTheme="minorEastAsia" w:cstheme="minorEastAsia"/>
                <w:sz w:val="24"/>
                <w:szCs w:val="24"/>
                <w:lang w:val="en-US" w:eastAsia="zh-CN"/>
              </w:rPr>
              <w:t xml:space="preserve">性</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是否</w:t>
            </w:r>
            <w:r>
              <w:rPr>
                <w:rFonts w:hint="eastAsia" w:asciiTheme="minorEastAsia" w:hAnsiTheme="minorEastAsia" w:eastAsiaTheme="minorEastAsia" w:cstheme="minorEastAsia"/>
                <w:sz w:val="24"/>
                <w:szCs w:val="24"/>
              </w:rPr>
              <w:t xml:space="preserve">能有效地保障总体项目衔接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部署与调试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实施计划</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分工</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协调措施</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进度内容</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实施风险应对措施</w:t>
            </w:r>
            <w:r>
              <w:rPr>
                <w:rFonts w:hint="eastAsia" w:asciiTheme="minorEastAsia" w:hAnsiTheme="minorEastAsia" w:eastAsiaTheme="minorEastAsia" w:cstheme="minorEastAsia"/>
                <w:sz w:val="24"/>
                <w:szCs w:val="24"/>
                <w:lang w:val="en-US" w:eastAsia="zh-CN"/>
              </w:rPr>
              <w:t xml:space="preserve">等。</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方案包含上述全部内容，实施流程清晰，组织方案内容全面详细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针对性、可操作性强，完全满足项目要求的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方案</w:t>
            </w:r>
            <w:r>
              <w:rPr>
                <w:rFonts w:hint="eastAsia" w:asciiTheme="minorEastAsia" w:hAnsiTheme="minorEastAsia" w:eastAsiaTheme="minorEastAsia" w:cstheme="minorEastAsia"/>
                <w:sz w:val="24"/>
                <w:szCs w:val="24"/>
                <w:lang w:val="en-US" w:eastAsia="zh-CN"/>
              </w:rPr>
              <w:t xml:space="preserve">基本</w:t>
            </w:r>
            <w:r>
              <w:rPr>
                <w:rFonts w:hint="eastAsia" w:asciiTheme="minorEastAsia" w:hAnsiTheme="minorEastAsia" w:eastAsiaTheme="minorEastAsia" w:cstheme="minorEastAsia"/>
                <w:sz w:val="24"/>
                <w:szCs w:val="24"/>
              </w:rPr>
              <w:t xml:space="preserve">包含上述全部内容，流程较清晰，组织方案内容较为详细，针对性、可操作性较强，</w:t>
            </w:r>
            <w:r>
              <w:rPr>
                <w:rFonts w:hint="eastAsia" w:asciiTheme="minorEastAsia" w:hAnsiTheme="minorEastAsia" w:eastAsia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上述内容有缺项，内容合理性一般，措施简单粗糙，可操作性不强，基本能够满足本项目需求的</w:t>
            </w:r>
            <w:r>
              <w:rPr>
                <w:rFonts w:hint="eastAsia" w:asciiTheme="minorEastAsia" w:hAnsiTheme="minorEastAsia" w:eastAsiaTheme="minorEastAsia" w:cstheme="minorEastAsia"/>
                <w:b/>
                <w:sz w:val="24"/>
                <w:szCs w:val="24"/>
              </w:rPr>
              <w:t xml:space="preserve">得</w:t>
            </w:r>
            <w:r>
              <w:rPr>
                <w:rFonts w:hint="eastAsia" w:asciiTheme="minorEastAsia" w:hAnsiTheme="minorEastAsia" w:cstheme="minorEastAsia"/>
                <w:b/>
                <w:sz w:val="24"/>
                <w:szCs w:val="24"/>
                <w:lang w:val="en-US" w:eastAsia="zh-CN"/>
              </w:rPr>
              <w:t xml:space="preserve">2</w:t>
            </w:r>
            <w:r>
              <w:rPr>
                <w:rFonts w:hint="eastAsia" w:asciiTheme="minorEastAsia" w:hAnsiTheme="minorEastAsia" w:eastAsiaTheme="minorEastAsia" w:cstheme="minorEastAsia"/>
                <w:b/>
                <w:sz w:val="24"/>
                <w:szCs w:val="24"/>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gridSpan w:val="2"/>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投标人结合项目需求提供项目</w:t>
            </w:r>
            <w:r>
              <w:rPr>
                <w:rFonts w:hint="eastAsia" w:asciiTheme="minorEastAsia" w:hAnsiTheme="minorEastAsia" w:eastAsiaTheme="minorEastAsia" w:cstheme="minorEastAsia"/>
                <w:sz w:val="24"/>
                <w:szCs w:val="24"/>
                <w:lang w:val="en-US" w:eastAsia="zh-CN"/>
              </w:rPr>
              <w:t xml:space="preserve">售后服务</w:t>
            </w:r>
            <w:r>
              <w:rPr>
                <w:rFonts w:hint="eastAsia" w:asciiTheme="minorEastAsia" w:hAnsiTheme="minorEastAsia" w:eastAsiaTheme="minorEastAsia" w:cstheme="minorEastAsia"/>
                <w:sz w:val="24"/>
                <w:szCs w:val="24"/>
              </w:rPr>
              <w:t xml:space="preserve">方案，包括但不限于详细的售后服务内容、</w:t>
            </w:r>
            <w:r>
              <w:rPr>
                <w:rFonts w:hint="eastAsia" w:asciiTheme="minorEastAsia" w:hAnsiTheme="minorEastAsia" w:eastAsiaTheme="minorEastAsia" w:cstheme="minorEastAsia"/>
                <w:sz w:val="24"/>
                <w:szCs w:val="24"/>
                <w:lang w:val="en-US" w:eastAsia="zh-CN"/>
              </w:rPr>
              <w:t xml:space="preserve">维护</w:t>
            </w:r>
            <w:r>
              <w:rPr>
                <w:rFonts w:hint="eastAsia" w:asciiTheme="minorEastAsia" w:hAnsiTheme="minorEastAsia" w:eastAsiaTheme="minorEastAsia" w:cstheme="minorEastAsia"/>
                <w:sz w:val="24"/>
                <w:szCs w:val="24"/>
              </w:rPr>
              <w:t xml:space="preserve">故障处理措施、响应机制及时间、售后服务机构及人员配备等。</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售后服务方案内容全面详细，响应机制及时间迅速</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售后服务方案内容较为详细响应机制及时间符合项目要求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可操作性较强，满足项目要求</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售后服务方案内容</w:t>
            </w:r>
            <w:r>
              <w:rPr>
                <w:rFonts w:hint="eastAsia" w:asciiTheme="minorEastAsia" w:hAnsiTheme="minorEastAsia" w:eastAsiaTheme="minorEastAsia" w:cstheme="minorEastAsia"/>
                <w:sz w:val="24"/>
                <w:szCs w:val="24"/>
                <w:lang w:val="en-US" w:eastAsia="zh-CN"/>
              </w:rPr>
              <w:t xml:space="preserve">与</w:t>
            </w:r>
            <w:r>
              <w:rPr>
                <w:rFonts w:hint="eastAsia" w:asciiTheme="minorEastAsia" w:hAnsiTheme="minorEastAsia" w:eastAsiaTheme="minorEastAsia" w:cstheme="minorEastAsia"/>
                <w:sz w:val="24"/>
                <w:szCs w:val="24"/>
              </w:rPr>
              <w:t xml:space="preserve">采购需求</w:t>
            </w:r>
            <w:r>
              <w:rPr>
                <w:rFonts w:hint="eastAsia" w:asciiTheme="minorEastAsia" w:hAnsiTheme="minorEastAsia" w:eastAsiaTheme="minorEastAsia" w:cstheme="minorEastAsia"/>
                <w:sz w:val="24"/>
                <w:szCs w:val="24"/>
                <w:lang w:val="en-US" w:eastAsia="zh-CN"/>
              </w:rPr>
              <w:t xml:space="preserve">存在偏差</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内容简单，可操作性不强的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质量保证方案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gridSpan w:val="2"/>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投标人结合项目需求提供</w:t>
            </w:r>
            <w:r>
              <w:rPr>
                <w:rFonts w:hint="eastAsia" w:asciiTheme="minorEastAsia" w:hAnsiTheme="minorEastAsia" w:eastAsiaTheme="minorEastAsia" w:cstheme="minorEastAsia"/>
                <w:sz w:val="24"/>
                <w:szCs w:val="24"/>
              </w:rPr>
              <w:t xml:space="preserve">质量保证方案</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包含但不限于</w:t>
            </w:r>
            <w:r>
              <w:rPr>
                <w:rFonts w:hint="eastAsia" w:asciiTheme="minorEastAsia" w:hAnsiTheme="minorEastAsia" w:eastAsiaTheme="minorEastAsia" w:cstheme="minorEastAsia"/>
                <w:sz w:val="24"/>
                <w:szCs w:val="24"/>
              </w:rPr>
              <w:t xml:space="preserve">对</w:t>
            </w:r>
            <w:r>
              <w:rPr>
                <w:rFonts w:hint="eastAsia" w:asciiTheme="minorEastAsia" w:hAnsiTheme="minorEastAsia" w:eastAsiaTheme="minorEastAsia" w:cstheme="minorEastAsia"/>
                <w:sz w:val="24"/>
                <w:szCs w:val="24"/>
                <w:highlight w:val="none"/>
                <w:lang w:val="en-US" w:eastAsia="zh-CN"/>
              </w:rPr>
              <w:t xml:space="preserve">本项目的</w:t>
            </w:r>
            <w:r>
              <w:rPr>
                <w:rFonts w:hint="eastAsia" w:asciiTheme="minorEastAsia" w:hAnsiTheme="minorEastAsia" w:eastAsiaTheme="minorEastAsia" w:cstheme="minorEastAsia"/>
                <w:sz w:val="24"/>
                <w:szCs w:val="24"/>
                <w:highlight w:val="none"/>
              </w:rPr>
              <w:t xml:space="preserve">质量</w:t>
            </w:r>
            <w:r>
              <w:rPr>
                <w:rFonts w:hint="eastAsia" w:asciiTheme="minorEastAsia" w:hAnsiTheme="minorEastAsia" w:eastAsiaTheme="minorEastAsia" w:cstheme="minorEastAsia"/>
                <w:sz w:val="24"/>
                <w:szCs w:val="24"/>
                <w:highlight w:val="none"/>
                <w:lang w:val="en-US" w:eastAsia="zh-CN"/>
              </w:rPr>
              <w:t xml:space="preserve">把控</w:t>
            </w:r>
            <w:r>
              <w:rPr>
                <w:rFonts w:hint="eastAsia" w:asciiTheme="minorEastAsia" w:hAnsiTheme="minorEastAsia" w:eastAsiaTheme="minorEastAsia" w:cstheme="minorEastAsia"/>
                <w:sz w:val="24"/>
                <w:szCs w:val="24"/>
              </w:rPr>
              <w:t xml:space="preserve">、安全保证措施</w:t>
            </w:r>
            <w:r>
              <w:rPr>
                <w:rFonts w:hint="eastAsia" w:asciiTheme="minorEastAsia" w:hAnsiTheme="minorEastAsia" w:eastAsiaTheme="minorEastAsia" w:cstheme="minorEastAsia"/>
                <w:sz w:val="24"/>
                <w:szCs w:val="24"/>
                <w:lang w:val="en-US" w:eastAsia="zh-CN"/>
              </w:rPr>
              <w:t xml:space="preserve">等。</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产品质量保证体系健全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措施完善</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切实可行</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满足项目需求</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安全措施得当</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产品质量保证体系较健全措施较完善</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安全措施合理，</w:t>
            </w:r>
            <w:r>
              <w:rPr>
                <w:rFonts w:hint="eastAsia" w:asciiTheme="minorEastAsia" w:hAnsiTheme="minorEastAsia" w:eastAsiaTheme="minorEastAsia" w:cstheme="minorEastAsia"/>
                <w:sz w:val="24"/>
                <w:szCs w:val="24"/>
                <w:lang w:val="en-US" w:eastAsia="zh-CN"/>
              </w:rPr>
              <w:t xml:space="preserve">基本满足项目需求的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产品质量保证体系基本健全</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措施一般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保障一般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安全措施一般</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与项目需求存在偏差</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项目培训方案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5分</w:t>
            </w:r>
            <w:r>
              <w:rPr>
                <w:rFonts w:hint="eastAsia" w:asciiTheme="minorEastAsia" w:hAnsiTheme="minorEastAsia" w:eastAsiaTheme="minorEastAsia" w:cstheme="minorEastAsia"/>
                <w:sz w:val="24"/>
                <w:szCs w:val="24"/>
                <w:lang w:eastAsia="zh-CN"/>
              </w:rPr>
              <w:t xml:space="preserve">）</w:t>
            </w:r>
            <w:r/>
          </w:p>
        </w:tc>
        <w:tc>
          <w:tcPr>
            <w:gridSpan w:val="2"/>
            <w:shd w:val="clear" w:color="auto" w:fill="auto"/>
            <w:tcW w:w="6510" w:type="dxa"/>
            <w:vAlign w:val="center"/>
            <w:textDirection w:val="lrTb"/>
            <w:noWrap w:val="false"/>
          </w:tcPr>
          <w:p>
            <w:pPr>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1"/>
              </w:rPr>
              <w:t xml:space="preserve">投标人结合项目需求提供培训方案，内容包括但不限于培训计划、培训内容、培训对象</w:t>
            </w:r>
            <w:r>
              <w:rPr>
                <w:rFonts w:hint="eastAsia" w:asciiTheme="minorEastAsia" w:hAnsiTheme="minorEastAsia" w:eastAsiaTheme="minorEastAsia" w:cstheme="minorEastAsia"/>
                <w:sz w:val="24"/>
                <w:szCs w:val="21"/>
                <w:lang w:val="en-US" w:eastAsia="zh-CN"/>
              </w:rPr>
              <w:t xml:space="preserve">等，以及</w:t>
            </w:r>
            <w:r>
              <w:rPr>
                <w:rFonts w:hint="eastAsia" w:asciiTheme="minorEastAsia" w:hAnsiTheme="minorEastAsia" w:eastAsiaTheme="minorEastAsia" w:cstheme="minorEastAsia"/>
                <w:sz w:val="24"/>
                <w:szCs w:val="24"/>
              </w:rPr>
              <w:t xml:space="preserve">满足系统建设、管理、维护等要求的培训方案，对技术管理人员和业务操作人员</w:t>
            </w:r>
            <w:r>
              <w:rPr>
                <w:rFonts w:hint="eastAsia" w:asciiTheme="minorEastAsia" w:hAnsiTheme="minorEastAsia" w:eastAsia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培训方案</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w:t>
            </w:r>
            <w:r/>
          </w:p>
          <w:p>
            <w:pPr>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内容丰富，科学合理，培训形式多样，具有可操作性的</w:t>
            </w:r>
            <w:r>
              <w:rPr>
                <w:rFonts w:hint="eastAsia" w:asciiTheme="minorEastAsia" w:hAnsiTheme="minorEastAsia" w:eastAsiaTheme="minorEastAsia" w:cstheme="minorEastAsia"/>
                <w:b/>
                <w:sz w:val="24"/>
                <w:szCs w:val="21"/>
              </w:rPr>
              <w:t xml:space="preserve">得</w:t>
            </w:r>
            <w:r>
              <w:rPr>
                <w:rFonts w:hint="eastAsia" w:asciiTheme="minorEastAsia" w:hAnsiTheme="minorEastAsia" w:eastAsiaTheme="minorEastAsia" w:cstheme="minorEastAsia"/>
                <w:b/>
                <w:sz w:val="24"/>
                <w:szCs w:val="21"/>
                <w:lang w:val="en-US" w:eastAsia="zh-CN"/>
              </w:rPr>
              <w:t xml:space="preserve">5</w:t>
            </w:r>
            <w:r>
              <w:rPr>
                <w:rFonts w:hint="eastAsia" w:asciiTheme="minorEastAsia" w:hAnsiTheme="minorEastAsia" w:eastAsiaTheme="minorEastAsia" w:cstheme="minorEastAsia"/>
                <w:b/>
                <w:sz w:val="24"/>
                <w:szCs w:val="21"/>
              </w:rPr>
              <w:t xml:space="preserve">分；</w:t>
            </w:r>
            <w:r/>
          </w:p>
          <w:p>
            <w:pPr>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内容较丰富，较合理，培训形式较多样，可操作性较强的</w:t>
            </w:r>
            <w:r>
              <w:rPr>
                <w:rFonts w:hint="eastAsia" w:asciiTheme="minorEastAsia" w:hAnsiTheme="minorEastAsia" w:eastAsiaTheme="minorEastAsia" w:cstheme="minorEastAsia"/>
                <w:b/>
                <w:sz w:val="24"/>
                <w:szCs w:val="21"/>
              </w:rPr>
              <w:t xml:space="preserve">得</w:t>
            </w:r>
            <w:r>
              <w:rPr>
                <w:rFonts w:hint="eastAsia" w:asciiTheme="minorEastAsia" w:hAnsiTheme="minorEastAsia" w:cstheme="minorEastAsia"/>
                <w:b/>
                <w:sz w:val="24"/>
                <w:szCs w:val="21"/>
                <w:lang w:val="en-US" w:eastAsia="zh-CN"/>
              </w:rPr>
              <w:t xml:space="preserve">4</w:t>
            </w:r>
            <w:r>
              <w:rPr>
                <w:rFonts w:hint="eastAsia" w:asciiTheme="minorEastAsia" w:hAnsiTheme="minorEastAsia" w:eastAsiaTheme="minorEastAsia" w:cstheme="minorEastAsia"/>
                <w:b/>
                <w:sz w:val="24"/>
                <w:szCs w:val="21"/>
              </w:rPr>
              <w:t xml:space="preserve">分；</w:t>
            </w:r>
            <w:r/>
          </w:p>
          <w:p>
            <w:pPr>
              <w:spacing w:line="440" w:lineRule="exact"/>
              <w:rPr>
                <w:rFonts w:hint="eastAsia" w:asciiTheme="minorEastAsia" w:hAnsiTheme="minorEastAsia" w:eastAsiaTheme="minorEastAsia" w:cstheme="minorEastAsia"/>
                <w:sz w:val="24"/>
                <w:szCs w:val="21"/>
              </w:rPr>
            </w:pPr>
            <w:r>
              <w:rPr>
                <w:rFonts w:hint="eastAsia" w:asciiTheme="minorEastAsia" w:hAnsiTheme="minorEastAsia" w:eastAsiaTheme="minorEastAsia" w:cstheme="minorEastAsia"/>
                <w:sz w:val="24"/>
                <w:szCs w:val="21"/>
              </w:rPr>
              <w:t xml:space="preserve">内容简单，合理性一般，形式单一，可操作性一般的</w:t>
            </w:r>
            <w:r>
              <w:rPr>
                <w:rFonts w:hint="eastAsia" w:asciiTheme="minorEastAsia" w:hAnsiTheme="minorEastAsia" w:eastAsiaTheme="minorEastAsia" w:cstheme="minorEastAsia"/>
                <w:b/>
                <w:sz w:val="24"/>
                <w:szCs w:val="21"/>
              </w:rPr>
              <w:t xml:space="preserve">得</w:t>
            </w:r>
            <w:r>
              <w:rPr>
                <w:rFonts w:hint="eastAsia" w:asciiTheme="minorEastAsia" w:hAnsiTheme="minorEastAsia" w:cstheme="minorEastAsia"/>
                <w:b/>
                <w:sz w:val="24"/>
                <w:szCs w:val="21"/>
                <w:lang w:val="en-US" w:eastAsia="zh-CN"/>
              </w:rPr>
              <w:t xml:space="preserve">2</w:t>
            </w:r>
            <w:r>
              <w:rPr>
                <w:rFonts w:hint="eastAsia" w:asciiTheme="minorEastAsia" w:hAnsiTheme="minorEastAsia" w:eastAsiaTheme="minorEastAsia" w:cstheme="minorEastAsia"/>
                <w:b/>
                <w:sz w:val="24"/>
                <w:szCs w:val="21"/>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b/>
                <w:sz w:val="24"/>
                <w:szCs w:val="21"/>
              </w:rPr>
              <w:t xml:space="preserve">该项未见阐述不得分。</w:t>
            </w:r>
            <w:r/>
          </w:p>
        </w:tc>
      </w:tr>
      <w:tr>
        <w:trPr>
          <w:jc w:val="center"/>
          <w:trHeight w:val="621"/>
        </w:trPr>
        <w:tc>
          <w:tcPr>
            <w:gridSpan w:val="3"/>
            <w:shd w:val="clear" w:color="auto" w:fill="auto"/>
            <w:tcW w:w="8330" w:type="dxa"/>
            <w:vAlign w:val="center"/>
            <w:textDirection w:val="lrTb"/>
            <w:noWrap w:val="false"/>
          </w:tcPr>
          <w:p>
            <w:pPr>
              <w:jc w:val="left"/>
              <w:spacing w:line="440" w:lineRule="exact"/>
              <w:rPr>
                <w:rFonts w:hint="eastAsia" w:ascii="宋体" w:hAnsi="宋体" w:eastAsia="宋体" w:cs="宋体"/>
                <w:b/>
                <w:bCs/>
                <w:sz w:val="24"/>
                <w:szCs w:val="21"/>
                <w:lang w:val="en-US" w:eastAsia="zh-CN"/>
              </w:rPr>
            </w:pPr>
            <w:r>
              <w:rPr>
                <w:rFonts w:hint="eastAsia" w:ascii="宋体" w:hAnsi="宋体" w:eastAsia="宋体" w:cs="宋体"/>
                <w:b/>
                <w:bCs/>
                <w:sz w:val="24"/>
                <w:szCs w:val="21"/>
                <w:lang w:val="en-US" w:eastAsia="zh-CN"/>
              </w:rPr>
              <w:t xml:space="preserve">项目履约能力服务技术方案（15分）</w:t>
            </w:r>
            <w:r/>
          </w:p>
          <w:p>
            <w:pPr>
              <w:jc w:val="both"/>
              <w:keepLines w:val="0"/>
              <w:keepNext w:val="0"/>
              <w:pageBreakBefore w:val="0"/>
              <w:spacing w:line="480" w:lineRule="exact"/>
              <w:widowControl w:val="off"/>
              <w:rPr>
                <w:rFonts w:hint="eastAsia" w:asciiTheme="minorEastAsia" w:hAnsiTheme="minorEastAsia" w:eastAsiaTheme="minorEastAsia" w:cstheme="minorEastAsia"/>
                <w:b/>
                <w:sz w:val="24"/>
                <w:szCs w:val="21"/>
              </w:rPr>
            </w:pPr>
            <w:r>
              <w:rPr>
                <w:rFonts w:hint="eastAsia" w:ascii="宋体" w:hAnsi="宋体" w:eastAsia="宋体" w:cs="宋体"/>
                <w:b/>
                <w:bCs/>
                <w:sz w:val="24"/>
                <w:szCs w:val="21"/>
                <w:lang w:val="en-US" w:eastAsia="zh-CN"/>
              </w:rPr>
              <w:t xml:space="preserve">整体要求（对应下述每个方案）：投标人</w:t>
            </w:r>
            <w:r>
              <w:rPr>
                <w:rFonts w:hint="eastAsia" w:ascii="宋体" w:hAnsi="宋体" w:eastAsia="宋体" w:cs="宋体"/>
                <w:b/>
                <w:bCs/>
                <w:sz w:val="24"/>
              </w:rPr>
              <w:t xml:space="preserve">针对第四章 采购需求 </w:t>
            </w:r>
            <w:r>
              <w:rPr>
                <w:rFonts w:hint="eastAsia" w:ascii="宋体" w:hAnsi="宋体" w:eastAsia="宋体" w:cs="宋体"/>
                <w:b/>
                <w:bCs/>
                <w:sz w:val="24"/>
                <w:lang w:val="en-US" w:eastAsia="zh-CN"/>
              </w:rPr>
              <w:t xml:space="preserve">2.</w:t>
            </w:r>
            <w:r>
              <w:rPr>
                <w:rFonts w:hint="eastAsia" w:ascii="宋体" w:hAnsi="宋体" w:eastAsia="宋体" w:cs="宋体"/>
                <w:b/>
                <w:bCs/>
                <w:sz w:val="24"/>
              </w:rPr>
              <w:t xml:space="preserve">服务技术要求中</w:t>
            </w:r>
            <w:r>
              <w:rPr>
                <w:rFonts w:hint="eastAsia" w:ascii="宋体" w:hAnsi="宋体" w:eastAsia="宋体" w:cs="宋体"/>
                <w:b/>
                <w:bCs/>
                <w:sz w:val="24"/>
                <w:lang w:val="en-US" w:eastAsia="zh-CN"/>
              </w:rPr>
              <w:t xml:space="preserve">相关需求</w:t>
            </w:r>
            <w:r>
              <w:rPr>
                <w:rFonts w:hint="eastAsia" w:ascii="宋体" w:hAnsi="宋体" w:eastAsia="宋体" w:cs="宋体"/>
                <w:b/>
                <w:bCs/>
                <w:sz w:val="24"/>
              </w:rPr>
              <w:t xml:space="preserve">提供建设方案，方案内容不限于提供功能设计方案或原型设计界面截图（须配说明）或功能流程图及设计思路等，以证明其具有项目实施能力和技术基础。</w:t>
            </w:r>
            <w:r/>
          </w:p>
        </w:tc>
      </w:tr>
      <w:tr>
        <w:trPr>
          <w:jc w:val="center"/>
          <w:trHeight w:val="621"/>
        </w:trPr>
        <w:tc>
          <w:tcPr>
            <w:gridSpan w:val="2"/>
            <w:shd w:val="clear" w:color="auto" w:fill="auto"/>
            <w:tcW w:w="1921" w:type="dxa"/>
            <w:vAlign w:val="center"/>
            <w:textDirection w:val="lrTb"/>
            <w:noWrap w:val="false"/>
          </w:tcPr>
          <w:p>
            <w:pPr>
              <w:jc w:val="center"/>
              <w:keepLines w:val="0"/>
              <w:keepNext w:val="0"/>
              <w:pageBreakBefore w:val="0"/>
              <w:spacing w:line="480" w:lineRule="exact"/>
              <w:widowControl w:val="off"/>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数据采集汇聚服务（3分）</w:t>
            </w:r>
            <w:r/>
          </w:p>
        </w:tc>
        <w:tc>
          <w:tcPr>
            <w:shd w:val="clear" w:color="auto" w:fill="auto"/>
            <w:tcW w:w="6409" w:type="dxa"/>
            <w:vAlign w:val="center"/>
            <w:textDirection w:val="lrTb"/>
            <w:noWrap w:val="false"/>
          </w:tcPr>
          <w:p>
            <w:pPr>
              <w:numPr>
                <w:ilvl w:val="0"/>
                <w:numId w:val="2"/>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1"/>
                <w:lang w:val="en-US" w:eastAsia="zh-CN"/>
              </w:rPr>
            </w:pPr>
            <w:r>
              <w:rPr>
                <w:rFonts w:hint="eastAsia" w:asciiTheme="minorEastAsia" w:hAnsiTheme="minorEastAsia" w:cstheme="minorEastAsia"/>
                <w:sz w:val="24"/>
                <w:szCs w:val="21"/>
                <w:lang w:val="en-US" w:eastAsia="zh-CN"/>
              </w:rPr>
              <w:t xml:space="preserve">多源数据接入：</w:t>
            </w:r>
            <w:r>
              <w:rPr>
                <w:rFonts w:hint="eastAsia" w:asciiTheme="minorEastAsia" w:hAnsiTheme="minorEastAsia" w:eastAsiaTheme="minorEastAsia" w:cstheme="minorEastAsia"/>
                <w:sz w:val="24"/>
                <w:szCs w:val="21"/>
                <w:lang w:val="en-US" w:eastAsia="zh-CN"/>
              </w:rPr>
              <w:t xml:space="preserve">根据数据来源、格式、更新频率，将国资数据分为结构化数据、非结构化数据、半结构化数据、实时流数据四类，采用差异化接入方式接入。</w:t>
            </w:r>
            <w:r/>
          </w:p>
          <w:p>
            <w:pPr>
              <w:numPr>
                <w:ilvl w:val="0"/>
                <w:numId w:val="0"/>
              </w:num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提供设计方案或设计界面截图（须配说明）或设计思路等，且内容详细，能够贴合采购需求，阐述清晰的</w:t>
            </w:r>
            <w:r>
              <w:rPr>
                <w:rFonts w:hint="eastAsia" w:ascii="宋体" w:hAnsi="宋体" w:eastAsia="宋体" w:cs="宋体"/>
                <w:b/>
                <w:bCs/>
                <w:sz w:val="24"/>
              </w:rPr>
              <w:t xml:space="preserve">得3分；</w:t>
            </w:r>
            <w:r/>
          </w:p>
          <w:p>
            <w:pPr>
              <w:spacing w:line="440" w:lineRule="exact"/>
              <w:tabs>
                <w:tab w:val="left" w:pos="840" w:leader="none"/>
              </w:tabs>
              <w:rPr>
                <w:rFonts w:ascii="宋体" w:hAnsi="宋体" w:eastAsia="宋体" w:cs="宋体"/>
                <w:b/>
                <w:bCs/>
                <w:sz w:val="24"/>
              </w:rPr>
            </w:pPr>
            <w:r>
              <w:rPr>
                <w:rFonts w:hint="eastAsia" w:ascii="宋体" w:hAnsi="宋体" w:eastAsia="宋体" w:cs="宋体"/>
                <w:sz w:val="24"/>
              </w:rPr>
              <w:t xml:space="preserve">提供设计方案或设计界面截图（须配说明）或设计思路等，且内容较详细，基本能够贴合采购需求，阐述清晰条理性一般的</w:t>
            </w:r>
            <w:r>
              <w:rPr>
                <w:rFonts w:hint="eastAsia" w:ascii="宋体" w:hAnsi="宋体" w:eastAsia="宋体" w:cs="宋体"/>
                <w:b/>
                <w:bCs/>
                <w:sz w:val="24"/>
              </w:rPr>
              <w:t xml:space="preserve">得2分；</w:t>
            </w:r>
            <w:r/>
          </w:p>
          <w:p>
            <w:pPr>
              <w:spacing w:line="440" w:lineRule="exact"/>
              <w:tabs>
                <w:tab w:val="left" w:pos="840" w:leader="none"/>
              </w:tabs>
              <w:rPr>
                <w:rFonts w:hint="eastAsia"/>
              </w:rPr>
            </w:pPr>
            <w:r>
              <w:rPr>
                <w:rFonts w:hint="eastAsia" w:ascii="宋体" w:hAnsi="宋体" w:eastAsia="宋体" w:cs="宋体"/>
                <w:sz w:val="24"/>
              </w:rPr>
              <w:t xml:space="preserve">提供设计方案或设计界面截图（须配说明）或设计思路等，但内容简单粗糙，与采购需求有偏差，阐述不清晰的</w:t>
            </w:r>
            <w:r>
              <w:rPr>
                <w:rFonts w:hint="eastAsia" w:ascii="宋体" w:hAnsi="宋体" w:eastAsia="宋体" w:cs="宋体"/>
                <w:b/>
                <w:bCs/>
                <w:sz w:val="24"/>
              </w:rPr>
              <w:t xml:space="preserve">得1分；该项未见描述不得分。</w:t>
            </w:r>
            <w:r/>
          </w:p>
        </w:tc>
      </w:tr>
      <w:tr>
        <w:trPr>
          <w:jc w:val="center"/>
          <w:trHeight w:val="621"/>
        </w:trPr>
        <w:tc>
          <w:tcPr>
            <w:gridSpan w:val="2"/>
            <w:shd w:val="clear" w:color="auto" w:fill="auto"/>
            <w:tcW w:w="1921"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数据处理服务</w:t>
            </w:r>
            <w:r/>
          </w:p>
          <w:p>
            <w:pPr>
              <w:jc w:val="center"/>
              <w:keepLines w:val="0"/>
              <w:keepNext w:val="0"/>
              <w:pageBreakBefore w:val="0"/>
              <w:spacing w:line="480" w:lineRule="exact"/>
              <w:widowControl w:val="off"/>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（3分）</w:t>
            </w:r>
            <w:r/>
          </w:p>
        </w:tc>
        <w:tc>
          <w:tcPr>
            <w:shd w:val="clear" w:color="auto" w:fill="auto"/>
            <w:tcW w:w="6409" w:type="dxa"/>
            <w:vAlign w:val="center"/>
            <w:textDirection w:val="lrTb"/>
            <w:noWrap w:val="false"/>
          </w:tcPr>
          <w:p>
            <w:pPr>
              <w:numPr>
                <w:ilvl w:val="0"/>
                <w:numId w:val="2"/>
              </w:numPr>
              <w:ind w:left="0" w:firstLine="0"/>
              <w:spacing w:line="440" w:lineRule="exact"/>
              <w:tabs>
                <w:tab w:val="left" w:pos="840" w:leader="none"/>
              </w:tabs>
              <w:rPr>
                <w:rFonts w:hint="eastAsia" w:ascii="宋体" w:hAnsi="宋体" w:eastAsia="宋体" w:cs="宋体"/>
                <w:sz w:val="24"/>
                <w:lang w:val="en-US" w:eastAsia="zh-CN"/>
              </w:rPr>
            </w:pPr>
            <w:r>
              <w:rPr>
                <w:rFonts w:hint="eastAsia" w:ascii="宋体" w:hAnsi="宋体" w:eastAsia="宋体" w:cs="宋体"/>
                <w:sz w:val="24"/>
                <w:lang w:val="en-US" w:eastAsia="zh-CN"/>
              </w:rPr>
              <w:t xml:space="preserve">数据建模：构建统一的数据模型管控体系，采用统一、多系统、基于多团队并行协作的数据模型管理方法，并支持生成完整准确、简洁易懂的数据模型视图，能够对数据模型的创建、设计、管理、比对、分析、展示提供技术支撑。</w:t>
            </w:r>
            <w:r/>
          </w:p>
          <w:p>
            <w:pPr>
              <w:numPr>
                <w:ilvl w:val="0"/>
                <w:numId w:val="0"/>
              </w:numPr>
              <w:spacing w:line="440" w:lineRule="exact"/>
              <w:tabs>
                <w:tab w:val="left" w:pos="840" w:leader="none"/>
              </w:tabs>
              <w:rPr>
                <w:rFonts w:hint="default" w:ascii="宋体" w:hAnsi="宋体" w:eastAsia="宋体" w:cs="宋体"/>
                <w:sz w:val="24"/>
                <w:lang w:val="en-US" w:eastAsia="zh-CN"/>
              </w:rPr>
            </w:pPr>
            <w:r>
              <w:rPr>
                <w:rFonts w:hint="default" w:ascii="宋体" w:hAnsi="宋体" w:eastAsia="宋体" w:cs="宋体"/>
                <w:sz w:val="24"/>
                <w:lang w:val="en-US" w:eastAsia="zh-CN"/>
              </w:rPr>
              <w:t xml:space="preserve">提供设计方案或设计界面截图（须配说明）或设计思路等，且内容详细，能够贴合采购需求，阐述清晰的</w:t>
            </w:r>
            <w:r>
              <w:rPr>
                <w:rFonts w:hint="default" w:ascii="宋体" w:hAnsi="宋体" w:eastAsia="宋体" w:cs="宋体"/>
                <w:b/>
                <w:bCs/>
                <w:sz w:val="24"/>
                <w:lang w:val="en-US" w:eastAsia="zh-CN"/>
              </w:rPr>
              <w:t xml:space="preserve">得3分；</w:t>
            </w:r>
            <w:r/>
          </w:p>
          <w:p>
            <w:pPr>
              <w:numPr>
                <w:ilvl w:val="0"/>
                <w:numId w:val="0"/>
              </w:numPr>
              <w:spacing w:line="440" w:lineRule="exact"/>
              <w:tabs>
                <w:tab w:val="left" w:pos="840" w:leader="none"/>
              </w:tabs>
              <w:rPr>
                <w:rFonts w:hint="default" w:ascii="宋体" w:hAnsi="宋体" w:eastAsia="宋体" w:cs="宋体"/>
                <w:b/>
                <w:bCs/>
                <w:sz w:val="24"/>
                <w:lang w:val="en-US" w:eastAsia="zh-CN"/>
              </w:rPr>
            </w:pPr>
            <w:r>
              <w:rPr>
                <w:rFonts w:hint="default" w:ascii="宋体" w:hAnsi="宋体" w:eastAsia="宋体" w:cs="宋体"/>
                <w:sz w:val="24"/>
                <w:lang w:val="en-US" w:eastAsia="zh-CN"/>
              </w:rPr>
              <w:t xml:space="preserve">提供设计方案或设计界面截图（须配说明）或设计思路等，且内容较详细，基本能够贴合采购需求，阐述清晰条理性一般的</w:t>
            </w:r>
            <w:r>
              <w:rPr>
                <w:rFonts w:hint="default" w:ascii="宋体" w:hAnsi="宋体" w:eastAsia="宋体" w:cs="宋体"/>
                <w:b/>
                <w:bCs/>
                <w:sz w:val="24"/>
                <w:lang w:val="en-US" w:eastAsia="zh-CN"/>
              </w:rPr>
              <w:t xml:space="preserve">得2分；</w:t>
            </w:r>
            <w:r/>
          </w:p>
          <w:p>
            <w:pPr>
              <w:numPr>
                <w:ilvl w:val="0"/>
                <w:numId w:val="0"/>
              </w:numPr>
              <w:spacing w:line="440" w:lineRule="exact"/>
              <w:tabs>
                <w:tab w:val="left" w:pos="840" w:leader="none"/>
              </w:tabs>
              <w:rPr>
                <w:rFonts w:hint="default"/>
                <w:lang w:val="en-US" w:eastAsia="zh-CN"/>
              </w:rPr>
            </w:pPr>
            <w:r>
              <w:rPr>
                <w:rFonts w:hint="default" w:ascii="宋体" w:hAnsi="宋体" w:eastAsia="宋体" w:cs="宋体"/>
                <w:sz w:val="24"/>
                <w:lang w:val="en-US" w:eastAsia="zh-CN"/>
              </w:rPr>
              <w:t xml:space="preserve">提供设计方案或设计界面截图（须配说明）或设计思路等，但内容简单粗糙，与采购需求有偏差，阐述不清晰的</w:t>
            </w:r>
            <w:r>
              <w:rPr>
                <w:rFonts w:hint="default" w:ascii="宋体" w:hAnsi="宋体" w:eastAsia="宋体" w:cs="宋体"/>
                <w:b/>
                <w:bCs/>
                <w:sz w:val="24"/>
                <w:lang w:val="en-US" w:eastAsia="zh-CN"/>
              </w:rPr>
              <w:t xml:space="preserve">得1分；</w:t>
            </w:r>
            <w:r>
              <w:rPr>
                <w:rFonts w:hint="default" w:ascii="宋体" w:hAnsi="宋体" w:eastAsia="宋体" w:cs="宋体"/>
                <w:b/>
                <w:bCs/>
                <w:sz w:val="24"/>
                <w:szCs w:val="24"/>
                <w:lang w:val="en-US" w:eastAsia="zh-CN"/>
              </w:rPr>
              <w:t xml:space="preserve">该项未见描述不得分。</w:t>
            </w:r>
            <w:r/>
          </w:p>
        </w:tc>
      </w:tr>
      <w:tr>
        <w:trPr>
          <w:jc w:val="center"/>
          <w:trHeight w:val="621"/>
        </w:trPr>
        <w:tc>
          <w:tcPr>
            <w:gridSpan w:val="2"/>
            <w:shd w:val="clear" w:color="auto" w:fill="auto"/>
            <w:tcW w:w="1921"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数据共享服务</w:t>
            </w:r>
            <w:r/>
          </w:p>
          <w:p>
            <w:pPr>
              <w:pStyle w:val="660"/>
              <w:jc w:val="center"/>
              <w:rPr>
                <w:rFonts w:hint="default"/>
                <w:lang w:val="en-US" w:eastAsia="zh-CN"/>
              </w:rPr>
            </w:pPr>
            <w:r>
              <w:rPr>
                <w:rFonts w:hint="eastAsia" w:asciiTheme="minorEastAsia" w:hAnsiTheme="minorEastAsia" w:cstheme="minorEastAsia"/>
                <w:sz w:val="24"/>
                <w:szCs w:val="24"/>
                <w:lang w:val="en-US" w:eastAsia="zh-CN"/>
              </w:rPr>
              <w:t xml:space="preserve">（3分）</w:t>
            </w:r>
            <w:r/>
          </w:p>
        </w:tc>
        <w:tc>
          <w:tcPr>
            <w:shd w:val="clear" w:color="auto" w:fill="auto"/>
            <w:tcW w:w="6409" w:type="dxa"/>
            <w:vAlign w:val="center"/>
            <w:textDirection w:val="lrTb"/>
            <w:noWrap w:val="false"/>
          </w:tcPr>
          <w:p>
            <w:pPr>
              <w:numPr>
                <w:ilvl w:val="0"/>
                <w:numId w:val="2"/>
              </w:numPr>
              <w:ind w:left="0" w:firstLine="0"/>
              <w:spacing w:line="440" w:lineRule="exact"/>
              <w:tabs>
                <w:tab w:val="left" w:pos="84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数据供需对接服务：</w:t>
            </w:r>
            <w:r>
              <w:rPr>
                <w:rFonts w:hint="default" w:ascii="宋体" w:hAnsi="宋体" w:eastAsia="宋体" w:cs="宋体"/>
                <w:sz w:val="24"/>
                <w:lang w:val="en-US" w:eastAsia="zh-CN"/>
              </w:rPr>
              <w:t xml:space="preserve">能够为各类业务场景提供数据共享服务，涵盖了数据需求提出、数据需求分析、数据需求分发、数据需求确认的全生命周期。</w:t>
            </w:r>
            <w:r/>
          </w:p>
          <w:p>
            <w:pPr>
              <w:numPr>
                <w:ilvl w:val="0"/>
                <w:numId w:val="0"/>
              </w:numPr>
              <w:spacing w:line="440" w:lineRule="exact"/>
              <w:tabs>
                <w:tab w:val="left" w:pos="840" w:leader="none"/>
              </w:tabs>
              <w:rPr>
                <w:rFonts w:hint="default" w:ascii="宋体" w:hAnsi="宋体" w:eastAsia="宋体" w:cs="宋体"/>
                <w:b/>
                <w:bCs/>
                <w:sz w:val="24"/>
                <w:lang w:val="en-US" w:eastAsia="zh-CN"/>
              </w:rPr>
            </w:pPr>
            <w:r>
              <w:rPr>
                <w:rFonts w:hint="default" w:ascii="宋体" w:hAnsi="宋体" w:eastAsia="宋体" w:cs="宋体"/>
                <w:sz w:val="24"/>
                <w:lang w:val="en-US" w:eastAsia="zh-CN"/>
              </w:rPr>
              <w:t xml:space="preserve">提供设计方案或设计界面截图（须配说明）或设计思路等，且内容详细，能够贴合采购需求，阐述清晰的</w:t>
            </w:r>
            <w:r>
              <w:rPr>
                <w:rFonts w:hint="default" w:ascii="宋体" w:hAnsi="宋体" w:eastAsia="宋体" w:cs="宋体"/>
                <w:b/>
                <w:bCs/>
                <w:sz w:val="24"/>
                <w:lang w:val="en-US" w:eastAsia="zh-CN"/>
              </w:rPr>
              <w:t xml:space="preserve">得3分；</w:t>
            </w:r>
            <w:r/>
          </w:p>
          <w:p>
            <w:pPr>
              <w:numPr>
                <w:ilvl w:val="0"/>
                <w:numId w:val="0"/>
              </w:numPr>
              <w:spacing w:line="440" w:lineRule="exact"/>
              <w:tabs>
                <w:tab w:val="left" w:pos="840" w:leader="none"/>
              </w:tabs>
              <w:rPr>
                <w:rFonts w:hint="default" w:ascii="宋体" w:hAnsi="宋体" w:eastAsia="宋体" w:cs="宋体"/>
                <w:b/>
                <w:bCs/>
                <w:sz w:val="24"/>
                <w:lang w:val="en-US" w:eastAsia="zh-CN"/>
              </w:rPr>
            </w:pPr>
            <w:r>
              <w:rPr>
                <w:rFonts w:hint="default" w:ascii="宋体" w:hAnsi="宋体" w:eastAsia="宋体" w:cs="宋体"/>
                <w:sz w:val="24"/>
                <w:lang w:val="en-US" w:eastAsia="zh-CN"/>
              </w:rPr>
              <w:t xml:space="preserve">提供设计方案或设计界面截图（须配说明）或设计思路等，且内容较详细，基本能够贴合采购需求，阐述清晰条理性一般的</w:t>
            </w:r>
            <w:r>
              <w:rPr>
                <w:rFonts w:hint="default" w:ascii="宋体" w:hAnsi="宋体" w:eastAsia="宋体" w:cs="宋体"/>
                <w:b/>
                <w:bCs/>
                <w:sz w:val="24"/>
                <w:lang w:val="en-US" w:eastAsia="zh-CN"/>
              </w:rPr>
              <w:t xml:space="preserve">得2分；</w:t>
            </w:r>
            <w:r/>
          </w:p>
          <w:p>
            <w:pPr>
              <w:numPr>
                <w:ilvl w:val="0"/>
                <w:numId w:val="0"/>
              </w:numPr>
              <w:spacing w:line="440" w:lineRule="exact"/>
              <w:tabs>
                <w:tab w:val="left" w:pos="840" w:leader="none"/>
              </w:tabs>
              <w:rPr>
                <w:rFonts w:hint="default"/>
                <w:lang w:val="en-US" w:eastAsia="zh-CN"/>
              </w:rPr>
            </w:pPr>
            <w:r>
              <w:rPr>
                <w:rFonts w:hint="default" w:ascii="宋体" w:hAnsi="宋体" w:eastAsia="宋体" w:cs="宋体"/>
                <w:sz w:val="24"/>
                <w:lang w:val="en-US" w:eastAsia="zh-CN"/>
              </w:rPr>
              <w:t xml:space="preserve">提供设计方案或设计界面截图（须配说明）或设计思路等，但内容简单粗糙，与采购需求有偏差，阐述不清晰的</w:t>
            </w:r>
            <w:r>
              <w:rPr>
                <w:rFonts w:hint="default" w:ascii="宋体" w:hAnsi="宋体" w:eastAsia="宋体" w:cs="宋体"/>
                <w:b/>
                <w:bCs/>
                <w:sz w:val="24"/>
                <w:lang w:val="en-US" w:eastAsia="zh-CN"/>
              </w:rPr>
              <w:t xml:space="preserve">得1分；该项未见描述不得分。</w:t>
            </w:r>
            <w:r/>
          </w:p>
        </w:tc>
      </w:tr>
      <w:tr>
        <w:trPr>
          <w:jc w:val="center"/>
          <w:trHeight w:val="621"/>
        </w:trPr>
        <w:tc>
          <w:tcPr>
            <w:gridSpan w:val="2"/>
            <w:shd w:val="clear" w:color="auto" w:fill="auto"/>
            <w:tcW w:w="1921"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三重一大国资委监管端</w:t>
            </w:r>
            <w:r/>
          </w:p>
          <w:p>
            <w:pPr>
              <w:jc w:val="center"/>
              <w:keepLines w:val="0"/>
              <w:keepNext w:val="0"/>
              <w:pageBreakBefore w:val="0"/>
              <w:spacing w:line="480" w:lineRule="exact"/>
              <w:widowControl w:val="off"/>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（3分）</w:t>
            </w:r>
            <w:r/>
          </w:p>
        </w:tc>
        <w:tc>
          <w:tcPr>
            <w:shd w:val="clear" w:color="auto" w:fill="auto"/>
            <w:tcW w:w="6409" w:type="dxa"/>
            <w:vAlign w:val="center"/>
            <w:textDirection w:val="lrTb"/>
            <w:noWrap w:val="false"/>
          </w:tcPr>
          <w:p>
            <w:pPr>
              <w:numPr>
                <w:ilvl w:val="0"/>
                <w:numId w:val="2"/>
              </w:numPr>
              <w:ind w:left="0" w:firstLine="0"/>
              <w:spacing w:line="440" w:lineRule="exact"/>
              <w:tabs>
                <w:tab w:val="left" w:pos="840" w:leader="none"/>
              </w:tabs>
              <w:rPr>
                <w:rFonts w:hint="default" w:ascii="宋体" w:hAnsi="宋体" w:eastAsia="宋体" w:cs="宋体"/>
                <w:sz w:val="24"/>
                <w:lang w:val="en-US" w:eastAsia="zh-CN"/>
              </w:rPr>
            </w:pPr>
            <w:r>
              <w:rPr>
                <w:rFonts w:hint="default" w:ascii="宋体" w:hAnsi="宋体" w:eastAsia="宋体" w:cs="宋体"/>
                <w:sz w:val="24"/>
                <w:lang w:val="en-US" w:eastAsia="zh-CN"/>
              </w:rPr>
              <w:t xml:space="preserve">监管仪表盘</w:t>
            </w:r>
            <w:r>
              <w:rPr>
                <w:rFonts w:hint="eastAsia" w:ascii="宋体" w:hAnsi="宋体" w:eastAsia="宋体" w:cs="宋体"/>
                <w:sz w:val="24"/>
                <w:lang w:val="en-US" w:eastAsia="zh-CN"/>
              </w:rPr>
              <w:t xml:space="preserve">:</w:t>
            </w:r>
            <w:r>
              <w:rPr>
                <w:rFonts w:hint="default" w:ascii="宋体" w:hAnsi="宋体" w:eastAsia="宋体" w:cs="宋体"/>
                <w:sz w:val="24"/>
                <w:lang w:val="en-US" w:eastAsia="zh-CN"/>
              </w:rPr>
              <w:t xml:space="preserve">展示议题总数、会议总数、涉及部门等统计指标；所有企业会议状态图、企业议题类型分布图、会议趋势折线图、处理周期统计等多维度可视化图表。</w:t>
            </w:r>
            <w:r/>
          </w:p>
          <w:p>
            <w:pPr>
              <w:numPr>
                <w:ilvl w:val="0"/>
                <w:numId w:val="0"/>
              </w:numPr>
              <w:spacing w:line="440" w:lineRule="exact"/>
              <w:tabs>
                <w:tab w:val="left" w:pos="840" w:leader="none"/>
              </w:tabs>
              <w:rPr>
                <w:rFonts w:hint="default" w:ascii="宋体" w:hAnsi="宋体" w:eastAsia="宋体" w:cs="宋体"/>
                <w:sz w:val="24"/>
                <w:lang w:val="en-US" w:eastAsia="zh-CN"/>
              </w:rPr>
            </w:pPr>
            <w:r>
              <w:rPr>
                <w:rFonts w:hint="default" w:ascii="宋体" w:hAnsi="宋体" w:eastAsia="宋体" w:cs="宋体"/>
                <w:sz w:val="24"/>
                <w:lang w:val="en-US" w:eastAsia="zh-CN"/>
              </w:rPr>
              <w:t xml:space="preserve">提供设计方案或设计界面截图（须配说明）或设计思路等，且内容详细，能够贴合采购需求，阐述清晰的</w:t>
            </w:r>
            <w:r>
              <w:rPr>
                <w:rFonts w:hint="default" w:ascii="宋体" w:hAnsi="宋体" w:eastAsia="宋体" w:cs="宋体"/>
                <w:b/>
                <w:bCs/>
                <w:sz w:val="24"/>
                <w:lang w:val="en-US" w:eastAsia="zh-CN"/>
              </w:rPr>
              <w:t xml:space="preserve">得3分；</w:t>
            </w:r>
            <w:r/>
          </w:p>
          <w:p>
            <w:pPr>
              <w:numPr>
                <w:ilvl w:val="0"/>
                <w:numId w:val="0"/>
              </w:numPr>
              <w:spacing w:line="440" w:lineRule="exact"/>
              <w:tabs>
                <w:tab w:val="left" w:pos="840" w:leader="none"/>
              </w:tabs>
              <w:rPr>
                <w:rFonts w:hint="default" w:ascii="宋体" w:hAnsi="宋体" w:eastAsia="宋体" w:cs="宋体"/>
                <w:b/>
                <w:bCs/>
                <w:sz w:val="24"/>
                <w:lang w:val="en-US" w:eastAsia="zh-CN"/>
              </w:rPr>
            </w:pPr>
            <w:r>
              <w:rPr>
                <w:rFonts w:hint="default" w:ascii="宋体" w:hAnsi="宋体" w:eastAsia="宋体" w:cs="宋体"/>
                <w:sz w:val="24"/>
                <w:lang w:val="en-US" w:eastAsia="zh-CN"/>
              </w:rPr>
              <w:t xml:space="preserve">提供设计方案或设计界面截图（须配说明）或设计思路等，且内容较详细，基本能够贴合采购需求，阐述清晰条理性一般的</w:t>
            </w:r>
            <w:r>
              <w:rPr>
                <w:rFonts w:hint="default" w:ascii="宋体" w:hAnsi="宋体" w:eastAsia="宋体" w:cs="宋体"/>
                <w:b/>
                <w:bCs/>
                <w:sz w:val="24"/>
                <w:lang w:val="en-US" w:eastAsia="zh-CN"/>
              </w:rPr>
              <w:t xml:space="preserve">得2分；</w:t>
            </w:r>
            <w:r/>
          </w:p>
          <w:p>
            <w:pPr>
              <w:numPr>
                <w:ilvl w:val="0"/>
                <w:numId w:val="0"/>
              </w:numPr>
              <w:spacing w:line="440" w:lineRule="exact"/>
              <w:tabs>
                <w:tab w:val="left" w:pos="840" w:leader="none"/>
              </w:tabs>
              <w:rPr>
                <w:rFonts w:hint="default"/>
                <w:lang w:val="en-US" w:eastAsia="zh-CN"/>
              </w:rPr>
            </w:pPr>
            <w:r>
              <w:rPr>
                <w:rFonts w:hint="default" w:ascii="宋体" w:hAnsi="宋体" w:eastAsia="宋体" w:cs="宋体"/>
                <w:sz w:val="24"/>
                <w:lang w:val="en-US" w:eastAsia="zh-CN"/>
              </w:rPr>
              <w:t xml:space="preserve">提供设计方案或设计界面截图（须配说明）或设计思路等，但内容简单粗糙，与采购需求有偏差，阐述不清晰的</w:t>
            </w:r>
            <w:r>
              <w:rPr>
                <w:rFonts w:hint="default" w:ascii="宋体" w:hAnsi="宋体" w:eastAsia="宋体" w:cs="宋体"/>
                <w:b/>
                <w:bCs/>
                <w:sz w:val="24"/>
                <w:lang w:val="en-US" w:eastAsia="zh-CN"/>
              </w:rPr>
              <w:t xml:space="preserve">得1分；该项未见描述不得分。</w:t>
            </w:r>
            <w:r/>
          </w:p>
        </w:tc>
      </w:tr>
      <w:tr>
        <w:trPr>
          <w:jc w:val="center"/>
          <w:trHeight w:val="621"/>
        </w:trPr>
        <w:tc>
          <w:tcPr>
            <w:gridSpan w:val="2"/>
            <w:shd w:val="clear" w:color="auto" w:fill="auto"/>
            <w:tcW w:w="1921"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驾驶舱页面设计</w:t>
            </w:r>
            <w:r/>
          </w:p>
          <w:p>
            <w:pPr>
              <w:jc w:val="center"/>
              <w:keepLines w:val="0"/>
              <w:keepNext w:val="0"/>
              <w:pageBreakBefore w:val="0"/>
              <w:spacing w:line="480" w:lineRule="exact"/>
              <w:widowControl w:val="off"/>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（3分）</w:t>
            </w:r>
            <w:r/>
          </w:p>
        </w:tc>
        <w:tc>
          <w:tcPr>
            <w:shd w:val="clear" w:color="auto" w:fill="auto"/>
            <w:tcW w:w="6409" w:type="dxa"/>
            <w:vAlign w:val="center"/>
            <w:textDirection w:val="lrTb"/>
            <w:noWrap w:val="false"/>
          </w:tcPr>
          <w:p>
            <w:pPr>
              <w:numPr>
                <w:ilvl w:val="0"/>
                <w:numId w:val="2"/>
              </w:numPr>
              <w:ind w:left="0" w:firstLine="0"/>
              <w:spacing w:line="440" w:lineRule="exact"/>
              <w:tabs>
                <w:tab w:val="left" w:pos="840" w:leader="none"/>
              </w:tabs>
              <w:rPr>
                <w:rFonts w:hint="default" w:ascii="宋体" w:hAnsi="宋体" w:eastAsia="宋体" w:cs="宋体"/>
                <w:sz w:val="24"/>
                <w:lang w:val="en-US" w:eastAsia="zh-CN"/>
              </w:rPr>
            </w:pPr>
            <w:r>
              <w:rPr>
                <w:rFonts w:hint="eastAsia" w:ascii="宋体" w:hAnsi="宋体" w:eastAsia="宋体" w:cs="宋体"/>
                <w:sz w:val="24"/>
                <w:lang w:val="en-US" w:eastAsia="zh-CN"/>
              </w:rPr>
              <w:t xml:space="preserve">智能钻取：</w:t>
            </w:r>
            <w:r>
              <w:rPr>
                <w:rFonts w:hint="default" w:ascii="宋体" w:hAnsi="宋体" w:eastAsia="宋体" w:cs="宋体"/>
                <w:sz w:val="24"/>
                <w:lang w:val="en-US" w:eastAsia="zh-CN"/>
              </w:rPr>
              <w:t xml:space="preserve">允许用户在可视化报告中点击或选择特定的数据点，然后以更详细的方式查看该数据点的更多信息，甚至进行进一步的分析。</w:t>
            </w:r>
            <w:r/>
          </w:p>
          <w:p>
            <w:pPr>
              <w:numPr>
                <w:ilvl w:val="0"/>
                <w:numId w:val="0"/>
              </w:numPr>
              <w:spacing w:line="440" w:lineRule="exact"/>
              <w:tabs>
                <w:tab w:val="left" w:pos="840" w:leader="none"/>
              </w:tabs>
              <w:rPr>
                <w:rFonts w:hint="default" w:ascii="宋体" w:hAnsi="宋体" w:eastAsia="宋体" w:cs="宋体"/>
                <w:sz w:val="24"/>
                <w:lang w:val="en-US" w:eastAsia="zh-CN"/>
              </w:rPr>
            </w:pPr>
            <w:r>
              <w:rPr>
                <w:rFonts w:hint="default" w:ascii="宋体" w:hAnsi="宋体" w:eastAsia="宋体" w:cs="宋体"/>
                <w:sz w:val="24"/>
                <w:lang w:val="en-US" w:eastAsia="zh-CN"/>
              </w:rPr>
              <w:t xml:space="preserve">提供设计方案或设计界面截图（须配说明）或设计思路等，且内容详细，能够贴合采购需求，阐述清晰的</w:t>
            </w:r>
            <w:r>
              <w:rPr>
                <w:rFonts w:hint="default" w:ascii="宋体" w:hAnsi="宋体" w:eastAsia="宋体" w:cs="宋体"/>
                <w:b/>
                <w:bCs/>
                <w:sz w:val="24"/>
                <w:lang w:val="en-US" w:eastAsia="zh-CN"/>
              </w:rPr>
              <w:t xml:space="preserve">得3分；</w:t>
            </w:r>
            <w:r/>
          </w:p>
          <w:p>
            <w:pPr>
              <w:numPr>
                <w:ilvl w:val="0"/>
                <w:numId w:val="0"/>
              </w:numPr>
              <w:spacing w:line="440" w:lineRule="exact"/>
              <w:tabs>
                <w:tab w:val="left" w:pos="840" w:leader="none"/>
              </w:tabs>
              <w:rPr>
                <w:rFonts w:hint="default" w:ascii="宋体" w:hAnsi="宋体" w:eastAsia="宋体" w:cs="宋体"/>
                <w:b/>
                <w:bCs/>
                <w:sz w:val="24"/>
                <w:lang w:val="en-US" w:eastAsia="zh-CN"/>
              </w:rPr>
            </w:pPr>
            <w:r>
              <w:rPr>
                <w:rFonts w:hint="default" w:ascii="宋体" w:hAnsi="宋体" w:eastAsia="宋体" w:cs="宋体"/>
                <w:sz w:val="24"/>
                <w:lang w:val="en-US" w:eastAsia="zh-CN"/>
              </w:rPr>
              <w:t xml:space="preserve">提供设计方案或设计界面截图（须配说明）或设计思路等，且内容较详细，基本能够贴合采购需求，阐述清晰条理性一般的</w:t>
            </w:r>
            <w:r>
              <w:rPr>
                <w:rFonts w:hint="default" w:ascii="宋体" w:hAnsi="宋体" w:eastAsia="宋体" w:cs="宋体"/>
                <w:b/>
                <w:bCs/>
                <w:sz w:val="24"/>
                <w:lang w:val="en-US" w:eastAsia="zh-CN"/>
              </w:rPr>
              <w:t xml:space="preserve">得2分；</w:t>
            </w:r>
            <w:r/>
          </w:p>
          <w:p>
            <w:pPr>
              <w:numPr>
                <w:ilvl w:val="0"/>
                <w:numId w:val="0"/>
              </w:numPr>
              <w:spacing w:line="440" w:lineRule="exact"/>
              <w:tabs>
                <w:tab w:val="left" w:pos="840" w:leader="none"/>
              </w:tabs>
              <w:rPr>
                <w:rFonts w:hint="default"/>
                <w:lang w:val="en-US" w:eastAsia="zh-CN"/>
              </w:rPr>
            </w:pPr>
            <w:r>
              <w:rPr>
                <w:rFonts w:hint="default" w:ascii="宋体" w:hAnsi="宋体" w:eastAsia="宋体" w:cs="宋体"/>
                <w:sz w:val="24"/>
                <w:lang w:val="en-US" w:eastAsia="zh-CN"/>
              </w:rPr>
              <w:t xml:space="preserve">提供设计方案或设计界面截图（须配说明）或设计思路等，但内容简单粗糙，与采购需求有偏差，阐述不清晰的</w:t>
            </w:r>
            <w:r>
              <w:rPr>
                <w:rFonts w:hint="default" w:ascii="宋体" w:hAnsi="宋体" w:eastAsia="宋体" w:cs="宋体"/>
                <w:b/>
                <w:bCs/>
                <w:sz w:val="24"/>
                <w:lang w:val="en-US" w:eastAsia="zh-CN"/>
              </w:rPr>
              <w:t xml:space="preserve">得1分；该项未见描述不得分。</w:t>
            </w:r>
            <w:r/>
          </w:p>
        </w:tc>
      </w:tr>
    </w:tbl>
    <w:p>
      <w:pPr>
        <w:spacing w:line="360" w:lineRule="auto"/>
        <w:rPr>
          <w:rFonts w:hint="eastAsia" w:asciiTheme="minorEastAsia" w:hAnsiTheme="minorEastAsia" w:eastAsiaTheme="minorEastAsia" w:cstheme="minorEastAsia"/>
          <w:b/>
          <w:color w:val="000000"/>
          <w:sz w:val="24"/>
          <w:szCs w:val="24"/>
          <w:highlight w:val="none"/>
          <w:lang w:val="en-US" w:eastAsia="zh-CN"/>
        </w:rPr>
      </w:pPr>
      <w:r>
        <w:rPr>
          <w:rFonts w:hint="eastAsia" w:asciiTheme="minorEastAsia" w:hAnsiTheme="minorEastAsia" w:eastAsiaTheme="minorEastAsia" w:cstheme="minorEastAsia"/>
          <w:b/>
          <w:color w:val="000000"/>
          <w:sz w:val="24"/>
          <w:szCs w:val="24"/>
          <w:highlight w:val="none"/>
          <w:lang w:val="en-US" w:eastAsia="zh-CN"/>
        </w:rPr>
        <w:t xml:space="preserve">注</w:t>
      </w:r>
      <w:r>
        <w:rPr>
          <w:rFonts w:hint="eastAsia" w:asciiTheme="minorEastAsia" w:hAnsiTheme="minorEastAsia" w:cstheme="minorEastAsia"/>
          <w:b/>
          <w:color w:val="000000"/>
          <w:sz w:val="24"/>
          <w:szCs w:val="24"/>
          <w:highlight w:val="none"/>
          <w:lang w:val="en-US" w:eastAsia="zh-CN"/>
        </w:rPr>
        <w:t xml:space="preserve">：</w:t>
      </w:r>
      <w:r/>
    </w:p>
    <w:p>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1.</w:t>
      </w:r>
      <w:r>
        <w:rPr>
          <w:rFonts w:hint="eastAsia" w:asciiTheme="minorEastAsia" w:hAnsiTheme="minorEastAsia" w:eastAsiaTheme="minorEastAsia" w:cstheme="minorEastAsia"/>
          <w:b/>
          <w:color w:val="000000"/>
          <w:sz w:val="24"/>
          <w:szCs w:val="24"/>
          <w:highlight w:val="none"/>
        </w:rPr>
        <w:t xml:space="preserve">本项目评标标准中的技术分（</w:t>
      </w:r>
      <w:r>
        <w:rPr>
          <w:rFonts w:hint="eastAsia" w:asciiTheme="minorEastAsia" w:hAnsiTheme="minorEastAsia" w:cstheme="minorEastAsia"/>
          <w:b/>
          <w:color w:val="000000"/>
          <w:sz w:val="24"/>
          <w:szCs w:val="24"/>
          <w:highlight w:val="none"/>
          <w:lang w:val="en-US" w:eastAsia="zh-CN"/>
        </w:rPr>
        <w:t xml:space="preserve">40</w:t>
      </w:r>
      <w:r>
        <w:rPr>
          <w:rFonts w:hint="eastAsia" w:asciiTheme="minorEastAsia" w:hAnsiTheme="minorEastAsia" w:eastAsiaTheme="minorEastAsia" w:cstheme="minorEastAsia"/>
          <w:b/>
          <w:color w:val="000000"/>
          <w:sz w:val="24"/>
          <w:szCs w:val="24"/>
          <w:highlight w:val="none"/>
        </w:rPr>
        <w:t xml:space="preserve">分）采用暗标方式进行评审。</w:t>
      </w:r>
      <w:r/>
    </w:p>
    <w:p>
      <w:pPr>
        <w:spacing w:line="360" w:lineRule="auto"/>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2.</w:t>
      </w:r>
      <w:r>
        <w:rPr>
          <w:rFonts w:hint="eastAsia" w:asciiTheme="minorEastAsia" w:hAnsiTheme="minorEastAsia" w:eastAsiaTheme="minorEastAsia" w:cstheme="minorEastAsia"/>
          <w:b/>
          <w:color w:val="000000"/>
          <w:sz w:val="24"/>
          <w:szCs w:val="24"/>
          <w:highlight w:val="none"/>
        </w:rPr>
        <w:t xml:space="preserve">编制要求：</w:t>
      </w:r>
      <w:r/>
    </w:p>
    <w:p>
      <w:pPr>
        <w:spacing w:line="400" w:lineRule="exact"/>
        <w:rPr>
          <w:rFonts w:hint="eastAsia" w:asciiTheme="minorEastAsia" w:hAnsiTheme="minorEastAsia" w:eastAsiaTheme="minorEastAsia" w:cstheme="minorEastAsia"/>
          <w:b/>
          <w:color w:val="000000"/>
          <w:sz w:val="24"/>
          <w:szCs w:val="24"/>
          <w:highlight w:val="none"/>
        </w:rPr>
      </w:pPr>
      <w:r>
        <w:rPr>
          <w:rFonts w:hint="eastAsia" w:asciiTheme="minorEastAsia" w:hAnsiTheme="minorEastAsia" w:eastAsiaTheme="minorEastAsia" w:cstheme="minorEastAsia"/>
          <w:b/>
          <w:color w:val="000000"/>
          <w:sz w:val="24"/>
          <w:szCs w:val="24"/>
          <w:highlight w:val="none"/>
        </w:rPr>
        <w:t xml:space="preserve">2.1方案内容、文字</w:t>
      </w:r>
      <w:r>
        <w:rPr>
          <w:rFonts w:hint="eastAsia" w:asciiTheme="minorEastAsia" w:hAnsiTheme="minorEastAsia" w:eastAsiaTheme="minorEastAsia" w:cstheme="minorEastAsia"/>
          <w:b/>
          <w:color w:val="000000"/>
          <w:sz w:val="24"/>
          <w:szCs w:val="24"/>
          <w:highlight w:val="none"/>
          <w:lang w:eastAsia="zh-CN"/>
        </w:rPr>
        <w:t xml:space="preserve">、各类型图表、框图</w:t>
      </w:r>
      <w:r>
        <w:rPr>
          <w:rFonts w:hint="eastAsia" w:asciiTheme="minorEastAsia" w:hAnsiTheme="minorEastAsia" w:eastAsiaTheme="minorEastAsia" w:cstheme="minorEastAsia"/>
          <w:b/>
          <w:color w:val="000000"/>
          <w:sz w:val="24"/>
          <w:szCs w:val="24"/>
          <w:highlight w:val="none"/>
        </w:rPr>
        <w:t xml:space="preserve">均不得出现供应商名称、相关人员姓名和其他可识别供应商身份的字符、徽标、人员名称</w:t>
      </w:r>
      <w:r>
        <w:rPr>
          <w:rFonts w:hint="eastAsia" w:asciiTheme="minorEastAsia" w:hAnsiTheme="minorEastAsia" w:eastAsiaTheme="minorEastAsia" w:cstheme="minorEastAsia"/>
          <w:b/>
          <w:color w:val="000000"/>
          <w:sz w:val="24"/>
          <w:szCs w:val="24"/>
          <w:highlight w:val="none"/>
          <w:lang w:eastAsia="zh-CN"/>
        </w:rPr>
        <w:t xml:space="preserve">、</w:t>
      </w:r>
      <w:r>
        <w:rPr>
          <w:rFonts w:hint="eastAsia" w:asciiTheme="minorEastAsia" w:hAnsiTheme="minorEastAsia" w:eastAsiaTheme="minorEastAsia" w:cstheme="minorEastAsia"/>
          <w:b/>
          <w:color w:val="000000"/>
          <w:sz w:val="24"/>
          <w:szCs w:val="24"/>
          <w:highlight w:val="none"/>
        </w:rPr>
        <w:t xml:space="preserve">投标人独享的企业标准或编号等内容</w:t>
      </w:r>
      <w:r>
        <w:rPr>
          <w:rFonts w:hint="eastAsia" w:asciiTheme="minorEastAsia" w:hAnsiTheme="minorEastAsia" w:eastAsiaTheme="minorEastAsia" w:cstheme="minorEastAsia"/>
          <w:b/>
          <w:color w:val="000000"/>
          <w:sz w:val="24"/>
          <w:szCs w:val="24"/>
          <w:highlight w:val="none"/>
          <w:lang w:eastAsia="zh-CN"/>
        </w:rPr>
        <w:t xml:space="preserve">；</w:t>
      </w:r>
      <w:r>
        <w:rPr>
          <w:rFonts w:hint="eastAsia" w:asciiTheme="minorEastAsia" w:hAnsiTheme="minorEastAsia" w:eastAsiaTheme="minorEastAsia" w:cstheme="minorEastAsia"/>
          <w:b/>
          <w:color w:val="000000"/>
          <w:sz w:val="24"/>
          <w:szCs w:val="24"/>
          <w:highlight w:val="none"/>
        </w:rPr>
        <w:t xml:space="preserve">不得出现能显示企业特征或批注、底纹、阴影、水印等提示性的标记或标识</w:t>
      </w:r>
      <w:r>
        <w:rPr>
          <w:rFonts w:hint="eastAsia" w:asciiTheme="minorEastAsia" w:hAnsiTheme="minorEastAsia" w:eastAsiaTheme="minorEastAsia" w:cstheme="minorEastAsia"/>
          <w:b/>
          <w:color w:val="000000"/>
          <w:sz w:val="24"/>
          <w:szCs w:val="24"/>
          <w:highlight w:val="none"/>
          <w:lang w:eastAsia="zh-CN"/>
        </w:rPr>
        <w:t xml:space="preserve">；</w:t>
      </w:r>
      <w:r>
        <w:rPr>
          <w:rFonts w:hint="eastAsia" w:asciiTheme="minorEastAsia" w:hAnsiTheme="minorEastAsia" w:eastAsiaTheme="minorEastAsia" w:cstheme="minorEastAsia"/>
          <w:b/>
          <w:color w:val="000000"/>
          <w:sz w:val="24"/>
          <w:szCs w:val="24"/>
          <w:highlight w:val="none"/>
        </w:rPr>
        <w:t xml:space="preserve">不得出现以前所承担过的项目名称，不得作任何标识或暗示该供应商单位名称或人员姓名的标记</w:t>
      </w:r>
      <w:r>
        <w:rPr>
          <w:rFonts w:hint="eastAsia" w:asciiTheme="minorEastAsia" w:hAnsiTheme="minorEastAsia" w:eastAsiaTheme="minorEastAsia" w:cstheme="minorEastAsia"/>
          <w:b/>
          <w:color w:val="000000"/>
          <w:sz w:val="24"/>
          <w:szCs w:val="24"/>
          <w:highlight w:val="none"/>
          <w:lang w:eastAsia="zh-CN"/>
        </w:rPr>
        <w:t xml:space="preserve">，</w:t>
      </w:r>
      <w:r>
        <w:rPr>
          <w:rFonts w:hint="eastAsia" w:asciiTheme="minorEastAsia" w:hAnsiTheme="minorEastAsia" w:eastAsiaTheme="minorEastAsia" w:cstheme="minorEastAsia"/>
          <w:b/>
          <w:color w:val="000000"/>
          <w:sz w:val="24"/>
          <w:szCs w:val="24"/>
          <w:highlight w:val="none"/>
        </w:rPr>
        <w:t xml:space="preserve">相关人员姓名应以职务或职称代替。</w:t>
      </w:r>
      <w:r/>
    </w:p>
    <w:p>
      <w:pPr>
        <w:numPr>
          <w:ilvl w:val="0"/>
          <w:numId w:val="0"/>
        </w:numPr>
        <w:jc w:val="left"/>
        <w:keepLines w:val="0"/>
        <w:keepNext w:val="0"/>
        <w:pageBreakBefore w:val="0"/>
        <w:spacing w:line="360" w:lineRule="auto"/>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color w:val="000000"/>
          <w:sz w:val="24"/>
          <w:szCs w:val="24"/>
          <w:highlight w:val="none"/>
          <w:lang w:val="en-US" w:eastAsia="zh-CN"/>
        </w:rPr>
        <w:t xml:space="preserve">2.2</w:t>
      </w:r>
      <w:r>
        <w:rPr>
          <w:rFonts w:hint="eastAsia" w:asciiTheme="minorEastAsia" w:hAnsiTheme="minorEastAsia" w:eastAsiaTheme="minorEastAsia" w:cstheme="minorEastAsia"/>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rPr>
      </w:pPr>
      <w:r>
        <w:rPr>
          <w:rFonts w:hint="eastAsia" w:asciiTheme="minorEastAsia" w:hAnsiTheme="minorEastAsia" w:eastAsiaTheme="minorEastAsia" w:cstheme="minorEastAsia"/>
          <w:b/>
          <w:color w:val="000000"/>
          <w:sz w:val="24"/>
          <w:szCs w:val="24"/>
          <w:highlight w:val="none"/>
        </w:rPr>
        <w:t xml:space="preserve">2.3供应商需按照</w:t>
      </w:r>
      <w:r>
        <w:rPr>
          <w:rFonts w:hint="eastAsia" w:asciiTheme="minorEastAsia" w:hAnsiTheme="minorEastAsia" w:eastAsiaTheme="minorEastAsia" w:cstheme="minorEastAsia"/>
          <w:b/>
          <w:color w:val="000000"/>
          <w:sz w:val="24"/>
          <w:szCs w:val="24"/>
          <w:highlight w:val="none"/>
          <w:lang w:val="en-US" w:eastAsia="zh-CN"/>
        </w:rPr>
        <w:t xml:space="preserve">上述</w:t>
      </w:r>
      <w:r>
        <w:rPr>
          <w:rFonts w:hint="eastAsia" w:asciiTheme="minorEastAsia" w:hAnsiTheme="minorEastAsia" w:eastAsiaTheme="minorEastAsia" w:cstheme="minorEastAsia"/>
          <w:b/>
          <w:color w:val="000000"/>
          <w:sz w:val="24"/>
          <w:szCs w:val="24"/>
          <w:highlight w:val="none"/>
        </w:rPr>
        <w:t xml:space="preserve">要求编制方案，未按要求编制的本项不得分。</w:t>
      </w:r>
      <w:r/>
    </w:p>
    <w:p>
      <w:pPr>
        <w:rPr>
          <w:rFonts w:hint="eastAsia" w:ascii="黑体" w:hAnsi="黑体" w:eastAsia="黑体"/>
          <w:b w:val="0"/>
        </w:rPr>
      </w:pPr>
      <w:r/>
      <w:bookmarkStart w:id="17" w:name="_Toc162361615"/>
      <w:r>
        <w:rPr>
          <w:rFonts w:hint="eastAsia" w:ascii="黑体" w:hAnsi="黑体" w:eastAsia="黑体"/>
          <w:b w:val="0"/>
        </w:rPr>
        <w:br w:type="page" w:clear="all"/>
      </w:r>
      <w:r/>
    </w:p>
    <w:p>
      <w:pPr>
        <w:pStyle w:val="641"/>
        <w:jc w:val="center"/>
        <w:spacing w:line="360" w:lineRule="auto"/>
        <w:rPr>
          <w:rFonts w:ascii="黑体" w:hAnsi="黑体" w:eastAsia="黑体"/>
          <w:b w:val="0"/>
        </w:rPr>
      </w:pPr>
      <w:r/>
      <w:bookmarkStart w:id="18" w:name="_Toc28183"/>
      <w:r>
        <w:rPr>
          <w:rFonts w:hint="eastAsia" w:ascii="黑体" w:hAnsi="黑体" w:eastAsia="黑体"/>
          <w:b w:val="0"/>
        </w:rPr>
        <w:t xml:space="preserve">第六章  投标文件格式</w:t>
      </w:r>
      <w:bookmarkEnd w:id="17"/>
      <w:r/>
      <w:bookmarkEnd w:id="18"/>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5"/>
        <w:tblW w:w="85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3873"/>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8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645"/>
        <w:tblW w:w="85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3888"/>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888"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645"/>
        <w:tblW w:w="84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3783"/>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378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hint="eastAsia" w:ascii="Times New Roman" w:hAnsi="Times New Roman" w:eastAsia="宋体" w:cs="Times New Roman"/>
          <w:b/>
          <w:iCs/>
          <w:sz w:val="36"/>
          <w:lang w:eastAsia="zh-CN"/>
        </w:rPr>
        <w:outlineLvl w:val="1"/>
      </w:pPr>
      <w:r>
        <w:rPr>
          <w:rFonts w:hint="default"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四</w:t>
      </w:r>
      <w:r>
        <w:rPr>
          <w:rFonts w:hint="default" w:ascii="Times New Roman" w:hAnsi="Times New Roman" w:eastAsia="宋体" w:cs="Times New Roman"/>
          <w:b/>
          <w:iCs/>
          <w:sz w:val="36"/>
        </w:rPr>
        <w:t xml:space="preserve">、投标分项报价表</w:t>
      </w:r>
      <w:r>
        <w:rPr>
          <w:rFonts w:hint="eastAsia" w:ascii="Times New Roman" w:hAnsi="Times New Roman" w:eastAsia="宋体" w:cs="Times New Roman"/>
          <w:b/>
          <w:iCs/>
          <w:sz w:val="36"/>
          <w:lang w:eastAsia="zh-CN"/>
        </w:rPr>
        <w:t xml:space="preserve">（</w:t>
      </w:r>
      <w:r>
        <w:rPr>
          <w:rFonts w:hint="eastAsia" w:ascii="Times New Roman" w:hAnsi="Times New Roman" w:eastAsia="宋体" w:cs="Times New Roman"/>
          <w:b/>
          <w:iCs/>
          <w:sz w:val="36"/>
          <w:lang w:val="en-US" w:eastAsia="zh-CN"/>
        </w:rPr>
        <w:t xml:space="preserve">2个</w:t>
      </w:r>
      <w:r>
        <w:rPr>
          <w:rFonts w:hint="eastAsia" w:ascii="Times New Roman" w:hAnsi="Times New Roman" w:eastAsia="宋体" w:cs="Times New Roman"/>
          <w:b/>
          <w:iCs/>
          <w:sz w:val="36"/>
          <w:lang w:eastAsia="zh-CN"/>
        </w:rPr>
        <w:t xml:space="preserve">）</w:t>
      </w:r>
      <w:r/>
    </w:p>
    <w:p>
      <w:pPr>
        <w:jc w:val="center"/>
        <w:spacing w:line="360" w:lineRule="auto"/>
        <w:tabs>
          <w:tab w:val="left" w:pos="360" w:leader="none"/>
        </w:tabs>
        <w:rPr>
          <w:rFonts w:hint="eastAsia" w:ascii="Times New Roman" w:hAnsi="Times New Roman" w:eastAsia="黑体" w:cs="Times New Roman"/>
          <w:bCs/>
          <w:sz w:val="36"/>
          <w:szCs w:val="28"/>
          <w:lang w:eastAsia="zh-CN"/>
        </w:rPr>
      </w:pPr>
      <w:r>
        <w:rPr>
          <w:rFonts w:hint="default" w:ascii="Times New Roman" w:hAnsi="Times New Roman" w:eastAsia="黑体" w:cs="Times New Roman"/>
          <w:bCs/>
          <w:sz w:val="36"/>
          <w:szCs w:val="28"/>
        </w:rPr>
        <w:t xml:space="preserve">投标分项报价</w:t>
      </w:r>
      <w:r>
        <w:rPr>
          <w:rFonts w:hint="eastAsia" w:ascii="Times New Roman" w:hAnsi="Times New Roman" w:eastAsia="黑体" w:cs="Times New Roman"/>
          <w:bCs/>
          <w:sz w:val="36"/>
          <w:szCs w:val="28"/>
          <w:lang w:val="en-US" w:eastAsia="zh-CN"/>
        </w:rPr>
        <w:t xml:space="preserve">总</w:t>
      </w:r>
      <w:r>
        <w:rPr>
          <w:rFonts w:hint="default"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lang w:eastAsia="zh-CN"/>
        </w:rPr>
        <w:t xml:space="preserve">（</w:t>
      </w:r>
      <w:r>
        <w:rPr>
          <w:rFonts w:hint="eastAsia" w:ascii="Times New Roman" w:hAnsi="Times New Roman" w:eastAsia="黑体" w:cs="Times New Roman"/>
          <w:bCs/>
          <w:sz w:val="36"/>
          <w:szCs w:val="28"/>
          <w:lang w:val="en-US" w:eastAsia="zh-CN"/>
        </w:rPr>
        <w:t xml:space="preserve">一</w:t>
      </w:r>
      <w:r>
        <w:rPr>
          <w:rFonts w:hint="eastAsia" w:ascii="Times New Roman" w:hAnsi="Times New Roman" w:eastAsia="黑体" w:cs="Times New Roman"/>
          <w:bCs/>
          <w:sz w:val="36"/>
          <w:szCs w:val="28"/>
          <w:lang w:eastAsia="zh-CN"/>
        </w:rPr>
        <w:t xml:space="preserve">）</w:t>
      </w:r>
      <w:r/>
    </w:p>
    <w:p>
      <w:pPr>
        <w:jc w:val="left"/>
        <w:spacing w:line="560" w:lineRule="exact"/>
        <w:rPr>
          <w:rFonts w:hint="default"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注：本表格为总报价表（包含服务、货物等涉及本项目所有报价）</w:t>
      </w:r>
      <w:r/>
    </w:p>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p>
      <w:pPr>
        <w:jc w:val="right"/>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单位：元</w:t>
      </w:r>
      <w:r/>
    </w:p>
    <w:tbl>
      <w:tblPr>
        <w:tblStyle w:val="645"/>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eastAsia" w:ascii="Times New Roman" w:hAnsi="Times New Roman" w:cs="Times New Roman"/>
                <w:color w:val="000000"/>
                <w:sz w:val="24"/>
                <w:lang w:val="en-US" w:eastAsia="zh-CN"/>
              </w:rPr>
              <w:t xml:space="preserve">产品、</w:t>
            </w:r>
            <w:r>
              <w:rPr>
                <w:rFonts w:hint="default" w:ascii="Times New Roman" w:hAnsi="Times New Roman" w:cs="Times New Roman"/>
                <w:color w:val="000000"/>
                <w:sz w:val="24"/>
              </w:rPr>
              <w:t xml:space="preserve">服务（标的）名称</w:t>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单价</w:t>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单项</w:t>
            </w:r>
            <w:r/>
          </w:p>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hint="eastAsia" w:ascii="Times New Roman" w:hAnsi="Times New Roman" w:cs="Times New Roman" w:eastAsiaTheme="minorEastAsia"/>
                <w:color w:val="000000"/>
                <w:sz w:val="24"/>
                <w:lang w:eastAsia="zh-CN"/>
              </w:rPr>
            </w:pPr>
            <w:r>
              <w:rPr>
                <w:rFonts w:hint="default" w:ascii="Times New Roman" w:hAnsi="Times New Roman" w:cs="Times New Roman"/>
                <w:b/>
                <w:bCs/>
                <w:color w:val="000000"/>
                <w:sz w:val="24"/>
              </w:rPr>
              <w:t xml:space="preserve">总计（元）</w:t>
            </w:r>
            <w:r>
              <w:rPr>
                <w:rFonts w:hint="eastAsia" w:ascii="Times New Roman" w:hAnsi="Times New Roman" w:cs="Times New Roman"/>
                <w:b/>
                <w:bCs/>
                <w:color w:val="000000"/>
                <w:sz w:val="24"/>
                <w:lang w:eastAsia="zh-CN"/>
              </w:rPr>
              <w:t xml:space="preserve">（</w:t>
            </w:r>
            <w:r>
              <w:rPr>
                <w:rFonts w:hint="eastAsia" w:ascii="Times New Roman" w:hAnsi="Times New Roman" w:cs="Times New Roman"/>
                <w:b/>
                <w:bCs/>
                <w:color w:val="000000"/>
                <w:sz w:val="24"/>
                <w:lang w:val="en-US" w:eastAsia="zh-CN"/>
              </w:rPr>
              <w:t xml:space="preserve">须与开标一览表中总价一致</w:t>
            </w:r>
            <w:r>
              <w:rPr>
                <w:rFonts w:hint="eastAsia" w:ascii="Times New Roman" w:hAnsi="Times New Roman" w:cs="Times New Roman"/>
                <w:b/>
                <w:bCs/>
                <w:color w:val="000000"/>
                <w:sz w:val="24"/>
                <w:lang w:eastAsia="zh-CN"/>
              </w:rPr>
              <w:t xml:space="preserve">）</w:t>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bl>
    <w:p>
      <w:pPr>
        <w:ind w:firstLine="420"/>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法定代表人（单位负责人）或委托代理人（签字或盖章）：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ind w:firstLine="480"/>
        <w:spacing w:line="500" w:lineRule="exact"/>
        <w:rPr>
          <w:rFonts w:hint="default" w:ascii="Times New Roman" w:hAnsi="Times New Roman" w:eastAsia="宋体" w:cs="Times New Roman"/>
          <w:color w:val="000000"/>
          <w:sz w:val="24"/>
          <w:szCs w:val="24"/>
          <w:highlight w:val="yellow"/>
        </w:rPr>
      </w:pPr>
      <w:r>
        <w:rPr>
          <w:rFonts w:hint="default" w:ascii="Times New Roman" w:hAnsi="Times New Roman" w:eastAsia="宋体" w:cs="Times New Roman"/>
          <w:color w:val="000000"/>
          <w:sz w:val="24"/>
          <w:szCs w:val="24"/>
          <w:highlight w:val="yellow"/>
        </w:rPr>
      </w:r>
      <w:r/>
    </w:p>
    <w:p>
      <w:pPr>
        <w:jc w:val="center"/>
        <w:spacing w:line="360" w:lineRule="auto"/>
        <w:tabs>
          <w:tab w:val="left" w:pos="360" w:leader="none"/>
        </w:tabs>
        <w:rPr>
          <w:rFonts w:hint="default" w:ascii="Times New Roman" w:hAnsi="Times New Roman" w:cs="Times New Roman"/>
          <w:b/>
          <w:bCs/>
          <w:color w:val="000000"/>
          <w:sz w:val="24"/>
          <w:lang w:val="en-US" w:eastAsia="zh-CN"/>
        </w:rPr>
      </w:pPr>
      <w:r>
        <w:rPr>
          <w:rFonts w:hint="eastAsia" w:ascii="黑体" w:hAnsi="黑体" w:eastAsia="黑体" w:cs="宋体"/>
          <w:bCs/>
          <w:sz w:val="36"/>
          <w:szCs w:val="28"/>
          <w:lang w:val="en-US" w:eastAsia="zh-CN"/>
        </w:rPr>
        <w:t xml:space="preserve">货物</w:t>
      </w: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二</w:t>
      </w:r>
      <w:r>
        <w:rPr>
          <w:rFonts w:hint="eastAsia" w:ascii="黑体" w:hAnsi="黑体" w:eastAsia="黑体" w:cs="宋体"/>
          <w:bCs/>
          <w:sz w:val="36"/>
          <w:szCs w:val="28"/>
          <w:lang w:eastAsia="zh-CN"/>
        </w:rPr>
        <w:t xml:space="preserve">）</w:t>
      </w:r>
      <w:r/>
    </w:p>
    <w:p>
      <w:pPr>
        <w:jc w:val="left"/>
        <w:spacing w:line="560" w:lineRule="exact"/>
        <w:rPr>
          <w:rFonts w:hint="default"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注：本表格仅针对本项目中涉及的货物报价详细表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64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jc w:val="left"/>
        <w:spacing w:line="360" w:lineRule="auto"/>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w:t>
      </w:r>
      <w:r>
        <w:rPr>
          <w:rFonts w:hint="eastAsia" w:asciiTheme="minorEastAsia" w:hAnsiTheme="minorEastAsia" w:eastAsiaTheme="minorEastAsia" w:cstheme="minorEastAsia"/>
          <w:bCs/>
          <w:sz w:val="24"/>
          <w:szCs w:val="24"/>
        </w:rPr>
        <w:t xml:space="preserve">“制造商企业类型”栏填写内容为“大型”“中型”“小型”“微型”“监狱企业”或“残疾人福利性单位”。</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rPr>
        <w:t xml:space="preserve">请供应商如实、正确填写本表，所填内容将作为评审的依据，其内容应与对应的证明资料相符。</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rPr>
        <w:t xml:space="preserve">行数或事项不够，可自行增加。投标人需认真填写本报价表，尤其注意规格型号的准确填写。</w:t>
      </w:r>
      <w:r/>
    </w:p>
    <w:p>
      <w:pPr>
        <w:ind w:firstLine="480"/>
        <w:jc w:val="left"/>
        <w:spacing w:line="36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left"/>
        <w:keepLines/>
        <w:keepNext/>
        <w:spacing w:before="360" w:after="200" w:line="360" w:lineRule="auto"/>
        <w:rPr>
          <w:rFonts w:hint="eastAsia" w:ascii="Arial" w:hAnsi="Arial" w:eastAsia="宋体" w:cs="Arial"/>
          <w:b/>
          <w:bCs/>
          <w:sz w:val="32"/>
          <w:highlight w:val="none"/>
        </w:rPr>
        <w:outlineLvl w:val="1"/>
      </w:pPr>
      <w:r>
        <w:rPr>
          <w:rFonts w:hint="eastAsia" w:ascii="Arial" w:hAnsi="Arial" w:eastAsia="宋体" w:cs="Arial"/>
          <w:b/>
          <w:bCs/>
          <w:sz w:val="32"/>
          <w:highlight w:val="none"/>
          <w:lang w:val="en-US" w:eastAsia="zh-CN"/>
        </w:rPr>
        <w:t xml:space="preserve">十五、</w:t>
      </w:r>
      <w:r>
        <w:rPr>
          <w:rFonts w:hint="eastAsia" w:ascii="Arial" w:hAnsi="Arial" w:eastAsia="宋体" w:cs="Arial"/>
          <w:b/>
          <w:bCs/>
          <w:sz w:val="32"/>
          <w:highlight w:val="none"/>
        </w:rPr>
        <w:t xml:space="preserve">关于符合本国产品标准的声明函</w:t>
      </w:r>
      <w:r/>
    </w:p>
    <w:p>
      <w:pPr>
        <w:pStyle w:val="655"/>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655"/>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直接箭头连接符 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657"/>
          <w:rFonts w:hint="eastAsia" w:ascii="宋体" w:hAnsi="宋体" w:eastAsia="宋体" w:cs="宋体"/>
          <w:i w:val="0"/>
          <w:color w:val="auto"/>
          <w:sz w:val="24"/>
          <w:szCs w:val="24"/>
          <w:highlight w:val="none"/>
          <w:u w:val="single"/>
          <w:shd w:val="clear" w:color="auto" w:fill="ffffff"/>
        </w:rPr>
        <w:t xml:space="preserve">（产品名称1）</w:t>
      </w:r>
      <w:r>
        <w:rPr>
          <w:rStyle w:val="657"/>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657"/>
          <w:rFonts w:hint="eastAsia" w:ascii="宋体" w:hAnsi="宋体" w:eastAsia="宋体" w:cs="宋体"/>
          <w:i w:val="0"/>
          <w:color w:val="auto"/>
          <w:sz w:val="24"/>
          <w:szCs w:val="24"/>
          <w:highlight w:val="none"/>
          <w:u w:val="single"/>
          <w:shd w:val="clear" w:color="auto" w:fill="ffffff"/>
        </w:rPr>
        <w:t xml:space="preserve">（厂名）</w:t>
      </w:r>
      <w:r>
        <w:rPr>
          <w:rStyle w:val="657"/>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65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657"/>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657"/>
          <w:rFonts w:hint="eastAsia" w:ascii="宋体" w:hAnsi="宋体" w:eastAsia="宋体" w:cs="宋体"/>
          <w:i w:val="0"/>
          <w:color w:val="auto"/>
          <w:sz w:val="24"/>
          <w:szCs w:val="24"/>
          <w:highlight w:val="none"/>
          <w:u w:val="single"/>
          <w:shd w:val="clear" w:color="auto" w:fill="ffffff"/>
        </w:rPr>
        <w:t xml:space="preserve">（规定比例）</w:t>
      </w:r>
      <w:r>
        <w:rPr>
          <w:rStyle w:val="657"/>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65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（关键组件）</w:t>
      </w:r>
      <w:r>
        <w:rPr>
          <w:rStyle w:val="657"/>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657"/>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（关键工序）</w:t>
      </w:r>
      <w:r>
        <w:rPr>
          <w:rStyle w:val="657"/>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65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6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657"/>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657"/>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6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657"/>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657"/>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657"/>
          <w:rFonts w:hint="eastAsia" w:ascii="宋体" w:hAnsi="宋体" w:eastAsia="宋体" w:cs="宋体"/>
          <w:i w:val="0"/>
          <w:color w:val="auto"/>
          <w:sz w:val="24"/>
          <w:szCs w:val="24"/>
          <w:highlight w:val="none"/>
          <w:u w:val="single"/>
          <w:shd w:val="clear" w:color="auto" w:fill="ffffff"/>
        </w:rPr>
        <w:t xml:space="preserve">（产品名称</w:t>
      </w:r>
      <w:r>
        <w:rPr>
          <w:rStyle w:val="657"/>
          <w:rFonts w:hint="eastAsia" w:ascii="宋体" w:hAnsi="宋体" w:eastAsia="宋体" w:cs="宋体"/>
          <w:i w:val="0"/>
          <w:color w:val="auto"/>
          <w:sz w:val="24"/>
          <w:szCs w:val="24"/>
          <w:highlight w:val="none"/>
          <w:u w:val="single"/>
          <w:shd w:val="clear" w:color="auto" w:fill="ffffff"/>
          <w:lang w:val="en-US" w:eastAsia="zh-CN"/>
        </w:rPr>
        <w:t xml:space="preserve">2</w:t>
      </w:r>
      <w:r>
        <w:rPr>
          <w:rStyle w:val="657"/>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657"/>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65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655"/>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55"/>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655"/>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65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65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65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65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655"/>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655"/>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w:t>
      </w:r>
      <w:r/>
    </w:p>
    <w:p>
      <w:pPr>
        <w:pStyle w:val="655"/>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rPr>
        <w:t xml:space="preserve">国政府采购法》等法律法规规定追究相应责任。</w:t>
      </w:r>
      <w:r/>
    </w:p>
    <w:p>
      <w:pPr>
        <w:pStyle w:val="655"/>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9" w:name="_Hlt26955054"/>
      <w:r/>
      <w:bookmarkEnd w:id="19"/>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20" w:name="_Hlt26955056"/>
            <w:r/>
            <w:bookmarkEnd w:id="20"/>
            <w:r/>
            <w:bookmarkStart w:id="21" w:name="_Hlt26609391"/>
            <w:r/>
            <w:bookmarkEnd w:id="21"/>
            <w:r/>
            <w:bookmarkStart w:id="22" w:name="_Hlt26671343"/>
            <w:r/>
            <w:bookmarkEnd w:id="22"/>
            <w:r/>
            <w:bookmarkStart w:id="23" w:name="_Hlt26580838"/>
            <w:r/>
            <w:bookmarkEnd w:id="23"/>
            <w:r/>
            <w:bookmarkStart w:id="24" w:name="_Hlt26955064"/>
            <w:r/>
            <w:bookmarkEnd w:id="24"/>
            <w:r/>
            <w:bookmarkStart w:id="25" w:name="_Hlt24879081"/>
            <w:r/>
            <w:bookmarkEnd w:id="25"/>
            <w:r/>
            <w:bookmarkStart w:id="26" w:name="_Hlt26671372"/>
            <w:r/>
            <w:bookmarkEnd w:id="26"/>
            <w:r/>
            <w:bookmarkStart w:id="27" w:name="_Hlt26782999"/>
            <w:r/>
            <w:bookmarkEnd w:id="27"/>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8" w:name="_格式2__法定代表人授权书"/>
      <w:r/>
      <w:bookmarkEnd w:id="28"/>
      <w:r/>
      <w:bookmarkStart w:id="29" w:name="_Hlt26955066"/>
      <w:r/>
      <w:bookmarkEnd w:id="29"/>
      <w:r/>
      <w:bookmarkStart w:id="30" w:name="_Hlt26671374"/>
      <w:r/>
      <w:bookmarkEnd w:id="30"/>
      <w:r/>
      <w:bookmarkStart w:id="31" w:name="_Hlt26609389"/>
      <w:r/>
      <w:bookmarkEnd w:id="31"/>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八</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九</w:t>
      </w:r>
      <w:r>
        <w:rPr>
          <w:rFonts w:hint="eastAsia" w:ascii="Arial" w:hAnsi="Arial" w:eastAsia="宋体" w:cs="Arial"/>
          <w:b/>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645"/>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Pr>
          <w:rFonts w:hint="eastAsia"/>
          <w:sz w:val="24"/>
          <w:szCs w:val="24"/>
        </w:rPr>
        <w:t xml:space="preserve">   </w:t>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lang w:val="en-US" w:eastAsia="zh-CN"/>
        </w:rPr>
        <w:t xml:space="preserve">二十</w:t>
      </w:r>
      <w:r>
        <w:rPr>
          <w:rFonts w:hint="eastAsia" w:ascii="Arial" w:hAnsi="Arial" w:eastAsia="宋体" w:cs="Arial"/>
          <w:b/>
          <w:sz w:val="36"/>
          <w:highlight w:val="non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65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649"/>
      </w:pPr>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方正魏碑_GBK">
    <w:panose1 w:val="020B0503020202020204"/>
  </w:font>
  <w:font w:name="MS Gothic">
    <w:panose1 w:val="020B0609070205080204"/>
  </w:font>
  <w:font w:name="Calibri">
    <w:panose1 w:val="020F0502020204030204"/>
  </w:font>
  <w:font w:name="MS Mincho">
    <w:panose1 w:val="02020603050405090304"/>
  </w:font>
  <w:font w:name="Courier New">
    <w:panose1 w:val="020703090202050204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2"/>
      <w:jc w:val="center"/>
    </w:pPr>
    <w:r/>
    <w:r/>
  </w:p>
  <w:p>
    <w:pPr>
      <w:pStyle w:val="6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52"/>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6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4"/>
    <w:link w:val="641"/>
    <w:uiPriority w:val="9"/>
    <w:rPr>
      <w:rFonts w:ascii="Arial" w:hAnsi="Arial" w:eastAsia="Arial" w:cs="Arial"/>
      <w:sz w:val="40"/>
      <w:szCs w:val="40"/>
    </w:rPr>
  </w:style>
  <w:style w:type="character" w:styleId="15">
    <w:name w:val="Heading 2 Char"/>
    <w:basedOn w:val="644"/>
    <w:link w:val="642"/>
    <w:uiPriority w:val="9"/>
    <w:rPr>
      <w:rFonts w:ascii="Arial" w:hAnsi="Arial" w:eastAsia="Arial" w:cs="Arial"/>
      <w:sz w:val="34"/>
    </w:rPr>
  </w:style>
  <w:style w:type="character" w:styleId="17">
    <w:name w:val="Heading 3 Char"/>
    <w:basedOn w:val="644"/>
    <w:link w:val="643"/>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4"/>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4"/>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4"/>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4"/>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4"/>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4"/>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644"/>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644"/>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4"/>
    <w:link w:val="653"/>
    <w:uiPriority w:val="99"/>
  </w:style>
  <w:style w:type="character" w:styleId="44">
    <w:name w:val="Footer Char"/>
    <w:basedOn w:val="644"/>
    <w:link w:val="652"/>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8">
    <w:name w:val="Table Grid Light"/>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4"/>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4"/>
    <w:uiPriority w:val="99"/>
    <w:semiHidden/>
    <w:unhideWhenUsed/>
    <w:rPr>
      <w:vertAlign w:val="superscript"/>
    </w:rPr>
  </w:style>
  <w:style w:type="paragraph" w:styleId="181">
    <w:name w:val="toc 2"/>
    <w:basedOn w:val="640"/>
    <w:next w:val="640"/>
    <w:uiPriority w:val="39"/>
    <w:unhideWhenUsed/>
    <w:pPr>
      <w:ind w:left="283" w:right="0" w:firstLine="0"/>
      <w:spacing w:after="57"/>
    </w:pPr>
  </w:style>
  <w:style w:type="paragraph" w:styleId="182">
    <w:name w:val="toc 3"/>
    <w:basedOn w:val="640"/>
    <w:next w:val="640"/>
    <w:uiPriority w:val="39"/>
    <w:unhideWhenUsed/>
    <w:pPr>
      <w:ind w:left="567" w:right="0" w:firstLine="0"/>
      <w:spacing w:after="57"/>
    </w:pPr>
  </w:style>
  <w:style w:type="paragraph" w:styleId="183">
    <w:name w:val="toc 4"/>
    <w:basedOn w:val="640"/>
    <w:next w:val="640"/>
    <w:uiPriority w:val="39"/>
    <w:unhideWhenUsed/>
    <w:pPr>
      <w:ind w:left="850" w:right="0" w:firstLine="0"/>
      <w:spacing w:after="57"/>
    </w:pPr>
  </w:style>
  <w:style w:type="paragraph" w:styleId="184">
    <w:name w:val="toc 5"/>
    <w:basedOn w:val="640"/>
    <w:next w:val="640"/>
    <w:uiPriority w:val="39"/>
    <w:unhideWhenUsed/>
    <w:pPr>
      <w:ind w:left="1134" w:right="0" w:firstLine="0"/>
      <w:spacing w:after="57"/>
    </w:pPr>
  </w:style>
  <w:style w:type="paragraph" w:styleId="185">
    <w:name w:val="toc 6"/>
    <w:basedOn w:val="640"/>
    <w:next w:val="640"/>
    <w:uiPriority w:val="39"/>
    <w:unhideWhenUsed/>
    <w:pPr>
      <w:ind w:left="1417" w:right="0" w:firstLine="0"/>
      <w:spacing w:after="57"/>
    </w:pPr>
  </w:style>
  <w:style w:type="paragraph" w:styleId="186">
    <w:name w:val="toc 7"/>
    <w:basedOn w:val="640"/>
    <w:next w:val="640"/>
    <w:uiPriority w:val="39"/>
    <w:unhideWhenUsed/>
    <w:pPr>
      <w:ind w:left="1701" w:right="0" w:firstLine="0"/>
      <w:spacing w:after="57"/>
    </w:pPr>
  </w:style>
  <w:style w:type="paragraph" w:styleId="187">
    <w:name w:val="toc 8"/>
    <w:basedOn w:val="640"/>
    <w:next w:val="640"/>
    <w:uiPriority w:val="39"/>
    <w:unhideWhenUsed/>
    <w:pPr>
      <w:ind w:left="1984" w:right="0" w:firstLine="0"/>
      <w:spacing w:after="57"/>
    </w:pPr>
  </w:style>
  <w:style w:type="paragraph" w:styleId="188">
    <w:name w:val="toc 9"/>
    <w:basedOn w:val="640"/>
    <w:next w:val="64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41">
    <w:name w:val="Heading 1"/>
    <w:basedOn w:val="640"/>
    <w:next w:val="640"/>
    <w:link w:val="663"/>
    <w:uiPriority w:val="9"/>
    <w:qFormat/>
    <w:pPr>
      <w:keepLines/>
      <w:keepNext/>
      <w:spacing w:before="340" w:after="330" w:line="578" w:lineRule="auto"/>
      <w:outlineLvl w:val="0"/>
    </w:pPr>
    <w:rPr>
      <w:b/>
      <w:bCs/>
      <w:sz w:val="44"/>
      <w:szCs w:val="44"/>
    </w:rPr>
  </w:style>
  <w:style w:type="paragraph" w:styleId="642">
    <w:name w:val="Heading 2"/>
    <w:basedOn w:val="640"/>
    <w:next w:val="640"/>
    <w:link w:val="6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3">
    <w:name w:val="Heading 3"/>
    <w:basedOn w:val="640"/>
    <w:next w:val="640"/>
    <w:link w:val="666"/>
    <w:uiPriority w:val="9"/>
    <w:unhideWhenUsed/>
    <w:qFormat/>
    <w:pPr>
      <w:keepLines/>
      <w:keepNext/>
      <w:spacing w:before="260" w:after="260" w:line="416" w:lineRule="auto"/>
      <w:outlineLvl w:val="2"/>
    </w:pPr>
    <w:rPr>
      <w:b/>
      <w:bCs/>
      <w:sz w:val="32"/>
      <w:szCs w:val="32"/>
    </w:rPr>
  </w:style>
  <w:style w:type="character" w:styleId="644" w:default="1">
    <w:name w:val="Default Paragraph Font"/>
    <w:uiPriority w:val="1"/>
    <w:semiHidden/>
    <w:unhideWhenUsed/>
    <w:qFormat/>
  </w:style>
  <w:style w:type="table" w:styleId="645" w:default="1">
    <w:name w:val="Normal Table"/>
    <w:uiPriority w:val="99"/>
    <w:semiHidden/>
    <w:unhideWhenUsed/>
    <w:qFormat/>
    <w:tblPr>
      <w:tblCellMar>
        <w:left w:w="108" w:type="dxa"/>
        <w:top w:w="0" w:type="dxa"/>
        <w:right w:w="108" w:type="dxa"/>
        <w:bottom w:w="0" w:type="dxa"/>
      </w:tblCellMar>
    </w:tblPr>
  </w:style>
  <w:style w:type="paragraph" w:styleId="646">
    <w:name w:val="Normal Indent"/>
    <w:basedOn w:val="640"/>
    <w:uiPriority w:val="0"/>
    <w:qFormat/>
    <w:pPr>
      <w:ind w:firstLine="420"/>
    </w:pPr>
    <w:rPr>
      <w:szCs w:val="20"/>
    </w:rPr>
  </w:style>
  <w:style w:type="paragraph" w:styleId="647">
    <w:name w:val="Document Map"/>
    <w:basedOn w:val="640"/>
    <w:link w:val="664"/>
    <w:uiPriority w:val="99"/>
    <w:semiHidden/>
    <w:unhideWhenUsed/>
    <w:qFormat/>
    <w:rPr>
      <w:rFonts w:ascii="宋体" w:eastAsia="宋体"/>
      <w:sz w:val="18"/>
      <w:szCs w:val="18"/>
    </w:rPr>
  </w:style>
  <w:style w:type="paragraph" w:styleId="648">
    <w:name w:val="annotation text"/>
    <w:basedOn w:val="640"/>
    <w:link w:val="668"/>
    <w:uiPriority w:val="0"/>
    <w:qFormat/>
    <w:pPr>
      <w:ind w:firstLine="922"/>
      <w:jc w:val="left"/>
      <w:spacing w:line="360" w:lineRule="auto"/>
    </w:pPr>
    <w:rPr>
      <w:rFonts w:ascii="Times New Roman" w:hAnsi="Times New Roman" w:eastAsia="宋体" w:cs="Times New Roman"/>
      <w:szCs w:val="24"/>
    </w:rPr>
  </w:style>
  <w:style w:type="paragraph" w:styleId="649">
    <w:name w:val="Plain Text"/>
    <w:basedOn w:val="640"/>
    <w:link w:val="671"/>
    <w:uiPriority w:val="0"/>
    <w:qFormat/>
    <w:rPr>
      <w:rFonts w:ascii="宋体" w:hAnsi="Courier New" w:eastAsia="宋体" w:cs="Times New Roman"/>
      <w:szCs w:val="20"/>
    </w:rPr>
  </w:style>
  <w:style w:type="paragraph" w:styleId="650">
    <w:name w:val="Date"/>
    <w:basedOn w:val="640"/>
    <w:next w:val="640"/>
    <w:link w:val="667"/>
    <w:uiPriority w:val="99"/>
    <w:semiHidden/>
    <w:unhideWhenUsed/>
    <w:qFormat/>
    <w:pPr>
      <w:ind w:left="100"/>
    </w:pPr>
  </w:style>
  <w:style w:type="paragraph" w:styleId="651">
    <w:name w:val="Balloon Text"/>
    <w:basedOn w:val="640"/>
    <w:link w:val="669"/>
    <w:uiPriority w:val="99"/>
    <w:semiHidden/>
    <w:unhideWhenUsed/>
    <w:qFormat/>
    <w:rPr>
      <w:sz w:val="18"/>
      <w:szCs w:val="18"/>
    </w:rPr>
  </w:style>
  <w:style w:type="paragraph" w:styleId="652">
    <w:name w:val="Footer"/>
    <w:basedOn w:val="640"/>
    <w:link w:val="662"/>
    <w:uiPriority w:val="99"/>
    <w:unhideWhenUsed/>
    <w:qFormat/>
    <w:pPr>
      <w:jc w:val="left"/>
      <w:tabs>
        <w:tab w:val="center" w:pos="4153" w:leader="none"/>
        <w:tab w:val="right" w:pos="8306" w:leader="none"/>
      </w:tabs>
    </w:pPr>
    <w:rPr>
      <w:sz w:val="18"/>
      <w:szCs w:val="18"/>
    </w:rPr>
  </w:style>
  <w:style w:type="paragraph" w:styleId="653">
    <w:name w:val="Header"/>
    <w:basedOn w:val="640"/>
    <w:link w:val="6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54">
    <w:name w:val="toc 1"/>
    <w:basedOn w:val="640"/>
    <w:next w:val="640"/>
    <w:uiPriority w:val="39"/>
    <w:unhideWhenUsed/>
    <w:qFormat/>
    <w:pPr>
      <w:jc w:val="center"/>
      <w:spacing w:line="360" w:lineRule="auto"/>
      <w:tabs>
        <w:tab w:val="right" w:pos="9628" w:leader="dot"/>
      </w:tabs>
    </w:pPr>
    <w:rPr>
      <w:sz w:val="32"/>
    </w:rPr>
  </w:style>
  <w:style w:type="paragraph" w:styleId="655">
    <w:name w:val="Normal (Web)"/>
    <w:basedOn w:val="640"/>
    <w:uiPriority w:val="99"/>
    <w:unhideWhenUsed/>
    <w:qFormat/>
    <w:pPr>
      <w:jc w:val="left"/>
      <w:spacing w:before="100" w:beforeAutospacing="1" w:after="100" w:afterAutospacing="1"/>
      <w:widowControl/>
    </w:pPr>
    <w:rPr>
      <w:rFonts w:ascii="宋体" w:hAnsi="宋体" w:eastAsia="宋体" w:cs="宋体"/>
      <w:sz w:val="24"/>
      <w:szCs w:val="24"/>
    </w:rPr>
  </w:style>
  <w:style w:type="table" w:styleId="656">
    <w:name w:val="Table Grid"/>
    <w:basedOn w:val="64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7">
    <w:name w:val="Emphasis"/>
    <w:uiPriority w:val="0"/>
    <w:qFormat/>
    <w:rPr>
      <w:i/>
    </w:rPr>
  </w:style>
  <w:style w:type="character" w:styleId="658">
    <w:name w:val="Hyperlink"/>
    <w:uiPriority w:val="99"/>
    <w:qFormat/>
    <w:rPr>
      <w:color w:val="0000ff"/>
      <w:u w:val="none"/>
    </w:rPr>
  </w:style>
  <w:style w:type="character" w:styleId="659">
    <w:name w:val="annotation reference"/>
    <w:uiPriority w:val="0"/>
    <w:qFormat/>
    <w:rPr>
      <w:sz w:val="21"/>
      <w:szCs w:val="21"/>
    </w:rPr>
  </w:style>
  <w:style w:type="paragraph" w:styleId="660" w:customStyle="1">
    <w:name w:val="Default"/>
    <w:link w:val="670"/>
    <w:uiPriority w:val="99"/>
    <w:qFormat/>
    <w:pPr>
      <w:widowControl w:val="off"/>
    </w:pPr>
    <w:rPr>
      <w:rFonts w:ascii="MS Mincho" w:hAnsi="Calibri" w:eastAsia="宋体" w:cs="Times New Roman"/>
      <w:color w:val="000000"/>
      <w:sz w:val="21"/>
      <w:szCs w:val="24"/>
      <w:lang w:val="en-US" w:eastAsia="zh-CN" w:bidi="ar-SA"/>
    </w:rPr>
  </w:style>
  <w:style w:type="character" w:styleId="661" w:customStyle="1">
    <w:name w:val="页眉 Char"/>
    <w:basedOn w:val="644"/>
    <w:link w:val="653"/>
    <w:uiPriority w:val="99"/>
    <w:semiHidden/>
    <w:qFormat/>
    <w:rPr>
      <w:sz w:val="18"/>
      <w:szCs w:val="18"/>
    </w:rPr>
  </w:style>
  <w:style w:type="character" w:styleId="662" w:customStyle="1">
    <w:name w:val="页脚 Char"/>
    <w:basedOn w:val="644"/>
    <w:link w:val="652"/>
    <w:uiPriority w:val="99"/>
    <w:qFormat/>
    <w:rPr>
      <w:sz w:val="18"/>
      <w:szCs w:val="18"/>
    </w:rPr>
  </w:style>
  <w:style w:type="character" w:styleId="663" w:customStyle="1">
    <w:name w:val="标题 1 Char"/>
    <w:basedOn w:val="644"/>
    <w:link w:val="641"/>
    <w:uiPriority w:val="9"/>
    <w:qFormat/>
    <w:rPr>
      <w:b/>
      <w:bCs/>
      <w:sz w:val="44"/>
      <w:szCs w:val="44"/>
    </w:rPr>
  </w:style>
  <w:style w:type="character" w:styleId="664" w:customStyle="1">
    <w:name w:val="文档结构图 Char"/>
    <w:basedOn w:val="644"/>
    <w:link w:val="647"/>
    <w:uiPriority w:val="99"/>
    <w:semiHidden/>
    <w:qFormat/>
    <w:rPr>
      <w:rFonts w:ascii="宋体" w:eastAsia="宋体"/>
      <w:sz w:val="18"/>
      <w:szCs w:val="18"/>
    </w:rPr>
  </w:style>
  <w:style w:type="character" w:styleId="665" w:customStyle="1">
    <w:name w:val="标题 2 Char"/>
    <w:basedOn w:val="644"/>
    <w:link w:val="642"/>
    <w:uiPriority w:val="9"/>
    <w:qFormat/>
    <w:rPr>
      <w:rFonts w:asciiTheme="majorHAnsi" w:hAnsiTheme="majorHAnsi" w:eastAsiaTheme="majorEastAsia" w:cstheme="majorBidi"/>
      <w:b/>
      <w:bCs/>
      <w:sz w:val="32"/>
      <w:szCs w:val="32"/>
    </w:rPr>
  </w:style>
  <w:style w:type="character" w:styleId="666" w:customStyle="1">
    <w:name w:val="标题 3 Char"/>
    <w:basedOn w:val="644"/>
    <w:link w:val="643"/>
    <w:uiPriority w:val="9"/>
    <w:qFormat/>
    <w:rPr>
      <w:b/>
      <w:bCs/>
      <w:sz w:val="32"/>
      <w:szCs w:val="32"/>
    </w:rPr>
  </w:style>
  <w:style w:type="character" w:styleId="667" w:customStyle="1">
    <w:name w:val="日期 Char"/>
    <w:basedOn w:val="644"/>
    <w:link w:val="650"/>
    <w:uiPriority w:val="99"/>
    <w:semiHidden/>
    <w:qFormat/>
  </w:style>
  <w:style w:type="character" w:styleId="668" w:customStyle="1">
    <w:name w:val="批注文字 Char"/>
    <w:basedOn w:val="644"/>
    <w:link w:val="648"/>
    <w:uiPriority w:val="0"/>
    <w:qFormat/>
    <w:rPr>
      <w:rFonts w:ascii="Times New Roman" w:hAnsi="Times New Roman" w:eastAsia="宋体" w:cs="Times New Roman"/>
      <w:szCs w:val="24"/>
    </w:rPr>
  </w:style>
  <w:style w:type="character" w:styleId="669" w:customStyle="1">
    <w:name w:val="批注框文本 Char"/>
    <w:basedOn w:val="644"/>
    <w:link w:val="651"/>
    <w:uiPriority w:val="99"/>
    <w:semiHidden/>
    <w:qFormat/>
    <w:rPr>
      <w:sz w:val="18"/>
      <w:szCs w:val="18"/>
    </w:rPr>
  </w:style>
  <w:style w:type="character" w:styleId="670" w:customStyle="1">
    <w:name w:val="Default Char"/>
    <w:link w:val="660"/>
    <w:uiPriority w:val="99"/>
    <w:qFormat/>
    <w:rPr>
      <w:rFonts w:ascii="MS Mincho" w:hAnsi="Calibri" w:eastAsia="宋体" w:cs="Times New Roman"/>
      <w:color w:val="000000"/>
      <w:szCs w:val="24"/>
    </w:rPr>
  </w:style>
  <w:style w:type="character" w:styleId="671" w:customStyle="1">
    <w:name w:val="纯文本 Char"/>
    <w:basedOn w:val="644"/>
    <w:link w:val="649"/>
    <w:uiPriority w:val="0"/>
    <w:qFormat/>
    <w:rPr>
      <w:rFonts w:ascii="宋体" w:hAnsi="Courier New" w:eastAsia="宋体" w:cs="Times New Roman"/>
      <w:szCs w:val="20"/>
    </w:rPr>
  </w:style>
  <w:style w:type="character" w:styleId="672" w:customStyle="1">
    <w:name w:val="font121"/>
    <w:basedOn w:val="644"/>
    <w:uiPriority w:val="0"/>
    <w:qFormat/>
    <w:rPr>
      <w:rFonts w:ascii="MS Gothic" w:hAnsi="MS Gothic" w:eastAsia="MS Gothic" w:cs="MS Gothic"/>
      <w:color w:val="000000"/>
      <w:sz w:val="20"/>
      <w:szCs w:val="20"/>
      <w:u w:val="none"/>
    </w:rPr>
  </w:style>
  <w:style w:type="paragraph" w:styleId="673" w:customStyle="1">
    <w:name w:val="正文首行缩进11"/>
    <w:basedOn w:val="674"/>
    <w:uiPriority w:val="0"/>
    <w:qFormat/>
    <w:pPr>
      <w:ind w:firstLine="200"/>
      <w:spacing w:line="360" w:lineRule="auto"/>
    </w:pPr>
    <w:rPr>
      <w:rFonts w:ascii="仿宋_GB2312" w:hAnsi="Times New Roman" w:eastAsia="仿宋_GB2312"/>
      <w:sz w:val="30"/>
      <w:szCs w:val="30"/>
    </w:rPr>
  </w:style>
  <w:style w:type="paragraph" w:styleId="674" w:customStyle="1">
    <w:name w:val="正文文本11"/>
    <w:basedOn w:val="640"/>
    <w:next w:val="640"/>
    <w:uiPriority w:val="0"/>
    <w:qFormat/>
    <w:rPr>
      <w:rFonts w:ascii="楷体_GB2312" w:hAnsi="Arial" w:eastAsia="楷体_GB2312"/>
      <w:sz w:val="28"/>
      <w:szCs w:val="28"/>
      <w:lang w:eastAsia="en-US"/>
    </w:rPr>
  </w:style>
  <w:style w:type="numbering" w:styleId="1002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1</cp:revision>
  <dcterms:created xsi:type="dcterms:W3CDTF">2024-01-04T11:50:00Z</dcterms:created>
  <dcterms:modified xsi:type="dcterms:W3CDTF">2026-09-24T07:19:11Z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2052-12.1.0.28505</vt:lpwstr>
  </property>
  <property fmtid="{D5CDD505-2E9C-101B-9397-08002B2CF9AE}" pid="4" name="ICV">
    <vt:lpwstr>9FAB76801CFD4E0C8547FD1D0AE5A83E_13</vt:lpwstr>
  </property>
</Properties>
</file>