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3"/>
        <w:spacing w:line="360" w:lineRule="auto"/>
        <w:shd w:val="clear" w:color="auto" w:fill="ffffff"/>
        <w:widowControl/>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33"/>
        <w:jc w:val="center"/>
        <w:spacing w:line="360" w:lineRule="auto"/>
        <w:shd w:val="clear" w:color="auto" w:fill="ffffff"/>
        <w:widowControl/>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南京师范大学附属中学</w:t>
      </w:r>
      <w:r>
        <w:rPr>
          <w:rFonts w:hint="eastAsia" w:ascii="宋体" w:hAnsi="宋体" w:cs="宋体"/>
          <w:b/>
          <w:color w:val="000000"/>
          <w:sz w:val="44"/>
          <w:szCs w:val="44"/>
          <w:highlight w:val="none"/>
        </w:rPr>
      </w:r>
      <w:r/>
    </w:p>
    <w:p>
      <w:pPr>
        <w:pStyle w:val="933"/>
        <w:jc w:val="center"/>
        <w:spacing w:line="360" w:lineRule="auto"/>
        <w:shd w:val="clear" w:color="auto" w:fill="ffffff"/>
        <w:widowControl/>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南京师范大学附属中学晓庄校区实验室与专用教室（二期）设备</w:t>
      </w:r>
      <w:r>
        <w:rPr>
          <w:rFonts w:hint="eastAsia" w:ascii="宋体" w:hAnsi="宋体" w:cs="宋体"/>
          <w:b/>
          <w:color w:val="000000"/>
          <w:sz w:val="44"/>
          <w:szCs w:val="44"/>
          <w:highlight w:val="none"/>
        </w:rPr>
      </w:r>
      <w:r/>
    </w:p>
    <w:p>
      <w:pPr>
        <w:pStyle w:val="969"/>
        <w:rPr>
          <w:rFonts w:hint="eastAsia" w:ascii="宋体" w:hAnsi="宋体" w:cs="宋体"/>
          <w:color w:val="000000"/>
          <w:highlight w:val="none"/>
        </w:rPr>
      </w:pPr>
      <w:r>
        <w:rPr>
          <w:rFonts w:hint="eastAsia" w:ascii="宋体" w:hAnsi="宋体" w:cs="宋体"/>
          <w:color w:val="000000"/>
          <w:highlight w:val="none"/>
        </w:rPr>
      </w:r>
      <w:r/>
    </w:p>
    <w:p>
      <w:pPr>
        <w:pStyle w:val="969"/>
        <w:jc w:val="center"/>
        <w:rPr>
          <w:rFonts w:hint="eastAsia" w:ascii="宋体" w:hAnsi="宋体" w:cs="宋体"/>
          <w:color w:val="000000"/>
          <w:highlight w:val="none"/>
        </w:rPr>
      </w:pPr>
      <w:r>
        <w:rPr>
          <w:rFonts w:hint="eastAsia" w:ascii="宋体" w:hAnsi="宋体" w:cs="宋体"/>
          <w:color w:val="000000"/>
          <w:highlight w:val="none"/>
        </w:rPr>
      </w:r>
      <w:r/>
    </w:p>
    <w:p>
      <w:pPr>
        <w:pStyle w:val="969"/>
        <w:jc w:val="center"/>
        <w:rPr>
          <w:rFonts w:hint="eastAsia" w:ascii="宋体" w:hAnsi="宋体" w:cs="宋体"/>
          <w:color w:val="000000"/>
          <w:highlight w:val="none"/>
        </w:rPr>
      </w:pPr>
      <w:r>
        <w:rPr>
          <w:rFonts w:hint="eastAsia" w:ascii="宋体" w:hAnsi="宋体" w:cs="宋体"/>
          <w:color w:val="000000"/>
          <w:highlight w:val="none"/>
        </w:rPr>
      </w:r>
      <w:r/>
    </w:p>
    <w:p>
      <w:pPr>
        <w:pStyle w:val="969"/>
        <w:rPr>
          <w:rFonts w:hint="eastAsia" w:ascii="宋体" w:hAnsi="宋体" w:cs="宋体"/>
          <w:color w:val="000000"/>
          <w:highlight w:val="none"/>
        </w:rPr>
      </w:pPr>
      <w:r>
        <w:rPr>
          <w:rFonts w:hint="eastAsia" w:ascii="宋体" w:hAnsi="宋体" w:cs="宋体"/>
          <w:color w:val="000000"/>
          <w:highlight w:val="none"/>
        </w:rPr>
      </w:r>
      <w:r/>
    </w:p>
    <w:p>
      <w:pPr>
        <w:pStyle w:val="933"/>
        <w:jc w:val="center"/>
        <w:spacing w:line="360" w:lineRule="auto"/>
        <w:widowControl/>
        <w:rPr>
          <w:rFonts w:hint="eastAsia" w:ascii="宋体" w:hAnsi="宋体" w:cs="宋体"/>
          <w:b/>
          <w:color w:val="000000"/>
          <w:sz w:val="72"/>
          <w:szCs w:val="72"/>
          <w:highlight w:val="none"/>
        </w:rPr>
      </w:pPr>
      <w:r>
        <w:rPr>
          <w:rFonts w:hint="eastAsia" w:ascii="宋体" w:hAnsi="宋体" w:cs="宋体"/>
          <w:b/>
          <w:color w:val="000000"/>
          <w:sz w:val="72"/>
          <w:szCs w:val="72"/>
          <w:highlight w:val="none"/>
        </w:rPr>
        <w:t xml:space="preserve">招 标 文 件</w:t>
      </w:r>
      <w:r>
        <w:rPr>
          <w:rFonts w:hint="eastAsia" w:ascii="宋体" w:hAnsi="宋体" w:cs="宋体"/>
          <w:b/>
          <w:color w:val="000000"/>
          <w:sz w:val="72"/>
          <w:szCs w:val="72"/>
          <w:highlight w:val="none"/>
        </w:rPr>
      </w:r>
      <w:r/>
    </w:p>
    <w:p>
      <w:pPr>
        <w:pStyle w:val="933"/>
        <w:jc w:val="center"/>
        <w:spacing w:line="360" w:lineRule="auto"/>
        <w:widowControl/>
        <w:rPr>
          <w:rFonts w:ascii="宋体" w:hAnsi="宋体" w:cs="宋体"/>
          <w:b/>
          <w:color w:val="000000"/>
          <w:sz w:val="36"/>
          <w:szCs w:val="36"/>
          <w:highlight w:val="none"/>
        </w:rPr>
      </w:pPr>
      <w:r>
        <w:rPr>
          <w:rFonts w:hint="eastAsia" w:ascii="宋体" w:hAnsi="宋体" w:cs="宋体"/>
          <w:b/>
          <w:color w:val="000000"/>
          <w:sz w:val="32"/>
          <w:szCs w:val="32"/>
          <w:highlight w:val="none"/>
        </w:rPr>
        <w:t xml:space="preserve">项目编号：JSZC-320100-JLAL-G2026-0003</w:t>
      </w:r>
      <w:r>
        <w:rPr>
          <w:rFonts w:ascii="宋体" w:hAnsi="宋体" w:cs="宋体"/>
          <w:b/>
          <w:color w:val="000000"/>
          <w:sz w:val="36"/>
          <w:szCs w:val="36"/>
          <w:highlight w:val="none"/>
        </w:rPr>
      </w:r>
      <w:r/>
    </w:p>
    <w:p>
      <w:pPr>
        <w:pStyle w:val="969"/>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933"/>
        <w:ind w:firstLine="904"/>
        <w:spacing w:line="360" w:lineRule="auto"/>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933"/>
        <w:ind w:firstLine="904"/>
        <w:spacing w:line="360" w:lineRule="auto"/>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933"/>
        <w:ind w:firstLine="904"/>
        <w:spacing w:line="360" w:lineRule="auto"/>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采购人：南京师范大学附属中学</w:t>
      </w:r>
      <w:r>
        <w:rPr>
          <w:rFonts w:hint="eastAsia" w:ascii="宋体" w:hAnsi="宋体" w:cs="宋体"/>
          <w:b/>
          <w:color w:val="000000"/>
          <w:sz w:val="36"/>
          <w:szCs w:val="36"/>
          <w:highlight w:val="none"/>
        </w:rPr>
      </w:r>
      <w:r/>
    </w:p>
    <w:p>
      <w:pPr>
        <w:pStyle w:val="933"/>
        <w:ind w:firstLine="904"/>
        <w:spacing w:line="360" w:lineRule="auto"/>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采购代理机构：江苏嘉里工程咨询有限公司</w:t>
      </w:r>
      <w:r>
        <w:rPr>
          <w:rFonts w:hint="eastAsia" w:ascii="宋体" w:hAnsi="宋体" w:cs="宋体"/>
          <w:b/>
          <w:color w:val="000000"/>
          <w:sz w:val="36"/>
          <w:szCs w:val="36"/>
          <w:highlight w:val="none"/>
        </w:rPr>
      </w:r>
      <w:r/>
    </w:p>
    <w:p>
      <w:pPr>
        <w:pStyle w:val="933"/>
        <w:ind w:firstLine="904"/>
        <w:spacing w:line="360" w:lineRule="auto"/>
        <w:shd w:val="clear" w:color="auto" w:fill="ffffff"/>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日期：二〇二六年八月</w:t>
      </w:r>
      <w:r>
        <w:rPr>
          <w:rFonts w:hint="eastAsia" w:ascii="宋体" w:hAnsi="宋体" w:cs="宋体"/>
          <w:b/>
          <w:color w:val="000000"/>
          <w:sz w:val="36"/>
          <w:szCs w:val="36"/>
          <w:highlight w:val="none"/>
        </w:rPr>
      </w:r>
      <w:r/>
    </w:p>
    <w:p>
      <w:pPr>
        <w:pStyle w:val="933"/>
        <w:jc w:val="center"/>
        <w:widowControl/>
        <w:rPr>
          <w:rFonts w:hint="eastAsia" w:ascii="宋体" w:hAnsi="宋体" w:cs="宋体"/>
          <w:color w:val="000000"/>
          <w:sz w:val="44"/>
          <w:szCs w:val="44"/>
          <w:highlight w:val="none"/>
          <w:lang w:val="zh-CN"/>
        </w:rPr>
      </w:pPr>
      <w:r>
        <w:rPr>
          <w:rFonts w:hint="eastAsia" w:ascii="宋体" w:hAnsi="宋体" w:cs="宋体"/>
          <w:color w:val="000000"/>
          <w:sz w:val="44"/>
          <w:szCs w:val="44"/>
          <w:highlight w:val="none"/>
          <w:lang w:val="zh-CN"/>
        </w:rPr>
        <w:br w:type="page" w:clear="all"/>
      </w:r>
      <w:r>
        <w:rPr>
          <w:rFonts w:hint="eastAsia" w:ascii="宋体" w:hAnsi="宋体" w:cs="宋体"/>
          <w:color w:val="000000"/>
          <w:sz w:val="44"/>
          <w:szCs w:val="44"/>
          <w:highlight w:val="none"/>
          <w:lang w:val="zh-CN"/>
        </w:rPr>
      </w:r>
      <w:r/>
    </w:p>
    <w:p>
      <w:pPr>
        <w:pStyle w:val="933"/>
        <w:jc w:val="center"/>
        <w:rPr>
          <w:rFonts w:hint="eastAsia" w:ascii="宋体" w:hAnsi="宋体" w:cs="宋体"/>
          <w:color w:val="000000"/>
          <w:sz w:val="28"/>
          <w:szCs w:val="28"/>
          <w:highlight w:val="none"/>
        </w:rPr>
        <w:outlineLvl w:val="0"/>
      </w:pPr>
      <w:r>
        <w:rPr>
          <w:rFonts w:hint="eastAsia" w:ascii="宋体" w:hAnsi="宋体" w:cs="宋体"/>
          <w:color w:val="000000"/>
          <w:sz w:val="36"/>
          <w:szCs w:val="36"/>
          <w:highlight w:val="none"/>
          <w:lang w:val="zh-CN"/>
        </w:rPr>
        <w:t xml:space="preserve">第一章</w:t>
      </w:r>
      <w:r>
        <w:rPr>
          <w:rFonts w:hint="eastAsia" w:ascii="宋体" w:hAnsi="宋体" w:cs="宋体"/>
          <w:color w:val="000000"/>
          <w:sz w:val="36"/>
          <w:szCs w:val="36"/>
          <w:highlight w:val="none"/>
        </w:rPr>
        <w:t xml:space="preserve"> </w:t>
      </w:r>
      <w:r>
        <w:rPr>
          <w:rFonts w:hint="eastAsia" w:ascii="宋体" w:hAnsi="宋体" w:cs="宋体"/>
          <w:color w:val="000000"/>
          <w:sz w:val="36"/>
          <w:szCs w:val="36"/>
          <w:highlight w:val="none"/>
          <w:lang w:val="zh-CN"/>
        </w:rPr>
        <w:t xml:space="preserve">投标邀请</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8"/>
          <w:szCs w:val="28"/>
          <w:highlight w:val="none"/>
        </w:rPr>
        <w:t xml:space="preserve">项目概况</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8"/>
          <w:szCs w:val="28"/>
          <w:highlight w:val="none"/>
          <w:u w:val="single"/>
        </w:rPr>
        <w:t xml:space="preserve">南京师范大学附属中学晓庄校区实验室与专用教室（二期）设备</w:t>
      </w:r>
      <w:r>
        <w:rPr>
          <w:rFonts w:hint="eastAsia" w:ascii="宋体" w:hAnsi="宋体" w:cs="宋体"/>
          <w:color w:val="000000"/>
          <w:sz w:val="28"/>
          <w:szCs w:val="28"/>
          <w:highlight w:val="none"/>
        </w:rPr>
        <w:t xml:space="preserve">招标项目的潜在投标人应在</w:t>
      </w:r>
      <w:r>
        <w:rPr>
          <w:rFonts w:hint="eastAsia" w:ascii="宋体" w:hAnsi="宋体" w:cs="宋体"/>
          <w:color w:val="000000"/>
          <w:sz w:val="28"/>
          <w:szCs w:val="28"/>
          <w:highlight w:val="none"/>
          <w:u w:val="single"/>
        </w:rPr>
        <w:t xml:space="preserve">江苏政府采购网</w:t>
      </w:r>
      <w:r>
        <w:rPr>
          <w:rFonts w:hint="eastAsia" w:ascii="宋体" w:hAnsi="宋体" w:cs="宋体"/>
          <w:color w:val="000000"/>
          <w:sz w:val="28"/>
          <w:szCs w:val="28"/>
          <w:highlight w:val="none"/>
        </w:rPr>
        <w:t xml:space="preserve">获取招标文件，并于</w:t>
      </w:r>
      <w:r>
        <w:rPr>
          <w:rFonts w:hint="eastAsia" w:ascii="宋体" w:hAnsi="宋体" w:cs="宋体"/>
          <w:color w:val="000000"/>
          <w:sz w:val="28"/>
          <w:szCs w:val="28"/>
          <w:highlight w:val="none"/>
          <w:u w:val="single"/>
        </w:rPr>
        <w:t xml:space="preserve">2026年9月21</w:t>
      </w:r>
      <w:r>
        <w:rPr>
          <w:rFonts w:hint="eastAsia" w:ascii="宋体" w:hAnsi="宋体" w:cs="宋体"/>
          <w:color w:val="000000"/>
          <w:sz w:val="28"/>
          <w:szCs w:val="28"/>
          <w:highlight w:val="none"/>
          <w:u w:val="single"/>
        </w:rPr>
        <w:t xml:space="preserve">日13点30分</w:t>
      </w:r>
      <w:r>
        <w:rPr>
          <w:rFonts w:hint="eastAsia" w:ascii="宋体" w:hAnsi="宋体" w:cs="宋体"/>
          <w:color w:val="000000"/>
          <w:sz w:val="28"/>
          <w:szCs w:val="28"/>
          <w:highlight w:val="none"/>
        </w:rPr>
        <w:t xml:space="preserve">（北京时间）前递交投标文件。</w:t>
      </w:r>
      <w:r>
        <w:rPr>
          <w:rFonts w:hint="eastAsia" w:ascii="宋体" w:hAnsi="宋体" w:cs="宋体"/>
          <w:color w:val="000000"/>
          <w:sz w:val="28"/>
          <w:szCs w:val="28"/>
          <w:highlight w:val="none"/>
        </w:rPr>
      </w:r>
      <w:r/>
    </w:p>
    <w:p>
      <w:pPr>
        <w:pStyle w:val="933"/>
        <w:jc w:val="left"/>
        <w:spacing w:line="360" w:lineRule="auto"/>
        <w:rPr>
          <w:rFonts w:hint="eastAsia" w:ascii="宋体" w:hAnsi="宋体" w:cs="宋体"/>
          <w:color w:val="000000"/>
          <w:sz w:val="28"/>
          <w:szCs w:val="28"/>
          <w:highlight w:val="none"/>
        </w:rPr>
        <w:outlineLvl w:val="1"/>
      </w:pPr>
      <w:r/>
      <w:bookmarkStart w:id="0" w:name="_Toc35393621"/>
      <w:r/>
      <w:bookmarkStart w:id="1" w:name="_Toc28359002"/>
      <w:r/>
      <w:bookmarkStart w:id="2" w:name="_Toc35393790"/>
      <w:r/>
      <w:bookmarkStart w:id="3" w:name="_Toc28359079"/>
      <w:r/>
      <w:bookmarkStart w:id="4" w:name="_Hlk24379207"/>
      <w:r>
        <w:rPr>
          <w:rFonts w:hint="eastAsia" w:ascii="宋体" w:hAnsi="宋体" w:cs="宋体"/>
          <w:color w:val="000000"/>
          <w:sz w:val="28"/>
          <w:szCs w:val="28"/>
          <w:highlight w:val="none"/>
        </w:rPr>
        <w:t xml:space="preserve">一、项目基本情况</w:t>
      </w:r>
      <w:bookmarkEnd w:id="0"/>
      <w:r/>
      <w:bookmarkEnd w:id="1"/>
      <w:r/>
      <w:bookmarkEnd w:id="2"/>
      <w:r/>
      <w:bookmarkEnd w:id="3"/>
      <w:r>
        <w:rPr>
          <w:rFonts w:hint="eastAsia" w:ascii="宋体" w:hAnsi="宋体" w:cs="宋体"/>
          <w:color w:val="000000"/>
          <w:sz w:val="28"/>
          <w:szCs w:val="28"/>
          <w:highlight w:val="none"/>
        </w:rPr>
      </w:r>
      <w:r/>
    </w:p>
    <w:p>
      <w:pPr>
        <w:pStyle w:val="933"/>
        <w:ind w:firstLine="56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项目编号：JSZC-320100-JLAL-G2026-0003</w:t>
      </w:r>
      <w:r>
        <w:rPr>
          <w:rFonts w:ascii="宋体" w:hAnsi="宋体" w:cs="宋体"/>
          <w:color w:val="000000"/>
          <w:sz w:val="28"/>
          <w:szCs w:val="28"/>
          <w:highlight w:val="none"/>
        </w:rPr>
      </w:r>
      <w:r/>
    </w:p>
    <w:p>
      <w:pPr>
        <w:pStyle w:val="933"/>
        <w:ind w:firstLine="56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项目名称</w:t>
      </w:r>
      <w:bookmarkEnd w:id="4"/>
      <w:r>
        <w:rPr>
          <w:rFonts w:hint="eastAsia" w:ascii="宋体" w:hAnsi="宋体" w:cs="宋体"/>
          <w:color w:val="000000"/>
          <w:sz w:val="28"/>
          <w:szCs w:val="28"/>
          <w:highlight w:val="none"/>
        </w:rPr>
        <w:t xml:space="preserve">：南京师范大学附属中学晓庄校区实验室与专用教室（二期）设备</w:t>
      </w:r>
      <w:r>
        <w:rPr>
          <w:rFonts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采购方式：公开招标</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预算金额：109万元</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最高限价：109万元，投标报价超过最高限价的为无效投标。</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采购需求：晓庄校区实验室与专用教室（二期）设备。具体详见招标文件。</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合同履行期限：合同签订后60日历天内供齐所有货物及服务，完成安装、调试及初步验收。</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本项目不接受联合体投标。</w:t>
      </w:r>
      <w:bookmarkStart w:id="5" w:name="_Toc28359080"/>
      <w:r/>
      <w:bookmarkStart w:id="6" w:name="_Toc35393791"/>
      <w:r/>
      <w:bookmarkStart w:id="7" w:name="_Toc35393622"/>
      <w:r/>
      <w:bookmarkStart w:id="8" w:name="_Toc28359003"/>
      <w:r>
        <w:rPr>
          <w:rFonts w:hint="eastAsia" w:ascii="宋体" w:hAnsi="宋体" w:cs="宋体"/>
          <w:color w:val="000000"/>
          <w:sz w:val="28"/>
          <w:szCs w:val="28"/>
          <w:highlight w:val="none"/>
        </w:rPr>
      </w:r>
      <w:r/>
    </w:p>
    <w:p>
      <w:pPr>
        <w:pStyle w:val="933"/>
        <w:jc w:val="left"/>
        <w:spacing w:line="360" w:lineRule="auto"/>
        <w:rPr>
          <w:rFonts w:hint="eastAsia" w:ascii="宋体" w:hAnsi="宋体" w:cs="宋体"/>
          <w:color w:val="000000"/>
          <w:sz w:val="28"/>
          <w:szCs w:val="28"/>
          <w:highlight w:val="none"/>
        </w:rPr>
        <w:outlineLvl w:val="1"/>
      </w:pPr>
      <w:r>
        <w:rPr>
          <w:rFonts w:hint="eastAsia" w:ascii="宋体" w:hAnsi="宋体" w:cs="宋体"/>
          <w:color w:val="000000"/>
          <w:sz w:val="28"/>
          <w:szCs w:val="28"/>
          <w:highlight w:val="none"/>
        </w:rPr>
        <w:t xml:space="preserve">二、申请人的资格要求</w:t>
      </w:r>
      <w:bookmarkEnd w:id="5"/>
      <w:r/>
      <w:bookmarkEnd w:id="6"/>
      <w:r/>
      <w:bookmarkEnd w:id="7"/>
      <w:r/>
      <w:bookmarkEnd w:id="8"/>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933"/>
        <w:ind w:firstLine="560"/>
        <w:jc w:val="left"/>
        <w:spacing w:line="360" w:lineRule="auto"/>
        <w:rPr>
          <w:rFonts w:ascii="宋体" w:hAnsi="宋体" w:cs="宋体"/>
          <w:color w:val="000000"/>
          <w:sz w:val="28"/>
          <w:szCs w:val="28"/>
          <w:highlight w:val="none"/>
        </w:rPr>
      </w:pPr>
      <w:r/>
      <w:bookmarkStart w:id="9" w:name="_Toc28359004"/>
      <w:r/>
      <w:bookmarkStart w:id="10" w:name="_Toc35393792"/>
      <w:r/>
      <w:bookmarkStart w:id="11" w:name="_Toc28359081"/>
      <w:r/>
      <w:bookmarkStart w:id="12" w:name="_Toc35393623"/>
      <w:r>
        <w:rPr>
          <w:rFonts w:hint="eastAsia" w:ascii="宋体" w:hAnsi="宋体" w:cs="宋体"/>
          <w:color w:val="000000"/>
          <w:sz w:val="28"/>
          <w:szCs w:val="28"/>
          <w:highlight w:val="none"/>
        </w:rPr>
        <w:t xml:space="preserve">1.满足《中华人民共和国政府采购法》第二十二条规定；</w:t>
      </w:r>
      <w:r>
        <w:rPr>
          <w:rFonts w:ascii="宋体" w:hAnsi="宋体" w:cs="宋体"/>
          <w:color w:val="000000"/>
          <w:sz w:val="28"/>
          <w:szCs w:val="28"/>
          <w:highlight w:val="none"/>
        </w:rPr>
      </w:r>
      <w:r/>
    </w:p>
    <w:p>
      <w:pPr>
        <w:pStyle w:val="933"/>
        <w:ind w:firstLine="56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（1）具有独立承担民事责任的能力（提供法人或者其他组织的营业执照，自然人的身份证明）；</w:t>
      </w:r>
      <w:r>
        <w:rPr>
          <w:rFonts w:ascii="宋体" w:hAnsi="宋体" w:cs="宋体"/>
          <w:color w:val="000000"/>
          <w:sz w:val="28"/>
          <w:szCs w:val="28"/>
          <w:highlight w:val="none"/>
        </w:rPr>
      </w:r>
      <w:r/>
    </w:p>
    <w:p>
      <w:pPr>
        <w:pStyle w:val="933"/>
        <w:ind w:firstLine="56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2）具有良好的商业信誉和健全的财务会计制度（提供参加本次政府采购活动上一年度的财务报表，或本次政府采购活动截止时间前六个月内银行出具的资信证明）（法人或者其他组织成立未满一年的可以不提供）；</w:t>
      </w:r>
      <w:r>
        <w:rPr>
          <w:rFonts w:ascii="宋体" w:hAnsi="宋体" w:cs="宋体"/>
          <w:color w:val="000000"/>
          <w:sz w:val="28"/>
          <w:szCs w:val="28"/>
          <w:highlight w:val="none"/>
        </w:rPr>
      </w:r>
      <w:r/>
    </w:p>
    <w:p>
      <w:pPr>
        <w:pStyle w:val="933"/>
        <w:ind w:firstLine="56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（3）具有履行合同所必需的设备和专业技术能力（根据项目需求提供履行合同所必需的设备和专业技术能力的声明及证明材料）；</w:t>
      </w:r>
      <w:r>
        <w:rPr>
          <w:rFonts w:ascii="宋体" w:hAnsi="宋体" w:cs="宋体"/>
          <w:color w:val="000000"/>
          <w:sz w:val="28"/>
          <w:szCs w:val="28"/>
          <w:highlight w:val="none"/>
        </w:rPr>
      </w:r>
      <w:r/>
    </w:p>
    <w:p>
      <w:pPr>
        <w:pStyle w:val="933"/>
        <w:ind w:firstLine="56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（4）有依法缴纳税收和社会保障资金的良好记录（供应商需要提供近六个月内任意一个月的依法缴纳税收和社会保障资金的记录（如依法免税或依法不需要缴纳社会保障资金的，提供相应证明文件））；</w:t>
      </w:r>
      <w:r>
        <w:rPr>
          <w:rFonts w:ascii="宋体" w:hAnsi="宋体" w:cs="宋体"/>
          <w:color w:val="000000"/>
          <w:sz w:val="28"/>
          <w:szCs w:val="28"/>
          <w:highlight w:val="none"/>
        </w:rPr>
      </w:r>
      <w:r/>
    </w:p>
    <w:p>
      <w:pPr>
        <w:pStyle w:val="933"/>
        <w:ind w:firstLine="56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（5）参加本次采购活动前三年内，在经营活动中没有重大违法或不良征信记录（提供参加本次采购活动前三年内在经营活动中没有重大违法记录的书面声明）（格式后附）；</w:t>
      </w:r>
      <w:r>
        <w:rPr>
          <w:rFonts w:ascii="宋体" w:hAnsi="宋体" w:cs="宋体"/>
          <w:color w:val="000000"/>
          <w:sz w:val="28"/>
          <w:szCs w:val="28"/>
          <w:highlight w:val="none"/>
        </w:rPr>
      </w:r>
      <w:r/>
    </w:p>
    <w:p>
      <w:pPr>
        <w:pStyle w:val="933"/>
        <w:ind w:firstLine="56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（6）法律、行政法规规定的其他条件。</w:t>
      </w:r>
      <w:r>
        <w:rPr>
          <w:rFonts w:ascii="宋体" w:hAnsi="宋体" w:cs="宋体"/>
          <w:color w:val="000000"/>
          <w:sz w:val="28"/>
          <w:szCs w:val="28"/>
          <w:highlight w:val="none"/>
        </w:rPr>
      </w:r>
      <w:r/>
    </w:p>
    <w:p>
      <w:pPr>
        <w:pStyle w:val="933"/>
        <w:ind w:firstLine="560"/>
        <w:jc w:val="left"/>
        <w:spacing w:line="360" w:lineRule="auto"/>
        <w:rPr>
          <w:rFonts w:ascii="宋体" w:hAnsi="宋体" w:cs="宋体"/>
          <w:color w:val="000000"/>
          <w:sz w:val="24"/>
          <w:highlight w:val="none"/>
        </w:rPr>
      </w:pPr>
      <w:r>
        <w:rPr>
          <w:rFonts w:hint="eastAsia" w:ascii="宋体" w:hAnsi="宋体" w:cs="宋体"/>
          <w:color w:val="000000"/>
          <w:sz w:val="28"/>
          <w:szCs w:val="28"/>
          <w:highlight w:val="none"/>
        </w:rPr>
        <w:t xml:space="preserve">2.落实政府采购政策需满足的资格要求：（如属于专门面向中小企业采购的项目，供应商应为中小微企业、监狱企业、残疾人福利性单位）</w:t>
      </w:r>
      <w:bookmarkStart w:id="13" w:name="OLE_LINK1"/>
      <w:r>
        <w:rPr>
          <w:rFonts w:hint="eastAsia" w:ascii="宋体" w:hAnsi="宋体" w:cs="宋体"/>
          <w:color w:val="000000"/>
          <w:sz w:val="28"/>
          <w:szCs w:val="28"/>
          <w:highlight w:val="none"/>
        </w:rPr>
        <w:t xml:space="preserve">本项目按照采用以下第</w:t>
      </w:r>
      <w:r>
        <w:rPr>
          <w:rFonts w:hint="eastAsia" w:ascii="宋体" w:hAnsi="宋体" w:cs="宋体"/>
          <w:color w:val="000000"/>
          <w:sz w:val="28"/>
          <w:szCs w:val="28"/>
          <w:highlight w:val="none"/>
          <w:u w:val="single"/>
        </w:rPr>
        <w:t xml:space="preserve">（4）</w:t>
      </w:r>
      <w:r>
        <w:rPr>
          <w:rFonts w:hint="eastAsia" w:ascii="宋体" w:hAnsi="宋体" w:cs="宋体"/>
          <w:color w:val="000000"/>
          <w:sz w:val="28"/>
          <w:szCs w:val="28"/>
          <w:highlight w:val="none"/>
        </w:rPr>
        <w:t xml:space="preserve">种方式落实政府采购促进中小企业发展的要求：</w:t>
      </w:r>
      <w:r>
        <w:rPr>
          <w:rFonts w:ascii="宋体" w:hAnsi="宋体" w:cs="宋体"/>
          <w:color w:val="000000"/>
          <w:sz w:val="24"/>
          <w:highlight w:val="none"/>
        </w:rPr>
      </w:r>
      <w:r/>
    </w:p>
    <w:p>
      <w:pPr>
        <w:pStyle w:val="933"/>
        <w:ind w:firstLine="56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（1）本项目整体专门面向中小企业采购服务。</w:t>
      </w:r>
      <w:r>
        <w:rPr>
          <w:rFonts w:ascii="宋体" w:hAnsi="宋体" w:cs="宋体"/>
          <w:color w:val="000000"/>
          <w:sz w:val="28"/>
          <w:szCs w:val="28"/>
          <w:highlight w:val="none"/>
        </w:rPr>
      </w:r>
      <w:r/>
    </w:p>
    <w:p>
      <w:pPr>
        <w:pStyle w:val="933"/>
        <w:ind w:firstLine="56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（2）本项目整体专门面向小微企业采购服务。</w:t>
      </w:r>
      <w:r>
        <w:rPr>
          <w:rFonts w:ascii="宋体" w:hAnsi="宋体" w:cs="宋体"/>
          <w:color w:val="000000"/>
          <w:sz w:val="28"/>
          <w:szCs w:val="28"/>
          <w:highlight w:val="none"/>
        </w:rPr>
      </w:r>
      <w:r/>
    </w:p>
    <w:p>
      <w:pPr>
        <w:pStyle w:val="933"/>
        <w:ind w:firstLine="56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（3）本项目通过以下第（）种方式预留部分采购份额采购中小企业服务：</w:t>
      </w:r>
      <w:r>
        <w:rPr>
          <w:rFonts w:ascii="宋体" w:hAnsi="宋体" w:cs="宋体"/>
          <w:color w:val="000000"/>
          <w:sz w:val="28"/>
          <w:szCs w:val="28"/>
          <w:highlight w:val="none"/>
        </w:rPr>
      </w:r>
      <w:r/>
    </w:p>
    <w:p>
      <w:pPr>
        <w:pStyle w:val="933"/>
        <w:ind w:firstLine="56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①本项目要求供应商以联合体形式参加，中小企业合同金额应当达到的比例为</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933"/>
        <w:ind w:firstLine="56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②本项目要求供应商进行合同分包，中小企业合同金额应当达到的比例为</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933"/>
        <w:ind w:firstLine="56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（4）本项目为非预留份额的采购项目或采购包，执行价格扣除优惠政策，具体详见第三章。</w:t>
      </w:r>
      <w:bookmarkEnd w:id="13"/>
      <w:r>
        <w:rPr>
          <w:rFonts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3.本项目的特定资格要求：无。</w:t>
      </w:r>
      <w:r>
        <w:rPr>
          <w:rFonts w:hint="eastAsia" w:ascii="宋体" w:hAnsi="宋体" w:cs="宋体"/>
          <w:color w:val="000000"/>
          <w:sz w:val="28"/>
          <w:szCs w:val="28"/>
          <w:highlight w:val="none"/>
        </w:rPr>
      </w:r>
      <w:r/>
    </w:p>
    <w:p>
      <w:pPr>
        <w:pStyle w:val="933"/>
        <w:jc w:val="left"/>
        <w:spacing w:line="360" w:lineRule="auto"/>
        <w:rPr>
          <w:rFonts w:hint="eastAsia" w:ascii="宋体" w:hAnsi="宋体" w:cs="宋体"/>
          <w:color w:val="000000"/>
          <w:sz w:val="28"/>
          <w:szCs w:val="28"/>
          <w:highlight w:val="none"/>
        </w:rPr>
        <w:outlineLvl w:val="1"/>
      </w:pPr>
      <w:r/>
      <w:bookmarkEnd w:id="9"/>
      <w:r/>
      <w:bookmarkEnd w:id="10"/>
      <w:r/>
      <w:bookmarkEnd w:id="11"/>
      <w:r/>
      <w:bookmarkEnd w:id="12"/>
      <w:r>
        <w:rPr>
          <w:rFonts w:hint="eastAsia" w:ascii="宋体" w:hAnsi="宋体" w:cs="宋体"/>
          <w:color w:val="000000"/>
          <w:sz w:val="28"/>
          <w:szCs w:val="28"/>
          <w:highlight w:val="none"/>
        </w:rPr>
        <w:t xml:space="preserve">三、获取采购文件</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1、时间：自招标文件公告发布之日起5个工作日。</w:t>
      </w:r>
      <w:r>
        <w:rPr>
          <w:rFonts w:hint="eastAsia" w:ascii="宋体" w:hAnsi="宋体" w:cs="宋体"/>
          <w:color w:val="000000"/>
          <w:sz w:val="28"/>
          <w:szCs w:val="28"/>
          <w:highlight w:val="none"/>
        </w:rPr>
      </w:r>
      <w:r/>
    </w:p>
    <w:p>
      <w:pPr>
        <w:pStyle w:val="933"/>
        <w:ind w:firstLine="56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2、地点：江苏政府采购网。</w:t>
      </w:r>
      <w:r>
        <w:rPr>
          <w:rFonts w:ascii="宋体" w:hAnsi="宋体" w:cs="宋体"/>
          <w:color w:val="000000"/>
          <w:sz w:val="28"/>
          <w:szCs w:val="28"/>
          <w:highlight w:val="none"/>
        </w:rPr>
      </w:r>
      <w:r/>
    </w:p>
    <w:p>
      <w:pPr>
        <w:pStyle w:val="933"/>
        <w:ind w:firstLine="56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3、方式：</w:t>
      </w:r>
      <w:bookmarkStart w:id="14" w:name="OLE_LINK7"/>
      <w:r>
        <w:rPr>
          <w:rFonts w:hint="eastAsia" w:ascii="宋体" w:hAnsi="宋体" w:cs="宋体"/>
          <w:color w:val="000000"/>
          <w:sz w:val="28"/>
          <w:szCs w:val="28"/>
          <w:highlight w:val="none"/>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bookmarkEnd w:id="14"/>
      <w:r>
        <w:rPr>
          <w:rFonts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4、售价：0元。</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outlineLvl w:val="1"/>
      </w:pPr>
      <w:r>
        <w:rPr>
          <w:rFonts w:hint="eastAsia" w:ascii="宋体" w:hAnsi="宋体" w:cs="宋体"/>
          <w:color w:val="000000"/>
          <w:sz w:val="28"/>
          <w:szCs w:val="28"/>
          <w:highlight w:val="none"/>
        </w:rPr>
        <w:t xml:space="preserve">四、提交投标文件截止时间、开标时间和地点</w:t>
      </w:r>
      <w:r>
        <w:rPr>
          <w:rFonts w:hint="eastAsia" w:ascii="宋体" w:hAnsi="宋体" w:cs="宋体"/>
          <w:color w:val="000000"/>
          <w:sz w:val="28"/>
          <w:szCs w:val="28"/>
          <w:highlight w:val="none"/>
        </w:rPr>
      </w:r>
      <w:r/>
    </w:p>
    <w:p>
      <w:pPr>
        <w:pStyle w:val="933"/>
        <w:ind w:firstLine="56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时间：</w:t>
      </w:r>
      <w:r>
        <w:rPr>
          <w:rFonts w:hint="eastAsia" w:ascii="宋体" w:hAnsi="宋体" w:cs="宋体"/>
          <w:color w:val="000000"/>
          <w:sz w:val="28"/>
          <w:szCs w:val="28"/>
          <w:highlight w:val="none"/>
          <w:u w:val="single"/>
        </w:rPr>
        <w:t xml:space="preserve">2026年9月21</w:t>
      </w:r>
      <w:r>
        <w:rPr>
          <w:rFonts w:hint="eastAsia" w:ascii="宋体" w:hAnsi="宋体" w:cs="宋体"/>
          <w:color w:val="000000"/>
          <w:sz w:val="28"/>
          <w:szCs w:val="28"/>
          <w:highlight w:val="none"/>
          <w:u w:val="single"/>
        </w:rPr>
        <w:t xml:space="preserve">日13点30分</w:t>
      </w:r>
      <w:r/>
      <w:r>
        <w:rPr>
          <w:rFonts w:hint="eastAsia" w:ascii="宋体" w:hAnsi="宋体" w:cs="宋体"/>
          <w:color w:val="000000"/>
          <w:sz w:val="28"/>
          <w:szCs w:val="28"/>
          <w:highlight w:val="none"/>
        </w:rPr>
      </w:r>
      <w:r>
        <w:rPr>
          <w:rFonts w:hint="eastAsia" w:ascii="宋体" w:hAnsi="宋体" w:cs="宋体"/>
          <w:color w:val="000000"/>
          <w:sz w:val="28"/>
          <w:szCs w:val="28"/>
          <w:highlight w:val="none"/>
        </w:rPr>
        <w:t xml:space="preserve">（北京时间）</w:t>
      </w:r>
      <w:r>
        <w:rPr>
          <w:rFonts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地点：</w:t>
      </w:r>
      <w:r>
        <w:rPr>
          <w:rFonts w:hint="eastAsia" w:ascii="宋体" w:hAnsi="宋体" w:cs="宋体"/>
          <w:color w:val="000000"/>
          <w:sz w:val="28"/>
          <w:szCs w:val="28"/>
          <w:highlight w:val="none"/>
          <w:u w:val="single"/>
        </w:rPr>
        <w:t xml:space="preserve">江苏省政府采购交易系统（以下简称“苏采云系统”）网上开标大厅</w:t>
      </w:r>
      <w:r>
        <w:rPr>
          <w:rFonts w:hint="eastAsia" w:ascii="宋体" w:hAnsi="宋体" w:cs="宋体"/>
          <w:color w:val="000000"/>
          <w:sz w:val="28"/>
          <w:szCs w:val="28"/>
          <w:highlight w:val="none"/>
        </w:rPr>
      </w:r>
      <w:r/>
    </w:p>
    <w:p>
      <w:pPr>
        <w:pStyle w:val="933"/>
        <w:jc w:val="left"/>
        <w:spacing w:line="360" w:lineRule="auto"/>
        <w:rPr>
          <w:rFonts w:hint="eastAsia" w:ascii="宋体" w:hAnsi="宋体" w:cs="宋体"/>
          <w:color w:val="000000"/>
          <w:sz w:val="28"/>
          <w:szCs w:val="28"/>
          <w:highlight w:val="none"/>
        </w:rPr>
        <w:outlineLvl w:val="1"/>
      </w:pPr>
      <w:r/>
      <w:bookmarkStart w:id="15" w:name="_Toc28359007"/>
      <w:r/>
      <w:bookmarkStart w:id="16" w:name="_Toc35393625"/>
      <w:r/>
      <w:bookmarkStart w:id="17" w:name="_Toc28359084"/>
      <w:r/>
      <w:bookmarkStart w:id="18" w:name="_Toc35393794"/>
      <w:r>
        <w:rPr>
          <w:rFonts w:hint="eastAsia" w:ascii="宋体" w:hAnsi="宋体" w:cs="宋体"/>
          <w:color w:val="000000"/>
          <w:sz w:val="28"/>
          <w:szCs w:val="28"/>
          <w:highlight w:val="none"/>
        </w:rPr>
        <w:t xml:space="preserve">五、公告期限</w:t>
      </w:r>
      <w:bookmarkEnd w:id="15"/>
      <w:r/>
      <w:bookmarkEnd w:id="16"/>
      <w:r/>
      <w:bookmarkEnd w:id="17"/>
      <w:r/>
      <w:bookmarkEnd w:id="18"/>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自本公告发布之日起5个工作日。</w:t>
      </w:r>
      <w:r>
        <w:rPr>
          <w:rFonts w:hint="eastAsia" w:ascii="宋体" w:hAnsi="宋体" w:cs="宋体"/>
          <w:color w:val="000000"/>
          <w:sz w:val="28"/>
          <w:szCs w:val="28"/>
          <w:highlight w:val="none"/>
        </w:rPr>
      </w:r>
      <w:r/>
    </w:p>
    <w:p>
      <w:pPr>
        <w:pStyle w:val="933"/>
        <w:jc w:val="left"/>
        <w:spacing w:line="360" w:lineRule="auto"/>
        <w:rPr>
          <w:rFonts w:hint="eastAsia" w:ascii="宋体" w:hAnsi="宋体" w:cs="宋体"/>
          <w:color w:val="000000"/>
          <w:sz w:val="28"/>
          <w:szCs w:val="28"/>
          <w:highlight w:val="none"/>
        </w:rPr>
        <w:outlineLvl w:val="1"/>
      </w:pPr>
      <w:r/>
      <w:bookmarkStart w:id="19" w:name="_Toc35393626"/>
      <w:r/>
      <w:bookmarkStart w:id="20" w:name="_Toc35393795"/>
      <w:r>
        <w:rPr>
          <w:rFonts w:hint="eastAsia" w:ascii="宋体" w:hAnsi="宋体" w:cs="宋体"/>
          <w:color w:val="000000"/>
          <w:sz w:val="28"/>
          <w:szCs w:val="28"/>
          <w:highlight w:val="none"/>
        </w:rPr>
        <w:t xml:space="preserve">六、其他补充事宜</w:t>
      </w:r>
      <w:bookmarkEnd w:id="19"/>
      <w:r/>
      <w:bookmarkEnd w:id="20"/>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1.本项目采购标的所属行业为：工业。</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2.本项目不接受联合体投标，不接受分包、转包。</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3.本项目不接受进口产品投标（注：本文件所称进口产品是指通过中国海关报关验放进入中国境内且产自关境外的产品）。</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4.拒绝下述供应商参加本次采购活动：</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（1）供应商单位负责人为同一人或者存在直接控股、管理关系的不同供应商，不得参加同一合同项下的采购活动。</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（2）凡为采购项目提供整体设计、规范编制或者项目管理、监理、检测等服务的供应商，不得再参加本项目的采购活动。</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（3）拒绝列入失信被执行人、重大税收违法失信主体、政府采购严重违法失信行为记录名单中的供应商参加本项目的采购活动。</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（4）未提供《南京市政府采购供应商信用记录表暨信用承诺书》的。</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5.集中考察或答疑：</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w:t>
      </w:r>
      <w:bookmarkStart w:id="21" w:name="OLE_LINK8"/>
      <w:r>
        <w:rPr>
          <w:rFonts w:hint="eastAsia" w:ascii="宋体" w:hAnsi="宋体" w:cs="宋体"/>
          <w:color w:val="000000"/>
          <w:sz w:val="28"/>
          <w:szCs w:val="28"/>
          <w:highlight w:val="none"/>
        </w:rPr>
        <w:t xml:space="preserve">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bookmarkEnd w:id="21"/>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7.公告媒体</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（1）本公告在江苏政府采购网（http：//www.ccgp-jiangsu.gov.cn/）和南京公共采购信息网（https：//njgc.jfh.com/）公示发布，敬请各供应商关注；</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（2）若有关本次采购存在变动或修改，敬请各供应商及时关注江苏政府采购网（http：//www.ccgp-jiangsu.gov.cn/）和南京公共采购信息网（https：//njgc.jfh.com/）发布的关于本项目的信息更正公告。</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8.采购项目需要落实的政府采购政策：</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（1）政府采购促进中小企业发展</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（2）政府采购支持监狱企业发展</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（3）政府采购促进残疾人就业</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（4）政府采购鼓励采购节能环保产品</w:t>
      </w:r>
      <w:r>
        <w:rPr>
          <w:rFonts w:hint="eastAsia" w:ascii="宋体" w:hAnsi="宋体" w:cs="宋体"/>
          <w:color w:val="000000"/>
          <w:sz w:val="28"/>
          <w:szCs w:val="28"/>
          <w:highlight w:val="none"/>
        </w:rPr>
      </w:r>
      <w:r/>
    </w:p>
    <w:p>
      <w:pPr>
        <w:pStyle w:val="969"/>
        <w:ind w:firstLine="560"/>
        <w:rPr>
          <w:rFonts w:hint="eastAsia"/>
          <w:color w:val="000000"/>
          <w:highlight w:val="none"/>
        </w:rPr>
      </w:pPr>
      <w:r>
        <w:rPr>
          <w:rFonts w:hint="eastAsia" w:ascii="宋体" w:hAnsi="宋体" w:cs="宋体"/>
          <w:color w:val="000000"/>
          <w:sz w:val="28"/>
          <w:szCs w:val="28"/>
          <w:highlight w:val="none"/>
        </w:rPr>
        <w:t xml:space="preserve">（5）《国务院办公厅关于在政府采购中实施本国产品标准及相关政策的通知》等政府采购文件。</w:t>
      </w:r>
      <w:r>
        <w:rPr>
          <w:rFonts w:hint="eastAsia"/>
          <w:color w:val="000000"/>
          <w:highlight w:val="none"/>
        </w:rPr>
      </w:r>
      <w:r/>
    </w:p>
    <w:p>
      <w:pPr>
        <w:pStyle w:val="933"/>
        <w:ind w:firstLine="560"/>
        <w:jc w:val="left"/>
        <w:spacing w:line="360" w:lineRule="auto"/>
        <w:rPr>
          <w:rFonts w:ascii="宋体" w:hAnsi="宋体" w:cs="宋体"/>
          <w:color w:val="000000"/>
          <w:sz w:val="28"/>
          <w:szCs w:val="28"/>
          <w:highlight w:val="none"/>
        </w:rPr>
      </w:pPr>
      <w:r/>
      <w:bookmarkStart w:id="22" w:name="_Toc28359008"/>
      <w:r/>
      <w:bookmarkStart w:id="23" w:name="_Toc35393796"/>
      <w:r/>
      <w:bookmarkStart w:id="24" w:name="_Toc28359085"/>
      <w:r/>
      <w:bookmarkStart w:id="25" w:name="_Toc35393627"/>
      <w:r>
        <w:rPr>
          <w:rFonts w:hint="eastAsia" w:ascii="宋体" w:hAnsi="宋体" w:cs="宋体"/>
          <w:color w:val="000000"/>
          <w:sz w:val="28"/>
          <w:szCs w:val="28"/>
          <w:highlight w:val="none"/>
        </w:rPr>
        <w:t xml:space="preserve">9.</w:t>
      </w:r>
      <w:bookmarkStart w:id="26" w:name="OLE_LINK9"/>
      <w:r>
        <w:rPr>
          <w:rFonts w:hint="eastAsia" w:ascii="宋体" w:hAnsi="宋体" w:cs="宋体"/>
          <w:color w:val="000000"/>
          <w:sz w:val="28"/>
          <w:szCs w:val="28"/>
          <w:highlight w:val="none"/>
        </w:rPr>
        <w:t xml:space="preserve">政府采购信用承诺：在政府采购资格审查环节，供应商只需提供书面《南京市政府采购供应商信用记录表暨信用承诺书》，即可替代以下证明材料：</w:t>
      </w:r>
      <w:r>
        <w:rPr>
          <w:rFonts w:ascii="宋体" w:hAnsi="宋体" w:cs="宋体"/>
          <w:color w:val="000000"/>
          <w:sz w:val="28"/>
          <w:szCs w:val="28"/>
          <w:highlight w:val="none"/>
        </w:rPr>
      </w:r>
      <w:r/>
    </w:p>
    <w:p>
      <w:pPr>
        <w:pStyle w:val="933"/>
        <w:ind w:firstLine="56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（1）符合国家相关规定的财务状况报告；</w:t>
      </w:r>
      <w:r>
        <w:rPr>
          <w:rFonts w:ascii="宋体" w:hAnsi="宋体" w:cs="宋体"/>
          <w:color w:val="000000"/>
          <w:sz w:val="28"/>
          <w:szCs w:val="28"/>
          <w:highlight w:val="none"/>
        </w:rPr>
      </w:r>
      <w:r/>
    </w:p>
    <w:p>
      <w:pPr>
        <w:pStyle w:val="933"/>
        <w:ind w:firstLine="56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（2）依法缴纳税收的证明材料；</w:t>
      </w:r>
      <w:r>
        <w:rPr>
          <w:rFonts w:ascii="宋体" w:hAnsi="宋体" w:cs="宋体"/>
          <w:color w:val="000000"/>
          <w:sz w:val="28"/>
          <w:szCs w:val="28"/>
          <w:highlight w:val="none"/>
        </w:rPr>
      </w:r>
      <w:r/>
    </w:p>
    <w:p>
      <w:pPr>
        <w:pStyle w:val="933"/>
        <w:ind w:firstLine="56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（3）依法缴纳社会保障资金的证明材料；</w:t>
      </w:r>
      <w:r>
        <w:rPr>
          <w:rFonts w:ascii="宋体" w:hAnsi="宋体" w:cs="宋体"/>
          <w:color w:val="000000"/>
          <w:sz w:val="28"/>
          <w:szCs w:val="28"/>
          <w:highlight w:val="none"/>
        </w:rPr>
      </w:r>
      <w:r/>
    </w:p>
    <w:p>
      <w:pPr>
        <w:pStyle w:val="933"/>
        <w:ind w:firstLine="56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（4）具备履行政府采购合同所必需的设备和专业技术能力的证明材料；</w:t>
      </w:r>
      <w:r>
        <w:rPr>
          <w:rFonts w:ascii="宋体" w:hAnsi="宋体" w:cs="宋体"/>
          <w:color w:val="000000"/>
          <w:sz w:val="28"/>
          <w:szCs w:val="28"/>
          <w:highlight w:val="none"/>
        </w:rPr>
      </w:r>
      <w:r/>
    </w:p>
    <w:p>
      <w:pPr>
        <w:pStyle w:val="933"/>
        <w:ind w:firstLine="56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（5）参加政府采购活动前三年内在经营活动中没有重大违法记录的证明材料；</w:t>
      </w:r>
      <w:r>
        <w:rPr>
          <w:rFonts w:ascii="宋体" w:hAnsi="宋体" w:cs="宋体"/>
          <w:color w:val="000000"/>
          <w:sz w:val="28"/>
          <w:szCs w:val="28"/>
          <w:highlight w:val="none"/>
        </w:rPr>
      </w:r>
      <w:r/>
    </w:p>
    <w:p>
      <w:pPr>
        <w:pStyle w:val="933"/>
        <w:ind w:firstLine="56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（6）未被列入失信被执行人、重大税收违法失信主体、政府采购严重违法失信行为记录名单的证明材料。</w:t>
      </w:r>
      <w:r>
        <w:rPr>
          <w:rFonts w:ascii="宋体" w:hAnsi="宋体" w:cs="宋体"/>
          <w:color w:val="000000"/>
          <w:sz w:val="28"/>
          <w:szCs w:val="28"/>
          <w:highlight w:val="none"/>
        </w:rPr>
      </w:r>
      <w:r/>
    </w:p>
    <w:p>
      <w:pPr>
        <w:pStyle w:val="933"/>
        <w:ind w:firstLine="56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rPr>
          <w:rFonts w:ascii="宋体" w:hAnsi="宋体" w:cs="宋体"/>
          <w:color w:val="000000"/>
          <w:sz w:val="28"/>
          <w:szCs w:val="28"/>
          <w:highlight w:val="none"/>
        </w:rPr>
      </w:r>
      <w:r/>
    </w:p>
    <w:p>
      <w:pPr>
        <w:pStyle w:val="933"/>
        <w:ind w:firstLine="56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供应商涉及以下情形的，不适用信用承诺，仍须提供上述证明材料：</w:t>
      </w:r>
      <w:r>
        <w:rPr>
          <w:rFonts w:ascii="宋体" w:hAnsi="宋体" w:cs="宋体"/>
          <w:color w:val="000000"/>
          <w:sz w:val="28"/>
          <w:szCs w:val="28"/>
          <w:highlight w:val="none"/>
        </w:rPr>
      </w:r>
      <w:r/>
    </w:p>
    <w:p>
      <w:pPr>
        <w:pStyle w:val="933"/>
        <w:ind w:firstLine="56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（1）供应商被列入严重失信主体名单；</w:t>
      </w:r>
      <w:r>
        <w:rPr>
          <w:rFonts w:ascii="宋体" w:hAnsi="宋体" w:cs="宋体"/>
          <w:color w:val="000000"/>
          <w:sz w:val="28"/>
          <w:szCs w:val="28"/>
          <w:highlight w:val="none"/>
        </w:rPr>
      </w:r>
      <w:r/>
    </w:p>
    <w:p>
      <w:pPr>
        <w:pStyle w:val="933"/>
        <w:ind w:firstLine="56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（2）被相关监管部门作出行政处罚且尚在处罚有效期内；</w:t>
      </w:r>
      <w:r>
        <w:rPr>
          <w:rFonts w:ascii="宋体" w:hAnsi="宋体" w:cs="宋体"/>
          <w:color w:val="000000"/>
          <w:sz w:val="28"/>
          <w:szCs w:val="28"/>
          <w:highlight w:val="none"/>
        </w:rPr>
      </w:r>
      <w:r/>
    </w:p>
    <w:p>
      <w:pPr>
        <w:pStyle w:val="933"/>
        <w:ind w:firstLine="56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（3）其他法律、行政法规规定的不适用信用承诺的情形。</w:t>
      </w:r>
      <w:r>
        <w:rPr>
          <w:rFonts w:ascii="宋体" w:hAnsi="宋体" w:cs="宋体"/>
          <w:color w:val="000000"/>
          <w:sz w:val="28"/>
          <w:szCs w:val="28"/>
          <w:highlight w:val="none"/>
        </w:rPr>
      </w:r>
      <w:r/>
    </w:p>
    <w:p>
      <w:pPr>
        <w:pStyle w:val="933"/>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供应商对信用承诺内容的真实性、合法性、有效性负责。如作出虚假信用承诺，视同为“提供虚假材料谋取中标、成交”的违法行为。</w:t>
      </w:r>
      <w:bookmarkEnd w:id="26"/>
      <w:r>
        <w:rPr>
          <w:rFonts w:hint="eastAsia" w:ascii="宋体" w:hAnsi="宋体" w:cs="宋体"/>
          <w:color w:val="000000"/>
          <w:sz w:val="28"/>
          <w:szCs w:val="28"/>
          <w:highlight w:val="none"/>
        </w:rPr>
      </w:r>
      <w:r/>
    </w:p>
    <w:p>
      <w:pPr>
        <w:pStyle w:val="933"/>
        <w:jc w:val="left"/>
        <w:spacing w:line="360" w:lineRule="auto"/>
        <w:rPr>
          <w:rFonts w:hint="eastAsia" w:ascii="宋体" w:hAnsi="宋体" w:cs="宋体"/>
          <w:color w:val="000000"/>
          <w:sz w:val="28"/>
          <w:szCs w:val="28"/>
          <w:highlight w:val="none"/>
        </w:rPr>
        <w:outlineLvl w:val="1"/>
      </w:pPr>
      <w:r>
        <w:rPr>
          <w:rFonts w:hint="eastAsia" w:ascii="宋体" w:hAnsi="宋体" w:cs="宋体"/>
          <w:color w:val="000000"/>
          <w:sz w:val="28"/>
          <w:szCs w:val="28"/>
          <w:highlight w:val="none"/>
        </w:rPr>
        <w:t xml:space="preserve">七、对本次招标提出询问，请按以下方式联系。</w:t>
      </w:r>
      <w:bookmarkEnd w:id="22"/>
      <w:r/>
      <w:bookmarkEnd w:id="23"/>
      <w:r/>
      <w:bookmarkEnd w:id="24"/>
      <w:r/>
      <w:bookmarkEnd w:id="25"/>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1.采购人信息</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名称：南京师范大学附属中学</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地址：南京市察哈尔路37号</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联系方式：柏</w:t>
      </w:r>
      <w:r>
        <w:rPr>
          <w:rFonts w:hint="eastAsia" w:ascii="宋体" w:hAnsi="宋体" w:cs="宋体"/>
          <w:color w:val="000000"/>
          <w:sz w:val="28"/>
          <w:szCs w:val="28"/>
          <w:highlight w:val="none"/>
          <w:lang w:val="en-US" w:eastAsia="zh-CN"/>
        </w:rPr>
        <w:t xml:space="preserve">主任</w:t>
      </w:r>
      <w:r>
        <w:rPr>
          <w:rFonts w:hint="eastAsia" w:ascii="宋体" w:hAnsi="宋体" w:cs="宋体"/>
          <w:color w:val="000000"/>
          <w:sz w:val="28"/>
          <w:szCs w:val="28"/>
          <w:highlight w:val="none"/>
        </w:rPr>
        <w:t xml:space="preserve">025-83469016</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2.采购代理机构信息</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名称：江苏嘉里工程咨询有限公司</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地址：南京市玄武区长江路99号长江贸易大楼1005室</w:t>
      </w:r>
      <w:r>
        <w:rPr>
          <w:rFonts w:hint="eastAsia" w:ascii="宋体" w:hAnsi="宋体" w:cs="宋体"/>
          <w:color w:val="000000"/>
          <w:sz w:val="28"/>
          <w:szCs w:val="28"/>
          <w:highlight w:val="none"/>
        </w:rPr>
      </w:r>
      <w:r/>
    </w:p>
    <w:p>
      <w:pPr>
        <w:pStyle w:val="933"/>
        <w:ind w:firstLine="56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联系方式：袁工18752094221</w:t>
      </w:r>
      <w:r>
        <w:rPr>
          <w:rFonts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3.项目联系方式</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项目联系人：袁工</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电话：18752094221</w:t>
      </w:r>
      <w:r>
        <w:rPr>
          <w:rFonts w:hint="eastAsia" w:ascii="宋体" w:hAnsi="宋体" w:cs="宋体"/>
          <w:color w:val="000000"/>
          <w:sz w:val="28"/>
          <w:szCs w:val="28"/>
          <w:highlight w:val="none"/>
        </w:rPr>
      </w:r>
      <w:r/>
    </w:p>
    <w:p>
      <w:pPr>
        <w:pStyle w:val="933"/>
        <w:ind w:firstLine="560"/>
        <w:jc w:val="left"/>
        <w:spacing w:line="360" w:lineRule="auto"/>
        <w:rPr>
          <w:rFonts w:hint="eastAsia" w:ascii="宋体" w:hAnsi="宋体" w:cs="宋体"/>
          <w:color w:val="000000"/>
          <w:szCs w:val="36"/>
          <w:highlight w:val="none"/>
          <w:lang w:val="zh-CN"/>
        </w:rPr>
      </w:pPr>
      <w:r>
        <w:rPr>
          <w:rFonts w:hint="eastAsia" w:ascii="宋体" w:hAnsi="宋体" w:cs="宋体"/>
          <w:color w:val="000000"/>
          <w:sz w:val="28"/>
          <w:szCs w:val="28"/>
          <w:highlight w:val="none"/>
        </w:rPr>
        <w:t xml:space="preserve">请贵单位领取本次采购文件后，认真阅读各项内容，进行必要的投标准备，按文件的要求详细填写和编制响应文件，并按以上确定的时间、地点准时参加投标。</w:t>
      </w:r>
      <w:r>
        <w:rPr>
          <w:rFonts w:hint="eastAsia" w:ascii="宋体" w:hAnsi="宋体" w:cs="宋体"/>
          <w:color w:val="000000"/>
          <w:szCs w:val="36"/>
          <w:highlight w:val="none"/>
          <w:lang w:val="zh-CN"/>
        </w:rPr>
      </w:r>
      <w:r/>
    </w:p>
    <w:p>
      <w:pPr>
        <w:pStyle w:val="933"/>
        <w:jc w:val="center"/>
        <w:spacing w:line="360" w:lineRule="auto"/>
        <w:rPr>
          <w:rFonts w:hint="eastAsia" w:ascii="宋体" w:hAnsi="宋体" w:cs="宋体"/>
          <w:color w:val="000000"/>
          <w:sz w:val="36"/>
          <w:szCs w:val="36"/>
          <w:highlight w:val="none"/>
          <w:lang w:val="zh-CN"/>
        </w:rPr>
        <w:sectPr>
          <w:headerReference w:type="default" r:id="rId9"/>
          <w:footerReference w:type="default" r:id="rId10"/>
          <w:footerReference w:type="first" r:id="rId11"/>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color w:val="000000"/>
          <w:sz w:val="36"/>
          <w:szCs w:val="36"/>
          <w:highlight w:val="none"/>
          <w:lang w:val="zh-CN"/>
        </w:rPr>
      </w:r>
      <w:r/>
    </w:p>
    <w:p>
      <w:pPr>
        <w:pStyle w:val="933"/>
        <w:jc w:val="center"/>
        <w:rPr>
          <w:rFonts w:hint="eastAsia" w:ascii="宋体" w:hAnsi="宋体" w:cs="宋体"/>
          <w:color w:val="000000"/>
          <w:sz w:val="36"/>
          <w:szCs w:val="36"/>
          <w:highlight w:val="none"/>
          <w:lang w:val="zh-CN"/>
        </w:rPr>
        <w:outlineLvl w:val="0"/>
      </w:pPr>
      <w:r>
        <w:rPr>
          <w:rFonts w:hint="eastAsia" w:ascii="宋体" w:hAnsi="宋体" w:cs="宋体"/>
          <w:color w:val="000000"/>
          <w:sz w:val="36"/>
          <w:szCs w:val="36"/>
          <w:highlight w:val="none"/>
          <w:lang w:val="zh-CN"/>
        </w:rPr>
        <w:t xml:space="preserve">第二章</w:t>
      </w:r>
      <w:r>
        <w:rPr>
          <w:rFonts w:hint="eastAsia" w:ascii="宋体" w:hAnsi="宋体" w:cs="宋体"/>
          <w:color w:val="000000"/>
          <w:sz w:val="36"/>
          <w:szCs w:val="36"/>
          <w:highlight w:val="none"/>
        </w:rPr>
        <w:t xml:space="preserve"> </w:t>
      </w:r>
      <w:r>
        <w:rPr>
          <w:rFonts w:hint="eastAsia" w:ascii="宋体" w:hAnsi="宋体" w:cs="宋体"/>
          <w:color w:val="000000"/>
          <w:sz w:val="36"/>
          <w:szCs w:val="36"/>
          <w:highlight w:val="none"/>
          <w:lang w:val="zh-CN"/>
        </w:rPr>
        <w:t xml:space="preserve">供应商须知</w:t>
      </w:r>
      <w:r>
        <w:rPr>
          <w:rFonts w:hint="eastAsia" w:ascii="宋体" w:hAnsi="宋体" w:cs="宋体"/>
          <w:color w:val="000000"/>
          <w:sz w:val="36"/>
          <w:szCs w:val="36"/>
          <w:highlight w:val="none"/>
          <w:lang w:val="zh-CN"/>
        </w:rPr>
      </w:r>
      <w:r/>
    </w:p>
    <w:p>
      <w:pPr>
        <w:pStyle w:val="933"/>
        <w:ind w:firstLine="420"/>
        <w:rPr>
          <w:rFonts w:ascii="宋体"/>
          <w:b/>
          <w:bCs/>
          <w:color w:val="000000"/>
          <w:szCs w:val="21"/>
          <w:highlight w:val="none"/>
          <w:lang w:val="zh-CN"/>
        </w:rPr>
      </w:pPr>
      <w:r>
        <w:rPr>
          <w:rFonts w:hint="eastAsia" w:ascii="宋体"/>
          <w:b/>
          <w:bCs/>
          <w:color w:val="000000"/>
          <w:szCs w:val="21"/>
          <w:highlight w:val="none"/>
          <w:lang w:val="zh-CN"/>
        </w:rPr>
        <w:t xml:space="preserve">一、总则</w:t>
      </w:r>
      <w:r>
        <w:rPr>
          <w:rFonts w:ascii="宋体"/>
          <w:b/>
          <w:bCs/>
          <w:color w:val="000000"/>
          <w:szCs w:val="21"/>
          <w:highlight w:val="none"/>
          <w:lang w:val="zh-CN"/>
        </w:rPr>
      </w:r>
      <w:r/>
    </w:p>
    <w:p>
      <w:pPr>
        <w:pStyle w:val="933"/>
        <w:ind w:firstLine="420"/>
        <w:rPr>
          <w:rFonts w:ascii="宋体"/>
          <w:b/>
          <w:color w:val="000000"/>
          <w:szCs w:val="21"/>
          <w:highlight w:val="none"/>
          <w:lang w:val="zh-CN"/>
        </w:rPr>
      </w:pPr>
      <w:r>
        <w:rPr>
          <w:rFonts w:ascii="宋体"/>
          <w:b/>
          <w:color w:val="000000"/>
          <w:szCs w:val="21"/>
          <w:highlight w:val="none"/>
          <w:lang w:val="zh-CN"/>
        </w:rPr>
        <w:t xml:space="preserve">1</w:t>
      </w:r>
      <w:r>
        <w:rPr>
          <w:rFonts w:hint="eastAsia" w:ascii="宋体"/>
          <w:b/>
          <w:color w:val="000000"/>
          <w:szCs w:val="21"/>
          <w:highlight w:val="none"/>
          <w:lang w:val="zh-CN"/>
        </w:rPr>
        <w:t xml:space="preserve">、适用法律</w:t>
      </w:r>
      <w:r>
        <w:rPr>
          <w:rFonts w:ascii="宋体"/>
          <w:b/>
          <w:color w:val="000000"/>
          <w:szCs w:val="21"/>
          <w:highlight w:val="none"/>
          <w:lang w:val="zh-CN"/>
        </w:rPr>
      </w:r>
      <w:r/>
    </w:p>
    <w:p>
      <w:pPr>
        <w:pStyle w:val="933"/>
        <w:ind w:firstLine="420"/>
        <w:rPr>
          <w:rFonts w:ascii="宋体"/>
          <w:color w:val="000000"/>
          <w:szCs w:val="21"/>
          <w:highlight w:val="none"/>
          <w:lang w:val="zh-CN"/>
        </w:rPr>
      </w:pPr>
      <w:r>
        <w:rPr>
          <w:rFonts w:ascii="宋体"/>
          <w:color w:val="000000"/>
          <w:szCs w:val="21"/>
          <w:highlight w:val="none"/>
          <w:lang w:val="zh-CN"/>
        </w:rPr>
        <w:t xml:space="preserve">1.1</w:t>
      </w:r>
      <w:r>
        <w:rPr>
          <w:rFonts w:hint="eastAsia" w:ascii="宋体"/>
          <w:color w:val="000000"/>
          <w:szCs w:val="21"/>
          <w:highlight w:val="none"/>
          <w:lang w:val="zh-CN"/>
        </w:rPr>
        <w:t xml:space="preserve"> 《中华人民共和国政府采购法》、《中华人民共和国政府采购法实施条例》、《政府采购货物和服务招标投标管理办法》等有关法律、规章和规定等。</w:t>
      </w:r>
      <w:r>
        <w:rPr>
          <w:rFonts w:ascii="宋体"/>
          <w:color w:val="000000"/>
          <w:szCs w:val="21"/>
          <w:highlight w:val="none"/>
          <w:lang w:val="zh-CN"/>
        </w:rPr>
      </w:r>
      <w:r/>
    </w:p>
    <w:p>
      <w:pPr>
        <w:pStyle w:val="933"/>
        <w:ind w:firstLine="420"/>
        <w:rPr>
          <w:rFonts w:ascii="宋体"/>
          <w:b/>
          <w:color w:val="000000"/>
          <w:szCs w:val="21"/>
          <w:highlight w:val="none"/>
          <w:lang w:val="zh-CN"/>
        </w:rPr>
      </w:pPr>
      <w:r>
        <w:rPr>
          <w:rFonts w:ascii="宋体"/>
          <w:b/>
          <w:color w:val="000000"/>
          <w:szCs w:val="21"/>
          <w:highlight w:val="none"/>
          <w:lang w:val="zh-CN"/>
        </w:rPr>
        <w:t xml:space="preserve">2</w:t>
      </w:r>
      <w:r>
        <w:rPr>
          <w:rFonts w:hint="eastAsia" w:ascii="宋体"/>
          <w:b/>
          <w:color w:val="000000"/>
          <w:szCs w:val="21"/>
          <w:highlight w:val="none"/>
          <w:lang w:val="zh-CN"/>
        </w:rPr>
        <w:t xml:space="preserve">、定义</w:t>
      </w:r>
      <w:r>
        <w:rPr>
          <w:rFonts w:ascii="宋体"/>
          <w:b/>
          <w:color w:val="000000"/>
          <w:szCs w:val="21"/>
          <w:highlight w:val="none"/>
          <w:lang w:val="zh-CN"/>
        </w:rPr>
      </w:r>
      <w:r/>
    </w:p>
    <w:p>
      <w:pPr>
        <w:pStyle w:val="933"/>
        <w:ind w:firstLine="420"/>
        <w:rPr>
          <w:rFonts w:ascii="宋体"/>
          <w:color w:val="000000"/>
          <w:szCs w:val="21"/>
          <w:highlight w:val="none"/>
          <w:lang w:val="zh-CN"/>
        </w:rPr>
      </w:pPr>
      <w:r>
        <w:rPr>
          <w:rFonts w:ascii="宋体"/>
          <w:color w:val="000000"/>
          <w:szCs w:val="21"/>
          <w:highlight w:val="none"/>
          <w:lang w:val="zh-CN"/>
        </w:rPr>
        <w:t xml:space="preserve">2.</w:t>
      </w:r>
      <w:r>
        <w:rPr>
          <w:rFonts w:hint="eastAsia" w:ascii="宋体"/>
          <w:color w:val="000000"/>
          <w:szCs w:val="21"/>
          <w:highlight w:val="none"/>
          <w:lang w:val="zh-CN"/>
        </w:rPr>
        <w:t xml:space="preserve">1 “供应商”、“投标人”是指参加投标竞争，并符合招标文件规定资格条件的法人、其他组织或者自然人。</w:t>
      </w:r>
      <w:r>
        <w:rPr>
          <w:rFonts w:ascii="宋体"/>
          <w:color w:val="000000"/>
          <w:szCs w:val="21"/>
          <w:highlight w:val="none"/>
          <w:lang w:val="zh-CN"/>
        </w:rPr>
      </w:r>
      <w:r/>
    </w:p>
    <w:p>
      <w:pPr>
        <w:pStyle w:val="933"/>
        <w:ind w:firstLine="420"/>
        <w:rPr>
          <w:rFonts w:ascii="宋体"/>
          <w:color w:val="000000"/>
          <w:szCs w:val="21"/>
          <w:highlight w:val="none"/>
          <w:lang w:val="zh-CN"/>
        </w:rPr>
      </w:pPr>
      <w:r>
        <w:rPr>
          <w:rFonts w:ascii="宋体"/>
          <w:color w:val="000000"/>
          <w:szCs w:val="21"/>
          <w:highlight w:val="none"/>
          <w:lang w:val="zh-CN"/>
        </w:rPr>
        <w:t xml:space="preserve">2.</w:t>
      </w:r>
      <w:r>
        <w:rPr>
          <w:rFonts w:hint="eastAsia" w:ascii="宋体"/>
          <w:color w:val="000000"/>
          <w:szCs w:val="21"/>
          <w:highlight w:val="none"/>
          <w:lang w:val="zh-CN"/>
        </w:rPr>
        <w:t xml:space="preserve">2 “产品”指本招标文件中所述产品及相关服务。</w:t>
      </w:r>
      <w:r>
        <w:rPr>
          <w:rFonts w:ascii="宋体"/>
          <w:color w:val="000000"/>
          <w:szCs w:val="21"/>
          <w:highlight w:val="none"/>
          <w:lang w:val="zh-CN"/>
        </w:rPr>
      </w:r>
      <w:r/>
    </w:p>
    <w:p>
      <w:pPr>
        <w:pStyle w:val="933"/>
        <w:ind w:firstLine="420"/>
        <w:rPr>
          <w:rFonts w:ascii="宋体"/>
          <w:color w:val="000000"/>
          <w:szCs w:val="21"/>
          <w:highlight w:val="none"/>
          <w:lang w:val="zh-CN"/>
        </w:rPr>
      </w:pPr>
      <w:r>
        <w:rPr>
          <w:rFonts w:ascii="宋体"/>
          <w:color w:val="000000"/>
          <w:szCs w:val="21"/>
          <w:highlight w:val="none"/>
          <w:lang w:val="zh-CN"/>
        </w:rPr>
        <w:t xml:space="preserve">2.</w:t>
      </w:r>
      <w:r>
        <w:rPr>
          <w:rFonts w:hint="eastAsia" w:ascii="宋体"/>
          <w:color w:val="000000"/>
          <w:szCs w:val="21"/>
          <w:highlight w:val="none"/>
          <w:lang w:val="zh-CN"/>
        </w:rPr>
        <w:t xml:space="preserve">3 “用户或使用单位”是指使用货物、服务的单位。</w:t>
      </w:r>
      <w:r>
        <w:rPr>
          <w:rFonts w:ascii="宋体"/>
          <w:color w:val="000000"/>
          <w:szCs w:val="21"/>
          <w:highlight w:val="none"/>
          <w:lang w:val="zh-CN"/>
        </w:rPr>
      </w:r>
      <w:r/>
    </w:p>
    <w:p>
      <w:pPr>
        <w:pStyle w:val="933"/>
        <w:ind w:firstLine="420"/>
        <w:rPr>
          <w:rFonts w:ascii="宋体" w:hAnsi="宋体"/>
          <w:b/>
          <w:color w:val="000000"/>
          <w:szCs w:val="21"/>
          <w:highlight w:val="none"/>
          <w:lang w:val="zh-CN"/>
        </w:rPr>
      </w:pPr>
      <w:r>
        <w:rPr>
          <w:rFonts w:hint="eastAsia" w:ascii="宋体" w:hAnsi="宋体"/>
          <w:b/>
          <w:color w:val="000000"/>
          <w:szCs w:val="21"/>
          <w:highlight w:val="none"/>
          <w:lang w:val="zh-CN"/>
        </w:rPr>
        <w:t xml:space="preserve">3、政策功能</w:t>
      </w:r>
      <w:r>
        <w:rPr>
          <w:rFonts w:ascii="宋体" w:hAnsi="宋体"/>
          <w:b/>
          <w:color w:val="000000"/>
          <w:szCs w:val="21"/>
          <w:highlight w:val="none"/>
          <w:lang w:val="zh-CN"/>
        </w:rPr>
      </w:r>
      <w:r/>
    </w:p>
    <w:p>
      <w:pPr>
        <w:pStyle w:val="933"/>
        <w:ind w:firstLine="411"/>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3.1 政府采购促进中小企业发展，在政府采购活动中，供应商提供的货物、工程或者服务</w:t>
      </w:r>
      <w:r>
        <w:rPr>
          <w:rFonts w:ascii="宋体" w:hAnsi="宋体" w:cs="宋体"/>
          <w:color w:val="000000"/>
          <w:szCs w:val="21"/>
          <w:highlight w:val="none"/>
          <w:lang w:val="zh-CN"/>
        </w:rPr>
      </w:r>
      <w:r/>
    </w:p>
    <w:p>
      <w:pPr>
        <w:pStyle w:val="933"/>
        <w:ind w:firstLine="411"/>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符合下列情形的，享受中小企业扶持政策：</w:t>
      </w:r>
      <w:r>
        <w:rPr>
          <w:rFonts w:ascii="宋体" w:hAnsi="宋体" w:cs="宋体"/>
          <w:color w:val="000000"/>
          <w:szCs w:val="21"/>
          <w:highlight w:val="none"/>
          <w:lang w:val="zh-CN"/>
        </w:rPr>
      </w:r>
      <w:r/>
    </w:p>
    <w:p>
      <w:pPr>
        <w:pStyle w:val="933"/>
        <w:ind w:firstLine="411"/>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（1）在货物采购项目中，货物由中小企业制造，即货物由中小企业生产且使用该中小企业商号或者注册商标；</w:t>
      </w:r>
      <w:r>
        <w:rPr>
          <w:rFonts w:ascii="宋体" w:hAnsi="宋体" w:cs="宋体"/>
          <w:color w:val="000000"/>
          <w:szCs w:val="21"/>
          <w:highlight w:val="none"/>
          <w:lang w:val="zh-CN"/>
        </w:rPr>
      </w:r>
      <w:r/>
    </w:p>
    <w:p>
      <w:pPr>
        <w:pStyle w:val="933"/>
        <w:ind w:firstLine="411"/>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（2）在工程采购项目中，工程由中小企业承建，即工程施工单位为中小企业；</w:t>
      </w:r>
      <w:r>
        <w:rPr>
          <w:rFonts w:ascii="宋体" w:hAnsi="宋体" w:cs="宋体"/>
          <w:color w:val="000000"/>
          <w:szCs w:val="21"/>
          <w:highlight w:val="none"/>
          <w:lang w:val="zh-CN"/>
        </w:rPr>
      </w:r>
      <w:r/>
    </w:p>
    <w:p>
      <w:pPr>
        <w:pStyle w:val="933"/>
        <w:ind w:firstLine="411"/>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（3）在服务采购项目中，服务由中小企业承接，即提供服务的人员为中小企业依照《中华人民共和国劳动合同法》订立劳动合同的从业人员。</w:t>
      </w:r>
      <w:r>
        <w:rPr>
          <w:rFonts w:ascii="宋体" w:hAnsi="宋体" w:cs="宋体"/>
          <w:color w:val="000000"/>
          <w:szCs w:val="21"/>
          <w:highlight w:val="none"/>
          <w:lang w:val="zh-CN"/>
        </w:rPr>
      </w:r>
      <w:r/>
    </w:p>
    <w:p>
      <w:pPr>
        <w:pStyle w:val="933"/>
        <w:ind w:firstLine="411"/>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在货物采购项目中，供应商提供的货物既有中小企业制造货物，也有大型企业制造货物的，不享受中小企业扶持政策。</w:t>
      </w:r>
      <w:r>
        <w:rPr>
          <w:rFonts w:ascii="宋体" w:hAnsi="宋体" w:cs="宋体"/>
          <w:color w:val="000000"/>
          <w:szCs w:val="21"/>
          <w:highlight w:val="none"/>
          <w:lang w:val="zh-CN"/>
        </w:rPr>
      </w:r>
      <w:r/>
    </w:p>
    <w:p>
      <w:pPr>
        <w:pStyle w:val="933"/>
        <w:ind w:firstLine="411"/>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rPr>
          <w:rFonts w:ascii="宋体" w:hAnsi="宋体" w:cs="宋体"/>
          <w:color w:val="000000"/>
          <w:szCs w:val="21"/>
          <w:highlight w:val="none"/>
          <w:lang w:val="zh-CN"/>
        </w:rPr>
      </w:r>
      <w:r/>
    </w:p>
    <w:p>
      <w:pPr>
        <w:pStyle w:val="933"/>
        <w:ind w:firstLine="411"/>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cs="宋体"/>
          <w:color w:val="000000"/>
          <w:szCs w:val="21"/>
          <w:highlight w:val="none"/>
          <w:lang w:val="zh-CN"/>
        </w:rPr>
      </w:r>
      <w:r/>
    </w:p>
    <w:p>
      <w:pPr>
        <w:pStyle w:val="933"/>
        <w:ind w:firstLine="411"/>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ascii="宋体" w:hAnsi="宋体" w:cs="宋体"/>
          <w:color w:val="000000"/>
          <w:szCs w:val="21"/>
          <w:highlight w:val="none"/>
          <w:lang w:val="zh-CN"/>
        </w:rPr>
      </w:r>
      <w:r/>
    </w:p>
    <w:p>
      <w:pPr>
        <w:pStyle w:val="933"/>
        <w:ind w:firstLine="411"/>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ascii="宋体" w:hAnsi="宋体" w:cs="宋体"/>
          <w:color w:val="000000"/>
          <w:szCs w:val="21"/>
          <w:highlight w:val="none"/>
          <w:lang w:val="zh-CN"/>
        </w:rPr>
      </w:r>
      <w:r/>
    </w:p>
    <w:p>
      <w:pPr>
        <w:pStyle w:val="933"/>
        <w:ind w:firstLine="411"/>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宋体" w:hAnsi="宋体" w:cs="宋体"/>
          <w:color w:val="000000"/>
          <w:szCs w:val="21"/>
          <w:highlight w:val="none"/>
          <w:lang w:val="zh-CN"/>
        </w:rPr>
      </w:r>
      <w:r/>
    </w:p>
    <w:p>
      <w:pPr>
        <w:pStyle w:val="933"/>
        <w:ind w:firstLine="411"/>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3.5 提供的产品属于信息安全产品的，供应商应当选择经国家认证的信息安全产品投标，并提供由中国信息安全认证中心按国家标准认证颁发的有效认证证书复印件。</w:t>
      </w:r>
      <w:r>
        <w:rPr>
          <w:rFonts w:ascii="宋体" w:hAnsi="宋体" w:cs="宋体"/>
          <w:color w:val="000000"/>
          <w:szCs w:val="21"/>
          <w:highlight w:val="none"/>
          <w:lang w:val="zh-CN"/>
        </w:rPr>
      </w:r>
      <w:r/>
    </w:p>
    <w:p>
      <w:pPr>
        <w:pStyle w:val="933"/>
        <w:ind w:firstLine="411"/>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3.6 提供的产品属于政府强制采购节能产品的，供应商应当选择依据国家标准中二级能效（水效）指标认证的节能产品投标，并提供有效的节能产品认证证书复印件。</w:t>
      </w:r>
      <w:r>
        <w:rPr>
          <w:rFonts w:ascii="宋体" w:hAnsi="宋体" w:cs="宋体"/>
          <w:color w:val="000000"/>
          <w:szCs w:val="21"/>
          <w:highlight w:val="none"/>
          <w:lang w:val="zh-CN"/>
        </w:rPr>
      </w:r>
      <w:r/>
    </w:p>
    <w:p>
      <w:pPr>
        <w:pStyle w:val="933"/>
        <w:ind w:firstLine="411"/>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3.7 提供的产品属于环境标志产品的，供应商应当选择依据相关标准的最新版本认证的环境标志产品投标，并提供有效的环境标志产品认证证书复印件。</w:t>
      </w:r>
      <w:r>
        <w:rPr>
          <w:rFonts w:hint="eastAsia" w:ascii="宋体" w:hAnsi="宋体" w:cs="宋体"/>
          <w:color w:val="000000"/>
          <w:szCs w:val="21"/>
          <w:highlight w:val="none"/>
          <w:lang w:val="zh-CN"/>
        </w:rPr>
      </w:r>
      <w:r/>
    </w:p>
    <w:p>
      <w:pPr>
        <w:pStyle w:val="972"/>
        <w:ind w:left="0" w:firstLine="400"/>
        <w:rPr>
          <w:rFonts w:hint="eastAsia"/>
          <w:color w:val="000000"/>
          <w:highlight w:val="none"/>
        </w:rPr>
      </w:pPr>
      <w:r>
        <w:rPr>
          <w:rFonts w:hint="eastAsia"/>
          <w:color w:val="000000"/>
          <w:highlight w:val="none"/>
        </w:rPr>
        <w:t xml:space="preserve">3.</w:t>
      </w:r>
      <w:r>
        <w:rPr>
          <w:rFonts w:hint="eastAsia" w:eastAsia="宋体"/>
          <w:color w:val="000000"/>
          <w:highlight w:val="none"/>
          <w:lang w:val="en-US"/>
        </w:rPr>
        <w:t xml:space="preserve">8</w:t>
      </w:r>
      <w:r>
        <w:rPr>
          <w:rFonts w:hint="eastAsia"/>
          <w:color w:val="000000"/>
          <w:highlight w:val="none"/>
        </w:rPr>
        <w:t xml:space="preserve">实施本国产品标准及相关政策</w:t>
      </w:r>
      <w:r>
        <w:rPr>
          <w:rFonts w:hint="eastAsia"/>
          <w:color w:val="000000"/>
          <w:highlight w:val="none"/>
        </w:rPr>
      </w:r>
      <w:r/>
    </w:p>
    <w:p>
      <w:pPr>
        <w:pStyle w:val="972"/>
        <w:ind w:left="0" w:firstLine="400"/>
        <w:rPr>
          <w:rFonts w:hint="eastAsia"/>
          <w:color w:val="000000"/>
          <w:highlight w:val="none"/>
        </w:rPr>
      </w:pPr>
      <w:r>
        <w:rPr>
          <w:rFonts w:hint="eastAsia"/>
          <w:color w:val="000000"/>
          <w:highlight w:val="none"/>
        </w:rPr>
        <w:t xml:space="preserve">3.</w:t>
      </w:r>
      <w:r>
        <w:rPr>
          <w:rFonts w:hint="eastAsia" w:eastAsia="宋体"/>
          <w:color w:val="000000"/>
          <w:highlight w:val="none"/>
          <w:lang w:val="en-US"/>
        </w:rPr>
        <w:t xml:space="preserve">8</w:t>
      </w:r>
      <w:r>
        <w:rPr>
          <w:rFonts w:hint="eastAsia"/>
          <w:color w:val="000000"/>
          <w:highlight w:val="none"/>
        </w:rPr>
        <w:t xml:space="preserve">.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color w:val="000000"/>
          <w:highlight w:val="none"/>
        </w:rPr>
      </w:r>
      <w:r/>
    </w:p>
    <w:p>
      <w:pPr>
        <w:pStyle w:val="972"/>
        <w:ind w:left="0" w:firstLine="400"/>
        <w:rPr>
          <w:rFonts w:hint="eastAsia"/>
          <w:color w:val="000000"/>
          <w:highlight w:val="none"/>
        </w:rPr>
      </w:pPr>
      <w:r>
        <w:rPr>
          <w:rFonts w:hint="eastAsia"/>
          <w:color w:val="000000"/>
          <w:highlight w:val="none"/>
        </w:rPr>
        <w:t xml:space="preserve">3.</w:t>
      </w:r>
      <w:r>
        <w:rPr>
          <w:rFonts w:hint="eastAsia" w:eastAsia="宋体"/>
          <w:color w:val="000000"/>
          <w:highlight w:val="none"/>
          <w:lang w:val="en-US"/>
        </w:rPr>
        <w:t xml:space="preserve">8</w:t>
      </w:r>
      <w:r>
        <w:rPr>
          <w:rFonts w:hint="eastAsia"/>
          <w:color w:val="000000"/>
          <w:highlight w:val="none"/>
        </w:rPr>
        <w:t xml:space="preserve">.2本国产品应当符合以下条件：</w:t>
      </w:r>
      <w:r>
        <w:rPr>
          <w:rFonts w:hint="eastAsia"/>
          <w:color w:val="000000"/>
          <w:highlight w:val="none"/>
        </w:rPr>
      </w:r>
      <w:r/>
    </w:p>
    <w:p>
      <w:pPr>
        <w:pStyle w:val="972"/>
        <w:ind w:left="0" w:firstLine="400"/>
        <w:rPr>
          <w:rFonts w:hint="eastAsia"/>
          <w:color w:val="000000"/>
          <w:highlight w:val="none"/>
        </w:rPr>
      </w:pPr>
      <w:r>
        <w:rPr>
          <w:rFonts w:hint="eastAsia"/>
          <w:color w:val="000000"/>
          <w:highlight w:val="none"/>
        </w:rPr>
        <w:t xml:space="preserve">（1）在中国境内生产</w:t>
      </w:r>
      <w:r>
        <w:rPr>
          <w:rFonts w:hint="eastAsia"/>
          <w:color w:val="000000"/>
          <w:highlight w:val="none"/>
        </w:rPr>
      </w:r>
      <w:r/>
    </w:p>
    <w:p>
      <w:pPr>
        <w:pStyle w:val="972"/>
        <w:ind w:left="0" w:firstLine="400"/>
        <w:rPr>
          <w:rFonts w:hint="eastAsia"/>
          <w:color w:val="000000"/>
          <w:highlight w:val="none"/>
        </w:rPr>
      </w:pPr>
      <w:r>
        <w:rPr>
          <w:rFonts w:hint="eastAsia"/>
          <w:color w:val="000000"/>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color w:val="000000"/>
          <w:highlight w:val="none"/>
        </w:rPr>
      </w:r>
      <w:r/>
    </w:p>
    <w:p>
      <w:pPr>
        <w:pStyle w:val="972"/>
        <w:ind w:left="0" w:firstLine="400"/>
        <w:rPr>
          <w:rFonts w:hint="eastAsia"/>
          <w:color w:val="000000"/>
          <w:highlight w:val="none"/>
        </w:rPr>
      </w:pPr>
      <w:r>
        <w:rPr>
          <w:rFonts w:hint="eastAsia"/>
          <w:color w:val="000000"/>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olor w:val="000000"/>
          <w:highlight w:val="none"/>
        </w:rPr>
      </w:r>
      <w:r/>
    </w:p>
    <w:p>
      <w:pPr>
        <w:pStyle w:val="972"/>
        <w:ind w:left="0" w:firstLine="400"/>
        <w:rPr>
          <w:rFonts w:hint="eastAsia"/>
          <w:color w:val="000000"/>
          <w:highlight w:val="none"/>
        </w:rPr>
      </w:pPr>
      <w:r>
        <w:rPr>
          <w:rFonts w:hint="eastAsia"/>
          <w:color w:val="000000"/>
          <w:highlight w:val="none"/>
        </w:rPr>
        <w:t xml:space="preserve">（2）在中国境内生产的组件成本占比达到规定比例</w:t>
      </w:r>
      <w:r>
        <w:rPr>
          <w:rFonts w:hint="eastAsia"/>
          <w:color w:val="000000"/>
          <w:highlight w:val="none"/>
        </w:rPr>
      </w:r>
      <w:r/>
    </w:p>
    <w:p>
      <w:pPr>
        <w:pStyle w:val="972"/>
        <w:ind w:left="0" w:firstLine="400"/>
        <w:rPr>
          <w:rFonts w:hint="eastAsia"/>
          <w:color w:val="000000"/>
          <w:highlight w:val="none"/>
        </w:rPr>
      </w:pPr>
      <w:r>
        <w:rPr>
          <w:rFonts w:hint="eastAsia"/>
          <w:color w:val="000000"/>
          <w:highlight w:val="none"/>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color w:val="000000"/>
          <w:highlight w:val="none"/>
        </w:rPr>
      </w:r>
      <w:r/>
    </w:p>
    <w:p>
      <w:pPr>
        <w:pStyle w:val="972"/>
        <w:ind w:left="0" w:firstLine="400"/>
        <w:rPr>
          <w:rFonts w:hint="eastAsia"/>
          <w:color w:val="000000"/>
          <w:highlight w:val="none"/>
        </w:rPr>
      </w:pPr>
      <w:r>
        <w:rPr>
          <w:rFonts w:hint="eastAsia"/>
          <w:color w:val="000000"/>
          <w:highlight w:val="none"/>
        </w:rPr>
        <w:t xml:space="preserve">（3）特定产品的关键组件、关键工序符合相关要求</w:t>
      </w:r>
      <w:r>
        <w:rPr>
          <w:rFonts w:hint="eastAsia"/>
          <w:color w:val="000000"/>
          <w:highlight w:val="none"/>
        </w:rPr>
      </w:r>
      <w:r/>
    </w:p>
    <w:p>
      <w:pPr>
        <w:pStyle w:val="972"/>
        <w:ind w:left="0" w:firstLine="400"/>
        <w:rPr>
          <w:rFonts w:hint="eastAsia"/>
          <w:color w:val="000000"/>
          <w:highlight w:val="none"/>
        </w:rPr>
      </w:pPr>
      <w:r>
        <w:rPr>
          <w:rFonts w:hint="eastAsia"/>
          <w:color w:val="000000"/>
          <w:highlight w:val="none"/>
        </w:rPr>
        <w:t xml:space="preserve">对特定产品，在符合本通知第一条第（一）项和第（二）项条件的基础上，应当符合财政部会同有关行业主管部门确定的其关键组件、关键工序在中国境内生产、完成等要求。</w:t>
      </w:r>
      <w:r>
        <w:rPr>
          <w:rFonts w:hint="eastAsia"/>
          <w:color w:val="000000"/>
          <w:highlight w:val="none"/>
        </w:rPr>
      </w:r>
      <w:r/>
    </w:p>
    <w:p>
      <w:pPr>
        <w:pStyle w:val="972"/>
        <w:ind w:left="0" w:firstLine="400"/>
        <w:rPr>
          <w:rFonts w:hint="eastAsia"/>
          <w:color w:val="000000"/>
          <w:highlight w:val="none"/>
        </w:rPr>
      </w:pPr>
      <w:r>
        <w:rPr>
          <w:rFonts w:hint="eastAsia"/>
          <w:color w:val="000000"/>
          <w:highlight w:val="none"/>
        </w:rPr>
        <w:t xml:space="preserve">3.</w:t>
      </w:r>
      <w:r>
        <w:rPr>
          <w:rFonts w:hint="eastAsia" w:eastAsia="宋体"/>
          <w:color w:val="000000"/>
          <w:highlight w:val="none"/>
          <w:lang w:val="en-US"/>
        </w:rPr>
        <w:t xml:space="preserve">8</w:t>
      </w:r>
      <w:r>
        <w:rPr>
          <w:rFonts w:hint="eastAsia"/>
          <w:color w:val="000000"/>
          <w:highlight w:val="none"/>
        </w:rPr>
        <w:t xml:space="preserve">.3本国产品标准的适用范围</w:t>
      </w:r>
      <w:r>
        <w:rPr>
          <w:rFonts w:hint="eastAsia"/>
          <w:color w:val="000000"/>
          <w:highlight w:val="none"/>
        </w:rPr>
      </w:r>
      <w:r/>
    </w:p>
    <w:p>
      <w:pPr>
        <w:pStyle w:val="972"/>
        <w:ind w:left="0" w:firstLine="400"/>
        <w:rPr>
          <w:rFonts w:hint="eastAsia"/>
          <w:color w:val="000000"/>
          <w:highlight w:val="none"/>
        </w:rPr>
      </w:pPr>
      <w:r>
        <w:rPr>
          <w:rFonts w:hint="eastAsia"/>
          <w:color w:val="000000"/>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highlight w:val="none"/>
        </w:rPr>
      </w:r>
      <w:r/>
    </w:p>
    <w:p>
      <w:pPr>
        <w:pStyle w:val="972"/>
        <w:ind w:left="0" w:firstLine="400"/>
        <w:rPr>
          <w:rFonts w:hint="eastAsia"/>
          <w:color w:val="000000"/>
          <w:highlight w:val="none"/>
        </w:rPr>
      </w:pPr>
      <w:r>
        <w:rPr>
          <w:rFonts w:hint="eastAsia"/>
          <w:color w:val="000000"/>
          <w:highlight w:val="none"/>
        </w:rPr>
        <w:t xml:space="preserve">3.</w:t>
      </w:r>
      <w:r>
        <w:rPr>
          <w:rFonts w:hint="eastAsia" w:eastAsia="宋体"/>
          <w:color w:val="000000"/>
          <w:highlight w:val="none"/>
          <w:lang w:val="en-US"/>
        </w:rPr>
        <w:t xml:space="preserve">8</w:t>
      </w:r>
      <w:r>
        <w:rPr>
          <w:rFonts w:hint="eastAsia"/>
          <w:color w:val="000000"/>
          <w:highlight w:val="none"/>
        </w:rPr>
        <w:t xml:space="preserve">.4对本国产品的支持政策</w:t>
      </w:r>
      <w:r>
        <w:rPr>
          <w:rFonts w:hint="eastAsia"/>
          <w:color w:val="000000"/>
          <w:highlight w:val="none"/>
        </w:rPr>
      </w:r>
      <w:r/>
    </w:p>
    <w:p>
      <w:pPr>
        <w:pStyle w:val="972"/>
        <w:ind w:left="0" w:firstLine="400"/>
        <w:rPr>
          <w:rFonts w:hint="eastAsia"/>
          <w:color w:val="000000"/>
          <w:highlight w:val="none"/>
        </w:rPr>
      </w:pPr>
      <w:r>
        <w:rPr>
          <w:rFonts w:hint="eastAsia"/>
          <w:color w:val="000000"/>
          <w:highlight w:val="none"/>
        </w:rPr>
        <w:t xml:space="preserve">本项目如既有本国产品又有非本国产品参与竞争，依法对本国产品给予价格评审优惠，具体详见第三章。</w:t>
      </w:r>
      <w:r>
        <w:rPr>
          <w:rFonts w:hint="eastAsia"/>
          <w:color w:val="000000"/>
          <w:highlight w:val="none"/>
        </w:rPr>
      </w:r>
      <w:r/>
    </w:p>
    <w:p>
      <w:pPr>
        <w:pStyle w:val="972"/>
        <w:ind w:left="0" w:firstLine="400"/>
        <w:rPr>
          <w:rFonts w:hint="eastAsia"/>
          <w:color w:val="000000"/>
          <w:highlight w:val="none"/>
        </w:rPr>
      </w:pPr>
      <w:r>
        <w:rPr>
          <w:rFonts w:hint="eastAsia"/>
          <w:color w:val="000000"/>
          <w:highlight w:val="none"/>
        </w:rPr>
        <w:t xml:space="preserve">3.</w:t>
      </w:r>
      <w:r>
        <w:rPr>
          <w:rFonts w:hint="eastAsia" w:eastAsia="宋体"/>
          <w:color w:val="000000"/>
          <w:highlight w:val="none"/>
          <w:lang w:val="en-US"/>
        </w:rPr>
        <w:t xml:space="preserve">8</w:t>
      </w:r>
      <w:r>
        <w:rPr>
          <w:rFonts w:hint="eastAsia"/>
          <w:color w:val="000000"/>
          <w:highlight w:val="none"/>
        </w:rPr>
        <w:t xml:space="preserve">.5政策执行要求</w:t>
      </w:r>
      <w:r>
        <w:rPr>
          <w:rFonts w:hint="eastAsia"/>
          <w:color w:val="000000"/>
          <w:highlight w:val="none"/>
        </w:rPr>
      </w:r>
      <w:r/>
    </w:p>
    <w:p>
      <w:pPr>
        <w:pStyle w:val="972"/>
        <w:ind w:left="0" w:firstLine="400"/>
        <w:rPr>
          <w:rFonts w:hint="eastAsia"/>
          <w:color w:val="000000"/>
          <w:highlight w:val="none"/>
        </w:rPr>
      </w:pPr>
      <w:r>
        <w:rPr>
          <w:rFonts w:hint="eastAsia"/>
          <w:color w:val="000000"/>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color w:val="000000"/>
          <w:highlight w:val="none"/>
        </w:rPr>
      </w:r>
      <w:r/>
    </w:p>
    <w:p>
      <w:pPr>
        <w:pStyle w:val="972"/>
        <w:ind w:left="0" w:firstLine="400"/>
        <w:rPr>
          <w:rFonts w:hint="eastAsia"/>
          <w:color w:val="000000"/>
          <w:highlight w:val="none"/>
        </w:rPr>
      </w:pPr>
      <w:r>
        <w:rPr>
          <w:rFonts w:hint="eastAsia"/>
          <w:color w:val="000000"/>
          <w:highlight w:val="none"/>
        </w:rPr>
        <w:t xml:space="preserve">（2）有关证明文件。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成交）的，依照《中华人民共和国政府采购法》等法律法规规定追究相应责任。</w:t>
      </w:r>
      <w:r>
        <w:rPr>
          <w:rFonts w:hint="eastAsia"/>
          <w:color w:val="000000"/>
          <w:highlight w:val="none"/>
        </w:rPr>
      </w:r>
      <w:r/>
    </w:p>
    <w:p>
      <w:pPr>
        <w:pStyle w:val="972"/>
        <w:ind w:left="0" w:firstLine="400"/>
        <w:rPr>
          <w:color w:val="000000"/>
          <w:highlight w:val="none"/>
        </w:rPr>
      </w:pPr>
      <w:r>
        <w:rPr>
          <w:rFonts w:hint="eastAsia"/>
          <w:color w:val="000000"/>
          <w:highlight w:val="none"/>
        </w:rPr>
        <w:t xml:space="preserve">评标委员会评审中发现投标人提供的《关于符合本国产品标准的声明函》内容含义不明确、同类事项与投标（响应）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rPr>
          <w:color w:val="000000"/>
          <w:highlight w:val="none"/>
        </w:rPr>
      </w:r>
      <w:r/>
    </w:p>
    <w:p>
      <w:pPr>
        <w:pStyle w:val="933"/>
        <w:ind w:left="479"/>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color w:val="000000"/>
          <w:szCs w:val="21"/>
          <w:highlight w:val="none"/>
        </w:rPr>
        <w:t xml:space="preserve">9</w:t>
      </w:r>
      <w:r>
        <w:rPr>
          <w:rFonts w:hint="eastAsia" w:ascii="宋体" w:hAnsi="宋体" w:cs="宋体"/>
          <w:color w:val="000000"/>
          <w:szCs w:val="21"/>
          <w:highlight w:val="none"/>
          <w:lang w:val="zh-CN"/>
        </w:rPr>
        <w:t xml:space="preserve">未按要求提供相关材料的，不享受相关政策。</w:t>
      </w:r>
      <w:r>
        <w:rPr>
          <w:rFonts w:hint="eastAsia" w:ascii="宋体" w:hAnsi="宋体" w:cs="宋体"/>
          <w:color w:val="000000"/>
          <w:szCs w:val="21"/>
          <w:highlight w:val="none"/>
          <w:lang w:val="zh-CN"/>
        </w:rPr>
      </w:r>
      <w:r/>
    </w:p>
    <w:p>
      <w:pPr>
        <w:pStyle w:val="933"/>
        <w:ind w:left="479"/>
        <w:rPr>
          <w:rFonts w:ascii="宋体" w:hAnsi="宋体"/>
          <w:b/>
          <w:color w:val="000000"/>
          <w:szCs w:val="21"/>
          <w:highlight w:val="none"/>
        </w:rPr>
      </w:pPr>
      <w:r>
        <w:rPr>
          <w:rFonts w:hint="eastAsia" w:ascii="宋体" w:hAnsi="宋体"/>
          <w:b/>
          <w:color w:val="000000"/>
          <w:szCs w:val="21"/>
          <w:highlight w:val="none"/>
        </w:rPr>
        <w:t xml:space="preserve">二、招标文件</w:t>
      </w:r>
      <w:r>
        <w:rPr>
          <w:rFonts w:ascii="宋体" w:hAnsi="宋体"/>
          <w:b/>
          <w:color w:val="000000"/>
          <w:szCs w:val="21"/>
          <w:highlight w:val="none"/>
        </w:rPr>
      </w:r>
      <w:r/>
    </w:p>
    <w:p>
      <w:pPr>
        <w:pStyle w:val="933"/>
        <w:ind w:firstLine="422"/>
        <w:rPr>
          <w:rFonts w:ascii="宋体" w:hAnsi="宋体"/>
          <w:bCs/>
          <w:color w:val="000000"/>
          <w:szCs w:val="21"/>
          <w:highlight w:val="none"/>
        </w:rPr>
      </w:pPr>
      <w:r>
        <w:rPr>
          <w:rFonts w:hint="eastAsia" w:ascii="宋体" w:hAnsi="宋体"/>
          <w:b/>
          <w:color w:val="000000"/>
          <w:szCs w:val="21"/>
          <w:highlight w:val="none"/>
        </w:rPr>
        <w:t xml:space="preserve">4.招标文件组成</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4.2 招标的最小单位是包。招标服务数量及技术要求中未分包的，供应商对要求提供的服务不得部分投标；招标服务数量及技术要求中已经分包的，应当以包为单位投标。</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4.3 招标文件如果要求供应商提交备选投标方案的，供应商可以提交备选方案，否则，不接受备选方案。</w:t>
      </w:r>
      <w:r>
        <w:rPr>
          <w:rFonts w:ascii="宋体" w:hAnsi="宋体"/>
          <w:bCs/>
          <w:color w:val="000000"/>
          <w:szCs w:val="21"/>
          <w:highlight w:val="none"/>
        </w:rPr>
      </w:r>
      <w:r/>
    </w:p>
    <w:p>
      <w:pPr>
        <w:pStyle w:val="933"/>
        <w:ind w:firstLine="422"/>
        <w:rPr>
          <w:rFonts w:ascii="宋体" w:hAnsi="宋体"/>
          <w:bCs/>
          <w:color w:val="000000"/>
          <w:szCs w:val="21"/>
          <w:highlight w:val="none"/>
        </w:rPr>
      </w:pPr>
      <w:r>
        <w:rPr>
          <w:rFonts w:hint="eastAsia" w:ascii="宋体" w:hAnsi="宋体"/>
          <w:b/>
          <w:color w:val="000000"/>
          <w:szCs w:val="21"/>
          <w:highlight w:val="none"/>
        </w:rPr>
        <w:t xml:space="preserve">5.招标文件的澄清修改</w:t>
      </w:r>
      <w:r>
        <w:rPr>
          <w:rFonts w:ascii="宋体" w:hAnsi="宋体"/>
          <w:bCs/>
          <w:color w:val="000000"/>
          <w:szCs w:val="21"/>
          <w:highlight w:val="none"/>
        </w:rPr>
      </w:r>
      <w:r/>
    </w:p>
    <w:p>
      <w:pPr>
        <w:pStyle w:val="933"/>
        <w:ind w:firstLine="420"/>
        <w:rPr>
          <w:rFonts w:hint="eastAsia" w:ascii="宋体" w:hAnsi="宋体"/>
          <w:bCs/>
          <w:color w:val="000000"/>
          <w:szCs w:val="21"/>
          <w:highlight w:val="none"/>
        </w:rPr>
      </w:pPr>
      <w:r>
        <w:rPr>
          <w:rFonts w:hint="eastAsia" w:ascii="宋体" w:hAnsi="宋体"/>
          <w:bCs/>
          <w:color w:val="000000"/>
          <w:szCs w:val="21"/>
          <w:highlight w:val="none"/>
        </w:rPr>
        <w:t xml:space="preserve">5.1 任何要求对招标文件进行澄清的投标人，应在投标截止期十日前按招标公告中的通讯地址，以书面形式通知代理机构；</w:t>
      </w:r>
      <w:r>
        <w:rPr>
          <w:rFonts w:hint="eastAsia"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5.2代理机构对已发出的招标文件进行必要澄清或者修改的，将在招标文件要求提交投标文件截止时间十五日前，在原招标公告媒体发布更正公告，该澄清或者修改的内容为招标文件的组成部分。</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5.3 代理机构在招标文件要求提交投标文件截止时间前，有权决定延长投标截止时间和开标时间，并在原采购信息发布媒体上发布变更公告。</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5.4供应商应在投标截止时间前关注原采购信息发布媒体上有关本招标项目有无变更公告。根据更正公告内容自行决定是否需要重新制作和提交投标文件，并承担由此产生的相应责任。</w:t>
      </w:r>
      <w:r>
        <w:rPr>
          <w:rFonts w:ascii="宋体" w:hAnsi="宋体"/>
          <w:bCs/>
          <w:color w:val="000000"/>
          <w:szCs w:val="21"/>
          <w:highlight w:val="none"/>
        </w:rPr>
      </w:r>
      <w:r/>
    </w:p>
    <w:p>
      <w:pPr>
        <w:pStyle w:val="933"/>
        <w:ind w:firstLine="422"/>
        <w:rPr>
          <w:rFonts w:ascii="宋体" w:hAnsi="宋体"/>
          <w:bCs/>
          <w:color w:val="000000"/>
          <w:szCs w:val="21"/>
          <w:highlight w:val="none"/>
        </w:rPr>
      </w:pPr>
      <w:r>
        <w:rPr>
          <w:rFonts w:hint="eastAsia" w:ascii="宋体" w:hAnsi="宋体"/>
          <w:b/>
          <w:color w:val="000000"/>
          <w:szCs w:val="21"/>
          <w:highlight w:val="none"/>
        </w:rPr>
        <w:t xml:space="preserve">三、投标</w:t>
      </w:r>
      <w:r>
        <w:rPr>
          <w:rFonts w:ascii="宋体" w:hAnsi="宋体"/>
          <w:bCs/>
          <w:color w:val="000000"/>
          <w:szCs w:val="21"/>
          <w:highlight w:val="none"/>
        </w:rPr>
      </w:r>
      <w:r/>
    </w:p>
    <w:p>
      <w:pPr>
        <w:pStyle w:val="933"/>
        <w:ind w:firstLine="422"/>
        <w:rPr>
          <w:rFonts w:ascii="宋体" w:hAnsi="宋体"/>
          <w:bCs/>
          <w:color w:val="000000"/>
          <w:szCs w:val="21"/>
          <w:highlight w:val="none"/>
        </w:rPr>
      </w:pPr>
      <w:r>
        <w:rPr>
          <w:rFonts w:hint="eastAsia" w:ascii="宋体" w:hAnsi="宋体"/>
          <w:b/>
          <w:color w:val="000000"/>
          <w:szCs w:val="21"/>
          <w:highlight w:val="none"/>
        </w:rPr>
        <w:t xml:space="preserve">6.投标文件的语言、计量单位、货币、技术标准和编制</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6.2 供应商所使用的计量单位应为国家法定计量单位。</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6.3 供应商应用人民币报价。</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6.4 如标书制作工具中格式和内容与“江苏政府采购网”发布的招标文件不一致，以“江苏政府采购网”发布的招标文件为准。</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6.5 供应商应在投标文件中写清相应的项目编号、项目名称、供应商全称、地址、电话、传真等。</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6.6 供应商所使用的技术标准应遵循国家最新标准及规范。</w:t>
      </w:r>
      <w:r>
        <w:rPr>
          <w:rFonts w:ascii="宋体" w:hAnsi="宋体"/>
          <w:bCs/>
          <w:color w:val="000000"/>
          <w:szCs w:val="21"/>
          <w:highlight w:val="none"/>
        </w:rPr>
      </w:r>
      <w:r/>
    </w:p>
    <w:p>
      <w:pPr>
        <w:pStyle w:val="933"/>
        <w:ind w:firstLine="422"/>
        <w:rPr>
          <w:rFonts w:ascii="宋体" w:hAnsi="宋体"/>
          <w:bCs/>
          <w:color w:val="000000"/>
          <w:szCs w:val="21"/>
          <w:highlight w:val="none"/>
        </w:rPr>
      </w:pPr>
      <w:r>
        <w:rPr>
          <w:rFonts w:hint="eastAsia" w:ascii="宋体" w:hAnsi="宋体"/>
          <w:b/>
          <w:color w:val="000000"/>
          <w:szCs w:val="21"/>
          <w:highlight w:val="none"/>
        </w:rPr>
        <w:t xml:space="preserve">7.联合体及分包：本项目不接受联合体投标。</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7.1 采购项目如接受联合体投标的，两个以上的自然人、法人或者其他组织可以组成一个联合体，以一个供应商的身份共同参加投标。</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7.3 政府采购合同分包履行的，中标供应商就采购项目和分包项目向采购人负责，分包项目供应商就分包项目承担责任，中标供应商与分包供应商之间应该签订分包意向协议。</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7.4 享受中小企业扶持政策获得政府采购合同的，小微企业不得将合同分包给大中型企业，中型企业不得将合同分包给大型企业。</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ascii="宋体" w:hAnsi="宋体"/>
          <w:bCs/>
          <w:color w:val="000000"/>
          <w:szCs w:val="21"/>
          <w:highlight w:val="none"/>
        </w:rPr>
      </w:r>
      <w:r/>
    </w:p>
    <w:p>
      <w:pPr>
        <w:pStyle w:val="933"/>
        <w:ind w:firstLine="422"/>
        <w:rPr>
          <w:rFonts w:ascii="宋体" w:hAnsi="宋体"/>
          <w:bCs/>
          <w:color w:val="000000"/>
          <w:szCs w:val="21"/>
          <w:highlight w:val="none"/>
        </w:rPr>
      </w:pPr>
      <w:r>
        <w:rPr>
          <w:rFonts w:hint="eastAsia" w:ascii="宋体" w:hAnsi="宋体"/>
          <w:b/>
          <w:color w:val="000000"/>
          <w:szCs w:val="21"/>
          <w:highlight w:val="none"/>
        </w:rPr>
        <w:t xml:space="preserve">8.投标费用</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8.1 供应商应承担所有与准备和参加投标有关的费用，无论采购结果如何，代理机构和采购人在任何情况下均无义务和责任承担这些费用。</w:t>
      </w:r>
      <w:r>
        <w:rPr>
          <w:rFonts w:ascii="宋体" w:hAnsi="宋体"/>
          <w:bCs/>
          <w:color w:val="000000"/>
          <w:szCs w:val="21"/>
          <w:highlight w:val="none"/>
        </w:rPr>
      </w:r>
      <w:r/>
    </w:p>
    <w:p>
      <w:pPr>
        <w:pStyle w:val="933"/>
        <w:ind w:firstLine="420"/>
        <w:rPr>
          <w:rFonts w:hint="eastAsia" w:ascii="宋体" w:hAnsi="宋体"/>
          <w:bCs/>
          <w:color w:val="000000"/>
          <w:szCs w:val="21"/>
          <w:highlight w:val="none"/>
        </w:rPr>
      </w:pPr>
      <w:r>
        <w:rPr>
          <w:rFonts w:hint="eastAsia" w:ascii="宋体" w:hAnsi="宋体"/>
          <w:bCs/>
          <w:color w:val="000000"/>
          <w:szCs w:val="21"/>
          <w:highlight w:val="none"/>
        </w:rPr>
        <w:t xml:space="preserve">8.2 本次招标，中标人按《招标代理服务费管理暂行办法》（国家发展计划委员会计价格【2002】1980号）代理服务招标收费标准80%计算，向招标代理机构支付招标服务费。该项费用请供应商综合考虑在投标报价中，后期采购人不单独列支，必须在领取中标通知书前向招标代理机构支付招标服务费。</w:t>
      </w:r>
      <w:r>
        <w:rPr>
          <w:rFonts w:hint="eastAsia"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8.3评审费：由代理机构先行垫付，最终由中标人支付。该项费用请投标人综合考虑在投标报价中，后期采购人不单独列支，必须在领取中标通知书前向招标代理机构支付招标服务费。</w:t>
      </w:r>
      <w:r>
        <w:rPr>
          <w:rFonts w:ascii="宋体" w:hAnsi="宋体"/>
          <w:bCs/>
          <w:color w:val="000000"/>
          <w:szCs w:val="21"/>
          <w:highlight w:val="none"/>
        </w:rPr>
      </w:r>
      <w:r/>
    </w:p>
    <w:p>
      <w:pPr>
        <w:pStyle w:val="933"/>
        <w:ind w:firstLine="422"/>
        <w:rPr>
          <w:rFonts w:ascii="宋体" w:hAnsi="宋体"/>
          <w:bCs/>
          <w:color w:val="000000"/>
          <w:szCs w:val="21"/>
          <w:highlight w:val="none"/>
        </w:rPr>
      </w:pPr>
      <w:r>
        <w:rPr>
          <w:rFonts w:hint="eastAsia" w:ascii="宋体" w:hAnsi="宋体"/>
          <w:b/>
          <w:color w:val="000000"/>
          <w:szCs w:val="21"/>
          <w:highlight w:val="none"/>
        </w:rPr>
        <w:t xml:space="preserve">9.投标文件组成</w:t>
      </w:r>
      <w:r>
        <w:rPr>
          <w:rFonts w:ascii="宋体" w:hAnsi="宋体"/>
          <w:bCs/>
          <w:color w:val="000000"/>
          <w:szCs w:val="21"/>
          <w:highlight w:val="none"/>
        </w:rPr>
      </w:r>
      <w:r/>
    </w:p>
    <w:p>
      <w:pPr>
        <w:pStyle w:val="933"/>
        <w:ind w:firstLine="420"/>
        <w:rPr>
          <w:rFonts w:hint="eastAsia" w:ascii="宋体" w:hAnsi="宋体"/>
          <w:bCs/>
          <w:color w:val="000000"/>
          <w:szCs w:val="21"/>
          <w:highlight w:val="none"/>
        </w:rPr>
      </w:pPr>
      <w:r>
        <w:rPr>
          <w:rFonts w:hint="eastAsia" w:ascii="宋体" w:hAnsi="宋体"/>
          <w:bCs/>
          <w:color w:val="000000"/>
          <w:szCs w:val="21"/>
          <w:highlight w:val="none"/>
        </w:rPr>
        <w:t xml:space="preserve">9.1 投标人编写的投标文件应包括资格证明文件、符合性证明文件、投标分项报价表、响应及偏离表、其他证明文件、投标函、开标一览表等部分。</w:t>
      </w:r>
      <w:r>
        <w:rPr>
          <w:rFonts w:hint="eastAsia"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9.2 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9.3 供应商根据招标文件载明的采购项目实际情况，拟在中标后将中标项目的非主体、非关键性工作交由他人完成的，应当在投标文件中载明。</w:t>
      </w:r>
      <w:r>
        <w:rPr>
          <w:rFonts w:ascii="宋体" w:hAnsi="宋体"/>
          <w:bCs/>
          <w:color w:val="000000"/>
          <w:szCs w:val="21"/>
          <w:highlight w:val="none"/>
        </w:rPr>
      </w:r>
      <w:r/>
    </w:p>
    <w:p>
      <w:pPr>
        <w:pStyle w:val="933"/>
        <w:ind w:firstLine="422"/>
        <w:rPr>
          <w:rFonts w:ascii="宋体" w:hAnsi="宋体"/>
          <w:bCs/>
          <w:color w:val="000000"/>
          <w:szCs w:val="21"/>
          <w:highlight w:val="none"/>
        </w:rPr>
      </w:pPr>
      <w:r>
        <w:rPr>
          <w:rFonts w:hint="eastAsia" w:ascii="宋体" w:hAnsi="宋体"/>
          <w:b/>
          <w:color w:val="000000"/>
          <w:szCs w:val="21"/>
          <w:highlight w:val="none"/>
        </w:rPr>
        <w:t xml:space="preserve">10.投标文件的商务部分</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10.1 商务部分是证明供应商有资格参加投标和中标后有能力履行合同的文件，这些文件应能满足招标的要求，包括但不限于下列文件，其中加“★”项目不得有缺失或无效：</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（1）★投标函（投标申请及声明）；</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（2）★法定代表人授权委托书及授权委托人的身份证复印件（有授权委托的），或法定代表人身份证复印件（无授权委托的）；</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（3）★第一章投标邀请中二、申请人的资格要求：1.《中华人民共和国政府采购法》规定的资格条件证明文件；</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（4）★第一章投标邀请中二、申请人的资格要求：3.采购人根据采购项目的特殊要求规定的特定条件证明文件；</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（5）《商务条款偏离表》；</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（6）合同条款；</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（7）供应商认为需要提供的其他资格证明文件和商务资料。</w:t>
      </w:r>
      <w:r>
        <w:rPr>
          <w:rFonts w:ascii="宋体" w:hAnsi="宋体"/>
          <w:bCs/>
          <w:color w:val="000000"/>
          <w:szCs w:val="21"/>
          <w:highlight w:val="none"/>
        </w:rPr>
      </w:r>
      <w:r/>
    </w:p>
    <w:p>
      <w:pPr>
        <w:pStyle w:val="933"/>
        <w:ind w:firstLine="422"/>
        <w:rPr>
          <w:rFonts w:ascii="宋体" w:hAnsi="宋体"/>
          <w:bCs/>
          <w:color w:val="000000"/>
          <w:szCs w:val="21"/>
          <w:highlight w:val="none"/>
        </w:rPr>
      </w:pPr>
      <w:r>
        <w:rPr>
          <w:rFonts w:hint="eastAsia" w:ascii="宋体" w:hAnsi="宋体"/>
          <w:b/>
          <w:color w:val="000000"/>
          <w:szCs w:val="21"/>
          <w:highlight w:val="none"/>
        </w:rPr>
        <w:t xml:space="preserve">11.投标文件的技术部分</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11.1 技术部分是证明供应商提供的服务是合格的、并符合招标文件要求的证明文件，以及对投标报价表中的服务的详细说明，这些文件可以是文字资料、图纸和数据等。</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11.2 若提供的服务与招标文件要求有不符之处，应说明其差别之所在。</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11.3 投标文件应按照招标文件要求提供服务说明，技术资料、文件和有关证明，包括但不限于以下材料，其中加“★”项目不得有缺失或无效：</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（1）★服务内容的详细说明；</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（2）项目实施或集成方案；</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（3）项目验收标准；</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（4）服务承诺；</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（5）供应商认为需要提供的其他技术资料。</w:t>
      </w:r>
      <w:r>
        <w:rPr>
          <w:rFonts w:ascii="宋体" w:hAnsi="宋体"/>
          <w:bCs/>
          <w:color w:val="000000"/>
          <w:szCs w:val="21"/>
          <w:highlight w:val="none"/>
        </w:rPr>
      </w:r>
      <w:r/>
    </w:p>
    <w:p>
      <w:pPr>
        <w:pStyle w:val="933"/>
        <w:ind w:firstLine="422"/>
        <w:rPr>
          <w:rFonts w:ascii="宋体" w:hAnsi="宋体"/>
          <w:bCs/>
          <w:color w:val="000000"/>
          <w:szCs w:val="21"/>
          <w:highlight w:val="none"/>
        </w:rPr>
      </w:pPr>
      <w:r>
        <w:rPr>
          <w:rFonts w:hint="eastAsia" w:ascii="宋体" w:hAnsi="宋体"/>
          <w:b/>
          <w:color w:val="000000"/>
          <w:szCs w:val="21"/>
          <w:highlight w:val="none"/>
        </w:rPr>
        <w:t xml:space="preserve">12.投标文件的价格部分</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12.1 价格部分是对投标服务价格构成的说明，每一项服务仅接受一个价格。投标人应按照招标文件规定格式填报投标分项报价表。</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12.2 报价应包含完成本服务项目发生的所有含税费用、支付给员工的工资和国家强制缴纳的各种社会保障资金，以及供应商认为需要的其他费用等。</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12.3 供应商的任何错漏、优惠、竞争性报价不得作为减轻责任、减少服务、增加收费、降低质量的理由。</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12.5 《开标一览表》须加盖电子公章。</w:t>
      </w:r>
      <w:r>
        <w:rPr>
          <w:rFonts w:ascii="宋体" w:hAnsi="宋体"/>
          <w:bCs/>
          <w:color w:val="000000"/>
          <w:szCs w:val="21"/>
          <w:highlight w:val="none"/>
        </w:rPr>
      </w:r>
      <w:r/>
    </w:p>
    <w:p>
      <w:pPr>
        <w:pStyle w:val="933"/>
        <w:ind w:firstLine="422"/>
        <w:rPr>
          <w:rFonts w:ascii="宋体" w:hAnsi="宋体"/>
          <w:bCs/>
          <w:color w:val="000000"/>
          <w:szCs w:val="21"/>
          <w:highlight w:val="none"/>
        </w:rPr>
      </w:pPr>
      <w:r>
        <w:rPr>
          <w:rFonts w:hint="eastAsia" w:ascii="宋体" w:hAnsi="宋体"/>
          <w:b/>
          <w:color w:val="000000"/>
          <w:szCs w:val="21"/>
          <w:highlight w:val="none"/>
        </w:rPr>
        <w:t xml:space="preserve">13.投标文件的其他部分</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供应商编制投标文件需要提供的其他相关文件。</w:t>
      </w:r>
      <w:r>
        <w:rPr>
          <w:rFonts w:ascii="宋体" w:hAnsi="宋体"/>
          <w:bCs/>
          <w:color w:val="000000"/>
          <w:szCs w:val="21"/>
          <w:highlight w:val="none"/>
        </w:rPr>
      </w:r>
      <w:r/>
    </w:p>
    <w:p>
      <w:pPr>
        <w:pStyle w:val="933"/>
        <w:ind w:firstLine="422"/>
        <w:rPr>
          <w:rFonts w:ascii="宋体" w:hAnsi="宋体"/>
          <w:b/>
          <w:color w:val="000000"/>
          <w:szCs w:val="21"/>
          <w:highlight w:val="none"/>
        </w:rPr>
      </w:pPr>
      <w:r>
        <w:rPr>
          <w:rFonts w:hint="eastAsia" w:ascii="宋体" w:hAnsi="宋体"/>
          <w:b/>
          <w:color w:val="000000"/>
          <w:szCs w:val="21"/>
          <w:highlight w:val="none"/>
        </w:rPr>
        <w:t xml:space="preserve">14.投标保证金：无。</w:t>
      </w:r>
      <w:r>
        <w:rPr>
          <w:rFonts w:ascii="宋体" w:hAnsi="宋体"/>
          <w:b/>
          <w:color w:val="000000"/>
          <w:szCs w:val="21"/>
          <w:highlight w:val="none"/>
        </w:rPr>
      </w:r>
      <w:r/>
    </w:p>
    <w:p>
      <w:pPr>
        <w:pStyle w:val="933"/>
        <w:ind w:firstLine="422"/>
        <w:rPr>
          <w:rFonts w:ascii="宋体" w:hAnsi="宋体"/>
          <w:bCs/>
          <w:color w:val="000000"/>
          <w:szCs w:val="21"/>
          <w:highlight w:val="none"/>
        </w:rPr>
      </w:pPr>
      <w:r>
        <w:rPr>
          <w:rFonts w:hint="eastAsia" w:ascii="宋体" w:hAnsi="宋体"/>
          <w:b/>
          <w:color w:val="000000"/>
          <w:szCs w:val="21"/>
          <w:highlight w:val="none"/>
        </w:rPr>
        <w:t xml:space="preserve">15.投标有效期</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15.1 自开标之日起六十日内投标有效。</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rPr>
          <w:rFonts w:ascii="宋体" w:hAnsi="宋体"/>
          <w:bCs/>
          <w:color w:val="000000"/>
          <w:szCs w:val="21"/>
          <w:highlight w:val="none"/>
        </w:rPr>
      </w:r>
      <w:r/>
    </w:p>
    <w:p>
      <w:pPr>
        <w:pStyle w:val="933"/>
        <w:ind w:firstLine="422"/>
        <w:rPr>
          <w:rFonts w:ascii="宋体" w:hAnsi="宋体"/>
          <w:bCs/>
          <w:color w:val="000000"/>
          <w:szCs w:val="21"/>
          <w:highlight w:val="none"/>
        </w:rPr>
      </w:pPr>
      <w:r>
        <w:rPr>
          <w:rFonts w:hint="eastAsia" w:ascii="宋体" w:hAnsi="宋体"/>
          <w:b/>
          <w:color w:val="000000"/>
          <w:szCs w:val="21"/>
          <w:highlight w:val="none"/>
        </w:rPr>
        <w:t xml:space="preserve">16.投标文件的签署</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16.3 除供应商对错处做必要修改外，投标文件不得行间插字、涂改或增删。如有修改错漏处，必须由投标文件签署人签字或加盖电子公章。</w:t>
      </w:r>
      <w:r>
        <w:rPr>
          <w:rFonts w:ascii="宋体" w:hAnsi="宋体"/>
          <w:bCs/>
          <w:color w:val="000000"/>
          <w:szCs w:val="21"/>
          <w:highlight w:val="none"/>
        </w:rPr>
      </w:r>
      <w:r/>
    </w:p>
    <w:p>
      <w:pPr>
        <w:pStyle w:val="933"/>
        <w:ind w:firstLine="422"/>
        <w:rPr>
          <w:rFonts w:ascii="宋体" w:hAnsi="宋体"/>
          <w:bCs/>
          <w:color w:val="000000"/>
          <w:szCs w:val="21"/>
          <w:highlight w:val="none"/>
        </w:rPr>
      </w:pPr>
      <w:r>
        <w:rPr>
          <w:rFonts w:hint="eastAsia" w:ascii="宋体" w:hAnsi="宋体"/>
          <w:b/>
          <w:color w:val="000000"/>
          <w:szCs w:val="21"/>
          <w:highlight w:val="none"/>
        </w:rPr>
        <w:t xml:space="preserve">17.投标文件的递交</w:t>
      </w:r>
      <w:r>
        <w:rPr>
          <w:rFonts w:ascii="宋体" w:hAnsi="宋体"/>
          <w:bCs/>
          <w:color w:val="000000"/>
          <w:szCs w:val="21"/>
          <w:highlight w:val="none"/>
        </w:rPr>
      </w:r>
      <w:r/>
    </w:p>
    <w:p>
      <w:pPr>
        <w:pStyle w:val="933"/>
        <w:ind w:firstLine="420"/>
        <w:rPr>
          <w:rFonts w:hint="eastAsia" w:ascii="宋体" w:hAnsi="宋体"/>
          <w:bCs/>
          <w:color w:val="000000"/>
          <w:szCs w:val="21"/>
          <w:highlight w:val="none"/>
        </w:rPr>
      </w:pPr>
      <w:r>
        <w:rPr>
          <w:rFonts w:hint="eastAsia" w:ascii="宋体" w:hAnsi="宋体"/>
          <w:bCs/>
          <w:color w:val="000000"/>
          <w:szCs w:val="21"/>
          <w:highlight w:val="none"/>
        </w:rPr>
        <w:t xml:space="preserve">17.1 投标人应当按照《操作手册》规定，在招标公告规定的投标截止时间前制作并上传电子投标文件。</w:t>
      </w:r>
      <w:r>
        <w:rPr>
          <w:rFonts w:hint="eastAsia" w:ascii="宋体" w:hAnsi="宋体"/>
          <w:bCs/>
          <w:color w:val="000000"/>
          <w:szCs w:val="21"/>
          <w:highlight w:val="none"/>
        </w:rPr>
      </w:r>
      <w:r/>
    </w:p>
    <w:p>
      <w:pPr>
        <w:pStyle w:val="933"/>
        <w:ind w:firstLine="420"/>
        <w:rPr>
          <w:rFonts w:hint="eastAsia" w:ascii="宋体" w:hAnsi="宋体"/>
          <w:bCs/>
          <w:color w:val="000000"/>
          <w:szCs w:val="21"/>
          <w:highlight w:val="none"/>
        </w:rPr>
      </w:pPr>
      <w:r>
        <w:rPr>
          <w:rFonts w:hint="eastAsia" w:ascii="宋体" w:hAnsi="宋体"/>
          <w:bCs/>
          <w:color w:val="000000"/>
          <w:szCs w:val="21"/>
          <w:highlight w:val="none"/>
        </w:rPr>
        <w:t xml:space="preserve">17.2 投标人应充分考虑网络环境、网络带宽等因素可能对投标产生的影响，如因投标人自身原因造成的电子投标文件上传不成功的，按照本招标文件第二章第21.2.2.4 条规定做无效投标处理。</w:t>
      </w:r>
      <w:r>
        <w:rPr>
          <w:rFonts w:hint="eastAsia"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17.3 代理机构有权通过修改招标文件酌情延长投标截止时间，在此情况下，投标人的所有权利和义务均以延长后新的截止时间为准。</w:t>
      </w:r>
      <w:r>
        <w:rPr>
          <w:rFonts w:ascii="宋体" w:hAnsi="宋体"/>
          <w:bCs/>
          <w:color w:val="000000"/>
          <w:szCs w:val="21"/>
          <w:highlight w:val="none"/>
        </w:rPr>
      </w:r>
      <w:r/>
    </w:p>
    <w:p>
      <w:pPr>
        <w:pStyle w:val="933"/>
        <w:ind w:firstLine="422"/>
        <w:rPr>
          <w:rFonts w:ascii="宋体" w:hAnsi="宋体"/>
          <w:bCs/>
          <w:color w:val="000000"/>
          <w:szCs w:val="21"/>
          <w:highlight w:val="none"/>
        </w:rPr>
      </w:pPr>
      <w:r>
        <w:rPr>
          <w:rFonts w:hint="eastAsia" w:ascii="宋体" w:hAnsi="宋体"/>
          <w:b/>
          <w:color w:val="000000"/>
          <w:szCs w:val="21"/>
          <w:highlight w:val="none"/>
        </w:rPr>
        <w:t xml:space="preserve">18.有下列情形之一的投标文件将被拒收</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18.1 在招标文件要求提交投标文件的截止时间之后上传的。</w:t>
      </w:r>
      <w:r>
        <w:rPr>
          <w:rFonts w:ascii="宋体" w:hAnsi="宋体"/>
          <w:bCs/>
          <w:color w:val="000000"/>
          <w:szCs w:val="21"/>
          <w:highlight w:val="none"/>
        </w:rPr>
      </w:r>
      <w:r/>
    </w:p>
    <w:p>
      <w:pPr>
        <w:pStyle w:val="933"/>
        <w:ind w:firstLine="422"/>
        <w:rPr>
          <w:rFonts w:ascii="宋体" w:hAnsi="宋体"/>
          <w:bCs/>
          <w:color w:val="000000"/>
          <w:szCs w:val="21"/>
          <w:highlight w:val="none"/>
        </w:rPr>
      </w:pPr>
      <w:r>
        <w:rPr>
          <w:rFonts w:hint="eastAsia" w:ascii="宋体" w:hAnsi="宋体"/>
          <w:b/>
          <w:color w:val="000000"/>
          <w:szCs w:val="21"/>
          <w:highlight w:val="none"/>
        </w:rPr>
        <w:t xml:space="preserve">19.投标文件的修改和撤回</w:t>
      </w:r>
      <w:r>
        <w:rPr>
          <w:rFonts w:ascii="宋体" w:hAnsi="宋体"/>
          <w:bCs/>
          <w:color w:val="000000"/>
          <w:szCs w:val="21"/>
          <w:highlight w:val="none"/>
        </w:rPr>
      </w:r>
      <w:r/>
    </w:p>
    <w:p>
      <w:pPr>
        <w:pStyle w:val="933"/>
        <w:ind w:firstLine="420"/>
        <w:rPr>
          <w:rFonts w:ascii="宋体" w:hAnsi="宋体"/>
          <w:bCs/>
          <w:color w:val="000000"/>
          <w:szCs w:val="21"/>
          <w:highlight w:val="none"/>
          <w:lang w:val="zh-CN"/>
        </w:rPr>
      </w:pPr>
      <w:r>
        <w:rPr>
          <w:rFonts w:hint="eastAsia" w:ascii="宋体" w:hAnsi="宋体"/>
          <w:bCs/>
          <w:color w:val="000000"/>
          <w:szCs w:val="21"/>
          <w:highlight w:val="none"/>
        </w:rPr>
        <w:t xml:space="preserve">19</w:t>
      </w:r>
      <w:r>
        <w:rPr>
          <w:rFonts w:hint="eastAsia" w:ascii="宋体" w:hAnsi="宋体"/>
          <w:bCs/>
          <w:color w:val="000000"/>
          <w:szCs w:val="21"/>
          <w:highlight w:val="none"/>
          <w:lang w:val="zh-CN"/>
        </w:rPr>
        <w:t xml:space="preserve">.</w:t>
      </w:r>
      <w:r>
        <w:rPr>
          <w:rFonts w:hint="eastAsia" w:ascii="宋体" w:hAnsi="宋体"/>
          <w:bCs/>
          <w:color w:val="000000"/>
          <w:szCs w:val="21"/>
          <w:highlight w:val="none"/>
        </w:rPr>
        <w:t xml:space="preserve">1</w:t>
      </w:r>
      <w:r>
        <w:rPr>
          <w:rFonts w:hint="eastAsia" w:ascii="宋体" w:hAnsi="宋体"/>
          <w:bCs/>
          <w:color w:val="000000"/>
          <w:szCs w:val="21"/>
          <w:highlight w:val="none"/>
          <w:lang w:val="zh-CN"/>
        </w:rPr>
        <w:t xml:space="preserve"> 投标文件的修改</w:t>
      </w:r>
      <w:r>
        <w:rPr>
          <w:rFonts w:ascii="宋体" w:hAnsi="宋体"/>
          <w:bCs/>
          <w:color w:val="000000"/>
          <w:szCs w:val="21"/>
          <w:highlight w:val="none"/>
          <w:lang w:val="zh-CN"/>
        </w:rPr>
      </w:r>
      <w:r/>
    </w:p>
    <w:p>
      <w:pPr>
        <w:pStyle w:val="933"/>
        <w:ind w:firstLine="420"/>
        <w:rPr>
          <w:rFonts w:ascii="宋体" w:hAnsi="宋体"/>
          <w:bCs/>
          <w:color w:val="000000"/>
          <w:szCs w:val="21"/>
          <w:highlight w:val="none"/>
          <w:lang w:val="zh-CN"/>
        </w:rPr>
      </w:pPr>
      <w:r>
        <w:rPr>
          <w:rFonts w:hint="eastAsia" w:ascii="宋体" w:hAnsi="宋体"/>
          <w:bCs/>
          <w:color w:val="000000"/>
          <w:szCs w:val="21"/>
          <w:highlight w:val="none"/>
        </w:rPr>
        <w:t xml:space="preserve">19</w:t>
      </w:r>
      <w:r>
        <w:rPr>
          <w:rFonts w:hint="eastAsia" w:ascii="宋体" w:hAnsi="宋体"/>
          <w:bCs/>
          <w:color w:val="000000"/>
          <w:szCs w:val="21"/>
          <w:highlight w:val="none"/>
          <w:lang w:val="zh-CN"/>
        </w:rPr>
        <w:t xml:space="preserve">.2.1</w:t>
      </w:r>
      <w:r>
        <w:rPr>
          <w:rFonts w:hint="eastAsia" w:ascii="宋体" w:hAnsi="宋体"/>
          <w:bCs/>
          <w:color w:val="000000"/>
          <w:szCs w:val="21"/>
          <w:highlight w:val="none"/>
        </w:rPr>
        <w:t xml:space="preserve"> </w:t>
      </w:r>
      <w:r>
        <w:rPr>
          <w:rFonts w:hint="eastAsia" w:ascii="宋体" w:hAnsi="宋体"/>
          <w:bCs/>
          <w:color w:val="000000"/>
          <w:szCs w:val="21"/>
          <w:highlight w:val="none"/>
          <w:lang w:val="zh-CN"/>
        </w:rPr>
        <w:t xml:space="preserve">投标人可在投标截止时间前对其电子投标文件进行修改，具体操作方法见《操作手册》。</w:t>
      </w:r>
      <w:r>
        <w:rPr>
          <w:rFonts w:ascii="宋体" w:hAnsi="宋体"/>
          <w:bCs/>
          <w:color w:val="000000"/>
          <w:szCs w:val="21"/>
          <w:highlight w:val="none"/>
          <w:lang w:val="zh-CN"/>
        </w:rPr>
      </w:r>
      <w:r/>
    </w:p>
    <w:p>
      <w:pPr>
        <w:pStyle w:val="933"/>
        <w:ind w:firstLine="420"/>
        <w:rPr>
          <w:rFonts w:hint="eastAsia" w:ascii="宋体" w:hAnsi="宋体"/>
          <w:bCs/>
          <w:color w:val="000000"/>
          <w:szCs w:val="21"/>
          <w:highlight w:val="none"/>
          <w:lang w:val="zh-CN"/>
        </w:rPr>
      </w:pPr>
      <w:r>
        <w:rPr>
          <w:rFonts w:hint="eastAsia" w:ascii="宋体" w:hAnsi="宋体"/>
          <w:bCs/>
          <w:color w:val="000000"/>
          <w:szCs w:val="21"/>
          <w:highlight w:val="none"/>
        </w:rPr>
        <w:t xml:space="preserve">19</w:t>
      </w:r>
      <w:r>
        <w:rPr>
          <w:rFonts w:hint="eastAsia" w:ascii="宋体" w:hAnsi="宋体"/>
          <w:bCs/>
          <w:color w:val="000000"/>
          <w:szCs w:val="21"/>
          <w:highlight w:val="none"/>
          <w:lang w:val="zh-CN"/>
        </w:rPr>
        <w:t xml:space="preserve">.2.2</w:t>
      </w:r>
      <w:r>
        <w:rPr>
          <w:rFonts w:hint="eastAsia" w:ascii="宋体" w:hAnsi="宋体"/>
          <w:bCs/>
          <w:color w:val="000000"/>
          <w:szCs w:val="21"/>
          <w:highlight w:val="none"/>
        </w:rPr>
        <w:t xml:space="preserve"> </w:t>
      </w:r>
      <w:r>
        <w:rPr>
          <w:rFonts w:hint="eastAsia" w:ascii="宋体" w:hAnsi="宋体"/>
          <w:bCs/>
          <w:color w:val="000000"/>
          <w:szCs w:val="21"/>
          <w:highlight w:val="none"/>
          <w:lang w:val="zh-CN"/>
        </w:rPr>
        <w:t xml:space="preserve">投标截止时间之后，投标人不得对其电子投标文件作任何修改。</w:t>
      </w:r>
      <w:r>
        <w:rPr>
          <w:rFonts w:hint="eastAsia" w:ascii="宋体" w:hAnsi="宋体"/>
          <w:bCs/>
          <w:color w:val="000000"/>
          <w:szCs w:val="21"/>
          <w:highlight w:val="none"/>
          <w:lang w:val="zh-CN"/>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19.2 投标文件的撤回</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19.2.1  投标人可在投标截止时间前撤回其电子投标文件，具体操作方法见《操作手册》。</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19.2.2 投标人撤回电子投标文件，则认为其不再参与本项目投标活动。</w:t>
      </w:r>
      <w:r>
        <w:rPr>
          <w:rFonts w:ascii="宋体" w:hAnsi="宋体"/>
          <w:bCs/>
          <w:color w:val="000000"/>
          <w:szCs w:val="21"/>
          <w:highlight w:val="none"/>
        </w:rPr>
      </w:r>
      <w:r/>
    </w:p>
    <w:p>
      <w:pPr>
        <w:pStyle w:val="933"/>
        <w:ind w:firstLine="420"/>
        <w:rPr>
          <w:rFonts w:ascii="宋体" w:hAnsi="宋体"/>
          <w:bCs/>
          <w:color w:val="000000"/>
          <w:szCs w:val="21"/>
          <w:highlight w:val="none"/>
          <w:lang w:val="zh-CN"/>
        </w:rPr>
      </w:pPr>
      <w:r>
        <w:rPr>
          <w:rFonts w:hint="eastAsia" w:ascii="宋体" w:hAnsi="宋体"/>
          <w:bCs/>
          <w:color w:val="000000"/>
          <w:szCs w:val="21"/>
          <w:highlight w:val="none"/>
        </w:rPr>
        <w:t xml:space="preserve">19</w:t>
      </w:r>
      <w:r>
        <w:rPr>
          <w:rFonts w:hint="eastAsia" w:ascii="宋体" w:hAnsi="宋体"/>
          <w:bCs/>
          <w:color w:val="000000"/>
          <w:szCs w:val="21"/>
          <w:highlight w:val="none"/>
          <w:lang w:val="zh-CN"/>
        </w:rPr>
        <w:t xml:space="preserve">.</w:t>
      </w:r>
      <w:r>
        <w:rPr>
          <w:rFonts w:hint="eastAsia" w:ascii="宋体" w:hAnsi="宋体"/>
          <w:bCs/>
          <w:color w:val="000000"/>
          <w:szCs w:val="21"/>
          <w:highlight w:val="none"/>
        </w:rPr>
        <w:t xml:space="preserve">2.</w:t>
      </w:r>
      <w:r>
        <w:rPr>
          <w:rFonts w:hint="eastAsia" w:ascii="宋体" w:hAnsi="宋体"/>
          <w:bCs/>
          <w:color w:val="000000"/>
          <w:szCs w:val="21"/>
          <w:highlight w:val="none"/>
          <w:lang w:val="zh-CN"/>
        </w:rPr>
        <w:t xml:space="preserve">3 在投标截止时间至招标文件中规定的投标有效期满之间的这段时间内，投标人不得撤回其投标。</w:t>
      </w:r>
      <w:bookmarkStart w:id="27" w:name="_Toc513029229"/>
      <w:r/>
      <w:bookmarkEnd w:id="27"/>
      <w:r/>
      <w:bookmarkStart w:id="28" w:name="_Toc16938545"/>
      <w:r/>
      <w:bookmarkEnd w:id="28"/>
      <w:r/>
      <w:bookmarkStart w:id="29" w:name="_Toc20823301"/>
      <w:r/>
      <w:bookmarkEnd w:id="29"/>
      <w:r/>
      <w:bookmarkStart w:id="30" w:name="_Toc120614218"/>
      <w:r/>
      <w:bookmarkEnd w:id="30"/>
      <w:r>
        <w:rPr>
          <w:rFonts w:ascii="宋体" w:hAnsi="宋体"/>
          <w:bCs/>
          <w:color w:val="000000"/>
          <w:szCs w:val="21"/>
          <w:highlight w:val="none"/>
          <w:lang w:val="zh-CN"/>
        </w:rPr>
      </w:r>
      <w:r/>
    </w:p>
    <w:p>
      <w:pPr>
        <w:pStyle w:val="933"/>
        <w:ind w:firstLine="422"/>
        <w:rPr>
          <w:rFonts w:ascii="宋体" w:hAnsi="宋体"/>
          <w:bCs/>
          <w:color w:val="000000"/>
          <w:szCs w:val="21"/>
          <w:highlight w:val="none"/>
        </w:rPr>
      </w:pPr>
      <w:r>
        <w:rPr>
          <w:rFonts w:hint="eastAsia" w:ascii="宋体" w:hAnsi="宋体"/>
          <w:b/>
          <w:color w:val="000000"/>
          <w:szCs w:val="21"/>
          <w:highlight w:val="none"/>
        </w:rPr>
        <w:t xml:space="preserve">四、开标、评标与确定中标供应商</w:t>
      </w:r>
      <w:r>
        <w:rPr>
          <w:rFonts w:ascii="宋体" w:hAnsi="宋体"/>
          <w:bCs/>
          <w:color w:val="000000"/>
          <w:szCs w:val="21"/>
          <w:highlight w:val="none"/>
        </w:rPr>
      </w:r>
      <w:r/>
    </w:p>
    <w:p>
      <w:pPr>
        <w:pStyle w:val="933"/>
        <w:ind w:firstLine="422"/>
        <w:rPr>
          <w:rFonts w:ascii="宋体" w:hAnsi="宋体"/>
          <w:bCs/>
          <w:color w:val="000000"/>
          <w:szCs w:val="21"/>
          <w:highlight w:val="none"/>
        </w:rPr>
      </w:pPr>
      <w:r>
        <w:rPr>
          <w:rFonts w:hint="eastAsia" w:ascii="宋体" w:hAnsi="宋体"/>
          <w:b/>
          <w:color w:val="000000"/>
          <w:szCs w:val="21"/>
          <w:highlight w:val="none"/>
        </w:rPr>
        <w:t xml:space="preserve">20.开标</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20.2 投标人在开标过程中涉及到的投标文件解密、开标结果确认等工作，应按照《操作手册》规定执行。</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20.3 投标人如果对开标过程和开标结果有疑义，应当根据《操作手册》规定提出，苏采云系统中《开标记录表》公布后5分钟内未提出的，视同认可开标结果。</w:t>
      </w:r>
      <w:r>
        <w:rPr>
          <w:rFonts w:ascii="宋体" w:hAnsi="宋体"/>
          <w:bCs/>
          <w:color w:val="000000"/>
          <w:szCs w:val="21"/>
          <w:highlight w:val="none"/>
        </w:rPr>
      </w:r>
      <w:r/>
    </w:p>
    <w:p>
      <w:pPr>
        <w:pStyle w:val="933"/>
        <w:ind w:firstLine="420"/>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21.评标</w:t>
      </w:r>
      <w:r>
        <w:rPr>
          <w:rFonts w:ascii="宋体" w:hAnsi="宋体" w:cs="宋体"/>
          <w:b/>
          <w:bCs/>
          <w:color w:val="000000"/>
          <w:szCs w:val="21"/>
          <w:highlight w:val="none"/>
          <w:lang w:val="zh-CN"/>
        </w:rPr>
      </w:r>
      <w:r/>
    </w:p>
    <w:p>
      <w:pPr>
        <w:pStyle w:val="933"/>
        <w:ind w:firstLine="422"/>
        <w:rPr>
          <w:rFonts w:ascii="宋体" w:hAnsi="宋体" w:cs="宋体"/>
          <w:b/>
          <w:bCs/>
          <w:color w:val="000000"/>
          <w:szCs w:val="21"/>
          <w:highlight w:val="none"/>
          <w:lang w:val="zh-CN"/>
        </w:rPr>
      </w:pPr>
      <w:r>
        <w:rPr>
          <w:rFonts w:hint="eastAsia" w:ascii="宋体" w:hAnsi="宋体" w:cs="宋体"/>
          <w:b/>
          <w:color w:val="000000"/>
          <w:szCs w:val="21"/>
          <w:highlight w:val="none"/>
          <w:lang w:val="zh-CN"/>
        </w:rPr>
        <w:t xml:space="preserve">21.1</w:t>
      </w:r>
      <w:r>
        <w:rPr>
          <w:rFonts w:hint="eastAsia" w:ascii="宋体" w:hAnsi="宋体" w:cs="宋体"/>
          <w:b/>
          <w:bCs/>
          <w:color w:val="000000"/>
          <w:szCs w:val="21"/>
          <w:highlight w:val="none"/>
          <w:lang w:val="zh-CN"/>
        </w:rPr>
        <w:t xml:space="preserve"> 评标组织</w:t>
      </w:r>
      <w:r>
        <w:rPr>
          <w:rFonts w:ascii="宋体" w:hAnsi="宋体" w:cs="宋体"/>
          <w:b/>
          <w:bCs/>
          <w:color w:val="000000"/>
          <w:szCs w:val="21"/>
          <w:highlight w:val="none"/>
          <w:lang w:val="zh-CN"/>
        </w:rPr>
      </w:r>
      <w:r/>
    </w:p>
    <w:p>
      <w:pPr>
        <w:pStyle w:val="933"/>
        <w:ind w:firstLine="420"/>
        <w:rPr>
          <w:rFonts w:ascii="宋体" w:hAnsi="宋体" w:cs="宋体"/>
          <w:color w:val="000000"/>
          <w:szCs w:val="21"/>
          <w:highlight w:val="none"/>
        </w:rPr>
      </w:pPr>
      <w:r>
        <w:rPr>
          <w:rFonts w:hint="eastAsia" w:ascii="宋体" w:hAnsi="宋体" w:cs="宋体"/>
          <w:color w:val="000000"/>
          <w:szCs w:val="21"/>
          <w:highlight w:val="none"/>
          <w:lang w:val="zh-CN"/>
        </w:rPr>
        <w:t xml:space="preserve">21.1.1评标工作由代理机构组织评标委员会（以下简称“评委会”）进行，具体评标事务由依法组建的评标委员会负责，并独立履行</w:t>
      </w:r>
      <w:r>
        <w:rPr>
          <w:rFonts w:hint="eastAsia" w:ascii="宋体" w:hAnsi="宋体" w:cs="宋体"/>
          <w:color w:val="000000"/>
          <w:szCs w:val="21"/>
          <w:highlight w:val="none"/>
        </w:rPr>
        <w:t xml:space="preserve">下列职责：</w:t>
      </w:r>
      <w:r>
        <w:rPr>
          <w:rFonts w:ascii="宋体" w:hAnsi="宋体" w:cs="宋体"/>
          <w:color w:val="000000"/>
          <w:szCs w:val="21"/>
          <w:highlight w:val="none"/>
        </w:rPr>
      </w:r>
      <w:r/>
    </w:p>
    <w:p>
      <w:pPr>
        <w:pStyle w:val="933"/>
        <w:ind w:firstLine="420"/>
        <w:rPr>
          <w:rFonts w:ascii="宋体" w:hAnsi="宋体" w:cs="宋体"/>
          <w:color w:val="000000"/>
          <w:szCs w:val="21"/>
          <w:highlight w:val="none"/>
        </w:rPr>
      </w:pPr>
      <w:r>
        <w:rPr>
          <w:rFonts w:hint="eastAsia" w:ascii="宋体" w:hAnsi="宋体" w:cs="宋体"/>
          <w:color w:val="000000"/>
          <w:szCs w:val="21"/>
          <w:highlight w:val="none"/>
        </w:rPr>
        <w:t xml:space="preserve">（1）审查、评价投标文件是否符合招标文件的商务、技术等实质性要求；</w:t>
      </w:r>
      <w:r>
        <w:rPr>
          <w:rFonts w:ascii="宋体" w:hAnsi="宋体" w:cs="宋体"/>
          <w:color w:val="000000"/>
          <w:szCs w:val="21"/>
          <w:highlight w:val="none"/>
        </w:rPr>
      </w:r>
      <w:r/>
    </w:p>
    <w:p>
      <w:pPr>
        <w:pStyle w:val="933"/>
        <w:ind w:firstLine="420"/>
        <w:rPr>
          <w:rFonts w:ascii="宋体" w:hAnsi="宋体" w:cs="宋体"/>
          <w:color w:val="000000"/>
          <w:szCs w:val="21"/>
          <w:highlight w:val="none"/>
        </w:rPr>
      </w:pPr>
      <w:r>
        <w:rPr>
          <w:rFonts w:hint="eastAsia" w:ascii="宋体" w:hAnsi="宋体" w:cs="宋体"/>
          <w:color w:val="000000"/>
          <w:szCs w:val="21"/>
          <w:highlight w:val="none"/>
        </w:rPr>
        <w:t xml:space="preserve">（2）要求供应商对投标文件有关事项作出澄清或者说明；</w:t>
      </w:r>
      <w:r>
        <w:rPr>
          <w:rFonts w:ascii="宋体" w:hAnsi="宋体" w:cs="宋体"/>
          <w:color w:val="000000"/>
          <w:szCs w:val="21"/>
          <w:highlight w:val="none"/>
        </w:rPr>
      </w:r>
      <w:r/>
    </w:p>
    <w:p>
      <w:pPr>
        <w:pStyle w:val="933"/>
        <w:ind w:firstLine="420"/>
        <w:rPr>
          <w:rFonts w:ascii="宋体" w:hAnsi="宋体" w:cs="宋体"/>
          <w:color w:val="000000"/>
          <w:szCs w:val="21"/>
          <w:highlight w:val="none"/>
        </w:rPr>
      </w:pPr>
      <w:r>
        <w:rPr>
          <w:rFonts w:hint="eastAsia" w:ascii="宋体" w:hAnsi="宋体" w:cs="宋体"/>
          <w:color w:val="000000"/>
          <w:szCs w:val="21"/>
          <w:highlight w:val="none"/>
        </w:rPr>
        <w:t xml:space="preserve">（3）对投标文件进行比较和评价；</w:t>
      </w:r>
      <w:r>
        <w:rPr>
          <w:rFonts w:ascii="宋体" w:hAnsi="宋体" w:cs="宋体"/>
          <w:color w:val="000000"/>
          <w:szCs w:val="21"/>
          <w:highlight w:val="none"/>
        </w:rPr>
      </w:r>
      <w:r/>
    </w:p>
    <w:p>
      <w:pPr>
        <w:pStyle w:val="933"/>
        <w:ind w:firstLine="420"/>
        <w:rPr>
          <w:rFonts w:ascii="宋体" w:hAnsi="宋体" w:cs="宋体"/>
          <w:color w:val="000000"/>
          <w:szCs w:val="21"/>
          <w:highlight w:val="none"/>
        </w:rPr>
      </w:pPr>
      <w:r>
        <w:rPr>
          <w:rFonts w:hint="eastAsia" w:ascii="宋体" w:hAnsi="宋体" w:cs="宋体"/>
          <w:color w:val="000000"/>
          <w:szCs w:val="21"/>
          <w:highlight w:val="none"/>
        </w:rPr>
        <w:t xml:space="preserve">（4）推荐中标候选人或根据采购人委托直接确定中标供应商；</w:t>
      </w:r>
      <w:r>
        <w:rPr>
          <w:rFonts w:ascii="宋体" w:hAnsi="宋体" w:cs="宋体"/>
          <w:color w:val="000000"/>
          <w:szCs w:val="21"/>
          <w:highlight w:val="none"/>
        </w:rPr>
      </w:r>
      <w:r/>
    </w:p>
    <w:p>
      <w:pPr>
        <w:pStyle w:val="933"/>
        <w:ind w:firstLine="420"/>
        <w:rPr>
          <w:rFonts w:ascii="宋体" w:hAnsi="宋体" w:cs="宋体"/>
          <w:color w:val="000000"/>
          <w:szCs w:val="21"/>
          <w:highlight w:val="none"/>
        </w:rPr>
      </w:pPr>
      <w:r>
        <w:rPr>
          <w:rFonts w:hint="eastAsia" w:ascii="宋体" w:hAnsi="宋体" w:cs="宋体"/>
          <w:color w:val="000000"/>
          <w:szCs w:val="21"/>
          <w:highlight w:val="none"/>
        </w:rPr>
        <w:t xml:space="preserve">（5）向采购人、财政部门报告评标中发现的违法行为。</w:t>
      </w:r>
      <w:r>
        <w:rPr>
          <w:rFonts w:ascii="宋体" w:hAnsi="宋体" w:cs="宋体"/>
          <w:color w:val="000000"/>
          <w:szCs w:val="21"/>
          <w:highlight w:val="none"/>
        </w:rPr>
      </w:r>
      <w:r/>
    </w:p>
    <w:p>
      <w:pPr>
        <w:pStyle w:val="933"/>
        <w:ind w:firstLine="420"/>
        <w:rPr>
          <w:rFonts w:ascii="宋体" w:hAnsi="宋体" w:cs="宋体"/>
          <w:color w:val="000000"/>
          <w:szCs w:val="21"/>
          <w:highlight w:val="none"/>
          <w:lang w:val="zh-CN"/>
        </w:rPr>
      </w:pPr>
      <w:r>
        <w:rPr>
          <w:rFonts w:hint="eastAsia" w:ascii="宋体" w:hAnsi="宋体" w:cs="宋体"/>
          <w:bCs/>
          <w:color w:val="000000"/>
          <w:szCs w:val="21"/>
          <w:highlight w:val="none"/>
          <w:lang w:val="zh-CN"/>
        </w:rPr>
        <w:t xml:space="preserve">21.1.2 </w:t>
      </w:r>
      <w:r>
        <w:rPr>
          <w:rFonts w:hint="eastAsia" w:ascii="宋体" w:hAnsi="宋体" w:cs="宋体"/>
          <w:color w:val="000000"/>
          <w:szCs w:val="21"/>
          <w:highlight w:val="none"/>
          <w:lang w:val="zh-CN"/>
        </w:rPr>
        <w:t xml:space="preserve">评标委员会由采购人代表和有关技术、经济等方面的专家组成，独立开展评审工作。</w:t>
      </w:r>
      <w:r>
        <w:rPr>
          <w:rFonts w:ascii="宋体" w:hAnsi="宋体" w:cs="宋体"/>
          <w:color w:val="000000"/>
          <w:szCs w:val="21"/>
          <w:highlight w:val="none"/>
          <w:lang w:val="zh-CN"/>
        </w:rPr>
      </w:r>
      <w:r/>
    </w:p>
    <w:p>
      <w:pPr>
        <w:pStyle w:val="933"/>
        <w:ind w:firstLine="420"/>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21.2 评标程序</w:t>
      </w:r>
      <w:r>
        <w:rPr>
          <w:rFonts w:ascii="宋体" w:hAnsi="宋体" w:cs="宋体"/>
          <w:b/>
          <w:bCs/>
          <w:color w:val="000000"/>
          <w:szCs w:val="21"/>
          <w:highlight w:val="none"/>
          <w:lang w:val="zh-CN"/>
        </w:rPr>
      </w:r>
      <w:r/>
    </w:p>
    <w:p>
      <w:pPr>
        <w:pStyle w:val="933"/>
        <w:ind w:firstLine="420"/>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21.2.1 投标文件的资格审查</w:t>
      </w:r>
      <w:r>
        <w:rPr>
          <w:rFonts w:ascii="宋体" w:hAnsi="宋体" w:cs="宋体"/>
          <w:b/>
          <w:color w:val="000000"/>
          <w:szCs w:val="21"/>
          <w:highlight w:val="none"/>
          <w:lang w:val="zh-CN"/>
        </w:rPr>
      </w:r>
      <w:r/>
    </w:p>
    <w:p>
      <w:pPr>
        <w:pStyle w:val="960"/>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21.2.1.1采购人代表依法对供应商的资格进行审查。</w:t>
      </w:r>
      <w:r>
        <w:rPr>
          <w:rFonts w:ascii="宋体" w:hAnsi="宋体" w:cs="宋体"/>
          <w:color w:val="000000"/>
          <w:szCs w:val="21"/>
          <w:highlight w:val="none"/>
          <w:lang w:val="zh-CN"/>
        </w:rPr>
      </w:r>
      <w:r/>
    </w:p>
    <w:p>
      <w:pPr>
        <w:pStyle w:val="960"/>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21.2.1.2采购人代表依据法律法规和招标文件的规定，对投标文件中的资格证明文件、</w:t>
      </w:r>
      <w:r>
        <w:rPr>
          <w:rFonts w:hint="eastAsia" w:ascii="宋体" w:hAnsi="宋体" w:cs="宋体"/>
          <w:bCs/>
          <w:color w:val="000000"/>
          <w:szCs w:val="21"/>
          <w:highlight w:val="none"/>
          <w:lang w:val="zh-CN"/>
        </w:rPr>
        <w:t xml:space="preserve">南京市政府采购供应商信用记录表暨信用承诺书</w:t>
      </w:r>
      <w:r>
        <w:rPr>
          <w:rFonts w:hint="eastAsia" w:ascii="宋体" w:hAnsi="宋体" w:cs="宋体"/>
          <w:color w:val="000000"/>
          <w:szCs w:val="21"/>
          <w:highlight w:val="none"/>
          <w:lang w:val="zh-CN"/>
        </w:rPr>
        <w:t xml:space="preserve">等进行审查，以确定投标供应商是否具备投标资格。</w:t>
      </w:r>
      <w:r>
        <w:rPr>
          <w:rFonts w:ascii="宋体" w:hAnsi="宋体" w:cs="宋体"/>
          <w:color w:val="000000"/>
          <w:szCs w:val="21"/>
          <w:highlight w:val="none"/>
          <w:lang w:val="zh-CN"/>
        </w:rPr>
      </w:r>
      <w:r/>
    </w:p>
    <w:p>
      <w:pPr>
        <w:pStyle w:val="933"/>
        <w:ind w:firstLine="420"/>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21.2.1.3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rPr>
          <w:rFonts w:ascii="宋体" w:hAnsi="宋体" w:cs="宋体"/>
          <w:color w:val="000000"/>
          <w:szCs w:val="21"/>
          <w:highlight w:val="none"/>
          <w:lang w:val="zh-CN"/>
        </w:rPr>
      </w:r>
      <w:r/>
    </w:p>
    <w:p>
      <w:pPr>
        <w:pStyle w:val="933"/>
        <w:ind w:firstLine="420"/>
        <w:widowControl/>
        <w:rPr>
          <w:rFonts w:ascii="宋体" w:hAnsi="宋体" w:cs="宋体"/>
          <w:color w:val="000000"/>
          <w:szCs w:val="21"/>
          <w:highlight w:val="none"/>
          <w:lang w:val="zh-CN"/>
        </w:rPr>
      </w:pPr>
      <w:r>
        <w:rPr>
          <w:rFonts w:hint="eastAsia" w:ascii="宋体" w:hAnsi="宋体" w:cs="宋体"/>
          <w:b/>
          <w:color w:val="000000"/>
          <w:szCs w:val="21"/>
          <w:highlight w:val="none"/>
          <w:lang w:val="zh-CN"/>
        </w:rPr>
        <w:t xml:space="preserve">21.2.1.4</w:t>
      </w:r>
      <w:r>
        <w:rPr>
          <w:rFonts w:hint="eastAsia" w:ascii="宋体" w:hAnsi="宋体" w:cs="宋体"/>
          <w:color w:val="000000"/>
          <w:szCs w:val="21"/>
          <w:highlight w:val="none"/>
          <w:lang w:val="zh-CN"/>
        </w:rPr>
        <w:t xml:space="preserve"> </w:t>
      </w:r>
      <w:r>
        <w:rPr>
          <w:rFonts w:hint="eastAsia" w:ascii="宋体" w:hAnsi="宋体" w:cs="宋体"/>
          <w:b/>
          <w:color w:val="000000"/>
          <w:szCs w:val="21"/>
          <w:highlight w:val="none"/>
          <w:lang w:val="zh-CN"/>
        </w:rPr>
        <w:t xml:space="preserve">投标文件有下列情况之一的，在资格性审查时按照无效投标处理</w:t>
      </w:r>
      <w:r>
        <w:rPr>
          <w:rFonts w:ascii="宋体" w:hAnsi="宋体" w:cs="宋体"/>
          <w:color w:val="000000"/>
          <w:szCs w:val="21"/>
          <w:highlight w:val="none"/>
          <w:lang w:val="zh-CN"/>
        </w:rPr>
      </w:r>
      <w:r/>
    </w:p>
    <w:p>
      <w:pPr>
        <w:pStyle w:val="93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（1）不具备招标文件规定资格条件的； </w:t>
      </w:r>
      <w:r>
        <w:rPr>
          <w:rFonts w:ascii="宋体" w:hAnsi="宋体" w:cs="宋体"/>
          <w:color w:val="000000"/>
          <w:szCs w:val="21"/>
          <w:highlight w:val="none"/>
          <w:lang w:val="zh-CN"/>
        </w:rPr>
      </w:r>
      <w:r/>
    </w:p>
    <w:p>
      <w:pPr>
        <w:pStyle w:val="93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lang w:val="zh-CN"/>
        </w:rPr>
        <w:t xml:space="preserve">供应商被“信用中国”网站（www.</w:t>
      </w:r>
      <w:r>
        <w:rPr>
          <w:rFonts w:hint="eastAsia" w:ascii="宋体" w:hAnsi="宋体" w:cs="宋体"/>
          <w:color w:val="000000"/>
          <w:szCs w:val="21"/>
          <w:highlight w:val="none"/>
          <w:lang w:val="zh-CN"/>
        </w:rPr>
        <w:t xml:space="preserve">creditchina.gov.cn）</w:t>
      </w:r>
      <w:r>
        <w:rPr>
          <w:rFonts w:hint="eastAsia" w:ascii="宋体" w:hAnsi="宋体" w:cs="宋体"/>
          <w:color w:val="000000"/>
          <w:szCs w:val="21"/>
          <w:highlight w:val="none"/>
          <w:lang w:val="zh-CN"/>
        </w:rPr>
        <w:t xml:space="preserve">、“中国政府采购网”（www.ccgp.gov.cn）</w:t>
      </w:r>
      <w:r>
        <w:rPr>
          <w:rFonts w:hint="eastAsia" w:ascii="宋体" w:hAnsi="宋体" w:cs="宋体"/>
          <w:color w:val="000000"/>
          <w:szCs w:val="21"/>
          <w:highlight w:val="none"/>
          <w:lang w:val="zh-CN"/>
        </w:rPr>
        <w:t xml:space="preserve">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color w:val="000000"/>
          <w:szCs w:val="21"/>
          <w:highlight w:val="none"/>
          <w:lang w:val="zh-CN"/>
        </w:rPr>
      </w:r>
      <w:r/>
    </w:p>
    <w:p>
      <w:pPr>
        <w:pStyle w:val="933"/>
        <w:ind w:firstLine="422"/>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21.2.2 投标文件的符合性审查</w:t>
      </w:r>
      <w:r>
        <w:rPr>
          <w:rFonts w:ascii="宋体" w:hAnsi="宋体" w:cs="宋体"/>
          <w:b/>
          <w:color w:val="000000"/>
          <w:szCs w:val="21"/>
          <w:highlight w:val="none"/>
          <w:lang w:val="zh-CN"/>
        </w:rPr>
      </w:r>
      <w:r/>
    </w:p>
    <w:p>
      <w:pPr>
        <w:pStyle w:val="933"/>
        <w:ind w:firstLine="420"/>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21.2.2.1评标委员会将依据法律法规和招标文件的规定，对投标文件的有效性、完整性和对招标文件的响应程度进行审查，以确定是否对招标文件的实质性要求作出响应。</w:t>
      </w:r>
      <w:r>
        <w:rPr>
          <w:rFonts w:ascii="宋体" w:hAnsi="宋体" w:cs="宋体"/>
          <w:color w:val="000000"/>
          <w:szCs w:val="21"/>
          <w:highlight w:val="none"/>
          <w:lang w:val="zh-CN"/>
        </w:rPr>
      </w:r>
      <w:r/>
    </w:p>
    <w:p>
      <w:pPr>
        <w:pStyle w:val="933"/>
        <w:ind w:firstLine="420"/>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21.2.2.2 实质性要求是指本招标文件中带“★”的商务和技术要求。</w:t>
      </w:r>
      <w:r>
        <w:rPr>
          <w:rFonts w:ascii="宋体" w:hAnsi="宋体" w:cs="宋体"/>
          <w:color w:val="000000"/>
          <w:szCs w:val="21"/>
          <w:highlight w:val="none"/>
          <w:lang w:val="zh-CN"/>
        </w:rPr>
      </w:r>
      <w:r/>
    </w:p>
    <w:p>
      <w:pPr>
        <w:pStyle w:val="933"/>
        <w:ind w:firstLine="420"/>
        <w:rPr>
          <w:rFonts w:ascii="宋体" w:hAnsi="宋体" w:cs="宋体"/>
          <w:bCs/>
          <w:color w:val="000000"/>
          <w:szCs w:val="21"/>
          <w:highlight w:val="none"/>
        </w:rPr>
      </w:pPr>
      <w:r>
        <w:rPr>
          <w:rFonts w:hint="eastAsia" w:ascii="宋体" w:hAnsi="宋体" w:cs="宋体"/>
          <w:color w:val="000000"/>
          <w:szCs w:val="21"/>
          <w:highlight w:val="none"/>
          <w:lang w:val="zh-CN"/>
        </w:rPr>
        <w:t xml:space="preserve">21.2.2.3 如果投标文件实质上没有响应招标文件的要求，评标委员会将予以拒绝，</w:t>
      </w:r>
      <w:r>
        <w:rPr>
          <w:rFonts w:hint="eastAsia" w:ascii="宋体" w:hAnsi="宋体" w:cs="宋体"/>
          <w:bCs/>
          <w:color w:val="000000"/>
          <w:szCs w:val="21"/>
          <w:highlight w:val="none"/>
        </w:rPr>
        <w:t xml:space="preserve">供应商不得通过修改或撤销不合要求的偏离而使其投标成为实质性响应的投标。</w:t>
      </w:r>
      <w:r>
        <w:rPr>
          <w:rFonts w:ascii="宋体" w:hAnsi="宋体" w:cs="宋体"/>
          <w:bCs/>
          <w:color w:val="000000"/>
          <w:szCs w:val="21"/>
          <w:highlight w:val="none"/>
        </w:rPr>
      </w:r>
      <w:r/>
    </w:p>
    <w:p>
      <w:pPr>
        <w:pStyle w:val="933"/>
        <w:ind w:firstLine="422"/>
        <w:rPr>
          <w:rFonts w:ascii="宋体" w:hAnsi="宋体" w:cs="宋体"/>
          <w:b/>
          <w:color w:val="000000"/>
          <w:szCs w:val="21"/>
          <w:highlight w:val="none"/>
          <w:lang w:val="zh-CN"/>
        </w:rPr>
      </w:pPr>
      <w:r>
        <w:rPr>
          <w:rFonts w:hint="eastAsia" w:ascii="宋体" w:hAnsi="宋体" w:cs="宋体"/>
          <w:b/>
          <w:bCs/>
          <w:color w:val="000000"/>
          <w:szCs w:val="21"/>
          <w:highlight w:val="none"/>
        </w:rPr>
        <w:t xml:space="preserve">21.2.2.4 </w:t>
      </w:r>
      <w:r>
        <w:rPr>
          <w:rFonts w:hint="eastAsia" w:ascii="宋体" w:hAnsi="宋体" w:cs="宋体"/>
          <w:b/>
          <w:color w:val="000000"/>
          <w:szCs w:val="21"/>
          <w:highlight w:val="none"/>
          <w:lang w:val="zh-CN"/>
        </w:rPr>
        <w:t xml:space="preserve">投标文件有下列情况之一的，在符合性审查时按照</w:t>
      </w:r>
      <w:r>
        <w:rPr>
          <w:rFonts w:hint="eastAsia" w:ascii="宋体" w:hAnsi="宋体" w:cs="宋体"/>
          <w:b/>
          <w:color w:val="000000"/>
          <w:szCs w:val="21"/>
          <w:highlight w:val="none"/>
          <w:lang w:val="zh-CN"/>
        </w:rPr>
        <w:t xml:space="preserve">无效投标处理</w:t>
      </w:r>
      <w:r>
        <w:rPr>
          <w:rFonts w:ascii="宋体" w:hAnsi="宋体" w:cs="宋体"/>
          <w:b/>
          <w:color w:val="000000"/>
          <w:szCs w:val="21"/>
          <w:highlight w:val="none"/>
          <w:lang w:val="zh-CN"/>
        </w:rPr>
      </w:r>
      <w:r/>
    </w:p>
    <w:p>
      <w:pPr>
        <w:pStyle w:val="933"/>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（1）未按招标文件规定签署、盖章的；</w:t>
      </w:r>
      <w:r>
        <w:rPr>
          <w:rFonts w:ascii="宋体" w:hAnsi="宋体" w:cs="宋体"/>
          <w:color w:val="000000"/>
          <w:szCs w:val="21"/>
          <w:highlight w:val="none"/>
          <w:lang w:val="zh-CN"/>
        </w:rPr>
      </w:r>
      <w:r/>
    </w:p>
    <w:p>
      <w:pPr>
        <w:pStyle w:val="933"/>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（2）没有《开标一览表》或《开标一览表》未按招标文件要求盖章的；</w:t>
      </w:r>
      <w:r>
        <w:rPr>
          <w:rFonts w:ascii="宋体" w:hAnsi="宋体" w:cs="宋体"/>
          <w:color w:val="000000"/>
          <w:szCs w:val="21"/>
          <w:highlight w:val="none"/>
          <w:lang w:val="zh-CN"/>
        </w:rPr>
      </w:r>
      <w:r/>
    </w:p>
    <w:p>
      <w:pPr>
        <w:pStyle w:val="933"/>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（3）投标总价超出采购预算金额或者最高限价的；</w:t>
      </w:r>
      <w:r>
        <w:rPr>
          <w:rFonts w:ascii="宋体" w:hAnsi="宋体" w:cs="宋体"/>
          <w:color w:val="000000"/>
          <w:szCs w:val="21"/>
          <w:highlight w:val="none"/>
          <w:lang w:val="zh-CN"/>
        </w:rPr>
      </w:r>
      <w:r/>
    </w:p>
    <w:p>
      <w:pPr>
        <w:pStyle w:val="933"/>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（4）不同供应商的投标文件由同一单位或者个人编制；</w:t>
      </w:r>
      <w:r>
        <w:rPr>
          <w:rFonts w:ascii="宋体" w:hAnsi="宋体" w:cs="宋体"/>
          <w:color w:val="000000"/>
          <w:szCs w:val="21"/>
          <w:highlight w:val="none"/>
          <w:lang w:val="zh-CN"/>
        </w:rPr>
      </w:r>
      <w:r/>
    </w:p>
    <w:p>
      <w:pPr>
        <w:pStyle w:val="933"/>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（5）不同供应商委托同一单位或者个人办理投标事宜；</w:t>
      </w:r>
      <w:r>
        <w:rPr>
          <w:rFonts w:ascii="宋体" w:hAnsi="宋体" w:cs="宋体"/>
          <w:color w:val="000000"/>
          <w:szCs w:val="21"/>
          <w:highlight w:val="none"/>
          <w:lang w:val="zh-CN"/>
        </w:rPr>
      </w:r>
      <w:r/>
    </w:p>
    <w:p>
      <w:pPr>
        <w:pStyle w:val="933"/>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（6）不同供应商的投标文件载明的项目管理成员或者联系人员为同一人；</w:t>
      </w:r>
      <w:r>
        <w:rPr>
          <w:rFonts w:ascii="宋体" w:hAnsi="宋体" w:cs="宋体"/>
          <w:color w:val="000000"/>
          <w:szCs w:val="21"/>
          <w:highlight w:val="none"/>
          <w:lang w:val="zh-CN"/>
        </w:rPr>
      </w:r>
      <w:r/>
    </w:p>
    <w:p>
      <w:pPr>
        <w:pStyle w:val="933"/>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（7）不同供应商的投标文件异常一致或者投标报价呈规律性差异；</w:t>
      </w:r>
      <w:r>
        <w:rPr>
          <w:rFonts w:ascii="宋体" w:hAnsi="宋体" w:cs="宋体"/>
          <w:color w:val="000000"/>
          <w:szCs w:val="21"/>
          <w:highlight w:val="none"/>
          <w:lang w:val="zh-CN"/>
        </w:rPr>
      </w:r>
      <w:r/>
    </w:p>
    <w:p>
      <w:pPr>
        <w:pStyle w:val="933"/>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（8）不同供应商的投标文件相互混装；</w:t>
      </w:r>
      <w:r>
        <w:rPr>
          <w:rFonts w:ascii="宋体" w:hAnsi="宋体" w:cs="宋体"/>
          <w:color w:val="000000"/>
          <w:szCs w:val="21"/>
          <w:highlight w:val="none"/>
          <w:lang w:val="zh-CN"/>
        </w:rPr>
      </w:r>
      <w:r/>
    </w:p>
    <w:p>
      <w:pPr>
        <w:pStyle w:val="933"/>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（9）不同供应商的法定代表人或委托代理人有夫妻、直系血亲关系的；</w:t>
      </w:r>
      <w:r>
        <w:rPr>
          <w:rFonts w:ascii="宋体" w:hAnsi="宋体" w:cs="宋体"/>
          <w:color w:val="000000"/>
          <w:szCs w:val="21"/>
          <w:highlight w:val="none"/>
          <w:lang w:val="zh-CN"/>
        </w:rPr>
      </w:r>
      <w:r/>
    </w:p>
    <w:p>
      <w:pPr>
        <w:pStyle w:val="933"/>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）不同供应商的负责人为同一人或者存在控股、管理关系的；</w:t>
      </w:r>
      <w:r>
        <w:rPr>
          <w:rFonts w:ascii="宋体" w:hAnsi="宋体" w:cs="宋体"/>
          <w:color w:val="000000"/>
          <w:szCs w:val="21"/>
          <w:highlight w:val="none"/>
          <w:lang w:val="zh-CN"/>
        </w:rPr>
      </w:r>
      <w:r/>
    </w:p>
    <w:p>
      <w:pPr>
        <w:pStyle w:val="933"/>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）不同供应商的委托代理人（或法定代表人、项目经理、项目总监、项目负责人等）在招标文件发布日上月至投标截止日当月在同一单位缴纳社会保险的；</w:t>
      </w:r>
      <w:r>
        <w:rPr>
          <w:rFonts w:ascii="宋体" w:hAnsi="宋体" w:cs="宋体"/>
          <w:color w:val="000000"/>
          <w:szCs w:val="21"/>
          <w:highlight w:val="none"/>
          <w:lang w:val="zh-CN"/>
        </w:rPr>
      </w:r>
      <w:r/>
    </w:p>
    <w:p>
      <w:pPr>
        <w:pStyle w:val="933"/>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）属于投标邀请中拒绝参加本次采购活动供应商的；</w:t>
      </w:r>
      <w:r>
        <w:rPr>
          <w:rFonts w:ascii="宋体" w:hAnsi="宋体" w:cs="宋体"/>
          <w:color w:val="000000"/>
          <w:szCs w:val="21"/>
          <w:highlight w:val="none"/>
          <w:lang w:val="zh-CN"/>
        </w:rPr>
      </w:r>
      <w:r/>
    </w:p>
    <w:p>
      <w:pPr>
        <w:pStyle w:val="933"/>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）投标文件含有采购人不能接受的附加条件的；</w:t>
      </w:r>
      <w:r>
        <w:rPr>
          <w:rFonts w:ascii="宋体" w:hAnsi="宋体" w:cs="宋体"/>
          <w:color w:val="000000"/>
          <w:szCs w:val="21"/>
          <w:highlight w:val="none"/>
          <w:lang w:val="zh-CN"/>
        </w:rPr>
      </w:r>
      <w:r/>
    </w:p>
    <w:p>
      <w:pPr>
        <w:pStyle w:val="933"/>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）评标委员会启动异常低价投标审查程序后，投标人不能提供书面说明、证明材料，或者提供的书面说明、证明材料不能证明其报价合理性的；</w:t>
      </w:r>
      <w:r>
        <w:rPr>
          <w:rFonts w:ascii="宋体" w:hAnsi="宋体" w:cs="宋体"/>
          <w:color w:val="000000"/>
          <w:szCs w:val="21"/>
          <w:highlight w:val="none"/>
          <w:lang w:val="zh-CN"/>
        </w:rPr>
      </w:r>
      <w:r/>
    </w:p>
    <w:p>
      <w:pPr>
        <w:pStyle w:val="933"/>
        <w:ind w:firstLine="420"/>
        <w:widowControl/>
        <w:rPr>
          <w:rFonts w:hint="eastAsia" w:ascii="宋体" w:hAnsi="宋体" w:cs="宋体"/>
          <w:bCs/>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15</w:t>
      </w:r>
      <w:r>
        <w:rPr>
          <w:rFonts w:hint="eastAsia" w:ascii="宋体" w:hAnsi="宋体" w:cs="宋体"/>
          <w:color w:val="000000"/>
          <w:szCs w:val="21"/>
          <w:highlight w:val="none"/>
          <w:lang w:val="zh-CN"/>
        </w:rPr>
        <w:t xml:space="preserve">）</w:t>
      </w:r>
      <w:r>
        <w:rPr>
          <w:rFonts w:hint="eastAsia" w:ascii="宋体" w:hAnsi="宋体" w:cs="宋体"/>
          <w:bCs/>
          <w:color w:val="000000"/>
          <w:szCs w:val="21"/>
          <w:highlight w:val="none"/>
          <w:lang w:val="zh-CN"/>
        </w:rPr>
        <w:t xml:space="preserve">投标人在苏采云系统规定的时间内未成功解密电子投标文件。</w:t>
      </w:r>
      <w:r>
        <w:rPr>
          <w:rFonts w:hint="eastAsia" w:ascii="宋体" w:hAnsi="宋体" w:cs="宋体"/>
          <w:bCs/>
          <w:color w:val="000000"/>
          <w:szCs w:val="21"/>
          <w:highlight w:val="none"/>
          <w:lang w:val="zh-CN"/>
        </w:rPr>
      </w:r>
      <w:r/>
    </w:p>
    <w:p>
      <w:pPr>
        <w:pStyle w:val="933"/>
        <w:ind w:firstLine="420"/>
        <w:widowControl/>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16</w:t>
      </w:r>
      <w:r>
        <w:rPr>
          <w:rFonts w:hint="eastAsia" w:ascii="宋体" w:hAnsi="宋体" w:cs="宋体"/>
          <w:bCs/>
          <w:color w:val="000000"/>
          <w:szCs w:val="21"/>
          <w:highlight w:val="none"/>
          <w:lang w:val="zh-CN"/>
        </w:rPr>
        <w:t xml:space="preserve">）投标人未按照招标文件要求上传电子投标文件。</w:t>
      </w:r>
      <w:r>
        <w:rPr>
          <w:rFonts w:hint="eastAsia" w:ascii="宋体" w:hAnsi="宋体" w:cs="宋体"/>
          <w:bCs/>
          <w:color w:val="000000"/>
          <w:szCs w:val="21"/>
          <w:highlight w:val="none"/>
          <w:lang w:val="zh-CN"/>
        </w:rPr>
      </w:r>
      <w:r/>
    </w:p>
    <w:p>
      <w:pPr>
        <w:pStyle w:val="933"/>
        <w:ind w:firstLine="420"/>
        <w:widowControl/>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17</w:t>
      </w:r>
      <w:r>
        <w:rPr>
          <w:rFonts w:hint="eastAsia" w:ascii="宋体" w:hAnsi="宋体" w:cs="宋体"/>
          <w:bCs/>
          <w:color w:val="000000"/>
          <w:szCs w:val="21"/>
          <w:highlight w:val="none"/>
          <w:lang w:val="zh-CN"/>
        </w:rPr>
        <w:t xml:space="preserve">）同一投标人提交两个（含两个）以上不同的投标报价。</w:t>
      </w:r>
      <w:r>
        <w:rPr>
          <w:rFonts w:hint="eastAsia" w:ascii="宋体" w:hAnsi="宋体" w:cs="宋体"/>
          <w:bCs/>
          <w:color w:val="000000"/>
          <w:szCs w:val="21"/>
          <w:highlight w:val="none"/>
          <w:lang w:val="zh-CN"/>
        </w:rPr>
      </w:r>
      <w:r/>
    </w:p>
    <w:p>
      <w:pPr>
        <w:pStyle w:val="933"/>
        <w:ind w:firstLine="420"/>
        <w:widowControl/>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18</w:t>
      </w:r>
      <w:r>
        <w:rPr>
          <w:rFonts w:hint="eastAsia" w:ascii="宋体" w:hAnsi="宋体" w:cs="宋体"/>
          <w:bCs/>
          <w:color w:val="000000"/>
          <w:szCs w:val="21"/>
          <w:highlight w:val="none"/>
          <w:lang w:val="zh-CN"/>
        </w:rPr>
        <w:t xml:space="preserve">）采购产品被财政部、国家发改委、生态环境部等列入“节能产品品目清单”强制采购范围，而投标人提供的产品不在强制采购范围内。</w:t>
      </w:r>
      <w:r>
        <w:rPr>
          <w:rFonts w:hint="eastAsia" w:ascii="宋体" w:hAnsi="宋体" w:cs="宋体"/>
          <w:bCs/>
          <w:color w:val="000000"/>
          <w:szCs w:val="21"/>
          <w:highlight w:val="none"/>
          <w:lang w:val="zh-CN"/>
        </w:rPr>
      </w:r>
      <w:r/>
    </w:p>
    <w:p>
      <w:pPr>
        <w:pStyle w:val="933"/>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未通过资格审查或符合性审查的投标人，</w:t>
      </w:r>
      <w:r>
        <w:rPr>
          <w:rFonts w:hint="eastAsia" w:ascii="宋体" w:hAnsi="宋体" w:cs="宋体"/>
          <w:color w:val="000000"/>
          <w:szCs w:val="21"/>
          <w:highlight w:val="none"/>
        </w:rPr>
        <w:t xml:space="preserve">代理机构</w:t>
      </w:r>
      <w:r>
        <w:rPr>
          <w:rFonts w:hint="eastAsia" w:ascii="宋体" w:hAnsi="宋体" w:cs="宋体"/>
          <w:color w:val="000000"/>
          <w:szCs w:val="21"/>
          <w:highlight w:val="none"/>
          <w:lang w:val="zh-CN"/>
        </w:rPr>
        <w:t xml:space="preserve">将通过苏采云系统告知其具体原因，评标结束后不再接受有关询问。</w:t>
      </w:r>
      <w:r>
        <w:rPr>
          <w:rFonts w:ascii="宋体" w:hAnsi="宋体" w:cs="宋体"/>
          <w:color w:val="000000"/>
          <w:szCs w:val="21"/>
          <w:highlight w:val="none"/>
          <w:lang w:val="zh-CN"/>
        </w:rPr>
      </w:r>
      <w:r/>
    </w:p>
    <w:p>
      <w:pPr>
        <w:pStyle w:val="933"/>
        <w:ind w:firstLine="422"/>
        <w:rPr>
          <w:rFonts w:hint="eastAsia" w:ascii="宋体" w:hAnsi="宋体" w:cs="宋体"/>
          <w:b/>
          <w:color w:val="000000"/>
          <w:szCs w:val="21"/>
          <w:highlight w:val="none"/>
        </w:rPr>
      </w:pPr>
      <w:r>
        <w:rPr>
          <w:rFonts w:hint="eastAsia" w:ascii="宋体" w:hAnsi="宋体" w:cs="宋体"/>
          <w:b/>
          <w:color w:val="000000"/>
          <w:szCs w:val="21"/>
          <w:highlight w:val="none"/>
          <w:lang w:val="zh-CN"/>
        </w:rPr>
        <w:t xml:space="preserve">21.2.</w:t>
      </w:r>
      <w:r>
        <w:rPr>
          <w:rFonts w:hint="eastAsia" w:ascii="宋体" w:hAnsi="宋体" w:cs="宋体"/>
          <w:b/>
          <w:color w:val="000000"/>
          <w:szCs w:val="21"/>
          <w:highlight w:val="none"/>
        </w:rPr>
        <w:t xml:space="preserve">2.5 异常低价审查</w:t>
      </w:r>
      <w:r>
        <w:rPr>
          <w:rFonts w:hint="eastAsia" w:ascii="宋体" w:hAnsi="宋体" w:cs="宋体"/>
          <w:b/>
          <w:color w:val="000000"/>
          <w:szCs w:val="21"/>
          <w:highlight w:val="none"/>
        </w:rPr>
      </w:r>
      <w:r/>
    </w:p>
    <w:p>
      <w:pPr>
        <w:pStyle w:val="933"/>
        <w:ind w:firstLine="420"/>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22.2.2.</w:t>
      </w:r>
      <w:r>
        <w:rPr>
          <w:rFonts w:hint="eastAsia" w:ascii="宋体" w:hAnsi="宋体" w:cs="宋体"/>
          <w:b w:val="0"/>
          <w:bCs/>
          <w:color w:val="000000"/>
          <w:szCs w:val="21"/>
          <w:highlight w:val="none"/>
          <w:lang w:val="en-US" w:eastAsia="zh-CN"/>
        </w:rPr>
        <w:t xml:space="preserve">5</w:t>
      </w:r>
      <w:r>
        <w:rPr>
          <w:rFonts w:hint="eastAsia" w:ascii="宋体" w:hAnsi="宋体" w:cs="宋体"/>
          <w:b w:val="0"/>
          <w:bCs/>
          <w:color w:val="000000"/>
          <w:szCs w:val="21"/>
          <w:highlight w:val="none"/>
        </w:rPr>
        <w:t xml:space="preserve">.1 评标过程中出现下列情形之一的，评标委员会应当启动异常低价投标审查程序：</w:t>
      </w:r>
      <w:r>
        <w:rPr>
          <w:rFonts w:hint="eastAsia" w:ascii="宋体" w:hAnsi="宋体" w:cs="宋体"/>
          <w:b w:val="0"/>
          <w:bCs/>
          <w:color w:val="000000"/>
          <w:szCs w:val="21"/>
          <w:highlight w:val="none"/>
        </w:rPr>
      </w:r>
      <w:r/>
    </w:p>
    <w:p>
      <w:pPr>
        <w:pStyle w:val="933"/>
        <w:ind w:firstLine="420"/>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（1）投标报价低于全部通过符合性审查投标人投标报价平均值50%的，即投标报价&lt;全部通过符合性审查投标人投标报价平均值×50%；</w:t>
      </w:r>
      <w:r>
        <w:rPr>
          <w:rFonts w:hint="eastAsia" w:ascii="宋体" w:hAnsi="宋体" w:cs="宋体"/>
          <w:b w:val="0"/>
          <w:bCs/>
          <w:color w:val="000000"/>
          <w:szCs w:val="21"/>
          <w:highlight w:val="none"/>
        </w:rPr>
      </w:r>
      <w:r/>
    </w:p>
    <w:p>
      <w:pPr>
        <w:pStyle w:val="933"/>
        <w:ind w:firstLine="420"/>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（2）投标报价低于通过符合性审查的次低报价投标人投标报价50%的，即投标报价&lt;通过符合性审查的次低报价投标人投标报价×50%；</w:t>
      </w:r>
      <w:r>
        <w:rPr>
          <w:rFonts w:hint="eastAsia" w:ascii="宋体" w:hAnsi="宋体" w:cs="宋体"/>
          <w:b w:val="0"/>
          <w:bCs/>
          <w:color w:val="000000"/>
          <w:szCs w:val="21"/>
          <w:highlight w:val="none"/>
        </w:rPr>
      </w:r>
      <w:r/>
    </w:p>
    <w:p>
      <w:pPr>
        <w:pStyle w:val="933"/>
        <w:ind w:firstLine="420"/>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（3）投标报价低于采购项目最高限价45%的，即投标报价&lt;采购项目最高限价×45%；</w:t>
      </w:r>
      <w:r>
        <w:rPr>
          <w:rFonts w:hint="eastAsia" w:ascii="宋体" w:hAnsi="宋体" w:cs="宋体"/>
          <w:b w:val="0"/>
          <w:bCs/>
          <w:color w:val="000000"/>
          <w:szCs w:val="21"/>
          <w:highlight w:val="none"/>
        </w:rPr>
      </w:r>
      <w:r/>
    </w:p>
    <w:p>
      <w:pPr>
        <w:pStyle w:val="933"/>
        <w:ind w:firstLine="420"/>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（4）评标委员会基于专业判断，认为投标人报价过低，有可能影响产品质量或者不能诚信履约的其他情形。</w:t>
      </w:r>
      <w:r>
        <w:rPr>
          <w:rFonts w:hint="eastAsia" w:ascii="宋体" w:hAnsi="宋体" w:cs="宋体"/>
          <w:b w:val="0"/>
          <w:bCs/>
          <w:color w:val="000000"/>
          <w:szCs w:val="21"/>
          <w:highlight w:val="none"/>
        </w:rPr>
      </w:r>
      <w:r/>
    </w:p>
    <w:p>
      <w:pPr>
        <w:pStyle w:val="933"/>
        <w:ind w:firstLine="420"/>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22.2.2.</w:t>
      </w:r>
      <w:r>
        <w:rPr>
          <w:rFonts w:hint="eastAsia" w:ascii="宋体" w:hAnsi="宋体" w:cs="宋体"/>
          <w:b w:val="0"/>
          <w:bCs/>
          <w:color w:val="000000"/>
          <w:szCs w:val="21"/>
          <w:highlight w:val="none"/>
          <w:lang w:val="en-US" w:eastAsia="zh-CN"/>
        </w:rPr>
        <w:t xml:space="preserve">5</w:t>
      </w:r>
      <w:r>
        <w:rPr>
          <w:rFonts w:hint="eastAsia" w:ascii="宋体" w:hAnsi="宋体" w:cs="宋体"/>
          <w:b w:val="0"/>
          <w:bCs/>
          <w:color w:val="000000"/>
          <w:szCs w:val="21"/>
          <w:highlight w:val="none"/>
        </w:rPr>
        <w:t xml:space="preserve">.2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cs="宋体"/>
          <w:b w:val="0"/>
          <w:bCs/>
          <w:color w:val="000000"/>
          <w:szCs w:val="21"/>
          <w:highlight w:val="none"/>
        </w:rPr>
      </w:r>
      <w:r/>
    </w:p>
    <w:p>
      <w:pPr>
        <w:pStyle w:val="933"/>
        <w:ind w:firstLine="420"/>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rFonts w:hint="eastAsia" w:ascii="宋体" w:hAnsi="宋体" w:cs="宋体"/>
          <w:b w:val="0"/>
          <w:bCs/>
          <w:color w:val="000000"/>
          <w:szCs w:val="21"/>
          <w:highlight w:val="none"/>
        </w:rPr>
      </w:r>
      <w:r/>
    </w:p>
    <w:p>
      <w:pPr>
        <w:pStyle w:val="933"/>
        <w:ind w:firstLine="422"/>
        <w:rPr>
          <w:rFonts w:ascii="宋体" w:hAnsi="宋体" w:cs="宋体"/>
          <w:b/>
          <w:color w:val="000000"/>
          <w:szCs w:val="21"/>
          <w:highlight w:val="none"/>
          <w:lang w:val="zh-CN"/>
        </w:rPr>
      </w:pPr>
      <w:r>
        <w:rPr>
          <w:rFonts w:hint="eastAsia" w:ascii="宋体" w:hAnsi="宋体" w:cs="宋体"/>
          <w:b/>
          <w:color w:val="000000"/>
          <w:szCs w:val="21"/>
          <w:highlight w:val="none"/>
          <w:lang w:val="en-US" w:eastAsia="zh-CN"/>
        </w:rPr>
        <w:t xml:space="preserve">2</w:t>
      </w:r>
      <w:r>
        <w:rPr>
          <w:rFonts w:hint="eastAsia" w:ascii="宋体" w:hAnsi="宋体" w:cs="宋体"/>
          <w:b/>
          <w:color w:val="000000"/>
          <w:szCs w:val="21"/>
          <w:highlight w:val="none"/>
          <w:lang w:val="en-US" w:eastAsia="zh-CN"/>
        </w:rPr>
        <w:t xml:space="preserve">1.2.2.6</w:t>
      </w:r>
      <w:r>
        <w:rPr>
          <w:rFonts w:hint="eastAsia" w:ascii="宋体" w:hAnsi="宋体" w:cs="宋体"/>
          <w:b/>
          <w:color w:val="000000"/>
          <w:szCs w:val="21"/>
          <w:highlight w:val="none"/>
          <w:lang w:val="zh-CN"/>
        </w:rPr>
        <w:t xml:space="preserve">废标</w:t>
      </w:r>
      <w:r>
        <w:rPr>
          <w:rFonts w:ascii="宋体" w:hAnsi="宋体" w:cs="宋体"/>
          <w:b/>
          <w:color w:val="000000"/>
          <w:szCs w:val="21"/>
          <w:highlight w:val="none"/>
          <w:lang w:val="zh-CN"/>
        </w:rPr>
      </w:r>
      <w:r/>
    </w:p>
    <w:p>
      <w:pPr>
        <w:pStyle w:val="933"/>
        <w:ind w:firstLine="420"/>
        <w:rPr>
          <w:rFonts w:ascii="宋体" w:hAnsi="宋体" w:cs="宋体"/>
          <w:bCs/>
          <w:color w:val="000000"/>
          <w:szCs w:val="21"/>
          <w:highlight w:val="none"/>
          <w:lang w:val="zh-CN"/>
        </w:rPr>
      </w:pPr>
      <w:r>
        <w:rPr>
          <w:rFonts w:hint="eastAsia" w:ascii="宋体" w:hAnsi="宋体" w:cs="宋体"/>
          <w:bCs/>
          <w:color w:val="000000"/>
          <w:szCs w:val="21"/>
          <w:highlight w:val="none"/>
        </w:rPr>
        <w:t xml:space="preserve">21.2.2.</w:t>
      </w:r>
      <w:r>
        <w:rPr>
          <w:rFonts w:hint="eastAsia" w:ascii="宋体" w:hAnsi="宋体" w:cs="宋体"/>
          <w:bCs/>
          <w:color w:val="000000"/>
          <w:szCs w:val="21"/>
          <w:highlight w:val="none"/>
          <w:lang w:val="en-US" w:eastAsia="zh-CN"/>
        </w:rPr>
        <w:t xml:space="preserve">6</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zh-CN"/>
        </w:rPr>
        <w:t xml:space="preserve">1 符合资格条件的供应商或者对招标文件作实质响应的供应商不足三家。</w:t>
      </w:r>
      <w:r>
        <w:rPr>
          <w:rFonts w:ascii="宋体" w:hAnsi="宋体" w:cs="宋体"/>
          <w:bCs/>
          <w:color w:val="000000"/>
          <w:szCs w:val="21"/>
          <w:highlight w:val="none"/>
          <w:lang w:val="zh-CN"/>
        </w:rPr>
      </w:r>
      <w:r/>
    </w:p>
    <w:p>
      <w:pPr>
        <w:pStyle w:val="933"/>
        <w:ind w:firstLine="420"/>
        <w:rPr>
          <w:rFonts w:ascii="宋体" w:hAnsi="宋体" w:cs="宋体"/>
          <w:bCs/>
          <w:color w:val="000000"/>
          <w:szCs w:val="21"/>
          <w:highlight w:val="none"/>
          <w:lang w:val="zh-CN"/>
        </w:rPr>
      </w:pPr>
      <w:r>
        <w:rPr>
          <w:rFonts w:hint="eastAsia" w:ascii="宋体" w:hAnsi="宋体" w:cs="宋体"/>
          <w:bCs/>
          <w:color w:val="000000"/>
          <w:szCs w:val="21"/>
          <w:highlight w:val="none"/>
        </w:rPr>
        <w:t xml:space="preserve">21.2.2.</w:t>
      </w:r>
      <w:r>
        <w:rPr>
          <w:rFonts w:hint="eastAsia" w:ascii="宋体" w:hAnsi="宋体" w:cs="宋体"/>
          <w:bCs/>
          <w:color w:val="000000"/>
          <w:szCs w:val="21"/>
          <w:highlight w:val="none"/>
          <w:lang w:val="en-US" w:eastAsia="zh-CN"/>
        </w:rPr>
        <w:t xml:space="preserve">6</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zh-CN"/>
        </w:rPr>
        <w:t xml:space="preserve">2 出现影响采购公正的违法、违规行为。</w:t>
      </w:r>
      <w:r>
        <w:rPr>
          <w:rFonts w:ascii="宋体" w:hAnsi="宋体" w:cs="宋体"/>
          <w:bCs/>
          <w:color w:val="000000"/>
          <w:szCs w:val="21"/>
          <w:highlight w:val="none"/>
          <w:lang w:val="zh-CN"/>
        </w:rPr>
      </w:r>
      <w:r/>
    </w:p>
    <w:p>
      <w:pPr>
        <w:pStyle w:val="933"/>
        <w:ind w:firstLine="420"/>
        <w:rPr>
          <w:rFonts w:ascii="宋体" w:hAnsi="宋体" w:cs="宋体"/>
          <w:bCs/>
          <w:color w:val="000000"/>
          <w:szCs w:val="21"/>
          <w:highlight w:val="none"/>
          <w:lang w:val="zh-CN"/>
        </w:rPr>
      </w:pPr>
      <w:r>
        <w:rPr>
          <w:rFonts w:hint="eastAsia" w:ascii="宋体" w:hAnsi="宋体" w:cs="宋体"/>
          <w:bCs/>
          <w:color w:val="000000"/>
          <w:szCs w:val="21"/>
          <w:highlight w:val="none"/>
        </w:rPr>
        <w:t xml:space="preserve">21.2.2.</w:t>
      </w:r>
      <w:r>
        <w:rPr>
          <w:rFonts w:hint="eastAsia" w:ascii="宋体" w:hAnsi="宋体" w:cs="宋体"/>
          <w:bCs/>
          <w:color w:val="000000"/>
          <w:szCs w:val="21"/>
          <w:highlight w:val="none"/>
          <w:lang w:val="en-US" w:eastAsia="zh-CN"/>
        </w:rPr>
        <w:t xml:space="preserve">6</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zh-CN"/>
        </w:rPr>
        <w:t xml:space="preserve">3 因重大变故采购任务取消。</w:t>
      </w:r>
      <w:r>
        <w:rPr>
          <w:rFonts w:ascii="宋体" w:hAnsi="宋体" w:cs="宋体"/>
          <w:bCs/>
          <w:color w:val="000000"/>
          <w:szCs w:val="21"/>
          <w:highlight w:val="none"/>
          <w:lang w:val="zh-CN"/>
        </w:rPr>
      </w:r>
      <w:r/>
    </w:p>
    <w:p>
      <w:pPr>
        <w:pStyle w:val="933"/>
        <w:ind w:firstLine="420"/>
        <w:rPr>
          <w:rFonts w:ascii="宋体" w:hAnsi="宋体" w:cs="宋体"/>
          <w:bCs/>
          <w:color w:val="000000"/>
          <w:szCs w:val="21"/>
          <w:highlight w:val="none"/>
          <w:lang w:val="zh-CN"/>
        </w:rPr>
      </w:pPr>
      <w:r>
        <w:rPr>
          <w:rFonts w:hint="eastAsia" w:ascii="宋体" w:hAnsi="宋体" w:cs="宋体"/>
          <w:bCs/>
          <w:color w:val="000000"/>
          <w:szCs w:val="21"/>
          <w:highlight w:val="none"/>
        </w:rPr>
        <w:t xml:space="preserve">21.2.2.</w:t>
      </w:r>
      <w:r>
        <w:rPr>
          <w:rFonts w:hint="eastAsia" w:ascii="宋体" w:hAnsi="宋体" w:cs="宋体"/>
          <w:bCs/>
          <w:color w:val="000000"/>
          <w:szCs w:val="21"/>
          <w:highlight w:val="none"/>
          <w:lang w:val="en-US" w:eastAsia="zh-CN"/>
        </w:rPr>
        <w:t xml:space="preserve">6</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zh-CN"/>
        </w:rPr>
        <w:t xml:space="preserve">4 评委会认定招标文件存在歧义、重大缺陷导致评审工作无法进行。</w:t>
      </w:r>
      <w:r>
        <w:rPr>
          <w:rFonts w:ascii="宋体" w:hAnsi="宋体" w:cs="宋体"/>
          <w:bCs/>
          <w:color w:val="000000"/>
          <w:szCs w:val="21"/>
          <w:highlight w:val="none"/>
          <w:lang w:val="zh-CN"/>
        </w:rPr>
      </w:r>
      <w:r/>
    </w:p>
    <w:p>
      <w:pPr>
        <w:pStyle w:val="933"/>
        <w:ind w:firstLine="420"/>
        <w:rPr>
          <w:rFonts w:ascii="宋体" w:hAnsi="宋体" w:cs="宋体"/>
          <w:bCs/>
          <w:color w:val="000000"/>
          <w:szCs w:val="21"/>
          <w:highlight w:val="none"/>
          <w:lang w:val="zh-CN"/>
        </w:rPr>
      </w:pPr>
      <w:r>
        <w:rPr>
          <w:rFonts w:hint="eastAsia" w:ascii="宋体" w:hAnsi="宋体" w:cs="宋体"/>
          <w:bCs/>
          <w:color w:val="000000"/>
          <w:szCs w:val="21"/>
          <w:highlight w:val="none"/>
        </w:rPr>
        <w:t xml:space="preserve">21.2.2.</w:t>
      </w:r>
      <w:r>
        <w:rPr>
          <w:rFonts w:hint="eastAsia" w:ascii="宋体" w:hAnsi="宋体" w:cs="宋体"/>
          <w:bCs/>
          <w:color w:val="000000"/>
          <w:szCs w:val="21"/>
          <w:highlight w:val="none"/>
          <w:lang w:val="en-US" w:eastAsia="zh-CN"/>
        </w:rPr>
        <w:t xml:space="preserve">6</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zh-CN"/>
        </w:rPr>
        <w:t xml:space="preserve">5</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lang w:val="zh-CN"/>
        </w:rPr>
        <w:t xml:space="preserve">预留份额的采购项目或采购包，通过发布公告方式邀请供应商后，符合资格条件的中小企业数量不足3家的。</w:t>
      </w:r>
      <w:r>
        <w:rPr>
          <w:rFonts w:ascii="宋体" w:hAnsi="宋体" w:cs="宋体"/>
          <w:bCs/>
          <w:color w:val="000000"/>
          <w:szCs w:val="21"/>
          <w:highlight w:val="none"/>
          <w:lang w:val="zh-CN"/>
        </w:rPr>
      </w:r>
      <w:r/>
    </w:p>
    <w:p>
      <w:pPr>
        <w:pStyle w:val="933"/>
        <w:ind w:firstLine="420"/>
        <w:rPr>
          <w:rFonts w:ascii="宋体" w:hAnsi="宋体" w:cs="宋体"/>
          <w:bCs/>
          <w:color w:val="000000"/>
          <w:szCs w:val="21"/>
          <w:highlight w:val="none"/>
          <w:lang w:val="zh-CN"/>
        </w:rPr>
      </w:pPr>
      <w:r>
        <w:rPr>
          <w:rFonts w:hint="eastAsia" w:ascii="宋体" w:hAnsi="宋体" w:cs="宋体"/>
          <w:bCs/>
          <w:color w:val="000000"/>
          <w:szCs w:val="21"/>
          <w:highlight w:val="none"/>
        </w:rPr>
        <w:t xml:space="preserve">21.2.2.</w:t>
      </w:r>
      <w:r>
        <w:rPr>
          <w:rFonts w:hint="eastAsia" w:ascii="宋体" w:hAnsi="宋体" w:cs="宋体"/>
          <w:bCs/>
          <w:color w:val="000000"/>
          <w:szCs w:val="21"/>
          <w:highlight w:val="none"/>
          <w:lang w:val="en-US" w:eastAsia="zh-CN"/>
        </w:rPr>
        <w:t xml:space="preserve">6</w:t>
      </w:r>
      <w:r>
        <w:rPr>
          <w:rFonts w:hint="eastAsia" w:ascii="宋体" w:hAnsi="宋体" w:cs="宋体"/>
          <w:bCs/>
          <w:color w:val="000000"/>
          <w:szCs w:val="21"/>
          <w:highlight w:val="none"/>
        </w:rPr>
        <w:t xml:space="preserve">.6 </w:t>
      </w:r>
      <w:r>
        <w:rPr>
          <w:rFonts w:hint="eastAsia" w:ascii="宋体" w:hAnsi="宋体" w:cs="宋体"/>
          <w:bCs/>
          <w:color w:val="000000"/>
          <w:szCs w:val="21"/>
          <w:highlight w:val="none"/>
          <w:lang w:val="zh-CN"/>
        </w:rPr>
        <w:t xml:space="preserve">因苏采云系统故障造成开标不成功。</w:t>
      </w:r>
      <w:r>
        <w:rPr>
          <w:rFonts w:ascii="宋体" w:hAnsi="宋体" w:cs="宋体"/>
          <w:bCs/>
          <w:color w:val="000000"/>
          <w:szCs w:val="21"/>
          <w:highlight w:val="none"/>
          <w:lang w:val="zh-CN"/>
        </w:rPr>
      </w:r>
      <w:r/>
    </w:p>
    <w:p>
      <w:pPr>
        <w:pStyle w:val="933"/>
        <w:ind w:firstLine="422"/>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21.2.3</w:t>
      </w:r>
      <w:r>
        <w:rPr>
          <w:rFonts w:hint="eastAsia" w:ascii="宋体" w:hAnsi="宋体" w:cs="宋体"/>
          <w:b/>
          <w:color w:val="000000"/>
          <w:szCs w:val="21"/>
          <w:highlight w:val="none"/>
        </w:rPr>
        <w:t xml:space="preserve"> </w:t>
      </w:r>
      <w:r>
        <w:rPr>
          <w:rFonts w:hint="eastAsia" w:ascii="宋体" w:hAnsi="宋体" w:cs="宋体"/>
          <w:b/>
          <w:color w:val="000000"/>
          <w:szCs w:val="21"/>
          <w:highlight w:val="none"/>
          <w:lang w:val="zh-CN"/>
        </w:rPr>
        <w:t xml:space="preserve">投标文件的进一步评审</w:t>
      </w:r>
      <w:r>
        <w:rPr>
          <w:rFonts w:ascii="宋体" w:hAnsi="宋体" w:cs="宋体"/>
          <w:b/>
          <w:color w:val="000000"/>
          <w:szCs w:val="21"/>
          <w:highlight w:val="none"/>
          <w:lang w:val="zh-CN"/>
        </w:rPr>
      </w:r>
      <w:r/>
    </w:p>
    <w:p>
      <w:pPr>
        <w:pStyle w:val="933"/>
        <w:ind w:firstLine="420"/>
        <w:rPr>
          <w:rFonts w:ascii="宋体" w:hAnsi="宋体" w:cs="宋体"/>
          <w:bCs/>
          <w:color w:val="000000"/>
          <w:szCs w:val="21"/>
          <w:highlight w:val="none"/>
        </w:rPr>
      </w:pPr>
      <w:r>
        <w:rPr>
          <w:rFonts w:hint="eastAsia" w:ascii="宋体" w:hAnsi="宋体" w:cs="宋体"/>
          <w:color w:val="000000"/>
          <w:szCs w:val="21"/>
          <w:highlight w:val="none"/>
          <w:lang w:val="zh-CN"/>
        </w:rPr>
        <w:t xml:space="preserve">21.2.3.1</w:t>
      </w:r>
      <w:r>
        <w:rPr>
          <w:rFonts w:hint="eastAsia" w:ascii="宋体" w:hAnsi="宋体" w:cs="宋体"/>
          <w:bCs/>
          <w:color w:val="000000"/>
          <w:szCs w:val="21"/>
          <w:highlight w:val="none"/>
        </w:rPr>
        <w:t xml:space="preserve">评标委员会将对确定为实质性响应的投标文件进行进一步评审，看其是否有计算上或累加上的算术错误，修正错误的原则如下：</w:t>
      </w:r>
      <w:r>
        <w:rPr>
          <w:rFonts w:ascii="宋体" w:hAnsi="宋体" w:cs="宋体"/>
          <w:bCs/>
          <w:color w:val="000000"/>
          <w:szCs w:val="21"/>
          <w:highlight w:val="none"/>
        </w:rPr>
      </w:r>
      <w:r/>
    </w:p>
    <w:p>
      <w:pPr>
        <w:pStyle w:val="933"/>
        <w:ind w:firstLine="420"/>
        <w:rPr>
          <w:rFonts w:ascii="宋体" w:hAnsi="宋体" w:cs="宋体"/>
          <w:bCs/>
          <w:color w:val="000000"/>
          <w:szCs w:val="21"/>
          <w:highlight w:val="none"/>
        </w:rPr>
      </w:pPr>
      <w:r>
        <w:rPr>
          <w:rFonts w:hint="eastAsia" w:ascii="宋体" w:hAnsi="宋体" w:cs="宋体"/>
          <w:color w:val="000000"/>
          <w:szCs w:val="21"/>
          <w:highlight w:val="none"/>
          <w:lang w:val="zh-CN"/>
        </w:rPr>
        <w:t xml:space="preserve">（1）</w:t>
      </w:r>
      <w:r>
        <w:rPr>
          <w:rFonts w:hint="eastAsia" w:ascii="宋体" w:hAnsi="宋体" w:cs="宋体"/>
          <w:bCs/>
          <w:color w:val="000000"/>
          <w:szCs w:val="21"/>
          <w:highlight w:val="none"/>
        </w:rPr>
        <w:t xml:space="preserve">如果用数字表示的金额和用文字表示的金额不一致时，应以文字表示的金额为准进行修正；</w:t>
      </w:r>
      <w:r>
        <w:rPr>
          <w:rFonts w:ascii="宋体" w:hAnsi="宋体" w:cs="宋体"/>
          <w:bCs/>
          <w:color w:val="000000"/>
          <w:szCs w:val="21"/>
          <w:highlight w:val="none"/>
        </w:rPr>
      </w:r>
      <w:r/>
    </w:p>
    <w:p>
      <w:pPr>
        <w:pStyle w:val="933"/>
        <w:ind w:firstLine="420"/>
        <w:rPr>
          <w:rFonts w:ascii="宋体" w:hAnsi="宋体" w:cs="宋体"/>
          <w:bCs/>
          <w:color w:val="000000"/>
          <w:szCs w:val="21"/>
          <w:highlight w:val="none"/>
        </w:rPr>
      </w:pPr>
      <w:r>
        <w:rPr>
          <w:rFonts w:hint="eastAsia" w:ascii="宋体" w:hAnsi="宋体" w:cs="宋体"/>
          <w:color w:val="000000"/>
          <w:szCs w:val="21"/>
          <w:highlight w:val="none"/>
          <w:lang w:val="zh-CN"/>
        </w:rPr>
        <w:t xml:space="preserve">（2）</w:t>
      </w:r>
      <w:r>
        <w:rPr>
          <w:rFonts w:hint="eastAsia" w:ascii="宋体" w:hAnsi="宋体" w:cs="宋体"/>
          <w:bCs/>
          <w:color w:val="000000"/>
          <w:szCs w:val="21"/>
          <w:highlight w:val="none"/>
        </w:rPr>
        <w:t xml:space="preserve">当单价与数量的乘积和总价不一致时，以单价为准进行修正。只有在评标委员会认为单价有明显的小数点错误时，才能以标出的总价为准，并修改单价。</w:t>
      </w:r>
      <w:r>
        <w:rPr>
          <w:rFonts w:ascii="宋体" w:hAnsi="宋体" w:cs="宋体"/>
          <w:bCs/>
          <w:color w:val="000000"/>
          <w:szCs w:val="21"/>
          <w:highlight w:val="none"/>
        </w:rPr>
      </w:r>
      <w:r/>
    </w:p>
    <w:p>
      <w:pPr>
        <w:pStyle w:val="933"/>
        <w:ind w:firstLine="420"/>
        <w:rPr>
          <w:rFonts w:ascii="宋体" w:hAnsi="宋体" w:cs="宋体"/>
          <w:bCs/>
          <w:color w:val="000000"/>
          <w:szCs w:val="21"/>
          <w:highlight w:val="none"/>
        </w:rPr>
      </w:pPr>
      <w:r>
        <w:rPr>
          <w:rFonts w:hint="eastAsia" w:ascii="宋体" w:hAnsi="宋体" w:cs="宋体"/>
          <w:color w:val="000000"/>
          <w:szCs w:val="21"/>
          <w:highlight w:val="none"/>
        </w:rPr>
        <w:t xml:space="preserve">21.2.3.2</w:t>
      </w:r>
      <w:r>
        <w:rPr>
          <w:rFonts w:hint="eastAsia" w:ascii="宋体" w:hAnsi="宋体" w:cs="宋体"/>
          <w:bCs/>
          <w:color w:val="000000"/>
          <w:szCs w:val="21"/>
          <w:highlight w:val="none"/>
        </w:rPr>
        <w:t xml:space="preserve"> 评委会将按上述修正错误的方法调整投标文件中的投标报价，并通过苏采云系统告知投标人，调整后的价格对投标人具有约束力。如果投标人不接受修正后的价格，则其投标将被拒绝。</w:t>
      </w:r>
      <w:r>
        <w:rPr>
          <w:rFonts w:ascii="宋体" w:hAnsi="宋体" w:cs="宋体"/>
          <w:bCs/>
          <w:color w:val="000000"/>
          <w:szCs w:val="21"/>
          <w:highlight w:val="none"/>
        </w:rPr>
      </w:r>
      <w:r/>
    </w:p>
    <w:p>
      <w:pPr>
        <w:pStyle w:val="933"/>
        <w:ind w:firstLine="420"/>
        <w:rPr>
          <w:rFonts w:ascii="宋体" w:hAnsi="宋体" w:cs="宋体"/>
          <w:bCs/>
          <w:color w:val="000000"/>
          <w:szCs w:val="21"/>
          <w:highlight w:val="none"/>
        </w:rPr>
      </w:pPr>
      <w:r>
        <w:rPr>
          <w:rFonts w:hint="eastAsia" w:ascii="宋体" w:hAnsi="宋体" w:cs="宋体"/>
          <w:color w:val="000000"/>
          <w:szCs w:val="21"/>
          <w:highlight w:val="none"/>
        </w:rPr>
        <w:t xml:space="preserve">21.2.3.3 </w:t>
      </w:r>
      <w:r>
        <w:rPr>
          <w:rFonts w:hint="eastAsia" w:ascii="宋体" w:hAnsi="宋体" w:cs="宋体"/>
          <w:bCs/>
          <w:color w:val="000000"/>
          <w:szCs w:val="21"/>
          <w:highlight w:val="none"/>
        </w:rPr>
        <w:t xml:space="preserve">评标委员会将允许修正投标文件中不构成重大偏离的、微小的、非正规的、不一致的或不规则的地方，但这些修改不能影响任何供应商相应的名次排列。</w:t>
      </w:r>
      <w:r>
        <w:rPr>
          <w:rFonts w:ascii="宋体" w:hAnsi="宋体" w:cs="宋体"/>
          <w:bCs/>
          <w:color w:val="000000"/>
          <w:szCs w:val="21"/>
          <w:highlight w:val="none"/>
        </w:rPr>
      </w:r>
      <w:r/>
    </w:p>
    <w:p>
      <w:pPr>
        <w:pStyle w:val="933"/>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rPr>
          <w:rFonts w:ascii="宋体" w:hAnsi="宋体" w:cs="宋体"/>
          <w:color w:val="000000"/>
          <w:szCs w:val="21"/>
          <w:highlight w:val="none"/>
          <w:lang w:val="zh-CN"/>
        </w:rPr>
      </w:r>
      <w:r/>
    </w:p>
    <w:p>
      <w:pPr>
        <w:pStyle w:val="933"/>
        <w:ind w:firstLine="420"/>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21.2.3.5 比较与评价。按照招标文件中规定的评标方法和标准，对资格性检查和符合性检查合格的投标文件进行商务和技术评估，综合比较与评价。</w:t>
      </w:r>
      <w:r>
        <w:rPr>
          <w:rFonts w:ascii="宋体" w:hAnsi="宋体" w:cs="宋体"/>
          <w:color w:val="000000"/>
          <w:szCs w:val="21"/>
          <w:highlight w:val="none"/>
          <w:lang w:val="zh-CN"/>
        </w:rPr>
      </w:r>
      <w:r/>
    </w:p>
    <w:p>
      <w:pPr>
        <w:pStyle w:val="933"/>
        <w:ind w:firstLine="420"/>
        <w:rPr>
          <w:rFonts w:ascii="宋体" w:hAnsi="宋体" w:cs="宋体"/>
          <w:color w:val="000000"/>
          <w:szCs w:val="21"/>
          <w:highlight w:val="none"/>
          <w:lang w:val="zh-CN"/>
        </w:rPr>
      </w:pPr>
      <w:r>
        <w:rPr>
          <w:rFonts w:hint="eastAsia" w:ascii="宋体" w:hAnsi="宋体" w:cs="宋体"/>
          <w:color w:val="000000"/>
          <w:szCs w:val="21"/>
          <w:highlight w:val="none"/>
        </w:rPr>
        <w:t xml:space="preserve">21.2.3.6 </w:t>
      </w:r>
      <w:r>
        <w:rPr>
          <w:rFonts w:hint="eastAsia" w:ascii="宋体" w:hAnsi="宋体" w:cs="宋体"/>
          <w:color w:val="000000"/>
          <w:szCs w:val="21"/>
          <w:highlight w:val="none"/>
          <w:lang w:val="zh-CN"/>
        </w:rPr>
        <w:t xml:space="preserve">投标人在开、评标全过程中应保持通讯畅通，及时登录苏采云系统查阅、答复相关信息，并安排专人与</w:t>
      </w:r>
      <w:r>
        <w:rPr>
          <w:rFonts w:hint="eastAsia" w:ascii="宋体" w:hAnsi="宋体" w:cs="宋体"/>
          <w:color w:val="000000"/>
          <w:szCs w:val="21"/>
          <w:highlight w:val="none"/>
        </w:rPr>
        <w:t xml:space="preserve">代理机构</w:t>
      </w:r>
      <w:r>
        <w:rPr>
          <w:rFonts w:hint="eastAsia" w:ascii="宋体" w:hAnsi="宋体" w:cs="宋体"/>
          <w:color w:val="000000"/>
          <w:szCs w:val="21"/>
          <w:highlight w:val="none"/>
          <w:lang w:val="zh-CN"/>
        </w:rPr>
        <w:t xml:space="preserve">及评委会联系。</w:t>
      </w:r>
      <w:r>
        <w:rPr>
          <w:rFonts w:ascii="宋体" w:hAnsi="宋体" w:cs="宋体"/>
          <w:color w:val="000000"/>
          <w:szCs w:val="21"/>
          <w:highlight w:val="none"/>
          <w:lang w:val="zh-CN"/>
        </w:rPr>
      </w:r>
      <w:r/>
    </w:p>
    <w:p>
      <w:pPr>
        <w:pStyle w:val="933"/>
        <w:ind w:firstLine="420"/>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2</w:t>
      </w: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2.</w:t>
      </w:r>
      <w:r>
        <w:rPr>
          <w:rFonts w:hint="eastAsia" w:ascii="宋体" w:hAnsi="宋体" w:cs="宋体"/>
          <w:bCs/>
          <w:color w:val="000000"/>
          <w:szCs w:val="21"/>
          <w:highlight w:val="none"/>
          <w:lang w:val="zh-CN"/>
        </w:rPr>
        <w:t xml:space="preserve">3</w:t>
      </w:r>
      <w:r>
        <w:rPr>
          <w:rFonts w:hint="eastAsia" w:ascii="宋体" w:hAnsi="宋体" w:cs="宋体"/>
          <w:bCs/>
          <w:color w:val="000000"/>
          <w:szCs w:val="21"/>
          <w:highlight w:val="none"/>
        </w:rPr>
        <w:t xml:space="preserve">.7</w:t>
      </w:r>
      <w:r>
        <w:rPr>
          <w:rFonts w:hint="eastAsia" w:ascii="宋体" w:hAnsi="宋体" w:cs="宋体"/>
          <w:bCs/>
          <w:color w:val="000000"/>
          <w:szCs w:val="21"/>
          <w:highlight w:val="none"/>
          <w:lang w:val="zh-CN"/>
        </w:rPr>
        <w:t xml:space="preserve"> 如出现投标截止时间后参加投标的供应商或者对招标文件作出实质性响应的供应商不足三家的情况，按政府采购相关规定执行。</w:t>
      </w:r>
      <w:r>
        <w:rPr>
          <w:rFonts w:ascii="宋体" w:hAnsi="宋体" w:cs="宋体"/>
          <w:bCs/>
          <w:color w:val="000000"/>
          <w:szCs w:val="21"/>
          <w:highlight w:val="none"/>
          <w:lang w:val="zh-CN"/>
        </w:rPr>
      </w:r>
      <w:r/>
    </w:p>
    <w:p>
      <w:pPr>
        <w:pStyle w:val="933"/>
        <w:ind w:firstLine="422"/>
        <w:rPr>
          <w:rFonts w:hint="eastAsia" w:ascii="宋体" w:hAnsi="宋体"/>
          <w:b/>
          <w:color w:val="000000"/>
          <w:szCs w:val="21"/>
          <w:highlight w:val="none"/>
          <w:lang w:val="en-US" w:eastAsia="zh-CN"/>
        </w:rPr>
      </w:pPr>
      <w:r>
        <w:rPr>
          <w:rFonts w:hint="eastAsia" w:ascii="宋体" w:hAnsi="宋体"/>
          <w:b/>
          <w:color w:val="000000"/>
          <w:szCs w:val="21"/>
          <w:highlight w:val="none"/>
          <w:lang w:val="en-US" w:eastAsia="zh-CN"/>
        </w:rPr>
        <w:t xml:space="preserve">21.2.4 相同品牌产品投标的处理方法</w:t>
      </w:r>
      <w:r>
        <w:rPr>
          <w:rFonts w:hint="eastAsia" w:ascii="宋体" w:hAnsi="宋体"/>
          <w:b/>
          <w:color w:val="000000"/>
          <w:szCs w:val="21"/>
          <w:highlight w:val="none"/>
          <w:lang w:val="en-US" w:eastAsia="zh-CN"/>
        </w:rPr>
      </w:r>
      <w:r/>
    </w:p>
    <w:p>
      <w:pPr>
        <w:pStyle w:val="933"/>
        <w:ind w:firstLine="420"/>
        <w:rPr>
          <w:rFonts w:hint="eastAsia" w:ascii="宋体" w:hAnsi="宋体"/>
          <w:b w:val="0"/>
          <w:bCs/>
          <w:color w:val="000000"/>
          <w:szCs w:val="21"/>
          <w:highlight w:val="none"/>
          <w:lang w:val="en-US" w:eastAsia="zh-CN"/>
        </w:rPr>
      </w:pPr>
      <w:r>
        <w:rPr>
          <w:rFonts w:hint="eastAsia" w:ascii="宋体" w:hAnsi="宋体"/>
          <w:b w:val="0"/>
          <w:bCs/>
          <w:color w:val="000000"/>
          <w:szCs w:val="21"/>
          <w:highlight w:val="none"/>
          <w:lang w:val="en-US" w:eastAsia="zh-CN"/>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宋体" w:hAnsi="宋体"/>
          <w:b w:val="0"/>
          <w:bCs/>
          <w:color w:val="000000"/>
          <w:szCs w:val="21"/>
          <w:highlight w:val="none"/>
          <w:lang w:val="en-US" w:eastAsia="zh-CN"/>
        </w:rPr>
      </w:r>
      <w:r/>
    </w:p>
    <w:p>
      <w:pPr>
        <w:pStyle w:val="933"/>
        <w:ind w:firstLine="420"/>
        <w:rPr>
          <w:rFonts w:hint="eastAsia" w:ascii="宋体" w:hAnsi="宋体"/>
          <w:b w:val="0"/>
          <w:bCs/>
          <w:color w:val="000000"/>
          <w:szCs w:val="21"/>
          <w:highlight w:val="none"/>
          <w:lang w:val="en-US" w:eastAsia="zh-CN"/>
        </w:rPr>
      </w:pPr>
      <w:r>
        <w:rPr>
          <w:rFonts w:hint="eastAsia" w:ascii="宋体" w:hAnsi="宋体"/>
          <w:b w:val="0"/>
          <w:bCs/>
          <w:color w:val="000000"/>
          <w:szCs w:val="21"/>
          <w:highlight w:val="none"/>
          <w:lang w:val="en-US" w:eastAsia="zh-CN"/>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b w:val="0"/>
          <w:bCs/>
          <w:color w:val="000000"/>
          <w:szCs w:val="21"/>
          <w:highlight w:val="none"/>
          <w:lang w:val="en-US" w:eastAsia="zh-CN"/>
        </w:rPr>
      </w:r>
      <w:r/>
    </w:p>
    <w:p>
      <w:pPr>
        <w:pStyle w:val="933"/>
        <w:ind w:firstLine="420"/>
        <w:rPr>
          <w:rFonts w:ascii="宋体" w:hAnsi="宋体" w:eastAsia="宋体"/>
          <w:b w:val="0"/>
          <w:bCs/>
          <w:color w:val="000000"/>
          <w:szCs w:val="21"/>
          <w:highlight w:val="none"/>
          <w:lang w:val="en-US" w:eastAsia="zh-CN"/>
        </w:rPr>
      </w:pPr>
      <w:r>
        <w:rPr>
          <w:rFonts w:hint="eastAsia" w:ascii="宋体" w:hAnsi="宋体"/>
          <w:b w:val="0"/>
          <w:bCs/>
          <w:color w:val="000000"/>
          <w:szCs w:val="21"/>
          <w:highlight w:val="none"/>
          <w:lang w:val="en-US" w:eastAsia="zh-CN"/>
        </w:rPr>
        <w:t xml:space="preserve">（3）非单一产品采购项目，根据采购项目技术构成、产品价格比重等合理确定核心产品，核心产品见招标文件规定。多家投标人提供的核心产品品牌相同的，按前两款规定处理。</w:t>
      </w:r>
      <w:r>
        <w:rPr>
          <w:rFonts w:ascii="宋体" w:hAnsi="宋体" w:eastAsia="宋体"/>
          <w:b w:val="0"/>
          <w:bCs/>
          <w:color w:val="000000"/>
          <w:szCs w:val="21"/>
          <w:highlight w:val="none"/>
          <w:lang w:val="en-US" w:eastAsia="zh-CN"/>
        </w:rPr>
      </w:r>
      <w:r/>
    </w:p>
    <w:p>
      <w:pPr>
        <w:pStyle w:val="933"/>
        <w:ind w:firstLine="422"/>
        <w:rPr>
          <w:rFonts w:ascii="宋体" w:hAnsi="宋体"/>
          <w:bCs/>
          <w:color w:val="000000"/>
          <w:szCs w:val="21"/>
          <w:highlight w:val="none"/>
        </w:rPr>
      </w:pPr>
      <w:r>
        <w:rPr>
          <w:rFonts w:hint="eastAsia" w:ascii="宋体" w:hAnsi="宋体"/>
          <w:b/>
          <w:color w:val="000000"/>
          <w:szCs w:val="21"/>
          <w:highlight w:val="none"/>
        </w:rPr>
        <w:t xml:space="preserve">21.3 评标方法和标准</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21.3.1 采用综合评分法。即在投标文件满足招标文件全部实质性要求前提下，按照评审因素的量化指标评分。</w:t>
      </w:r>
      <w:r>
        <w:rPr>
          <w:rFonts w:hint="eastAsia" w:ascii="宋体" w:hAnsi="宋体" w:cs="宋体"/>
          <w:color w:val="000000"/>
          <w:szCs w:val="21"/>
          <w:highlight w:val="none"/>
          <w:lang w:val="zh-CN"/>
        </w:rPr>
        <w:t xml:space="preserve">未中标的投标人可于中标结果公告期限届满之日起通过苏采云系统查看本单位的评审得分及排名情况。</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21.3.2 综合评分的主要因素详见文件第三章。</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21.3.3评分标准详见文件第三章。</w:t>
      </w:r>
      <w:r>
        <w:rPr>
          <w:rFonts w:ascii="宋体" w:hAnsi="宋体"/>
          <w:bCs/>
          <w:color w:val="000000"/>
          <w:szCs w:val="21"/>
          <w:highlight w:val="none"/>
        </w:rPr>
      </w:r>
      <w:r/>
    </w:p>
    <w:p>
      <w:pPr>
        <w:pStyle w:val="933"/>
        <w:ind w:firstLine="422"/>
        <w:rPr>
          <w:rFonts w:ascii="宋体" w:hAnsi="宋体"/>
          <w:bCs/>
          <w:color w:val="000000"/>
          <w:szCs w:val="21"/>
          <w:highlight w:val="none"/>
        </w:rPr>
      </w:pPr>
      <w:r>
        <w:rPr>
          <w:rFonts w:hint="eastAsia" w:ascii="宋体" w:hAnsi="宋体"/>
          <w:b/>
          <w:color w:val="000000"/>
          <w:szCs w:val="21"/>
          <w:highlight w:val="none"/>
        </w:rPr>
        <w:t xml:space="preserve">22.确定中标供应商</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22.1 在综合比较与评价后按照得分由高到低顺序对供应商进行排序。评标委员会按综合得分排名推荐3名中标候选人。得分相同的，按投标报价由低到高顺序排列。得分且报价相同的，按技术指标优劣顺序排列。</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22.2 按以下第（1）种方式确定中标供应商</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（1）评标委员会直接确定排名第一的中标候选人为中标供应商；</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（2）采购人在评标委员会推荐的中标候选人中按顺序确定中标供应商。</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22.3 中标供应商确定之日起两个工作日内，将在财政部门指定的政府采购信息发布媒体上公告。</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22.4 《中标通知书》对采购人和中标供应商具有同等法律效力。</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22.5 《中标通知书》发出后，中标供应商无正当理由不与采购人签订合同的，应当依法承担法律责任。</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22.6代理机构和评标委员会对未中标的供应商不作未中标原因的解释。</w:t>
      </w:r>
      <w:r>
        <w:rPr>
          <w:rFonts w:ascii="宋体" w:hAnsi="宋体"/>
          <w:bCs/>
          <w:color w:val="000000"/>
          <w:szCs w:val="21"/>
          <w:highlight w:val="none"/>
        </w:rPr>
      </w:r>
      <w:r/>
    </w:p>
    <w:p>
      <w:pPr>
        <w:pStyle w:val="933"/>
        <w:ind w:firstLine="422"/>
        <w:rPr>
          <w:rFonts w:ascii="宋体" w:hAnsi="宋体"/>
          <w:bCs/>
          <w:color w:val="000000"/>
          <w:szCs w:val="21"/>
          <w:highlight w:val="none"/>
        </w:rPr>
      </w:pPr>
      <w:r>
        <w:rPr>
          <w:rFonts w:hint="eastAsia" w:ascii="宋体" w:hAnsi="宋体"/>
          <w:b/>
          <w:color w:val="000000"/>
          <w:szCs w:val="21"/>
          <w:highlight w:val="none"/>
        </w:rPr>
        <w:t xml:space="preserve">23.编写评审报告</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评标委员会根据全体评标成员签字的原始评标记录和评标结果编写评审报告。</w:t>
      </w:r>
      <w:r>
        <w:rPr>
          <w:rFonts w:ascii="宋体" w:hAnsi="宋体"/>
          <w:bCs/>
          <w:color w:val="000000"/>
          <w:szCs w:val="21"/>
          <w:highlight w:val="none"/>
        </w:rPr>
      </w:r>
      <w:r/>
    </w:p>
    <w:p>
      <w:pPr>
        <w:pStyle w:val="933"/>
        <w:ind w:firstLine="422"/>
        <w:rPr>
          <w:rFonts w:ascii="宋体" w:hAnsi="宋体"/>
          <w:bCs/>
          <w:color w:val="000000"/>
          <w:szCs w:val="21"/>
          <w:highlight w:val="none"/>
        </w:rPr>
      </w:pPr>
      <w:r>
        <w:rPr>
          <w:rFonts w:hint="eastAsia" w:ascii="宋体" w:hAnsi="宋体"/>
          <w:b/>
          <w:color w:val="000000"/>
          <w:szCs w:val="21"/>
          <w:highlight w:val="none"/>
        </w:rPr>
        <w:t xml:space="preserve">24.评标过程的保密</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24.1 代理机构将采取必要措施，保证评标在严格保密的情况下进行。</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24.2 任何单位和个人不得非法干预、影响评标办法的确定，以及评标过程和结果。</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24.3 凡是与审查、澄清、评价和比较投标的有关资料等，均不得向供应商及与评标无关的人员透露。</w:t>
      </w:r>
      <w:r>
        <w:rPr>
          <w:rFonts w:ascii="宋体" w:hAnsi="宋体"/>
          <w:bCs/>
          <w:color w:val="000000"/>
          <w:szCs w:val="21"/>
          <w:highlight w:val="none"/>
        </w:rPr>
      </w:r>
      <w:r/>
    </w:p>
    <w:p>
      <w:pPr>
        <w:pStyle w:val="933"/>
        <w:ind w:firstLine="422"/>
        <w:rPr>
          <w:rFonts w:ascii="宋体" w:hAnsi="宋体"/>
          <w:b/>
          <w:color w:val="000000"/>
          <w:szCs w:val="21"/>
          <w:highlight w:val="none"/>
        </w:rPr>
      </w:pPr>
      <w:r>
        <w:rPr>
          <w:rFonts w:hint="eastAsia" w:ascii="宋体" w:hAnsi="宋体"/>
          <w:b/>
          <w:color w:val="000000"/>
          <w:szCs w:val="21"/>
          <w:highlight w:val="none"/>
        </w:rPr>
        <w:t xml:space="preserve">五、签订合同</w:t>
      </w:r>
      <w:r>
        <w:rPr>
          <w:rFonts w:ascii="宋体" w:hAnsi="宋体"/>
          <w:b/>
          <w:color w:val="000000"/>
          <w:szCs w:val="21"/>
          <w:highlight w:val="none"/>
        </w:rPr>
      </w:r>
      <w:r/>
    </w:p>
    <w:p>
      <w:pPr>
        <w:pStyle w:val="933"/>
        <w:ind w:firstLine="422"/>
        <w:rPr>
          <w:rFonts w:ascii="宋体" w:hAnsi="宋体"/>
          <w:b/>
          <w:color w:val="000000"/>
          <w:szCs w:val="21"/>
          <w:highlight w:val="none"/>
        </w:rPr>
      </w:pPr>
      <w:r>
        <w:rPr>
          <w:rFonts w:hint="eastAsia" w:ascii="宋体" w:hAnsi="宋体"/>
          <w:b/>
          <w:color w:val="000000"/>
          <w:szCs w:val="21"/>
          <w:highlight w:val="none"/>
        </w:rPr>
        <w:t xml:space="preserve">25.签订合同</w:t>
      </w:r>
      <w:r>
        <w:rPr>
          <w:rFonts w:ascii="宋体" w:hAnsi="宋体"/>
          <w:b/>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25.2 采购人不得向中标供应商提出任何不合理的要求作为签订合同的条件，不得与中标供应商私下订立背离合同实质性内容的协议。</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25.4 采购合同履行中，采购人需追加与合同标的相同货物的，在不改变合同其他条款的前提下，可以与供应商协商签订补充合同，但所有补充合同的采购金额不得超过原合同采购金额的百分之十。</w:t>
      </w:r>
      <w:r>
        <w:rPr>
          <w:rFonts w:ascii="宋体" w:hAnsi="宋体"/>
          <w:bCs/>
          <w:color w:val="000000"/>
          <w:szCs w:val="21"/>
          <w:highlight w:val="none"/>
        </w:rPr>
      </w:r>
      <w:r/>
    </w:p>
    <w:p>
      <w:pPr>
        <w:pStyle w:val="933"/>
        <w:ind w:firstLine="422"/>
        <w:rPr>
          <w:rFonts w:ascii="宋体" w:hAnsi="宋体"/>
          <w:b/>
          <w:color w:val="000000"/>
          <w:szCs w:val="21"/>
          <w:highlight w:val="none"/>
        </w:rPr>
      </w:pPr>
      <w:r>
        <w:rPr>
          <w:rFonts w:hint="eastAsia" w:ascii="宋体" w:hAnsi="宋体"/>
          <w:b/>
          <w:color w:val="000000"/>
          <w:szCs w:val="21"/>
          <w:highlight w:val="none"/>
        </w:rPr>
        <w:t xml:space="preserve">六、询问、质疑、投诉和诚实信用</w:t>
      </w:r>
      <w:r>
        <w:rPr>
          <w:rFonts w:ascii="宋体" w:hAnsi="宋体"/>
          <w:b/>
          <w:color w:val="000000"/>
          <w:szCs w:val="21"/>
          <w:highlight w:val="none"/>
        </w:rPr>
      </w:r>
      <w:r/>
    </w:p>
    <w:p>
      <w:pPr>
        <w:pStyle w:val="933"/>
        <w:ind w:firstLine="422"/>
        <w:rPr>
          <w:rFonts w:ascii="宋体" w:hAnsi="宋体"/>
          <w:bCs/>
          <w:color w:val="000000"/>
          <w:szCs w:val="21"/>
          <w:highlight w:val="none"/>
        </w:rPr>
      </w:pPr>
      <w:r>
        <w:rPr>
          <w:rFonts w:hint="eastAsia" w:ascii="宋体" w:hAnsi="宋体"/>
          <w:b/>
          <w:color w:val="000000"/>
          <w:szCs w:val="21"/>
          <w:highlight w:val="none"/>
        </w:rPr>
        <w:t xml:space="preserve">26.询问</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供应商对招标活动事项有疑问的，可以向代理机构或采购人提出询问，代理机构或采购人将在两个工作日内作出答复，但答复的内容不涉及商业秘密。</w:t>
      </w:r>
      <w:r>
        <w:rPr>
          <w:rFonts w:ascii="宋体" w:hAnsi="宋体"/>
          <w:bCs/>
          <w:color w:val="000000"/>
          <w:szCs w:val="21"/>
          <w:highlight w:val="none"/>
        </w:rPr>
      </w:r>
      <w:r/>
    </w:p>
    <w:p>
      <w:pPr>
        <w:pStyle w:val="933"/>
        <w:ind w:firstLine="422"/>
        <w:rPr>
          <w:rFonts w:ascii="宋体" w:hAnsi="宋体"/>
          <w:bCs/>
          <w:color w:val="000000"/>
          <w:szCs w:val="21"/>
          <w:highlight w:val="none"/>
        </w:rPr>
      </w:pPr>
      <w:r>
        <w:rPr>
          <w:rFonts w:hint="eastAsia" w:ascii="宋体" w:hAnsi="宋体"/>
          <w:b/>
          <w:color w:val="000000"/>
          <w:szCs w:val="21"/>
          <w:highlight w:val="none"/>
        </w:rPr>
        <w:t xml:space="preserve">27.质疑</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27.1供应商认为采购文件、采购过程和中标结果使自己的合法权益受到损害的，可以在知道或者应当知道其权益受到损害之日起七个工作日内，将质疑文件原件以书面形式送达代理机构。</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27.2质疑供应商的质疑行为应符合财政部94号令相关规定，未参加采购活动的供应商或在采购活动中自身权益未受到损害的供应商所提出的质疑不予受理。</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27.3 上述应知其权益受到损害之日是指：</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（1）对招标文件提出质疑的，为招标文件公告期限届满之日起计算；</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（2）对招标过程提出质疑的，自招标程序环节结束之日起计算；</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（3）对中标结果提出质疑的，自中标结果公告期限届满之日起计算。  </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27.4 质疑供应商在法定质疑期内应当一次性提出针对同一招标环节的质疑事项。</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27.5 代理机构在收到供应商的质疑后将及时组织调查核实，在七个工作日内作出答复，答复的内容不涉及商业秘密。</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27.6 代理机构遵循“谁过错谁负担”的原则，有过错的一方承担调查论证费用。</w:t>
      </w:r>
      <w:r>
        <w:rPr>
          <w:rFonts w:ascii="宋体" w:hAnsi="宋体"/>
          <w:bCs/>
          <w:color w:val="000000"/>
          <w:szCs w:val="21"/>
          <w:highlight w:val="none"/>
        </w:rPr>
      </w:r>
      <w:r/>
    </w:p>
    <w:p>
      <w:pPr>
        <w:pStyle w:val="933"/>
        <w:ind w:firstLine="422"/>
        <w:rPr>
          <w:rFonts w:ascii="宋体" w:hAnsi="宋体"/>
          <w:bCs/>
          <w:color w:val="000000"/>
          <w:szCs w:val="21"/>
          <w:highlight w:val="none"/>
        </w:rPr>
      </w:pPr>
      <w:r>
        <w:rPr>
          <w:rFonts w:hint="eastAsia" w:ascii="宋体" w:hAnsi="宋体"/>
          <w:b/>
          <w:color w:val="000000"/>
          <w:szCs w:val="21"/>
          <w:highlight w:val="none"/>
        </w:rPr>
        <w:t xml:space="preserve">28.投诉</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质疑供应商对代理机构的答复不满意，或代理机构未在规定的时间内作出答复的，可以在答复期满后十五个工作日内向采购项目同级财政部门投诉。</w:t>
      </w:r>
      <w:r>
        <w:rPr>
          <w:rFonts w:ascii="宋体" w:hAnsi="宋体"/>
          <w:bCs/>
          <w:color w:val="000000"/>
          <w:szCs w:val="21"/>
          <w:highlight w:val="none"/>
        </w:rPr>
      </w:r>
      <w:r/>
    </w:p>
    <w:p>
      <w:pPr>
        <w:pStyle w:val="933"/>
        <w:ind w:firstLine="422"/>
        <w:rPr>
          <w:rFonts w:ascii="宋体" w:hAnsi="宋体"/>
          <w:bCs/>
          <w:color w:val="000000"/>
          <w:szCs w:val="21"/>
          <w:highlight w:val="none"/>
        </w:rPr>
      </w:pPr>
      <w:r>
        <w:rPr>
          <w:rFonts w:hint="eastAsia" w:ascii="宋体" w:hAnsi="宋体"/>
          <w:b/>
          <w:color w:val="000000"/>
          <w:szCs w:val="21"/>
          <w:highlight w:val="none"/>
        </w:rPr>
        <w:t xml:space="preserve">29.诚实信用</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29.1 供应商之间不得相互串通投标报价，不得妨碍其他供应商的公平竞争，不得损害采购人和其他供应商的合法权益。</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rPr>
          <w:rFonts w:ascii="宋体" w:hAnsi="宋体"/>
          <w:bCs/>
          <w:color w:val="000000"/>
          <w:szCs w:val="21"/>
          <w:highlight w:val="none"/>
        </w:rPr>
      </w:r>
      <w:r/>
    </w:p>
    <w:p>
      <w:pPr>
        <w:pStyle w:val="933"/>
        <w:ind w:firstLine="420"/>
        <w:rPr>
          <w:rFonts w:ascii="宋体" w:hAnsi="宋体"/>
          <w:bCs/>
          <w:color w:val="000000"/>
          <w:szCs w:val="21"/>
          <w:highlight w:val="none"/>
        </w:rPr>
      </w:pPr>
      <w:r>
        <w:rPr>
          <w:rFonts w:hint="eastAsia" w:ascii="宋体" w:hAnsi="宋体"/>
          <w:bCs/>
          <w:color w:val="000000"/>
          <w:szCs w:val="21"/>
          <w:highlight w:val="none"/>
        </w:rPr>
        <w:t xml:space="preserve">29.4 供应商不得虚假承诺，否则，按照提供虚假材料谋取中标处理。</w:t>
      </w:r>
      <w:r>
        <w:rPr>
          <w:rFonts w:ascii="宋体" w:hAnsi="宋体"/>
          <w:bCs/>
          <w:color w:val="000000"/>
          <w:szCs w:val="21"/>
          <w:highlight w:val="none"/>
        </w:rPr>
      </w:r>
      <w:r/>
    </w:p>
    <w:p>
      <w:pPr>
        <w:pStyle w:val="933"/>
        <w:ind w:firstLine="420"/>
        <w:jc w:val="left"/>
        <w:rPr>
          <w:rFonts w:hint="eastAsia" w:ascii="宋体" w:hAnsi="宋体" w:cs="宋体"/>
          <w:color w:val="000000"/>
          <w:szCs w:val="21"/>
          <w:highlight w:val="none"/>
          <w:lang w:val="zh-CN"/>
        </w:rPr>
      </w:pPr>
      <w:r>
        <w:rPr>
          <w:rFonts w:hint="eastAsia" w:ascii="宋体" w:hAnsi="宋体"/>
          <w:bCs/>
          <w:color w:val="000000"/>
          <w:szCs w:val="21"/>
          <w:highlight w:val="none"/>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933"/>
        <w:jc w:val="center"/>
        <w:spacing w:line="360" w:lineRule="auto"/>
        <w:rPr>
          <w:rFonts w:hint="eastAsia" w:ascii="宋体" w:hAnsi="宋体" w:cs="宋体"/>
          <w:b/>
          <w:color w:val="000000"/>
          <w:sz w:val="36"/>
          <w:szCs w:val="36"/>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b/>
          <w:color w:val="000000"/>
          <w:sz w:val="36"/>
          <w:szCs w:val="36"/>
          <w:highlight w:val="none"/>
        </w:rPr>
      </w:r>
      <w:r/>
    </w:p>
    <w:p>
      <w:pPr>
        <w:pStyle w:val="933"/>
        <w:jc w:val="center"/>
        <w:spacing w:line="360" w:lineRule="auto"/>
        <w:rPr>
          <w:rFonts w:hint="eastAsia" w:ascii="宋体" w:hAnsi="宋体" w:cs="宋体"/>
          <w:color w:val="000000"/>
          <w:highlight w:val="none"/>
        </w:rPr>
        <w:outlineLvl w:val="0"/>
      </w:pPr>
      <w:r>
        <w:rPr>
          <w:rFonts w:hint="eastAsia" w:ascii="宋体" w:hAnsi="宋体" w:cs="宋体"/>
          <w:b/>
          <w:color w:val="000000"/>
          <w:sz w:val="36"/>
          <w:szCs w:val="36"/>
          <w:highlight w:val="none"/>
        </w:rPr>
        <w:t xml:space="preserve">第三章  评标标准</w:t>
      </w:r>
      <w:r>
        <w:rPr>
          <w:rFonts w:hint="eastAsia" w:ascii="宋体" w:hAnsi="宋体" w:cs="宋体"/>
          <w:color w:val="000000"/>
          <w:highlight w:val="none"/>
        </w:rPr>
      </w:r>
      <w:r/>
    </w:p>
    <w:p>
      <w:pPr>
        <w:pStyle w:val="933"/>
        <w:jc w:val="left"/>
        <w:spacing w:line="360" w:lineRule="auto"/>
        <w:rPr>
          <w:rFonts w:hint="eastAsia" w:ascii="宋体" w:hAnsi="宋体" w:cs="宋体"/>
          <w:bCs/>
          <w:color w:val="000000"/>
          <w:highlight w:val="none"/>
        </w:rPr>
        <w:outlineLvl w:val="1"/>
      </w:pPr>
      <w:r>
        <w:rPr>
          <w:rFonts w:hint="eastAsia" w:ascii="宋体" w:hAnsi="宋体" w:cs="宋体"/>
          <w:b/>
          <w:color w:val="000000"/>
          <w:highlight w:val="none"/>
        </w:rPr>
        <w:t xml:space="preserve">一、评标方法：</w:t>
      </w:r>
      <w:r>
        <w:rPr>
          <w:rFonts w:hint="eastAsia" w:ascii="宋体" w:hAnsi="宋体" w:cs="宋体"/>
          <w:bCs/>
          <w:color w:val="000000"/>
          <w:highlight w:val="none"/>
        </w:rPr>
        <w:t xml:space="preserve">本项目评标方法采用综合评分法，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cs="宋体"/>
          <w:bCs/>
          <w:color w:val="000000"/>
          <w:highlight w:val="none"/>
        </w:rPr>
      </w:r>
      <w:r/>
    </w:p>
    <w:p>
      <w:pPr>
        <w:pStyle w:val="975"/>
        <w:ind w:firstLine="422"/>
        <w:spacing w:line="360" w:lineRule="auto"/>
        <w:tabs>
          <w:tab w:val="right" w:pos="8953" w:leader="none"/>
        </w:tabs>
        <w:rPr>
          <w:rFonts w:hAnsi="宋体" w:cs="宋体"/>
          <w:b/>
          <w:color w:val="000000"/>
          <w:highlight w:val="none"/>
        </w:rPr>
        <w:outlineLvl w:val="1"/>
      </w:pPr>
      <w:r>
        <w:rPr>
          <w:rFonts w:hint="eastAsia" w:hAnsi="宋体" w:cs="宋体"/>
          <w:b/>
          <w:color w:val="000000"/>
          <w:highlight w:val="none"/>
        </w:rPr>
        <w:t xml:space="preserve">二、评标标准：</w:t>
      </w:r>
      <w:r>
        <w:rPr>
          <w:rFonts w:hAnsi="宋体" w:cs="宋体"/>
          <w:b/>
          <w:color w:val="000000"/>
          <w:highlight w:val="none"/>
        </w:rPr>
      </w:r>
      <w:r/>
    </w:p>
    <w:tbl>
      <w:tblPr>
        <w:tblW w:w="0" w:type="auto"/>
        <w:tblInd w:w="-17" w:type="dxa"/>
        <w:tblLayout w:type="autofit"/>
        <w:tblCellMar>
          <w:left w:w="108" w:type="dxa"/>
          <w:top w:w="0" w:type="dxa"/>
          <w:right w:w="108" w:type="dxa"/>
          <w:bottom w:w="0" w:type="dxa"/>
        </w:tblCellMar>
        <w:tblLook w:val="04A0" w:firstRow="1" w:lastRow="0" w:firstColumn="1" w:lastColumn="0" w:noHBand="0" w:noVBand="1"/>
      </w:tblPr>
      <w:tblGrid>
        <w:gridCol w:w="474"/>
        <w:gridCol w:w="848"/>
        <w:gridCol w:w="7887"/>
        <w:gridCol w:w="555"/>
      </w:tblGrid>
      <w:tr>
        <w:trPr/>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933"/>
              <w:jc w:val="center"/>
              <w:widowControl/>
              <w:rPr>
                <w:rFonts w:ascii="宋体" w:hAnsi="宋体" w:cs="宋体"/>
                <w:b/>
                <w:bCs/>
                <w:color w:val="000000"/>
                <w:highlight w:val="none"/>
              </w:rPr>
            </w:pPr>
            <w:r>
              <w:rPr>
                <w:rFonts w:hint="eastAsia" w:ascii="宋体" w:hAnsi="宋体" w:cs="宋体"/>
                <w:b/>
                <w:bCs/>
                <w:color w:val="000000"/>
                <w:highlight w:val="none"/>
                <w:lang w:bidi="ar"/>
              </w:rPr>
              <w:t xml:space="preserve">序号</w:t>
            </w:r>
            <w:r>
              <w:rPr>
                <w:rFonts w:ascii="宋体" w:hAnsi="宋体" w:cs="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933"/>
              <w:jc w:val="center"/>
              <w:widowControl/>
              <w:rPr>
                <w:rFonts w:ascii="宋体" w:hAnsi="宋体" w:cs="宋体"/>
                <w:b/>
                <w:bCs/>
                <w:color w:val="000000"/>
                <w:highlight w:val="none"/>
              </w:rPr>
            </w:pPr>
            <w:r>
              <w:rPr>
                <w:rFonts w:hint="eastAsia" w:ascii="宋体" w:hAnsi="宋体" w:cs="宋体"/>
                <w:b/>
                <w:bCs/>
                <w:color w:val="000000"/>
                <w:highlight w:val="none"/>
                <w:lang w:bidi="ar"/>
              </w:rPr>
              <w:t xml:space="preserve">评分因素</w:t>
            </w:r>
            <w:r>
              <w:rPr>
                <w:rFonts w:ascii="宋体" w:hAnsi="宋体" w:cs="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933"/>
              <w:jc w:val="center"/>
              <w:widowControl/>
              <w:rPr>
                <w:rFonts w:ascii="宋体" w:hAnsi="宋体" w:cs="宋体"/>
                <w:b/>
                <w:bCs/>
                <w:color w:val="000000"/>
                <w:highlight w:val="none"/>
              </w:rPr>
            </w:pPr>
            <w:r>
              <w:rPr>
                <w:rFonts w:hint="eastAsia" w:ascii="宋体" w:hAnsi="宋体" w:cs="宋体"/>
                <w:b/>
                <w:bCs/>
                <w:color w:val="000000"/>
                <w:highlight w:val="none"/>
                <w:lang w:bidi="ar"/>
              </w:rPr>
              <w:t xml:space="preserve">评分明细</w:t>
            </w:r>
            <w:r>
              <w:rPr>
                <w:rFonts w:ascii="宋体" w:hAnsi="宋体" w:cs="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33"/>
              <w:jc w:val="center"/>
              <w:widowControl/>
              <w:rPr>
                <w:rFonts w:ascii="宋体" w:hAnsi="宋体" w:cs="宋体"/>
                <w:b/>
                <w:bCs/>
                <w:color w:val="000000"/>
                <w:highlight w:val="none"/>
              </w:rPr>
            </w:pPr>
            <w:r>
              <w:rPr>
                <w:rFonts w:hint="eastAsia" w:ascii="宋体" w:hAnsi="宋体" w:cs="宋体"/>
                <w:b/>
                <w:bCs/>
                <w:color w:val="000000"/>
                <w:highlight w:val="none"/>
                <w:lang w:bidi="ar"/>
              </w:rPr>
              <w:t xml:space="preserve">分值</w:t>
            </w:r>
            <w:r>
              <w:rPr>
                <w:rFonts w:ascii="宋体" w:hAnsi="宋体" w:cs="宋体"/>
                <w:b/>
                <w:bCs/>
                <w:color w:val="000000"/>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74" w:type="dxa"/>
            <w:vAlign w:val="center"/>
            <w:vMerge w:val="restart"/>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848" w:type="dxa"/>
            <w:vAlign w:val="center"/>
            <w:vMerge w:val="restart"/>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价格</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933"/>
              <w:widowControl/>
              <w:rPr>
                <w:rFonts w:ascii="宋体" w:hAnsi="宋体" w:cs="宋体"/>
                <w:color w:val="000000"/>
                <w:highlight w:val="none"/>
                <w:lang w:bidi="ar"/>
              </w:rPr>
            </w:pPr>
            <w:r>
              <w:rPr>
                <w:rFonts w:hint="eastAsia" w:ascii="宋体" w:hAnsi="宋体" w:cs="宋体"/>
                <w:color w:val="000000"/>
                <w:highlight w:val="none"/>
                <w:lang w:bidi="ar"/>
              </w:rPr>
              <w:t xml:space="preserve">采用低价优先法计算，即满足招标文件要求且投标价格最低的报价为评审基准价，其价格分为满分。</w:t>
            </w:r>
            <w:r>
              <w:rPr>
                <w:rFonts w:ascii="宋体" w:hAnsi="宋体" w:cs="宋体"/>
                <w:color w:val="000000"/>
                <w:highlight w:val="none"/>
                <w:lang w:bidi="ar"/>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其他投标供应商的价格分统一按照下列公式计算：报价得分=（评审基准价/投标报价）×30。（小数点后保留两位）</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30</w:t>
            </w:r>
            <w:r>
              <w:rPr>
                <w:rFonts w:ascii="宋体" w:hAnsi="宋体" w:cs="宋体"/>
                <w:color w:val="000000"/>
                <w:highlight w:val="none"/>
              </w:rPr>
            </w:r>
            <w:r/>
          </w:p>
        </w:tc>
      </w:tr>
      <w:tr>
        <w:trPr>
          <w:trHeight w:val="926"/>
        </w:trPr>
        <w:tc>
          <w:tcPr>
            <w:tcBorders>
              <w:top w:val="single" w:color="000000" w:sz="4" w:space="0"/>
              <w:left w:val="single" w:color="000000" w:sz="4" w:space="0"/>
              <w:bottom w:val="single" w:color="000000" w:sz="4" w:space="0"/>
              <w:right w:val="single" w:color="000000" w:sz="4" w:space="0"/>
            </w:tcBorders>
            <w:tcW w:w="474" w:type="dxa"/>
            <w:vAlign w:val="center"/>
            <w:vMerge w:val="restart"/>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848" w:type="dxa"/>
            <w:vAlign w:val="center"/>
            <w:vMerge w:val="restart"/>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技术指标响应情况</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933"/>
              <w:widowControl/>
              <w:rPr>
                <w:rFonts w:ascii="宋体" w:hAnsi="宋体" w:cs="宋体"/>
                <w:color w:val="000000"/>
                <w:highlight w:val="none"/>
                <w:lang w:bidi="ar"/>
              </w:rPr>
            </w:pPr>
            <w:r>
              <w:rPr>
                <w:rFonts w:hint="eastAsia" w:ascii="宋体" w:hAnsi="宋体" w:cs="宋体"/>
                <w:color w:val="000000"/>
                <w:highlight w:val="none"/>
                <w:lang w:bidi="ar"/>
              </w:rPr>
              <w:t xml:space="preserve">根据招标文件《第四章采购需求》的“技术指标明细”，对投标人所投产品技术指标满足程度进行评审：</w:t>
            </w:r>
            <w:r>
              <w:rPr>
                <w:rFonts w:ascii="宋体" w:hAnsi="宋体" w:cs="宋体"/>
                <w:color w:val="000000"/>
                <w:highlight w:val="none"/>
                <w:lang w:bidi="ar"/>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完全满足招标文件“技术指标明细”要求的得35分；在此基础上，招标文件中标注“★”的内容为实质性要求，有一项不符合的，作无效投标处理；标注“▲”负偏离的，则每项扣</w:t>
            </w:r>
            <w:r>
              <w:rPr>
                <w:rFonts w:hint="eastAsia" w:ascii="宋体" w:hAnsi="宋体" w:cs="宋体"/>
                <w:color w:val="000000"/>
                <w:highlight w:val="none"/>
                <w:lang w:val="en-US" w:eastAsia="zh-CN" w:bidi="ar"/>
              </w:rPr>
              <w:t xml:space="preserve">2</w:t>
            </w:r>
            <w:r>
              <w:rPr>
                <w:rFonts w:hint="eastAsia" w:ascii="宋体" w:hAnsi="宋体" w:cs="宋体"/>
                <w:color w:val="000000"/>
                <w:highlight w:val="none"/>
                <w:lang w:bidi="ar"/>
              </w:rPr>
              <w:t xml:space="preserve">分；其他非重要参数和商务条款负偏离的，则每项扣0.0</w:t>
            </w:r>
            <w:r>
              <w:rPr>
                <w:rFonts w:hint="eastAsia" w:ascii="宋体" w:hAnsi="宋体" w:cs="宋体"/>
                <w:color w:val="000000"/>
                <w:highlight w:val="none"/>
                <w:lang w:val="en-US" w:eastAsia="zh-CN" w:bidi="ar"/>
              </w:rPr>
              <w:t xml:space="preserve">5</w:t>
            </w:r>
            <w:r>
              <w:rPr>
                <w:rFonts w:hint="eastAsia" w:ascii="宋体" w:hAnsi="宋体" w:cs="宋体"/>
                <w:color w:val="000000"/>
                <w:highlight w:val="none"/>
                <w:lang w:bidi="ar"/>
              </w:rPr>
              <w:t xml:space="preserve">分，扣完为止。正偏离不加分，缺项漏项视为负偏离。</w:t>
            </w:r>
            <w:r>
              <w:rPr>
                <w:rFonts w:ascii="宋体" w:hAnsi="宋体" w:cs="宋体"/>
                <w:color w:val="000000"/>
                <w:highlight w:val="none"/>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投标人须提供《技术条款偏离表》针对“技术指标明细”的内容逐条响应，并说明所投产品的技术指标性能。如招标文件中要求提供支撑材料的，必须按要求提供支撑材料佐证，否则视为负偏离。</w:t>
            </w:r>
            <w:r>
              <w:rPr>
                <w:rFonts w:ascii="宋体" w:hAnsi="宋体" w:cs="宋体"/>
                <w:color w:val="000000"/>
                <w:highlight w:val="none"/>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注：为方便评审，可详细标明证明材料在投标文件中页码和位置；证明材料内的技术参数可用箭头、标红或下划线等进行明显标注。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35</w:t>
            </w:r>
            <w:r>
              <w:rPr>
                <w:rFonts w:ascii="宋体" w:hAnsi="宋体" w:cs="宋体"/>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W w:w="474" w:type="dxa"/>
            <w:vAlign w:val="center"/>
            <w:vMerge w:val="restart"/>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3</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848" w:type="dxa"/>
            <w:vAlign w:val="center"/>
            <w:vMerge w:val="restart"/>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产品功能视频演示</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投标人须对所投产品“‘吊装电源控制柜’与‘吊装电源控制系统’联合演示”、“‘制作地球仪套装/绘制地球内部结构套装’的‘万有引力仿真实验软件’”功能进行演示，由投标人自行准备相关演示环境，</w:t>
            </w:r>
            <w:r>
              <w:rPr>
                <w:rFonts w:hint="eastAsia" w:ascii="宋体" w:hAnsi="宋体" w:cs="宋体"/>
                <w:b/>
                <w:bCs/>
                <w:color w:val="000000"/>
                <w:highlight w:val="none"/>
                <w:lang w:bidi="ar"/>
              </w:rPr>
              <w:t xml:space="preserve">演示视频按苏采云平台要求上传，演示时长不超过15分钟。单个视频压缩包大小不得超过50M，整体视频压缩包大小不得超过300M，视频压缩包格式为zip格式。</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33"/>
              <w:jc w:val="center"/>
              <w:widowControl/>
              <w:rPr>
                <w:rFonts w:ascii="宋体" w:hAnsi="宋体" w:cs="宋体"/>
                <w:color w:val="000000"/>
                <w:highlight w:val="none"/>
              </w:rPr>
            </w:pPr>
            <w:r>
              <w:rPr>
                <w:rFonts w:ascii="宋体" w:hAnsi="宋体" w:cs="宋体"/>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W w:w="474" w:type="dxa"/>
            <w:vAlign w:val="center"/>
            <w:vMerge w:val="continue"/>
            <w:textDirection w:val="lrTb"/>
            <w:noWrap w:val="false"/>
          </w:tcPr>
          <w:p>
            <w:pPr>
              <w:pStyle w:val="933"/>
              <w:jc w:val="center"/>
              <w:widowControl/>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val="false"/>
          </w:tcPr>
          <w:p>
            <w:pPr>
              <w:pStyle w:val="933"/>
              <w:jc w:val="center"/>
              <w:widowControl/>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933"/>
              <w:widowControl/>
              <w:rPr>
                <w:rFonts w:ascii="宋体" w:hAnsi="宋体" w:cs="宋体"/>
                <w:color w:val="000000"/>
                <w:highlight w:val="none"/>
                <w:lang w:bidi="ar"/>
              </w:rPr>
            </w:pPr>
            <w:r>
              <w:rPr>
                <w:rFonts w:hint="eastAsia" w:ascii="宋体" w:hAnsi="宋体" w:cs="宋体"/>
                <w:color w:val="000000"/>
                <w:highlight w:val="none"/>
                <w:lang w:bidi="ar"/>
              </w:rPr>
              <w:t xml:space="preserve">“智能吊装电源系统”演示以下功能：</w:t>
            </w:r>
            <w:r>
              <w:rPr>
                <w:rFonts w:ascii="宋体" w:hAnsi="宋体" w:cs="宋体"/>
                <w:color w:val="000000"/>
                <w:highlight w:val="none"/>
                <w:lang w:bidi="ar"/>
              </w:rPr>
            </w:r>
            <w:r/>
          </w:p>
          <w:p>
            <w:pPr>
              <w:pStyle w:val="933"/>
              <w:widowControl/>
              <w:rPr>
                <w:rFonts w:ascii="宋体" w:hAnsi="宋体" w:cs="宋体"/>
                <w:color w:val="000000"/>
                <w:highlight w:val="none"/>
                <w:lang w:bidi="ar"/>
              </w:rPr>
            </w:pPr>
            <w:r>
              <w:rPr>
                <w:rFonts w:hint="eastAsia" w:ascii="宋体" w:hAnsi="宋体" w:cs="宋体"/>
                <w:color w:val="000000"/>
                <w:highlight w:val="none"/>
                <w:lang w:bidi="ar"/>
              </w:rPr>
              <w:t xml:space="preserve">1、演示可通过手机APP远程控制整套设备的电源通断。通电后，轻触智能控制柜的指纹按钮即可自动登录系统。（演示成功得1分，不满足或者不演示的得0分）</w:t>
            </w:r>
            <w:r>
              <w:rPr>
                <w:rFonts w:ascii="宋体" w:hAnsi="宋体" w:cs="宋体"/>
                <w:color w:val="000000"/>
                <w:highlight w:val="none"/>
                <w:lang w:bidi="ar"/>
              </w:rPr>
            </w:r>
            <w:r/>
          </w:p>
          <w:p>
            <w:pPr>
              <w:pStyle w:val="933"/>
              <w:widowControl/>
              <w:rPr>
                <w:rFonts w:ascii="宋体" w:hAnsi="宋体" w:cs="宋体"/>
                <w:color w:val="000000"/>
                <w:highlight w:val="none"/>
                <w:lang w:bidi="ar"/>
              </w:rPr>
            </w:pPr>
            <w:r>
              <w:rPr>
                <w:rFonts w:hint="eastAsia" w:ascii="宋体" w:hAnsi="宋体" w:cs="宋体"/>
                <w:color w:val="000000"/>
                <w:highlight w:val="none"/>
                <w:lang w:bidi="ar"/>
              </w:rPr>
              <w:t xml:space="preserve">2、演示通过智能控制柜的总控屏幕点击“下降”，学生端自动下降。继续点击屏幕“开”，学生端电源保护罩-学生端模块集成装置自动开启，露出内部插座。（演示成功得1分，不满足或者不演示的得0分）</w:t>
            </w:r>
            <w:r>
              <w:rPr>
                <w:rFonts w:ascii="宋体" w:hAnsi="宋体" w:cs="宋体"/>
                <w:color w:val="000000"/>
                <w:highlight w:val="none"/>
                <w:lang w:bidi="ar"/>
              </w:rPr>
            </w:r>
            <w:r/>
          </w:p>
          <w:p>
            <w:pPr>
              <w:pStyle w:val="933"/>
              <w:widowControl/>
              <w:rPr>
                <w:rFonts w:ascii="宋体" w:hAnsi="宋体" w:cs="宋体"/>
                <w:color w:val="000000"/>
                <w:highlight w:val="none"/>
                <w:lang w:bidi="ar"/>
              </w:rPr>
            </w:pPr>
            <w:r>
              <w:rPr>
                <w:rFonts w:hint="eastAsia" w:ascii="宋体" w:hAnsi="宋体" w:cs="宋体"/>
                <w:color w:val="000000"/>
                <w:highlight w:val="none"/>
                <w:lang w:bidi="ar"/>
              </w:rPr>
              <w:t xml:space="preserve">3、演示当智能吊装电源控制系统的能源供应模块连接有插头时，点击智能控制柜的总控屏幕点击“上升”指令无效。拔出插头并关闭保护盖后，可正常执行上升操作。（演示成功得1分，不满足或者不演示的得0分）</w:t>
            </w:r>
            <w:r>
              <w:rPr>
                <w:rFonts w:ascii="宋体" w:hAnsi="宋体" w:cs="宋体"/>
                <w:color w:val="000000"/>
                <w:highlight w:val="none"/>
                <w:lang w:bidi="ar"/>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4、演示当智能控制柜的总控选择“初级中学”时，学生端电压上限值变为12V。智能控制柜的总控选择“高级中学”时，学生端电压上限值变为30V。（演示成功得1分，不满足或者不演示的得0分）</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4</w:t>
            </w:r>
            <w:r>
              <w:rPr>
                <w:rFonts w:ascii="宋体" w:hAnsi="宋体" w:cs="宋体"/>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W w:w="474" w:type="dxa"/>
            <w:vAlign w:val="center"/>
            <w:vMerge w:val="continue"/>
            <w:textDirection w:val="lrTb"/>
            <w:noWrap w:val="false"/>
          </w:tcPr>
          <w:p>
            <w:pPr>
              <w:pStyle w:val="933"/>
              <w:jc w:val="center"/>
              <w:widowControl/>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val="false"/>
          </w:tcPr>
          <w:p>
            <w:pPr>
              <w:pStyle w:val="933"/>
              <w:jc w:val="center"/>
              <w:widowControl/>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933"/>
              <w:widowControl/>
              <w:rPr>
                <w:rFonts w:ascii="宋体" w:hAnsi="宋体" w:cs="宋体"/>
                <w:color w:val="000000"/>
                <w:highlight w:val="none"/>
                <w:lang w:bidi="ar"/>
              </w:rPr>
            </w:pPr>
            <w:r>
              <w:rPr>
                <w:rFonts w:hint="eastAsia" w:ascii="宋体" w:hAnsi="宋体" w:cs="宋体"/>
                <w:color w:val="000000"/>
                <w:highlight w:val="none"/>
                <w:lang w:bidi="ar"/>
              </w:rPr>
              <w:t xml:space="preserve">“制作地球仪套装/绘制地球内部结构套装”的“万有引力仿真实验软件”演示以下功能：</w:t>
            </w:r>
            <w:r>
              <w:rPr>
                <w:rFonts w:ascii="宋体" w:hAnsi="宋体" w:cs="宋体"/>
                <w:color w:val="000000"/>
                <w:highlight w:val="none"/>
                <w:lang w:bidi="ar"/>
              </w:rPr>
            </w:r>
            <w:r/>
          </w:p>
          <w:p>
            <w:pPr>
              <w:pStyle w:val="933"/>
              <w:widowControl/>
              <w:rPr>
                <w:rFonts w:ascii="宋体" w:hAnsi="宋体" w:cs="宋体"/>
                <w:color w:val="000000"/>
                <w:highlight w:val="none"/>
                <w:lang w:bidi="ar"/>
              </w:rPr>
            </w:pPr>
            <w:r>
              <w:rPr>
                <w:rFonts w:hint="eastAsia" w:ascii="宋体" w:hAnsi="宋体" w:cs="宋体"/>
                <w:color w:val="000000"/>
                <w:highlight w:val="none"/>
                <w:lang w:bidi="ar"/>
              </w:rPr>
              <w:t xml:space="preserve">1、可以通过拖拽卫星靠近地球，可查看当前框中显示的万有引力大小，调节参数栏的卫星轨道参数查看不同高度下的卫星受到引力如何变化。（演示成功得1分，不满足或者不演示的得0分）</w:t>
            </w:r>
            <w:r>
              <w:rPr>
                <w:rFonts w:ascii="宋体" w:hAnsi="宋体" w:cs="宋体"/>
                <w:color w:val="000000"/>
                <w:highlight w:val="none"/>
                <w:lang w:bidi="ar"/>
              </w:rPr>
            </w:r>
            <w:r/>
          </w:p>
          <w:p>
            <w:pPr>
              <w:pStyle w:val="933"/>
              <w:widowControl/>
              <w:rPr>
                <w:rFonts w:ascii="宋体" w:hAnsi="宋体" w:cs="宋体"/>
                <w:color w:val="000000"/>
                <w:highlight w:val="none"/>
                <w:lang w:bidi="ar"/>
              </w:rPr>
            </w:pPr>
            <w:r>
              <w:rPr>
                <w:rFonts w:hint="eastAsia" w:ascii="宋体" w:hAnsi="宋体" w:cs="宋体"/>
                <w:color w:val="000000"/>
                <w:highlight w:val="none"/>
                <w:lang w:bidi="ar"/>
              </w:rPr>
              <w:t xml:space="preserve">2、可以通过拖拽月球靠近地球，通过改变地月距离与地球质量、半径等参数观察地月的引力变化。（演示成功得1分，不满足或者不演示的得0分）</w:t>
            </w:r>
            <w:r>
              <w:rPr>
                <w:rFonts w:ascii="宋体" w:hAnsi="宋体" w:cs="宋体"/>
                <w:color w:val="000000"/>
                <w:highlight w:val="none"/>
                <w:lang w:bidi="ar"/>
              </w:rPr>
            </w:r>
            <w:r/>
          </w:p>
          <w:p>
            <w:pPr>
              <w:pStyle w:val="933"/>
              <w:widowControl/>
              <w:rPr>
                <w:rFonts w:ascii="宋体" w:hAnsi="宋体" w:cs="宋体"/>
                <w:color w:val="000000"/>
                <w:highlight w:val="none"/>
                <w:lang w:bidi="ar"/>
              </w:rPr>
            </w:pPr>
            <w:r>
              <w:rPr>
                <w:rFonts w:hint="eastAsia" w:ascii="宋体" w:hAnsi="宋体" w:cs="宋体"/>
                <w:color w:val="000000"/>
                <w:highlight w:val="none"/>
                <w:lang w:bidi="ar"/>
              </w:rPr>
              <w:t xml:space="preserve">3、可以利用山峰简图，拖拽人体改变人在山上的不同高度，展示人体受到的不同重力。（演示成功得1分，不满足或者不演示的得0分）</w:t>
            </w:r>
            <w:r>
              <w:rPr>
                <w:rFonts w:ascii="宋体" w:hAnsi="宋体" w:cs="宋体"/>
                <w:color w:val="000000"/>
                <w:highlight w:val="none"/>
                <w:lang w:bidi="ar"/>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4、可以通过调整山的高度、山的斜坡角度、山的密度等参数，展示人体受到的不同重力。（演示成功得1分，不满足或者不演示的得0分）</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4</w:t>
            </w:r>
            <w:r>
              <w:rPr>
                <w:rFonts w:ascii="宋体" w:hAnsi="宋体" w:cs="宋体"/>
                <w:color w:val="000000"/>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74" w:type="dxa"/>
            <w:vAlign w:val="center"/>
            <w:vMerge w:val="restart"/>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3</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848" w:type="dxa"/>
            <w:vAlign w:val="center"/>
            <w:vMerge w:val="restart"/>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整体实施方案</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rPr>
              <w:t xml:space="preserve">评委根据投标人提供的整体项目实施方案，包括供货进度保证措施、质量保证措施、协调配合能力、应急措施等进行评分：</w:t>
            </w:r>
            <w:r>
              <w:rPr>
                <w:rFonts w:ascii="宋体" w:hAnsi="宋体" w:cs="宋体"/>
                <w:color w:val="000000"/>
                <w:highlight w:val="none"/>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1、方案贴合项目需求，完整全面、合理可行、针对性强的得5分；</w:t>
            </w:r>
            <w:r>
              <w:rPr>
                <w:rFonts w:ascii="宋体" w:hAnsi="宋体" w:cs="宋体"/>
                <w:color w:val="000000"/>
                <w:highlight w:val="none"/>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2、方案完整性、合理性、针对性一般的得3分；</w:t>
            </w:r>
            <w:r>
              <w:rPr>
                <w:rFonts w:ascii="宋体" w:hAnsi="宋体" w:cs="宋体"/>
                <w:color w:val="000000"/>
                <w:highlight w:val="none"/>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3、方案仅满足基本要求的得1分；</w:t>
            </w:r>
            <w:r>
              <w:rPr>
                <w:rFonts w:ascii="宋体" w:hAnsi="宋体" w:cs="宋体"/>
                <w:color w:val="000000"/>
                <w:highlight w:val="none"/>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4、不符合要求或未提供不得分。</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5</w:t>
            </w:r>
            <w:r>
              <w:rPr>
                <w:rFonts w:ascii="宋体" w:hAnsi="宋体" w:cs="宋体"/>
                <w:color w:val="000000"/>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74" w:type="dxa"/>
            <w:vAlign w:val="center"/>
            <w:vMerge w:val="restart"/>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4</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848" w:type="dxa"/>
            <w:vAlign w:val="center"/>
            <w:vMerge w:val="restart"/>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进度计划及保证措施</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933"/>
              <w:widowControl/>
              <w:rPr>
                <w:rFonts w:ascii="宋体" w:hAnsi="宋体" w:cs="宋体"/>
                <w:color w:val="000000"/>
                <w:highlight w:val="none"/>
                <w:lang w:bidi="ar"/>
              </w:rPr>
            </w:pPr>
            <w:r>
              <w:rPr>
                <w:rFonts w:hint="eastAsia" w:ascii="宋体" w:hAnsi="宋体" w:cs="宋体"/>
                <w:color w:val="000000"/>
                <w:highlight w:val="none"/>
                <w:lang w:bidi="ar"/>
              </w:rPr>
              <w:t xml:space="preserve">投标人应根据本项目情况，提供供货、安装进度计划及保证措施方案，评委对投标人的安装进度计划及保证措施进行评价。</w:t>
            </w:r>
            <w:r>
              <w:rPr>
                <w:rFonts w:ascii="宋体" w:hAnsi="宋体" w:cs="宋体"/>
                <w:color w:val="000000"/>
                <w:highlight w:val="none"/>
                <w:lang w:bidi="ar"/>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1、计划及措施完整全面、描述详细、科学可行、针对性强的得5分；</w:t>
            </w:r>
            <w:r>
              <w:rPr>
                <w:rFonts w:ascii="宋体" w:hAnsi="宋体" w:cs="宋体"/>
                <w:color w:val="000000"/>
                <w:highlight w:val="none"/>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2、计划及措施完整性一般、描述一般、可行性一般、针对性一般的得3分；</w:t>
            </w:r>
            <w:r>
              <w:rPr>
                <w:rFonts w:ascii="宋体" w:hAnsi="宋体" w:cs="宋体"/>
                <w:color w:val="000000"/>
                <w:highlight w:val="none"/>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3、安装进度计划及保证措施仅能满足项目基本要求的得1分；</w:t>
            </w:r>
            <w:r>
              <w:rPr>
                <w:rFonts w:ascii="宋体" w:hAnsi="宋体" w:cs="宋体"/>
                <w:color w:val="000000"/>
                <w:highlight w:val="none"/>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4、不符合要求或未提供不得分。</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5</w:t>
            </w:r>
            <w:r>
              <w:rPr>
                <w:rFonts w:ascii="宋体" w:hAnsi="宋体" w:cs="宋体"/>
                <w:color w:val="000000"/>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74" w:type="dxa"/>
            <w:vAlign w:val="center"/>
            <w:vMerge w:val="restart"/>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5</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848" w:type="dxa"/>
            <w:vAlign w:val="center"/>
            <w:vMerge w:val="restart"/>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突发情况应急处理措施</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933"/>
              <w:widowControl/>
              <w:rPr>
                <w:rFonts w:ascii="宋体" w:hAnsi="宋体" w:cs="宋体"/>
                <w:color w:val="000000"/>
                <w:highlight w:val="none"/>
                <w:lang w:bidi="ar"/>
              </w:rPr>
            </w:pPr>
            <w:r>
              <w:rPr>
                <w:rFonts w:hint="eastAsia" w:ascii="宋体" w:hAnsi="宋体" w:cs="宋体"/>
                <w:color w:val="000000"/>
                <w:highlight w:val="none"/>
                <w:lang w:bidi="ar"/>
              </w:rPr>
              <w:t xml:space="preserve">投标人应根据本项目情况，提供的突发情况应急处理方案，评委对投标人的突发情况应急处理措施进行评价。</w:t>
            </w:r>
            <w:r>
              <w:rPr>
                <w:rFonts w:ascii="宋体" w:hAnsi="宋体" w:cs="宋体"/>
                <w:color w:val="000000"/>
                <w:highlight w:val="none"/>
                <w:lang w:bidi="ar"/>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1、措施详细、考虑周全、对突发事件能迅速应对并能及时解决的得5分；</w:t>
            </w:r>
            <w:r>
              <w:rPr>
                <w:rFonts w:ascii="宋体" w:hAnsi="宋体" w:cs="宋体"/>
                <w:color w:val="000000"/>
                <w:highlight w:val="none"/>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2、措施详细程度一般、对突发事件应对速度及解决时效性一般的得3分；</w:t>
            </w:r>
            <w:r>
              <w:rPr>
                <w:rFonts w:ascii="宋体" w:hAnsi="宋体" w:cs="宋体"/>
                <w:color w:val="000000"/>
                <w:highlight w:val="none"/>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3、突发情况应急处理措施仅能满足项目基本要求的得1分；</w:t>
            </w:r>
            <w:r>
              <w:rPr>
                <w:rFonts w:ascii="宋体" w:hAnsi="宋体" w:cs="宋体"/>
                <w:color w:val="000000"/>
                <w:highlight w:val="none"/>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4、不符合要求或未提供不得分。</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5</w:t>
            </w:r>
            <w:r>
              <w:rPr>
                <w:rFonts w:ascii="宋体" w:hAnsi="宋体" w:cs="宋体"/>
                <w:color w:val="000000"/>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74" w:type="dxa"/>
            <w:vAlign w:val="center"/>
            <w:vMerge w:val="restart"/>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6</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848" w:type="dxa"/>
            <w:vAlign w:val="center"/>
            <w:vMerge w:val="restart"/>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产品质保售后服务方案</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933"/>
              <w:widowControl/>
              <w:rPr>
                <w:rFonts w:ascii="宋体" w:hAnsi="宋体" w:cs="宋体"/>
                <w:color w:val="000000"/>
                <w:highlight w:val="none"/>
                <w:lang w:bidi="ar"/>
              </w:rPr>
            </w:pPr>
            <w:r>
              <w:rPr>
                <w:rFonts w:hint="eastAsia" w:ascii="宋体" w:hAnsi="宋体" w:cs="宋体"/>
                <w:color w:val="000000"/>
                <w:highlight w:val="none"/>
                <w:lang w:bidi="ar"/>
              </w:rPr>
              <w:t xml:space="preserve">投标人针对本项目需求提供完整的产品质保售后服务方案（包括响应时间、人员配置、保障措施方案等方面），评委根据产品质保售后服务方案进行评价。</w:t>
            </w:r>
            <w:r>
              <w:rPr>
                <w:rFonts w:ascii="宋体" w:hAnsi="宋体" w:cs="宋体"/>
                <w:color w:val="000000"/>
                <w:highlight w:val="none"/>
                <w:lang w:bidi="ar"/>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1、产品质保售后服务完整全面、考虑周到、合理可行、优于招标文件要求的得5分；</w:t>
            </w:r>
            <w:r>
              <w:rPr>
                <w:rFonts w:ascii="宋体" w:hAnsi="宋体" w:cs="宋体"/>
                <w:color w:val="000000"/>
                <w:highlight w:val="none"/>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2、产品质保售后服务方案完整性一般、合理性一般、满足招标文件要求的得3分；</w:t>
            </w:r>
            <w:r>
              <w:rPr>
                <w:rFonts w:ascii="宋体" w:hAnsi="宋体" w:cs="宋体"/>
                <w:color w:val="000000"/>
                <w:highlight w:val="none"/>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3、产品质保售后服务方案仅能满足项目基本要求的得1分；</w:t>
            </w:r>
            <w:r>
              <w:rPr>
                <w:rFonts w:ascii="宋体" w:hAnsi="宋体" w:cs="宋体"/>
                <w:color w:val="000000"/>
                <w:highlight w:val="none"/>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4、不符合要求或未提供不得分。</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5</w:t>
            </w:r>
            <w:r>
              <w:rPr>
                <w:rFonts w:ascii="宋体" w:hAnsi="宋体" w:cs="宋体"/>
                <w:color w:val="000000"/>
                <w:highlight w:val="none"/>
              </w:rPr>
            </w:r>
            <w:r/>
          </w:p>
        </w:tc>
      </w:tr>
      <w:tr>
        <w:trPr>
          <w:trHeight w:val="1442"/>
        </w:trPr>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7</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用户培训方案</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933"/>
              <w:widowControl/>
              <w:rPr>
                <w:rFonts w:ascii="宋体" w:hAnsi="宋体" w:cs="宋体"/>
                <w:color w:val="000000"/>
                <w:highlight w:val="none"/>
                <w:lang w:bidi="ar"/>
              </w:rPr>
            </w:pPr>
            <w:r>
              <w:rPr>
                <w:rFonts w:hint="eastAsia" w:ascii="宋体" w:hAnsi="宋体" w:cs="宋体"/>
                <w:color w:val="000000"/>
                <w:highlight w:val="none"/>
                <w:lang w:bidi="ar"/>
              </w:rPr>
              <w:t xml:space="preserve">投标人应根据本项目情况，提供完善的项目培训计划和培训方案（包括人员安排、培训内容（含培训材料）及时间安排等方面），评委根据用户培训方案进行评价。</w:t>
            </w:r>
            <w:r>
              <w:rPr>
                <w:rFonts w:ascii="宋体" w:hAnsi="宋体" w:cs="宋体"/>
                <w:color w:val="000000"/>
                <w:highlight w:val="none"/>
                <w:lang w:bidi="ar"/>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1、培训方案全面，服务响应及时，可操作性强的得5分；</w:t>
            </w:r>
            <w:r>
              <w:rPr>
                <w:rFonts w:ascii="宋体" w:hAnsi="宋体" w:cs="宋体"/>
                <w:color w:val="000000"/>
                <w:highlight w:val="none"/>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2、培训方案可行，服务响应较及时，具有可操作性的得3分；</w:t>
            </w:r>
            <w:r>
              <w:rPr>
                <w:rFonts w:ascii="宋体" w:hAnsi="宋体" w:cs="宋体"/>
                <w:color w:val="000000"/>
                <w:highlight w:val="none"/>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3、培训方案一般，服务响应及时性一般，可操作性一般的得1分；</w:t>
            </w:r>
            <w:r>
              <w:rPr>
                <w:rFonts w:ascii="宋体" w:hAnsi="宋体" w:cs="宋体"/>
                <w:color w:val="000000"/>
                <w:highlight w:val="none"/>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4、不符合要求或未提供不得分。</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5</w:t>
            </w:r>
            <w:r>
              <w:rPr>
                <w:rFonts w:ascii="宋体" w:hAnsi="宋体" w:cs="宋体"/>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8</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业绩</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rPr>
              <w:t xml:space="preserve">投标人具有2023年8月1日以来（以合同签订时间为准）类似项目业绩，每提供1份得1分，本项最高得2分。（须提供加盖投标人公章的合同扫描件，合同须能够体现项目名称、合同标的内容、合同签订时间等关键信息，未提供或提供材料不符合要求的不得分）</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w:t>
            </w:r>
            <w:r>
              <w:rPr>
                <w:rFonts w:ascii="宋体" w:hAnsi="宋体" w:cs="宋体"/>
                <w:color w:val="000000"/>
                <w:highlight w:val="none"/>
              </w:rPr>
            </w:r>
            <w:r/>
          </w:p>
        </w:tc>
      </w:tr>
      <w:tr>
        <w:trPr/>
        <w:tc>
          <w:tcPr>
            <w:gridSpan w:val="3"/>
            <w:tcBorders>
              <w:top w:val="single" w:color="000000" w:sz="4" w:space="0"/>
              <w:left w:val="single" w:color="000000" w:sz="4" w:space="0"/>
              <w:bottom w:val="single" w:color="000000" w:sz="4" w:space="0"/>
              <w:right w:val="single" w:color="000000" w:sz="4" w:space="0"/>
            </w:tcBorders>
            <w:tcW w:w="920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合计</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100</w:t>
            </w:r>
            <w:r>
              <w:rPr>
                <w:rFonts w:ascii="宋体" w:hAnsi="宋体" w:cs="宋体"/>
                <w:color w:val="000000"/>
                <w:highlight w:val="none"/>
              </w:rPr>
            </w:r>
            <w:r/>
          </w:p>
        </w:tc>
      </w:tr>
    </w:tbl>
    <w:p>
      <w:pPr>
        <w:pStyle w:val="975"/>
        <w:spacing w:line="360" w:lineRule="auto"/>
        <w:tabs>
          <w:tab w:val="right" w:pos="8953" w:leader="none"/>
        </w:tabs>
        <w:rPr>
          <w:rFonts w:hint="eastAsia" w:hAnsi="宋体" w:cs="宋体"/>
          <w:color w:val="000000"/>
          <w:highlight w:val="none"/>
        </w:rPr>
      </w:pPr>
      <w:r>
        <w:rPr>
          <w:rFonts w:hint="eastAsia" w:hAnsi="宋体" w:cs="宋体"/>
          <w:b/>
          <w:color w:val="000000"/>
          <w:highlight w:val="none"/>
        </w:rPr>
        <w:t xml:space="preserve">说明：</w:t>
      </w:r>
      <w:r>
        <w:rPr>
          <w:rFonts w:hint="eastAsia" w:hAnsi="宋体" w:cs="宋体"/>
          <w:color w:val="000000"/>
          <w:highlight w:val="none"/>
        </w:rPr>
      </w:r>
      <w:r/>
    </w:p>
    <w:p>
      <w:pPr>
        <w:pStyle w:val="933"/>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一、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rPr>
          <w:rFonts w:hint="eastAsia" w:ascii="宋体" w:hAnsi="宋体" w:cs="宋体"/>
          <w:bCs/>
          <w:color w:val="000000"/>
          <w:szCs w:val="21"/>
          <w:highlight w:val="none"/>
        </w:rPr>
      </w:r>
      <w:r/>
    </w:p>
    <w:p>
      <w:pPr>
        <w:pStyle w:val="933"/>
        <w:ind w:firstLine="420"/>
        <w:jc w:val="left"/>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二、小微企业的价格扣除</w:t>
      </w:r>
      <w:r>
        <w:rPr>
          <w:rFonts w:hint="eastAsia" w:ascii="宋体" w:hAnsi="宋体" w:cs="宋体"/>
          <w:bCs/>
          <w:color w:val="000000"/>
          <w:szCs w:val="21"/>
          <w:highlight w:val="none"/>
        </w:rPr>
      </w:r>
      <w:r/>
    </w:p>
    <w:p>
      <w:pPr>
        <w:pStyle w:val="933"/>
        <w:ind w:firstLine="420"/>
        <w:jc w:val="left"/>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rPr>
          <w:rFonts w:hint="eastAsia" w:ascii="宋体" w:hAnsi="宋体" w:cs="宋体"/>
          <w:bCs/>
          <w:color w:val="000000"/>
          <w:szCs w:val="21"/>
          <w:highlight w:val="none"/>
        </w:rPr>
      </w:r>
      <w:r/>
    </w:p>
    <w:p>
      <w:pPr>
        <w:pStyle w:val="933"/>
        <w:ind w:firstLine="420"/>
        <w:jc w:val="left"/>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2.价格扣除比例或者价格分加分比例对小型企业和微型企业同等对待，不作区分。</w:t>
      </w:r>
      <w:r>
        <w:rPr>
          <w:rFonts w:hint="eastAsia" w:ascii="宋体" w:hAnsi="宋体" w:cs="宋体"/>
          <w:bCs/>
          <w:color w:val="000000"/>
          <w:szCs w:val="21"/>
          <w:highlight w:val="none"/>
        </w:rPr>
      </w:r>
      <w:r/>
    </w:p>
    <w:p>
      <w:pPr>
        <w:pStyle w:val="933"/>
        <w:ind w:firstLine="420"/>
        <w:jc w:val="left"/>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三、监狱和戒毒企业的价格扣除</w:t>
      </w:r>
      <w:r>
        <w:rPr>
          <w:rFonts w:hint="eastAsia" w:ascii="宋体" w:hAnsi="宋体" w:cs="宋体"/>
          <w:bCs/>
          <w:color w:val="000000"/>
          <w:szCs w:val="21"/>
          <w:highlight w:val="none"/>
        </w:rPr>
      </w:r>
      <w:r/>
    </w:p>
    <w:p>
      <w:pPr>
        <w:pStyle w:val="933"/>
        <w:ind w:firstLine="420"/>
        <w:jc w:val="left"/>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1.本项目对监狱和戒毒企业（简称监狱企业）视同小型、微型企业，享受相同的价格扣除优惠政策。</w:t>
      </w:r>
      <w:r>
        <w:rPr>
          <w:rFonts w:hint="eastAsia" w:ascii="宋体" w:hAnsi="宋体" w:cs="宋体"/>
          <w:bCs/>
          <w:color w:val="000000"/>
          <w:szCs w:val="21"/>
          <w:highlight w:val="none"/>
        </w:rPr>
      </w:r>
      <w:r/>
    </w:p>
    <w:p>
      <w:pPr>
        <w:pStyle w:val="933"/>
        <w:ind w:firstLine="420"/>
        <w:jc w:val="left"/>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2.监狱企业需提供由省级以上监狱管理局、戒毒管理局（含新疆生产建设兵团）出具的属于监狱企业的证明文件。</w:t>
      </w:r>
      <w:r>
        <w:rPr>
          <w:rFonts w:hint="eastAsia" w:ascii="宋体" w:hAnsi="宋体" w:cs="宋体"/>
          <w:bCs/>
          <w:color w:val="000000"/>
          <w:szCs w:val="21"/>
          <w:highlight w:val="none"/>
        </w:rPr>
      </w:r>
      <w:r/>
    </w:p>
    <w:p>
      <w:pPr>
        <w:pStyle w:val="933"/>
        <w:ind w:firstLine="420"/>
        <w:jc w:val="left"/>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3.监狱企业标准请参照《关于政府采购支持监狱企业发展有关问题的通知》（财库〔2014〕68号）。</w:t>
      </w:r>
      <w:r>
        <w:rPr>
          <w:rFonts w:hint="eastAsia" w:ascii="宋体" w:hAnsi="宋体" w:cs="宋体"/>
          <w:bCs/>
          <w:color w:val="000000"/>
          <w:szCs w:val="21"/>
          <w:highlight w:val="none"/>
        </w:rPr>
      </w:r>
      <w:r/>
    </w:p>
    <w:p>
      <w:pPr>
        <w:pStyle w:val="933"/>
        <w:ind w:firstLine="420"/>
        <w:jc w:val="left"/>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四、残疾人福利性单位的价格扣除</w:t>
      </w:r>
      <w:r>
        <w:rPr>
          <w:rFonts w:hint="eastAsia" w:ascii="宋体" w:hAnsi="宋体" w:cs="宋体"/>
          <w:bCs/>
          <w:color w:val="000000"/>
          <w:szCs w:val="21"/>
          <w:highlight w:val="none"/>
        </w:rPr>
      </w:r>
      <w:r/>
    </w:p>
    <w:p>
      <w:pPr>
        <w:pStyle w:val="933"/>
        <w:ind w:firstLine="420"/>
        <w:jc w:val="left"/>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1.本项目对残疾人福利性单位视同小型、微型企业，享受相同的价格扣除优惠政策。</w:t>
      </w:r>
      <w:r>
        <w:rPr>
          <w:rFonts w:hint="eastAsia" w:ascii="宋体" w:hAnsi="宋体" w:cs="宋体"/>
          <w:bCs/>
          <w:color w:val="000000"/>
          <w:szCs w:val="21"/>
          <w:highlight w:val="none"/>
        </w:rPr>
      </w:r>
      <w:r/>
    </w:p>
    <w:p>
      <w:pPr>
        <w:pStyle w:val="933"/>
        <w:ind w:firstLine="420"/>
        <w:jc w:val="left"/>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2.残疾人福利性单位需按照招标文件的要求提供《残疾人福利性单位声明函》。</w:t>
      </w:r>
      <w:r>
        <w:rPr>
          <w:rFonts w:hint="eastAsia" w:ascii="宋体" w:hAnsi="宋体" w:cs="宋体"/>
          <w:bCs/>
          <w:color w:val="000000"/>
          <w:szCs w:val="21"/>
          <w:highlight w:val="none"/>
        </w:rPr>
      </w:r>
      <w:r/>
    </w:p>
    <w:p>
      <w:pPr>
        <w:pStyle w:val="933"/>
        <w:ind w:firstLine="420"/>
        <w:jc w:val="left"/>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3.残疾人福利性单位标准请参照《关于促进残疾人就业政府采购政策的通知》（财库〔2017〕141号）。</w:t>
      </w:r>
      <w:r>
        <w:rPr>
          <w:rFonts w:hint="eastAsia" w:ascii="宋体" w:hAnsi="宋体" w:cs="宋体"/>
          <w:bCs/>
          <w:color w:val="000000"/>
          <w:szCs w:val="21"/>
          <w:highlight w:val="none"/>
        </w:rPr>
      </w:r>
      <w:r/>
    </w:p>
    <w:p>
      <w:pPr>
        <w:pStyle w:val="933"/>
        <w:ind w:firstLine="420"/>
        <w:jc w:val="left"/>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五、监狱企业、残疾人福利性单位属于小型、微型企业的，不重复享受政策。</w:t>
      </w:r>
      <w:r>
        <w:rPr>
          <w:rFonts w:hint="eastAsia" w:ascii="宋体" w:hAnsi="宋体" w:cs="宋体"/>
          <w:bCs/>
          <w:color w:val="000000"/>
          <w:szCs w:val="21"/>
          <w:highlight w:val="none"/>
        </w:rPr>
      </w:r>
      <w:r/>
    </w:p>
    <w:p>
      <w:pPr>
        <w:pStyle w:val="933"/>
        <w:ind w:firstLine="420"/>
        <w:jc w:val="left"/>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六、采购本国产品的支持政策</w:t>
      </w:r>
      <w:r>
        <w:rPr>
          <w:rFonts w:hint="eastAsia" w:ascii="宋体" w:hAnsi="宋体" w:cs="宋体"/>
          <w:bCs/>
          <w:color w:val="000000"/>
          <w:szCs w:val="21"/>
          <w:highlight w:val="none"/>
        </w:rPr>
      </w:r>
      <w:r/>
    </w:p>
    <w:p>
      <w:pPr>
        <w:pStyle w:val="933"/>
        <w:ind w:firstLine="420"/>
        <w:jc w:val="left"/>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bCs/>
          <w:color w:val="000000"/>
          <w:szCs w:val="21"/>
          <w:highlight w:val="none"/>
        </w:rPr>
      </w:r>
      <w:r/>
    </w:p>
    <w:p>
      <w:pPr>
        <w:pStyle w:val="933"/>
        <w:ind w:firstLine="420"/>
        <w:jc w:val="left"/>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当采购项目或者采购包中含有多种产品，投标人为该采购项目或者采购包提供的符合本国产品标准的产品成本之和占该供应商提供的全部产品成本之和的比例达到80%以上时（可在“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s="宋体"/>
          <w:bCs/>
          <w:color w:val="000000"/>
          <w:szCs w:val="21"/>
          <w:highlight w:val="none"/>
        </w:rPr>
      </w:r>
      <w:r/>
    </w:p>
    <w:p>
      <w:pPr>
        <w:pStyle w:val="933"/>
        <w:ind w:firstLine="420"/>
        <w:jc w:val="left"/>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③投标人需按照招标文件的要求提供《关于符合本国产品标准的声明函》（以下简称《声明函》），如不提供将不享受本国产品价格评审优惠。</w:t>
      </w:r>
      <w:r>
        <w:rPr>
          <w:rFonts w:hint="eastAsia" w:ascii="宋体" w:hAnsi="宋体" w:cs="宋体"/>
          <w:bCs/>
          <w:color w:val="000000"/>
          <w:szCs w:val="21"/>
          <w:highlight w:val="none"/>
        </w:rPr>
      </w:r>
      <w:r/>
    </w:p>
    <w:p>
      <w:pPr>
        <w:pStyle w:val="933"/>
        <w:ind w:firstLine="420"/>
        <w:jc w:val="left"/>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④投标人需在《声明函》中逐一、准确填写产品名称、厂名、生产厂址三项信息（《声明函》中用删除线划除的地方无需填写），三项信息中任意一项未填写的视为该项产品不符合本国产品标准，不享受本国产品价格评审优惠。</w:t>
      </w:r>
      <w:r>
        <w:rPr>
          <w:rFonts w:hint="eastAsia" w:ascii="宋体" w:hAnsi="宋体" w:cs="宋体"/>
          <w:bCs/>
          <w:color w:val="000000"/>
          <w:szCs w:val="21"/>
          <w:highlight w:val="none"/>
        </w:rPr>
      </w:r>
      <w:r/>
    </w:p>
    <w:p>
      <w:pPr>
        <w:pStyle w:val="933"/>
        <w:ind w:firstLine="420"/>
        <w:jc w:val="left"/>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⑤评标过程中，如发现投标人在《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bCs/>
          <w:color w:val="000000"/>
          <w:szCs w:val="21"/>
          <w:highlight w:val="none"/>
        </w:rPr>
      </w:r>
      <w:r/>
    </w:p>
    <w:p>
      <w:pPr>
        <w:pStyle w:val="933"/>
        <w:ind w:firstLine="420"/>
        <w:jc w:val="left"/>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33"/>
        <w:ind w:firstLine="723"/>
        <w:jc w:val="center"/>
        <w:spacing w:line="360" w:lineRule="auto"/>
        <w:rPr>
          <w:rFonts w:hint="eastAsia" w:ascii="宋体" w:hAnsi="宋体" w:cs="宋体"/>
          <w:b/>
          <w:color w:val="000000"/>
          <w:sz w:val="36"/>
          <w:szCs w:val="36"/>
          <w:highlight w:val="none"/>
        </w:rPr>
        <w:sectPr>
          <w:footerReference w:type="default" r:id="rId12"/>
          <w:footnotePr/>
          <w:endnotePr>
            <w:numFmt w:val="decimal"/>
          </w:endnotePr>
          <w:type w:val="nextPage"/>
          <w:pgSz w:w="11906" w:h="16838" w:orient="portrait"/>
          <w:pgMar w:top="850" w:right="850" w:bottom="850" w:left="1417" w:header="567" w:footer="720" w:gutter="0"/>
          <w:cols w:num="1" w:sep="0" w:space="1701" w:equalWidth="1"/>
          <w:docGrid w:linePitch="360"/>
        </w:sectPr>
        <w:outlineLvl w:val="0"/>
      </w:pPr>
      <w:r>
        <w:rPr>
          <w:rFonts w:hint="eastAsia" w:ascii="宋体" w:hAnsi="宋体" w:cs="宋体"/>
          <w:b/>
          <w:color w:val="000000"/>
          <w:sz w:val="36"/>
          <w:szCs w:val="36"/>
          <w:highlight w:val="none"/>
        </w:rPr>
      </w:r>
      <w:r/>
    </w:p>
    <w:p>
      <w:pPr>
        <w:pStyle w:val="933"/>
        <w:jc w:val="center"/>
        <w:spacing w:line="360" w:lineRule="auto"/>
        <w:rPr>
          <w:rFonts w:hint="eastAsia" w:ascii="宋体" w:hAnsi="宋体" w:cs="宋体"/>
          <w:b/>
          <w:color w:val="000000"/>
          <w:sz w:val="36"/>
          <w:szCs w:val="36"/>
          <w:highlight w:val="none"/>
        </w:rPr>
        <w:outlineLvl w:val="0"/>
      </w:pPr>
      <w:r/>
      <w:bookmarkStart w:id="31" w:name="_Toc513799380"/>
      <w:r>
        <w:rPr>
          <w:rFonts w:hint="eastAsia" w:ascii="宋体" w:hAnsi="宋体" w:cs="宋体"/>
          <w:b/>
          <w:color w:val="000000"/>
          <w:sz w:val="36"/>
          <w:szCs w:val="36"/>
          <w:highlight w:val="none"/>
        </w:rPr>
        <w:t xml:space="preserve">第四章  采购需求</w:t>
      </w:r>
      <w:r>
        <w:rPr>
          <w:rFonts w:hint="eastAsia" w:ascii="宋体" w:hAnsi="宋体" w:cs="宋体"/>
          <w:b/>
          <w:color w:val="000000"/>
          <w:sz w:val="36"/>
          <w:szCs w:val="36"/>
          <w:highlight w:val="none"/>
        </w:rPr>
      </w:r>
      <w:r/>
    </w:p>
    <w:p>
      <w:pPr>
        <w:pStyle w:val="969"/>
        <w:ind w:firstLine="482"/>
        <w:tabs>
          <w:tab w:val="left" w:pos="960" w:leader="none"/>
        </w:tabs>
        <w:rPr>
          <w:rFonts w:ascii="宋体" w:hAnsi="宋体" w:cs="宋体"/>
          <w:b/>
          <w:bCs/>
          <w:color w:val="000000"/>
          <w:highlight w:val="none"/>
        </w:rPr>
      </w:pPr>
      <w:r>
        <w:rPr>
          <w:rFonts w:hint="eastAsia" w:ascii="宋体" w:hAnsi="宋体" w:cs="宋体"/>
          <w:b/>
          <w:bCs/>
          <w:color w:val="000000"/>
          <w:szCs w:val="22"/>
          <w:highlight w:val="none"/>
          <w:lang w:val="zh-CN" w:bidi="zh-CN"/>
        </w:rPr>
        <w:t xml:space="preserve">一、</w:t>
      </w:r>
      <w:r>
        <w:rPr>
          <w:rFonts w:hint="eastAsia" w:ascii="宋体" w:hAnsi="宋体" w:cs="宋体"/>
          <w:b/>
          <w:bCs/>
          <w:color w:val="000000"/>
          <w:highlight w:val="none"/>
        </w:rPr>
        <w:t xml:space="preserve">采购清单</w:t>
      </w:r>
      <w:r>
        <w:rPr>
          <w:rFonts w:ascii="宋体" w:hAnsi="宋体" w:cs="宋体"/>
          <w:b/>
          <w:bCs/>
          <w:color w:val="000000"/>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33"/>
        <w:gridCol w:w="847"/>
        <w:gridCol w:w="886"/>
        <w:gridCol w:w="1967"/>
        <w:gridCol w:w="1814"/>
      </w:tblGrid>
      <w:tr>
        <w:trPr>
          <w:trHeight w:val="312"/>
        </w:trPr>
        <w:tc>
          <w:tcPr>
            <w:shd w:val="clear" w:color="auto" w:fill="ffffff"/>
            <w:tcW w:w="2199" w:type="dxa"/>
            <w:vAlign w:val="center"/>
            <w:vMerge w:val="restart"/>
            <w:textDirection w:val="lrTb"/>
            <w:noWrap w:val="false"/>
          </w:tcPr>
          <w:p>
            <w:pPr>
              <w:pStyle w:val="933"/>
              <w:jc w:val="center"/>
              <w:rPr>
                <w:rFonts w:ascii="宋体" w:hAnsi="宋体" w:cs="宋体"/>
                <w:b/>
                <w:bCs/>
                <w:color w:val="000000"/>
                <w:highlight w:val="none"/>
              </w:rPr>
            </w:pPr>
            <w:r>
              <w:rPr>
                <w:rFonts w:hint="eastAsia" w:ascii="宋体" w:hAnsi="宋体" w:cs="宋体"/>
                <w:b/>
                <w:bCs/>
                <w:color w:val="000000"/>
                <w:highlight w:val="none"/>
              </w:rPr>
              <w:t xml:space="preserve">设备名称</w:t>
            </w:r>
            <w:r>
              <w:rPr>
                <w:rFonts w:ascii="宋体" w:hAnsi="宋体" w:cs="宋体"/>
                <w:b/>
                <w:bCs/>
                <w:color w:val="000000"/>
                <w:highlight w:val="none"/>
              </w:rPr>
            </w:r>
            <w:r/>
          </w:p>
        </w:tc>
        <w:tc>
          <w:tcPr>
            <w:shd w:val="clear" w:color="auto" w:fill="ffffff"/>
            <w:tcW w:w="430" w:type="dxa"/>
            <w:vAlign w:val="center"/>
            <w:vMerge w:val="restart"/>
            <w:textDirection w:val="lrTb"/>
            <w:noWrap w:val="false"/>
          </w:tcPr>
          <w:p>
            <w:pPr>
              <w:pStyle w:val="933"/>
              <w:jc w:val="center"/>
              <w:rPr>
                <w:rFonts w:ascii="宋体" w:hAnsi="宋体" w:cs="宋体"/>
                <w:b/>
                <w:bCs/>
                <w:color w:val="000000"/>
                <w:highlight w:val="none"/>
              </w:rPr>
            </w:pPr>
            <w:r>
              <w:rPr>
                <w:rFonts w:hint="eastAsia" w:ascii="宋体" w:hAnsi="宋体" w:cs="宋体"/>
                <w:b/>
                <w:bCs/>
                <w:color w:val="000000"/>
                <w:highlight w:val="none"/>
              </w:rPr>
              <w:t xml:space="preserve">数量</w:t>
            </w:r>
            <w:r>
              <w:rPr>
                <w:rFonts w:ascii="宋体" w:hAnsi="宋体" w:cs="宋体"/>
                <w:b/>
                <w:bCs/>
                <w:color w:val="000000"/>
                <w:highlight w:val="none"/>
              </w:rPr>
            </w:r>
            <w:r/>
          </w:p>
        </w:tc>
        <w:tc>
          <w:tcPr>
            <w:shd w:val="clear" w:color="auto" w:fill="ffffff"/>
            <w:tcW w:w="450" w:type="dxa"/>
            <w:vAlign w:val="center"/>
            <w:vMerge w:val="restart"/>
            <w:textDirection w:val="lrTb"/>
            <w:noWrap w:val="false"/>
          </w:tcPr>
          <w:p>
            <w:pPr>
              <w:pStyle w:val="933"/>
              <w:jc w:val="center"/>
              <w:rPr>
                <w:rFonts w:ascii="宋体" w:hAnsi="宋体" w:cs="宋体"/>
                <w:b/>
                <w:bCs/>
                <w:color w:val="000000"/>
                <w:highlight w:val="none"/>
              </w:rPr>
            </w:pPr>
            <w:r>
              <w:rPr>
                <w:rFonts w:hint="eastAsia" w:ascii="宋体" w:hAnsi="宋体" w:cs="宋体"/>
                <w:b/>
                <w:bCs/>
                <w:color w:val="000000"/>
                <w:highlight w:val="none"/>
              </w:rPr>
              <w:t xml:space="preserve">单位</w:t>
            </w:r>
            <w:r>
              <w:rPr>
                <w:rFonts w:ascii="宋体" w:hAnsi="宋体" w:cs="宋体"/>
                <w:b/>
                <w:bCs/>
                <w:color w:val="000000"/>
                <w:highlight w:val="none"/>
              </w:rPr>
            </w:r>
            <w:r/>
          </w:p>
        </w:tc>
        <w:tc>
          <w:tcPr>
            <w:shd w:val="clear" w:color="auto" w:fill="ffffff"/>
            <w:tcW w:w="998" w:type="dxa"/>
            <w:vAlign w:val="center"/>
            <w:vMerge w:val="restart"/>
            <w:textDirection w:val="lrTb"/>
            <w:noWrap w:val="false"/>
          </w:tcPr>
          <w:p>
            <w:pPr>
              <w:pStyle w:val="933"/>
              <w:jc w:val="center"/>
              <w:rPr>
                <w:rFonts w:ascii="宋体" w:hAnsi="宋体" w:cs="宋体"/>
                <w:b/>
                <w:bCs/>
                <w:color w:val="000000"/>
                <w:highlight w:val="none"/>
              </w:rPr>
            </w:pPr>
            <w:r>
              <w:rPr>
                <w:rFonts w:hint="eastAsia" w:ascii="宋体" w:hAnsi="宋体" w:cs="宋体"/>
                <w:b/>
                <w:bCs/>
                <w:color w:val="000000"/>
                <w:highlight w:val="none"/>
              </w:rPr>
              <w:t xml:space="preserve">单价最高限价（万元）</w:t>
            </w:r>
            <w:r>
              <w:rPr>
                <w:rFonts w:ascii="宋体" w:hAnsi="宋体" w:cs="宋体"/>
                <w:b/>
                <w:bCs/>
                <w:color w:val="000000"/>
                <w:highlight w:val="none"/>
              </w:rPr>
            </w:r>
            <w:r/>
          </w:p>
        </w:tc>
        <w:tc>
          <w:tcPr>
            <w:shd w:val="clear" w:color="auto" w:fill="ffffff"/>
            <w:tcW w:w="920" w:type="dxa"/>
            <w:vAlign w:val="center"/>
            <w:vMerge w:val="restart"/>
            <w:textDirection w:val="lrTb"/>
            <w:noWrap w:val="false"/>
          </w:tcPr>
          <w:p>
            <w:pPr>
              <w:pStyle w:val="933"/>
              <w:jc w:val="center"/>
              <w:rPr>
                <w:rFonts w:ascii="宋体" w:hAnsi="宋体" w:cs="宋体"/>
                <w:b/>
                <w:bCs/>
                <w:color w:val="000000"/>
                <w:highlight w:val="none"/>
              </w:rPr>
            </w:pPr>
            <w:r>
              <w:rPr>
                <w:rFonts w:hint="eastAsia" w:ascii="宋体" w:hAnsi="宋体" w:cs="宋体"/>
                <w:b/>
                <w:bCs/>
                <w:color w:val="000000"/>
                <w:highlight w:val="none"/>
              </w:rPr>
              <w:t xml:space="preserve">是否接受进口设备投标</w:t>
            </w:r>
            <w:r>
              <w:rPr>
                <w:rFonts w:ascii="宋体" w:hAnsi="宋体" w:cs="宋体"/>
                <w:b/>
                <w:bCs/>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高中学生电源</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台</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0.0145</w:t>
            </w:r>
            <w:r>
              <w:rPr>
                <w:rFonts w:ascii="宋体" w:hAnsi="宋体" w:cs="宋体"/>
                <w:color w:val="000000"/>
                <w:highlight w:val="none"/>
              </w:rPr>
            </w:r>
            <w:r/>
          </w:p>
        </w:tc>
        <w:tc>
          <w:tcPr>
            <w:shd w:val="clear" w:color="auto" w:fill="ffffff"/>
            <w:tcW w:w="920" w:type="dxa"/>
            <w:vAlign w:val="center"/>
            <w:vMerge w:val="restart"/>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否</w:t>
            </w: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高中教学电源</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0.0258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感应圈</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0.033</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游标卡尺</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把</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0.0055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外径千分尺</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把</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0.0055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托盘天平1</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托盘天平2</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电子天平</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0.076</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金属钩码</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0.0017</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金属槽码</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机械秒表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0.027</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电火花计时器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0.0065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电磁打点计时器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0.006</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数字计时器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频闪光源</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0.0085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高中数字演示电表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0.068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直流电流表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0.0028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直流电压表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0.0028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灵敏电流计</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0.0028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多用电表1</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0.006</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多用电表2</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0.006</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演示电流电压表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0.035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微电流放大器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0.007</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电阻箱</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0.0145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湿度计</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0.004</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摩擦计</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0.0015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摩擦力演示器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台</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0.027</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螺旋弹簧组</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0.0015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毛钱管(牛顿管)</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0.009</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轨道小车</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0.01</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平抛运动实验器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0.011</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向心力演示器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向心力实验器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0.006</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动量传递演示器(碰撞球)</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0.047</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凹凸桥演示器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0.0195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碰撞实验器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0.004</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油膜实验器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0.003</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浸润和不浸润现象演示器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0.003</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液体表面张力演示器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0.0019</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箔片验电器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指针验电器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0.016</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验电羽</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0.0017</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金属网罩</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0.013</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电荷间作用力演示器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0.017</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高压发生器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0.0305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静电计</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0.016</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电容器的充电、放电实验器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0.0305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电场中带电粒子运动模拟演示器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0.077</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常用电容器示教板</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0.0055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滑动变阻器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0.003</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电阻定律演示器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0.0044</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电阻定律实验器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0.0014</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演示可调内阻电池</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0.006</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黑箱</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0.0025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常用电阻器示教板</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0.0069</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强条形磁铁</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对</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0.01</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立体磁感线演示器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0.01</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磁感线演示板</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0.006</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电流磁场演示器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0.006</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菱形小磁针</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0.0015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翼形磁针</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0.0012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通电平行直导线相互作用演示器1</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0.041</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演示原副线圈</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0.004</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左右手定则演示器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0.0035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安培力演示器1</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0.013</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电磁驱动原理说明器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台</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0.028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电谐振演示器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台</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0.022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手摇交直流发电机</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0.013</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强磁针</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0.0035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通电平行直导线相互作用演示器2</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0.041</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电流天平</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0.035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安培力演示器2</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0.013</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楞次定律演示器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0.0024</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电磁阻尼演示器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0.018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单匝线圈电机原理演示器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交流电路特性演示器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0.041</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可拆变压器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0.025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日光灯原理演示器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0.023</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涡流跳环实验器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0.07</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凹面镜</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0.0012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凸面镜</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0.0012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三棱镜</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0.0012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光具座</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0.011</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双缝干涉实验仪</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0.023</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牛顿环</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台</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0.003</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光导纤维应用演示器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0.04</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光电效应演示器1</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台</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0.027</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光电效应演示器2</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台</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0.027</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直流高压电源</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0.059</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光的干涉、衍射、偏振演示器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台</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0.046</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X射线演示仪</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台</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0.3</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热敏、光敏特性及简单应用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0.18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电饭锅温控模型</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0.14</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力传感器的应用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0.22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双金属片温控器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0.1</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驻极体话筒演示器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0.057</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金属探测器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0.045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霍尔效应演示仪</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0.1</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奥斯特电流磁效应模型</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0.067</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电磁驱动演示器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0.23</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量杯</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0.0018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可密封长玻璃管</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木板1</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0.0025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木板2</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0.0025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折叠凳</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张</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多功能报告椅</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0.13</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学生电源</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10</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台</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0.0145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迷你数据采集器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28</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0.5</w:t>
            </w:r>
            <w:r>
              <w:rPr>
                <w:rFonts w:hint="eastAsia" w:ascii="宋体" w:hAnsi="宋体" w:cs="宋体"/>
                <w:color w:val="000000"/>
                <w:highlight w:val="none"/>
              </w:rPr>
              <w:t xml:space="preserve">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台阶垫坡道斜坡板</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酸碱pp柜</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组</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0.18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化学药品边台</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组</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0.72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洗瓶机</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台</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9.</w:t>
            </w:r>
            <w:r>
              <w:rPr>
                <w:rFonts w:hint="eastAsia" w:ascii="宋体" w:hAnsi="宋体" w:cs="宋体"/>
                <w:color w:val="000000"/>
                <w:highlight w:val="none"/>
              </w:rPr>
              <w:t xml:space="preserve">7</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超纯水机</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台</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3.8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酶标仪</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台</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2.7</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bookmarkStart w:id="32" w:name="_Hlk236904610"/>
            <w:r>
              <w:rPr>
                <w:rFonts w:hint="eastAsia" w:ascii="宋体" w:hAnsi="宋体" w:cs="宋体"/>
                <w:color w:val="000000"/>
                <w:highlight w:val="none"/>
                <w:lang w:bidi="ar"/>
              </w:rPr>
              <w:t xml:space="preserve">智能吊装电源系统（</w:t>
            </w:r>
            <w:r>
              <w:rPr>
                <w:rFonts w:hint="eastAsia" w:ascii="宋体" w:hAnsi="宋体" w:cs="宋体"/>
                <w:color w:val="000000"/>
                <w:highlight w:val="none"/>
              </w:rPr>
              <w:t xml:space="preserve">吊装电源控制柜</w:t>
            </w:r>
            <w:r>
              <w:rPr>
                <w:rFonts w:hint="eastAsia" w:ascii="宋体" w:hAnsi="宋体" w:cs="宋体"/>
                <w:color w:val="000000"/>
                <w:highlight w:val="none"/>
                <w:lang w:bidi="ar"/>
              </w:rPr>
              <w:t xml:space="preserve">）</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1.2</w:t>
            </w:r>
            <w:r>
              <w:rPr>
                <w:rFonts w:hint="eastAsia" w:ascii="宋体" w:hAnsi="宋体" w:cs="宋体"/>
                <w:color w:val="000000"/>
                <w:highlight w:val="none"/>
              </w:rPr>
              <w:t xml:space="preserve">6</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lang w:bidi="ar"/>
              </w:rPr>
              <w:t xml:space="preserve">智能吊装电源系统（</w:t>
            </w:r>
            <w:r>
              <w:rPr>
                <w:rFonts w:hint="eastAsia" w:ascii="宋体" w:hAnsi="宋体" w:cs="宋体"/>
                <w:color w:val="000000"/>
                <w:highlight w:val="none"/>
              </w:rPr>
              <w:t xml:space="preserve">吊装电源控制系统</w:t>
            </w:r>
            <w:r>
              <w:rPr>
                <w:rFonts w:hint="eastAsia" w:ascii="宋体" w:hAnsi="宋体" w:cs="宋体"/>
                <w:color w:val="000000"/>
                <w:highlight w:val="none"/>
                <w:lang w:bidi="ar"/>
              </w:rPr>
              <w:t xml:space="preserve">）</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台</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0.75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lang w:bidi="ar"/>
              </w:rPr>
              <w:t xml:space="preserve">智能吊装电源系统（</w:t>
            </w:r>
            <w:r>
              <w:rPr>
                <w:rFonts w:hint="eastAsia" w:ascii="宋体" w:hAnsi="宋体" w:cs="宋体"/>
                <w:color w:val="000000"/>
                <w:highlight w:val="none"/>
              </w:rPr>
              <w:t xml:space="preserve">顶部升降机</w:t>
            </w:r>
            <w:r>
              <w:rPr>
                <w:rFonts w:hint="eastAsia" w:ascii="宋体" w:hAnsi="宋体" w:cs="宋体"/>
                <w:color w:val="000000"/>
                <w:highlight w:val="none"/>
                <w:lang w:bidi="ar"/>
              </w:rPr>
              <w:t xml:space="preserve">）</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项</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0.38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lang w:bidi="ar"/>
              </w:rPr>
              <w:t xml:space="preserve">智能吊装电源系统（</w:t>
            </w:r>
            <w:r>
              <w:rPr>
                <w:rFonts w:hint="eastAsia" w:ascii="宋体" w:hAnsi="宋体" w:cs="宋体"/>
                <w:color w:val="000000"/>
                <w:highlight w:val="none"/>
              </w:rPr>
              <w:t xml:space="preserve">圆形柔性补光灯</w:t>
            </w:r>
            <w:r>
              <w:rPr>
                <w:rFonts w:hint="eastAsia" w:ascii="宋体" w:hAnsi="宋体" w:cs="宋体"/>
                <w:color w:val="000000"/>
                <w:highlight w:val="none"/>
                <w:lang w:bidi="ar"/>
              </w:rPr>
              <w:t xml:space="preserve">）</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项</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lang w:bidi="ar"/>
              </w:rPr>
              <w:t xml:space="preserve">智能吊装电源系统（</w:t>
            </w:r>
            <w:r>
              <w:rPr>
                <w:rFonts w:hint="eastAsia" w:ascii="宋体" w:hAnsi="宋体" w:cs="宋体"/>
                <w:color w:val="000000"/>
                <w:highlight w:val="none"/>
              </w:rPr>
              <w:t xml:space="preserve">学生端电源保护罩-学生端模块集成装置</w:t>
            </w:r>
            <w:r>
              <w:rPr>
                <w:rFonts w:hint="eastAsia" w:ascii="宋体" w:hAnsi="宋体" w:cs="宋体"/>
                <w:color w:val="000000"/>
                <w:highlight w:val="none"/>
                <w:lang w:bidi="ar"/>
              </w:rPr>
              <w:t xml:space="preserve">）</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项</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0.038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lang w:bidi="ar"/>
              </w:rPr>
              <w:t xml:space="preserve">智能吊装电源系统（</w:t>
            </w:r>
            <w:r>
              <w:rPr>
                <w:rFonts w:hint="eastAsia" w:ascii="宋体" w:hAnsi="宋体" w:cs="宋体"/>
                <w:color w:val="000000"/>
                <w:highlight w:val="none"/>
              </w:rPr>
              <w:t xml:space="preserve">多功能电源</w:t>
            </w:r>
            <w:r>
              <w:rPr>
                <w:rFonts w:hint="eastAsia" w:ascii="宋体" w:hAnsi="宋体" w:cs="宋体"/>
                <w:color w:val="000000"/>
                <w:highlight w:val="none"/>
                <w:lang w:bidi="ar"/>
              </w:rPr>
              <w:t xml:space="preserve">）</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44</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项</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0.045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lang w:bidi="ar"/>
              </w:rPr>
              <w:t xml:space="preserve">智能吊装电源系统（</w:t>
            </w:r>
            <w:r>
              <w:rPr>
                <w:rFonts w:hint="eastAsia" w:ascii="宋体" w:hAnsi="宋体" w:cs="宋体"/>
                <w:color w:val="000000"/>
                <w:highlight w:val="none"/>
              </w:rPr>
              <w:t xml:space="preserve">学生端触控屏</w:t>
            </w:r>
            <w:r>
              <w:rPr>
                <w:rFonts w:hint="eastAsia" w:ascii="宋体" w:hAnsi="宋体" w:cs="宋体"/>
                <w:color w:val="000000"/>
                <w:highlight w:val="none"/>
                <w:lang w:bidi="ar"/>
              </w:rPr>
              <w:t xml:space="preserve">）</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44</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项</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0.04</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lang w:bidi="ar"/>
              </w:rPr>
              <w:t xml:space="preserve">智能吊装电源系统（</w:t>
            </w:r>
            <w:r>
              <w:rPr>
                <w:rFonts w:hint="eastAsia" w:ascii="宋体" w:hAnsi="宋体" w:cs="宋体"/>
                <w:color w:val="000000"/>
                <w:highlight w:val="none"/>
              </w:rPr>
              <w:t xml:space="preserve">伸缩电源线</w:t>
            </w:r>
            <w:r>
              <w:rPr>
                <w:rFonts w:hint="eastAsia" w:ascii="宋体" w:hAnsi="宋体" w:cs="宋体"/>
                <w:color w:val="000000"/>
                <w:highlight w:val="none"/>
                <w:lang w:bidi="ar"/>
              </w:rPr>
              <w:t xml:space="preserve">）</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项</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0.012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bookmarkEnd w:id="32"/>
            <w:r>
              <w:rPr>
                <w:rFonts w:hint="eastAsia" w:ascii="宋体" w:hAnsi="宋体" w:cs="宋体"/>
                <w:color w:val="000000"/>
                <w:highlight w:val="none"/>
              </w:rPr>
              <w:t xml:space="preserve">非金属激光雕刻切割机套装</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台</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6.</w:t>
            </w:r>
            <w:r>
              <w:rPr>
                <w:rFonts w:hint="eastAsia" w:ascii="宋体" w:hAnsi="宋体" w:cs="宋体"/>
                <w:color w:val="000000"/>
                <w:highlight w:val="none"/>
              </w:rPr>
              <w:t xml:space="preserve">51</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color w:val="000000"/>
                <w:highlight w:val="none"/>
              </w:rPr>
              <w:t xml:space="preserve">微型精密车床</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台</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2.4</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台式钻床</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台</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0.45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夹具</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0.02</w:t>
            </w:r>
            <w:r>
              <w:rPr>
                <w:rFonts w:hint="eastAsia" w:ascii="宋体" w:hAnsi="宋体" w:cs="宋体"/>
                <w:color w:val="000000"/>
                <w:highlight w:val="none"/>
              </w:rPr>
              <w:t xml:space="preserve">15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台式砂轮机</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台</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0.078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手动弯折机</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台</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0.25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lang w:bidi="ar"/>
              </w:rPr>
              <w:t xml:space="preserve">加工粉末收集装置</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台</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0.04</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木工台锯（带安全防护）</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台</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0.252</w:t>
            </w:r>
            <w:r>
              <w:rPr>
                <w:rFonts w:hint="eastAsia" w:ascii="宋体" w:hAnsi="宋体" w:cs="宋体"/>
                <w:color w:val="000000"/>
                <w:highlight w:val="none"/>
              </w:rPr>
              <w:t xml:space="preserve">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木工实验教具</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72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0.015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格斗机器人有刷电调（一拖二）</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24</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0.045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格斗机器人有刷</w:t>
            </w:r>
            <w:r>
              <w:rPr>
                <w:rFonts w:hint="eastAsia" w:ascii="宋体" w:hAnsi="宋体" w:cs="宋体"/>
                <w:color w:val="000000"/>
                <w:highlight w:val="none"/>
                <w:lang w:bidi="ar"/>
              </w:rPr>
              <w:t xml:space="preserve">电调</w:t>
            </w:r>
            <w:r>
              <w:rPr>
                <w:rFonts w:hint="eastAsia" w:ascii="宋体" w:hAnsi="宋体" w:cs="宋体"/>
                <w:color w:val="000000"/>
                <w:highlight w:val="none"/>
              </w:rPr>
              <w:t xml:space="preserve">1</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16</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0.0388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格斗机器人有刷</w:t>
            </w:r>
            <w:r>
              <w:rPr>
                <w:rFonts w:hint="eastAsia" w:ascii="宋体" w:hAnsi="宋体" w:cs="宋体"/>
                <w:color w:val="000000"/>
                <w:highlight w:val="none"/>
                <w:lang w:bidi="ar"/>
              </w:rPr>
              <w:t xml:space="preserve">电调</w:t>
            </w:r>
            <w:r>
              <w:rPr>
                <w:rFonts w:hint="eastAsia" w:ascii="宋体" w:hAnsi="宋体" w:cs="宋体"/>
                <w:color w:val="000000"/>
                <w:highlight w:val="none"/>
              </w:rPr>
              <w:t xml:space="preserve">2</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24</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0.0583</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硅胶胎1</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0.022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硅胶胎2</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0.025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双喷嘴多色3D打印机</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1.2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3D打印机</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1.06</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1/4W电阻1</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盒</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0.0075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1/4W电阻2</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盒</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0.0075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1/4W电阻3</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盒</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0.0075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1/4W电阻4</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盒</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0.0075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1/4W电阻5</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盒</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0.0075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1/4W电阻6</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盒</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0.0075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1/4W电阻7</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盒</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0.0075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1/4W电阻8</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盒</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0.0075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1/4W电阻9</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盒</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0.0075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1/4W电阻10</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盒</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0.0075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1/4W电阻11</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盒</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0.0075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1/4W电阻12</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盒</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0.0075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1/4W电阻13</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盒</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0.0075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1/4W电阻14</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盒</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0.0075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1/4W电阻15</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盒</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0.0075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1/4W电阻16</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盒</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0.0075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1/4W电阻17</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盒</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0.0075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1/4W电阻18</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盒</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0.0075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1/4W电阻19</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盒</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0.0075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1/4W电阻20</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盒</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0.0075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1/4W电阻21</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盒</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0.0075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1/4W电阻22</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盒</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0.0075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1/4W电阻23</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盒</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0.0014</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1/4W电阻24</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盒</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0.0014</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1/4W电阻25</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盒</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0.0014</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光敏电阻</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50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包</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0.012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三极管</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包</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0.006</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5MM发光二极管</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包</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0.0045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5V电烙铁</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600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0.003</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示波器</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0.195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激光专用护目镜</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0.006</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防割手套</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200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0.0012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数显游标卡尺</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0.011</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丁字尺</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特硬高含钴麻花钻头1</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袋</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特硬高含钴麻花钻头2</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袋</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0.0035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特硬高含钴麻花钻头3</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袋</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0.0035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特硬高含钴麻花钻头4</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袋</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0.0055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特硬高含钴麻花钻头5</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袋</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0.0085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特硬高含钴麻花钻头6</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袋</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0.0035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特硬高含钴麻花钻头7</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袋</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0.0045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特硬高含钴麻花钻头8</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袋</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0.007</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特硬高含钴麻花钻头9</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0.0055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特硬高含钴麻花钻头10</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特硬高含钴麻花钻头11</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0.0125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镀钛麻花钻1</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镀钛麻花钻2</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0.0055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亚克力板</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椴木层板1</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100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0.0035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椴木层板2</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0.006</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铝片</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0.0012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锂电池手枪钻</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0.055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锂电池角磨机</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0.026</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松木长板</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3600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根</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0.00032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松木条</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8000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根</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0.00014</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桐木条1</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25000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根</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0.00005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桐木条2</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15000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根</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0.00006</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桐木条3</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15000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根</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0.00008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实心圆光轴</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5000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根</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0.00002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橡皮筋</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3000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根</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0.000013</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热熔胶棒</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500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根</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0.00006</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锯条</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200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根</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0.0009</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直流可调电源</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0.031</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瓷片电容</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袋</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0.0037</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热风枪拆焊台</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0.037</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货物架</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0.16</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螺丝收纳盒</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41</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0.0018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透明收纳箱</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0.0055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立式砂轮机</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台</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0.172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金属探测器DIY电子套件</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100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0.0012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电子幸运转盘DIY套件</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100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0.0012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PLA耗材1</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件</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0.0142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PLA耗材2</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件</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0.0094</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PLA耗材3</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件</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0.0094</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PLA耗材4</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件</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0.0082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PLA耗材5</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件</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0.0094</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PLA耗材6</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件</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0.0082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PLA耗材7</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件</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0.0094</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PLA耗材8</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件</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0.0082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切割垫</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162</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张</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编码电机+支架</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160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0.0056</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4mm电机联轴器</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160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0.00035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插线</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100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扎</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0.00092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公对公杜邦线</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排</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0.0009</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公对母杜邦线</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排</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0.0008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母对母杜邦线</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排</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0.0007</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0.8mm焊锡丝</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卷</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0.022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0.5mm焊锡丝</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卷</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0.021</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2节电池盒</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100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0.0004</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3节电池盒</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200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0.0004</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4节电池盒 </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200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0.00045</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shd w:val="clear" w:color="auto" w:fill="ffffff"/>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面包板</w:t>
            </w:r>
            <w:r>
              <w:rPr>
                <w:rFonts w:ascii="宋体" w:hAnsi="宋体" w:cs="宋体"/>
                <w:color w:val="000000"/>
                <w:highlight w:val="none"/>
              </w:rPr>
            </w:r>
            <w:r/>
          </w:p>
        </w:tc>
        <w:tc>
          <w:tcPr>
            <w:shd w:val="clear" w:color="auto" w:fill="ffffff"/>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800</w:t>
            </w:r>
            <w:r>
              <w:rPr>
                <w:rFonts w:ascii="宋体" w:hAnsi="宋体" w:cs="宋体"/>
                <w:color w:val="000000"/>
                <w:highlight w:val="none"/>
              </w:rPr>
            </w:r>
            <w:r/>
          </w:p>
        </w:tc>
        <w:tc>
          <w:tcPr>
            <w:shd w:val="clear" w:color="auto" w:fill="ffffff"/>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0.0002</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地理模型制作套装-海底地形</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0.316</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探究海陆热力性质差异/模拟季风成因实验套装</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0.138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日影观测实践套装</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0.198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绘制校园地图套装</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0.128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太阳直射点与昼夜长短实验套装/探究地球运动活动套装</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0.0398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制作地球仪套装/绘制地球内部结构套装</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0.068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可折叠日晷演示仪</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件</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0.36</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复古青铜圭表</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件</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0.298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中国典型民居搭建实践套装</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0.078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模拟热力环流（气态法）/模拟季风实验套装</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0.168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水循环演示实验套装</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0.36</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探究海水性质实验套装</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0.298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探究土壤质地实验套装</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0.148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模拟洋流成因实验套装</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0.218</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r>
        <w:trPr>
          <w:trHeight w:val="57"/>
        </w:trPr>
        <w:tc>
          <w:tcPr>
            <w:tcW w:w="2199"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岩石矿物标本</w:t>
            </w:r>
            <w:r>
              <w:rPr>
                <w:rFonts w:ascii="宋体" w:hAnsi="宋体" w:cs="宋体"/>
                <w:color w:val="000000"/>
                <w:highlight w:val="none"/>
              </w:rPr>
            </w:r>
            <w:r/>
          </w:p>
        </w:tc>
        <w:tc>
          <w:tcPr>
            <w:tcW w:w="43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450"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shd w:val="clear" w:color="auto" w:fill="ffffff"/>
            <w:tcW w:w="998" w:type="dxa"/>
            <w:vAlign w:val="center"/>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t xml:space="preserve">0.396</w:t>
            </w:r>
            <w:r>
              <w:rPr>
                <w:rFonts w:ascii="宋体" w:hAnsi="宋体" w:cs="宋体"/>
                <w:color w:val="000000"/>
                <w:highlight w:val="none"/>
              </w:rPr>
            </w:r>
            <w:r/>
          </w:p>
        </w:tc>
        <w:tc>
          <w:tcPr>
            <w:shd w:val="clear" w:color="auto" w:fill="ffffff"/>
            <w:tcW w:w="920" w:type="dxa"/>
            <w:vAlign w:val="center"/>
            <w:vMerge w:val="continue"/>
            <w:textDirection w:val="lrTb"/>
            <w:noWrap w:val="false"/>
          </w:tcPr>
          <w:p>
            <w:pPr>
              <w:pStyle w:val="933"/>
              <w:jc w:val="center"/>
              <w:rPr>
                <w:rFonts w:ascii="宋体" w:hAnsi="宋体" w:cs="宋体"/>
                <w:color w:val="000000"/>
                <w:highlight w:val="none"/>
              </w:rPr>
            </w:pPr>
            <w:r>
              <w:rPr>
                <w:rFonts w:ascii="宋体" w:hAnsi="宋体" w:cs="宋体"/>
                <w:color w:val="000000"/>
                <w:highlight w:val="none"/>
              </w:rPr>
            </w:r>
            <w:r/>
          </w:p>
        </w:tc>
      </w:tr>
    </w:tbl>
    <w:p>
      <w:pPr>
        <w:pStyle w:val="969"/>
        <w:ind w:firstLine="482"/>
        <w:tabs>
          <w:tab w:val="left" w:pos="960" w:leader="none"/>
        </w:tabs>
        <w:rPr>
          <w:rFonts w:ascii="宋体" w:hAnsi="宋体" w:cs="宋体"/>
          <w:b/>
          <w:color w:val="000000"/>
          <w:szCs w:val="22"/>
          <w:highlight w:val="none"/>
          <w:lang w:val="zh-CN" w:bidi="zh-CN"/>
        </w:rPr>
      </w:pPr>
      <w:r>
        <w:rPr>
          <w:rFonts w:hint="eastAsia" w:ascii="宋体" w:hAnsi="宋体" w:cs="宋体"/>
          <w:b/>
          <w:color w:val="000000"/>
          <w:szCs w:val="22"/>
          <w:highlight w:val="none"/>
          <w:lang w:bidi="zh-CN"/>
        </w:rPr>
        <w:t xml:space="preserve">注：</w:t>
      </w:r>
      <w:r>
        <w:rPr>
          <w:rFonts w:hint="eastAsia" w:ascii="宋体" w:hAnsi="宋体" w:cs="宋体"/>
          <w:b/>
          <w:color w:val="000000"/>
          <w:szCs w:val="22"/>
          <w:highlight w:val="none"/>
          <w:lang w:val="zh-CN" w:bidi="zh-CN"/>
        </w:rPr>
        <w:t xml:space="preserve">1.</w:t>
      </w:r>
      <w:r>
        <w:rPr>
          <w:rFonts w:hint="eastAsia" w:ascii="宋体" w:hAnsi="宋体" w:cs="宋体"/>
          <w:b/>
          <w:color w:val="000000"/>
          <w:szCs w:val="22"/>
          <w:highlight w:val="none"/>
          <w:lang w:bidi="zh-CN"/>
        </w:rPr>
        <w:t xml:space="preserve">投标人在《投标分项报价表》中填列的</w:t>
      </w:r>
      <w:r>
        <w:rPr>
          <w:rFonts w:hint="eastAsia" w:ascii="宋体" w:hAnsi="宋体" w:cs="宋体"/>
          <w:b/>
          <w:color w:val="000000"/>
          <w:szCs w:val="22"/>
          <w:highlight w:val="none"/>
          <w:lang w:val="zh-CN" w:bidi="zh-CN"/>
        </w:rPr>
        <w:t xml:space="preserve">数量和单位不接受负偏离，否则按无效投标处理。</w:t>
      </w:r>
      <w:r>
        <w:rPr>
          <w:rFonts w:ascii="宋体" w:hAnsi="宋体" w:cs="宋体"/>
          <w:b/>
          <w:color w:val="000000"/>
          <w:szCs w:val="22"/>
          <w:highlight w:val="none"/>
          <w:lang w:val="zh-CN" w:bidi="zh-CN"/>
        </w:rPr>
      </w:r>
      <w:r/>
    </w:p>
    <w:p>
      <w:pPr>
        <w:pStyle w:val="969"/>
        <w:ind w:firstLine="482"/>
        <w:tabs>
          <w:tab w:val="left" w:pos="960" w:leader="none"/>
        </w:tabs>
        <w:rPr>
          <w:rFonts w:ascii="宋体" w:hAnsi="宋体" w:cs="宋体"/>
          <w:b/>
          <w:color w:val="000000"/>
          <w:szCs w:val="22"/>
          <w:highlight w:val="none"/>
          <w:lang w:val="zh-CN" w:bidi="zh-CN"/>
        </w:rPr>
      </w:pPr>
      <w:r>
        <w:rPr>
          <w:rFonts w:hint="eastAsia" w:ascii="宋体" w:hAnsi="宋体" w:cs="宋体"/>
          <w:b/>
          <w:color w:val="000000"/>
          <w:szCs w:val="22"/>
          <w:highlight w:val="none"/>
          <w:lang w:val="zh-CN" w:bidi="zh-CN"/>
        </w:rPr>
        <w:t xml:space="preserve">2.投标人单价报价不得超过单价最高限价，否则按无效投标处理。</w:t>
      </w:r>
      <w:r>
        <w:rPr>
          <w:rFonts w:ascii="宋体" w:hAnsi="宋体" w:cs="宋体"/>
          <w:b/>
          <w:color w:val="000000"/>
          <w:szCs w:val="22"/>
          <w:highlight w:val="none"/>
          <w:lang w:val="zh-CN" w:bidi="zh-CN"/>
        </w:rPr>
      </w:r>
      <w:r/>
    </w:p>
    <w:p>
      <w:pPr>
        <w:pStyle w:val="969"/>
        <w:ind w:firstLine="482"/>
        <w:tabs>
          <w:tab w:val="left" w:pos="960" w:leader="none"/>
        </w:tabs>
        <w:rPr>
          <w:rFonts w:ascii="宋体" w:hAnsi="宋体" w:cs="宋体"/>
          <w:b/>
          <w:color w:val="000000"/>
          <w:szCs w:val="22"/>
          <w:highlight w:val="none"/>
          <w:lang w:bidi="zh-CN"/>
        </w:rPr>
      </w:pPr>
      <w:r>
        <w:rPr>
          <w:rFonts w:hint="eastAsia" w:ascii="宋体" w:hAnsi="宋体" w:cs="宋体"/>
          <w:b/>
          <w:color w:val="000000"/>
          <w:szCs w:val="22"/>
          <w:highlight w:val="none"/>
          <w:lang w:bidi="zh-CN"/>
        </w:rPr>
        <w:t xml:space="preserve">3.本项目核心产品为“洗瓶机”</w:t>
      </w:r>
      <w:r>
        <w:rPr>
          <w:rFonts w:ascii="宋体" w:hAnsi="宋体" w:cs="宋体"/>
          <w:b/>
          <w:color w:val="000000"/>
          <w:szCs w:val="22"/>
          <w:highlight w:val="none"/>
          <w:lang w:bidi="zh-CN"/>
        </w:rPr>
      </w:r>
      <w:r/>
    </w:p>
    <w:p>
      <w:pPr>
        <w:pStyle w:val="969"/>
        <w:ind w:firstLine="482"/>
        <w:tabs>
          <w:tab w:val="left" w:pos="960" w:leader="none"/>
        </w:tabs>
        <w:rPr>
          <w:rFonts w:ascii="宋体" w:hAnsi="宋体" w:cs="宋体"/>
          <w:b/>
          <w:color w:val="000000"/>
          <w:highlight w:val="none"/>
        </w:rPr>
      </w:pPr>
      <w:r>
        <w:rPr>
          <w:rFonts w:hint="eastAsia" w:ascii="宋体" w:hAnsi="宋体" w:cs="宋体"/>
          <w:b/>
          <w:color w:val="000000"/>
          <w:szCs w:val="22"/>
          <w:highlight w:val="none"/>
          <w:lang w:val="zh-CN" w:bidi="zh-CN"/>
        </w:rPr>
        <w:t xml:space="preserve">二、</w:t>
      </w:r>
      <w:r>
        <w:rPr>
          <w:rFonts w:hint="eastAsia" w:ascii="宋体" w:hAnsi="宋体" w:cs="宋体"/>
          <w:b/>
          <w:color w:val="000000"/>
          <w:highlight w:val="none"/>
        </w:rPr>
        <w:t xml:space="preserve">技术指标明细</w:t>
      </w:r>
      <w:r>
        <w:rPr>
          <w:rFonts w:ascii="宋体" w:hAnsi="宋体" w:cs="宋体"/>
          <w:b/>
          <w:color w:val="000000"/>
          <w:highlight w:val="none"/>
        </w:rPr>
      </w:r>
      <w:r/>
    </w:p>
    <w:tbl>
      <w:tblPr>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746"/>
        <w:gridCol w:w="1785"/>
        <w:gridCol w:w="7316"/>
      </w:tblGrid>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vMerge w:val="restart"/>
            <w:textDirection w:val="lrTb"/>
            <w:noWrap w:val="false"/>
          </w:tcPr>
          <w:p>
            <w:pPr>
              <w:pStyle w:val="933"/>
              <w:jc w:val="center"/>
              <w:widowControl/>
              <w:rPr>
                <w:rFonts w:ascii="宋体" w:hAnsi="宋体" w:cs="宋体"/>
                <w:b/>
                <w:bCs/>
                <w:color w:val="000000"/>
                <w:highlight w:val="none"/>
              </w:rPr>
            </w:pPr>
            <w:r>
              <w:rPr>
                <w:rFonts w:hint="eastAsia" w:ascii="宋体" w:hAnsi="宋体" w:cs="宋体"/>
                <w:b/>
                <w:bCs/>
                <w:color w:val="000000"/>
                <w:highlight w:val="none"/>
                <w:lang w:bidi="ar"/>
              </w:rPr>
              <w:t xml:space="preserve">序号</w:t>
            </w:r>
            <w:r>
              <w:rPr>
                <w:rFonts w:ascii="宋体" w:hAnsi="宋体" w:cs="宋体"/>
                <w:b/>
                <w:bCs/>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vMerge w:val="restart"/>
            <w:textDirection w:val="lrTb"/>
            <w:noWrap w:val="false"/>
          </w:tcPr>
          <w:p>
            <w:pPr>
              <w:pStyle w:val="933"/>
              <w:jc w:val="center"/>
              <w:widowControl/>
              <w:rPr>
                <w:rFonts w:ascii="宋体" w:hAnsi="宋体" w:cs="宋体"/>
                <w:b/>
                <w:bCs/>
                <w:color w:val="000000"/>
                <w:highlight w:val="none"/>
              </w:rPr>
            </w:pPr>
            <w:r>
              <w:rPr>
                <w:rFonts w:hint="eastAsia" w:ascii="宋体" w:hAnsi="宋体" w:cs="宋体"/>
                <w:b/>
                <w:bCs/>
                <w:color w:val="000000"/>
                <w:highlight w:val="none"/>
                <w:lang w:bidi="ar"/>
              </w:rPr>
              <w:t xml:space="preserve">设备名称</w:t>
            </w:r>
            <w:r>
              <w:rPr>
                <w:rFonts w:ascii="宋体" w:hAnsi="宋体" w:cs="宋体"/>
                <w:b/>
                <w:bCs/>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vMerge w:val="restart"/>
            <w:textDirection w:val="lrTb"/>
            <w:noWrap w:val="false"/>
          </w:tcPr>
          <w:p>
            <w:pPr>
              <w:pStyle w:val="933"/>
              <w:jc w:val="center"/>
              <w:widowControl/>
              <w:rPr>
                <w:rFonts w:ascii="宋体" w:hAnsi="宋体" w:cs="宋体"/>
                <w:b/>
                <w:bCs/>
                <w:color w:val="000000"/>
                <w:highlight w:val="none"/>
              </w:rPr>
            </w:pPr>
            <w:r>
              <w:rPr>
                <w:rFonts w:hint="eastAsia" w:ascii="宋体" w:hAnsi="宋体" w:cs="宋体"/>
                <w:b/>
                <w:bCs/>
                <w:color w:val="000000"/>
                <w:highlight w:val="none"/>
                <w:lang w:bidi="ar"/>
              </w:rPr>
              <w:t xml:space="preserve">招标参数</w:t>
            </w:r>
            <w:r>
              <w:rPr>
                <w:rFonts w:ascii="宋体" w:hAnsi="宋体" w:cs="宋体"/>
                <w:b/>
                <w:bCs/>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高中学生电源</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1.直流稳压：2V～16V/2A，每2V一档；交流：2V～16V/3A，每2V一档。</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高中教学电源</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1.直流稳压：1V～25V分档连续可调，2V～6V/6A，8V～12V/4A，14V～24V/2A；40A、8s自动关断；交流：2V～24V，每2V一档，2V～6V/12A，8V～12V/6A，14V～24V/3A。</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3</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感应圈</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1.电子开关式感应圈，供电电压：AC220V±10%，50Hz ±5Hz，放电针≥φ4×75mm切一端呈尖型，配套≥2根，可拆卸，距离可在10mm~100mm可调，供电电压在AC220V时，最大放电距离≥100mm。火花条数在两条以上，可连续工作≥15分钟。</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4</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游标卡尺</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1.最大范围为≥150mm，最小精度为≤0.1mm，碳钢材质。</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5</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外径千分尺</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1.标准外径千分尺0mm～25mm，精度≤0.01mm，不锈钢材质。</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6</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托盘天平1</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1.最大称量范围≥200g，精度≤0.2g。</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7</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托盘天平2</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1.最大称量范围≥500g，精度≤0.5g。</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8</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电子天平</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1.最大称量范围≥1000g，精度≤0.1g。</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9</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金属钩码</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1.规格：50g×4，200g×2</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10</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金属槽码</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规格≥2g*3，≥5g*2，≥10g*2，≥20g*2，≥50g*2，≥100g*2，≥200g*2，≥5g*1金属槽码盘和≥10g*1金属槽码盘</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11</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机械秒表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1.最低量程为≤0.01s，分针：≥15分/圈，秒针：≥30秒/圈。</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12</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电火花计时器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1.平均电流≤0.5mA，单频率：≥0.02s，火花距离≥10mm。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13</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电磁打点计时器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1.由打点器、重锤、纸带、复写纸和弓形夹等组成，连续工作时间≤10分钟；周期相对误差≤1%；重锤质量为≥300g；当纸带移动速度3m/s时，点子长度≤1.2mm，≥0.3mm；纸带宽度为≥17.5mm；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数字计时器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有光电门接口和电磁铁接口，统一接口，四位及以上，数据存贮，显示：10个挡光间隔时间、10周振动、n次振动时间总和、加速度计时三个时间、自由落体时间不少于二个、二路光电门分别计二个挡光时间(对碰、追碰)的数字计数器</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15</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频闪光源</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1.可变频式频闪光源 频闪频率可调：25Hz，50Hz，100Hz。</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16</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高中数字演示电表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1.4-1/2位数码管，数码管高度≥5cm；直流/交流电压、电流，检流的高中数学演示电表。</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17</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直流电流表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1.规格：2.5级直流电流计，0.6A，3A。</w:t>
            </w:r>
            <w:r>
              <w:rPr>
                <w:rFonts w:hint="eastAsia"/>
                <w:color w:val="000000"/>
                <w:highlight w:val="none"/>
              </w:rPr>
              <w:t xml:space="preserve">测量范围：—0.2A—0—0.6A; —1A—0—3A。</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18</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直流电压表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1.规格：2.5级直流电压表，3V，15V。</w:t>
            </w:r>
            <w:r>
              <w:rPr>
                <w:rFonts w:hint="eastAsia"/>
                <w:color w:val="000000"/>
                <w:highlight w:val="none"/>
              </w:rPr>
              <w:t xml:space="preserve">测量范围—1V—0—3V; —5V—0—15V。灵敏度：伏特级1mA。</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19</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灵敏电流计</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1.范围±300μA</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20</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多用电表1</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1.指针式多用电表 不低于2.5级</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21</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多用电表2</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1.数字式多用电表 可用于电压﹑电流﹑电阻﹑温度测试﹑频率测试﹑电容﹑二极管测试 4-1/2位</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22</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演示电流电压表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1.2.5级演示电流电压表 检流</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23</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微电流放大器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1.多路输入式微电流放大器，一路为毫伏级，低阻抗输入，放大倍数约一千倍。两路用于传感器，分别为电流型放大输出和电压型放大输出</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24</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电阻箱</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1.阻值可调范围0～99999.9Ω ，最小步进值≤0.1Ω</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25</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湿度计</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1.规格：指针式，由金属外壳、玻璃面罩、游丝、指针、刻度盘组成。金属外壳上装有悬挂装置。刻度盘为圆形，盘面印有0%～100%的刻度，最小分度值≤1%，刻度清晰，字迹清楚，示值允差±5%。</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26</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摩擦计</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1.由磨擦板和磨擦块组成的教学用摩擦计 磨擦块外形尺寸：长：≥100mm，宽≥40mm，厚≥30mm；磨擦板外形尺寸：长≥500mm，宽≥50mm，厚≥10mm。上面有两个砝码孔，端面中心有挂钩。</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27</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摩擦力演示器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1.摩擦力演示器由底板、抽板、木块、摩擦力示意器等部件组成，演示最大静摩擦力和滑动摩擦力</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28</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螺旋弹簧组</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1.教学用螺旋弹簧组，含有0.5N、1N、2N、3N、5N</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29</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毛钱管(牛顿管)</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1.含有释放装置的教学用毛钱管(牛顿管)，由长度≥1100mm 外径≥46mm一端由工程塑料封闭，另一端带有活动的铜阀门组成。管内含有：≥φ8mm钢球 、羽毛1根、≥φ8mm木球1个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30</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轨道小车</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1.车拖纸带打点式轨道小车，打点有效距离≥600mm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31</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平抛运动实验器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1.平抛运动实验器。尺寸：≥演示板高330mm*宽250mm；用于研究平抛物体的运动，描绘平抛轨迹，求平抛初速度。</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32</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向心力演示器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尺寸：长≥450mm，高≥350mm；仪器由机座、传动轮、变速盘、旋臂、弹簧、标尺及横臂等部件构成。手摇传动轮使变速盘转动，固定在变速盘上的旋臂和左右两只金属球也随之作圆周运动。金属球作用在横臂上，使横臂压缩变速盘中心的转轴弹簧，弹簧被压缩的格数可从标尺中读出，格数比便显示两金属球向心力大小之比。</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33</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向心力实验器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仪器由周期测定盘、捻柄、平衡体、弹簧、转轴、配重体、圆柱体、导杆、半径指示器、底板构成；圆柱体，套装导杆的一端，导杆安装在可以灵活转动的竖直转轴的中部导杆的另一端装有个位置可以调节的平衡体，导杆两边可以调节，圆柱体和竖直转轴间用一水平弹簧连接，圆柱体下端凸往下方有一用金属片开缺的半径指示器，坚直转轴顶部的滚花处供手指捻动用，此仪器另附一个质量为50克左右的配重体和弹管调整杆一根。供改变质量和弹簧系数用。</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34</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动量传递演示器(碰撞球)</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1.产品由不少于5个金属小球、底座、框架构成</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35</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凹凸桥演示器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1.底座为黑色底板≥400mm×200mm×15mm，铝合金轨道，电磁铁控制系统，压力指示秤，有接球装置。</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36</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碰撞实验器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1.仪器结构及附件：由铝合金轨道、支架、刻度线等组装成一体。含金属球1个、非金属球1个、重锤1个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37</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油膜实验器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1.本实验器由以下部分构成：有机玻璃实验盘*1只、透明有机玻璃计数板*1块、塑料移液器5ml*1支、滴管附滴头（刻度0.1ml）*1支、水彩笔*1支、痱子粉*1小瓶、油酸*1小瓶</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38</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浸润和不浸润现象演示器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w:t>
            </w:r>
            <w:r>
              <w:rPr>
                <w:rFonts w:ascii="宋体" w:hAnsi="宋体" w:cs="宋体"/>
                <w:color w:val="000000"/>
                <w:highlight w:val="none"/>
                <w:lang w:bidi="ar"/>
              </w:rPr>
              <w:t xml:space="preserve">用于有关物体浸润和不浸润现象的演示实验。</w:t>
            </w:r>
            <w:r>
              <w:rPr>
                <w:rFonts w:hint="eastAsia" w:ascii="宋体" w:hAnsi="宋体" w:cs="宋体"/>
                <w:color w:val="000000"/>
                <w:highlight w:val="none"/>
                <w:lang w:bidi="ar"/>
              </w:rPr>
              <w:t xml:space="preserve">由洁净的玻璃片、涂蜡的玻璃片、组成。</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39</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液体表面张力演示器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1.由形状不同的七件表面张力实验器材组成</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40</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箔片验电器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1.教师用箔片验电器，由外壳、圆球或圆盘、导电杆、箔片及中位卡组成。</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41</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指针验电器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1.带法拉第圆筒式指针验电器，由两只灵敏度相同的指针验电器组成。指针验电器由外壳、圆球或圆盘、导电杆、绝缘子、指针、指针架、接地线柱等构成。</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42</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验电羽</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1.产品由圆底座、支架、丝线等组成，用于演示电场线实验和探究有关静电的实验。</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43</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金属网罩</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1.本产品由金属网罩和绝缘底盘两部分组成。</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44</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电荷间作用力演示器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1.本仪器由支架，刻度，小球2个，大球1个等组成。</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45</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高压发生器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1.产生5000伏以上高压，可多档调节</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46</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静电计</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1.带刻度和法拉第圆筒。由两只灵敏度相同的指针验电器组成。指针验电器由外壳、圆球或圆盘、导电杆、绝缘子、指针、指针架、接地线柱等构成。</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47</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电容器的充电、放电实验器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由电源、充放电刀闸、电容器、充放电发光二极管和放电指示灯组成。工作过程：接通电源直流约6v。刀闸K接至充电位置，使电容充电，同时充电灯亮少许时间。刀闸K接至放电位置,使电容器放电,同时放电灯和放电指示灯亮。</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48</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电场中带电粒子运动模拟演示器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1.加速极电压：0～200伏  连续可调；偏转板电压：电压幅度0～40伏连续可调；电压方向 上正、断路、下正三档，功率消耗＜8W</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49</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常用电容器示教板</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1.教学用常规电容器示教板，木质材质，板面附有电解电容器、云母电容器、瓷片电容器、条轮电容器、贴片电容器、微调电容器、可变电容器</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50</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滑动变阻器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1.教学用滑动变阻器 规格为10Ω，2A，铜制</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51</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电阻定律演示器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1.电阻定律演示器 由底板及1根铜丝、1根铁丝、2根镍铬线、接线柱、连接片、支撑架等组成，金属丝约Φ0.5mm×1000mm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52</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电阻定律实验器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1.电阻定律实验器 ≥四根导线，长度、截面积、材料不同。</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53</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演示可调内阻电池</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1.气压调节式可调内阻电池，≥220*95*85mm，由电池槽、探针、负极板、气室、气嘴、盖板、正极板等组成。</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54</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黑箱</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1.仪器有３个独立的探测单元，一个电池盒 ，设有二极管单向导电特性的实验装置，盒内有电阻器、二极管等元件组成。</w:t>
            </w:r>
            <w:r>
              <w:rPr>
                <w:rFonts w:ascii="宋体" w:hAnsi="宋体" w:cs="宋体"/>
                <w:color w:val="000000"/>
                <w:highlight w:val="none"/>
              </w:rPr>
            </w:r>
            <w:r/>
          </w:p>
        </w:tc>
      </w:tr>
      <w:tr>
        <w:trPr>
          <w:trHeight w:val="901"/>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55</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常用电阻器示教板</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1.教学用常规电阻器示教板，钢板折弯而成，表面标注纹理清晰，附有电位器、碳膜电阻、金属膜电阻、热敏电阻、绕线电阻、水泥电阻、光敏电阻。</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56</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强条形磁铁</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1.条形磁铁，材质为铝铁碳，规格尺寸≥180 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57</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立体磁感线演示器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1.永磁、电磁场。此产品为两件/套，即圆柱形带</w:t>
            </w:r>
            <w:r>
              <w:rPr>
                <w:rFonts w:hint="eastAsia" w:ascii="宋体" w:hAnsi="宋体" w:cs="宋体"/>
                <w:color w:val="000000"/>
                <w:highlight w:val="none"/>
                <w:lang w:bidi="ar"/>
              </w:rPr>
              <w:t xml:space="preserve">条形磁铁1件，圆柱形带蹄形磁铁≥1件。仪器由透明塑料注塑沾制而成，其中≥2片为活动片。条形磁块由八块板（包括上、下挡板，挡板厚度为：≥4.5mm）组成镶有指针。外形尺寸为：≥175*205mm；蹄形磁场由十块板（包括上、下挡板，挡板厚度为：≥4.5mm）组成镶有指针。腰形尺寸：≥215mm*175mm*205mm指针为菱形，长13±0.5mm，宽4.5±0.5mm，表面喷红漆，光洁整齐，安装后转动灵活插板式结构稳固，不晃动磁铁的感强度：圆柱形60mT，蹄形50mT将磁铁插入后轻轻敲击塑料板，能显示出磁力线。</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58</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磁感线演示板</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1.用条形磁铁/蹄型磁铁演示周围磁感线的形成和磁极在相吸或相斥不同情况下磁感线放入形成。还可演示电流磁场周围各个空间磁感线的形成，长度≥22cm。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59</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电流磁场演示器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1.直线电流产品长≥195mm、宽≥145mm 、高≥155mm ， 采用ABS塑料、纯铜导线制成，正负接线柱。环形电流磁场产品长≥195mm、宽≥145mm 、高≥105mm 采用ABS塑料、纯铜导线制成。线圈直径≥80mm 正负接线柱。螺旋管电流磁场采用ABS塑料、纯铜导线制成；螺线管电流产品为ABS塑料，整体长≥200mm、宽≥145mm、高≥100mm、内板长≥115mm，宽≥60mm，内板有≥16个孔 ，铜线圈直径≥65mm， 每束50匝（共8束），配备正负接线柱。</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60</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菱形小磁针</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1.菱形小磁针≥16副，包括磁针体和支座，磁针体尺寸≥28mm×8mm，支座≥Φ25mm×25mm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61</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翼形磁针</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1.教学用翼形磁针≥2副，包括磁针体和支座，磁针体尺寸≥140mm×8mm，支座≥Φ70mm×110mm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62</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通电平行直导线相互作用演示器1</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1.能演示通电平行直导线间的电流相互作用（作用力）。规格尺寸：≥200*420*160mm，由银触点、铜管、接线柱等组成。</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63</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演示原副线圈</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1.内直径≥42mm,铜线直径≥0.55mm,线缠绕2100-2200圈</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64</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左右手定则演示器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1.产品底板尺寸为≥195*105*20mm，两节杆组合后长度为≥400mm，≥φ5mm，线圈尺寸为≥70*70*10mm，固定板长度为≥99mm。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65</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安培力演示器1</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1.底座为黑色底板≥300mm*200mm,由正负接线柱、匀强磁体、铜导轨、通电导轨组成.特大匀强磁体总尺寸为≥175*105*145mm  单个磁体的大小为≥175mm*105mm*30mm 磁场中间尺寸≥150*100*80mm，结构合理，效果明显，演示方便.</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66</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电磁驱动原理说明器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1.由旋转磁场、铝筒等组成，磁场由钕磁铁提供，铝筒直径≥75mm，演示感应电流的机械效应，可观察金属导体框在旋转磁场中的运动特性也可演示旋转磁场电机原理。</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67</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电谐振演示器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1.发送：放电距离0.2mm～2mm可调，来顿瓶电容≥500pF；接收：来顿瓶电容≥500pF，可变电容350pF～850pF。</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68</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手摇交直流发电机</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1.手摇交直流发电机 磁铁两极用红色为N极,兰色为S极，小灯泡4.8V，0.3A，木制底座，转子线圈用0.47～0.49mm漆包线平绕440匝，带铁芯。</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69</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强磁针</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1.强磁针，高磁能积磁体。</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70</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通电平行直导线相互作用演示器2</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w:t>
            </w:r>
            <w:r>
              <w:rPr>
                <w:rFonts w:ascii="宋体" w:hAnsi="宋体" w:cs="宋体"/>
                <w:color w:val="000000"/>
                <w:highlight w:val="none"/>
                <w:lang w:bidi="ar"/>
              </w:rPr>
              <w:t xml:space="preserve">能演示通电平行直导线间的电流相互作用（作用力）。</w:t>
            </w:r>
            <w:r>
              <w:rPr>
                <w:rFonts w:hint="eastAsia" w:ascii="宋体" w:hAnsi="宋体" w:cs="宋体"/>
                <w:color w:val="000000"/>
                <w:highlight w:val="none"/>
                <w:lang w:bidi="ar"/>
              </w:rPr>
              <w:t xml:space="preserve">≥200*420*160mm，由银触点、铜管、接线柱等组成。</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71</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电流天平</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1.天平横臂用环氧树脂敷铜板制成横臂上的“U”形导体一端直接与一个黄铜刀口相通，另一端通过转换开关与另一个刀口连通。</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72</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安培力演示器2</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1.底座为黑色底板≥300mm*200mm,由正负接线柱、匀强磁体、铜导轨、通电导轨组成.特大匀强磁体总尺寸为≥175*105*145mm  单个磁体的大小为≥175mm*105mm*30mm 磁场中间尺寸≥150*100*80mm。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73</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楞次定律演示器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1.楞次定律演示器，由底座、支架和两个铝环组成。两个铝环分别为开口环和闭口环，由铝制平衡杆连接。底座直径≥65mm，闭口环直径≥55mm，开口环直径≥45mm，支架长≥85mm。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74</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电磁阻尼演示器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1.电磁阻尼演示器，由金属摆锤、磁铁组成</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75</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单匝线圈电机原理演示器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1.单匝线圈电机原理演示器 ，由强磁铁、转子、手摇柄、齿轮、固定底座、接线柱、集电环等组成。</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76</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交流电路特性演示器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1.多功能交流电路特性演示器，表面电路标注纹理清晰，附带电流表0-3mA，电压表0-8V，电感器，连接插孔，开关等。</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77</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可拆变压器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1.学习变压器的构造及初、次级间电压、电流与线圈绕线匝数的关系</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78</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日光灯原理演示器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1.由演示板、灯管、启辉器、镇流器、触发开关等组成</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2.灯管内充有微量氩和汞蒸气，灯管壁涂有荧光物质，当管内的气体被击穿而导电时，灯管两端炽热的灯丝就会释放大量电子，这些电子与汞原子碰撞而放出紫外线，涂在管内的荧光物质在紫外线的照射下发出可见光。</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3.接上220V交流电，日光灯启动时，通过镇流器提供瞬时高压，使日光灯管内气体击穿使其导电，日光灯工作时起到分压与限流作用，这时灯管电压低于220V，日光灯正常工作。</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4.启辉器在电路通电后自动断开，为镇流器产生瞬时高压提供条件，所以启辉器可用快速开关代替(手动)，取下启辉器，通过按一下快速开关，同样可以启动日光灯。</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79</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涡流跳环实验器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1.电磁炮跳环实验器：设备通过通电线圈产生瞬时磁场，利用电磁感应原理让铝环瞬间产生反向磁场而弹起跳跃，直观展示磁场变化、感应电流、磁场斥力等抽象物理知识点。</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80</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凹面镜</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1.本仪器由凹面镜、镜框、支架、镜座等组成</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81</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凸面镜</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1.本仪器由凸面镜、镜框、支架、镜座等组成</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82</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三棱镜</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1.产品由三棱镜、托架、支柱、底座等组成。</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83</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光具座</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1.≥Φ16mm，双轨，由导轨（包括支架）、滑块、标尺、附件等组成。</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84</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双缝干涉实验仪</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1.由支架、滤色片、游标尺、测量目镜、接长管、遮光板、小灯泡、单缝管构成，配有光具座及附件；产品功能：可以观察白光和单色光通过双缝所产生的干涉图样，并可测量单色光的波长。</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85</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牛顿环</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1.牛顿环是由一块曲率半径很大的平凸透镜与一块很平的玻璃片组成。用来观察光的干涉现象</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86</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光导纤维应用演示器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1.根据光的全反射原理而制成的光导纤维；接收器最大输出功率≥ 0.25W</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87</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光电效应演示器1</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1.带光源和锌板，金属机箱由主机、铜丝网、锌板、日光灯管、紫外线灯管、有机玻璃挡板、硬纸板、防辐射安全罩、灯管移动装置、细砂纸、保险丝、连接线、电源线等组成。</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88</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光电效应演示器2</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1.光电管，由主机、铜丝网、锌板、日光灯管、紫外线灯管、有机玻璃挡板、硬纸板、防辐射安全罩、灯管移动装置、细砂纸、保险丝、连接线、电源线等组成。</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89</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直流高压电源</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1.配威尔逊云雾室使用，高压脉冲电压范围： 5KV、10KV、20KV、50KV。放电针放电距离：＞10mm (50KV)，直流电压：500V，直流电流：2mA</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90</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光的干涉、衍射、偏振演示器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1.产品构成：光源、牛顿环、双面镜、光具架、观察筒、梯形具座、光具座导轨、支杆、底盘、等设备构成；演示物理光学中的干涉(菲涅尔双面镜、杨氏双面、牛顿环衍射 (单缝、多缝、光栅) 、偏振 (偏振片起偏、反射起偏) 等实验</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91</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X射线演示仪</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1.带防护箱、萤光屏，采用特制的软X射线管，全封闭式结构，安全可靠，不用暗室。通过重铅防辐射玻璃窗清晰地观察X射线的特性实验，如穿透性， 荧光作用，感光作用，生物作用等。 X管工作电压 ≤30KV ，阳极电流 ≤2mA ，灯丝连续工作时间 ≥1h，高压延续时间 ≤30s</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92</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热敏、光敏特性及简单应用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1.热敏、光敏特性及简单应用实验仪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93</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电饭锅温控模型</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1.采用透明的材料，仿真电饭锅模型，控温点设置在70℃，可直观演示电饭锅控温的原理。</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94</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力传感器的应用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1.铝质金属外框，示教板结构，力应变片最大量程≥1kg，数字表同步显示重物质量，演示力传感器的原理。</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95</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双金属片温控器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Style w:val="1396"/>
                <w:color w:val="000000"/>
                <w:sz w:val="24"/>
                <w:szCs w:val="24"/>
                <w:highlight w:val="none"/>
                <w:lang w:bidi="ar"/>
              </w:rPr>
              <w:t xml:space="preserve">1.铝质金属外框及底座，示教板结构，加热器自带高温保护，升温60</w:t>
            </w:r>
            <w:r>
              <w:rPr>
                <w:rStyle w:val="1381"/>
                <w:color w:val="000000"/>
                <w:sz w:val="24"/>
                <w:szCs w:val="24"/>
                <w:highlight w:val="none"/>
                <w:lang w:bidi="ar"/>
              </w:rPr>
              <w:t xml:space="preserve">℃</w:t>
            </w:r>
            <w:r>
              <w:rPr>
                <w:rStyle w:val="1396"/>
                <w:color w:val="000000"/>
                <w:sz w:val="24"/>
                <w:szCs w:val="24"/>
                <w:highlight w:val="none"/>
                <w:lang w:bidi="ar"/>
              </w:rPr>
              <w:t xml:space="preserve">时，双金属片弯曲</w:t>
            </w:r>
            <w:r>
              <w:rPr>
                <w:rFonts w:hint="eastAsia" w:ascii="宋体" w:hAnsi="宋体" w:cs="宋体"/>
                <w:color w:val="000000"/>
                <w:highlight w:val="none"/>
                <w:lang w:bidi="ar"/>
              </w:rPr>
              <w:t xml:space="preserve">≥</w:t>
            </w:r>
            <w:r>
              <w:rPr>
                <w:rStyle w:val="1396"/>
                <w:color w:val="000000"/>
                <w:sz w:val="24"/>
                <w:szCs w:val="24"/>
                <w:highlight w:val="none"/>
                <w:lang w:bidi="ar"/>
              </w:rPr>
              <w:t xml:space="preserve">1cm，灯泡指示工作状态，演示双金属片控温的原理。</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96</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驻极体话筒演示器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1.铝质金属外框，示教板结构，可用示波器显示声音的波形，也可通过自带功放及喇叭将声音放大输出，演示声音传感器的工作原理。</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97</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金属探测器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1.手持式，灵敏度可调，带声光报警指示，可探测小于五角硬币的金属物。</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98</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霍尔效应演示仪</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1.霍尔效应实验仪：包括电磁铁、霍尔样品（透明封装）、样品架（具有X、Y二维调节功能及读数装置）以及换向开关等。</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2.霍尔效应测试仪：由两组直流恒流源和直流数字毫伏表组成。</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(1)IM输出直流恒流源：0～1A连续可调，调节精度可达1mA，带三位半数码显示，精度为±0.5％,它为电磁线圈提供励磁电流，最大输出电压为25V。</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(2)Is输出直流恒流源：0～10mA连续可调，调节精度可达10µA，带三位半数码显示，精度±0.5%，为霍尔样品提供工作电流。</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(3)直流数字毫伏表：测量范围0～±200mV。分为20mV、200mV两档量程，输入阻抗为10MΩ，三位半数码显示，精度为±0.5%，用于测量霍尔电压和不等势电压。</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99</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奥斯特电流磁效应模型</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1.既可以直观的演示奥斯特的电流磁效应，还可以验证电流产生的磁场的方向，通电直导线的上下各有一个磁针，自带电源，也可外接电源。</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100</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电磁驱动演示器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1.由旋转磁场、铝筒等组成，磁场由钕磁铁提供，铝筒直径75mm，演示感应电流的机械效应，可观察金属导体框在旋转磁场中的运动特性也可演示旋转磁场电机原理。</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101</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量杯</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1.教学用量杯 250ml</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102</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可密封长玻璃管</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1.带刻度衬板的可密封长玻璃管 内径≥10mm×1000mm，有胶塞</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103</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木板1</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1.规格≥300mm*450mm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104</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木板2</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1.规格≥180mm*550mm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105</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折叠凳</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1.长度≥26cm，宽度≥20cm，高度≥45cm，PP材质。可折叠</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106</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多功能报告椅</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背/座棉：聚氨脂高回弹冷发泡定型海绵(密度为45-55M3/KG)厚度为8cm；面料：布料，耐磨，防褪色；背/座外板：硬木多层板双面贴榉木夹板，打孔设计；椅脚：采用独立下送风圆脚,选用冷轧板模压成型，表面经过焊接、抛光。磷化处理后经喷塑而成。坐垫翻起采用缓冲回弹设计。</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107</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学生电源</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1.直流稳压：2V～16V/2A，每2V一档；交流：2V～16V/3A，每2V一档</w:t>
            </w:r>
            <w:r>
              <w:rPr>
                <w:rFonts w:ascii="宋体" w:hAnsi="宋体" w:cs="宋体"/>
                <w:color w:val="000000"/>
                <w:highlight w:val="none"/>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108</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迷你数据采集器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三个模拟接口，两个数字接口，自动识别传感器。USB供电/交流电源两种方式供电。</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▲2. 最大采样速录：≥100000样本/秒。</w:t>
            </w:r>
            <w:r>
              <w:rPr>
                <w:rFonts w:hint="eastAsia" w:ascii="宋体" w:hAnsi="宋体" w:cs="宋体"/>
                <w:b/>
                <w:bCs/>
                <w:color w:val="000000"/>
                <w:highlight w:val="none"/>
                <w:lang w:bidi="ar"/>
              </w:rPr>
              <w:t xml:space="preserve">（提供第三方检测机构出具的检测报告复印件加盖公章）</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109</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台阶垫坡道斜坡板</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1.≥900*250*100mm，高强度橡胶材质，配套安装</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110</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酸碱pp柜</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lang w:bidi="ar"/>
              </w:rPr>
            </w:pPr>
            <w:r>
              <w:rPr>
                <w:rFonts w:hint="eastAsia" w:ascii="宋体" w:hAnsi="宋体" w:cs="宋体"/>
                <w:color w:val="000000"/>
                <w:highlight w:val="none"/>
                <w:lang w:bidi="ar"/>
              </w:rPr>
              <w:t xml:space="preserve">1.规格尺寸：≥1000*500*1950mm</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2.整体采用抗强酸碱、耐化学药品、耐冲击磁白色阻燃A级瓷白色PP板(聚丙烯)材质制作，厚度≥8mm，同色同质焊条熔焊修饰处理，表面无锐角。整体具有抗强酸、化学药品，耐冲击，不腐蚀等特点。</w:t>
            </w:r>
            <w:r>
              <w:rPr>
                <w:rFonts w:ascii="宋体" w:hAnsi="宋体" w:cs="宋体"/>
                <w:color w:val="000000"/>
                <w:highlight w:val="none"/>
                <w:lang w:bidi="ar"/>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3.上柜玻璃门下柜实门，配两层活动PP层板，带通风孔。层板：采用瓷白色PP（聚丙烯）板材，四边有立边，立边整体焊接成型。整体为活动式，可随意抽取放在合适的隔层，自由组合各层空间。每块层板都加两条加强筋，四周立边可获得一定程度防溢效果。把手和铰链：采用PP射出成型。门碰：采用全PS塑料材质一体成型，耐腐蚀，无任何金属。锁具：耐腐蚀性机械双锁</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111</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化学药品边台</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lang w:bidi="ar"/>
              </w:rPr>
            </w:pPr>
            <w:r>
              <w:rPr>
                <w:rFonts w:hint="eastAsia" w:ascii="宋体" w:hAnsi="宋体" w:cs="宋体"/>
                <w:color w:val="000000"/>
                <w:highlight w:val="none"/>
                <w:lang w:bidi="ar"/>
              </w:rPr>
              <w:t xml:space="preserve">1.规格尺寸：≥2000*600*800mm，采用全钢结构。</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2.台面（陶瓷板）：采用≥20mm厚一体实芯黑色坯体实验室专业陶瓷台面，台面表面为耐腐蚀专业釉面。釉面和黑色坯体（非后期染色处理）经高温烧结而成，釉面与坯体结合后不脱落、不脱层，耐磨、耐强腐蚀等功能。</w:t>
            </w:r>
            <w:r>
              <w:rPr>
                <w:rFonts w:ascii="宋体" w:hAnsi="宋体" w:cs="宋体"/>
                <w:color w:val="000000"/>
                <w:highlight w:val="none"/>
                <w:lang w:bidi="ar"/>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▲3. 陶瓷板的破坏强度：≥13000N； 陶瓷板的有釉台面表面耐磨等级≥4级/2100转。</w:t>
            </w:r>
            <w:r>
              <w:rPr>
                <w:rFonts w:hint="eastAsia" w:ascii="宋体" w:hAnsi="宋体" w:cs="宋体"/>
                <w:b/>
                <w:bCs/>
                <w:color w:val="000000"/>
                <w:highlight w:val="none"/>
                <w:lang w:bidi="ar"/>
              </w:rPr>
              <w:t xml:space="preserve">（提供第三方检测机构出具的检测报告复印件加盖公章）</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▲4. 陶瓷板的台面抗冲击性（恢复系数）≥0.85，台面断裂模数（平均值）≥55MPa。</w:t>
            </w:r>
            <w:r>
              <w:rPr>
                <w:rFonts w:hint="eastAsia" w:ascii="宋体" w:hAnsi="宋体" w:cs="宋体"/>
                <w:b/>
                <w:bCs/>
                <w:color w:val="000000"/>
                <w:highlight w:val="none"/>
                <w:lang w:bidi="ar"/>
              </w:rPr>
              <w:t xml:space="preserve">（提供第三方检测机构出具的检测报告复印件加盖公章）</w:t>
            </w:r>
            <w:r>
              <w:rPr>
                <w:rFonts w:hint="eastAsia" w:ascii="宋体" w:hAnsi="宋体" w:cs="宋体"/>
                <w:color w:val="000000"/>
                <w:highlight w:val="none"/>
                <w:lang w:bidi="ar"/>
              </w:rPr>
              <w:br w:type="textWrapping" w:clear="all"/>
            </w:r>
            <w:r>
              <w:rPr>
                <w:rFonts w:hint="eastAsia" w:ascii="宋体" w:hAnsi="宋体" w:cs="宋体"/>
                <w:color w:val="000000"/>
                <w:highlight w:val="none"/>
                <w:lang w:val="en-US" w:eastAsia="zh-CN" w:bidi="ar"/>
              </w:rPr>
              <w:t xml:space="preserve">5</w:t>
            </w:r>
            <w:r>
              <w:rPr>
                <w:rFonts w:hint="eastAsia" w:ascii="宋体" w:hAnsi="宋体" w:cs="宋体"/>
                <w:color w:val="000000"/>
                <w:highlight w:val="none"/>
                <w:lang w:bidi="ar"/>
              </w:rPr>
              <w:t xml:space="preserve">.柜体：采用≥1.2mm厚镀锌钢板裁剪折弯后满焊点焊接，表面经环氧树脂喷涂处理。整体结构承重：台面承重≥600kg不变形。背板：采用≥1.2mm厚镀锌钢板裁剪折弯后满焊点焊接，表面经环氧树脂喷涂处理。层板/柜门/抽屉：采用≥1.2mm厚镀锌钢板裁剪折弯后满焊点焊接，表面经环氧树脂喷涂处理。不锈钢一次性成型拉手。三节静音导轨。采用定位铰链或≥2mm不锈钢合页。采用ABS新料模具一体成型的承重型可调节地脚，螺丝不锈钢材质。</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112</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洗瓶机</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1、产品功能要求：全自动清洗，利用高温、高压水及清洗液持续喷淋器皿内外表面，清洗、烘干按照程序自动完成。清洗残留有机物≤0.1㎎/L,无机离子残留≤0.02mg/L。</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2、外壳材质S30403不锈钢，清洗腔材质S31603不锈钢，内腔镜面设计，外壳无铆钉连接；具有两个进水口，同时接入自来水和纯水，通过程序选择进水水源种类，纯水内置增压泵，无压力取水。</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3、整机卧式设计，上部可以放置物品，清洗内腔，腔内宽、深均≥60cm；门体内嵌双层玻璃，隔热降噪，可视面积≥50×45（cm）；</w:t>
            </w:r>
            <w:r>
              <w:rPr>
                <w:rFonts w:hint="eastAsia" w:ascii="宋体" w:hAnsi="宋体" w:cs="宋体"/>
                <w:b/>
                <w:bCs/>
                <w:color w:val="000000"/>
                <w:highlight w:val="none"/>
                <w:lang w:bidi="ar"/>
              </w:rPr>
              <w:t xml:space="preserve"> </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▲4、清洗腔可同时放置两层清洗篮架，清洗篮架侧面接水，中央分水，无需借助门体即可紧密连接，篮架弹性连接主机，长期使用不泄压；篮架接头为聚四氟乙烯材质，耐酸碱，耐高温，无残留析出；</w:t>
            </w:r>
            <w:r>
              <w:rPr>
                <w:rFonts w:hint="eastAsia" w:ascii="宋体" w:hAnsi="宋体" w:cs="宋体"/>
                <w:b/>
                <w:bCs/>
                <w:color w:val="000000"/>
                <w:highlight w:val="none"/>
                <w:lang w:bidi="ar"/>
              </w:rPr>
              <w:t xml:space="preserve">（提供产品彩页或技术白皮书或产品说明书佐证）</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5、采用PLC微电脑控制；可实时升级为最新版本功能，可实现云端接入、远程记录、远程控制等功能的升级需求；控制面板为≥7寸高清屏幕，全触摸操作；中文界面；清洗功能具有≥40个标准程序和≥200个自定义程序，均可独立设定、修改清洗参数，自定义程序可自主设置中文、英文、数字等名称；具备审计追踪管理功能，可设置多个用户，三级权限设置，可全程记录每个用户的操作情况，便于追溯。</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6、高温循环水泵，出水量≥800L/min，扇叶耐高温处理，可在≥90℃下工作基本无衰减；两层清洗采用两路平行供水，侧面接水，中央分水的清洗结构，篮架一体式设计，焊接密封，更耐用；清洗舱内置双层360°旋转喷臂；采用</w:t>
            </w:r>
            <w:r>
              <w:rPr>
                <w:rFonts w:hint="eastAsia" w:ascii="宋体" w:hAnsi="宋体" w:cs="宋体"/>
                <w:color w:val="000000"/>
                <w:szCs w:val="21"/>
                <w:highlight w:val="none"/>
                <w:lang w:bidi="ar"/>
              </w:rPr>
              <w:t xml:space="preserve">自动流量计和水位传感器双重控制进水，进水量可设定，数字显示；具有溢水报警功能，避免溢水；自动加热，水温数字设定，具备消毒功能，自动显示A0值；内置排水泵，清洗循环结束后可迅速排水，配合水封设计，防止污水逆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7、干燥系统，注射式热风干燥，空气经过滤加热后从出水管路直接导入器皿内部，干燥</w:t>
            </w:r>
            <w:r>
              <w:rPr>
                <w:rFonts w:hint="eastAsia" w:ascii="宋体" w:hAnsi="宋体" w:cs="宋体"/>
                <w:color w:val="000000"/>
                <w:highlight w:val="none"/>
                <w:lang w:bidi="ar"/>
              </w:rPr>
              <w:t xml:space="preserve">更快；干燥空气经过高效过滤器，避免二次污染，空气加热温度：室温~120℃可调；配有双蒸汽冷凝装置；</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8.门体内嵌式密封条，挤压密封，不易脱落漏水；门锁为双锁柱设计，四点固定，门体接近闭合可自回弹；门体下拉可悬停；旋转把手设计；安全门锁设计，清洗中锁死无法打开；可设定开门温度，高于该温度无法开门；内部有漏水监控功能，设备内部渗漏可报警；具有防干烧、防水泵空转、防溢水、防清洗剂缺失、防门体未关严等功能；具有自检功能，具有手动单部件运转测试功能，可实现对每个工作部件的实时检测；</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9.清洗腔总容积≥230L；清洗腔清洗面积≥600mm×629mm；水清洗功率≤0.75KW，水加热功率≥5KW，加热快，加热时间短；干燥功率≥3.6KW，风量≥120L/M</w:t>
            </w:r>
            <w:r>
              <w:rPr>
                <w:rFonts w:hint="eastAsia" w:ascii="宋体" w:hAnsi="宋体" w:cs="宋体"/>
                <w:color w:val="000000"/>
                <w:highlight w:val="none"/>
                <w:vertAlign w:val="superscript"/>
                <w:lang w:bidi="ar"/>
              </w:rPr>
              <w:t xml:space="preserve">3；</w:t>
            </w:r>
            <w:r>
              <w:rPr>
                <w:rFonts w:hint="eastAsia" w:ascii="宋体" w:hAnsi="宋体" w:cs="宋体"/>
                <w:color w:val="000000"/>
                <w:highlight w:val="none"/>
                <w:lang w:bidi="ar"/>
              </w:rPr>
              <w:t xml:space="preserve">配备清洗液和中和液各一桶</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10.单个篮架可实现置入≥60支150ml容量瓶或≥80支100ml容量瓶以及单个篮架置入320支液相瓶或120支50ml容量瓶的能力，两层篮架可实现双倍的清洗量；</w:t>
            </w:r>
            <w:r>
              <w:rPr>
                <w:rFonts w:hint="eastAsia" w:ascii="宋体" w:hAnsi="宋体" w:cs="宋体"/>
                <w:b/>
                <w:bCs/>
                <w:color w:val="000000"/>
                <w:highlight w:val="none"/>
                <w:lang w:bidi="ar"/>
              </w:rPr>
              <w:t xml:space="preserve"> </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113</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超纯水机</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1.制水量</w:t>
            </w:r>
            <w:r>
              <w:rPr>
                <w:rFonts w:hint="eastAsia" w:ascii="宋体" w:hAnsi="宋体" w:cs="宋体"/>
                <w:color w:val="000000"/>
                <w:highlight w:val="none"/>
                <w:lang w:bidi="ar"/>
              </w:rPr>
              <w:t xml:space="preserve">：≥ 20L/H，进水水源：城市自来水，水温5-40℃，水压1-5㎏，TDS≤200ppm；一机两用：可同时制备取用两种水质的水，即RO水和超纯水；RO水电导率≤1uS/cm@25℃；电阻率≥1ΜΩ•cm@25℃；超纯水电导率≤0.055μS/cm@25℃；电阻率：≥18.25ΜΩ•cm@25℃；微粒子（大于0.01μm）含量：≤1/ml,热源含量：≤0.001Eu/ml,微生物含量：≤1cfu/ml；总有机碳量TOC：≤1ppb，细菌：≤1CFU/ml，细菌内毒素：≤0.001EU/ml,金属阳离子含量：</w:t>
            </w:r>
            <w:r>
              <w:rPr>
                <w:rFonts w:hint="eastAsia" w:ascii="宋体" w:hAnsi="宋体" w:cs="宋体"/>
                <w:color w:val="000000"/>
                <w:highlight w:val="none"/>
                <w:lang w:bidi="ar"/>
              </w:rPr>
              <w:t xml:space="preserve">（单位ppb）：Fe(铁)≤0.002 Cu(铜)≤0.002 Al(铝)≤0.002 Ni(镍)≤0.002Zn(锌)≤0.01Cr(铬)≤0.002 Na(钠)≤0.01 K(钾)≤0.01,阴离子含量：（单位ppb）：Clˉ(氯)≤0.01 NO2ˉ(亚硝酸根)≤0.01NO3ˉ(硝酸根)≤0.01 SO4ˉ(硫酸根)≤0.01；超纯水：电导率(25℃)/(mS/m)≤0.01，可溶性硅含量(以二氧化硅计)/(mg/L)≤0.01，收光度(254nm，1cm光程)≤0.001，总有机碳(ug/)≤4。</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114</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酶标仪</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color w:val="000000"/>
                <w:highlight w:val="none"/>
              </w:rPr>
            </w:pPr>
            <w:r>
              <w:rPr>
                <w:rFonts w:hint="eastAsia" w:ascii="宋体" w:hAnsi="宋体" w:cs="宋体"/>
                <w:color w:val="000000"/>
                <w:highlight w:val="none"/>
                <w:lang w:bidi="ar"/>
              </w:rPr>
              <w:t xml:space="preserve">1、适用孔型：平底、U型和V型；光源类型：卤钨灯。≥10英寸彩色液晶触摸屏输入，全屏显示96孔可视化布板操作界面；自动储存标准曲线，用户可对标准曲线进行修正；内置嵌入式系统，无需外接电脑即可操作、存储、打印；单波长和双波长测试模式下均可进行自动调零；</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▲2、可选择吸光度、Cut-Off定性计算、单点定标、折线回归、线性回归、指数回归、对数回归、双对数回归、log-logit、幂回归、四参数回归、酶抑制率等计算方法；</w:t>
            </w:r>
            <w:r>
              <w:rPr>
                <w:rFonts w:hint="eastAsia" w:ascii="宋体" w:hAnsi="宋体" w:cs="宋体"/>
                <w:b/>
                <w:bCs/>
                <w:color w:val="000000"/>
                <w:highlight w:val="none"/>
                <w:lang w:bidi="ar"/>
              </w:rPr>
              <w:t xml:space="preserve">（提供产品彩页或技术白皮书或产品说明书佐证）</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3、波长范围：330-1100nm。滤光片配置：10个滤光片位置，标配405nm、450nm、492nm、630nm；吸光度范围：0.000―4.000A；光通道数：8通道光路检测，另设一个独立参比通道；灵敏度：≥0.01（L/mg）；通道差异：≤0.01A；波长示值误差：±1nm；半宽度：≤8nm；峰值透射比：≥35%；分辨率：0.001A（显示），0.0001A（内部计算）；振板功能：速度和时间可调</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▲4、示值稳定性：≤±0.002A或≤0.5%T/10min；示值误差（准确性）：≤±0.005A或±0.2%T；重复性：≤0.2%或≤0.2%T</w:t>
            </w:r>
            <w:r>
              <w:rPr>
                <w:rFonts w:hint="eastAsia" w:ascii="宋体" w:hAnsi="宋体" w:cs="宋体"/>
                <w:b/>
                <w:bCs/>
                <w:color w:val="000000"/>
                <w:highlight w:val="none"/>
                <w:lang w:bidi="ar"/>
              </w:rPr>
              <w:t xml:space="preserve">（提供产品彩页或技术白皮书或产品说明书佐证）</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5.读板速度：单波长≤3秒/96孔，双波长≤6秒/96孔</w:t>
            </w:r>
            <w:r>
              <w:rPr>
                <w:color w:val="000000"/>
                <w:highlight w:val="none"/>
              </w:rPr>
            </w:r>
            <w:r/>
          </w:p>
          <w:p>
            <w:pPr>
              <w:pStyle w:val="933"/>
              <w:widowControl/>
              <w:rPr>
                <w:rFonts w:ascii="宋体" w:hAnsi="宋体" w:cs="宋体"/>
                <w:color w:val="000000"/>
                <w:highlight w:val="none"/>
                <w:lang w:bidi="ar"/>
              </w:rPr>
            </w:pPr>
            <w:r>
              <w:rPr>
                <w:rFonts w:hint="eastAsia"/>
                <w:color w:val="000000"/>
                <w:highlight w:val="none"/>
              </w:rPr>
              <w:t xml:space="preserve">6.</w:t>
            </w:r>
            <w:r>
              <w:rPr>
                <w:rFonts w:hint="eastAsia" w:ascii="宋体" w:hAnsi="宋体" w:cs="宋体"/>
                <w:color w:val="000000"/>
                <w:highlight w:val="none"/>
                <w:lang w:bidi="ar"/>
              </w:rPr>
              <w:t xml:space="preserve">输入方式：触摸屏输入；接口：DVI口、VGA口、网口、USB口、音频孔、RS232串口；至少可储存100万板（96）测试数据及500个编程项目，并支持数据备份恢复合并；</w:t>
            </w:r>
            <w:r>
              <w:rPr>
                <w:rFonts w:ascii="宋体" w:hAnsi="宋体" w:cs="宋体"/>
                <w:color w:val="000000"/>
                <w:highlight w:val="none"/>
                <w:lang w:bidi="ar"/>
              </w:rPr>
            </w:r>
            <w:r/>
          </w:p>
          <w:p>
            <w:pPr>
              <w:pStyle w:val="933"/>
              <w:widowControl/>
              <w:rPr>
                <w:rFonts w:ascii="宋体" w:hAnsi="宋体" w:cs="宋体"/>
                <w:color w:val="000000"/>
                <w:highlight w:val="none"/>
                <w:lang w:bidi="ar"/>
              </w:rPr>
            </w:pPr>
            <w:r>
              <w:rPr>
                <w:rFonts w:hint="eastAsia" w:ascii="宋体" w:hAnsi="宋体" w:cs="宋体"/>
                <w:color w:val="000000"/>
                <w:highlight w:val="none"/>
                <w:lang w:bidi="ar"/>
              </w:rPr>
              <w:t xml:space="preserve">7.在同一板上可进行24个不同项目并可用显示区分的测试，并可同一板检测定性和定量项目；模板功能，固定检测工作；智能计算测试结果，并可自动报警；包含westguard多规则质控，具有质控报警功能；</w:t>
            </w:r>
            <w:r>
              <w:rPr>
                <w:rFonts w:ascii="宋体" w:hAnsi="宋体" w:cs="宋体"/>
                <w:color w:val="000000"/>
                <w:highlight w:val="none"/>
                <w:lang w:bidi="ar"/>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8.提供多种打印方式及多种形式中文报告,并可定制各式报告；具有布板和保存导入功能；专用系统维护菜单，自动判断仪器当前状态及性能指标，并可打印相关数据。</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115</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lang w:bidi="ar"/>
              </w:rPr>
              <w:t xml:space="preserve">智能吊装电源系统（</w:t>
            </w:r>
            <w:r>
              <w:rPr>
                <w:rFonts w:hint="eastAsia" w:ascii="宋体" w:hAnsi="宋体" w:cs="宋体"/>
                <w:color w:val="000000"/>
                <w:highlight w:val="none"/>
              </w:rPr>
              <w:t xml:space="preserve">吊装电源控制柜</w:t>
            </w:r>
            <w:r>
              <w:rPr>
                <w:rFonts w:hint="eastAsia" w:ascii="宋体" w:hAnsi="宋体" w:cs="宋体"/>
                <w:color w:val="000000"/>
                <w:highlight w:val="none"/>
                <w:lang w:bidi="ar"/>
              </w:rPr>
              <w:t xml:space="preserve">）</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1.外形尺寸：≥320*400*150mm；材质：采用镀锌钢板，四周圆角处理；</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2.触控屏幕：≥10英寸电容触控屏，分辨率1024*600及以上，宽视角≥85°；</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3.开关按键：紧急开关一个，启动开关一个，复位开关一个，紧急情况下迅速切断能源。并配有指纹识别装置，可完成一键登录；</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4.内置能源设备：总能源阻断模块一个，配有保护装置。各分路能源阻断模块，作为电气系统中的第二级保护装置。交流接触器一个。多种元器件组合成多层级保护集成能源，涵盖能源漏、短、过载保护功能；</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5.设备安全：全设备电器件通地线；可远程通过APP对控制柜进行通断能源操作，无需亲自到现场。</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116</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lang w:bidi="ar"/>
              </w:rPr>
              <w:t xml:space="preserve">智能吊装电源系统（</w:t>
            </w:r>
            <w:r>
              <w:rPr>
                <w:rFonts w:hint="eastAsia" w:ascii="宋体" w:hAnsi="宋体" w:cs="宋体"/>
                <w:color w:val="000000"/>
                <w:highlight w:val="none"/>
              </w:rPr>
              <w:t xml:space="preserve">吊装电源控制系统</w:t>
            </w:r>
            <w:r>
              <w:rPr>
                <w:rFonts w:hint="eastAsia" w:ascii="宋体" w:hAnsi="宋体" w:cs="宋体"/>
                <w:color w:val="000000"/>
                <w:highlight w:val="none"/>
                <w:lang w:bidi="ar"/>
              </w:rPr>
              <w:t xml:space="preserve">）</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1.控制系统：采用系统架构，实验室教师控制系统。采用多种安全认证方式，确保控制柜的访问和操作安全；</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2.升降控制：通过精确的控制系统,确保吊盘系统升降的准确性和稳定性。可独立、分组、自定义编组、整体控制升降。支持两种下降模式，自动下降至预设高度和下降到桌面自动停止两种模式，助于用户根据不同的实验环境匹配设备的使用高度；</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3.照明控制：可独立、分组、自定义编组、整体控制吊盘照明；</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4.能源控制：学生能源供应模块均可控制通断能源。可远程调节。其中学生低压电源电压范围值可根据实际用户属性进行切换；</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5.学生端使用控制：支持控制学生能源模块中能源保护盖自动开合；</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6.功率预警：学生端设备超载提示，并对超载设备强制断开，避免发生危险。</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7.温湿度监控系统：环境显示：实时显示当前室内温度、湿度。温度测量范围0-50℃，精度±2℃。湿度测量范围20-90%RH，精度±5%RH。</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117</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lang w:bidi="ar"/>
              </w:rPr>
              <w:t xml:space="preserve">智能吊装电源系统（</w:t>
            </w:r>
            <w:r>
              <w:rPr>
                <w:rFonts w:hint="eastAsia" w:ascii="宋体" w:hAnsi="宋体" w:cs="宋体"/>
                <w:color w:val="000000"/>
                <w:highlight w:val="none"/>
              </w:rPr>
              <w:t xml:space="preserve">顶部升降机</w:t>
            </w:r>
            <w:r>
              <w:rPr>
                <w:rFonts w:hint="eastAsia" w:ascii="宋体" w:hAnsi="宋体" w:cs="宋体"/>
                <w:color w:val="000000"/>
                <w:highlight w:val="none"/>
                <w:lang w:bidi="ar"/>
              </w:rPr>
              <w:t xml:space="preserve">）</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1.外形尺寸：≥400*440*220mm；材质工艺：采用镀锌钢板，两侧翻边焊接处理，与柜门紧密贴合，确保整体强度完整。柜门：双侧检修门，配有弹压式卡扣。</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2.升降系统：升降控制电路板，采用表面贴装工艺+全自动机插工艺生产，内部搭载化升降系统，支持收发信号；采用脉冲识别距离技术，精准把控升降距离。设备最大下降高度≥2800mm；自带升降保护：学生能源模块接有设备状态下，无法进行整体升降操作；</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3.过载保护：板载功率识别模组可精准判断学生使用功率是否超载，在超载状态下自动进行强制断电，作为电气系统中的第三级保护装置。可通过软件恢复通电；</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4.能量转换设备：内置交流能量转换设备驱动、尼龙齿轮传动；</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5.升降机构：高强度尼龙卷线机构，内部结构科学稳固。转轴配有多线芯导电滑环。</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118</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lang w:bidi="ar"/>
              </w:rPr>
              <w:t xml:space="preserve">智能吊装电源系统（</w:t>
            </w:r>
            <w:r>
              <w:rPr>
                <w:rFonts w:hint="eastAsia" w:ascii="宋体" w:hAnsi="宋体" w:cs="宋体"/>
                <w:color w:val="000000"/>
                <w:highlight w:val="none"/>
              </w:rPr>
              <w:t xml:space="preserve">圆形柔性补光灯</w:t>
            </w:r>
            <w:r>
              <w:rPr>
                <w:rFonts w:hint="eastAsia" w:ascii="宋体" w:hAnsi="宋体" w:cs="宋体"/>
                <w:color w:val="000000"/>
                <w:highlight w:val="none"/>
                <w:lang w:bidi="ar"/>
              </w:rPr>
              <w:t xml:space="preserve">）</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外形尺寸：302*302*37mm（±10mm）；灯罩：一体化注塑成型，表面具有透光性，能够有效地散射光线。同时采用模块化设计。光源形态：通过在灯珠表面增加一层或多层微型透镜，实现对光线的精准控制和优化，无眩光打扰；控制方式：支持受控发光；集成接触开关：学生端模块集成装置上升过程中，接近集成化光源模块自动停止上升动作。</w:t>
            </w:r>
            <w:r>
              <w:rPr>
                <w:rFonts w:ascii="宋体" w:hAnsi="宋体" w:cs="宋体"/>
                <w:color w:val="000000"/>
                <w:highlight w:val="none"/>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119</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lang w:bidi="ar"/>
              </w:rPr>
              <w:t xml:space="preserve">智能吊装电源系统（</w:t>
            </w:r>
            <w:r>
              <w:rPr>
                <w:rFonts w:hint="eastAsia" w:ascii="宋体" w:hAnsi="宋体" w:cs="宋体"/>
                <w:color w:val="000000"/>
                <w:highlight w:val="none"/>
              </w:rPr>
              <w:t xml:space="preserve">学生端电源保护罩-学生端模块集成装置</w:t>
            </w:r>
            <w:r>
              <w:rPr>
                <w:rFonts w:hint="eastAsia" w:ascii="宋体" w:hAnsi="宋体" w:cs="宋体"/>
                <w:color w:val="000000"/>
                <w:highlight w:val="none"/>
                <w:lang w:bidi="ar"/>
              </w:rPr>
              <w:t xml:space="preserve">）</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外形尺寸：145*145*225/275mm（±10mm）；工艺：壳体采用膜内注塑成型工艺；对插接头：采用多组推出直插式连接器对接方式；能源模块保护：所有能源模块接口均为内嵌式设计，外部配有能源模块保护盖。使用时可一键控制保护盖电动打开或闭合；底部接触开关：底部配有接触开关，触碰到桌面后自动停止下降。</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▲2.外壳防护等级测试(≥IP35)合格。</w:t>
            </w:r>
            <w:r>
              <w:rPr>
                <w:rFonts w:hint="eastAsia" w:ascii="宋体" w:hAnsi="宋体" w:cs="宋体"/>
                <w:b/>
                <w:bCs/>
                <w:color w:val="000000"/>
                <w:highlight w:val="none"/>
                <w:lang w:bidi="ar"/>
              </w:rPr>
              <w:t xml:space="preserve">（提供第三方检测机构出具的检测报告复印件加盖公章）</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▲3.低温工作：测试温度≤0℃，持续时间：≥72h， 外观无异常变化，设备功能正常；高温工作：测试温度≥60℃，持续时间：≥72h， 外观无异常变化，设备功能正常；恒定湿热工作：测试温度： ≥30℃;相对湿度不低于RH93%,持续时间： ≥2d；外观无异常变化，设备功能正常。</w:t>
            </w:r>
            <w:r>
              <w:rPr>
                <w:rFonts w:hint="eastAsia" w:ascii="宋体" w:hAnsi="宋体" w:cs="宋体"/>
                <w:b/>
                <w:bCs/>
                <w:color w:val="000000"/>
                <w:highlight w:val="none"/>
                <w:lang w:bidi="ar"/>
              </w:rPr>
              <w:t xml:space="preserve">（提供第三方检测机构出具的检测报告复印件加盖公章）</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120</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lang w:bidi="ar"/>
              </w:rPr>
              <w:t xml:space="preserve">智能吊装电源系统（</w:t>
            </w:r>
            <w:r>
              <w:rPr>
                <w:rFonts w:hint="eastAsia" w:ascii="宋体" w:hAnsi="宋体" w:cs="宋体"/>
                <w:color w:val="000000"/>
                <w:highlight w:val="none"/>
              </w:rPr>
              <w:t xml:space="preserve">多功能电源</w:t>
            </w:r>
            <w:r>
              <w:rPr>
                <w:rFonts w:hint="eastAsia" w:ascii="宋体" w:hAnsi="宋体" w:cs="宋体"/>
                <w:color w:val="000000"/>
                <w:highlight w:val="none"/>
                <w:lang w:bidi="ar"/>
              </w:rPr>
              <w:t xml:space="preserve">）</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多组接口：丰富的接口选项，包含能源输出2个、USB供电接口2个；能源输出：低压直流输出范围1.5-30V，分辨率0.1V；低压交流输出范围2-30V，分辨率0.1V；两组输出口独立进行各自电压调节使用，互不干扰；所有能源输出，均实现全面的管理控制。</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121</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lang w:bidi="ar"/>
              </w:rPr>
              <w:t xml:space="preserve">智能吊装电源系统（</w:t>
            </w:r>
            <w:r>
              <w:rPr>
                <w:rFonts w:hint="eastAsia" w:ascii="宋体" w:hAnsi="宋体" w:cs="宋体"/>
                <w:color w:val="000000"/>
                <w:highlight w:val="none"/>
              </w:rPr>
              <w:t xml:space="preserve">学生端触控屏</w:t>
            </w:r>
            <w:r>
              <w:rPr>
                <w:rFonts w:hint="eastAsia" w:ascii="宋体" w:hAnsi="宋体" w:cs="宋体"/>
                <w:color w:val="000000"/>
                <w:highlight w:val="none"/>
                <w:lang w:bidi="ar"/>
              </w:rPr>
              <w:t xml:space="preserve">）</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外形尺寸：≥3.5英寸LCD触控屏，分辨率480*480及以上；控制内容：①可通过触控屏控制保护盖的开合；②支持低压输出电压的调节，确保设备能够输出稳定且精确的电压；③显示当前低压输出电压、电流、功率；过载提示：当设备过载时，屏幕将立即显示过载提示，并自动切断输出口能源；受控锁定：多功能控制系统可控制学生端设备锁定及解锁。锁定状态下，学生无法进行屏幕操作；独立操作界面：设备上的两组触控屏具备独立操作功能，用户可同时对两组设备进行不同操作，互不干扰。</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122</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rPr>
                <w:rFonts w:ascii="宋体" w:hAnsi="宋体" w:cs="宋体"/>
                <w:color w:val="000000"/>
                <w:highlight w:val="none"/>
              </w:rPr>
            </w:pPr>
            <w:r>
              <w:rPr>
                <w:rFonts w:hint="eastAsia" w:ascii="宋体" w:hAnsi="宋体" w:cs="宋体"/>
                <w:color w:val="000000"/>
                <w:highlight w:val="none"/>
                <w:lang w:bidi="ar"/>
              </w:rPr>
              <w:t xml:space="preserve">智能吊装电源系统（</w:t>
            </w:r>
            <w:r>
              <w:rPr>
                <w:rFonts w:hint="eastAsia" w:ascii="宋体" w:hAnsi="宋体" w:cs="宋体"/>
                <w:color w:val="000000"/>
                <w:highlight w:val="none"/>
              </w:rPr>
              <w:t xml:space="preserve">伸缩电源线</w:t>
            </w:r>
            <w:r>
              <w:rPr>
                <w:rFonts w:hint="eastAsia" w:ascii="宋体" w:hAnsi="宋体" w:cs="宋体"/>
                <w:color w:val="000000"/>
                <w:highlight w:val="none"/>
                <w:lang w:bidi="ar"/>
              </w:rPr>
              <w:t xml:space="preserve">）</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1.采用扁能源传递介质，可统一设备下降后朝向。</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123</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非金属激光雕刻切割机</w:t>
            </w:r>
            <w:r>
              <w:rPr>
                <w:rFonts w:hint="eastAsia" w:ascii="宋体" w:hAnsi="宋体" w:cs="宋体"/>
                <w:color w:val="000000"/>
                <w:highlight w:val="none"/>
              </w:rPr>
              <w:t xml:space="preserve">套装</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lang w:bidi="ar"/>
              </w:rPr>
            </w:pPr>
            <w:r>
              <w:rPr>
                <w:rFonts w:hint="eastAsia" w:ascii="宋体" w:hAnsi="宋体" w:cs="宋体"/>
                <w:color w:val="000000"/>
                <w:highlight w:val="none"/>
                <w:lang w:bidi="ar"/>
              </w:rPr>
              <w:t xml:space="preserve">1.外观尺寸：≥1500mm×1105mm×1100mm；激光器功率及类型：功率≥80W，密封式二氧化碳玻璃激光管；工作幅面：≥900mm×600mm；直通门便捷穿透式设计，Y轴方向加工材料可无限延展；Z轴行程：0-225mm；分辨率：≥1000DPI；加工平台：蜂巢板平台与铝刀条平台；对焦方式：支持红外式自动对焦及手动对焦；定位精度：±0.01mm；最大切割深度：≥20mm；最大雕刻速度：≥1000mm/s；交互方式：支持软件参数调整与控制面板两种操作模式；传输完成后能实现离线作业，支持断电续雕功能；</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2.双气路电控调节系统，支持电控调节与无级手动调节，指定针形阀单路向控制吹气，搭配气量数显表精准监测气量，实现高精度加工。</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▲3.搭配教学专用激光建模软件，能实现包括但不限于下述功能：</w:t>
            </w:r>
            <w:r>
              <w:rPr>
                <w:rFonts w:hint="eastAsia" w:ascii="宋体" w:hAnsi="宋体" w:cs="宋体"/>
                <w:b/>
                <w:bCs/>
                <w:color w:val="000000"/>
                <w:highlight w:val="none"/>
                <w:lang w:bidi="ar"/>
              </w:rPr>
              <w:t xml:space="preserve">（需提供功能实物截图或产品彩页或技术白皮书或产品说明书佐证）</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①支持智能加工模式，配套参数库，加工参数自动分析；根据材料种类、工艺、厚度自动匹配最佳加工参数，无需人工调整；</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②具有一键造物功能，包括一键造盒、模数齿轮、徽章/印章等功能，快速实现造物；</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③能够实现布尔运算、阵列等基础设计功能；</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④图稿自动排版功能，提高耗材使用率；自动计算材料加工成本、加工工时，支持仿真加工系统；</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⑤水口截断功能，水口工具保护细小零件，保证图纸完整性；</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⑥实用性加工系统，生成唯一队列号和密码，保障队列和图纸的安全性，统一归集大量设计作品排队加工；</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4.设备内存容量：≥1GB；连接方式：网络连接、USB接口、U盘接口，WiFi链接；文件格式：支持打开LCPX，LCP,DXF，PLT，DST，AI,SVG，PNG，JPG，BMP，JPEG等格式，无需转换；雕刻工艺适用材料：包括木材、金属、玻璃、石头、水晶、纸张、ABS、双色塑料、氧化铝、皮革、树脂等。切割工艺适用材料：包括木材、纸张、ABS、双色塑料、皮革、树脂等</w:t>
            </w:r>
            <w:r>
              <w:rPr>
                <w:rFonts w:ascii="宋体" w:hAnsi="宋体" w:cs="宋体"/>
                <w:color w:val="000000"/>
                <w:highlight w:val="none"/>
                <w:lang w:bidi="ar"/>
              </w:rPr>
            </w:r>
            <w:r/>
          </w:p>
          <w:p>
            <w:pPr>
              <w:pStyle w:val="933"/>
              <w:widowControl/>
              <w:rPr>
                <w:rFonts w:ascii="宋体" w:hAnsi="宋体" w:cs="宋体"/>
                <w:color w:val="000000"/>
                <w:highlight w:val="none"/>
                <w:lang w:bidi="ar"/>
              </w:rPr>
            </w:pPr>
            <w:r>
              <w:rPr>
                <w:rFonts w:hint="eastAsia" w:ascii="宋体" w:hAnsi="宋体" w:cs="宋体"/>
                <w:color w:val="000000"/>
                <w:highlight w:val="none"/>
                <w:lang w:bidi="ar"/>
              </w:rPr>
              <w:t xml:space="preserve">5.安全保护系统：支持开盖保护、强制水冷保护系统、温控自动报警、漏电断路保护、紧急急停保护、光路封闭式设计、指示灯提醒功能、外接口凹入防磕碰设计；</w:t>
            </w:r>
            <w:r>
              <w:rPr>
                <w:rFonts w:ascii="宋体" w:hAnsi="宋体" w:cs="宋体"/>
                <w:color w:val="000000"/>
                <w:highlight w:val="none"/>
                <w:lang w:bidi="ar"/>
              </w:rPr>
            </w:r>
            <w:r/>
          </w:p>
          <w:p>
            <w:pPr>
              <w:pStyle w:val="933"/>
              <w:widowControl/>
              <w:rPr>
                <w:rFonts w:ascii="宋体" w:hAnsi="宋体" w:cs="宋体"/>
                <w:color w:val="000000"/>
                <w:highlight w:val="none"/>
                <w:lang w:bidi="ar"/>
              </w:rPr>
            </w:pPr>
            <w:r>
              <w:rPr>
                <w:rFonts w:hint="eastAsia" w:ascii="宋体" w:hAnsi="宋体" w:cs="宋体"/>
                <w:color w:val="000000"/>
                <w:highlight w:val="none"/>
                <w:lang w:bidi="ar"/>
              </w:rPr>
              <w:t xml:space="preserve">6.智能环保排放系统：设备工作时启动，节能减耗，可同时上下排气，保护镜头和材料不受激光加工过程中产生的烟尘污染；</w:t>
            </w:r>
            <w:r>
              <w:rPr>
                <w:rFonts w:ascii="宋体" w:hAnsi="宋体" w:cs="宋体"/>
                <w:color w:val="000000"/>
                <w:highlight w:val="none"/>
                <w:lang w:bidi="ar"/>
              </w:rPr>
            </w:r>
            <w:r/>
          </w:p>
          <w:p>
            <w:pPr>
              <w:pStyle w:val="933"/>
              <w:widowControl/>
              <w:rPr>
                <w:rFonts w:ascii="宋体" w:hAnsi="宋体" w:cs="宋体"/>
                <w:color w:val="000000"/>
                <w:highlight w:val="none"/>
                <w:lang w:bidi="ar"/>
              </w:rPr>
            </w:pPr>
            <w:r>
              <w:rPr>
                <w:rFonts w:hint="eastAsia" w:ascii="宋体" w:hAnsi="宋体" w:cs="宋体"/>
                <w:color w:val="000000"/>
                <w:highlight w:val="none"/>
                <w:lang w:bidi="ar"/>
              </w:rPr>
              <w:t xml:space="preserve">7.智慧启蒙教学资源，总课时≥100学时；其中初级课程≥13章节，中级课程≥12章节，高级课程≥12章节，专题课程≥14章节；课程主题内容包含且不限于：造物生活、创新科技、玩味科学、神笔马良系列、新新相印系列、音乐世界系列。提供设备、软件、项目制作等相关线上安装培训课程。</w:t>
            </w:r>
            <w:r>
              <w:rPr>
                <w:rFonts w:ascii="宋体" w:hAnsi="宋体" w:cs="宋体"/>
                <w:color w:val="000000"/>
                <w:highlight w:val="none"/>
                <w:lang w:bidi="ar"/>
              </w:rPr>
            </w:r>
            <w:r/>
          </w:p>
          <w:p>
            <w:pPr>
              <w:pStyle w:val="933"/>
              <w:widowControl/>
              <w:rPr>
                <w:rFonts w:ascii="宋体" w:hAnsi="宋体" w:cs="宋体"/>
                <w:color w:val="000000"/>
                <w:highlight w:val="none"/>
                <w:lang w:bidi="ar"/>
              </w:rPr>
            </w:pPr>
            <w:r>
              <w:rPr>
                <w:rFonts w:hint="eastAsia" w:ascii="宋体" w:hAnsi="宋体" w:cs="宋体"/>
                <w:color w:val="000000"/>
                <w:highlight w:val="none"/>
                <w:lang w:bidi="ar"/>
              </w:rPr>
              <w:t xml:space="preserve">8.空气压缩机：外形尺寸：≥480×205×500mm；额定电流：</w:t>
            </w:r>
            <w:r>
              <w:rPr>
                <w:rStyle w:val="1396"/>
                <w:color w:val="000000"/>
                <w:sz w:val="24"/>
                <w:szCs w:val="24"/>
                <w:highlight w:val="none"/>
                <w:lang w:bidi="ar"/>
              </w:rPr>
              <w:t xml:space="preserve">≥</w:t>
            </w:r>
            <w:r>
              <w:rPr>
                <w:rFonts w:hint="eastAsia" w:ascii="宋体" w:hAnsi="宋体" w:cs="宋体"/>
                <w:color w:val="000000"/>
                <w:highlight w:val="none"/>
                <w:lang w:bidi="ar"/>
              </w:rPr>
              <w:t xml:space="preserve">2.7 A；输入功率：</w:t>
            </w:r>
            <w:r>
              <w:rPr>
                <w:rStyle w:val="1396"/>
                <w:color w:val="000000"/>
                <w:sz w:val="24"/>
                <w:szCs w:val="24"/>
                <w:highlight w:val="none"/>
                <w:lang w:bidi="ar"/>
              </w:rPr>
              <w:t xml:space="preserve">≥</w:t>
            </w:r>
            <w:r>
              <w:rPr>
                <w:rFonts w:hint="eastAsia" w:ascii="宋体" w:hAnsi="宋体" w:cs="宋体"/>
                <w:color w:val="000000"/>
                <w:highlight w:val="none"/>
                <w:lang w:bidi="ar"/>
              </w:rPr>
              <w:t xml:space="preserve">0.55kW，排气流量：</w:t>
            </w:r>
            <w:r>
              <w:rPr>
                <w:rStyle w:val="1396"/>
                <w:color w:val="000000"/>
                <w:sz w:val="24"/>
                <w:szCs w:val="24"/>
                <w:highlight w:val="none"/>
                <w:lang w:bidi="ar"/>
              </w:rPr>
              <w:t xml:space="preserve">≥</w:t>
            </w:r>
            <w:r>
              <w:rPr>
                <w:rFonts w:hint="eastAsia" w:ascii="宋体" w:hAnsi="宋体" w:cs="宋体"/>
                <w:color w:val="000000"/>
                <w:highlight w:val="none"/>
                <w:lang w:bidi="ar"/>
              </w:rPr>
              <w:t xml:space="preserve">0.032 m³/min，额定压力：</w:t>
            </w:r>
            <w:r>
              <w:rPr>
                <w:rStyle w:val="1396"/>
                <w:color w:val="000000"/>
                <w:sz w:val="24"/>
                <w:szCs w:val="24"/>
                <w:highlight w:val="none"/>
                <w:lang w:bidi="ar"/>
              </w:rPr>
              <w:t xml:space="preserve">≥</w:t>
            </w:r>
            <w:r>
              <w:rPr>
                <w:rFonts w:hint="eastAsia" w:ascii="宋体" w:hAnsi="宋体" w:cs="宋体"/>
                <w:color w:val="000000"/>
                <w:highlight w:val="none"/>
                <w:lang w:bidi="ar"/>
              </w:rPr>
              <w:t xml:space="preserve">0.7 MPa额定转速：≥1380 r/min</w:t>
            </w:r>
            <w:r>
              <w:rPr>
                <w:rFonts w:ascii="宋体" w:hAnsi="宋体" w:cs="宋体"/>
                <w:color w:val="000000"/>
                <w:highlight w:val="none"/>
                <w:lang w:bidi="ar"/>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9.静音排风机：</w:t>
            </w:r>
            <w:r>
              <w:rPr>
                <w:rStyle w:val="1396"/>
                <w:color w:val="000000"/>
                <w:sz w:val="24"/>
                <w:szCs w:val="24"/>
                <w:highlight w:val="none"/>
                <w:lang w:bidi="ar"/>
              </w:rPr>
              <w:t xml:space="preserve">接口口径：≥Ø150mm；电压：110</w:t>
            </w:r>
            <w:r>
              <w:rPr>
                <w:rStyle w:val="1396"/>
                <w:color w:val="000000"/>
                <w:sz w:val="24"/>
                <w:szCs w:val="24"/>
                <w:highlight w:val="none"/>
                <w:lang w:bidi="ar"/>
              </w:rPr>
              <w:t xml:space="preserve">240VAC；最大电流：≥0.94A；转速：≥30000r/min；风量：≥647m³/h；风压：≥503Pa</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124</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color w:val="000000"/>
                <w:highlight w:val="none"/>
              </w:rPr>
              <w:t xml:space="preserve">微型精密车床</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lang w:bidi="ar"/>
              </w:rPr>
            </w:pPr>
            <w:r>
              <w:rPr>
                <w:rFonts w:hint="eastAsia" w:ascii="宋体" w:hAnsi="宋体" w:cs="宋体"/>
                <w:color w:val="000000"/>
                <w:highlight w:val="none"/>
                <w:lang w:bidi="ar"/>
              </w:rPr>
              <w:t xml:space="preserve">1.车床外观尺寸：≥560*270*170mm（长*宽*高）；心间距：≥250mm；主轴旋转距离：≥70mm；轴心距工作台高度：≥46mm；正爪：2-27mm,max.90mm；反爪：25-71mm；十字滑板调节范围：≥60mm；上滑板调节范围：≥45mm；主轴</w:t>
            </w:r>
            <w:r>
              <w:rPr>
                <w:rFonts w:hint="eastAsia" w:ascii="宋体" w:hAnsi="宋体" w:cs="宋体"/>
                <w:color w:val="000000"/>
                <w:highlight w:val="none"/>
                <w:lang w:bidi="ar"/>
              </w:rPr>
              <w:t xml:space="preserve">贯通孔径：10.5mm；卡盘侧凸支座锥孔：MK2;刀柄：≥8*8mm；可车削螺纹规格：0.5/0.625/0.7/0.75/0.8/1.0/1.25/1.5mm；主轴转速~V型皮带传动速度：300/900和3000rpm；主轴转速~电子控速：25%-100%；自动进给螺距：0.05mm和0.1mm/圈；尾座心轴行程：≥30mm；尾座锥孔：MK1；含集屑盘、工业用电钻夹头、5件套含钴高速钢车刀组≥8*8*80mm（5支组）、3件套含钴高速钢车刀组≥8*8*80mm（3支组）、中心钻头组（3支组）各不少于1组。</w:t>
            </w:r>
            <w:r>
              <w:rPr>
                <w:rFonts w:ascii="宋体" w:hAnsi="宋体" w:cs="宋体"/>
                <w:color w:val="000000"/>
                <w:highlight w:val="none"/>
                <w:lang w:bidi="ar"/>
              </w:rPr>
            </w:r>
            <w:r/>
          </w:p>
          <w:p>
            <w:pPr>
              <w:pStyle w:val="933"/>
              <w:widowControl/>
              <w:rPr>
                <w:rFonts w:ascii="宋体" w:hAnsi="宋体" w:cs="宋体"/>
                <w:color w:val="000000"/>
                <w:highlight w:val="none"/>
                <w:lang w:bidi="ar"/>
              </w:rPr>
            </w:pPr>
            <w:r>
              <w:rPr>
                <w:rFonts w:hint="eastAsia" w:ascii="宋体" w:hAnsi="宋体" w:cs="宋体"/>
                <w:color w:val="000000"/>
                <w:highlight w:val="none"/>
                <w:lang w:bidi="ar"/>
              </w:rPr>
              <w:t xml:space="preserve">▲2.</w:t>
            </w:r>
            <w:r>
              <w:rPr>
                <w:rFonts w:ascii="宋体" w:hAnsi="宋体" w:cs="宋体"/>
                <w:color w:val="000000"/>
                <w:highlight w:val="none"/>
                <w:lang w:bidi="ar"/>
              </w:rPr>
              <w:t xml:space="preserve">主轴径向圆跳动（近端面）</w:t>
            </w:r>
            <w:r>
              <w:rPr>
                <w:rFonts w:hint="eastAsia" w:ascii="宋体" w:hAnsi="宋体" w:cs="宋体"/>
                <w:color w:val="000000"/>
                <w:highlight w:val="none"/>
                <w:lang w:bidi="ar"/>
              </w:rPr>
              <w:t xml:space="preserve">：</w:t>
            </w:r>
            <w:r>
              <w:rPr>
                <w:rFonts w:ascii="宋体" w:hAnsi="宋体" w:cs="宋体"/>
                <w:color w:val="000000"/>
                <w:highlight w:val="none"/>
                <w:lang w:bidi="ar"/>
              </w:rPr>
              <w:t xml:space="preserve">≤0.010</w:t>
            </w:r>
            <w:r>
              <w:rPr>
                <w:rFonts w:hint="eastAsia" w:ascii="宋体" w:hAnsi="宋体" w:cs="宋体"/>
                <w:color w:val="000000"/>
                <w:highlight w:val="none"/>
                <w:lang w:bidi="ar"/>
              </w:rPr>
              <w:t xml:space="preserve">mm；</w:t>
            </w:r>
            <w:r>
              <w:rPr>
                <w:rFonts w:ascii="宋体" w:hAnsi="宋体" w:cs="宋体"/>
                <w:color w:val="000000"/>
                <w:highlight w:val="none"/>
                <w:lang w:bidi="ar"/>
              </w:rPr>
              <w:t xml:space="preserve">主轴端面圆跳动（轴向窜动）</w:t>
            </w:r>
            <w:r>
              <w:rPr>
                <w:rFonts w:hint="eastAsia" w:ascii="宋体" w:hAnsi="宋体" w:cs="宋体"/>
                <w:color w:val="000000"/>
                <w:highlight w:val="none"/>
                <w:lang w:bidi="ar"/>
              </w:rPr>
              <w:t xml:space="preserve">：</w:t>
            </w:r>
            <w:r>
              <w:rPr>
                <w:rFonts w:ascii="宋体" w:hAnsi="宋体" w:cs="宋体"/>
                <w:color w:val="000000"/>
                <w:highlight w:val="none"/>
                <w:lang w:bidi="ar"/>
              </w:rPr>
              <w:t xml:space="preserve">≤0.008</w:t>
            </w:r>
            <w:r>
              <w:rPr>
                <w:rFonts w:hint="eastAsia" w:ascii="宋体" w:hAnsi="宋体" w:cs="宋体"/>
                <w:color w:val="000000"/>
                <w:highlight w:val="none"/>
                <w:lang w:bidi="ar"/>
              </w:rPr>
              <w:t xml:space="preserve">mm；</w:t>
            </w:r>
            <w:r>
              <w:rPr>
                <w:rFonts w:ascii="宋体" w:hAnsi="宋体" w:cs="宋体"/>
                <w:color w:val="000000"/>
                <w:highlight w:val="none"/>
                <w:lang w:bidi="ar"/>
              </w:rPr>
              <w:t xml:space="preserve">床身导轨纵向直线度</w:t>
            </w:r>
            <w:r>
              <w:rPr>
                <w:rFonts w:hint="eastAsia" w:ascii="宋体" w:hAnsi="宋体" w:cs="宋体"/>
                <w:color w:val="000000"/>
                <w:highlight w:val="none"/>
                <w:lang w:bidi="ar"/>
              </w:rPr>
              <w:t xml:space="preserve">：</w:t>
            </w:r>
            <w:r>
              <w:rPr>
                <w:rFonts w:ascii="宋体" w:hAnsi="宋体" w:cs="宋体"/>
                <w:color w:val="000000"/>
                <w:highlight w:val="none"/>
                <w:lang w:bidi="ar"/>
              </w:rPr>
              <w:t xml:space="preserve">全长≤0.020</w:t>
            </w:r>
            <w:r>
              <w:rPr>
                <w:rFonts w:hint="eastAsia" w:ascii="宋体" w:hAnsi="宋体" w:cs="宋体"/>
                <w:color w:val="000000"/>
                <w:highlight w:val="none"/>
                <w:lang w:bidi="ar"/>
              </w:rPr>
              <w:t xml:space="preserve">mm；</w:t>
            </w:r>
            <w:r>
              <w:rPr>
                <w:rFonts w:ascii="宋体" w:hAnsi="宋体" w:cs="宋体"/>
                <w:color w:val="000000"/>
                <w:highlight w:val="none"/>
                <w:lang w:bidi="ar"/>
              </w:rPr>
              <w:t xml:space="preserve">主轴轴线对床身导轨平行度</w:t>
            </w:r>
            <w:r>
              <w:rPr>
                <w:rFonts w:hint="eastAsia" w:ascii="宋体" w:hAnsi="宋体" w:cs="宋体"/>
                <w:color w:val="000000"/>
                <w:highlight w:val="none"/>
                <w:lang w:bidi="ar"/>
              </w:rPr>
              <w:t xml:space="preserve">：</w:t>
            </w:r>
            <w:r>
              <w:rPr>
                <w:rFonts w:ascii="宋体" w:hAnsi="宋体" w:cs="宋体"/>
                <w:color w:val="000000"/>
                <w:highlight w:val="none"/>
                <w:lang w:bidi="ar"/>
              </w:rPr>
              <w:t xml:space="preserve">垂直面≤0.02</w:t>
            </w:r>
            <w:r>
              <w:rPr>
                <w:rFonts w:hint="eastAsia" w:ascii="宋体" w:hAnsi="宋体" w:cs="宋体"/>
                <w:color w:val="000000"/>
                <w:highlight w:val="none"/>
                <w:lang w:bidi="ar"/>
              </w:rPr>
              <w:t xml:space="preserve">mm</w:t>
            </w:r>
            <w:r>
              <w:rPr>
                <w:rFonts w:ascii="宋体" w:hAnsi="宋体" w:cs="宋体"/>
                <w:color w:val="000000"/>
                <w:highlight w:val="none"/>
                <w:lang w:bidi="ar"/>
              </w:rPr>
              <w:t xml:space="preserve">；水平面≤0.015</w:t>
            </w:r>
            <w:r>
              <w:rPr>
                <w:rFonts w:hint="eastAsia" w:ascii="宋体" w:hAnsi="宋体" w:cs="宋体"/>
                <w:color w:val="000000"/>
                <w:highlight w:val="none"/>
                <w:lang w:bidi="ar"/>
              </w:rPr>
              <w:t xml:space="preserve">mm；</w:t>
            </w:r>
            <w:r>
              <w:rPr>
                <w:rFonts w:ascii="宋体" w:hAnsi="宋体" w:cs="宋体"/>
                <w:color w:val="000000"/>
                <w:highlight w:val="none"/>
                <w:lang w:bidi="ar"/>
              </w:rPr>
              <w:t xml:space="preserve">两顶尖距</w:t>
            </w:r>
            <w:r>
              <w:rPr>
                <w:rFonts w:hint="eastAsia" w:ascii="宋体" w:hAnsi="宋体" w:cs="宋体"/>
                <w:color w:val="000000"/>
                <w:highlight w:val="none"/>
                <w:lang w:bidi="ar"/>
              </w:rPr>
              <w:t xml:space="preserve">：</w:t>
            </w:r>
            <w:r>
              <w:rPr>
                <w:rFonts w:ascii="宋体" w:hAnsi="宋体" w:cs="宋体"/>
                <w:color w:val="000000"/>
                <w:highlight w:val="none"/>
                <w:lang w:bidi="ar"/>
              </w:rPr>
              <w:t xml:space="preserve">标称值250</w:t>
            </w:r>
            <w:r>
              <w:rPr>
                <w:rFonts w:hint="eastAsia" w:ascii="宋体" w:hAnsi="宋体" w:cs="宋体"/>
                <w:color w:val="000000"/>
                <w:highlight w:val="none"/>
                <w:lang w:bidi="ar"/>
              </w:rPr>
              <w:t xml:space="preserve">mm</w:t>
            </w:r>
            <w:r>
              <w:rPr>
                <w:rFonts w:ascii="宋体" w:hAnsi="宋体" w:cs="宋体"/>
                <w:color w:val="000000"/>
                <w:highlight w:val="none"/>
                <w:lang w:bidi="ar"/>
              </w:rPr>
              <w:t xml:space="preserve">，偏差≤±0.5</w:t>
            </w:r>
            <w:r>
              <w:rPr>
                <w:rFonts w:hint="eastAsia" w:ascii="宋体" w:hAnsi="宋体" w:cs="宋体"/>
                <w:color w:val="000000"/>
                <w:highlight w:val="none"/>
                <w:lang w:bidi="ar"/>
              </w:rPr>
              <w:t xml:space="preserve">mm。（提供第三方检测机构出具的检验报告扫描件加盖公章）</w:t>
            </w:r>
            <w:r>
              <w:rPr>
                <w:rFonts w:ascii="宋体" w:hAnsi="宋体" w:cs="宋体"/>
                <w:color w:val="000000"/>
                <w:highlight w:val="none"/>
                <w:lang w:bidi="ar"/>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125</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台式钻床</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最大钻孔直径：≥12.7mm；立柱直径：≥70mm；主轴最大行程：≥100mm；主轴中心至立柱表面距离：≥193mm；主轴端至工作台面最大距离：≥340mm；主轴端至底座台面最大距离：≥560mm；主轴锥度：外锥B16；主轴变速范围：480/800/1400/2400/4100r/min；主轴变速级数：≥5级；工作台面尺寸：≥270x265mm；底座尺寸：≥490x365mm；定深方式：标杆尺；工作台槽距/底座槽距：≥140mm/130mm；总高：≥1150mm；底座台面尺寸：≥260x280mm</w:t>
            </w:r>
            <w:r>
              <w:rPr>
                <w:rFonts w:hint="eastAsia"/>
                <w:color w:val="000000"/>
                <w:highlight w:val="none"/>
              </w:rPr>
              <w:t xml:space="preserve">。</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126</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夹具</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1.规格：4寸</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127</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台式砂轮机</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1.砂轮规格：≥200mmx20mm*32mm;额定功率：≥500W;砂轮转速：≥2850r/min</w:t>
            </w:r>
            <w:r>
              <w:rPr>
                <w:rFonts w:ascii="宋体" w:hAnsi="宋体" w:cs="宋体"/>
                <w:color w:val="000000"/>
                <w:highlight w:val="none"/>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128</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手动弯折机</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1.可折长度/厚度：≥600mm/1mm；喉口深度/宽度：≥150mm/500mm；可折材料厚度：≥1mm（材质：Q325-A3板、铁板、镀锌板、冷轧板、铜板、铝板等）</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129</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加工粉末收集装置</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1.容量≥20L集尘机器。</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130</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木工台锯（带安全防护）</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1.功率：≥1500W。全金属材质，表面静电喷漆，光滑细腻，色彩鲜艳,配有带有刻度安全防护推板。</w:t>
            </w:r>
            <w:r>
              <w:rPr>
                <w:rFonts w:ascii="宋体" w:hAnsi="宋体" w:cs="宋体"/>
                <w:color w:val="000000"/>
                <w:highlight w:val="none"/>
                <w:lang w:bidi="ar"/>
              </w:rPr>
              <w:br w:type="textWrapping" w:clear="all"/>
            </w:r>
            <w:r>
              <w:rPr>
                <w:rFonts w:ascii="宋体" w:hAnsi="宋体" w:cs="宋体"/>
                <w:color w:val="000000"/>
                <w:highlight w:val="none"/>
                <w:lang w:bidi="ar"/>
              </w:rPr>
              <w:t xml:space="preserve">2、</w:t>
            </w:r>
            <w:r>
              <w:rPr>
                <w:rFonts w:hint="eastAsia" w:ascii="宋体" w:hAnsi="宋体" w:cs="宋体"/>
                <w:color w:val="000000"/>
                <w:highlight w:val="none"/>
                <w:lang w:bidi="ar"/>
              </w:rPr>
              <w:t xml:space="preserve">分料刀厚度：≥2.0mm；空载转速：≥4500/min；锯片最大直径：≥210mm；锯片内孔：≥25.4mm；锯片角度调节范围：0°-45°；90°最大切割深度：≥70mm；45°最大切割深度：≥50mm。最大切割木材厚度≥55毫米，下部配有吸尘器转接口。</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3、锯片可升降可45度倾斜，自由调节角度适应不同木质材料的切割特性。硬管链接，推板和靠板辅助切割，钢结构外壳+不锈钢切割台面。</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131</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木工实验教具</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Style w:val="1396"/>
                <w:color w:val="000000"/>
                <w:sz w:val="24"/>
                <w:szCs w:val="24"/>
                <w:highlight w:val="none"/>
                <w:lang w:bidi="ar"/>
              </w:rPr>
              <w:t xml:space="preserve">1、材质规格：采用天然橡木，尺寸参数：标准尺寸≥600mm×400mm（长×宽），尺寸公差≤±2mm，厚度规格：标称厚度≥20mm，实际厚度公差±0.5mm，表面处理：全表面精细抛光处理，表面光滑细腻，无毛刺、划痕，手感温润，木纹自然呈现，无过度打磨导致的纹理损伤。</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132</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格斗机器人有刷电调（一拖二）</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1.输入电压：10-35V；控制信号：PWM 波；外形尺寸：</w:t>
            </w:r>
            <w:r>
              <w:rPr>
                <w:rStyle w:val="1396"/>
                <w:color w:val="000000"/>
                <w:sz w:val="24"/>
                <w:szCs w:val="24"/>
                <w:highlight w:val="none"/>
                <w:lang w:bidi="ar"/>
              </w:rPr>
              <w:t xml:space="preserve">≥</w:t>
            </w:r>
            <w:r>
              <w:rPr>
                <w:rFonts w:hint="eastAsia" w:ascii="宋体" w:hAnsi="宋体" w:cs="宋体"/>
                <w:color w:val="000000"/>
                <w:highlight w:val="none"/>
                <w:lang w:bidi="ar"/>
              </w:rPr>
              <w:t xml:space="preserve">47*69mm；信号端输出电流：3A；信号端输出电压：5-7V 可调；响应时间：≤2ms；过热保护：100℃；持续输出电流：≥120A；瞬时峰值电流：≥960A；工作温度范围：-20℃~70℃。</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133</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格斗机器人有刷电调1</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1.最大功率380W，降速至360转</w:t>
            </w:r>
            <w:r>
              <w:rPr>
                <w:rFonts w:ascii="宋体" w:hAnsi="宋体" w:cs="宋体"/>
                <w:color w:val="000000"/>
                <w:highlight w:val="none"/>
              </w:rPr>
            </w:r>
            <w:r/>
          </w:p>
        </w:tc>
      </w:tr>
      <w:tr>
        <w:trPr>
          <w:trHeight w:val="292"/>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134</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格斗机器人有刷电调2</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1.最大功率580W，降速至360转</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135</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硅胶胎1</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新硅胶胎50mm配6mm六角连轴器</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136</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硅胶胎2</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新硅胶胎55mm配8mm特制联轴器</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137</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双喷嘴多色3D打印机</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lang w:bidi="ar"/>
              </w:rPr>
            </w:pPr>
            <w:r>
              <w:rPr>
                <w:rFonts w:hint="eastAsia" w:ascii="宋体" w:hAnsi="宋体" w:cs="宋体"/>
                <w:color w:val="000000"/>
                <w:highlight w:val="none"/>
                <w:lang w:bidi="ar"/>
              </w:rPr>
              <w:t xml:space="preserve">1、成型技术：熔融沉积成型；框架为铝材和钢材构成，外壳为塑料和玻璃构成；机身最大尺寸(长×宽×高)≥492×514×626 mm，最大打印尺寸(长×宽×高)：单喷嘴模式≥325×320×325 mm、双喷嘴交集模式≥300×320×325 mm、双喷嘴并集模式≥350×320×325 mm；工具头：全金属热端、硬化钢挤出机齿轮、硬化钢喷嘴，内置工具头切刀，喷嘴最高温度≥350℃、喷嘴直径自带0.4 mm；机器标配双面纹理PEI打印面板，可扩展光面打印面板，热床最高温度不低于120℃；</w:t>
            </w:r>
            <w:r>
              <w:rPr>
                <w:rFonts w:ascii="宋体" w:hAnsi="宋体" w:cs="宋体"/>
                <w:color w:val="000000"/>
                <w:highlight w:val="none"/>
                <w:lang w:bidi="ar"/>
              </w:rPr>
            </w:r>
            <w:r/>
          </w:p>
          <w:p>
            <w:pPr>
              <w:pStyle w:val="933"/>
              <w:widowControl/>
              <w:rPr>
                <w:rFonts w:hint="eastAsia" w:ascii="宋体" w:hAnsi="宋体" w:cs="宋体"/>
                <w:b/>
                <w:bCs/>
                <w:color w:val="000000"/>
                <w:highlight w:val="none"/>
                <w:lang w:bidi="ar"/>
              </w:rPr>
            </w:pPr>
            <w:r>
              <w:rPr>
                <w:rFonts w:hint="eastAsia" w:ascii="宋体" w:hAnsi="宋体" w:cs="宋体"/>
                <w:color w:val="000000"/>
                <w:highlight w:val="none"/>
                <w:lang w:bidi="ar"/>
              </w:rPr>
              <w:t xml:space="preserve">2、工具头最大移动速度≥1000 mm/s，工具头最大移动加速度≥20000 mm/s²，热端最大流速≥65 mm³/s；</w:t>
            </w:r>
            <w:r>
              <w:rPr>
                <w:rFonts w:hint="eastAsia" w:ascii="宋体" w:hAnsi="宋体" w:cs="宋体"/>
                <w:b/>
                <w:bCs/>
                <w:color w:val="000000"/>
                <w:highlight w:val="none"/>
                <w:lang w:bidi="ar"/>
              </w:rPr>
              <w:t xml:space="preserve"> </w:t>
            </w:r>
            <w:r>
              <w:rPr>
                <w:rFonts w:hint="eastAsia" w:ascii="宋体" w:hAnsi="宋体" w:cs="宋体"/>
                <w:b/>
                <w:bCs/>
                <w:color w:val="000000"/>
                <w:highlight w:val="none"/>
                <w:lang w:bidi="ar"/>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3、支持耗材类型：PLA、PETG、TPU、ABS、ASA、PVA、PET、尼龙线材（PA)、聚碳酸酯线材（PC)、PPA-CF/GF、PPS、PPS-CF/GF、碳/玻璃纤维增强线材及相关支撑隔离材料等；</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4、支持热端快拆、主动振动补偿、全自动双喷嘴偏移校准、自动热床调平；</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5、配备三摄像头计算机视觉系统，支持AI首层检测、炒面检测；配备喷嘴摄像头、工具头摄像头，支持开门检测；支持断料检测、缠料检测、断电续打，具备监控打印机状态的健康管理系统；支持耗材用量及余料检测，支持多色打印，最多支持≥不少于25色；</w:t>
            </w:r>
            <w:r>
              <w:rPr>
                <w:rFonts w:hint="eastAsia" w:ascii="宋体" w:hAnsi="宋体" w:cs="宋体"/>
                <w:color w:val="000000"/>
                <w:highlight w:val="none"/>
                <w:lang w:bidi="ar"/>
              </w:rPr>
              <w:br w:type="textWrapping" w:clear="all"/>
            </w:r>
            <w:r>
              <w:rPr>
                <w:rFonts w:hint="eastAsia" w:ascii="宋体" w:hAnsi="宋体" w:cs="宋体"/>
                <w:color w:val="000000"/>
                <w:highlight w:val="none"/>
                <w:lang w:val="en-US" w:eastAsia="zh-CN" w:bidi="ar"/>
              </w:rPr>
              <w:t xml:space="preserve">6</w:t>
            </w:r>
            <w:r>
              <w:rPr>
                <w:rFonts w:hint="eastAsia" w:ascii="宋体" w:hAnsi="宋体" w:cs="宋体"/>
                <w:color w:val="000000"/>
                <w:highlight w:val="none"/>
                <w:lang w:bidi="ar"/>
              </w:rPr>
              <w:t xml:space="preserve">、自带空气过滤系统，支持自适应空气循环，配备椰壳活性炭滤芯，初级过滤等级G3，HEPA滤网等级H12；支持主动腔热控制，多传感器闭环温控，最大加热腔温≥不低于65℃；配备全闭环控制风扇系统，确保打印的高质量和可靠性；</w:t>
            </w:r>
            <w:r>
              <w:rPr>
                <w:rFonts w:hint="eastAsia" w:ascii="宋体" w:hAnsi="宋体" w:cs="宋体"/>
                <w:color w:val="000000"/>
                <w:highlight w:val="none"/>
                <w:lang w:bidi="ar"/>
              </w:rPr>
              <w:br w:type="textWrapping" w:clear="all"/>
            </w:r>
            <w:r>
              <w:rPr>
                <w:rFonts w:hint="eastAsia" w:ascii="宋体" w:hAnsi="宋体" w:cs="宋体"/>
                <w:color w:val="000000"/>
                <w:highlight w:val="none"/>
                <w:lang w:val="en-US" w:eastAsia="zh-CN" w:bidi="ar"/>
              </w:rPr>
              <w:t xml:space="preserve">7</w:t>
            </w:r>
            <w:r>
              <w:rPr>
                <w:rFonts w:hint="eastAsia" w:ascii="宋体" w:hAnsi="宋体" w:cs="宋体"/>
                <w:color w:val="000000"/>
                <w:highlight w:val="none"/>
                <w:lang w:bidi="ar"/>
              </w:rPr>
              <w:t xml:space="preserve">、配备触摸显示屏，屏幕尺寸≤5英寸，内置高清相机，支持实时监控及延时摄影；支持通过触摸显示屏、手机端APP、电脑端应用三种操作界面控制；</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138</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3D打印机</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lang w:bidi="ar"/>
              </w:rPr>
            </w:pPr>
            <w:r>
              <w:rPr>
                <w:rFonts w:hint="eastAsia" w:ascii="宋体" w:hAnsi="宋体" w:cs="宋体"/>
                <w:color w:val="000000"/>
                <w:highlight w:val="none"/>
                <w:lang w:bidi="ar"/>
              </w:rPr>
              <w:t xml:space="preserve">1.成型技术：熔融沉积成型；机身</w:t>
            </w:r>
            <w:r>
              <w:rPr>
                <w:rFonts w:hint="eastAsia" w:ascii="宋体" w:hAnsi="宋体" w:cs="宋体"/>
                <w:color w:val="000000"/>
                <w:highlight w:val="none"/>
                <w:lang w:bidi="ar"/>
              </w:rPr>
              <w:t xml:space="preserve">最大尺寸(长×宽×高)≥492×514×626 mm，最大打印尺寸(长×宽×高)≥340×320×340 mm；框架为铝材和钢材构成，外壳为塑料和玻璃构成；工具头：全金属热端、硬化钢挤出机齿轮、硬化钢喷嘴，内置工具头切刀，喷嘴最高温度≥350 ℃、标配喷嘴直径≥0.4 mm；机器标配双面纹理PEI打印面板，可扩展光面打印面板，热床最高温度≥120℃；工具头最大移动速度≥1000 mm/s，工具头最大移动加速度≥20000 mm/s²，普通热端最大流速≥40 mm³/s，大流量热端最大流速≥65 mm³/s；</w:t>
            </w:r>
            <w:r>
              <w:rPr>
                <w:rFonts w:ascii="宋体" w:hAnsi="宋体" w:cs="宋体"/>
                <w:color w:val="000000"/>
                <w:highlight w:val="none"/>
                <w:lang w:bidi="ar"/>
              </w:rPr>
            </w:r>
            <w:r/>
          </w:p>
          <w:p>
            <w:pPr>
              <w:pStyle w:val="933"/>
              <w:widowControl/>
              <w:rPr>
                <w:rFonts w:ascii="宋体" w:hAnsi="宋体" w:cs="宋体"/>
                <w:color w:val="000000"/>
                <w:highlight w:val="none"/>
                <w:lang w:bidi="ar"/>
              </w:rPr>
            </w:pPr>
            <w:r>
              <w:rPr>
                <w:rFonts w:hint="eastAsia" w:ascii="宋体" w:hAnsi="宋体" w:cs="宋体"/>
                <w:color w:val="000000"/>
                <w:highlight w:val="none"/>
                <w:lang w:bidi="ar"/>
              </w:rPr>
              <w:t xml:space="preserve">2.支持耗材类型：PLA，PETG，TPU，PVA，BVOH，ABS，ASA，PC，PA，PET，Carbon/Glass Fiber Reinforced PLA、PETG、PA、PET、PC、ABS、ASA，PPA-CF/GF，PPS，PPS-CF/GF等；支持热端快拆、主动振动补偿、自动热床调平；</w:t>
            </w:r>
            <w:r>
              <w:rPr>
                <w:rFonts w:ascii="宋体" w:hAnsi="宋体" w:cs="宋体"/>
                <w:color w:val="000000"/>
                <w:highlight w:val="none"/>
                <w:lang w:bidi="ar"/>
              </w:rPr>
            </w:r>
            <w:r/>
          </w:p>
          <w:p>
            <w:pPr>
              <w:pStyle w:val="933"/>
              <w:widowControl/>
              <w:rPr>
                <w:rFonts w:ascii="宋体" w:hAnsi="宋体" w:cs="宋体"/>
                <w:color w:val="000000"/>
                <w:highlight w:val="none"/>
                <w:lang w:bidi="ar"/>
              </w:rPr>
            </w:pPr>
            <w:r>
              <w:rPr>
                <w:rFonts w:hint="eastAsia" w:ascii="宋体" w:hAnsi="宋体" w:cs="宋体"/>
                <w:color w:val="000000"/>
                <w:highlight w:val="none"/>
                <w:lang w:bidi="ar"/>
              </w:rPr>
              <w:t xml:space="preserve">3.配备双摄像头计算机视觉系统，实现高精度打印，支持AI首层检测、炒面检测、异物检测、硬件配置扫描；支持开门检测、断料检测、缠料检测、断电续打，具备监控打印机状态的健康管理系统；支持耗材用量及余料检测，支持多色打印，最多支持≥24色；</w:t>
            </w:r>
            <w:r>
              <w:rPr>
                <w:rFonts w:ascii="宋体" w:hAnsi="宋体" w:cs="宋体"/>
                <w:color w:val="000000"/>
                <w:highlight w:val="none"/>
                <w:lang w:bidi="ar"/>
              </w:rPr>
            </w:r>
            <w:r/>
          </w:p>
          <w:p>
            <w:pPr>
              <w:pStyle w:val="933"/>
              <w:widowControl/>
              <w:rPr>
                <w:rFonts w:ascii="宋体" w:hAnsi="宋体" w:cs="宋体"/>
                <w:color w:val="000000"/>
                <w:highlight w:val="none"/>
                <w:lang w:bidi="ar"/>
              </w:rPr>
            </w:pPr>
            <w:r>
              <w:rPr>
                <w:rFonts w:hint="eastAsia" w:ascii="宋体" w:hAnsi="宋体" w:cs="宋体"/>
                <w:color w:val="000000"/>
                <w:highlight w:val="none"/>
                <w:lang w:bidi="ar"/>
              </w:rPr>
              <w:t xml:space="preserve">4.配备全闭环控制风扇系统，确保打印的高质量和可靠性；自带自动风门与过滤系统，支持自适应空气循环，配备椰壳活性炭滤芯，初级过滤等级G3，HEPA滤网等级H12；支持主动腔热控制，多传感器闭环温控，最大加热腔温≥65℃；</w:t>
            </w:r>
            <w:r>
              <w:rPr>
                <w:rFonts w:ascii="宋体" w:hAnsi="宋体" w:cs="宋体"/>
                <w:color w:val="000000"/>
                <w:highlight w:val="none"/>
                <w:lang w:bidi="ar"/>
              </w:rPr>
            </w:r>
            <w:r/>
          </w:p>
          <w:p>
            <w:pPr>
              <w:pStyle w:val="933"/>
              <w:widowControl/>
              <w:rPr>
                <w:rFonts w:ascii="宋体" w:hAnsi="宋体" w:cs="宋体"/>
                <w:color w:val="000000"/>
                <w:highlight w:val="none"/>
              </w:rPr>
            </w:pPr>
            <w:r>
              <w:rPr>
                <w:rFonts w:hint="eastAsia" w:ascii="宋体" w:hAnsi="宋体" w:cs="宋体"/>
                <w:color w:val="000000"/>
                <w:highlight w:val="none"/>
                <w:lang w:bidi="ar"/>
              </w:rPr>
              <w:t xml:space="preserve">5.配备触摸显示屏，屏幕尺寸≤5英寸，内置高清相机，支持实时监控及延时摄影；支持通过触摸显示屏、手机端APP、电脑端应用三种操作界面控制；</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139</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1/4W电阻1</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100Ω，一盒（5000个）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140</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1/4W电阻2</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1KΩ，一盒（5000个）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141</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1/4W电阻3</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10KΩ,一盒（5000个）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142</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1/4W电阻4</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100KΩ,一盒（5000个）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143</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1/4W电阻5</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1MΩ,一盒（5000个）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144</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1/4W电阻6</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200Ω,一盒（5000个）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145</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1/4W电阻7</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2KΩ,一盒（5000个）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146</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1/4W电阻8</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20KΩ,一盒（5000个）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147</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1/4W电阻9</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200KΩ,一盒（5000个）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148</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1/4W电阻10</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2MΩ，一盒（5000个）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149</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1/4W电阻11</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47Ω，一盒（5000个）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150</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1/4W电阻12</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470Ω,一盒（5000个）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151</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1/4W电阻13</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4.7KΩ,一盒（5000个）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152</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1/4W电阻14</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5.1KΩ,一盒（5000个）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153</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1/4W电阻15</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47KΩ,一盒（5000个）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154</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1/4W电阻16</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51KΩ,一盒（5000个）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155</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1/4W电阻17</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68KΩ,一盒（5000个）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156</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1/4W电阻18</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470KΩ,一盒（5000个）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157</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1/4W电阻19</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510KΩ,一盒（5000个）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158</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1/4W电阻20</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8.2KΩ,一盒（5000个）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159</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1/4W电阻21</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820Ω,一盒（5000个）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160</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1/4W电阻22</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820kΩ,一盒（5000个）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161</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1/4W电阻23</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5.1Ω,1000个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162</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1/4W电阻24</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10Ω,1000个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163</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1/4W电阻25</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51Ω,1000个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164</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光敏电阻</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1.光敏电阻,MG45，200/包</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165</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三极管</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1.S8050,一包（1000个）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166</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5MM发光二极管</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1.红,一包（1000个）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167</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5V电烙铁</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1.紫色尖咀款,1套</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168</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示波器</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1.扫描开关采用数字编码开关，能对电压和频率作定量测量。电压最高灵敏度为10mV/div以上的垂直偏转旋钮（伏/格选择）；有能准确读出信号频率的扫描偏转系数旋钮（时基/格选择）；带宽：DC～10MHz(3db)。</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169</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激光专用护目镜</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1.防紫外线、防蓝光，满足阻挡激光要求。</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170</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防割手套</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1.高强度、抗割、耐磨，可以有效防止刀具、玻璃碎片等尖锐物体对手部造成的切割伤害。</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171</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数显游标卡尺</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1.精准度：±0.02mm 量程：0~150mm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172</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丁字尺</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1.60cm丁字尺</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173</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特硬高含钴麻花钻头1</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1.每袋包含10支规格为2mm的特硬高含钴麻花钻头</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174</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特硬高含钴麻花钻头2</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1.每袋包含5支规格为3.2mm的特硬高含钴麻花钻头</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175</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特硬高含钴麻花钻头3</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1.每袋包含5支规格为4mm的特硬高含钴麻花钻头</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176</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特硬高含钴麻花钻头4</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1.每袋包含5支规格为4.2mm的特硬高含钴麻花钻头</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177</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特硬高含钴麻花钻头5</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1.每袋包含5支规格为5mm的特硬高含钴麻花钻头</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178</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特硬高含钴麻花钻头6</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1.每袋包含2支规格为5.2mm的特硬高含钴麻花钻头</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179</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特硬高含钴麻花钻头7</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1.每袋包含2支规格为6mm的特硬高含钴麻花钻头</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180</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特硬高含钴麻花钻头8</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1.每袋包含2支规格为7mm的特硬高含钴麻花钻头</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181</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特硬高含钴麻花钻头9</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1.每袋包含1支规格为8mm的特硬高含钴麻花钻头</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182</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特硬高含钴麻花钻头10</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1.每袋包含1支规格为10mm的特硬高含钴麻花钻头</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183</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特硬高含钴麻花钻头11</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1.每袋包含1支规格为12mm的特硬高含钴麻花钻头</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184</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镀钛麻花钻1</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1.每套包含10支规格为3.2mm的镀钛麻花钻</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185</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镀钛麻花钻2</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1.每套包含10支规格为4mm的镀钛麻花钻</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186</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亚克力板</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2mm厚度，规格：500x500mm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187</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椴木层板1</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2mm厚度，规格：500x500mm 2张</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188</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椴木层板2</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2mm厚度，规格：600x600mm 2张</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189</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铝片</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1.规格（长度*宽度*厚度）：300mm*300*1mm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190</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锂电池手枪钻</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1.锂电池手枪钻，两电一充，包含工具箱一个，配套自攻螺丝、膨胀管、十字批头等配套辅材</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191</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锂电池角磨机</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1.16.8v锂电池角磨机，两电一充，包含工具箱一个，配套金属切割片、百叶打磨片、木材切割片、瓷砖切割片</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192</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松木长板</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1.松木板规格（长度*宽度*厚度）：1000mm*50mm*10mm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193</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松木条</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1.规格：10mm*10mm*1000mm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194</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桐木条1</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1.规格：3mm*3mm*1000mm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195</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桐木条2</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1.规格：2mm*4mm*1000mm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196</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桐木条3</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1.规格：2mm*6mm*1000mm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197</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实心圆光轴</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1.铁轴，规格：≥直径3mm，长度10cm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198</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橡皮筋</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1.规格：≥直径63mm*宽5mm*厚度1.4mm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199</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热熔胶棒</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1.规格：≥7mm*200mm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200</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锯条</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1.12寸，18齿</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201</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直流可调电源</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1.输出电压：0~30V 输出电流：0~10A 输出功率：300W</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202</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瓷片电容</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1.104M/100V/片径6.2mm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203</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热风枪拆焊台</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1.主机尺寸：≥150*95*140mm；功率消耗：750W；</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204</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货物架</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框架结构，规格≥1500*500*2000mm。采用≥30mm*30mm*1.2mm厚方管钢架，表面经脱脂、磷化、水洗、烘干工艺处理，耐腐蚀、防锈；钢架采用拆装做法；.层板采用≥1.2mm厚镀锌钢板裁剪折弯后满焊点焊接，表面经EPOXY喷涂处理，连接件采用不锈钢连接件。调整脚：采用ABS新料模具一体成型的承重型可调节地脚，螺丝不锈钢材质。</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205</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螺丝收纳盒</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1.灰色,尺寸：≥320*160*85mm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206</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透明收纳箱</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1.透明带盖，规格尺寸：≥465mm*355mm*255mm</w:t>
            </w:r>
            <w:r>
              <w:rPr>
                <w:rFonts w:ascii="宋体" w:hAnsi="宋体" w:cs="宋体"/>
                <w:color w:val="000000"/>
                <w:highlight w:val="none"/>
              </w:rPr>
            </w:r>
            <w:r/>
          </w:p>
        </w:tc>
      </w:tr>
      <w:tr>
        <w:trPr>
          <w:trHeight w:val="1225"/>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207</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立式砂轮机</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1.砂轮规格：≥250*25*32mm；砂轮安全线速度：≥40m/s；功率：≤1100W；电压：380V；频率：50Hz；电流：2.6A；相数：三相；转速：≥2850r/min；附件：粗细砂轮各一个</w:t>
            </w:r>
            <w:r>
              <w:rPr>
                <w:rFonts w:ascii="宋体" w:hAnsi="宋体" w:cs="宋体"/>
                <w:color w:val="000000"/>
                <w:highlight w:val="none"/>
              </w:rPr>
            </w:r>
            <w:r/>
          </w:p>
        </w:tc>
      </w:tr>
      <w:tr>
        <w:trPr>
          <w:trHeight w:val="626"/>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208</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金属探测器DIY电子套件</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1.金属探测器DIY电子套件，套件内包含电阻、电容、PCB板等元器件</w:t>
            </w:r>
            <w:r>
              <w:rPr>
                <w:rFonts w:ascii="宋体" w:hAnsi="宋体" w:cs="宋体"/>
                <w:color w:val="000000"/>
                <w:highlight w:val="none"/>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209</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电子幸运转盘DIY套件</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1.电子幸运转盘DIY套件，套件内包含电阻、电容、LED、开关、PCB板等元器件</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210</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PLA耗材1</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1.基础3D打印耗材，红色，含料盘</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211</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PLA耗材2</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1.基础3D打印耗材，红色，不含料盘</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212</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PLA耗材3</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1.基础3D打印耗材，玉石白，含料盘</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213</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PLA耗材4</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1.基础3D打印耗材，玉石白，不含料盘</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214</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PLA耗材5</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1.基础3D打印耗材，青色，含料盘</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215</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PLA耗材6</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1.基础3D打印耗材，青色，不含料盘</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216</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PLA耗材7</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1.基础3D打印耗材，橙色，含料盘</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217</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PLA耗材8</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1.基础3D打印耗材，橙色，不含料盘</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218</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切割垫</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1.规格：≥575*1800mm，厚度：≥3毫米，PVC材质</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219</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rPr>
              <w:t xml:space="preserve">编码电机</w:t>
            </w:r>
            <w:r>
              <w:rPr>
                <w:rFonts w:hint="eastAsia" w:ascii="宋体" w:hAnsi="宋体" w:cs="宋体"/>
                <w:color w:val="000000"/>
                <w:highlight w:val="none"/>
                <w:lang w:bidi="ar"/>
              </w:rPr>
              <w:t xml:space="preserve">+支架</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1.减速比1比57，DC12V</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220</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4mm电机联轴器</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1.内孔≥4mm，长≥18mm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221</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插线</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1扎65根</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222</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公对公杜邦线</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1排40p，长15cm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223</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公对母杜邦线</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1排40p，长15cm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224</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母对母杜邦线</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1排40p，长15cm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225</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0.8mm焊锡丝</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63%含锡量，规格：0.8mm，500g</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226</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0.5mm焊锡丝</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 63%含锡量，规格：0.5mm，250g</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227</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2节电池盒</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1.杜邦公头端子线，5号电池，带盖带开关</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228</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3节电池盒</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1.杜邦公头端子线，5号电池，带盖带开关</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229</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4节电池盒 </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1.杜邦公头端子线，5号电池，带盖带开关</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230</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面包板</w:t>
            </w:r>
            <w:r>
              <w:rPr>
                <w:rFonts w:ascii="宋体" w:hAnsi="宋体"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1.400孔，规格：≥55*82*8.5mm，务必不带包装</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231</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地理模型制作套装-海底地形</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支持学生制作海底地形，培养学生对大洋中脊、海盆、海沟、岛弧链、大陆架等海底地貌的认知；培养学生的地理实践力、合作能力。包含海底地貌模型磁贴板≥1块，尺寸≥390mm*290mm；横版印制典型海底地形设计图（应包含知识讲解），防水、可吸附、应可擦拭</w:t>
            </w:r>
            <w:r>
              <w:rPr>
                <w:rFonts w:hint="eastAsia" w:ascii="宋体" w:hAnsi="宋体" w:cs="宋体"/>
                <w:color w:val="000000"/>
                <w:highlight w:val="none"/>
                <w:lang w:bidi="ar"/>
              </w:rPr>
              <w:t xml:space="preserve">重复使用。粘土套装：白色粘土（单份100g规格）≥5份、绿色粘土≥100g、灰色粘土≥100g、蓝色粘土≥100g。)模型工具台采用木质材料，尺寸≥400mm*300mm*20mm；模型支撑耗材(单个尺寸≥300mm*200mm*20mm)≥5个；地形绘制颜料（单色20ml规格）≥12色；不同规格绘图笔≥8支；调色盘≥1个；200ml量杯≥1个；模型专用胶水（20ml规格）≥1个，刻刀≥1个；A4切割板≥1个；300mm钢尺≥1个；配套实验指导手册≥1份、实验收纳箱尺寸≥520mm*350mm*250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232</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探究海陆热力性质差异/模拟季风成因实验套装</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套装应支持学生通过实验比较海洋（水）和陆地（干沙）在不同热力情况下的热力变化差异，学习海陆热力性质差异原理，探究海陆分布如何影响气温。包含实验盒（尺寸≥100mm*100mm）≥2个、100目原色沙土≥1瓶、热能灯（50w规格、含灯泡）≥1个、秒表计时器≥1个、数显温度探头≥2个（-30℃~+200℃）、20g计量勺≥1个、量杯≥1个；配套实验指导手册≥1份、实验收纳箱尺寸≥520mm*350mm*250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233</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日影观测实践套装</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应支持学生测量太阳日影轨迹、长短以及探究不同时节正午太阳高度变化规律。包含日影伸缩测量杆≥1根，采用铝合金材质，缩短后长度≤28cm，展开后长度≥150cm；具备三角稳定架；指南针杆头≥1个，具备水平气泡，并与测影杆衔接一体；3m米尺≥1个、量角器（中间角度线可随测量物体移动）≥1个、绘图板≥1个、滑石划线笔≥1个（应带金属笔夹）；配套实验指导手册≥1份、实验收纳箱尺寸≥520mm*350mm*250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234</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绘制校园地图套装</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应支持学生掌握地图的基本绘制方法，学会绘制校园平面图，培养学生综合思维能力和动手实践能力，支持多点位同时测量。包含地图绘图工具包≥1个、红外测距仪（100m）≥1个、带比例尺户外测绘专用指南针≥1个、30米皮尺≥1个、50m无伸缩长绳≥1个、划线笔≥1个、450mm丁字尺≥1个、便携绘图板尺寸≥400mm*300mm、≥1个。</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235</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太阳直射点与昼夜长短实验套装/探究地球运动活动套装</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支持演示地球运动自转方向，演示晨昏圈、演示昼夜交替过程、演示极昼极夜现象。包含可拆卸地球自转演示实验台（尺寸≥350mm*130mm）≥1份、地球模型（直径≥140mm）≥1个、LEW灯珠直径≥15mm、电池盒≥1个、电池≥2个、连接电线≥1根、连接杆≥1个。地球模型须具备国务院测绘地理信息行政主管部门颁发的审图号。</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236</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制作地球仪套装/绘制地球内部结构套装</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1.应支持学生通过动手活动了解地球形状、地球仪</w:t>
            </w:r>
            <w:r>
              <w:rPr>
                <w:rFonts w:hint="eastAsia" w:ascii="宋体" w:hAnsi="宋体" w:cs="宋体"/>
                <w:color w:val="000000"/>
                <w:highlight w:val="none"/>
                <w:lang w:bidi="ar"/>
              </w:rPr>
              <w:t xml:space="preserve">结构，大洲大洋分布、经纬网、地球内部圈层结构等地理知识，培养学生地理实践力。包含可拆卸、磁吸地球仪（直径≥140mm）≥1个，纯色、可涂画可擦写，地球表面应体现精细尺度的大陆、岛屿的浮雕纹理；应支持分体，地球应可切开分为两个半球，含内部圈层结构，一面印有圈层结构图，另一面空白含圈层纹理，可涂色；北半球应支持拆分四分之一角，且角块三面应体现圈层结构纹理，也可涂色；地球仪底座与地轴连接件有两个支点，应支持切换球体垂直和23.5°倾斜模式；绘图笔≥2支、绘图颜料≥6色、200ml塑料量杯≥1个、圆形卡纸≥20张。</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2.配套万有引力仿真实验软件：本仿真软件展示物理场时空演化过程、展示极限参数的探索过程，展示物理知识转化为应用的学科交叉过程。此系统可以拖动人、小卫星、月球在页面上看到距离地球的远近影响着它们与地球之间的万有引力大小，为学生深入理解万有引力定律打下基础。</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237</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可折叠日晷演示仪</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晷盘规格要求：应采用仿青铜盘面，直径≥500mm；应采用仿青铜圆形底座，直径≥500mm，复古风格，应具备指北针。日晷晷面应标有时间刻度、节气刻度线；晷针应平行于地轴并指向天北极；日晷应具备可调节倾斜角度的装置，以便于在不同纬度地区均可精准测量；晷盘和底座应可折叠收纳，便于携带。</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238</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复古青铜圭表</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1.圭表规格要求：尺寸≥长500mm*高210mm，石圭底座应具备刻度尺及指北针，表应为仿青铜材质，附龙纹装饰。景符规格要求：尺寸≥90mm*30mm，采用金属材质，可自由移动，应支持折叠、调节倾斜角度。</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239</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中国典型民居搭建实践套装</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支持学生搭建中国典型民居、了解建筑特色，并结合所学知识，探究学习地域文化在城乡景观上的体现。包含：窑洞搭建套装、徽派民居搭建套装、四合院搭建套装、土楼搭建套装、藏族碉楼搭建套装、新疆民居搭建套装；徽派民居搭建套装（含天井）尺寸≥300mm*210mm；产品应配套提供土楼涂色实践套装，应采用环保塑料材质，尺寸≥150mm*150mm，应支持拆卸与组装，支持学生自主涂色实践；提供配套课程，课程应包含每种建筑与当地自然环境的相互关系。</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240</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模拟热力环流（气态法）/模拟季风实验套装</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1.实验应支持学生探究热力环流的基本原理，了解由于冷热不均而导致的流体空气水平运动；应通过模拟热力环流现象，培养学生的观察、动手实践能力；应支持学生理</w:t>
            </w:r>
            <w:r>
              <w:rPr>
                <w:rFonts w:hint="eastAsia" w:ascii="宋体" w:hAnsi="宋体" w:cs="宋体"/>
                <w:color w:val="000000"/>
                <w:highlight w:val="none"/>
                <w:lang w:bidi="ar"/>
              </w:rPr>
              <w:t xml:space="preserve">解季风的成因。实验应支持箱体内两点以上同时测温显示，应支持实验数据可视化；实验箱内应配置感温材料，气流和感温材料的变化应实现肉眼可见。包含透明实验盒≥1个，应采用环保塑料材质，尺寸≥400mm*250mm*300mm，应支持组装与拆卸；香球≥1盒、每盒≥20颗；陶瓷香盘≥1个，应含香盘罩，侧孔排烟；金属材质实验皿≥1个；无烟加热材料≥8个、可充电点火器≥1个；led灯条≥1个、灯条匹配电池；软布≥1个；测温设备≥2个；感温配件≥3个；配套实验指导书≥1份、实验收纳箱尺寸≥520mm*350mm*250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241</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水循环演示实验套装</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应支持学生通过操作学具演示水循环过程，了解水循环基本环节，培养学生观察、动手实践能力。包含水循环演示箱≥1个，尺寸≥600mm*260mm*300mm、顶部盒盖有花瓣镂空槽和凸起定位桩；陆地山体模型≥1个，尺寸≥400mm*250mm（含雪山、湖泊、地表径流、地下径流通道）；集水盘≥1个，尺寸≥240mm*190m；冰盒（直径≥100mm）≥2个、发热包≥10个、防雾剂≥1个、清洁布≥1个；配套实验指导书≥1份，应提供实验工具收纳箱。</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242</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探究海水性质实验套装</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应支持学生通过操作学具测量水的垂直变化、水温与邻近气温变化的快慢；应支持测定盐度、水温与密度的变化关系。包含500ml高硼硅玻璃量筒≥1个、250ml高硼硅玻璃量筒≥3个、密度计≥3个、数显温度探头（-30~200℃）≥1个、电子盐度计≥1个，应内置锂电池支持usb充电盐度精度±1ppt，盐度0-50ppt、食用盐≥10袋、50w热能灯含灯泡≥1个、食用色素≥2瓶（红蓝各至少一瓶）、搅拌棒≥1个、感温配件≥2个；配套实验指导手册≥1份、实验收纳箱尺寸≥520mm*350mm*250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243</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探究土壤质地实验套装</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应支持学生认识沙土、壤土和黏土由于不同的结构因而具有不同的渗水性。包含壤剖面≥1个、过滤杯≥3个、漏斗≥3个、过滤纸≥30张、100ml量杯≥1个、20g计量勺≥1个、滴管≥3根、土壤500g≥3份（沙质土、黏质土、壤土每类至少1份）要求经过烘干杀菌、土壤观察盒（尺寸≥100mm*100mm）≥3个、放大镜≥1个、搅拌棒不少于1个；配套实验指导手册≥1份、实验收纳箱尺寸≥520mm*350mm*250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244</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模拟洋流成因实验套装</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应支持洋流成因探究学习，实验应支持展示至少三组实验：风海流实验、密度流实验、补偿流实验；包含1）透明实验水槽≥1个、透明挡板周边含密封圈≥1个、500ml量杯≥2个、数显温度探头≥1个（-30℃~+200℃）、食用色素≥2瓶（红蓝各至少一瓶）、实验专用速溶食用盐≥10袋、可调风量大小的吹风装置≥1个、漂流物（直径*高度约为50mm*100mm）≥1瓶、颗粒状沉淀物（直径*高度约为50mm*100mm）≥1瓶；配套实验指导手册≥1份、实验收纳箱尺寸≥520mm*350mm*250mm。</w:t>
            </w:r>
            <w:r>
              <w:rPr>
                <w:rFonts w:ascii="宋体" w:hAnsi="宋体" w:cs="宋体"/>
                <w:color w:val="000000"/>
                <w:highlight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245</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33"/>
              <w:jc w:val="center"/>
              <w:widowControl/>
              <w:rPr>
                <w:rFonts w:ascii="宋体" w:hAnsi="宋体" w:cs="宋体"/>
                <w:color w:val="000000"/>
                <w:highlight w:val="none"/>
              </w:rPr>
            </w:pPr>
            <w:r>
              <w:rPr>
                <w:rFonts w:hint="eastAsia" w:ascii="宋体" w:hAnsi="宋体" w:cs="宋体"/>
                <w:color w:val="000000"/>
                <w:highlight w:val="none"/>
                <w:lang w:bidi="ar"/>
              </w:rPr>
              <w:t xml:space="preserve">岩石矿物标本</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pStyle w:val="933"/>
              <w:widowControl/>
              <w:rPr>
                <w:rFonts w:ascii="宋体" w:hAnsi="宋体" w:cs="宋体"/>
                <w:color w:val="000000"/>
                <w:highlight w:val="none"/>
              </w:rPr>
            </w:pPr>
            <w:r>
              <w:rPr>
                <w:rFonts w:hint="eastAsia" w:ascii="宋体" w:hAnsi="宋体" w:cs="宋体"/>
                <w:color w:val="000000"/>
                <w:highlight w:val="none"/>
                <w:lang w:bidi="ar"/>
              </w:rPr>
              <w:t xml:space="preserve">1.规格：四盒装，单块标本尺寸≥2*4*6cm；标本种类：至少包含三大类岩石(岩浆岩、变质岩、沉积岩)，常见矿物(磁铁矿、黑钨矿、蓝铜矿、方铅矿、滑石、石英、云母、正长石、方解石、斜长石、磷灰石等)。</w:t>
            </w:r>
            <w:r>
              <w:rPr>
                <w:rFonts w:ascii="宋体" w:hAnsi="宋体" w:cs="宋体"/>
                <w:color w:val="000000"/>
                <w:highlight w:val="none"/>
              </w:rPr>
            </w:r>
            <w:r/>
          </w:p>
        </w:tc>
      </w:tr>
    </w:tbl>
    <w:p>
      <w:pPr>
        <w:pStyle w:val="933"/>
        <w:spacing w:line="360" w:lineRule="auto"/>
        <w:rPr>
          <w:rFonts w:hint="eastAsia" w:ascii="宋体" w:hAnsi="宋体" w:cs="宋体"/>
          <w:b/>
          <w:color w:val="000000"/>
          <w:sz w:val="24"/>
          <w:szCs w:val="20"/>
          <w:highlight w:val="none"/>
        </w:rPr>
        <w:outlineLvl w:val="1"/>
      </w:pPr>
      <w:r>
        <w:rPr>
          <w:rFonts w:hint="eastAsia" w:ascii="宋体" w:hAnsi="宋体" w:cs="宋体"/>
          <w:b/>
          <w:color w:val="000000"/>
          <w:sz w:val="24"/>
          <w:szCs w:val="20"/>
          <w:highlight w:val="none"/>
        </w:rPr>
        <w:t xml:space="preserve">三、★商务要求</w:t>
      </w:r>
      <w:bookmarkEnd w:id="31"/>
      <w:r>
        <w:rPr>
          <w:rFonts w:hint="eastAsia" w:ascii="宋体" w:hAnsi="宋体" w:cs="宋体"/>
          <w:b/>
          <w:color w:val="000000"/>
          <w:sz w:val="24"/>
          <w:szCs w:val="20"/>
          <w:highlight w:val="none"/>
        </w:rPr>
        <w:t xml:space="preserve">：</w:t>
      </w:r>
      <w:r>
        <w:rPr>
          <w:rFonts w:hint="eastAsia" w:ascii="宋体" w:hAnsi="宋体" w:cs="宋体"/>
          <w:b/>
          <w:color w:val="000000"/>
          <w:sz w:val="24"/>
          <w:szCs w:val="20"/>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715"/>
        <w:gridCol w:w="7387"/>
      </w:tblGrid>
      <w:tr>
        <w:trPr>
          <w:cantSplit/>
          <w:trHeight w:val="737"/>
        </w:trPr>
        <w:tc>
          <w:tcPr>
            <w:tcW w:w="381" w:type="dxa"/>
            <w:vAlign w:val="center"/>
            <w:textDirection w:val="lrTb"/>
            <w:noWrap w:val="false"/>
          </w:tcPr>
          <w:p>
            <w:pPr>
              <w:pStyle w:val="933"/>
              <w:jc w:val="center"/>
              <w:rPr>
                <w:rFonts w:ascii="宋体" w:hAnsi="宋体" w:cs="宋体"/>
                <w:b/>
                <w:color w:val="000000"/>
                <w:szCs w:val="21"/>
                <w:highlight w:val="none"/>
              </w:rPr>
            </w:pPr>
            <w:r>
              <w:rPr>
                <w:rFonts w:hint="eastAsia" w:ascii="宋体" w:hAnsi="宋体" w:cs="宋体"/>
                <w:b/>
                <w:color w:val="000000"/>
                <w:szCs w:val="21"/>
                <w:highlight w:val="none"/>
              </w:rPr>
              <w:t xml:space="preserve">序号</w:t>
            </w:r>
            <w:r>
              <w:rPr>
                <w:rFonts w:ascii="宋体" w:hAnsi="宋体" w:cs="宋体"/>
                <w:b/>
                <w:color w:val="000000"/>
                <w:szCs w:val="21"/>
                <w:highlight w:val="none"/>
              </w:rPr>
            </w:r>
            <w:r/>
          </w:p>
        </w:tc>
        <w:tc>
          <w:tcPr>
            <w:tcW w:w="870" w:type="dxa"/>
            <w:vAlign w:val="center"/>
            <w:textDirection w:val="lrTb"/>
            <w:noWrap w:val="false"/>
          </w:tcPr>
          <w:p>
            <w:pPr>
              <w:pStyle w:val="933"/>
              <w:jc w:val="center"/>
              <w:rPr>
                <w:rFonts w:ascii="宋体" w:hAnsi="宋体" w:cs="宋体"/>
                <w:b/>
                <w:color w:val="000000"/>
                <w:szCs w:val="21"/>
                <w:highlight w:val="none"/>
              </w:rPr>
            </w:pPr>
            <w:r>
              <w:rPr>
                <w:rFonts w:hint="eastAsia" w:ascii="宋体" w:hAnsi="宋体" w:cs="宋体"/>
                <w:b/>
                <w:color w:val="000000"/>
                <w:szCs w:val="21"/>
                <w:highlight w:val="none"/>
              </w:rPr>
              <w:t xml:space="preserve">商务条款名称</w:t>
            </w:r>
            <w:r>
              <w:rPr>
                <w:rFonts w:ascii="宋体" w:hAnsi="宋体" w:cs="宋体"/>
                <w:b/>
                <w:color w:val="000000"/>
                <w:szCs w:val="21"/>
                <w:highlight w:val="none"/>
              </w:rPr>
            </w:r>
            <w:r/>
          </w:p>
        </w:tc>
        <w:tc>
          <w:tcPr>
            <w:tcW w:w="3747" w:type="dxa"/>
            <w:vAlign w:val="center"/>
            <w:textDirection w:val="lrTb"/>
            <w:noWrap w:val="false"/>
          </w:tcPr>
          <w:p>
            <w:pPr>
              <w:pStyle w:val="933"/>
              <w:jc w:val="center"/>
              <w:rPr>
                <w:rFonts w:ascii="宋体" w:hAnsi="宋体" w:cs="宋体"/>
                <w:b/>
                <w:color w:val="000000"/>
                <w:szCs w:val="21"/>
                <w:highlight w:val="none"/>
              </w:rPr>
            </w:pPr>
            <w:r>
              <w:rPr>
                <w:rFonts w:hint="eastAsia" w:ascii="宋体" w:hAnsi="宋体" w:cs="宋体"/>
                <w:b/>
                <w:color w:val="000000"/>
                <w:szCs w:val="21"/>
                <w:highlight w:val="none"/>
              </w:rPr>
              <w:t xml:space="preserve">商务条款的具体要求</w:t>
            </w:r>
            <w:r>
              <w:rPr>
                <w:rFonts w:ascii="宋体" w:hAnsi="宋体" w:cs="宋体"/>
                <w:b/>
                <w:color w:val="000000"/>
                <w:szCs w:val="21"/>
                <w:highlight w:val="none"/>
              </w:rPr>
            </w:r>
            <w:r/>
          </w:p>
        </w:tc>
      </w:tr>
      <w:tr>
        <w:trPr>
          <w:cantSplit/>
          <w:trHeight w:val="737"/>
        </w:trPr>
        <w:tc>
          <w:tcPr>
            <w:tcW w:w="381" w:type="dxa"/>
            <w:vAlign w:val="center"/>
            <w:textDirection w:val="lrTb"/>
            <w:noWrap w:val="false"/>
          </w:tcPr>
          <w:p>
            <w:pPr>
              <w:pStyle w:val="933"/>
              <w:jc w:val="center"/>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870" w:type="dxa"/>
            <w:vAlign w:val="center"/>
            <w:textDirection w:val="lrTb"/>
            <w:noWrap w:val="false"/>
          </w:tcPr>
          <w:p>
            <w:pPr>
              <w:pStyle w:val="933"/>
              <w:jc w:val="center"/>
              <w:rPr>
                <w:rFonts w:ascii="宋体" w:hAnsi="宋体" w:cs="宋体"/>
                <w:color w:val="000000"/>
                <w:szCs w:val="21"/>
                <w:highlight w:val="none"/>
              </w:rPr>
            </w:pPr>
            <w:r>
              <w:rPr>
                <w:rFonts w:hint="eastAsia" w:ascii="宋体" w:hAnsi="宋体" w:cs="宋体"/>
                <w:color w:val="000000"/>
                <w:szCs w:val="21"/>
                <w:highlight w:val="none"/>
              </w:rPr>
              <w:t xml:space="preserve">合同主体与付款单位</w:t>
            </w:r>
            <w:r>
              <w:rPr>
                <w:rFonts w:ascii="宋体" w:hAnsi="宋体" w:cs="宋体"/>
                <w:color w:val="000000"/>
                <w:szCs w:val="21"/>
                <w:highlight w:val="none"/>
              </w:rPr>
            </w:r>
            <w:r/>
          </w:p>
        </w:tc>
        <w:tc>
          <w:tcPr>
            <w:tcW w:w="3747" w:type="dxa"/>
            <w:vAlign w:val="center"/>
            <w:textDirection w:val="lrTb"/>
            <w:noWrap w:val="false"/>
          </w:tcPr>
          <w:p>
            <w:pPr>
              <w:pStyle w:val="933"/>
              <w:rPr>
                <w:rFonts w:hint="eastAsia" w:ascii="宋体" w:hAnsi="宋体" w:cs="宋体"/>
                <w:color w:val="000000"/>
                <w:szCs w:val="21"/>
                <w:highlight w:val="none"/>
              </w:rPr>
            </w:pPr>
            <w:r>
              <w:rPr>
                <w:rFonts w:hint="eastAsia" w:ascii="宋体" w:hAnsi="宋体" w:cs="宋体"/>
                <w:color w:val="000000"/>
                <w:szCs w:val="21"/>
                <w:highlight w:val="none"/>
              </w:rPr>
              <w:t xml:space="preserve">该项目合同主体与付款单位为：南京师范大学附属中学</w:t>
            </w:r>
            <w:r>
              <w:rPr>
                <w:rFonts w:hint="eastAsia" w:ascii="宋体" w:hAnsi="宋体" w:cs="宋体"/>
                <w:color w:val="000000"/>
                <w:szCs w:val="21"/>
                <w:highlight w:val="none"/>
              </w:rPr>
            </w:r>
            <w:r/>
          </w:p>
        </w:tc>
      </w:tr>
      <w:tr>
        <w:trPr>
          <w:cantSplit/>
          <w:trHeight w:val="737"/>
        </w:trPr>
        <w:tc>
          <w:tcPr>
            <w:tcW w:w="381" w:type="dxa"/>
            <w:vAlign w:val="center"/>
            <w:textDirection w:val="lrTb"/>
            <w:noWrap w:val="false"/>
          </w:tcPr>
          <w:p>
            <w:pPr>
              <w:pStyle w:val="93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870" w:type="dxa"/>
            <w:vAlign w:val="center"/>
            <w:textDirection w:val="lrTb"/>
            <w:noWrap w:val="false"/>
          </w:tcPr>
          <w:p>
            <w:pPr>
              <w:pStyle w:val="933"/>
              <w:jc w:val="center"/>
              <w:rPr>
                <w:rFonts w:ascii="宋体" w:hAnsi="宋体" w:cs="宋体"/>
                <w:color w:val="000000"/>
                <w:szCs w:val="21"/>
                <w:highlight w:val="none"/>
              </w:rPr>
            </w:pPr>
            <w:r>
              <w:rPr>
                <w:rFonts w:hint="eastAsia" w:ascii="宋体" w:hAnsi="宋体" w:cs="宋体"/>
                <w:color w:val="000000"/>
                <w:szCs w:val="21"/>
                <w:highlight w:val="none"/>
              </w:rPr>
              <w:t xml:space="preserve">★质保期要求</w:t>
            </w:r>
            <w:r>
              <w:rPr>
                <w:rFonts w:ascii="宋体" w:hAnsi="宋体" w:cs="宋体"/>
                <w:color w:val="000000"/>
                <w:szCs w:val="21"/>
                <w:highlight w:val="none"/>
              </w:rPr>
            </w:r>
            <w:r/>
          </w:p>
        </w:tc>
        <w:tc>
          <w:tcPr>
            <w:tcW w:w="3747" w:type="dxa"/>
            <w:vAlign w:val="center"/>
            <w:textDirection w:val="lrTb"/>
            <w:noWrap w:val="false"/>
          </w:tcPr>
          <w:p>
            <w:pPr>
              <w:pStyle w:val="933"/>
              <w:rPr>
                <w:rFonts w:ascii="宋体" w:hAnsi="宋体" w:cs="宋体"/>
                <w:color w:val="000000"/>
                <w:szCs w:val="21"/>
                <w:highlight w:val="none"/>
              </w:rPr>
            </w:pPr>
            <w:r>
              <w:rPr>
                <w:rFonts w:hint="eastAsia" w:ascii="宋体" w:hAnsi="宋体" w:cs="宋体"/>
                <w:color w:val="000000"/>
                <w:szCs w:val="21"/>
                <w:highlight w:val="none"/>
              </w:rPr>
              <w:t xml:space="preserve">免费质保期不少于3年。（自验收报告签字确认日起，开始进入质保期）。</w:t>
            </w:r>
            <w:r>
              <w:rPr>
                <w:rFonts w:ascii="宋体" w:hAnsi="宋体" w:cs="宋体"/>
                <w:color w:val="000000"/>
                <w:szCs w:val="21"/>
                <w:highlight w:val="none"/>
              </w:rPr>
            </w:r>
            <w:r/>
          </w:p>
        </w:tc>
      </w:tr>
      <w:tr>
        <w:trPr>
          <w:cantSplit/>
          <w:trHeight w:val="737"/>
        </w:trPr>
        <w:tc>
          <w:tcPr>
            <w:tcW w:w="381" w:type="dxa"/>
            <w:vAlign w:val="center"/>
            <w:textDirection w:val="lrTb"/>
            <w:noWrap w:val="false"/>
          </w:tcPr>
          <w:p>
            <w:pPr>
              <w:pStyle w:val="93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870" w:type="dxa"/>
            <w:vAlign w:val="center"/>
            <w:textDirection w:val="lrTb"/>
            <w:noWrap w:val="false"/>
          </w:tcPr>
          <w:p>
            <w:pPr>
              <w:pStyle w:val="933"/>
              <w:jc w:val="center"/>
              <w:rPr>
                <w:rFonts w:ascii="宋体" w:hAnsi="宋体" w:cs="宋体"/>
                <w:color w:val="000000"/>
                <w:szCs w:val="21"/>
                <w:highlight w:val="none"/>
              </w:rPr>
            </w:pPr>
            <w:r>
              <w:rPr>
                <w:rFonts w:hint="eastAsia" w:ascii="宋体" w:hAnsi="宋体" w:cs="宋体"/>
                <w:color w:val="000000"/>
                <w:szCs w:val="21"/>
                <w:highlight w:val="none"/>
              </w:rPr>
              <w:t xml:space="preserve">交货期要求</w:t>
            </w:r>
            <w:r>
              <w:rPr>
                <w:rFonts w:ascii="宋体" w:hAnsi="宋体" w:cs="宋体"/>
                <w:color w:val="000000"/>
                <w:szCs w:val="21"/>
                <w:highlight w:val="none"/>
              </w:rPr>
            </w:r>
            <w:r/>
          </w:p>
        </w:tc>
        <w:tc>
          <w:tcPr>
            <w:tcW w:w="3747" w:type="dxa"/>
            <w:vAlign w:val="center"/>
            <w:textDirection w:val="lrTb"/>
            <w:noWrap w:val="false"/>
          </w:tcPr>
          <w:p>
            <w:pPr>
              <w:pStyle w:val="933"/>
              <w:rPr>
                <w:rFonts w:ascii="宋体" w:hAnsi="宋体" w:cs="宋体"/>
                <w:color w:val="000000"/>
                <w:szCs w:val="21"/>
                <w:highlight w:val="none"/>
              </w:rPr>
            </w:pPr>
            <w:r>
              <w:rPr>
                <w:rFonts w:hint="eastAsia" w:ascii="宋体" w:hAnsi="宋体" w:cs="宋体"/>
                <w:color w:val="000000"/>
                <w:szCs w:val="21"/>
                <w:highlight w:val="none"/>
              </w:rPr>
              <w:t xml:space="preserve">合同签订后60日历天内供齐所有货物及服务，完成安装、调试及初步验收。</w:t>
            </w:r>
            <w:r>
              <w:rPr>
                <w:rFonts w:ascii="宋体" w:hAnsi="宋体" w:cs="宋体"/>
                <w:color w:val="000000"/>
                <w:szCs w:val="21"/>
                <w:highlight w:val="none"/>
              </w:rPr>
            </w:r>
            <w:r/>
          </w:p>
        </w:tc>
      </w:tr>
      <w:tr>
        <w:trPr>
          <w:cantSplit/>
          <w:trHeight w:val="90"/>
        </w:trPr>
        <w:tc>
          <w:tcPr>
            <w:tcW w:w="381" w:type="dxa"/>
            <w:vAlign w:val="center"/>
            <w:textDirection w:val="lrTb"/>
            <w:noWrap w:val="false"/>
          </w:tcPr>
          <w:p>
            <w:pPr>
              <w:pStyle w:val="93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870" w:type="dxa"/>
            <w:vAlign w:val="center"/>
            <w:textDirection w:val="lrTb"/>
            <w:noWrap w:val="false"/>
          </w:tcPr>
          <w:p>
            <w:pPr>
              <w:pStyle w:val="933"/>
              <w:jc w:val="center"/>
              <w:rPr>
                <w:rFonts w:ascii="宋体" w:hAnsi="宋体" w:cs="宋体"/>
                <w:color w:val="000000"/>
                <w:szCs w:val="21"/>
                <w:highlight w:val="none"/>
              </w:rPr>
            </w:pPr>
            <w:r>
              <w:rPr>
                <w:rFonts w:hint="eastAsia" w:ascii="宋体" w:hAnsi="宋体" w:cs="宋体"/>
                <w:color w:val="000000"/>
                <w:szCs w:val="21"/>
                <w:highlight w:val="none"/>
              </w:rPr>
              <w:t xml:space="preserve">交货地点</w:t>
            </w:r>
            <w:r>
              <w:rPr>
                <w:rFonts w:ascii="宋体" w:hAnsi="宋体" w:cs="宋体"/>
                <w:color w:val="000000"/>
                <w:szCs w:val="21"/>
                <w:highlight w:val="none"/>
              </w:rPr>
            </w:r>
            <w:r/>
          </w:p>
        </w:tc>
        <w:tc>
          <w:tcPr>
            <w:tcW w:w="3747" w:type="dxa"/>
            <w:vAlign w:val="center"/>
            <w:textDirection w:val="lrTb"/>
            <w:noWrap w:val="false"/>
          </w:tcPr>
          <w:p>
            <w:pPr>
              <w:pStyle w:val="933"/>
              <w:rPr>
                <w:rFonts w:ascii="宋体" w:hAnsi="宋体" w:cs="宋体"/>
                <w:color w:val="000000"/>
                <w:szCs w:val="21"/>
                <w:highlight w:val="none"/>
              </w:rPr>
            </w:pPr>
            <w:r>
              <w:rPr>
                <w:rFonts w:hint="eastAsia" w:ascii="宋体" w:hAnsi="宋体" w:cs="宋体"/>
                <w:color w:val="000000"/>
                <w:szCs w:val="21"/>
                <w:highlight w:val="none"/>
              </w:rPr>
              <w:t xml:space="preserve">供应商负责将货物运到采购人指定地点，由供应商负责办理运输和装卸等，费用由供应商负责，由采购人组织验收，检验不合格或不符合质量要求，供应商除无条件退货、返工外，还应承担采购人的一切损失。</w:t>
            </w:r>
            <w:r>
              <w:rPr>
                <w:rFonts w:ascii="宋体" w:hAnsi="宋体" w:cs="宋体"/>
                <w:color w:val="000000"/>
                <w:szCs w:val="21"/>
                <w:highlight w:val="none"/>
              </w:rPr>
            </w:r>
            <w:r/>
          </w:p>
        </w:tc>
      </w:tr>
      <w:tr>
        <w:trPr>
          <w:cantSplit/>
          <w:trHeight w:val="961"/>
        </w:trPr>
        <w:tc>
          <w:tcPr>
            <w:tcW w:w="381" w:type="dxa"/>
            <w:vAlign w:val="center"/>
            <w:textDirection w:val="lrTb"/>
            <w:noWrap w:val="false"/>
          </w:tcPr>
          <w:p>
            <w:pPr>
              <w:pStyle w:val="93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870" w:type="dxa"/>
            <w:vAlign w:val="center"/>
            <w:textDirection w:val="lrTb"/>
            <w:noWrap w:val="false"/>
          </w:tcPr>
          <w:p>
            <w:pPr>
              <w:pStyle w:val="933"/>
              <w:jc w:val="center"/>
              <w:rPr>
                <w:rFonts w:ascii="宋体" w:hAnsi="宋体" w:cs="宋体"/>
                <w:color w:val="000000"/>
                <w:szCs w:val="21"/>
                <w:highlight w:val="none"/>
              </w:rPr>
            </w:pPr>
            <w:r>
              <w:rPr>
                <w:rFonts w:hint="eastAsia" w:ascii="宋体" w:hAnsi="宋体" w:cs="宋体"/>
                <w:color w:val="000000"/>
                <w:szCs w:val="21"/>
                <w:highlight w:val="none"/>
              </w:rPr>
              <w:t xml:space="preserve">售后服务</w:t>
            </w:r>
            <w:r>
              <w:rPr>
                <w:rFonts w:ascii="宋体" w:hAnsi="宋体" w:cs="宋体"/>
                <w:color w:val="000000"/>
                <w:szCs w:val="21"/>
                <w:highlight w:val="none"/>
              </w:rPr>
            </w:r>
            <w:r/>
          </w:p>
        </w:tc>
        <w:tc>
          <w:tcPr>
            <w:tcW w:w="3747" w:type="dxa"/>
            <w:vAlign w:val="center"/>
            <w:textDirection w:val="lrTb"/>
            <w:noWrap w:val="false"/>
          </w:tcPr>
          <w:p>
            <w:pPr>
              <w:pStyle w:val="933"/>
              <w:rPr>
                <w:rFonts w:ascii="宋体" w:hAnsi="宋体" w:cs="宋体"/>
                <w:color w:val="000000"/>
                <w:szCs w:val="21"/>
                <w:highlight w:val="none"/>
              </w:rPr>
            </w:pPr>
            <w:r>
              <w:rPr>
                <w:rFonts w:hint="eastAsia" w:ascii="宋体" w:hAnsi="宋体" w:cs="宋体"/>
                <w:color w:val="000000"/>
                <w:szCs w:val="21"/>
                <w:highlight w:val="none"/>
              </w:rPr>
              <w:t xml:space="preserve">供应商接到保修请求，维修应在2小时内响应，4小时内维修人员到达现场，必要时应向采购人提供应急备用产品。质保期后，供应商提供终生服务，保证零配件的供给。</w:t>
            </w:r>
            <w:r>
              <w:rPr>
                <w:rFonts w:ascii="宋体" w:hAnsi="宋体" w:cs="宋体"/>
                <w:color w:val="000000"/>
                <w:szCs w:val="21"/>
                <w:highlight w:val="none"/>
              </w:rPr>
            </w:r>
            <w:r/>
          </w:p>
        </w:tc>
      </w:tr>
      <w:tr>
        <w:trPr>
          <w:cantSplit/>
          <w:trHeight w:val="4199"/>
        </w:trPr>
        <w:tc>
          <w:tcPr>
            <w:tcW w:w="381" w:type="dxa"/>
            <w:vAlign w:val="center"/>
            <w:textDirection w:val="lrTb"/>
            <w:noWrap w:val="false"/>
          </w:tcPr>
          <w:p>
            <w:pPr>
              <w:pStyle w:val="93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870" w:type="dxa"/>
            <w:vAlign w:val="center"/>
            <w:textDirection w:val="lrTb"/>
            <w:noWrap w:val="false"/>
          </w:tcPr>
          <w:p>
            <w:pPr>
              <w:pStyle w:val="933"/>
              <w:jc w:val="center"/>
              <w:rPr>
                <w:rFonts w:ascii="宋体" w:hAnsi="宋体" w:cs="宋体"/>
                <w:color w:val="000000"/>
                <w:szCs w:val="21"/>
                <w:highlight w:val="none"/>
              </w:rPr>
            </w:pPr>
            <w:r>
              <w:rPr>
                <w:rFonts w:hint="eastAsia" w:ascii="宋体" w:hAnsi="宋体" w:cs="宋体"/>
                <w:color w:val="000000"/>
                <w:szCs w:val="21"/>
                <w:highlight w:val="none"/>
              </w:rPr>
              <w:t xml:space="preserve">验收标准与要求</w:t>
            </w:r>
            <w:r>
              <w:rPr>
                <w:rFonts w:ascii="宋体" w:hAnsi="宋体" w:cs="宋体"/>
                <w:color w:val="000000"/>
                <w:szCs w:val="21"/>
                <w:highlight w:val="none"/>
              </w:rPr>
            </w:r>
            <w:r/>
          </w:p>
        </w:tc>
        <w:tc>
          <w:tcPr>
            <w:tcW w:w="3747" w:type="dxa"/>
            <w:vAlign w:val="center"/>
            <w:textDirection w:val="lrTb"/>
            <w:noWrap w:val="false"/>
          </w:tcPr>
          <w:p>
            <w:pPr>
              <w:pStyle w:val="933"/>
              <w:rPr>
                <w:rFonts w:ascii="宋体" w:hAnsi="宋体" w:cs="宋体"/>
                <w:color w:val="000000"/>
                <w:szCs w:val="21"/>
                <w:highlight w:val="none"/>
              </w:rPr>
            </w:pPr>
            <w:r>
              <w:rPr>
                <w:rFonts w:hint="eastAsia" w:ascii="宋体" w:hAnsi="宋体" w:cs="宋体"/>
                <w:color w:val="000000"/>
                <w:szCs w:val="21"/>
                <w:highlight w:val="none"/>
              </w:rPr>
              <w:t xml:space="preserve">1、项目实施完成，供应商应完成文档整理，竣工文档是验收的必要条件；</w:t>
            </w:r>
            <w:r>
              <w:rPr>
                <w:rFonts w:ascii="宋体" w:hAnsi="宋体" w:cs="宋体"/>
                <w:color w:val="000000"/>
                <w:szCs w:val="21"/>
                <w:highlight w:val="none"/>
              </w:rPr>
            </w:r>
            <w:r/>
          </w:p>
          <w:p>
            <w:pPr>
              <w:pStyle w:val="933"/>
              <w:rPr>
                <w:rFonts w:ascii="宋体" w:hAnsi="宋体" w:cs="宋体"/>
                <w:color w:val="000000"/>
                <w:szCs w:val="21"/>
                <w:highlight w:val="none"/>
              </w:rPr>
            </w:pPr>
            <w:r>
              <w:rPr>
                <w:rFonts w:hint="eastAsia" w:ascii="宋体" w:hAnsi="宋体" w:cs="宋体"/>
                <w:color w:val="000000"/>
                <w:szCs w:val="21"/>
                <w:highlight w:val="none"/>
              </w:rPr>
              <w:t xml:space="preserve">2、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供应商必须满足所有功能要求，有义务保证采购人系统的功能性和完整性，未在招标书中明示的产品及附配件，供应商应在投标时予以补充，本工程为交钥匙工程，如项目实施过程中因缺少线材辅料、产品、配件或服务导致采购人系统无法正常运行，中标人须免费提供。</w:t>
            </w:r>
            <w:r>
              <w:rPr>
                <w:rFonts w:ascii="宋体" w:hAnsi="宋体" w:cs="宋体"/>
                <w:color w:val="000000"/>
                <w:szCs w:val="21"/>
                <w:highlight w:val="none"/>
              </w:rPr>
            </w:r>
            <w:r/>
          </w:p>
          <w:p>
            <w:pPr>
              <w:pStyle w:val="933"/>
              <w:rPr>
                <w:rFonts w:ascii="宋体" w:hAnsi="宋体" w:cs="宋体"/>
                <w:color w:val="000000"/>
                <w:szCs w:val="21"/>
                <w:highlight w:val="none"/>
              </w:rPr>
            </w:pPr>
            <w:r>
              <w:rPr>
                <w:rFonts w:hint="eastAsia" w:ascii="宋体" w:hAnsi="宋体" w:cs="宋体"/>
                <w:color w:val="000000"/>
                <w:szCs w:val="21"/>
                <w:highlight w:val="none"/>
              </w:rPr>
              <w:t xml:space="preserve">3、供应商须保证所提供产品包括相关附件符合国家有关规定。</w:t>
            </w:r>
            <w:r>
              <w:rPr>
                <w:rFonts w:ascii="宋体" w:hAnsi="宋体" w:cs="宋体"/>
                <w:color w:val="000000"/>
                <w:szCs w:val="21"/>
                <w:highlight w:val="none"/>
              </w:rPr>
            </w:r>
            <w:r/>
          </w:p>
          <w:p>
            <w:pPr>
              <w:pStyle w:val="933"/>
              <w:rPr>
                <w:rFonts w:ascii="宋体" w:hAnsi="宋体" w:cs="宋体"/>
                <w:color w:val="000000"/>
                <w:szCs w:val="21"/>
                <w:highlight w:val="none"/>
              </w:rPr>
            </w:pPr>
            <w:r>
              <w:rPr>
                <w:rFonts w:hint="eastAsia" w:ascii="宋体" w:hAnsi="宋体" w:cs="宋体"/>
                <w:color w:val="000000"/>
                <w:szCs w:val="21"/>
                <w:highlight w:val="none"/>
              </w:rPr>
              <w:t xml:space="preserve">4、供应商须及时和用户学校沟通，确认所有产品材质、款式、规格后方可供货，并确保产品质量。</w:t>
            </w:r>
            <w:r>
              <w:rPr>
                <w:rFonts w:ascii="宋体" w:hAnsi="宋体" w:cs="宋体"/>
                <w:color w:val="000000"/>
                <w:szCs w:val="21"/>
                <w:highlight w:val="none"/>
              </w:rPr>
            </w:r>
            <w:r/>
          </w:p>
          <w:p>
            <w:pPr>
              <w:pStyle w:val="933"/>
              <w:rPr>
                <w:rFonts w:ascii="宋体" w:hAnsi="宋体" w:cs="宋体"/>
                <w:color w:val="000000"/>
                <w:szCs w:val="21"/>
                <w:highlight w:val="none"/>
              </w:rPr>
            </w:pPr>
            <w:r>
              <w:rPr>
                <w:rFonts w:hint="eastAsia" w:ascii="宋体" w:hAnsi="宋体" w:cs="宋体"/>
                <w:color w:val="000000"/>
                <w:szCs w:val="21"/>
                <w:highlight w:val="none"/>
              </w:rPr>
              <w:t xml:space="preserve">5、供应商应采取安全措施，确保安装安全。因本项目安装产生的安装人员和学校师生人生安全问题由供应商承担全部责任。</w:t>
            </w:r>
            <w:r>
              <w:rPr>
                <w:rFonts w:ascii="宋体" w:hAnsi="宋体" w:cs="宋体"/>
                <w:color w:val="000000"/>
                <w:szCs w:val="21"/>
                <w:highlight w:val="none"/>
              </w:rPr>
            </w:r>
            <w:r/>
          </w:p>
          <w:p>
            <w:pPr>
              <w:pStyle w:val="933"/>
              <w:rPr>
                <w:rFonts w:ascii="宋体" w:hAnsi="宋体" w:cs="宋体"/>
                <w:color w:val="000000"/>
                <w:szCs w:val="21"/>
                <w:highlight w:val="none"/>
              </w:rPr>
            </w:pPr>
            <w:r>
              <w:rPr>
                <w:rFonts w:hint="eastAsia" w:ascii="宋体" w:hAnsi="宋体" w:cs="宋体"/>
                <w:color w:val="000000"/>
                <w:szCs w:val="21"/>
                <w:highlight w:val="none"/>
              </w:rPr>
              <w:t xml:space="preserve">6、严格按照投标文件与采购文件对比验收，保留邀请第三方质检部门验收的权利。</w:t>
            </w:r>
            <w:r>
              <w:rPr>
                <w:rFonts w:ascii="宋体" w:hAnsi="宋体" w:cs="宋体"/>
                <w:color w:val="000000"/>
                <w:szCs w:val="21"/>
                <w:highlight w:val="none"/>
              </w:rPr>
            </w:r>
            <w:r/>
          </w:p>
        </w:tc>
      </w:tr>
      <w:tr>
        <w:trPr>
          <w:cantSplit/>
          <w:trHeight w:val="1537"/>
        </w:trPr>
        <w:tc>
          <w:tcPr>
            <w:tcW w:w="381" w:type="dxa"/>
            <w:vAlign w:val="center"/>
            <w:textDirection w:val="lrTb"/>
            <w:noWrap w:val="false"/>
          </w:tcPr>
          <w:p>
            <w:pPr>
              <w:pStyle w:val="93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870" w:type="dxa"/>
            <w:vAlign w:val="center"/>
            <w:textDirection w:val="lrTb"/>
            <w:noWrap w:val="false"/>
          </w:tcPr>
          <w:p>
            <w:pPr>
              <w:pStyle w:val="933"/>
              <w:jc w:val="center"/>
              <w:rPr>
                <w:rFonts w:ascii="宋体" w:hAnsi="宋体" w:cs="宋体"/>
                <w:color w:val="000000"/>
                <w:szCs w:val="21"/>
                <w:highlight w:val="none"/>
              </w:rPr>
            </w:pPr>
            <w:r>
              <w:rPr>
                <w:rFonts w:hint="eastAsia" w:ascii="宋体" w:hAnsi="宋体" w:cs="宋体"/>
                <w:color w:val="000000"/>
                <w:szCs w:val="21"/>
                <w:highlight w:val="none"/>
              </w:rPr>
              <w:t xml:space="preserve">履约保证金与付款条件</w:t>
            </w:r>
            <w:r>
              <w:rPr>
                <w:rFonts w:ascii="宋体" w:hAnsi="宋体" w:cs="宋体"/>
                <w:color w:val="000000"/>
                <w:szCs w:val="21"/>
                <w:highlight w:val="none"/>
              </w:rPr>
            </w:r>
            <w:r/>
          </w:p>
        </w:tc>
        <w:tc>
          <w:tcPr>
            <w:tcW w:w="3747" w:type="dxa"/>
            <w:vAlign w:val="center"/>
            <w:textDirection w:val="lrTb"/>
            <w:noWrap w:val="false"/>
          </w:tcPr>
          <w:p>
            <w:pPr>
              <w:pStyle w:val="933"/>
              <w:rPr>
                <w:rFonts w:ascii="宋体" w:hAnsi="宋体" w:cs="宋体"/>
                <w:color w:val="000000"/>
                <w:szCs w:val="21"/>
                <w:highlight w:val="none"/>
              </w:rPr>
            </w:pPr>
            <w:r>
              <w:rPr>
                <w:rFonts w:hint="eastAsia" w:ascii="宋体" w:hAnsi="宋体" w:cs="宋体"/>
                <w:color w:val="000000"/>
                <w:szCs w:val="21"/>
                <w:highlight w:val="none"/>
              </w:rPr>
              <w:t xml:space="preserve">1）投标报价含安装人员意外伤害保险费、清单所列及安装、运输、调试、集成、保洁、免费质保、税金等与本项目相关的一切费用，本项目验收前中标方承担所有货物的保管责任；本项目单项报价中已含税。</w:t>
            </w:r>
            <w:r>
              <w:rPr>
                <w:rFonts w:ascii="宋体" w:hAnsi="宋体" w:cs="宋体"/>
                <w:color w:val="000000"/>
                <w:szCs w:val="21"/>
                <w:highlight w:val="none"/>
              </w:rPr>
            </w:r>
            <w:r/>
          </w:p>
          <w:p>
            <w:pPr>
              <w:pStyle w:val="933"/>
              <w:rPr>
                <w:rFonts w:ascii="宋体" w:hAnsi="宋体" w:cs="宋体"/>
                <w:b/>
                <w:color w:val="000000"/>
                <w:szCs w:val="21"/>
                <w:highlight w:val="none"/>
              </w:rPr>
            </w:pPr>
            <w:r>
              <w:rPr>
                <w:rFonts w:hint="eastAsia" w:ascii="宋体" w:hAnsi="宋体" w:cs="宋体"/>
                <w:color w:val="000000"/>
                <w:szCs w:val="21"/>
                <w:highlight w:val="none"/>
              </w:rPr>
              <w:t xml:space="preserve">2）付款方式：合同签订后预付合同总价的30%作为预付款，验收合格后支付剩余部分。</w:t>
            </w:r>
            <w:r>
              <w:rPr>
                <w:rFonts w:ascii="宋体" w:hAnsi="宋体" w:cs="宋体"/>
                <w:b/>
                <w:color w:val="000000"/>
                <w:szCs w:val="21"/>
                <w:highlight w:val="none"/>
              </w:rPr>
            </w:r>
            <w:r/>
          </w:p>
        </w:tc>
      </w:tr>
    </w:tbl>
    <w:p>
      <w:pPr>
        <w:pStyle w:val="933"/>
        <w:rPr>
          <w:rFonts w:hint="eastAsia" w:ascii="宋体" w:hAnsi="宋体" w:cs="宋体"/>
          <w:color w:val="000000"/>
          <w:highlight w:val="none"/>
        </w:rPr>
      </w:pPr>
      <w:r>
        <w:rPr>
          <w:rFonts w:hint="eastAsia" w:ascii="宋体" w:hAnsi="宋体" w:cs="宋体"/>
          <w:color w:val="000000"/>
          <w:highlight w:val="none"/>
        </w:rPr>
      </w:r>
      <w:r/>
    </w:p>
    <w:p>
      <w:pPr>
        <w:pStyle w:val="933"/>
        <w:rPr>
          <w:rFonts w:hint="eastAsia"/>
          <w:color w:val="000000"/>
          <w:highlight w:val="none"/>
          <w:lang w:val="zh-CN"/>
        </w:rPr>
      </w:pPr>
      <w:r>
        <w:rPr>
          <w:rFonts w:hint="eastAsia"/>
          <w:color w:val="000000"/>
          <w:highlight w:val="none"/>
          <w:lang w:val="zh-CN"/>
        </w:rPr>
      </w:r>
      <w:r/>
    </w:p>
    <w:p>
      <w:pPr>
        <w:pStyle w:val="969"/>
        <w:rPr>
          <w:rFonts w:hint="eastAsia"/>
          <w:color w:val="000000"/>
          <w:highlight w:val="none"/>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color w:val="000000"/>
          <w:highlight w:val="none"/>
          <w:lang w:val="zh-CN"/>
        </w:rPr>
      </w:r>
      <w:r/>
    </w:p>
    <w:p>
      <w:pPr>
        <w:pStyle w:val="933"/>
        <w:jc w:val="center"/>
        <w:rPr>
          <w:rFonts w:hint="eastAsia" w:ascii="宋体" w:hAnsi="宋体" w:cs="宋体"/>
          <w:color w:val="000000"/>
          <w:sz w:val="36"/>
          <w:szCs w:val="36"/>
          <w:highlight w:val="none"/>
          <w:lang w:val="zh-CN"/>
        </w:rPr>
        <w:outlineLvl w:val="0"/>
      </w:pPr>
      <w:r>
        <w:rPr>
          <w:rFonts w:hint="eastAsia" w:ascii="宋体" w:hAnsi="宋体" w:cs="宋体"/>
          <w:color w:val="000000"/>
          <w:sz w:val="36"/>
          <w:szCs w:val="36"/>
          <w:highlight w:val="none"/>
          <w:lang w:val="zh-CN"/>
        </w:rPr>
        <w:t xml:space="preserve">第五章</w:t>
      </w:r>
      <w:r>
        <w:rPr>
          <w:rFonts w:hint="eastAsia" w:ascii="宋体" w:hAnsi="宋体" w:cs="宋体"/>
          <w:color w:val="000000"/>
          <w:sz w:val="36"/>
          <w:szCs w:val="36"/>
          <w:highlight w:val="none"/>
        </w:rPr>
        <w:t xml:space="preserve"> </w:t>
      </w:r>
      <w:r>
        <w:rPr>
          <w:rFonts w:hint="eastAsia" w:ascii="宋体" w:hAnsi="宋体" w:cs="宋体"/>
          <w:color w:val="000000"/>
          <w:sz w:val="36"/>
          <w:szCs w:val="36"/>
          <w:highlight w:val="none"/>
          <w:lang w:val="zh-CN"/>
        </w:rPr>
        <w:t xml:space="preserve">合同主要条款及格式</w:t>
      </w:r>
      <w:r>
        <w:rPr>
          <w:rFonts w:hint="eastAsia" w:ascii="宋体" w:hAnsi="宋体" w:cs="宋体"/>
          <w:color w:val="000000"/>
          <w:sz w:val="36"/>
          <w:szCs w:val="36"/>
          <w:highlight w:val="none"/>
          <w:lang w:val="zh-CN"/>
        </w:rPr>
      </w:r>
      <w:r/>
    </w:p>
    <w:p>
      <w:pPr>
        <w:pStyle w:val="933"/>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合同编号：</w:t>
      </w:r>
      <w:r>
        <w:rPr>
          <w:rFonts w:hint="eastAsia" w:ascii="宋体" w:hAnsi="宋体" w:cs="宋体"/>
          <w:color w:val="000000"/>
          <w:szCs w:val="21"/>
          <w:highlight w:val="none"/>
          <w:lang w:val="zh-CN"/>
        </w:rPr>
      </w:r>
      <w:r/>
    </w:p>
    <w:p>
      <w:pPr>
        <w:pStyle w:val="933"/>
        <w:rPr>
          <w:rFonts w:hint="eastAsia" w:ascii="宋体" w:hAnsi="宋体" w:cs="宋体"/>
          <w:color w:val="000000"/>
          <w:highlight w:val="none"/>
          <w:lang w:val="zh-CN"/>
        </w:rPr>
      </w:pPr>
      <w:r>
        <w:rPr>
          <w:rFonts w:hint="eastAsia" w:ascii="宋体" w:hAnsi="宋体" w:cs="宋体"/>
          <w:color w:val="000000"/>
          <w:szCs w:val="21"/>
          <w:highlight w:val="none"/>
          <w:lang w:val="zh-CN"/>
        </w:rPr>
        <w:t xml:space="preserve">政府采购计划号：</w:t>
      </w:r>
      <w:r>
        <w:rPr>
          <w:rFonts w:hint="eastAsia" w:ascii="宋体" w:hAnsi="宋体" w:cs="宋体"/>
          <w:color w:val="000000"/>
          <w:highlight w:val="none"/>
          <w:lang w:val="zh-CN"/>
        </w:rPr>
      </w:r>
      <w:r/>
    </w:p>
    <w:tbl>
      <w:tblPr>
        <w:tblW w:w="961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4972"/>
        <w:gridCol w:w="4643"/>
      </w:tblGrid>
      <w:tr>
        <w:trPr/>
        <w:tc>
          <w:tcPr>
            <w:tcBorders>
              <w:top w:val="none" w:color="000000" w:sz="4" w:space="0"/>
              <w:left w:val="none" w:color="000000" w:sz="4" w:space="0"/>
              <w:bottom w:val="none" w:color="000000" w:sz="4" w:space="0"/>
              <w:right w:val="none" w:color="000000" w:sz="4" w:space="0"/>
            </w:tcBorders>
            <w:tcW w:w="4972" w:type="dxa"/>
            <w:vAlign w:val="top"/>
            <w:textDirection w:val="lrTb"/>
            <w:noWrap w:val="false"/>
          </w:tcPr>
          <w:p>
            <w:pPr>
              <w:pStyle w:val="933"/>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采购人（以下称甲方）</w:t>
            </w:r>
            <w:r>
              <w:rPr>
                <w:rFonts w:hint="eastAsia" w:ascii="宋体" w:hAnsi="宋体" w:cs="宋体"/>
                <w:color w:val="000000"/>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33"/>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供应商：（以下称乙方）</w:t>
            </w:r>
            <w:r>
              <w:rPr>
                <w:rFonts w:hint="eastAsia" w:ascii="宋体" w:hAnsi="宋体" w:cs="宋体"/>
                <w:color w:val="000000"/>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972" w:type="dxa"/>
            <w:vAlign w:val="top"/>
            <w:textDirection w:val="lrTb"/>
            <w:noWrap w:val="false"/>
          </w:tcPr>
          <w:p>
            <w:pPr>
              <w:pStyle w:val="933"/>
              <w:jc w:val="lef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住所地：</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33"/>
              <w:jc w:val="lef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住所地</w:t>
            </w:r>
            <w:r>
              <w:rPr>
                <w:rFonts w:hint="eastAsia" w:ascii="宋体" w:hAnsi="宋体" w:cs="宋体"/>
                <w:color w:val="000000"/>
                <w:szCs w:val="21"/>
                <w:highlight w:val="none"/>
              </w:rPr>
            </w:r>
            <w:r/>
          </w:p>
        </w:tc>
      </w:tr>
    </w:tbl>
    <w:p>
      <w:pPr>
        <w:pStyle w:val="933"/>
        <w:ind w:firstLine="420"/>
        <w:jc w:val="lef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根据《中华人民共和国政府采购法》、《中华人民共和国民法典》等法律法规的规定，甲乙双方按照采购代理机构的</w:t>
      </w:r>
      <w:r>
        <w:rPr>
          <w:rFonts w:hint="eastAsia" w:ascii="宋体" w:hAnsi="宋体" w:cs="宋体"/>
          <w:color w:val="000000"/>
          <w:szCs w:val="21"/>
          <w:highlight w:val="none"/>
        </w:rPr>
        <w:t xml:space="preserve">采购</w:t>
      </w:r>
      <w:r>
        <w:rPr>
          <w:rFonts w:hint="eastAsia" w:ascii="宋体" w:hAnsi="宋体" w:cs="宋体"/>
          <w:color w:val="000000"/>
          <w:szCs w:val="21"/>
          <w:highlight w:val="none"/>
          <w:lang w:val="zh-CN"/>
        </w:rPr>
        <w:t xml:space="preserve">结果签订本合同。</w:t>
      </w:r>
      <w:r>
        <w:rPr>
          <w:rFonts w:hint="eastAsia" w:ascii="宋体" w:hAnsi="宋体" w:cs="宋体"/>
          <w:color w:val="000000"/>
          <w:szCs w:val="21"/>
          <w:highlight w:val="none"/>
        </w:rPr>
      </w:r>
      <w:r/>
    </w:p>
    <w:p>
      <w:pPr>
        <w:pStyle w:val="933"/>
        <w:ind w:firstLine="420"/>
        <w:jc w:val="left"/>
        <w:rPr>
          <w:rFonts w:hint="eastAsia" w:ascii="宋体" w:hAnsi="宋体" w:cs="宋体"/>
          <w:color w:val="000000"/>
          <w:szCs w:val="21"/>
          <w:highlight w:val="none"/>
          <w:lang w:val="zh-CN"/>
        </w:rPr>
      </w:pPr>
      <w:r>
        <w:rPr>
          <w:rFonts w:hint="eastAsia" w:ascii="宋体" w:hAnsi="宋体" w:cs="宋体"/>
          <w:b/>
          <w:bCs/>
          <w:color w:val="000000"/>
          <w:szCs w:val="21"/>
          <w:highlight w:val="none"/>
          <w:lang w:val="zh-CN"/>
        </w:rPr>
        <w:t xml:space="preserve">第一条 合同标的</w:t>
      </w:r>
      <w:r>
        <w:rPr>
          <w:rFonts w:hint="eastAsia" w:ascii="宋体" w:hAnsi="宋体" w:cs="宋体"/>
          <w:color w:val="000000"/>
          <w:szCs w:val="21"/>
          <w:highlight w:val="none"/>
          <w:lang w:val="zh-CN"/>
        </w:rPr>
        <w:t xml:space="preserve">  乙方根据甲方需求提供下列货物：</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，货物名称、规格及数量详见乙方响应文件。</w:t>
      </w:r>
      <w:r>
        <w:rPr>
          <w:rFonts w:hint="eastAsia" w:ascii="宋体" w:hAnsi="宋体" w:cs="宋体"/>
          <w:color w:val="000000"/>
          <w:szCs w:val="21"/>
          <w:highlight w:val="none"/>
          <w:lang w:val="zh-CN"/>
        </w:rPr>
      </w:r>
      <w:r/>
    </w:p>
    <w:p>
      <w:pPr>
        <w:pStyle w:val="933"/>
        <w:ind w:firstLine="420"/>
        <w:jc w:val="left"/>
        <w:rPr>
          <w:rFonts w:hint="eastAsia" w:ascii="宋体" w:hAnsi="宋体" w:cs="宋体"/>
          <w:color w:val="000000"/>
          <w:szCs w:val="21"/>
          <w:highlight w:val="none"/>
          <w:lang w:val="zh-CN"/>
        </w:rPr>
      </w:pPr>
      <w:r>
        <w:rPr>
          <w:rFonts w:hint="eastAsia" w:ascii="宋体" w:hAnsi="宋体" w:cs="宋体"/>
          <w:b/>
          <w:bCs/>
          <w:color w:val="000000"/>
          <w:szCs w:val="21"/>
          <w:highlight w:val="none"/>
          <w:lang w:val="zh-CN"/>
        </w:rPr>
        <w:t xml:space="preserve">第二条 合同总价款</w:t>
      </w:r>
      <w:r>
        <w:rPr>
          <w:rFonts w:hint="eastAsia" w:ascii="宋体" w:hAnsi="宋体" w:cs="宋体"/>
          <w:color w:val="000000"/>
          <w:szCs w:val="21"/>
          <w:highlight w:val="none"/>
          <w:lang w:val="zh-CN"/>
        </w:rPr>
        <w:t xml:space="preserve">  本合同项下总价款为___________（大写）人民币，分项价款在“报价表”中有明确规定。</w:t>
      </w:r>
      <w:r>
        <w:rPr>
          <w:rFonts w:hint="eastAsia" w:ascii="宋体" w:hAnsi="宋体" w:cs="宋体"/>
          <w:color w:val="000000"/>
          <w:szCs w:val="21"/>
          <w:highlight w:val="none"/>
          <w:lang w:val="zh-CN"/>
        </w:rPr>
      </w:r>
      <w:r/>
    </w:p>
    <w:p>
      <w:pPr>
        <w:pStyle w:val="933"/>
        <w:ind w:firstLine="420"/>
        <w:jc w:val="left"/>
        <w:rPr>
          <w:rFonts w:hint="eastAsia" w:ascii="宋体" w:hAnsi="宋体" w:cs="宋体"/>
          <w:b/>
          <w:color w:val="000000"/>
          <w:szCs w:val="21"/>
          <w:highlight w:val="none"/>
        </w:rPr>
      </w:pPr>
      <w:r>
        <w:rPr>
          <w:rFonts w:hint="eastAsia" w:ascii="宋体" w:hAnsi="宋体" w:cs="宋体"/>
          <w:color w:val="000000"/>
          <w:szCs w:val="21"/>
          <w:highlight w:val="none"/>
          <w:lang w:val="zh-CN"/>
        </w:rPr>
        <w:t xml:space="preserve">本合同总价款是</w:t>
      </w:r>
      <w:r>
        <w:rPr>
          <w:rFonts w:hint="eastAsia" w:ascii="宋体" w:hAnsi="宋体" w:cs="宋体"/>
          <w:color w:val="000000"/>
          <w:szCs w:val="21"/>
          <w:highlight w:val="none"/>
          <w:lang w:val="zh-CN"/>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bCs/>
          <w:color w:val="000000"/>
          <w:szCs w:val="21"/>
          <w:highlight w:val="none"/>
        </w:rPr>
        <w:t xml:space="preserve">，以</w:t>
      </w:r>
      <w:r>
        <w:rPr>
          <w:rFonts w:hint="eastAsia" w:ascii="宋体" w:hAnsi="宋体" w:cs="宋体"/>
          <w:color w:val="000000"/>
          <w:szCs w:val="21"/>
          <w:highlight w:val="none"/>
        </w:rPr>
        <w:t xml:space="preserve">及供应商认为需要的其他费用等</w:t>
      </w:r>
      <w:r>
        <w:rPr>
          <w:rFonts w:hint="eastAsia" w:ascii="宋体" w:hAnsi="宋体" w:cs="宋体"/>
          <w:color w:val="000000"/>
          <w:szCs w:val="21"/>
          <w:highlight w:val="none"/>
          <w:lang w:val="zh-CN"/>
        </w:rPr>
        <w:t xml:space="preserve">。</w:t>
      </w:r>
      <w:r>
        <w:rPr>
          <w:rFonts w:hint="eastAsia" w:ascii="宋体" w:hAnsi="宋体" w:cs="宋体"/>
          <w:b/>
          <w:color w:val="000000"/>
          <w:szCs w:val="21"/>
          <w:highlight w:val="none"/>
        </w:rPr>
      </w:r>
      <w:r/>
    </w:p>
    <w:p>
      <w:pPr>
        <w:pStyle w:val="933"/>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本合同总价款还包含乙方应当提供的伴随服务/售后服务费用。</w:t>
      </w:r>
      <w:r>
        <w:rPr>
          <w:rFonts w:hint="eastAsia" w:ascii="宋体" w:hAnsi="宋体" w:cs="宋体"/>
          <w:color w:val="000000"/>
          <w:szCs w:val="21"/>
          <w:highlight w:val="none"/>
          <w:lang w:val="zh-CN"/>
        </w:rPr>
      </w:r>
      <w:r/>
    </w:p>
    <w:p>
      <w:pPr>
        <w:pStyle w:val="933"/>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本合同执行期间合同总价款不变。</w:t>
      </w:r>
      <w:r>
        <w:rPr>
          <w:rFonts w:hint="eastAsia" w:ascii="宋体" w:hAnsi="宋体" w:cs="宋体"/>
          <w:color w:val="000000"/>
          <w:szCs w:val="21"/>
          <w:highlight w:val="none"/>
          <w:lang w:val="zh-CN"/>
        </w:rPr>
      </w:r>
      <w:r/>
    </w:p>
    <w:p>
      <w:pPr>
        <w:pStyle w:val="933"/>
        <w:ind w:firstLine="413"/>
        <w:jc w:val="left"/>
        <w:rPr>
          <w:rFonts w:hint="eastAsia" w:ascii="宋体" w:hAnsi="宋体" w:cs="宋体"/>
          <w:color w:val="000000"/>
          <w:szCs w:val="21"/>
          <w:highlight w:val="none"/>
          <w:lang w:val="zh-CN"/>
        </w:rPr>
      </w:pPr>
      <w:r>
        <w:rPr>
          <w:rFonts w:hint="eastAsia" w:ascii="宋体" w:hAnsi="宋体" w:cs="宋体"/>
          <w:b/>
          <w:bCs/>
          <w:color w:val="000000"/>
          <w:szCs w:val="21"/>
          <w:highlight w:val="none"/>
          <w:lang w:val="zh-CN"/>
        </w:rPr>
        <w:t xml:space="preserve">第三条 组成本合同的有关文件</w:t>
      </w:r>
      <w:r>
        <w:rPr>
          <w:rFonts w:hint="eastAsia" w:ascii="宋体" w:hAnsi="宋体" w:cs="宋体"/>
          <w:color w:val="000000"/>
          <w:szCs w:val="21"/>
          <w:highlight w:val="none"/>
          <w:lang w:val="zh-CN"/>
        </w:rPr>
        <w:t xml:space="preserve">  下列关于</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u w:val="single"/>
          <w:lang w:val="zh-CN"/>
        </w:rPr>
        <w:t xml:space="preserve">号</w:t>
      </w:r>
      <w:r>
        <w:rPr>
          <w:rFonts w:hint="eastAsia" w:ascii="宋体" w:hAnsi="宋体" w:cs="宋体"/>
          <w:color w:val="000000"/>
          <w:szCs w:val="21"/>
          <w:highlight w:val="none"/>
          <w:lang w:val="zh-CN"/>
        </w:rPr>
        <w:t xml:space="preserve">采购文件、供应商投标文件或与本次采购活动方式相适应的文件及有关附件是本合同不可分割的组成部分，与本合同具有同等法律效力，这些文件包括但不限于：</w:t>
      </w:r>
      <w:r>
        <w:rPr>
          <w:rFonts w:hint="eastAsia" w:ascii="宋体" w:hAnsi="宋体" w:cs="宋体"/>
          <w:color w:val="000000"/>
          <w:szCs w:val="21"/>
          <w:highlight w:val="none"/>
          <w:lang w:val="zh-CN"/>
        </w:rPr>
      </w:r>
      <w:r/>
    </w:p>
    <w:p>
      <w:pPr>
        <w:pStyle w:val="933"/>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（1）乙方提供的投标文件和报价表；              （2）供货一览表；</w:t>
      </w:r>
      <w:r>
        <w:rPr>
          <w:rFonts w:hint="eastAsia" w:ascii="宋体" w:hAnsi="宋体" w:cs="宋体"/>
          <w:color w:val="000000"/>
          <w:szCs w:val="21"/>
          <w:highlight w:val="none"/>
          <w:lang w:val="zh-CN"/>
        </w:rPr>
      </w:r>
      <w:r/>
    </w:p>
    <w:p>
      <w:pPr>
        <w:pStyle w:val="933"/>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（3）交货一览表；                              （4）技术规格响应表；</w:t>
      </w:r>
      <w:r>
        <w:rPr>
          <w:rFonts w:hint="eastAsia" w:ascii="宋体" w:hAnsi="宋体" w:cs="宋体"/>
          <w:color w:val="000000"/>
          <w:szCs w:val="21"/>
          <w:highlight w:val="none"/>
          <w:lang w:val="zh-CN"/>
        </w:rPr>
      </w:r>
      <w:r/>
    </w:p>
    <w:p>
      <w:pPr>
        <w:pStyle w:val="933"/>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（5）乙方承诺；                                （6）服务承诺；</w:t>
      </w:r>
      <w:r>
        <w:rPr>
          <w:rFonts w:hint="eastAsia" w:ascii="宋体" w:hAnsi="宋体" w:cs="宋体"/>
          <w:color w:val="000000"/>
          <w:szCs w:val="21"/>
          <w:highlight w:val="none"/>
          <w:lang w:val="zh-CN"/>
        </w:rPr>
      </w:r>
      <w:r/>
    </w:p>
    <w:p>
      <w:pPr>
        <w:pStyle w:val="933"/>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（7）中标通知书；                              （8）甲乙双方商定的其他文件等。</w:t>
      </w:r>
      <w:r>
        <w:rPr>
          <w:rFonts w:hint="eastAsia" w:ascii="宋体" w:hAnsi="宋体" w:cs="宋体"/>
          <w:color w:val="000000"/>
          <w:szCs w:val="21"/>
          <w:highlight w:val="none"/>
          <w:lang w:val="zh-CN"/>
        </w:rPr>
      </w:r>
      <w:r/>
    </w:p>
    <w:p>
      <w:pPr>
        <w:pStyle w:val="933"/>
        <w:ind w:firstLine="420"/>
        <w:jc w:val="lef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第四条 权利保证</w:t>
      </w:r>
      <w:r>
        <w:rPr>
          <w:rFonts w:hint="eastAsia" w:ascii="宋体" w:hAnsi="宋体" w:cs="宋体"/>
          <w:b/>
          <w:bCs/>
          <w:color w:val="000000"/>
          <w:szCs w:val="21"/>
          <w:highlight w:val="none"/>
          <w:lang w:val="zh-CN"/>
        </w:rPr>
      </w:r>
      <w:r/>
    </w:p>
    <w:p>
      <w:pPr>
        <w:pStyle w:val="933"/>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乙方应保证甲方在使用该货物或其任何一部分时不受第三方提出侵犯其专利权、版权、商标权或其他权利的起诉。一旦出现侵权，乙方应承担全部责任。</w:t>
      </w:r>
      <w:r>
        <w:rPr>
          <w:rFonts w:hint="eastAsia" w:ascii="宋体" w:hAnsi="宋体" w:cs="宋体"/>
          <w:color w:val="000000"/>
          <w:szCs w:val="21"/>
          <w:highlight w:val="none"/>
          <w:lang w:val="zh-CN"/>
        </w:rPr>
      </w:r>
      <w:r/>
    </w:p>
    <w:p>
      <w:pPr>
        <w:pStyle w:val="933"/>
        <w:ind w:firstLine="420"/>
        <w:jc w:val="lef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第五条 质量保证</w:t>
      </w:r>
      <w:r>
        <w:rPr>
          <w:rFonts w:hint="eastAsia" w:ascii="宋体" w:hAnsi="宋体" w:cs="宋体"/>
          <w:b/>
          <w:bCs/>
          <w:color w:val="000000"/>
          <w:szCs w:val="21"/>
          <w:highlight w:val="none"/>
          <w:lang w:val="zh-CN"/>
        </w:rPr>
      </w:r>
      <w:r/>
    </w:p>
    <w:p>
      <w:pPr>
        <w:pStyle w:val="933"/>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1、乙方所提供的货物的技术规格应与招标文件规定的技术规格及所附的“技术规格响应表”相一致；若技术性能无特殊说明，则按国家有关部门最新颁布的标准及规范为准。</w:t>
      </w:r>
      <w:r>
        <w:rPr>
          <w:rFonts w:hint="eastAsia" w:ascii="宋体" w:hAnsi="宋体" w:cs="宋体"/>
          <w:color w:val="000000"/>
          <w:szCs w:val="21"/>
          <w:highlight w:val="none"/>
          <w:lang w:val="zh-CN"/>
        </w:rPr>
      </w:r>
      <w:r/>
    </w:p>
    <w:p>
      <w:pPr>
        <w:pStyle w:val="933"/>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cs="宋体"/>
          <w:color w:val="000000"/>
          <w:szCs w:val="21"/>
          <w:highlight w:val="none"/>
          <w:lang w:val="zh-CN"/>
        </w:rPr>
      </w:r>
      <w:r/>
    </w:p>
    <w:p>
      <w:pPr>
        <w:pStyle w:val="933"/>
        <w:ind w:firstLine="420"/>
        <w:jc w:val="lef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第六条 包装要求</w:t>
      </w:r>
      <w:r>
        <w:rPr>
          <w:rFonts w:hint="eastAsia" w:ascii="宋体" w:hAnsi="宋体" w:cs="宋体"/>
          <w:b/>
          <w:bCs/>
          <w:color w:val="000000"/>
          <w:szCs w:val="21"/>
          <w:highlight w:val="none"/>
          <w:lang w:val="zh-CN"/>
        </w:rPr>
      </w:r>
      <w:r/>
    </w:p>
    <w:p>
      <w:pPr>
        <w:pStyle w:val="933"/>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hint="eastAsia" w:ascii="宋体" w:hAnsi="宋体" w:cs="宋体"/>
          <w:color w:val="000000"/>
          <w:szCs w:val="21"/>
          <w:highlight w:val="none"/>
          <w:lang w:val="zh-CN"/>
        </w:rPr>
      </w:r>
      <w:r/>
    </w:p>
    <w:p>
      <w:pPr>
        <w:pStyle w:val="933"/>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2、每一包装单元内应附详细的装箱单和质量合格凭证。</w:t>
      </w:r>
      <w:r>
        <w:rPr>
          <w:rFonts w:hint="eastAsia" w:ascii="宋体" w:hAnsi="宋体" w:cs="宋体"/>
          <w:color w:val="000000"/>
          <w:szCs w:val="21"/>
          <w:highlight w:val="none"/>
          <w:lang w:val="zh-CN"/>
        </w:rPr>
      </w:r>
      <w:r/>
    </w:p>
    <w:p>
      <w:pPr>
        <w:pStyle w:val="933"/>
        <w:ind w:firstLine="420"/>
        <w:jc w:val="lef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第七条 交货和验收</w:t>
      </w:r>
      <w:r>
        <w:rPr>
          <w:rFonts w:hint="eastAsia" w:ascii="宋体" w:hAnsi="宋体" w:cs="宋体"/>
          <w:b/>
          <w:bCs/>
          <w:color w:val="000000"/>
          <w:szCs w:val="21"/>
          <w:highlight w:val="none"/>
          <w:lang w:val="zh-CN"/>
        </w:rPr>
      </w:r>
      <w:r/>
    </w:p>
    <w:p>
      <w:pPr>
        <w:pStyle w:val="933"/>
        <w:ind w:firstLine="420"/>
        <w:jc w:val="left"/>
        <w:rPr>
          <w:rFonts w:hint="eastAsia" w:ascii="宋体" w:hAnsi="宋体" w:cs="宋体"/>
          <w:color w:val="000000"/>
          <w:szCs w:val="21"/>
          <w:highlight w:val="none"/>
          <w:u w:val="single"/>
          <w:lang w:val="zh-CN"/>
        </w:rPr>
      </w:pPr>
      <w:r>
        <w:rPr>
          <w:rFonts w:hint="eastAsia" w:ascii="宋体" w:hAnsi="宋体" w:cs="宋体"/>
          <w:color w:val="000000"/>
          <w:szCs w:val="21"/>
          <w:highlight w:val="none"/>
          <w:lang w:val="zh-CN"/>
        </w:rPr>
        <w:t xml:space="preserve">1、乙方应当在</w:t>
      </w:r>
      <w:r>
        <w:rPr>
          <w:rFonts w:hint="eastAsia" w:ascii="宋体" w:hAnsi="宋体" w:cs="宋体"/>
          <w:b/>
          <w:color w:val="000000"/>
          <w:szCs w:val="21"/>
          <w:highlight w:val="none"/>
          <w:lang w:val="zh-CN"/>
        </w:rPr>
        <w:t xml:space="preserve">合同签订后</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lang w:val="zh-CN"/>
        </w:rPr>
        <w:t xml:space="preserve">天内</w:t>
      </w:r>
      <w:r>
        <w:rPr>
          <w:rFonts w:hint="eastAsia" w:ascii="宋体" w:hAnsi="宋体" w:cs="宋体"/>
          <w:color w:val="000000"/>
          <w:szCs w:val="21"/>
          <w:highlight w:val="none"/>
          <w:lang w:val="zh-CN"/>
        </w:rPr>
        <w:t xml:space="preserve">将货物安装调试完毕交付甲方正常使用，地点由甲方指定。招标文件有约定的，从其约定。</w:t>
      </w:r>
      <w:r>
        <w:rPr>
          <w:rFonts w:hint="eastAsia" w:ascii="宋体" w:hAnsi="宋体" w:cs="宋体"/>
          <w:color w:val="000000"/>
          <w:szCs w:val="21"/>
          <w:highlight w:val="none"/>
          <w:u w:val="single"/>
          <w:lang w:val="zh-CN"/>
        </w:rPr>
      </w:r>
      <w:r/>
    </w:p>
    <w:p>
      <w:pPr>
        <w:pStyle w:val="933"/>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2、乙方交付的货物应当完全符合本合同或者采购文件所规定的货物、数量和规格要求。乙方提供的货物不符合采购文件和合同规定的，甲方有权拒收货物，由此引起的风险，由乙方承担。</w:t>
      </w:r>
      <w:r>
        <w:rPr>
          <w:rFonts w:hint="eastAsia" w:ascii="宋体" w:hAnsi="宋体" w:cs="宋体"/>
          <w:color w:val="000000"/>
          <w:szCs w:val="21"/>
          <w:highlight w:val="none"/>
          <w:lang w:val="zh-CN"/>
        </w:rPr>
      </w:r>
      <w:r/>
    </w:p>
    <w:p>
      <w:pPr>
        <w:pStyle w:val="933"/>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3、货物的到货验收包括：型号、规格、数量、外观质量、及货物包装是否完好。</w:t>
      </w:r>
      <w:r>
        <w:rPr>
          <w:rFonts w:hint="eastAsia" w:ascii="宋体" w:hAnsi="宋体" w:cs="宋体"/>
          <w:color w:val="000000"/>
          <w:szCs w:val="21"/>
          <w:highlight w:val="none"/>
          <w:lang w:val="zh-CN"/>
        </w:rPr>
      </w:r>
      <w:r/>
    </w:p>
    <w:p>
      <w:pPr>
        <w:pStyle w:val="933"/>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cs="宋体"/>
          <w:color w:val="000000"/>
          <w:szCs w:val="21"/>
          <w:highlight w:val="none"/>
          <w:lang w:val="zh-CN"/>
        </w:rPr>
      </w:r>
      <w:r/>
    </w:p>
    <w:p>
      <w:pPr>
        <w:pStyle w:val="933"/>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5、货物和系统调试验收的标准：按行业通行标准、厂方出厂标准和乙方响应文件的承诺（详见合同附件载明的标准，并不低于国家相关标准）。</w:t>
      </w:r>
      <w:r>
        <w:rPr>
          <w:rFonts w:hint="eastAsia" w:ascii="宋体" w:hAnsi="宋体" w:cs="宋体"/>
          <w:color w:val="000000"/>
          <w:szCs w:val="21"/>
          <w:highlight w:val="none"/>
          <w:lang w:val="zh-CN"/>
        </w:rPr>
      </w:r>
      <w:r/>
    </w:p>
    <w:p>
      <w:pPr>
        <w:pStyle w:val="933"/>
        <w:ind w:firstLine="420"/>
        <w:jc w:val="lef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第八条 伴随服务／售后服务</w:t>
      </w:r>
      <w:r>
        <w:rPr>
          <w:rFonts w:hint="eastAsia" w:ascii="宋体" w:hAnsi="宋体" w:cs="宋体"/>
          <w:b/>
          <w:bCs/>
          <w:color w:val="000000"/>
          <w:szCs w:val="21"/>
          <w:highlight w:val="none"/>
          <w:lang w:val="zh-CN"/>
        </w:rPr>
      </w:r>
      <w:r/>
    </w:p>
    <w:p>
      <w:pPr>
        <w:pStyle w:val="933"/>
        <w:ind w:firstLine="420"/>
        <w:jc w:val="left"/>
        <w:tabs>
          <w:tab w:val="left" w:pos="162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1、乙方应按照国家有关法律法规规章和“三包”规定以及合同所附的“服务承诺”提供服务。</w:t>
      </w:r>
      <w:r>
        <w:rPr>
          <w:rFonts w:hint="eastAsia" w:ascii="宋体" w:hAnsi="宋体" w:cs="宋体"/>
          <w:color w:val="000000"/>
          <w:szCs w:val="21"/>
          <w:highlight w:val="none"/>
          <w:lang w:val="zh-CN"/>
        </w:rPr>
      </w:r>
      <w:r/>
    </w:p>
    <w:p>
      <w:pPr>
        <w:pStyle w:val="933"/>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2、除前款规定外，乙方还应提供下列服务：</w:t>
      </w:r>
      <w:r>
        <w:rPr>
          <w:rFonts w:hint="eastAsia" w:ascii="宋体" w:hAnsi="宋体" w:cs="宋体"/>
          <w:color w:val="000000"/>
          <w:szCs w:val="21"/>
          <w:highlight w:val="none"/>
          <w:lang w:val="zh-CN"/>
        </w:rPr>
      </w:r>
      <w:r/>
    </w:p>
    <w:p>
      <w:pPr>
        <w:pStyle w:val="933"/>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（1）货物的现场安装、调试和/或启动监督；</w:t>
      </w:r>
      <w:r>
        <w:rPr>
          <w:rFonts w:hint="eastAsia" w:ascii="宋体" w:hAnsi="宋体" w:cs="宋体"/>
          <w:color w:val="000000"/>
          <w:szCs w:val="21"/>
          <w:highlight w:val="none"/>
          <w:lang w:val="zh-CN"/>
        </w:rPr>
      </w:r>
      <w:r/>
    </w:p>
    <w:p>
      <w:pPr>
        <w:pStyle w:val="933"/>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（2）就货物的安装、启动、运行及维护等对甲方人员进行免费培训。</w:t>
      </w:r>
      <w:r>
        <w:rPr>
          <w:rFonts w:hint="eastAsia" w:ascii="宋体" w:hAnsi="宋体" w:cs="宋体"/>
          <w:color w:val="000000"/>
          <w:szCs w:val="21"/>
          <w:highlight w:val="none"/>
          <w:lang w:val="zh-CN"/>
        </w:rPr>
      </w:r>
      <w:r/>
    </w:p>
    <w:p>
      <w:pPr>
        <w:pStyle w:val="933"/>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3、若招标文件中不包含有关伴随服务或售后服务的承诺，双方作如下约定：</w:t>
      </w:r>
      <w:r>
        <w:rPr>
          <w:rFonts w:hint="eastAsia" w:ascii="宋体" w:hAnsi="宋体" w:cs="宋体"/>
          <w:color w:val="000000"/>
          <w:szCs w:val="21"/>
          <w:highlight w:val="none"/>
          <w:lang w:val="zh-CN"/>
        </w:rPr>
      </w:r>
      <w:r/>
    </w:p>
    <w:p>
      <w:pPr>
        <w:pStyle w:val="933"/>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hint="eastAsia" w:ascii="宋体" w:hAnsi="宋体" w:cs="宋体"/>
          <w:color w:val="000000"/>
          <w:szCs w:val="21"/>
          <w:highlight w:val="none"/>
          <w:lang w:val="zh-CN"/>
        </w:rPr>
      </w:r>
      <w:r/>
    </w:p>
    <w:p>
      <w:pPr>
        <w:pStyle w:val="933"/>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3.2 所购货物按乙方承诺提供免费维护和质量保证，保修费用计入总价。</w:t>
      </w:r>
      <w:r>
        <w:rPr>
          <w:rFonts w:hint="eastAsia" w:ascii="宋体" w:hAnsi="宋体" w:cs="宋体"/>
          <w:color w:val="000000"/>
          <w:szCs w:val="21"/>
          <w:highlight w:val="none"/>
          <w:lang w:val="zh-CN"/>
        </w:rPr>
      </w:r>
      <w:r/>
    </w:p>
    <w:p>
      <w:pPr>
        <w:pStyle w:val="933"/>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3.3 保修期内，乙方负责对其提供的货物整机进行维修和系统维护，不再收取任何费用，但不可抗力（如火灾、雷击等）造成的故障除外。</w:t>
      </w:r>
      <w:r>
        <w:rPr>
          <w:rFonts w:hint="eastAsia" w:ascii="宋体" w:hAnsi="宋体" w:cs="宋体"/>
          <w:color w:val="000000"/>
          <w:szCs w:val="21"/>
          <w:highlight w:val="none"/>
          <w:lang w:val="zh-CN"/>
        </w:rPr>
      </w:r>
      <w:r/>
    </w:p>
    <w:p>
      <w:pPr>
        <w:pStyle w:val="933"/>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3.4 货物故障报修的响应时间按乙方承诺执行。</w:t>
      </w:r>
      <w:r>
        <w:rPr>
          <w:rFonts w:hint="eastAsia" w:ascii="宋体" w:hAnsi="宋体" w:cs="宋体"/>
          <w:color w:val="000000"/>
          <w:szCs w:val="21"/>
          <w:highlight w:val="none"/>
          <w:lang w:val="zh-CN"/>
        </w:rPr>
      </w:r>
      <w:r/>
    </w:p>
    <w:p>
      <w:pPr>
        <w:pStyle w:val="933"/>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3.5 若货物故障在检修48小时后仍无法排除，乙方应在48小时内免费提供不低于故障货物规格型号档次的备用货物供甲方使用，直至故障货物修复。</w:t>
      </w:r>
      <w:r>
        <w:rPr>
          <w:rFonts w:hint="eastAsia" w:ascii="宋体" w:hAnsi="宋体" w:cs="宋体"/>
          <w:color w:val="000000"/>
          <w:szCs w:val="21"/>
          <w:highlight w:val="none"/>
          <w:lang w:val="zh-CN"/>
        </w:rPr>
      </w:r>
      <w:r/>
    </w:p>
    <w:p>
      <w:pPr>
        <w:pStyle w:val="933"/>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3.6 所有货物保修服务方式均为乙方上门保修，即由乙方派员到货物使用现场维修，由此产生的一切费用均由乙方承担。</w:t>
      </w:r>
      <w:r>
        <w:rPr>
          <w:rFonts w:hint="eastAsia" w:ascii="宋体" w:hAnsi="宋体" w:cs="宋体"/>
          <w:color w:val="000000"/>
          <w:szCs w:val="21"/>
          <w:highlight w:val="none"/>
          <w:lang w:val="zh-CN"/>
        </w:rPr>
      </w:r>
      <w:r/>
    </w:p>
    <w:p>
      <w:pPr>
        <w:pStyle w:val="933"/>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3.7 保修期后的货物维护由双方协商再定。</w:t>
      </w:r>
      <w:r>
        <w:rPr>
          <w:rFonts w:hint="eastAsia" w:ascii="宋体" w:hAnsi="宋体" w:cs="宋体"/>
          <w:color w:val="000000"/>
          <w:szCs w:val="21"/>
          <w:highlight w:val="none"/>
          <w:lang w:val="zh-CN"/>
        </w:rPr>
      </w:r>
      <w:r/>
    </w:p>
    <w:p>
      <w:pPr>
        <w:pStyle w:val="933"/>
        <w:ind w:firstLine="420"/>
        <w:jc w:val="left"/>
        <w:rPr>
          <w:rFonts w:hint="eastAsia" w:ascii="宋体" w:hAnsi="宋体" w:cs="宋体"/>
          <w:i/>
          <w:iCs/>
          <w:color w:val="000000"/>
          <w:szCs w:val="21"/>
          <w:highlight w:val="none"/>
          <w:lang w:val="zh-CN"/>
        </w:rPr>
      </w:pPr>
      <w:r>
        <w:rPr>
          <w:rFonts w:hint="eastAsia" w:ascii="宋体" w:hAnsi="宋体" w:cs="宋体"/>
          <w:b/>
          <w:bCs/>
          <w:color w:val="000000"/>
          <w:szCs w:val="21"/>
          <w:highlight w:val="none"/>
          <w:lang w:val="zh-CN"/>
        </w:rPr>
        <w:t xml:space="preserve">第九条 履约保证金：无。</w:t>
      </w:r>
      <w:r>
        <w:rPr>
          <w:rFonts w:hint="eastAsia" w:ascii="宋体" w:hAnsi="宋体" w:cs="宋体"/>
          <w:i/>
          <w:iCs/>
          <w:color w:val="000000"/>
          <w:szCs w:val="21"/>
          <w:highlight w:val="none"/>
          <w:lang w:val="zh-CN"/>
        </w:rPr>
      </w:r>
      <w:r/>
    </w:p>
    <w:p>
      <w:pPr>
        <w:pStyle w:val="933"/>
        <w:ind w:firstLine="420"/>
        <w:jc w:val="left"/>
        <w:rPr>
          <w:rFonts w:hint="eastAsia" w:ascii="宋体" w:hAnsi="宋体" w:cs="宋体"/>
          <w:b/>
          <w:bCs/>
          <w:i/>
          <w:iCs/>
          <w:color w:val="000000"/>
          <w:szCs w:val="21"/>
          <w:highlight w:val="none"/>
          <w:lang w:val="zh-CN"/>
        </w:rPr>
      </w:pPr>
      <w:r>
        <w:rPr>
          <w:rFonts w:hint="eastAsia" w:ascii="宋体" w:hAnsi="宋体" w:cs="宋体"/>
          <w:b/>
          <w:bCs/>
          <w:color w:val="000000"/>
          <w:szCs w:val="21"/>
          <w:highlight w:val="none"/>
          <w:lang w:val="zh-CN"/>
        </w:rPr>
        <w:t xml:space="preserve">第十条 合同款支付</w:t>
      </w:r>
      <w:r>
        <w:rPr>
          <w:rFonts w:hint="eastAsia" w:ascii="宋体" w:hAnsi="宋体" w:cs="宋体"/>
          <w:b/>
          <w:bCs/>
          <w:i/>
          <w:iCs/>
          <w:color w:val="000000"/>
          <w:szCs w:val="21"/>
          <w:highlight w:val="none"/>
          <w:lang w:val="zh-CN"/>
        </w:rPr>
      </w:r>
      <w:r/>
    </w:p>
    <w:p>
      <w:pPr>
        <w:pStyle w:val="933"/>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1、本合同项下所有款项均以人民币支付。</w:t>
      </w:r>
      <w:r>
        <w:rPr>
          <w:rFonts w:hint="eastAsia" w:ascii="宋体" w:hAnsi="宋体" w:cs="宋体"/>
          <w:color w:val="000000"/>
          <w:szCs w:val="21"/>
          <w:highlight w:val="none"/>
          <w:lang w:val="zh-CN"/>
        </w:rPr>
      </w:r>
      <w:r/>
    </w:p>
    <w:p>
      <w:pPr>
        <w:pStyle w:val="933"/>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2、本合同项下的采购资金由甲方自行支付，乙方向甲方开具发票。</w:t>
      </w:r>
      <w:r>
        <w:rPr>
          <w:rFonts w:hint="eastAsia" w:ascii="宋体" w:hAnsi="宋体" w:cs="宋体"/>
          <w:color w:val="000000"/>
          <w:szCs w:val="21"/>
          <w:highlight w:val="none"/>
          <w:lang w:val="zh-CN"/>
        </w:rPr>
      </w:r>
      <w:r/>
    </w:p>
    <w:p>
      <w:pPr>
        <w:pStyle w:val="933"/>
        <w:ind w:firstLine="420"/>
        <w:jc w:val="left"/>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3、付款条件：合同签订后预付合同总价的30%作为预付款，验收合格后支付剩余部分。</w:t>
      </w:r>
      <w:r>
        <w:rPr>
          <w:rFonts w:hint="eastAsia" w:ascii="宋体" w:hAnsi="宋体" w:cs="宋体"/>
          <w:bCs/>
          <w:color w:val="000000"/>
          <w:szCs w:val="21"/>
          <w:highlight w:val="none"/>
          <w:lang w:val="zh-CN"/>
        </w:rPr>
      </w:r>
      <w:r/>
    </w:p>
    <w:p>
      <w:pPr>
        <w:pStyle w:val="933"/>
        <w:ind w:firstLine="420"/>
        <w:jc w:val="lef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第十一条 违约责任</w:t>
      </w:r>
      <w:r>
        <w:rPr>
          <w:rFonts w:hint="eastAsia" w:ascii="宋体" w:hAnsi="宋体" w:cs="宋体"/>
          <w:b/>
          <w:bCs/>
          <w:color w:val="000000"/>
          <w:szCs w:val="21"/>
          <w:highlight w:val="none"/>
          <w:lang w:val="zh-CN"/>
        </w:rPr>
      </w:r>
      <w:r/>
    </w:p>
    <w:p>
      <w:pPr>
        <w:pStyle w:val="933"/>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１、甲方无正当理由拒收货物、拒付货物款的，由甲方向乙方偿付合同总价的5%违约金。</w:t>
      </w:r>
      <w:r>
        <w:rPr>
          <w:rFonts w:hint="eastAsia" w:ascii="宋体" w:hAnsi="宋体" w:cs="宋体"/>
          <w:color w:val="000000"/>
          <w:szCs w:val="21"/>
          <w:highlight w:val="none"/>
          <w:lang w:val="zh-CN"/>
        </w:rPr>
      </w:r>
      <w:r/>
    </w:p>
    <w:p>
      <w:pPr>
        <w:pStyle w:val="933"/>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２、甲方未按合同规定的期限向乙方支付货款的，每逾期1天甲方向乙方偿付欠款总额的5‰滞纳金，但累计滞纳金总额不超过欠款总额的5% 。</w:t>
      </w:r>
      <w:r>
        <w:rPr>
          <w:rFonts w:hint="eastAsia" w:ascii="宋体" w:hAnsi="宋体" w:cs="宋体"/>
          <w:color w:val="000000"/>
          <w:szCs w:val="21"/>
          <w:highlight w:val="none"/>
          <w:lang w:val="zh-CN"/>
        </w:rPr>
      </w:r>
      <w:r/>
    </w:p>
    <w:p>
      <w:pPr>
        <w:pStyle w:val="933"/>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３、如乙方不能交付货物、完成安装调试的，甲方有权扣留全部履约保证金；同时乙方应向甲方支付合同总价5%的违约金。</w:t>
      </w:r>
      <w:r>
        <w:rPr>
          <w:rFonts w:hint="eastAsia" w:ascii="宋体" w:hAnsi="宋体" w:cs="宋体"/>
          <w:color w:val="000000"/>
          <w:szCs w:val="21"/>
          <w:highlight w:val="none"/>
          <w:lang w:val="zh-CN"/>
        </w:rPr>
      </w:r>
      <w:r/>
    </w:p>
    <w:p>
      <w:pPr>
        <w:pStyle w:val="933"/>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４、乙方逾期交付的，每逾期1天，乙方向甲方偿付合同总额的5‰的滞纳金。如乙方逾期交付达10天，甲方有权解除合同，解除合同的通知自到达乙方时生效。</w:t>
      </w:r>
      <w:r>
        <w:rPr>
          <w:rFonts w:hint="eastAsia" w:ascii="宋体" w:hAnsi="宋体" w:cs="宋体"/>
          <w:color w:val="000000"/>
          <w:szCs w:val="21"/>
          <w:highlight w:val="none"/>
          <w:lang w:val="zh-CN"/>
        </w:rPr>
      </w:r>
      <w:r/>
    </w:p>
    <w:p>
      <w:pPr>
        <w:pStyle w:val="933"/>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５、乙方所交付的货物品种、型号、规格不符合合同规定的，甲方有权拒收。甲方拒收的，乙方应向甲方支付货款总额5%的违约金。</w:t>
      </w:r>
      <w:r>
        <w:rPr>
          <w:rFonts w:hint="eastAsia" w:ascii="宋体" w:hAnsi="宋体" w:cs="宋体"/>
          <w:color w:val="000000"/>
          <w:szCs w:val="21"/>
          <w:highlight w:val="none"/>
          <w:lang w:val="zh-CN"/>
        </w:rPr>
      </w:r>
      <w:r/>
    </w:p>
    <w:p>
      <w:pPr>
        <w:pStyle w:val="933"/>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rPr>
          <w:rFonts w:hint="eastAsia" w:ascii="宋体" w:hAnsi="宋体" w:cs="宋体"/>
          <w:color w:val="000000"/>
          <w:szCs w:val="21"/>
          <w:highlight w:val="none"/>
          <w:lang w:val="zh-CN"/>
        </w:rPr>
      </w:r>
      <w:r/>
    </w:p>
    <w:p>
      <w:pPr>
        <w:pStyle w:val="933"/>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7、乙方未按本合同第九条的规定向甲方交付履约保证金的，应按应交付履约保证金的100%向甲方支付违约金，该违约金的支付不影响乙方应承担的其他违约责任。</w:t>
      </w:r>
      <w:r>
        <w:rPr>
          <w:rFonts w:hint="eastAsia" w:ascii="宋体" w:hAnsi="宋体" w:cs="宋体"/>
          <w:color w:val="000000"/>
          <w:szCs w:val="21"/>
          <w:highlight w:val="none"/>
          <w:lang w:val="zh-CN"/>
        </w:rPr>
      </w:r>
      <w:r/>
    </w:p>
    <w:p>
      <w:pPr>
        <w:pStyle w:val="933"/>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8、乙方未按本合同的规定和“服务承诺”提供伴随服务/售后服务的，应按合同总价款的5 %向甲方承担违约责任。</w:t>
      </w:r>
      <w:r>
        <w:rPr>
          <w:rFonts w:hint="eastAsia" w:ascii="宋体" w:hAnsi="宋体" w:cs="宋体"/>
          <w:color w:val="000000"/>
          <w:szCs w:val="21"/>
          <w:highlight w:val="none"/>
          <w:lang w:val="zh-CN"/>
        </w:rPr>
      </w:r>
      <w:r/>
    </w:p>
    <w:p>
      <w:pPr>
        <w:pStyle w:val="933"/>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9、乙方在承担上述4-7款一项或多项违约责任后，仍应继续履行合同规定的义务（甲方解除合同的除外）。甲方未能及时追究乙方的任何一项违约责任并不表明甲方放弃追究乙方该项或其他违约责任。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Cs w:val="21"/>
          <w:highlight w:val="none"/>
          <w:lang w:val="zh-CN"/>
        </w:rPr>
      </w:r>
      <w:r/>
    </w:p>
    <w:p>
      <w:pPr>
        <w:pStyle w:val="933"/>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10、乙方响应属虚假承诺，或经权威部门监测提供的货物不能满足招标文件要求，或是由于乙方的过错造成合同无法继续履行的，乙方履约保证金不予退还外，还应向甲方支付不少于合同总价30%赔偿金。</w:t>
      </w:r>
      <w:r>
        <w:rPr>
          <w:rFonts w:hint="eastAsia" w:ascii="宋体" w:hAnsi="宋体" w:cs="宋体"/>
          <w:color w:val="000000"/>
          <w:szCs w:val="21"/>
          <w:highlight w:val="none"/>
          <w:lang w:val="zh-CN"/>
        </w:rPr>
      </w:r>
      <w:r/>
    </w:p>
    <w:p>
      <w:pPr>
        <w:pStyle w:val="933"/>
        <w:ind w:firstLine="420"/>
        <w:jc w:val="left"/>
        <w:widowControl/>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第十二条 合同的变更和终止</w:t>
      </w:r>
      <w:r>
        <w:rPr>
          <w:rFonts w:hint="eastAsia" w:ascii="宋体" w:hAnsi="宋体" w:cs="宋体"/>
          <w:b/>
          <w:bCs/>
          <w:color w:val="000000"/>
          <w:szCs w:val="21"/>
          <w:highlight w:val="none"/>
          <w:lang w:val="zh-CN"/>
        </w:rPr>
      </w:r>
      <w:r/>
    </w:p>
    <w:p>
      <w:pPr>
        <w:pStyle w:val="933"/>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1、除《政府采购法》第50条规定的情形外，本合同一经签订，甲乙双方不得擅自变更、中止或终止合同。</w:t>
      </w:r>
      <w:r>
        <w:rPr>
          <w:rFonts w:hint="eastAsia" w:ascii="宋体" w:hAnsi="宋体" w:cs="宋体"/>
          <w:color w:val="000000"/>
          <w:szCs w:val="21"/>
          <w:highlight w:val="none"/>
          <w:lang w:val="zh-CN"/>
        </w:rPr>
      </w:r>
      <w:r/>
    </w:p>
    <w:p>
      <w:pPr>
        <w:pStyle w:val="933"/>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除发生法律规定的不能预见、不能避免并不能克服的客观情况外，甲乙双方不得放弃或拒绝履行合同。</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933"/>
        <w:ind w:firstLine="420"/>
        <w:jc w:val="left"/>
        <w:widowControl/>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第十三条 合同的转让</w:t>
      </w:r>
      <w:r>
        <w:rPr>
          <w:rFonts w:hint="eastAsia" w:ascii="宋体" w:hAnsi="宋体" w:cs="宋体"/>
          <w:b/>
          <w:bCs/>
          <w:color w:val="000000"/>
          <w:szCs w:val="21"/>
          <w:highlight w:val="none"/>
          <w:lang w:val="zh-CN"/>
        </w:rPr>
      </w:r>
      <w:r/>
    </w:p>
    <w:p>
      <w:pPr>
        <w:pStyle w:val="933"/>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乙方不得擅自部分或全部转让其应履行的合同义务。</w:t>
      </w:r>
      <w:r>
        <w:rPr>
          <w:rFonts w:hint="eastAsia" w:ascii="宋体" w:hAnsi="宋体" w:cs="宋体"/>
          <w:color w:val="000000"/>
          <w:szCs w:val="21"/>
          <w:highlight w:val="none"/>
          <w:lang w:val="zh-CN"/>
        </w:rPr>
      </w:r>
      <w:r/>
    </w:p>
    <w:p>
      <w:pPr>
        <w:pStyle w:val="933"/>
        <w:ind w:firstLine="420"/>
        <w:jc w:val="left"/>
        <w:widowControl/>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第十四条 争议的解决</w:t>
      </w:r>
      <w:r>
        <w:rPr>
          <w:rFonts w:hint="eastAsia" w:ascii="宋体" w:hAnsi="宋体" w:cs="宋体"/>
          <w:b/>
          <w:bCs/>
          <w:color w:val="000000"/>
          <w:szCs w:val="21"/>
          <w:highlight w:val="none"/>
          <w:lang w:val="zh-CN"/>
        </w:rPr>
      </w:r>
      <w:r/>
    </w:p>
    <w:p>
      <w:pPr>
        <w:pStyle w:val="933"/>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rPr>
          <w:rFonts w:hint="eastAsia" w:ascii="宋体" w:hAnsi="宋体" w:cs="宋体"/>
          <w:color w:val="000000"/>
          <w:szCs w:val="21"/>
          <w:highlight w:val="none"/>
          <w:lang w:val="zh-CN"/>
        </w:rPr>
      </w:r>
      <w:r/>
    </w:p>
    <w:p>
      <w:pPr>
        <w:pStyle w:val="933"/>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2、因履行本合同引起的或与本合同有关的争议，甲、乙双方应首先通过友好协商解决，如果协商不能解决争议，则采取以下第（ ）种方式解决争议：</w:t>
      </w:r>
      <w:r>
        <w:rPr>
          <w:rFonts w:hint="eastAsia" w:ascii="宋体" w:hAnsi="宋体" w:cs="宋体"/>
          <w:color w:val="000000"/>
          <w:szCs w:val="21"/>
          <w:highlight w:val="none"/>
          <w:lang w:val="zh-CN"/>
        </w:rPr>
      </w:r>
      <w:r/>
    </w:p>
    <w:p>
      <w:pPr>
        <w:pStyle w:val="933"/>
        <w:ind w:firstLine="56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（1）向甲方所在地有管辖权的人民法院提起诉讼；</w:t>
      </w:r>
      <w:r>
        <w:rPr>
          <w:rFonts w:hint="eastAsia" w:ascii="宋体" w:hAnsi="宋体" w:cs="宋体"/>
          <w:color w:val="000000"/>
          <w:szCs w:val="21"/>
          <w:highlight w:val="none"/>
          <w:lang w:val="zh-CN"/>
        </w:rPr>
      </w:r>
      <w:r/>
    </w:p>
    <w:p>
      <w:pPr>
        <w:pStyle w:val="933"/>
        <w:ind w:firstLine="56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（2）向南京仲裁委员会按其仲裁规则申请仲裁。</w:t>
      </w:r>
      <w:r>
        <w:rPr>
          <w:rFonts w:hint="eastAsia" w:ascii="宋体" w:hAnsi="宋体" w:cs="宋体"/>
          <w:color w:val="000000"/>
          <w:szCs w:val="21"/>
          <w:highlight w:val="none"/>
          <w:lang w:val="zh-CN"/>
        </w:rPr>
      </w:r>
      <w:r/>
    </w:p>
    <w:p>
      <w:pPr>
        <w:pStyle w:val="933"/>
        <w:ind w:firstLine="56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如没有约定，默认采取第2种方式解决争议。</w:t>
      </w:r>
      <w:r>
        <w:rPr>
          <w:rFonts w:hint="eastAsia" w:ascii="宋体" w:hAnsi="宋体" w:cs="宋体"/>
          <w:color w:val="000000"/>
          <w:szCs w:val="21"/>
          <w:highlight w:val="none"/>
          <w:lang w:val="zh-CN"/>
        </w:rPr>
      </w:r>
      <w:r/>
    </w:p>
    <w:p>
      <w:pPr>
        <w:pStyle w:val="933"/>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3、在仲裁期间，本合同应继续履行。</w:t>
      </w:r>
      <w:r>
        <w:rPr>
          <w:rFonts w:hint="eastAsia" w:ascii="宋体" w:hAnsi="宋体" w:cs="宋体"/>
          <w:color w:val="000000"/>
          <w:szCs w:val="21"/>
          <w:highlight w:val="none"/>
          <w:lang w:val="zh-CN"/>
        </w:rPr>
      </w:r>
      <w:r/>
    </w:p>
    <w:p>
      <w:pPr>
        <w:pStyle w:val="933"/>
        <w:ind w:firstLine="420"/>
        <w:jc w:val="left"/>
        <w:widowControl/>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第十五条 诚实信用 </w:t>
      </w:r>
      <w:r>
        <w:rPr>
          <w:rFonts w:hint="eastAsia" w:ascii="宋体" w:hAnsi="宋体" w:cs="宋体"/>
          <w:b/>
          <w:bCs/>
          <w:color w:val="000000"/>
          <w:szCs w:val="21"/>
          <w:highlight w:val="none"/>
          <w:lang w:val="zh-CN"/>
        </w:rPr>
      </w:r>
      <w:r/>
    </w:p>
    <w:p>
      <w:pPr>
        <w:pStyle w:val="933"/>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乙方应诚实信用，严格按照招标文件要求和乙方承诺履行合同，不向甲方进行商业贿赂或者提供不正当利益。</w:t>
      </w:r>
      <w:r>
        <w:rPr>
          <w:rFonts w:hint="eastAsia" w:ascii="宋体" w:hAnsi="宋体" w:cs="宋体"/>
          <w:color w:val="000000"/>
          <w:szCs w:val="21"/>
          <w:highlight w:val="none"/>
          <w:lang w:val="zh-CN"/>
        </w:rPr>
      </w:r>
      <w:r/>
    </w:p>
    <w:p>
      <w:pPr>
        <w:pStyle w:val="933"/>
        <w:ind w:firstLine="420"/>
        <w:jc w:val="left"/>
        <w:widowControl/>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第十六条 合同生效及其他</w:t>
      </w:r>
      <w:r>
        <w:rPr>
          <w:rFonts w:hint="eastAsia" w:ascii="宋体" w:hAnsi="宋体" w:cs="宋体"/>
          <w:b/>
          <w:bCs/>
          <w:color w:val="000000"/>
          <w:szCs w:val="21"/>
          <w:highlight w:val="none"/>
          <w:lang w:val="zh-CN"/>
        </w:rPr>
      </w:r>
      <w:r/>
    </w:p>
    <w:p>
      <w:pPr>
        <w:pStyle w:val="933"/>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1、本合同自签订之日起生效。</w:t>
      </w:r>
      <w:r>
        <w:rPr>
          <w:rFonts w:hint="eastAsia" w:ascii="宋体" w:hAnsi="宋体" w:cs="宋体"/>
          <w:color w:val="000000"/>
          <w:szCs w:val="21"/>
          <w:highlight w:val="none"/>
          <w:lang w:val="zh-CN"/>
        </w:rPr>
      </w:r>
      <w:r/>
    </w:p>
    <w:p>
      <w:pPr>
        <w:pStyle w:val="933"/>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2、本合同一式肆份，甲乙双方各执贰份。</w:t>
      </w:r>
      <w:r>
        <w:rPr>
          <w:rFonts w:hint="eastAsia" w:ascii="宋体" w:hAnsi="宋体" w:cs="宋体"/>
          <w:color w:val="000000"/>
          <w:szCs w:val="21"/>
          <w:highlight w:val="none"/>
          <w:lang w:val="zh-CN"/>
        </w:rPr>
      </w:r>
      <w:r/>
    </w:p>
    <w:p>
      <w:pPr>
        <w:pStyle w:val="933"/>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3、本合同应按照中华人民共和国的现行法律进行解释。</w:t>
      </w:r>
      <w:r>
        <w:rPr>
          <w:rFonts w:hint="eastAsia" w:ascii="宋体" w:hAnsi="宋体" w:cs="宋体"/>
          <w:color w:val="000000"/>
          <w:szCs w:val="21"/>
          <w:highlight w:val="none"/>
          <w:lang w:val="zh-CN"/>
        </w:rPr>
      </w:r>
      <w:r/>
    </w:p>
    <w:p>
      <w:pPr>
        <w:pStyle w:val="933"/>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bl>
      <w:tblPr>
        <w:tblW w:w="0" w:type="auto"/>
        <w:jc w:val="center"/>
        <w:tblInd w:w="-5" w:type="dxa"/>
        <w:tblLayout w:type="fixed"/>
        <w:tblCellMar>
          <w:left w:w="0" w:type="dxa"/>
          <w:top w:w="0" w:type="dxa"/>
          <w:right w:w="0" w:type="dxa"/>
          <w:bottom w:w="0" w:type="dxa"/>
        </w:tblCellMar>
        <w:tblLook w:val="04A0" w:firstRow="1" w:lastRow="0" w:firstColumn="1" w:lastColumn="0" w:noHBand="0" w:noVBand="1"/>
      </w:tblPr>
      <w:tblGrid>
        <w:gridCol w:w="4415"/>
        <w:gridCol w:w="4415"/>
      </w:tblGrid>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933"/>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甲方（采购人）：（盖章）</w:t>
            </w:r>
            <w:r>
              <w:rPr>
                <w:rFonts w:hint="eastAsia" w:ascii="宋体" w:hAnsi="宋体" w:cs="宋体"/>
                <w:color w:val="000000"/>
                <w:szCs w:val="21"/>
                <w:highlight w:val="none"/>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933"/>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乙方（供应商）：（盖章）</w:t>
            </w:r>
            <w:r>
              <w:rPr>
                <w:rFonts w:hint="eastAsia" w:ascii="宋体" w:hAnsi="宋体" w:cs="宋体"/>
                <w:color w:val="000000"/>
                <w:szCs w:val="21"/>
                <w:highlight w:val="none"/>
                <w:lang w:val="zh-CN"/>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933"/>
              <w:jc w:val="left"/>
              <w:widowControl/>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代表人：</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933"/>
              <w:jc w:val="left"/>
              <w:widowControl/>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代表人</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933"/>
              <w:jc w:val="left"/>
              <w:widowControl/>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电</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话：</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933"/>
              <w:jc w:val="left"/>
              <w:widowControl/>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电</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话：</w:t>
            </w: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933"/>
              <w:jc w:val="left"/>
              <w:widowControl/>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开户银行：</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933"/>
              <w:jc w:val="left"/>
              <w:widowControl/>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开户银行：</w:t>
            </w: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933"/>
              <w:jc w:val="left"/>
              <w:widowControl/>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帐</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号：</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933"/>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帐</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号：</w:t>
            </w:r>
            <w:r>
              <w:rPr>
                <w:rFonts w:hint="eastAsia" w:ascii="宋体" w:hAnsi="宋体" w:cs="宋体"/>
                <w:color w:val="000000"/>
                <w:szCs w:val="21"/>
                <w:highlight w:val="none"/>
                <w:lang w:val="zh-CN"/>
              </w:rPr>
            </w:r>
            <w:r/>
          </w:p>
        </w:tc>
      </w:tr>
    </w:tbl>
    <w:p>
      <w:pPr>
        <w:pStyle w:val="933"/>
        <w:jc w:val="center"/>
        <w:rPr>
          <w:rFonts w:hint="eastAsia" w:ascii="宋体" w:hAnsi="宋体" w:cs="宋体"/>
          <w:color w:val="000000"/>
          <w:sz w:val="24"/>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color w:val="000000"/>
          <w:sz w:val="24"/>
          <w:highlight w:val="none"/>
        </w:rPr>
      </w:r>
      <w:r/>
    </w:p>
    <w:p>
      <w:pPr>
        <w:pStyle w:val="933"/>
        <w:jc w:val="center"/>
        <w:spacing w:line="360" w:lineRule="auto"/>
        <w:rPr>
          <w:rFonts w:hint="eastAsia" w:ascii="宋体" w:hAnsi="宋体" w:cs="宋体"/>
          <w:color w:val="000000"/>
          <w:sz w:val="36"/>
          <w:szCs w:val="36"/>
          <w:highlight w:val="none"/>
          <w:lang w:val="zh-CN"/>
        </w:rPr>
        <w:outlineLvl w:val="0"/>
      </w:pPr>
      <w:r/>
      <w:bookmarkStart w:id="33" w:name="_Toc405408732"/>
      <w:r>
        <w:rPr>
          <w:rFonts w:hint="eastAsia" w:ascii="宋体" w:hAnsi="宋体" w:cs="宋体"/>
          <w:color w:val="000000"/>
          <w:sz w:val="36"/>
          <w:szCs w:val="36"/>
          <w:highlight w:val="none"/>
          <w:lang w:val="zh-CN"/>
        </w:rPr>
        <w:t xml:space="preserve">第六章</w:t>
      </w:r>
      <w:r>
        <w:rPr>
          <w:rFonts w:hint="eastAsia" w:ascii="宋体" w:hAnsi="宋体" w:cs="宋体"/>
          <w:color w:val="000000"/>
          <w:sz w:val="36"/>
          <w:szCs w:val="36"/>
          <w:highlight w:val="none"/>
        </w:rPr>
        <w:t xml:space="preserve"> </w:t>
      </w:r>
      <w:r>
        <w:rPr>
          <w:rFonts w:hint="eastAsia" w:ascii="宋体" w:hAnsi="宋体" w:cs="宋体"/>
          <w:color w:val="000000"/>
          <w:sz w:val="36"/>
          <w:szCs w:val="36"/>
          <w:highlight w:val="none"/>
          <w:lang w:val="zh-CN"/>
        </w:rPr>
        <w:t xml:space="preserve">投标文件格式及附件</w:t>
      </w:r>
      <w:r>
        <w:rPr>
          <w:rFonts w:hint="eastAsia" w:ascii="宋体" w:hAnsi="宋体" w:cs="宋体"/>
          <w:color w:val="000000"/>
          <w:sz w:val="36"/>
          <w:szCs w:val="36"/>
          <w:highlight w:val="none"/>
          <w:lang w:val="zh-CN"/>
        </w:rPr>
      </w:r>
      <w:r/>
    </w:p>
    <w:p>
      <w:pPr>
        <w:pStyle w:val="933"/>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注：</w:t>
      </w:r>
      <w:r>
        <w:rPr>
          <w:rFonts w:hint="eastAsia" w:ascii="宋体" w:hAnsi="宋体" w:cs="宋体"/>
          <w:color w:val="000000"/>
          <w:sz w:val="24"/>
          <w:highlight w:val="none"/>
          <w:lang w:val="zh-CN"/>
        </w:rPr>
      </w:r>
      <w:r/>
    </w:p>
    <w:p>
      <w:pPr>
        <w:pStyle w:val="933"/>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1.本部分内容仅提供格式参考。</w:t>
      </w:r>
      <w:r>
        <w:rPr>
          <w:rFonts w:hint="eastAsia" w:ascii="宋体" w:hAnsi="宋体" w:cs="宋体"/>
          <w:color w:val="000000"/>
          <w:sz w:val="24"/>
          <w:highlight w:val="none"/>
          <w:lang w:val="zh-CN"/>
        </w:rPr>
      </w:r>
      <w:r/>
    </w:p>
    <w:p>
      <w:pPr>
        <w:pStyle w:val="933"/>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2.所附表格中要求回答的全部问题和信息须正面回答。</w:t>
      </w:r>
      <w:r>
        <w:rPr>
          <w:rFonts w:hint="eastAsia" w:ascii="宋体" w:hAnsi="宋体" w:cs="宋体"/>
          <w:color w:val="000000"/>
          <w:sz w:val="24"/>
          <w:highlight w:val="none"/>
          <w:lang w:val="zh-CN"/>
        </w:rPr>
      </w:r>
      <w:r/>
    </w:p>
    <w:p>
      <w:pPr>
        <w:pStyle w:val="933"/>
        <w:jc w:val="left"/>
        <w:spacing w:line="360" w:lineRule="auto"/>
        <w:rPr>
          <w:rFonts w:hint="eastAsia" w:ascii="宋体" w:hAnsi="宋体" w:cs="宋体"/>
          <w:color w:val="000000"/>
          <w:sz w:val="36"/>
          <w:szCs w:val="36"/>
          <w:highlight w:val="none"/>
          <w:lang w:val="zh-CN"/>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.全部文件应按供应商须知以及前文中规定的语言提交。</w:t>
      </w:r>
      <w:r>
        <w:rPr>
          <w:rFonts w:hint="eastAsia" w:ascii="宋体" w:hAnsi="宋体" w:cs="宋体"/>
          <w:color w:val="000000"/>
          <w:sz w:val="36"/>
          <w:szCs w:val="36"/>
          <w:highlight w:val="none"/>
          <w:lang w:val="zh-CN"/>
        </w:rPr>
      </w:r>
      <w:r/>
    </w:p>
    <w:p>
      <w:pPr>
        <w:pStyle w:val="933"/>
        <w:ind w:left="560"/>
        <w:jc w:val="center"/>
        <w:spacing w:line="240" w:lineRule="atLeast"/>
        <w:rPr>
          <w:rFonts w:hint="eastAsia" w:ascii="宋体" w:hAnsi="宋体" w:cs="宋体"/>
          <w:b/>
          <w:bCs/>
          <w:color w:val="000000"/>
          <w:sz w:val="36"/>
          <w:szCs w:val="36"/>
          <w:highlight w:val="none"/>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b/>
          <w:bCs/>
          <w:color w:val="000000"/>
          <w:sz w:val="36"/>
          <w:szCs w:val="36"/>
          <w:highlight w:val="none"/>
          <w:lang w:val="zh-CN"/>
        </w:rPr>
      </w:r>
      <w:r/>
    </w:p>
    <w:p>
      <w:pPr>
        <w:pStyle w:val="933"/>
        <w:rPr>
          <w:rFonts w:hint="eastAsia" w:ascii="宋体" w:hAnsi="宋体" w:cs="宋体"/>
          <w:b/>
          <w:color w:val="000000"/>
          <w:sz w:val="72"/>
          <w:highlight w:val="none"/>
        </w:rPr>
      </w:pPr>
      <w:r>
        <w:rPr>
          <w:rFonts w:hint="eastAsia" w:ascii="宋体" w:hAnsi="宋体" w:cs="宋体"/>
          <w:b/>
          <w:bCs/>
          <w:color w:val="000000"/>
          <w:sz w:val="32"/>
          <w:szCs w:val="32"/>
          <w:highlight w:val="none"/>
          <w:lang w:val="zh-CN"/>
        </w:rPr>
        <w:t xml:space="preserve">封面：</w:t>
      </w:r>
      <w:r>
        <w:rPr>
          <w:rFonts w:hint="eastAsia" w:ascii="宋体" w:hAnsi="宋体" w:cs="宋体"/>
          <w:b/>
          <w:color w:val="000000"/>
          <w:sz w:val="72"/>
          <w:highlight w:val="none"/>
        </w:rPr>
      </w:r>
      <w:r/>
    </w:p>
    <w:p>
      <w:pPr>
        <w:pStyle w:val="1012"/>
        <w:jc w:val="center"/>
        <w:spacing w:before="0" w:beforeAutospacing="0" w:after="0" w:afterAutospacing="0"/>
        <w:rPr>
          <w:b/>
          <w:bCs/>
          <w:color w:val="000000"/>
          <w:sz w:val="72"/>
          <w:szCs w:val="72"/>
          <w:highlight w:val="none"/>
        </w:rPr>
      </w:pPr>
      <w:r>
        <w:rPr>
          <w:b/>
          <w:bCs/>
          <w:color w:val="000000"/>
          <w:sz w:val="72"/>
          <w:szCs w:val="72"/>
          <w:highlight w:val="none"/>
        </w:rPr>
      </w:r>
      <w:r/>
    </w:p>
    <w:p>
      <w:pPr>
        <w:pStyle w:val="975"/>
        <w:ind w:firstLine="720"/>
        <w:jc w:val="center"/>
        <w:spacing w:line="360" w:lineRule="auto"/>
        <w:rPr>
          <w:rFonts w:hAnsi="宋体" w:cs="宋体"/>
          <w:color w:val="000000"/>
          <w:sz w:val="36"/>
          <w:szCs w:val="36"/>
          <w:highlight w:val="none"/>
          <w:lang w:val="zh-CN"/>
        </w:rPr>
        <w:outlineLvl w:val="0"/>
      </w:pPr>
      <w:r/>
      <w:bookmarkStart w:id="34" w:name="OLE_LINK6"/>
      <w:r>
        <w:rPr>
          <w:rFonts w:hint="eastAsia" w:hAnsi="宋体" w:cs="宋体"/>
          <w:color w:val="000000"/>
          <w:sz w:val="36"/>
          <w:szCs w:val="36"/>
          <w:highlight w:val="none"/>
          <w:lang w:val="zh-CN"/>
        </w:rPr>
        <w:t xml:space="preserve">投标文件格式及附件</w:t>
      </w:r>
      <w:r>
        <w:rPr>
          <w:rFonts w:hAnsi="宋体" w:cs="宋体"/>
          <w:color w:val="000000"/>
          <w:sz w:val="36"/>
          <w:szCs w:val="36"/>
          <w:highlight w:val="none"/>
          <w:lang w:val="zh-CN"/>
        </w:rPr>
      </w:r>
      <w:r/>
    </w:p>
    <w:p>
      <w:pPr>
        <w:pStyle w:val="933"/>
        <w:ind w:left="560"/>
        <w:jc w:val="center"/>
        <w:spacing w:line="240" w:lineRule="atLeast"/>
        <w:rPr>
          <w:rFonts w:ascii="宋体" w:hAnsi="宋体" w:cs="宋体"/>
          <w:b/>
          <w:bCs/>
          <w:color w:val="000000"/>
          <w:sz w:val="36"/>
          <w:szCs w:val="36"/>
          <w:highlight w:val="none"/>
          <w:lang w:val="zh-CN"/>
        </w:rPr>
      </w:pPr>
      <w:r>
        <w:rPr>
          <w:rFonts w:ascii="宋体" w:hAnsi="宋体" w:cs="宋体"/>
          <w:b/>
          <w:bCs/>
          <w:color w:val="000000"/>
          <w:sz w:val="36"/>
          <w:szCs w:val="36"/>
          <w:highlight w:val="none"/>
          <w:lang w:val="zh-CN"/>
        </w:rPr>
      </w:r>
      <w:r/>
    </w:p>
    <w:p>
      <w:pPr>
        <w:pStyle w:val="933"/>
        <w:jc w:val="center"/>
        <w:rPr>
          <w:rFonts w:ascii="宋体" w:hAnsi="宋体" w:cs="宋体"/>
          <w:b/>
          <w:color w:val="000000"/>
          <w:sz w:val="72"/>
          <w:highlight w:val="none"/>
        </w:rPr>
      </w:pPr>
      <w:r>
        <w:rPr>
          <w:rFonts w:ascii="宋体" w:hAnsi="宋体" w:cs="宋体"/>
          <w:b/>
          <w:color w:val="000000"/>
          <w:sz w:val="72"/>
          <w:highlight w:val="none"/>
        </w:rPr>
      </w:r>
      <w:r/>
    </w:p>
    <w:p>
      <w:pPr>
        <w:pStyle w:val="933"/>
        <w:jc w:val="center"/>
        <w:rPr>
          <w:rFonts w:ascii="宋体" w:hAnsi="宋体" w:cs="宋体"/>
          <w:b/>
          <w:color w:val="000000"/>
          <w:sz w:val="72"/>
          <w:highlight w:val="none"/>
        </w:rPr>
      </w:pPr>
      <w:r>
        <w:rPr>
          <w:rFonts w:hint="eastAsia" w:ascii="宋体" w:hAnsi="宋体" w:cs="宋体"/>
          <w:b/>
          <w:color w:val="000000"/>
          <w:sz w:val="72"/>
          <w:highlight w:val="none"/>
        </w:rPr>
        <w:t xml:space="preserve">投  标  文  件</w:t>
      </w:r>
      <w:r>
        <w:rPr>
          <w:rFonts w:ascii="宋体" w:hAnsi="宋体" w:cs="宋体"/>
          <w:b/>
          <w:color w:val="000000"/>
          <w:sz w:val="72"/>
          <w:highlight w:val="none"/>
        </w:rPr>
      </w:r>
      <w:r/>
    </w:p>
    <w:p>
      <w:pPr>
        <w:pStyle w:val="933"/>
        <w:ind w:firstLine="3708"/>
        <w:rPr>
          <w:rFonts w:ascii="宋体" w:hAnsi="宋体" w:cs="宋体"/>
          <w:b/>
          <w:color w:val="000000"/>
          <w:sz w:val="36"/>
          <w:highlight w:val="none"/>
        </w:rPr>
      </w:pPr>
      <w:r>
        <w:rPr>
          <w:rFonts w:ascii="宋体" w:hAnsi="宋体" w:cs="宋体"/>
          <w:b/>
          <w:color w:val="000000"/>
          <w:sz w:val="36"/>
          <w:highlight w:val="none"/>
        </w:rPr>
      </w:r>
      <w:r/>
    </w:p>
    <w:p>
      <w:pPr>
        <w:pStyle w:val="933"/>
        <w:jc w:val="center"/>
        <w:rPr>
          <w:rFonts w:ascii="宋体" w:hAnsi="宋体" w:cs="宋体"/>
          <w:b/>
          <w:color w:val="000000"/>
          <w:sz w:val="72"/>
          <w:highlight w:val="none"/>
        </w:rPr>
      </w:pPr>
      <w:r>
        <w:rPr>
          <w:rFonts w:hint="eastAsia" w:ascii="宋体" w:hAnsi="宋体" w:cs="宋体"/>
          <w:b/>
          <w:color w:val="000000"/>
          <w:sz w:val="72"/>
          <w:highlight w:val="none"/>
          <w:u w:val="single"/>
        </w:rPr>
        <w:t xml:space="preserve">  </w:t>
      </w:r>
      <w:r>
        <w:rPr>
          <w:rFonts w:hint="eastAsia" w:ascii="宋体" w:hAnsi="宋体" w:cs="宋体"/>
          <w:b/>
          <w:color w:val="000000"/>
          <w:sz w:val="72"/>
          <w:highlight w:val="none"/>
        </w:rPr>
        <w:t xml:space="preserve">  </w:t>
      </w:r>
      <w:r>
        <w:rPr>
          <w:rFonts w:ascii="宋体" w:hAnsi="宋体" w:cs="宋体"/>
          <w:b/>
          <w:color w:val="000000"/>
          <w:sz w:val="72"/>
          <w:highlight w:val="none"/>
        </w:rPr>
      </w:r>
      <w:r/>
    </w:p>
    <w:p>
      <w:pPr>
        <w:pStyle w:val="933"/>
        <w:jc w:val="center"/>
        <w:rPr>
          <w:rFonts w:ascii="宋体" w:hAnsi="宋体" w:cs="宋体"/>
          <w:b/>
          <w:color w:val="000000"/>
          <w:sz w:val="36"/>
          <w:highlight w:val="none"/>
        </w:rPr>
      </w:pPr>
      <w:r>
        <w:rPr>
          <w:rFonts w:ascii="宋体" w:hAnsi="宋体" w:cs="宋体"/>
          <w:b/>
          <w:color w:val="000000"/>
          <w:sz w:val="36"/>
          <w:highlight w:val="none"/>
        </w:rPr>
      </w:r>
      <w:r/>
    </w:p>
    <w:p>
      <w:pPr>
        <w:pStyle w:val="933"/>
        <w:jc w:val="center"/>
        <w:rPr>
          <w:rFonts w:ascii="宋体" w:hAnsi="宋体" w:cs="宋体"/>
          <w:b/>
          <w:color w:val="000000"/>
          <w:sz w:val="36"/>
          <w:highlight w:val="none"/>
        </w:rPr>
      </w:pPr>
      <w:r>
        <w:rPr>
          <w:rFonts w:ascii="宋体" w:hAnsi="宋体" w:cs="宋体"/>
          <w:b/>
          <w:color w:val="000000"/>
          <w:sz w:val="36"/>
          <w:highlight w:val="none"/>
        </w:rPr>
      </w:r>
      <w:r/>
    </w:p>
    <w:p>
      <w:pPr>
        <w:pStyle w:val="933"/>
        <w:jc w:val="center"/>
        <w:rPr>
          <w:rFonts w:ascii="宋体" w:hAnsi="宋体" w:cs="宋体"/>
          <w:b/>
          <w:color w:val="000000"/>
          <w:sz w:val="36"/>
          <w:highlight w:val="none"/>
        </w:rPr>
      </w:pPr>
      <w:r>
        <w:rPr>
          <w:rFonts w:ascii="宋体" w:hAnsi="宋体" w:cs="宋体"/>
          <w:b/>
          <w:color w:val="000000"/>
          <w:sz w:val="36"/>
          <w:highlight w:val="none"/>
        </w:rPr>
      </w:r>
      <w:r/>
    </w:p>
    <w:p>
      <w:pPr>
        <w:pStyle w:val="933"/>
        <w:ind w:firstLine="1084"/>
        <w:rPr>
          <w:rFonts w:ascii="宋体" w:hAnsi="宋体" w:cs="宋体"/>
          <w:b/>
          <w:color w:val="000000"/>
          <w:sz w:val="36"/>
          <w:highlight w:val="none"/>
        </w:rPr>
      </w:pPr>
      <w:r>
        <w:rPr>
          <w:rFonts w:hint="eastAsia" w:ascii="宋体" w:hAnsi="宋体" w:cs="宋体"/>
          <w:b/>
          <w:color w:val="000000"/>
          <w:sz w:val="36"/>
          <w:highlight w:val="none"/>
        </w:rPr>
        <w:t xml:space="preserve">项目编号： </w:t>
      </w:r>
      <w:r>
        <w:rPr>
          <w:rFonts w:ascii="宋体" w:hAnsi="宋体" w:cs="宋体"/>
          <w:b/>
          <w:color w:val="000000"/>
          <w:sz w:val="36"/>
          <w:highlight w:val="none"/>
        </w:rPr>
      </w:r>
      <w:r/>
    </w:p>
    <w:p>
      <w:pPr>
        <w:pStyle w:val="933"/>
        <w:ind w:firstLine="1084"/>
        <w:rPr>
          <w:rFonts w:ascii="宋体" w:hAnsi="宋体" w:cs="宋体"/>
          <w:b/>
          <w:color w:val="000000"/>
          <w:sz w:val="36"/>
          <w:highlight w:val="none"/>
        </w:rPr>
      </w:pPr>
      <w:r>
        <w:rPr>
          <w:rFonts w:hint="eastAsia" w:ascii="宋体" w:hAnsi="宋体" w:cs="宋体"/>
          <w:b/>
          <w:color w:val="000000"/>
          <w:sz w:val="36"/>
          <w:highlight w:val="none"/>
        </w:rPr>
        <w:t xml:space="preserve">项目名称： </w:t>
      </w:r>
      <w:r>
        <w:rPr>
          <w:rFonts w:ascii="宋体" w:hAnsi="宋体" w:cs="宋体"/>
          <w:b/>
          <w:color w:val="000000"/>
          <w:sz w:val="36"/>
          <w:highlight w:val="none"/>
        </w:rPr>
      </w:r>
      <w:r/>
    </w:p>
    <w:p>
      <w:pPr>
        <w:pStyle w:val="933"/>
        <w:ind w:firstLine="1084"/>
        <w:rPr>
          <w:rFonts w:ascii="宋体" w:hAnsi="宋体" w:cs="宋体"/>
          <w:b/>
          <w:color w:val="000000"/>
          <w:sz w:val="36"/>
          <w:highlight w:val="none"/>
        </w:rPr>
      </w:pPr>
      <w:r>
        <w:rPr>
          <w:rFonts w:ascii="宋体" w:hAnsi="宋体" w:cs="宋体"/>
          <w:b/>
          <w:color w:val="000000"/>
          <w:sz w:val="36"/>
          <w:highlight w:val="none"/>
        </w:rPr>
      </w:r>
      <w:r/>
    </w:p>
    <w:p>
      <w:pPr>
        <w:pStyle w:val="933"/>
        <w:ind w:firstLine="1084"/>
        <w:rPr>
          <w:rFonts w:ascii="宋体" w:hAnsi="宋体" w:cs="宋体"/>
          <w:b/>
          <w:color w:val="000000"/>
          <w:sz w:val="36"/>
          <w:highlight w:val="none"/>
        </w:rPr>
      </w:pPr>
      <w:r>
        <w:rPr>
          <w:rFonts w:ascii="宋体" w:hAnsi="宋体" w:cs="宋体"/>
          <w:b/>
          <w:color w:val="000000"/>
          <w:sz w:val="36"/>
          <w:highlight w:val="none"/>
        </w:rPr>
      </w:r>
      <w:r/>
    </w:p>
    <w:p>
      <w:pPr>
        <w:pStyle w:val="933"/>
        <w:ind w:firstLine="1084"/>
        <w:rPr>
          <w:rFonts w:ascii="宋体" w:hAnsi="宋体" w:cs="宋体"/>
          <w:b/>
          <w:color w:val="000000"/>
          <w:sz w:val="36"/>
          <w:highlight w:val="none"/>
        </w:rPr>
      </w:pPr>
      <w:r>
        <w:rPr>
          <w:rFonts w:ascii="宋体" w:hAnsi="宋体" w:cs="宋体"/>
          <w:b/>
          <w:color w:val="000000"/>
          <w:sz w:val="36"/>
          <w:highlight w:val="none"/>
        </w:rPr>
      </w:r>
      <w:r/>
    </w:p>
    <w:p>
      <w:pPr>
        <w:pStyle w:val="933"/>
        <w:ind w:firstLine="1084"/>
        <w:rPr>
          <w:rFonts w:ascii="宋体" w:hAnsi="宋体" w:cs="宋体"/>
          <w:b/>
          <w:color w:val="000000"/>
          <w:sz w:val="36"/>
          <w:highlight w:val="none"/>
        </w:rPr>
      </w:pPr>
      <w:r>
        <w:rPr>
          <w:rFonts w:ascii="宋体" w:hAnsi="宋体" w:cs="宋体"/>
          <w:b/>
          <w:color w:val="000000"/>
          <w:sz w:val="36"/>
          <w:highlight w:val="none"/>
        </w:rPr>
      </w:r>
      <w:r/>
    </w:p>
    <w:p>
      <w:pPr>
        <w:pStyle w:val="933"/>
        <w:ind w:firstLine="1084"/>
        <w:rPr>
          <w:rFonts w:ascii="宋体" w:hAnsi="宋体" w:cs="宋体"/>
          <w:b/>
          <w:color w:val="000000"/>
          <w:sz w:val="36"/>
          <w:highlight w:val="none"/>
        </w:rPr>
      </w:pPr>
      <w:r>
        <w:rPr>
          <w:rFonts w:ascii="宋体" w:hAnsi="宋体" w:cs="宋体"/>
          <w:b/>
          <w:color w:val="000000"/>
          <w:sz w:val="36"/>
          <w:highlight w:val="none"/>
        </w:rPr>
      </w:r>
      <w:r/>
    </w:p>
    <w:p>
      <w:pPr>
        <w:pStyle w:val="933"/>
        <w:ind w:firstLine="1084"/>
        <w:rPr>
          <w:rFonts w:ascii="宋体" w:hAnsi="宋体" w:cs="宋体"/>
          <w:b/>
          <w:color w:val="000000"/>
          <w:sz w:val="36"/>
          <w:highlight w:val="none"/>
        </w:rPr>
      </w:pPr>
      <w:r>
        <w:rPr>
          <w:rFonts w:ascii="宋体" w:hAnsi="宋体" w:cs="宋体"/>
          <w:b/>
          <w:color w:val="000000"/>
          <w:sz w:val="36"/>
          <w:highlight w:val="none"/>
        </w:rPr>
      </w:r>
      <w:r/>
    </w:p>
    <w:p>
      <w:pPr>
        <w:pStyle w:val="933"/>
        <w:ind w:firstLine="1084"/>
        <w:rPr>
          <w:rFonts w:ascii="宋体" w:hAnsi="宋体" w:cs="宋体"/>
          <w:b/>
          <w:color w:val="000000"/>
          <w:sz w:val="36"/>
          <w:highlight w:val="none"/>
        </w:rPr>
      </w:pPr>
      <w:r>
        <w:rPr>
          <w:rFonts w:ascii="宋体" w:hAnsi="宋体" w:cs="宋体"/>
          <w:b/>
          <w:color w:val="000000"/>
          <w:sz w:val="36"/>
          <w:highlight w:val="none"/>
        </w:rPr>
      </w:r>
      <w:r/>
    </w:p>
    <w:p>
      <w:pPr>
        <w:pStyle w:val="933"/>
        <w:ind w:firstLine="1084"/>
        <w:rPr>
          <w:rFonts w:ascii="宋体" w:hAnsi="宋体" w:cs="宋体"/>
          <w:b/>
          <w:color w:val="000000"/>
          <w:sz w:val="36"/>
          <w:highlight w:val="none"/>
        </w:rPr>
      </w:pPr>
      <w:r>
        <w:rPr>
          <w:rFonts w:hint="eastAsia" w:ascii="宋体" w:hAnsi="宋体" w:cs="宋体"/>
          <w:b/>
          <w:color w:val="000000"/>
          <w:sz w:val="36"/>
          <w:highlight w:val="none"/>
        </w:rPr>
        <w:t xml:space="preserve">投标人名称：</w:t>
      </w:r>
      <w:r>
        <w:rPr>
          <w:rFonts w:ascii="宋体" w:hAnsi="宋体" w:cs="宋体"/>
          <w:b/>
          <w:color w:val="000000"/>
          <w:sz w:val="36"/>
          <w:highlight w:val="none"/>
        </w:rPr>
      </w:r>
      <w:r/>
    </w:p>
    <w:p>
      <w:pPr>
        <w:pStyle w:val="933"/>
        <w:ind w:firstLine="1084"/>
        <w:rPr>
          <w:rFonts w:ascii="宋体" w:hAnsi="宋体" w:cs="宋体"/>
          <w:b/>
          <w:color w:val="000000"/>
          <w:sz w:val="36"/>
          <w:highlight w:val="none"/>
        </w:rPr>
      </w:pPr>
      <w:r>
        <w:rPr>
          <w:rFonts w:hint="eastAsia" w:ascii="宋体" w:hAnsi="宋体" w:cs="宋体"/>
          <w:b/>
          <w:color w:val="000000"/>
          <w:sz w:val="36"/>
          <w:highlight w:val="none"/>
        </w:rPr>
        <w:t xml:space="preserve">日      期：</w:t>
      </w:r>
      <w:r>
        <w:rPr>
          <w:rFonts w:ascii="宋体" w:hAnsi="宋体" w:cs="宋体"/>
          <w:b/>
          <w:color w:val="000000"/>
          <w:sz w:val="36"/>
          <w:highlight w:val="none"/>
        </w:rPr>
      </w:r>
      <w:r/>
    </w:p>
    <w:p>
      <w:pPr>
        <w:pStyle w:val="1012"/>
        <w:spacing w:before="0" w:beforeAutospacing="0" w:after="0" w:afterAutospacing="0"/>
        <w:rPr>
          <w:color w:val="000000"/>
          <w:highlight w:val="none"/>
        </w:rPr>
      </w:pPr>
      <w:r>
        <w:rPr>
          <w:color w:val="000000"/>
          <w:highlight w:val="none"/>
        </w:rPr>
      </w:r>
      <w:r/>
    </w:p>
    <w:p>
      <w:pPr>
        <w:pStyle w:val="933"/>
        <w:jc w:val="center"/>
        <w:rPr>
          <w:rFonts w:hint="eastAsia" w:ascii="宋体" w:hAnsi="宋体" w:cs="宋体"/>
          <w:b/>
          <w:bCs/>
          <w:color w:val="000000"/>
          <w:sz w:val="44"/>
          <w:highlight w:val="none"/>
        </w:rPr>
      </w:pPr>
      <w:r/>
      <w:bookmarkEnd w:id="34"/>
      <w:r>
        <w:rPr>
          <w:rFonts w:hint="eastAsia" w:ascii="宋体" w:hAnsi="宋体" w:cs="宋体"/>
          <w:b/>
          <w:bCs/>
          <w:color w:val="000000"/>
          <w:sz w:val="44"/>
          <w:highlight w:val="none"/>
        </w:rPr>
      </w:r>
      <w:r/>
    </w:p>
    <w:p>
      <w:pPr>
        <w:pStyle w:val="933"/>
        <w:jc w:val="center"/>
        <w:rPr>
          <w:rFonts w:hint="eastAsia" w:ascii="宋体" w:hAnsi="宋体" w:cs="宋体"/>
          <w:b/>
          <w:bCs/>
          <w:color w:val="000000"/>
          <w:sz w:val="32"/>
          <w:szCs w:val="32"/>
          <w:highlight w:val="none"/>
        </w:rPr>
        <w:outlineLvl w:val="0"/>
      </w:pPr>
      <w:r>
        <w:rPr>
          <w:rFonts w:hint="eastAsia" w:ascii="宋体" w:hAnsi="宋体" w:cs="宋体"/>
          <w:b/>
          <w:bCs/>
          <w:color w:val="000000"/>
          <w:sz w:val="36"/>
          <w:highlight w:val="none"/>
        </w:rPr>
        <w:br w:type="page" w:clear="all"/>
      </w:r>
      <w:bookmarkEnd w:id="33"/>
      <w:r/>
      <w:bookmarkStart w:id="35" w:name="_Toc489655320"/>
      <w:r>
        <w:rPr>
          <w:rFonts w:hint="eastAsia" w:ascii="宋体" w:hAnsi="宋体" w:cs="宋体"/>
          <w:b/>
          <w:bCs/>
          <w:color w:val="000000"/>
          <w:sz w:val="32"/>
          <w:szCs w:val="32"/>
          <w:highlight w:val="none"/>
        </w:rPr>
        <w:t xml:space="preserve">投标文件主要目录</w:t>
      </w:r>
      <w:bookmarkEnd w:id="35"/>
      <w:r>
        <w:rPr>
          <w:rFonts w:hint="eastAsia" w:ascii="宋体" w:hAnsi="宋体" w:cs="宋体"/>
          <w:b/>
          <w:bCs/>
          <w:color w:val="000000"/>
          <w:sz w:val="32"/>
          <w:szCs w:val="32"/>
          <w:highlight w:val="none"/>
        </w:rPr>
        <w:t xml:space="preserve">及相关证明材料格式、附件</w:t>
      </w:r>
      <w:r>
        <w:rPr>
          <w:rFonts w:hint="eastAsia" w:ascii="宋体" w:hAnsi="宋体" w:cs="宋体"/>
          <w:b/>
          <w:bCs/>
          <w:color w:val="000000"/>
          <w:sz w:val="32"/>
          <w:szCs w:val="32"/>
          <w:highlight w:val="none"/>
        </w:rPr>
      </w:r>
      <w:r/>
    </w:p>
    <w:p>
      <w:pPr>
        <w:pStyle w:val="933"/>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69"/>
        <w:rPr>
          <w:rFonts w:hint="eastAsia" w:ascii="宋体" w:hAnsi="宋体" w:cs="宋体"/>
          <w:color w:val="000000"/>
          <w:highlight w:val="none"/>
        </w:rPr>
      </w:pPr>
      <w:r>
        <w:rPr>
          <w:rFonts w:hint="eastAsia" w:ascii="宋体" w:hAnsi="宋体" w:cs="宋体"/>
          <w:color w:val="000000"/>
          <w:highlight w:val="none"/>
        </w:rPr>
      </w:r>
      <w:r/>
    </w:p>
    <w:p>
      <w:pPr>
        <w:pStyle w:val="933"/>
        <w:numPr>
          <w:ilvl w:val="0"/>
          <w:numId w:val="1"/>
        </w:numPr>
        <w:ind w:left="0" w:firstLine="1680"/>
        <w:jc w:val="left"/>
        <w:spacing w:line="360" w:lineRule="auto"/>
        <w:tabs>
          <w:tab w:val="left" w:pos="2280"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投标申请及声明</w:t>
      </w:r>
      <w:r>
        <w:rPr>
          <w:rFonts w:hint="eastAsia" w:ascii="宋体" w:hAnsi="宋体" w:cs="宋体"/>
          <w:color w:val="000000"/>
          <w:sz w:val="28"/>
          <w:szCs w:val="28"/>
          <w:highlight w:val="none"/>
        </w:rPr>
      </w:r>
      <w:r/>
    </w:p>
    <w:p>
      <w:pPr>
        <w:pStyle w:val="933"/>
        <w:numPr>
          <w:ilvl w:val="0"/>
          <w:numId w:val="1"/>
        </w:numPr>
        <w:ind w:left="0" w:firstLine="1680"/>
        <w:jc w:val="left"/>
        <w:spacing w:line="360" w:lineRule="auto"/>
        <w:tabs>
          <w:tab w:val="left" w:pos="2280"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法定代表人授权书</w:t>
      </w:r>
      <w:r>
        <w:rPr>
          <w:rFonts w:hint="eastAsia" w:ascii="宋体" w:hAnsi="宋体" w:cs="宋体"/>
          <w:color w:val="000000"/>
          <w:sz w:val="28"/>
          <w:szCs w:val="28"/>
          <w:highlight w:val="none"/>
        </w:rPr>
      </w:r>
      <w:r/>
    </w:p>
    <w:p>
      <w:pPr>
        <w:pStyle w:val="933"/>
        <w:numPr>
          <w:ilvl w:val="0"/>
          <w:numId w:val="1"/>
        </w:numPr>
        <w:ind w:left="0" w:firstLine="1680"/>
        <w:jc w:val="left"/>
        <w:spacing w:line="360" w:lineRule="auto"/>
        <w:tabs>
          <w:tab w:val="left" w:pos="2280"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开标一览表</w:t>
      </w:r>
      <w:r>
        <w:rPr>
          <w:rFonts w:hint="eastAsia" w:ascii="宋体" w:hAnsi="宋体" w:cs="宋体"/>
          <w:color w:val="000000"/>
          <w:sz w:val="28"/>
          <w:szCs w:val="28"/>
          <w:highlight w:val="none"/>
        </w:rPr>
      </w:r>
      <w:r/>
    </w:p>
    <w:p>
      <w:pPr>
        <w:pStyle w:val="933"/>
        <w:numPr>
          <w:ilvl w:val="0"/>
          <w:numId w:val="1"/>
        </w:numPr>
        <w:ind w:left="0" w:firstLine="1680"/>
        <w:jc w:val="left"/>
        <w:spacing w:line="360" w:lineRule="auto"/>
        <w:tabs>
          <w:tab w:val="left" w:pos="2280"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资格证明文件</w:t>
      </w:r>
      <w:r>
        <w:rPr>
          <w:rFonts w:hint="eastAsia" w:ascii="宋体" w:hAnsi="宋体" w:cs="宋体"/>
          <w:color w:val="000000"/>
          <w:sz w:val="28"/>
          <w:szCs w:val="28"/>
          <w:highlight w:val="none"/>
        </w:rPr>
      </w:r>
      <w:r/>
    </w:p>
    <w:p>
      <w:pPr>
        <w:pStyle w:val="933"/>
        <w:numPr>
          <w:ilvl w:val="0"/>
          <w:numId w:val="1"/>
        </w:numPr>
        <w:ind w:left="0" w:firstLine="1680"/>
        <w:jc w:val="left"/>
        <w:spacing w:line="360" w:lineRule="auto"/>
        <w:tabs>
          <w:tab w:val="left" w:pos="2280"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分项报价表</w:t>
      </w:r>
      <w:r>
        <w:rPr>
          <w:rFonts w:hint="eastAsia" w:ascii="宋体" w:hAnsi="宋体" w:cs="宋体"/>
          <w:color w:val="000000"/>
          <w:sz w:val="28"/>
          <w:szCs w:val="28"/>
          <w:highlight w:val="none"/>
        </w:rPr>
      </w:r>
      <w:r/>
    </w:p>
    <w:p>
      <w:pPr>
        <w:pStyle w:val="933"/>
        <w:numPr>
          <w:ilvl w:val="0"/>
          <w:numId w:val="1"/>
        </w:numPr>
        <w:ind w:left="0" w:firstLine="1680"/>
        <w:jc w:val="left"/>
        <w:spacing w:line="360" w:lineRule="auto"/>
        <w:tabs>
          <w:tab w:val="left" w:pos="2280"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技术条款偏离表</w:t>
      </w:r>
      <w:r>
        <w:rPr>
          <w:rFonts w:hint="eastAsia" w:ascii="宋体" w:hAnsi="宋体" w:cs="宋体"/>
          <w:color w:val="000000"/>
          <w:sz w:val="28"/>
          <w:szCs w:val="28"/>
          <w:highlight w:val="none"/>
        </w:rPr>
      </w:r>
      <w:r/>
    </w:p>
    <w:p>
      <w:pPr>
        <w:pStyle w:val="933"/>
        <w:numPr>
          <w:ilvl w:val="0"/>
          <w:numId w:val="1"/>
        </w:numPr>
        <w:ind w:left="0" w:firstLine="1680"/>
        <w:jc w:val="left"/>
        <w:spacing w:line="360" w:lineRule="auto"/>
        <w:tabs>
          <w:tab w:val="left" w:pos="2280"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商务条款偏离表</w:t>
      </w:r>
      <w:r>
        <w:rPr>
          <w:rFonts w:hint="eastAsia" w:ascii="宋体" w:hAnsi="宋体" w:cs="宋体"/>
          <w:color w:val="000000"/>
          <w:sz w:val="28"/>
          <w:szCs w:val="28"/>
          <w:highlight w:val="none"/>
        </w:rPr>
      </w:r>
      <w:r/>
    </w:p>
    <w:p>
      <w:pPr>
        <w:pStyle w:val="933"/>
        <w:numPr>
          <w:ilvl w:val="0"/>
          <w:numId w:val="1"/>
        </w:numPr>
        <w:ind w:left="0" w:firstLine="1680"/>
        <w:jc w:val="left"/>
        <w:spacing w:line="360" w:lineRule="auto"/>
        <w:tabs>
          <w:tab w:val="left" w:pos="2280"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项目实施、集成、实施方案（若有）</w:t>
      </w:r>
      <w:r>
        <w:rPr>
          <w:rFonts w:hint="eastAsia" w:ascii="宋体" w:hAnsi="宋体" w:cs="宋体"/>
          <w:color w:val="000000"/>
          <w:sz w:val="28"/>
          <w:szCs w:val="28"/>
          <w:highlight w:val="none"/>
        </w:rPr>
      </w:r>
      <w:r/>
    </w:p>
    <w:p>
      <w:pPr>
        <w:pStyle w:val="933"/>
        <w:numPr>
          <w:ilvl w:val="0"/>
          <w:numId w:val="1"/>
        </w:numPr>
        <w:ind w:left="0" w:firstLine="1680"/>
        <w:jc w:val="left"/>
        <w:spacing w:line="360" w:lineRule="auto"/>
        <w:tabs>
          <w:tab w:val="left" w:pos="2280"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服务与承诺</w:t>
      </w:r>
      <w:r>
        <w:rPr>
          <w:rFonts w:hint="eastAsia" w:ascii="宋体" w:hAnsi="宋体" w:cs="宋体"/>
          <w:color w:val="000000"/>
          <w:sz w:val="28"/>
          <w:szCs w:val="28"/>
          <w:highlight w:val="none"/>
        </w:rPr>
      </w:r>
      <w:r/>
    </w:p>
    <w:p>
      <w:pPr>
        <w:pStyle w:val="933"/>
        <w:numPr>
          <w:ilvl w:val="0"/>
          <w:numId w:val="1"/>
        </w:numPr>
        <w:ind w:left="0" w:firstLine="1680"/>
        <w:jc w:val="left"/>
        <w:spacing w:line="360" w:lineRule="auto"/>
        <w:tabs>
          <w:tab w:val="left" w:pos="2280"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投标需要的其他证明文件及材料（若有）</w:t>
      </w:r>
      <w:r>
        <w:rPr>
          <w:rFonts w:hint="eastAsia" w:ascii="宋体" w:hAnsi="宋体" w:cs="宋体"/>
          <w:color w:val="000000"/>
          <w:sz w:val="28"/>
          <w:szCs w:val="28"/>
          <w:highlight w:val="none"/>
        </w:rPr>
      </w:r>
      <w:r/>
    </w:p>
    <w:p>
      <w:pPr>
        <w:pStyle w:val="933"/>
        <w:ind w:firstLine="168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33"/>
        <w:ind w:firstLine="168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附件一、中小企业声明函格式</w:t>
      </w:r>
      <w:r>
        <w:rPr>
          <w:rFonts w:hint="eastAsia" w:ascii="宋体" w:hAnsi="宋体" w:cs="宋体"/>
          <w:color w:val="000000"/>
          <w:sz w:val="28"/>
          <w:szCs w:val="28"/>
          <w:highlight w:val="none"/>
        </w:rPr>
      </w:r>
      <w:r/>
    </w:p>
    <w:p>
      <w:pPr>
        <w:pStyle w:val="933"/>
        <w:ind w:firstLine="168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附件二、无重大违法记录声明格式</w:t>
      </w:r>
      <w:r>
        <w:rPr>
          <w:rFonts w:hint="eastAsia" w:ascii="宋体" w:hAnsi="宋体" w:cs="宋体"/>
          <w:color w:val="000000"/>
          <w:sz w:val="28"/>
          <w:szCs w:val="28"/>
          <w:highlight w:val="none"/>
        </w:rPr>
      </w:r>
      <w:r/>
    </w:p>
    <w:p>
      <w:pPr>
        <w:pStyle w:val="933"/>
        <w:ind w:firstLine="168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附件三、具备履行合同所必需的设备和专业技术能力的声明格式</w:t>
      </w:r>
      <w:r>
        <w:rPr>
          <w:rFonts w:hint="eastAsia" w:ascii="宋体" w:hAnsi="宋体" w:cs="宋体"/>
          <w:color w:val="000000"/>
          <w:sz w:val="28"/>
          <w:szCs w:val="28"/>
          <w:highlight w:val="none"/>
        </w:rPr>
      </w:r>
      <w:r/>
    </w:p>
    <w:p>
      <w:pPr>
        <w:pStyle w:val="1012"/>
        <w:ind w:firstLine="1680"/>
        <w:spacing w:before="0" w:beforeAutospacing="0" w:after="0" w:afterAutospacing="0" w:line="360" w:lineRule="auto"/>
        <w:widowControl w:val="off"/>
        <w:rPr>
          <w:rFonts w:hint="eastAsia"/>
          <w:color w:val="000000"/>
          <w:sz w:val="28"/>
          <w:szCs w:val="28"/>
          <w:highlight w:val="none"/>
        </w:rPr>
      </w:pPr>
      <w:r>
        <w:rPr>
          <w:rFonts w:hint="eastAsia"/>
          <w:color w:val="000000"/>
          <w:sz w:val="28"/>
          <w:szCs w:val="28"/>
          <w:highlight w:val="none"/>
        </w:rPr>
        <w:t xml:space="preserve">附件四、残疾人福利性单位声明函格式</w:t>
      </w:r>
      <w:r>
        <w:rPr>
          <w:rFonts w:hint="eastAsia"/>
          <w:color w:val="000000"/>
          <w:sz w:val="28"/>
          <w:szCs w:val="28"/>
          <w:highlight w:val="none"/>
        </w:rPr>
      </w:r>
      <w:r/>
    </w:p>
    <w:p>
      <w:pPr>
        <w:pStyle w:val="1012"/>
        <w:ind w:firstLine="1680"/>
        <w:spacing w:before="0" w:beforeAutospacing="0" w:after="0" w:afterAutospacing="0" w:line="360" w:lineRule="auto"/>
        <w:widowControl w:val="off"/>
        <w:rPr>
          <w:rFonts w:hint="eastAsia"/>
          <w:color w:val="000000"/>
          <w:sz w:val="28"/>
          <w:szCs w:val="28"/>
          <w:highlight w:val="none"/>
        </w:rPr>
      </w:pPr>
      <w:r>
        <w:rPr>
          <w:rFonts w:hint="eastAsia"/>
          <w:color w:val="000000"/>
          <w:sz w:val="28"/>
          <w:szCs w:val="28"/>
          <w:highlight w:val="none"/>
        </w:rPr>
        <w:t xml:space="preserve">附件五、属于监狱企业的证明文件</w:t>
      </w:r>
      <w:r>
        <w:rPr>
          <w:rFonts w:hint="eastAsia"/>
          <w:color w:val="000000"/>
          <w:sz w:val="28"/>
          <w:szCs w:val="28"/>
          <w:highlight w:val="none"/>
        </w:rPr>
      </w:r>
      <w:r/>
    </w:p>
    <w:p>
      <w:pPr>
        <w:pStyle w:val="1012"/>
        <w:ind w:firstLine="1680"/>
        <w:spacing w:before="0" w:beforeAutospacing="0" w:after="0" w:afterAutospacing="0" w:line="360" w:lineRule="auto"/>
        <w:widowControl w:val="off"/>
        <w:rPr>
          <w:rFonts w:hint="eastAsia"/>
          <w:color w:val="000000"/>
          <w:sz w:val="28"/>
          <w:szCs w:val="28"/>
          <w:highlight w:val="none"/>
        </w:rPr>
      </w:pPr>
      <w:r>
        <w:rPr>
          <w:rFonts w:hint="eastAsia"/>
          <w:color w:val="000000"/>
          <w:sz w:val="28"/>
          <w:szCs w:val="28"/>
          <w:highlight w:val="none"/>
        </w:rPr>
        <w:t xml:space="preserve">附件六、关于符合本国产品标准的声明函</w:t>
      </w:r>
      <w:r>
        <w:rPr>
          <w:rFonts w:hint="eastAsia"/>
          <w:color w:val="000000"/>
          <w:sz w:val="28"/>
          <w:szCs w:val="28"/>
          <w:highlight w:val="none"/>
        </w:rPr>
      </w:r>
      <w:r/>
    </w:p>
    <w:p>
      <w:pPr>
        <w:pStyle w:val="1012"/>
        <w:ind w:firstLine="1680"/>
        <w:spacing w:before="0" w:beforeAutospacing="0" w:after="0" w:afterAutospacing="0" w:line="360" w:lineRule="auto"/>
        <w:widowControl w:val="off"/>
        <w:rPr>
          <w:rFonts w:hint="eastAsia"/>
          <w:color w:val="000000"/>
          <w:sz w:val="28"/>
          <w:szCs w:val="28"/>
          <w:highlight w:val="none"/>
        </w:rPr>
      </w:pPr>
      <w:r>
        <w:rPr>
          <w:rFonts w:hint="eastAsia"/>
          <w:color w:val="000000"/>
          <w:sz w:val="28"/>
          <w:szCs w:val="28"/>
          <w:highlight w:val="none"/>
        </w:rPr>
      </w:r>
      <w:r/>
    </w:p>
    <w:p>
      <w:pPr>
        <w:pStyle w:val="972"/>
        <w:rPr>
          <w:rFonts w:eastAsia="宋体"/>
          <w:color w:val="000000"/>
          <w:highlight w:val="none"/>
          <w:lang w:val="en-US"/>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eastAsia="宋体"/>
          <w:color w:val="000000"/>
          <w:highlight w:val="none"/>
          <w:lang w:val="en-US"/>
        </w:rPr>
      </w:r>
      <w:r/>
    </w:p>
    <w:p>
      <w:pPr>
        <w:pStyle w:val="933"/>
        <w:spacing w:line="360" w:lineRule="auto"/>
        <w:rPr>
          <w:rFonts w:hint="eastAsia" w:ascii="宋体" w:hAnsi="宋体" w:cs="宋体"/>
          <w:b/>
          <w:color w:val="000000"/>
          <w:szCs w:val="21"/>
          <w:highlight w:val="none"/>
          <w:lang w:val="zh-CN"/>
        </w:rPr>
        <w:outlineLvl w:val="1"/>
      </w:pPr>
      <w:r>
        <w:rPr>
          <w:rFonts w:hint="eastAsia" w:ascii="宋体" w:hAnsi="宋体" w:cs="宋体"/>
          <w:b/>
          <w:color w:val="000000"/>
          <w:szCs w:val="21"/>
          <w:highlight w:val="none"/>
          <w:lang w:val="zh-CN"/>
        </w:rPr>
        <w:t xml:space="preserve">目录一、投标申请及声明格式</w:t>
      </w:r>
      <w:r>
        <w:rPr>
          <w:rFonts w:hint="eastAsia" w:ascii="宋体" w:hAnsi="宋体" w:cs="宋体"/>
          <w:b/>
          <w:color w:val="000000"/>
          <w:szCs w:val="21"/>
          <w:highlight w:val="none"/>
          <w:lang w:val="zh-CN"/>
        </w:rPr>
      </w:r>
      <w:r/>
    </w:p>
    <w:p>
      <w:pPr>
        <w:pStyle w:val="933"/>
        <w:jc w:val="center"/>
        <w:spacing w:line="360" w:lineRule="auto"/>
        <w:rPr>
          <w:rFonts w:hint="eastAsia" w:ascii="宋体" w:hAnsi="宋体" w:cs="宋体"/>
          <w:color w:val="000000"/>
          <w:sz w:val="36"/>
          <w:szCs w:val="36"/>
          <w:highlight w:val="none"/>
          <w:lang w:val="zh-CN"/>
        </w:rPr>
      </w:pPr>
      <w:r>
        <w:rPr>
          <w:rFonts w:hint="eastAsia" w:ascii="宋体" w:hAnsi="宋体" w:cs="宋体"/>
          <w:color w:val="000000"/>
          <w:sz w:val="36"/>
          <w:szCs w:val="36"/>
          <w:highlight w:val="none"/>
          <w:lang w:val="zh-CN"/>
        </w:rPr>
        <w:t xml:space="preserve">投标申请及声明</w:t>
      </w:r>
      <w:r>
        <w:rPr>
          <w:rFonts w:hint="eastAsia" w:ascii="宋体" w:hAnsi="宋体" w:cs="宋体"/>
          <w:color w:val="000000"/>
          <w:sz w:val="36"/>
          <w:szCs w:val="36"/>
          <w:highlight w:val="none"/>
          <w:lang w:val="zh-CN"/>
        </w:rPr>
      </w:r>
      <w:r/>
    </w:p>
    <w:p>
      <w:pPr>
        <w:pStyle w:val="933"/>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致：南京师范大学附属中学</w:t>
      </w:r>
      <w:r>
        <w:rPr>
          <w:rFonts w:hint="eastAsia" w:ascii="宋体" w:hAnsi="宋体" w:cs="宋体"/>
          <w:color w:val="000000"/>
          <w:szCs w:val="21"/>
          <w:highlight w:val="none"/>
          <w:lang w:val="zh-CN"/>
        </w:rPr>
      </w:r>
      <w:r/>
    </w:p>
    <w:p>
      <w:pPr>
        <w:pStyle w:val="933"/>
        <w:ind w:firstLine="420"/>
        <w:jc w:val="left"/>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根据贵方（项目名称）（项目编号）投标邀请，正式授权下述签字人（姓名和职务）代表投标人（投标人名称），提交投标文件。</w:t>
      </w:r>
      <w:r>
        <w:rPr>
          <w:rFonts w:hint="eastAsia" w:ascii="宋体" w:hAnsi="宋体" w:cs="宋体"/>
          <w:color w:val="000000"/>
          <w:szCs w:val="21"/>
          <w:highlight w:val="none"/>
        </w:rPr>
      </w:r>
      <w:r/>
    </w:p>
    <w:p>
      <w:pPr>
        <w:pStyle w:val="933"/>
        <w:ind w:firstLine="420"/>
        <w:jc w:val="left"/>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据此函，签字人兹宣布声明和承诺如下：</w:t>
      </w:r>
      <w:r>
        <w:rPr>
          <w:rFonts w:hint="eastAsia" w:ascii="宋体" w:hAnsi="宋体" w:cs="宋体"/>
          <w:color w:val="000000"/>
          <w:szCs w:val="21"/>
          <w:highlight w:val="none"/>
        </w:rPr>
      </w:r>
      <w:r/>
    </w:p>
    <w:p>
      <w:pPr>
        <w:pStyle w:val="933"/>
        <w:ind w:firstLine="420"/>
        <w:jc w:val="left"/>
        <w:spacing w:line="288" w:lineRule="auto"/>
        <w:rPr>
          <w:rFonts w:hint="eastAsia" w:ascii="宋体" w:hAnsi="宋体" w:cs="宋体"/>
          <w:color w:val="000000"/>
          <w:highlight w:val="none"/>
        </w:rPr>
      </w:pPr>
      <w:r>
        <w:rPr>
          <w:rFonts w:hint="eastAsia" w:ascii="宋体" w:hAnsi="宋体" w:cs="宋体"/>
          <w:color w:val="000000"/>
          <w:szCs w:val="21"/>
          <w:highlight w:val="none"/>
          <w:lang w:val="zh-CN"/>
        </w:rPr>
        <w:t xml:space="preserve">1.我方的资格条件符合政府采购法和本次招标要求，</w:t>
      </w:r>
      <w:r>
        <w:rPr>
          <w:rFonts w:hint="eastAsia" w:ascii="宋体" w:hAnsi="宋体" w:cs="宋体"/>
          <w:color w:val="000000"/>
          <w:highlight w:val="none"/>
        </w:rPr>
        <w:t xml:space="preserve">我方</w:t>
      </w:r>
      <w:r>
        <w:rPr>
          <w:rFonts w:hint="eastAsia" w:ascii="宋体" w:hAnsi="宋体" w:cs="宋体"/>
          <w:color w:val="000000"/>
          <w:szCs w:val="21"/>
          <w:highlight w:val="none"/>
          <w:lang w:val="zh-CN"/>
        </w:rPr>
        <w:t xml:space="preserve">同意并向贵方提供了与投标有关的所有证据和资料。</w:t>
      </w:r>
      <w:r>
        <w:rPr>
          <w:rFonts w:hint="eastAsia" w:ascii="宋体" w:hAnsi="宋体" w:cs="宋体"/>
          <w:color w:val="000000"/>
          <w:highlight w:val="none"/>
        </w:rPr>
      </w:r>
      <w:r/>
    </w:p>
    <w:p>
      <w:pPr>
        <w:pStyle w:val="933"/>
        <w:ind w:firstLine="420"/>
        <w:jc w:val="left"/>
        <w:spacing w:line="288"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2.按招标要求，我方的投标报价为：</w:t>
      </w:r>
      <w:r>
        <w:rPr>
          <w:rFonts w:hint="eastAsia" w:ascii="宋体" w:hAnsi="宋体" w:cs="宋体"/>
          <w:color w:val="000000"/>
          <w:szCs w:val="21"/>
          <w:highlight w:val="none"/>
          <w:u w:val="single"/>
        </w:rPr>
        <w:t xml:space="preserve">      元</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33"/>
        <w:ind w:firstLine="420"/>
        <w:spacing w:line="288"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3.我方参加本次采购活动前三年内，在经营活动中没有重大违法记录。</w:t>
      </w:r>
      <w:r>
        <w:rPr>
          <w:rFonts w:hint="eastAsia" w:ascii="宋体" w:hAnsi="宋体" w:cs="宋体"/>
          <w:color w:val="000000"/>
          <w:szCs w:val="21"/>
          <w:highlight w:val="none"/>
          <w:lang w:val="zh-CN"/>
        </w:rPr>
      </w:r>
      <w:r/>
    </w:p>
    <w:p>
      <w:pPr>
        <w:pStyle w:val="933"/>
        <w:ind w:firstLine="420"/>
        <w:spacing w:line="288"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4.我方参加本次采购活动前，没有被信用中国网站、中国政府采购网站列入失信被执行人名单、重大税收违法失信主体、政府采购严重违法失信行为记录名单。</w:t>
      </w:r>
      <w:r>
        <w:rPr>
          <w:rFonts w:hint="eastAsia" w:ascii="宋体" w:hAnsi="宋体" w:cs="宋体"/>
          <w:color w:val="000000"/>
          <w:szCs w:val="21"/>
          <w:highlight w:val="none"/>
          <w:lang w:val="zh-CN"/>
        </w:rPr>
      </w:r>
      <w:r/>
    </w:p>
    <w:p>
      <w:pPr>
        <w:pStyle w:val="933"/>
        <w:ind w:firstLine="420"/>
        <w:spacing w:line="288"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5.我方在全国范围内未受过财政部门禁止参加政府采购活动的处罚，或禁止参加政府采购活动的处罚期限已满。</w:t>
      </w:r>
      <w:r>
        <w:rPr>
          <w:rFonts w:hint="eastAsia" w:ascii="宋体" w:hAnsi="宋体" w:cs="宋体"/>
          <w:color w:val="000000"/>
          <w:szCs w:val="21"/>
          <w:highlight w:val="none"/>
          <w:lang w:val="zh-CN"/>
        </w:rPr>
      </w:r>
      <w:r/>
    </w:p>
    <w:p>
      <w:pPr>
        <w:pStyle w:val="933"/>
        <w:ind w:firstLine="420"/>
        <w:spacing w:line="288"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6.我方没有为本采购项目提供整体设计、规范编制，以及项目管理、监理、检测等服务。</w:t>
      </w:r>
      <w:r>
        <w:rPr>
          <w:rFonts w:hint="eastAsia" w:ascii="宋体" w:hAnsi="宋体" w:cs="宋体"/>
          <w:color w:val="000000"/>
          <w:szCs w:val="21"/>
          <w:highlight w:val="none"/>
          <w:lang w:val="zh-CN"/>
        </w:rPr>
      </w:r>
      <w:r/>
    </w:p>
    <w:p>
      <w:pPr>
        <w:pStyle w:val="933"/>
        <w:ind w:firstLine="420"/>
        <w:spacing w:line="288"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7.我方与参与本次采购活动的其他供应商的</w:t>
      </w:r>
      <w:r>
        <w:rPr>
          <w:rFonts w:hint="eastAsia" w:ascii="宋体" w:hAnsi="宋体" w:cs="宋体"/>
          <w:color w:val="000000"/>
          <w:szCs w:val="21"/>
          <w:highlight w:val="none"/>
        </w:rPr>
        <w:t xml:space="preserve">委托代理人</w:t>
      </w:r>
      <w:r>
        <w:rPr>
          <w:rFonts w:hint="eastAsia" w:ascii="宋体" w:hAnsi="宋体" w:cs="宋体"/>
          <w:color w:val="000000"/>
          <w:szCs w:val="21"/>
          <w:highlight w:val="none"/>
          <w:lang w:val="zh-CN"/>
        </w:rPr>
        <w:t xml:space="preserve">（或法定代表人、项目经理、项目总监、项目负责人等），在招标文件发布日上月至投标截止日当月未在同一单位缴纳社会保险。</w:t>
      </w:r>
      <w:r>
        <w:rPr>
          <w:rFonts w:hint="eastAsia" w:ascii="宋体" w:hAnsi="宋体" w:cs="宋体"/>
          <w:color w:val="000000"/>
          <w:szCs w:val="21"/>
          <w:highlight w:val="none"/>
          <w:lang w:val="zh-CN"/>
        </w:rPr>
      </w:r>
      <w:r/>
    </w:p>
    <w:p>
      <w:pPr>
        <w:pStyle w:val="933"/>
        <w:ind w:firstLine="420"/>
        <w:spacing w:line="288"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8.我方与参与本次采购活动的其他供应商的法定代表人或</w:t>
      </w:r>
      <w:r>
        <w:rPr>
          <w:rFonts w:hint="eastAsia" w:ascii="宋体" w:hAnsi="宋体" w:cs="宋体"/>
          <w:color w:val="000000"/>
          <w:szCs w:val="21"/>
          <w:highlight w:val="none"/>
        </w:rPr>
        <w:t xml:space="preserve">委托代理人</w:t>
      </w:r>
      <w:r>
        <w:rPr>
          <w:rFonts w:hint="eastAsia" w:ascii="宋体" w:hAnsi="宋体" w:cs="宋体"/>
          <w:color w:val="000000"/>
          <w:szCs w:val="21"/>
          <w:highlight w:val="none"/>
          <w:lang w:val="zh-CN"/>
        </w:rPr>
        <w:t xml:space="preserve">无夫妻、直系血亲关系。</w:t>
      </w:r>
      <w:r>
        <w:rPr>
          <w:rFonts w:hint="eastAsia" w:ascii="宋体" w:hAnsi="宋体" w:cs="宋体"/>
          <w:color w:val="000000"/>
          <w:szCs w:val="21"/>
          <w:highlight w:val="none"/>
          <w:lang w:val="zh-CN"/>
        </w:rPr>
      </w:r>
      <w:r/>
    </w:p>
    <w:p>
      <w:pPr>
        <w:pStyle w:val="933"/>
        <w:ind w:firstLine="420"/>
        <w:spacing w:line="288"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9.我方与参与本次采购活动的其他供应商的负责人不是同一人，也不存在直接控股、管理关系。</w:t>
      </w:r>
      <w:r>
        <w:rPr>
          <w:rFonts w:hint="eastAsia" w:ascii="宋体" w:hAnsi="宋体" w:cs="宋体"/>
          <w:color w:val="000000"/>
          <w:szCs w:val="21"/>
          <w:highlight w:val="none"/>
          <w:lang w:val="zh-CN"/>
        </w:rPr>
      </w:r>
      <w:r/>
    </w:p>
    <w:p>
      <w:pPr>
        <w:pStyle w:val="933"/>
        <w:ind w:firstLine="420"/>
        <w:spacing w:line="288"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rPr>
          <w:rFonts w:hint="eastAsia" w:ascii="宋体" w:hAnsi="宋体" w:cs="宋体"/>
          <w:color w:val="000000"/>
          <w:szCs w:val="21"/>
          <w:highlight w:val="none"/>
          <w:lang w:val="zh-CN"/>
        </w:rPr>
      </w:r>
      <w:r/>
    </w:p>
    <w:p>
      <w:pPr>
        <w:pStyle w:val="933"/>
        <w:ind w:firstLine="420"/>
        <w:spacing w:line="288"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11.我方同意从规定的开标日期起遵循本投标文件，并在规定的投标有效期期满之前均具有约束力。</w:t>
      </w:r>
      <w:r>
        <w:rPr>
          <w:rFonts w:hint="eastAsia" w:ascii="宋体" w:hAnsi="宋体" w:cs="宋体"/>
          <w:color w:val="000000"/>
          <w:szCs w:val="21"/>
          <w:highlight w:val="none"/>
          <w:lang w:val="zh-CN"/>
        </w:rPr>
      </w:r>
      <w:r/>
    </w:p>
    <w:p>
      <w:pPr>
        <w:pStyle w:val="933"/>
        <w:ind w:firstLine="420"/>
        <w:spacing w:line="288"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12.一旦我方中标，将根据招标文件的规定严格履行合同，并保证按承诺的时间完成服务的启动/集成、调试等服务，交付采购人验收、使用。</w:t>
      </w:r>
      <w:r>
        <w:rPr>
          <w:rFonts w:hint="eastAsia" w:ascii="宋体" w:hAnsi="宋体" w:cs="宋体"/>
          <w:color w:val="000000"/>
          <w:szCs w:val="21"/>
          <w:highlight w:val="none"/>
          <w:lang w:val="zh-CN"/>
        </w:rPr>
      </w:r>
      <w:r/>
    </w:p>
    <w:p>
      <w:pPr>
        <w:pStyle w:val="933"/>
        <w:ind w:firstLine="420"/>
        <w:jc w:val="left"/>
        <w:spacing w:line="288"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13.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color w:val="000000"/>
          <w:szCs w:val="21"/>
          <w:highlight w:val="none"/>
        </w:rPr>
      </w:r>
      <w:r/>
    </w:p>
    <w:p>
      <w:pPr>
        <w:pStyle w:val="933"/>
        <w:ind w:firstLine="420"/>
        <w:jc w:val="left"/>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14.与本投标有关的正式联系方式为：</w:t>
      </w:r>
      <w:r>
        <w:rPr>
          <w:rFonts w:hint="eastAsia" w:ascii="宋体" w:hAnsi="宋体" w:cs="宋体"/>
          <w:color w:val="000000"/>
          <w:szCs w:val="21"/>
          <w:highlight w:val="none"/>
        </w:rPr>
      </w:r>
      <w:r/>
    </w:p>
    <w:p>
      <w:pPr>
        <w:pStyle w:val="933"/>
        <w:ind w:firstLine="420"/>
        <w:jc w:val="left"/>
        <w:spacing w:line="288"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r>
      <w:r/>
    </w:p>
    <w:p>
      <w:pPr>
        <w:pStyle w:val="933"/>
        <w:ind w:firstLine="420"/>
        <w:jc w:val="left"/>
        <w:spacing w:line="288"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u w:val="single"/>
        </w:rPr>
      </w:r>
      <w:r/>
    </w:p>
    <w:p>
      <w:pPr>
        <w:pStyle w:val="933"/>
        <w:ind w:firstLine="420"/>
        <w:jc w:val="left"/>
        <w:spacing w:line="288"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传真：</w:t>
      </w:r>
      <w:r>
        <w:rPr>
          <w:rFonts w:hint="eastAsia" w:ascii="宋体" w:hAnsi="宋体" w:cs="宋体"/>
          <w:color w:val="000000"/>
          <w:szCs w:val="21"/>
          <w:highlight w:val="none"/>
          <w:u w:val="single"/>
        </w:rPr>
      </w:r>
      <w:r/>
    </w:p>
    <w:p>
      <w:pPr>
        <w:pStyle w:val="933"/>
        <w:ind w:firstLine="420"/>
        <w:jc w:val="left"/>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rPr>
      </w:r>
      <w:r/>
    </w:p>
    <w:p>
      <w:pPr>
        <w:pStyle w:val="933"/>
        <w:ind w:firstLine="420"/>
        <w:jc w:val="left"/>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银行账号：</w:t>
      </w:r>
      <w:r>
        <w:rPr>
          <w:rFonts w:hint="eastAsia" w:ascii="宋体" w:hAnsi="宋体" w:cs="宋体"/>
          <w:color w:val="000000"/>
          <w:szCs w:val="21"/>
          <w:highlight w:val="none"/>
        </w:rPr>
      </w:r>
      <w:r/>
    </w:p>
    <w:p>
      <w:pPr>
        <w:pStyle w:val="933"/>
        <w:ind w:firstLine="420"/>
        <w:jc w:val="left"/>
        <w:spacing w:line="288"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供应商授权代表姓名（签字）：</w:t>
      </w:r>
      <w:r>
        <w:rPr>
          <w:rFonts w:hint="eastAsia" w:ascii="宋体" w:hAnsi="宋体" w:cs="宋体"/>
          <w:color w:val="000000"/>
          <w:szCs w:val="21"/>
          <w:highlight w:val="none"/>
          <w:u w:val="single"/>
        </w:rPr>
      </w:r>
      <w:r/>
    </w:p>
    <w:p>
      <w:pPr>
        <w:pStyle w:val="933"/>
        <w:ind w:firstLine="420"/>
        <w:jc w:val="left"/>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供应商名称（盖章）：</w:t>
      </w:r>
      <w:r>
        <w:rPr>
          <w:rFonts w:hint="eastAsia" w:ascii="宋体" w:hAnsi="宋体" w:cs="宋体"/>
          <w:color w:val="000000"/>
          <w:szCs w:val="21"/>
          <w:highlight w:val="none"/>
        </w:rPr>
      </w:r>
      <w:r/>
    </w:p>
    <w:p>
      <w:pPr>
        <w:pStyle w:val="933"/>
        <w:ind w:firstLine="420"/>
        <w:spacing w:line="360" w:lineRule="auto"/>
        <w:rPr>
          <w:rFonts w:hint="eastAsia" w:ascii="宋体" w:hAnsi="宋体" w:cs="宋体"/>
          <w:b/>
          <w:color w:val="000000"/>
          <w:szCs w:val="21"/>
          <w:highlight w:val="none"/>
          <w:lang w:val="zh-CN"/>
        </w:rPr>
      </w:pPr>
      <w:r>
        <w:rPr>
          <w:rFonts w:hint="eastAsia" w:ascii="宋体" w:hAnsi="宋体" w:cs="宋体"/>
          <w:color w:val="000000"/>
          <w:szCs w:val="21"/>
          <w:highlight w:val="none"/>
        </w:rPr>
        <w:t xml:space="preserve">日期：年月日</w:t>
      </w:r>
      <w:r>
        <w:rPr>
          <w:rFonts w:hint="eastAsia" w:ascii="宋体" w:hAnsi="宋体" w:cs="宋体"/>
          <w:b/>
          <w:color w:val="000000"/>
          <w:szCs w:val="21"/>
          <w:highlight w:val="none"/>
          <w:lang w:val="zh-CN"/>
        </w:rPr>
      </w:r>
      <w:r/>
    </w:p>
    <w:p>
      <w:pPr>
        <w:pStyle w:val="933"/>
        <w:jc w:val="left"/>
        <w:spacing w:line="360" w:lineRule="auto"/>
        <w:widowControl/>
        <w:rPr>
          <w:rFonts w:hint="eastAsia" w:ascii="宋体" w:hAnsi="宋体" w:cs="宋体"/>
          <w:b/>
          <w:color w:val="000000"/>
          <w:szCs w:val="21"/>
          <w:highlight w:val="none"/>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b/>
          <w:color w:val="000000"/>
          <w:szCs w:val="21"/>
          <w:highlight w:val="none"/>
          <w:lang w:val="zh-CN"/>
        </w:rPr>
      </w:r>
      <w:r/>
    </w:p>
    <w:p>
      <w:pPr>
        <w:pStyle w:val="933"/>
        <w:jc w:val="left"/>
        <w:spacing w:line="360" w:lineRule="auto"/>
        <w:widowControl/>
        <w:rPr>
          <w:rFonts w:hint="eastAsia" w:ascii="宋体" w:hAnsi="宋体" w:cs="宋体"/>
          <w:b/>
          <w:color w:val="000000"/>
          <w:szCs w:val="21"/>
          <w:highlight w:val="none"/>
          <w:lang w:val="zh-CN"/>
        </w:rPr>
        <w:outlineLvl w:val="1"/>
      </w:pPr>
      <w:r>
        <w:rPr>
          <w:rFonts w:hint="eastAsia" w:ascii="宋体" w:hAnsi="宋体" w:cs="宋体"/>
          <w:b/>
          <w:color w:val="000000"/>
          <w:szCs w:val="21"/>
          <w:highlight w:val="none"/>
          <w:lang w:val="zh-CN"/>
        </w:rPr>
        <w:t xml:space="preserve">目录二、法定代表人授权书格式</w:t>
      </w:r>
      <w:r>
        <w:rPr>
          <w:rFonts w:hint="eastAsia" w:ascii="宋体" w:hAnsi="宋体" w:cs="宋体"/>
          <w:b/>
          <w:color w:val="000000"/>
          <w:szCs w:val="21"/>
          <w:highlight w:val="none"/>
          <w:lang w:val="zh-CN"/>
        </w:rPr>
      </w:r>
      <w:r/>
    </w:p>
    <w:p>
      <w:pPr>
        <w:pStyle w:val="933"/>
        <w:ind w:firstLine="720"/>
        <w:jc w:val="center"/>
        <w:spacing w:line="360" w:lineRule="auto"/>
        <w:widowControl/>
        <w:rPr>
          <w:rFonts w:hint="eastAsia" w:ascii="宋体" w:hAnsi="宋体" w:cs="宋体"/>
          <w:color w:val="000000"/>
          <w:sz w:val="36"/>
          <w:szCs w:val="36"/>
          <w:highlight w:val="none"/>
          <w:lang w:val="zh-CN"/>
        </w:rPr>
      </w:pPr>
      <w:r>
        <w:rPr>
          <w:rFonts w:hint="eastAsia" w:ascii="宋体" w:hAnsi="宋体" w:cs="宋体"/>
          <w:color w:val="000000"/>
          <w:sz w:val="36"/>
          <w:szCs w:val="36"/>
          <w:highlight w:val="none"/>
          <w:lang w:val="zh-CN"/>
        </w:rPr>
        <w:t xml:space="preserve">法定代表人授权委托书</w:t>
      </w:r>
      <w:r>
        <w:rPr>
          <w:rFonts w:hint="eastAsia" w:ascii="宋体" w:hAnsi="宋体" w:cs="宋体"/>
          <w:color w:val="000000"/>
          <w:sz w:val="36"/>
          <w:szCs w:val="36"/>
          <w:highlight w:val="none"/>
          <w:lang w:val="zh-CN"/>
        </w:rPr>
      </w:r>
      <w:r/>
    </w:p>
    <w:p>
      <w:pPr>
        <w:pStyle w:val="933"/>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南京师范大学附属中学</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933"/>
        <w:ind w:firstLine="420"/>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rPr>
          <w:rFonts w:hint="eastAsia" w:ascii="宋体" w:hAnsi="宋体" w:cs="宋体"/>
          <w:color w:val="000000"/>
          <w:szCs w:val="21"/>
          <w:highlight w:val="none"/>
          <w:lang w:val="zh-CN"/>
        </w:rPr>
      </w:r>
      <w:r/>
    </w:p>
    <w:p>
      <w:pPr>
        <w:pStyle w:val="933"/>
        <w:ind w:firstLine="408"/>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本授权书于年月日签字生效，特此声明。</w:t>
      </w:r>
      <w:r>
        <w:rPr>
          <w:rFonts w:hint="eastAsia" w:ascii="宋体" w:hAnsi="宋体" w:cs="宋体"/>
          <w:color w:val="000000"/>
          <w:szCs w:val="21"/>
          <w:highlight w:val="none"/>
          <w:lang w:val="zh-CN"/>
        </w:rPr>
      </w:r>
      <w:r/>
    </w:p>
    <w:p>
      <w:pPr>
        <w:pStyle w:val="933"/>
        <w:ind w:firstLine="408"/>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933"/>
        <w:ind w:firstLine="420"/>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w:t>
      </w:r>
      <w:r>
        <w:rPr>
          <w:rFonts w:hint="eastAsia" w:ascii="宋体" w:hAnsi="宋体" w:cs="宋体"/>
          <w:color w:val="000000"/>
          <w:szCs w:val="21"/>
          <w:highlight w:val="none"/>
          <w:lang w:val="zh-CN"/>
        </w:rPr>
        <w:t xml:space="preserve">（签字）</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933"/>
        <w:ind w:firstLine="420"/>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授权委托人</w:t>
      </w:r>
      <w:r>
        <w:rPr>
          <w:rFonts w:hint="eastAsia" w:ascii="宋体" w:hAnsi="宋体" w:cs="宋体"/>
          <w:color w:val="000000"/>
          <w:szCs w:val="21"/>
          <w:highlight w:val="none"/>
          <w:lang w:val="zh-CN"/>
        </w:rPr>
        <w:t xml:space="preserve">（签字）</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933"/>
        <w:ind w:firstLine="420"/>
        <w:jc w:val="left"/>
        <w:spacing w:line="360" w:lineRule="auto"/>
        <w:widowControl/>
        <w:tabs>
          <w:tab w:val="left" w:pos="144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投标人：（盖章）</w:t>
      </w:r>
      <w:r>
        <w:rPr>
          <w:rFonts w:hint="eastAsia" w:ascii="宋体" w:hAnsi="宋体" w:cs="宋体"/>
          <w:color w:val="000000"/>
          <w:szCs w:val="21"/>
          <w:highlight w:val="none"/>
          <w:lang w:val="zh-CN"/>
        </w:rPr>
      </w:r>
      <w:r/>
    </w:p>
    <w:p>
      <w:pPr>
        <w:pStyle w:val="933"/>
        <w:ind w:firstLine="420"/>
        <w:jc w:val="left"/>
        <w:spacing w:line="360" w:lineRule="auto"/>
        <w:widowControl/>
        <w:tabs>
          <w:tab w:val="left" w:pos="144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日期：年月日</w:t>
      </w:r>
      <w:r>
        <w:rPr>
          <w:rFonts w:hint="eastAsia" w:ascii="宋体" w:hAnsi="宋体" w:cs="宋体"/>
          <w:color w:val="000000"/>
          <w:szCs w:val="21"/>
          <w:highlight w:val="none"/>
          <w:lang w:val="zh-CN"/>
        </w:rPr>
      </w:r>
      <w:r/>
    </w:p>
    <w:p>
      <w:pPr>
        <w:pStyle w:val="933"/>
        <w:ind w:firstLine="420"/>
        <w:jc w:val="left"/>
        <w:spacing w:line="360" w:lineRule="auto"/>
        <w:widowControl/>
        <w:tabs>
          <w:tab w:val="left" w:pos="144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933"/>
        <w:ind w:firstLine="420"/>
        <w:jc w:val="left"/>
        <w:spacing w:line="360" w:lineRule="auto"/>
        <w:widowControl/>
        <w:tabs>
          <w:tab w:val="left" w:pos="144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933"/>
        <w:ind w:firstLine="420"/>
        <w:jc w:val="left"/>
        <w:spacing w:line="360" w:lineRule="auto"/>
        <w:widowControl/>
        <w:tabs>
          <w:tab w:val="left" w:pos="144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法定代表人或授权委托人身份证复印件：</w:t>
      </w:r>
      <w:r>
        <w:rPr>
          <w:rFonts w:hint="eastAsia" w:ascii="宋体" w:hAnsi="宋体" w:cs="宋体"/>
          <w:color w:val="000000"/>
          <w:szCs w:val="21"/>
          <w:highlight w:val="none"/>
          <w:lang w:val="zh-CN"/>
        </w:rPr>
      </w:r>
      <w:r/>
    </w:p>
    <w:p>
      <w:pPr>
        <w:pStyle w:val="933"/>
        <w:ind w:firstLine="420"/>
        <w:jc w:val="left"/>
        <w:spacing w:line="360" w:lineRule="auto"/>
        <w:widowControl/>
        <w:tabs>
          <w:tab w:val="left" w:pos="144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933"/>
        <w:ind w:firstLine="420"/>
        <w:jc w:val="left"/>
        <w:spacing w:line="360" w:lineRule="auto"/>
        <w:widowControl/>
        <w:tabs>
          <w:tab w:val="left" w:pos="144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933"/>
        <w:ind w:firstLine="420"/>
        <w:jc w:val="left"/>
        <w:spacing w:line="360" w:lineRule="auto"/>
        <w:widowControl/>
        <w:tabs>
          <w:tab w:val="left" w:pos="144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933"/>
        <w:ind w:firstLine="420"/>
        <w:jc w:val="left"/>
        <w:spacing w:line="360" w:lineRule="auto"/>
        <w:widowControl/>
        <w:tabs>
          <w:tab w:val="left" w:pos="144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933"/>
        <w:ind w:firstLine="420"/>
        <w:jc w:val="left"/>
        <w:spacing w:line="360" w:lineRule="auto"/>
        <w:widowControl/>
        <w:tabs>
          <w:tab w:val="left" w:pos="144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933"/>
        <w:ind w:firstLine="420"/>
        <w:jc w:val="left"/>
        <w:spacing w:line="360" w:lineRule="auto"/>
        <w:widowControl/>
        <w:tabs>
          <w:tab w:val="left" w:pos="1440" w:leader="none"/>
        </w:tabs>
        <w:rPr>
          <w:rFonts w:hint="eastAsia" w:ascii="宋体" w:hAnsi="宋体" w:cs="宋体"/>
          <w:b/>
          <w:color w:val="000000"/>
          <w:szCs w:val="21"/>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color w:val="000000"/>
          <w:szCs w:val="21"/>
          <w:highlight w:val="none"/>
        </w:rPr>
        <w:t xml:space="preserve">近三个月任意一个月社保证明：</w:t>
      </w:r>
      <w:r>
        <w:rPr>
          <w:rFonts w:hint="eastAsia" w:ascii="宋体" w:hAnsi="宋体" w:cs="宋体"/>
          <w:b/>
          <w:color w:val="000000"/>
          <w:szCs w:val="21"/>
          <w:highlight w:val="none"/>
        </w:rPr>
      </w:r>
      <w:r/>
    </w:p>
    <w:p>
      <w:pPr>
        <w:pStyle w:val="933"/>
        <w:jc w:val="left"/>
        <w:spacing w:line="360" w:lineRule="auto"/>
        <w:widowControl/>
        <w:rPr>
          <w:rFonts w:hint="eastAsia" w:ascii="宋体" w:hAnsi="宋体" w:cs="宋体"/>
          <w:b/>
          <w:color w:val="000000"/>
          <w:szCs w:val="21"/>
          <w:highlight w:val="none"/>
          <w:lang w:val="zh-CN"/>
        </w:rPr>
        <w:outlineLvl w:val="1"/>
      </w:pPr>
      <w:r>
        <w:rPr>
          <w:rFonts w:hint="eastAsia" w:ascii="宋体" w:hAnsi="宋体" w:cs="宋体"/>
          <w:b/>
          <w:color w:val="000000"/>
          <w:szCs w:val="21"/>
          <w:highlight w:val="none"/>
        </w:rPr>
        <w:t xml:space="preserve">目录三</w:t>
      </w:r>
      <w:r>
        <w:rPr>
          <w:rFonts w:hint="eastAsia" w:ascii="宋体" w:hAnsi="宋体" w:cs="宋体"/>
          <w:b/>
          <w:color w:val="000000"/>
          <w:szCs w:val="21"/>
          <w:highlight w:val="none"/>
          <w:lang w:val="zh-CN"/>
        </w:rPr>
        <w:t xml:space="preserve">、开标一览表</w:t>
      </w:r>
      <w:r>
        <w:rPr>
          <w:rFonts w:hint="eastAsia" w:ascii="宋体" w:hAnsi="宋体" w:cs="宋体"/>
          <w:b/>
          <w:color w:val="000000"/>
          <w:szCs w:val="21"/>
          <w:highlight w:val="none"/>
          <w:lang w:val="zh-CN"/>
        </w:rPr>
      </w:r>
      <w:r/>
    </w:p>
    <w:p>
      <w:pPr>
        <w:pStyle w:val="933"/>
        <w:jc w:val="center"/>
        <w:widowControl/>
        <w:rPr>
          <w:color w:val="000000"/>
          <w:highlight w:val="none"/>
        </w:rPr>
      </w:pPr>
      <w:r>
        <w:rPr>
          <w:rStyle w:val="1023"/>
          <w:color w:val="000000"/>
          <w:highlight w:val="none"/>
        </w:rPr>
        <w:t xml:space="preserve">开标一览表（总价）</w:t>
      </w:r>
      <w:r>
        <w:rPr>
          <w:color w:val="000000"/>
          <w:highlight w:val="none"/>
        </w:rPr>
      </w:r>
      <w:r/>
    </w:p>
    <w:p>
      <w:pPr>
        <w:pStyle w:val="1012"/>
        <w:rPr>
          <w:color w:val="000000"/>
          <w:highlight w:val="none"/>
        </w:rPr>
      </w:pPr>
      <w:r>
        <w:rPr>
          <w:color w:val="000000"/>
          <w:highlight w:val="none"/>
        </w:rPr>
        <w:t xml:space="preserve">投标人全称（CA公章）：供应商名称 </w:t>
      </w:r>
      <w:r>
        <w:rPr>
          <w:color w:val="000000"/>
          <w:highlight w:val="none"/>
        </w:rPr>
      </w:r>
      <w:r/>
    </w:p>
    <w:p>
      <w:pPr>
        <w:pStyle w:val="1012"/>
        <w:rPr>
          <w:color w:val="000000"/>
          <w:highlight w:val="none"/>
        </w:rPr>
      </w:pPr>
      <w:r>
        <w:rPr>
          <w:color w:val="000000"/>
          <w:highlight w:val="none"/>
        </w:rPr>
        <w:t xml:space="preserve">项目名称： </w:t>
      </w:r>
      <w:r>
        <w:rPr>
          <w:rFonts w:hint="eastAsia"/>
          <w:color w:val="000000"/>
          <w:highlight w:val="none"/>
        </w:rPr>
        <w:t xml:space="preserve"> </w:t>
      </w:r>
      <w:r>
        <w:rPr>
          <w:color w:val="000000"/>
          <w:highlight w:val="none"/>
        </w:rPr>
      </w:r>
      <w:r/>
    </w:p>
    <w:p>
      <w:pPr>
        <w:pStyle w:val="1012"/>
        <w:rPr>
          <w:color w:val="000000"/>
          <w:highlight w:val="none"/>
        </w:rPr>
      </w:pPr>
      <w:r>
        <w:rPr>
          <w:color w:val="000000"/>
          <w:highlight w:val="none"/>
        </w:rPr>
        <w:t xml:space="preserve">项目编号：  </w:t>
      </w:r>
      <w:r>
        <w:rPr>
          <w:color w:val="000000"/>
          <w:highlight w:val="none"/>
        </w:rPr>
      </w:r>
      <w:r/>
    </w:p>
    <w:p>
      <w:pPr>
        <w:pStyle w:val="1012"/>
        <w:rPr>
          <w:color w:val="000000"/>
          <w:highlight w:val="none"/>
        </w:rPr>
      </w:pPr>
      <w:r>
        <w:rPr>
          <w:color w:val="000000"/>
          <w:highlight w:val="none"/>
        </w:rPr>
        <w:t xml:space="preserve">分包号： </w:t>
      </w:r>
      <w:r>
        <w:rPr>
          <w:color w:val="000000"/>
          <w:highlight w:val="none"/>
        </w:rPr>
      </w:r>
      <w:r/>
    </w:p>
    <w:tbl>
      <w:tblPr>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8"/>
        <w:gridCol w:w="6404"/>
      </w:tblGrid>
      <w:tr>
        <w:trPr>
          <w:tblCellSpacing w:w="15" w:type="dxa"/>
          <w:trHeight w:val="810"/>
        </w:trPr>
        <w:tc>
          <w:tcPr>
            <w:tcW w:w="898" w:type="dxa"/>
            <w:vAlign w:val="center"/>
            <w:textDirection w:val="lrTb"/>
            <w:noWrap w:val="false"/>
          </w:tcPr>
          <w:p>
            <w:pPr>
              <w:pStyle w:val="1012"/>
              <w:jc w:val="center"/>
              <w:rPr>
                <w:color w:val="000000"/>
                <w:highlight w:val="none"/>
              </w:rPr>
            </w:pPr>
            <w:r>
              <w:rPr>
                <w:color w:val="000000"/>
                <w:highlight w:val="none"/>
              </w:rPr>
              <w:t xml:space="preserve">投标项目名称</w:t>
            </w:r>
            <w:r>
              <w:rPr>
                <w:color w:val="000000"/>
                <w:highlight w:val="none"/>
              </w:rPr>
            </w:r>
            <w:r/>
          </w:p>
        </w:tc>
        <w:tc>
          <w:tcPr>
            <w:tcW w:w="2416" w:type="dxa"/>
            <w:vAlign w:val="center"/>
            <w:textDirection w:val="lrTb"/>
            <w:noWrap w:val="false"/>
          </w:tcPr>
          <w:p>
            <w:pPr>
              <w:pStyle w:val="1012"/>
              <w:jc w:val="center"/>
              <w:rPr>
                <w:color w:val="000000"/>
                <w:highlight w:val="none"/>
              </w:rPr>
            </w:pPr>
            <w:r>
              <w:rPr>
                <w:color w:val="000000"/>
                <w:highlight w:val="none"/>
              </w:rPr>
              <w:t xml:space="preserve">总价（小写）</w:t>
            </w:r>
            <w:r>
              <w:rPr>
                <w:color w:val="000000"/>
                <w:highlight w:val="none"/>
              </w:rPr>
            </w:r>
            <w:r/>
          </w:p>
        </w:tc>
      </w:tr>
      <w:tr>
        <w:trPr>
          <w:tblCellSpacing w:w="15" w:type="dxa"/>
          <w:trHeight w:val="825"/>
        </w:trPr>
        <w:tc>
          <w:tcPr>
            <w:tcW w:w="898" w:type="dxa"/>
            <w:vAlign w:val="center"/>
            <w:textDirection w:val="lrTb"/>
            <w:noWrap w:val="false"/>
          </w:tcPr>
          <w:p>
            <w:pPr>
              <w:pStyle w:val="933"/>
              <w:jc w:val="center"/>
              <w:widowControl/>
              <w:rPr>
                <w:color w:val="000000"/>
                <w:highlight w:val="none"/>
              </w:rPr>
            </w:pPr>
            <w:r>
              <w:rPr>
                <w:rFonts w:ascii="宋体" w:hAnsi="宋体" w:cs="宋体"/>
                <w:color w:val="000000"/>
                <w:sz w:val="24"/>
                <w:highlight w:val="none"/>
                <w:lang w:bidi="ar"/>
              </w:rPr>
              <w:t xml:space="preserve"> 投标产品名称 </w:t>
            </w:r>
            <w:r>
              <w:rPr>
                <w:color w:val="000000"/>
                <w:highlight w:val="none"/>
              </w:rPr>
            </w:r>
            <w:r/>
          </w:p>
        </w:tc>
        <w:tc>
          <w:tcPr>
            <w:tcW w:w="2416" w:type="dxa"/>
            <w:vAlign w:val="center"/>
            <w:textDirection w:val="lrTb"/>
            <w:noWrap w:val="false"/>
          </w:tcPr>
          <w:p>
            <w:pPr>
              <w:pStyle w:val="1012"/>
              <w:rPr>
                <w:color w:val="000000"/>
                <w:highlight w:val="none"/>
              </w:rPr>
            </w:pPr>
            <w:r>
              <w:rPr>
                <w:color w:val="000000"/>
                <w:highlight w:val="none"/>
              </w:rPr>
              <w:t xml:space="preserve"> </w:t>
            </w:r>
            <w:r>
              <w:rPr>
                <w:color w:val="000000"/>
                <w:highlight w:val="none"/>
              </w:rPr>
              <w:fldChar w:fldCharType="begin"/>
            </w:r>
            <w:r>
              <w:rPr>
                <w:color w:val="000000"/>
                <w:highlight w:val="none"/>
              </w:rPr>
              <w:instrText xml:space="preserve"> CONTROL Forms.HTML:Text.1 \s </w:instrText>
            </w:r>
            <w:r>
              <w:rPr>
                <w:color w:val="000000"/>
                <w:highlight w:val="none"/>
              </w:rPr>
              <w:fldChar w:fldCharType="separate"/>
            </w:r>
            <w:r>
              <w:rPr>
                <w:color w:val="000000"/>
                <w:highlight w:val="none"/>
              </w:rP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3" o:title=""/>
                    </v:shape>
                  </w:pict>
                </mc:Fallback>
              </mc:AlternateContent>
            </w:r>
            <w:r>
              <w:rPr>
                <w:color w:val="000000"/>
                <w:highlight w:val="none"/>
              </w:rPr>
              <w:fldChar w:fldCharType="end"/>
            </w:r>
            <w:r>
              <w:rPr>
                <w:color w:val="000000"/>
                <w:highlight w:val="none"/>
              </w:rPr>
              <w:t xml:space="preserve"> 元</w:t>
            </w:r>
            <w:r>
              <w:rPr>
                <w:color w:val="000000"/>
                <w:highlight w:val="none"/>
              </w:rPr>
            </w:r>
            <w:r/>
          </w:p>
        </w:tc>
      </w:tr>
    </w:tbl>
    <w:p>
      <w:pPr>
        <w:pStyle w:val="1012"/>
        <w:rPr>
          <w:color w:val="000000"/>
          <w:highlight w:val="none"/>
        </w:rPr>
      </w:pPr>
      <w:r>
        <w:rPr>
          <w:color w:val="000000"/>
          <w:highlight w:val="none"/>
        </w:rPr>
        <w:t xml:space="preserve">          </w:t>
      </w:r>
      <w:r>
        <w:rPr>
          <w:color w:val="000000"/>
          <w:highlight w:val="none"/>
        </w:rPr>
        <w:fldChar w:fldCharType="begin"/>
      </w:r>
      <w:r>
        <w:rPr>
          <w:color w:val="000000"/>
          <w:highlight w:val="none"/>
        </w:rPr>
        <w:instrText xml:space="preserve"> CONTROL Forms.HTML:Text.1 \s </w:instrText>
      </w:r>
      <w:r>
        <w:rPr>
          <w:color w:val="000000"/>
          <w:highlight w:val="none"/>
        </w:rPr>
        <w:fldChar w:fldCharType="separate"/>
      </w:r>
      <w:r>
        <w:rPr>
          <w:color w:val="000000"/>
          <w:highlight w:val="none"/>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4" o:title=""/>
              </v:shape>
            </w:pict>
          </mc:Fallback>
        </mc:AlternateContent>
      </w:r>
      <w:r>
        <w:rPr>
          <w:color w:val="000000"/>
          <w:highlight w:val="none"/>
        </w:rPr>
        <w:fldChar w:fldCharType="end"/>
      </w:r>
      <w:r>
        <w:rPr>
          <w:color w:val="000000"/>
          <w:highlight w:val="none"/>
        </w:rPr>
        <w:t xml:space="preserve"> 年</w:t>
      </w:r>
      <w:r>
        <w:rPr>
          <w:color w:val="000000"/>
          <w:highlight w:val="none"/>
        </w:rPr>
        <w:fldChar w:fldCharType="begin"/>
      </w:r>
      <w:r>
        <w:rPr>
          <w:color w:val="000000"/>
          <w:highlight w:val="none"/>
        </w:rPr>
        <w:instrText xml:space="preserve"> CONTROL Forms.HTML:Text.1 \s </w:instrText>
      </w:r>
      <w:r>
        <w:rPr>
          <w:color w:val="000000"/>
          <w:highlight w:val="none"/>
        </w:rPr>
        <w:fldChar w:fldCharType="separate"/>
      </w:r>
      <w:r>
        <w:rPr>
          <w:color w:val="000000"/>
          <w:highlight w:val="none"/>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5" o:title=""/>
              </v:shape>
            </w:pict>
          </mc:Fallback>
        </mc:AlternateContent>
      </w:r>
      <w:r>
        <w:rPr>
          <w:color w:val="000000"/>
          <w:highlight w:val="none"/>
        </w:rPr>
        <w:fldChar w:fldCharType="end"/>
      </w:r>
      <w:r>
        <w:rPr>
          <w:color w:val="000000"/>
          <w:highlight w:val="none"/>
        </w:rPr>
        <w:t xml:space="preserve"> 月</w:t>
      </w:r>
      <w:r>
        <w:rPr>
          <w:color w:val="000000"/>
          <w:highlight w:val="none"/>
        </w:rPr>
        <w:fldChar w:fldCharType="begin"/>
      </w:r>
      <w:r>
        <w:rPr>
          <w:color w:val="000000"/>
          <w:highlight w:val="none"/>
        </w:rPr>
        <w:instrText xml:space="preserve"> CONTROL Forms.HTML:Text.1 \s </w:instrText>
      </w:r>
      <w:r>
        <w:rPr>
          <w:color w:val="000000"/>
          <w:highlight w:val="none"/>
        </w:rPr>
        <w:fldChar w:fldCharType="separate"/>
      </w:r>
      <w:r>
        <w:rPr>
          <w:color w:val="000000"/>
          <w:highlight w:val="none"/>
        </w:rPr>
        <mc:AlternateContent>
          <mc:Choice Requires="wpg">
            <w:drawing>
              <wp:inline xmlns:wp="http://schemas.openxmlformats.org/drawingml/2006/wordprocessingDrawing" distT="0" distB="0" distL="0" distR="0">
                <wp:extent cx="723900" cy="228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6" o:title=""/>
              </v:shape>
            </w:pict>
          </mc:Fallback>
        </mc:AlternateContent>
      </w:r>
      <w:r>
        <w:rPr>
          <w:color w:val="000000"/>
          <w:highlight w:val="none"/>
        </w:rPr>
        <w:fldChar w:fldCharType="end"/>
      </w:r>
      <w:r>
        <w:rPr>
          <w:color w:val="000000"/>
          <w:highlight w:val="none"/>
        </w:rPr>
        <w:t xml:space="preserve"> 日</w:t>
      </w:r>
      <w:r>
        <w:rPr>
          <w:color w:val="000000"/>
          <w:highlight w:val="none"/>
        </w:rPr>
      </w:r>
      <w:r/>
    </w:p>
    <w:p>
      <w:pPr>
        <w:pStyle w:val="933"/>
        <w:jc w:val="left"/>
        <w:spacing w:line="360" w:lineRule="auto"/>
        <w:widowControl/>
        <w:rPr>
          <w:rFonts w:hint="eastAsia" w:ascii="宋体" w:hAnsi="宋体" w:cs="宋体"/>
          <w:b/>
          <w:color w:val="000000"/>
          <w:szCs w:val="21"/>
          <w:highlight w:val="none"/>
          <w:lang w:val="zh-CN"/>
        </w:rPr>
        <w:outlineLvl w:val="1"/>
      </w:pPr>
      <w:r>
        <w:rPr>
          <w:rFonts w:hint="eastAsia" w:ascii="宋体" w:hAnsi="宋体" w:cs="宋体"/>
          <w:b/>
          <w:color w:val="000000"/>
          <w:szCs w:val="21"/>
          <w:highlight w:val="none"/>
          <w:lang w:val="zh-CN"/>
        </w:rPr>
        <w:br w:type="page" w:clear="all"/>
      </w:r>
      <w:r>
        <w:rPr>
          <w:rFonts w:hint="eastAsia" w:ascii="宋体" w:hAnsi="宋体" w:cs="宋体"/>
          <w:b/>
          <w:color w:val="000000"/>
          <w:szCs w:val="21"/>
          <w:highlight w:val="none"/>
          <w:lang w:val="zh-CN"/>
        </w:rPr>
        <w:t xml:space="preserve">目录四、南京市政府采购供应商信用记录表暨信用承诺书</w:t>
      </w:r>
      <w:r>
        <w:rPr>
          <w:rFonts w:hint="eastAsia" w:ascii="宋体" w:hAnsi="宋体" w:cs="宋体"/>
          <w:b/>
          <w:color w:val="000000"/>
          <w:szCs w:val="21"/>
          <w:highlight w:val="none"/>
          <w:lang w:val="zh-CN"/>
        </w:rPr>
      </w:r>
      <w:r/>
    </w:p>
    <w:p>
      <w:pPr>
        <w:pStyle w:val="933"/>
        <w:jc w:val="center"/>
        <w:widowControl/>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pStyle w:val="933"/>
        <w:jc w:val="center"/>
        <w:widowControl/>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t xml:space="preserve">南京市政府采购供应商信用记录表暨信用承诺书</w:t>
      </w:r>
      <w:r>
        <w:rPr>
          <w:rFonts w:hint="eastAsia" w:ascii="宋体" w:hAnsi="宋体" w:cs="宋体"/>
          <w:b/>
          <w:bCs/>
          <w:color w:val="000000"/>
          <w:sz w:val="36"/>
          <w:szCs w:val="36"/>
          <w:highlight w:val="none"/>
        </w:rPr>
      </w:r>
      <w:r/>
    </w:p>
    <w:p>
      <w:pPr>
        <w:pStyle w:val="933"/>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933"/>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933"/>
        <w:jc w:val="right"/>
        <w:widowControl/>
        <w:rPr>
          <w:rFonts w:hint="eastAsia" w:ascii="宋体" w:hAnsi="宋体" w:cs="宋体"/>
          <w:color w:val="000000"/>
          <w:sz w:val="24"/>
          <w:highlight w:val="none"/>
        </w:rPr>
      </w:pPr>
      <w:r>
        <w:rPr>
          <w:rFonts w:hint="eastAsia" w:ascii="宋体" w:hAnsi="宋体" w:cs="宋体"/>
          <w:color w:val="000000"/>
          <w:sz w:val="24"/>
          <w:highlight w:val="none"/>
        </w:rPr>
        <w:t xml:space="preserve">20   年  月   日</w:t>
      </w:r>
      <w:r>
        <w:rPr>
          <w:rFonts w:hint="eastAsia" w:ascii="宋体" w:hAnsi="宋体" w:cs="宋体"/>
          <w:color w:val="000000"/>
          <w:sz w:val="24"/>
          <w:highlight w:val="none"/>
        </w:rPr>
      </w:r>
      <w:r/>
    </w:p>
    <w:p>
      <w:pPr>
        <w:pStyle w:val="933"/>
        <w:widowControl/>
        <w:rPr>
          <w:rFonts w:hint="eastAsia" w:ascii="宋体" w:hAnsi="宋体" w:cs="宋体"/>
          <w:color w:val="000000"/>
          <w:sz w:val="24"/>
          <w:highlight w:val="none"/>
        </w:rPr>
      </w:pPr>
      <w:r>
        <w:rPr>
          <w:rFonts w:hint="eastAsia" w:ascii="宋体" w:hAnsi="宋体" w:cs="宋体"/>
          <w:color w:val="000000"/>
          <w:sz w:val="24"/>
          <w:highlight w:val="none"/>
        </w:rPr>
      </w:r>
      <w:r/>
    </w:p>
    <w:tbl>
      <w:tblPr>
        <w:tblW w:w="9862" w:type="dxa"/>
        <w:jc w:val="center"/>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trHeight w:val="510"/>
        </w:trPr>
        <w:tc>
          <w:tcPr>
            <w:tcW w:w="2137" w:type="dxa"/>
            <w:vAlign w:val="center"/>
            <w:textDirection w:val="lrTb"/>
            <w:noWrap w:val="false"/>
          </w:tcPr>
          <w:p>
            <w:pPr>
              <w:pStyle w:val="933"/>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单位名称</w:t>
            </w:r>
            <w:r>
              <w:rPr>
                <w:rFonts w:hint="eastAsia" w:ascii="宋体" w:hAnsi="宋体" w:cs="宋体"/>
                <w:b/>
                <w:bCs/>
                <w:color w:val="000000"/>
                <w:sz w:val="24"/>
                <w:highlight w:val="none"/>
              </w:rPr>
            </w:r>
            <w:r/>
          </w:p>
        </w:tc>
        <w:tc>
          <w:tcPr>
            <w:tcW w:w="2205" w:type="dxa"/>
            <w:vAlign w:val="center"/>
            <w:textDirection w:val="lrTb"/>
            <w:noWrap w:val="false"/>
          </w:tcPr>
          <w:p>
            <w:pPr>
              <w:pStyle w:val="933"/>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2048" w:type="dxa"/>
            <w:vAlign w:val="center"/>
            <w:textDirection w:val="lrTb"/>
            <w:noWrap w:val="false"/>
          </w:tcPr>
          <w:p>
            <w:pPr>
              <w:pStyle w:val="933"/>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统一社会信用代码</w:t>
            </w:r>
            <w:r>
              <w:rPr>
                <w:rFonts w:hint="eastAsia" w:ascii="宋体" w:hAnsi="宋体" w:cs="宋体"/>
                <w:b/>
                <w:bCs/>
                <w:color w:val="000000"/>
                <w:sz w:val="24"/>
                <w:highlight w:val="none"/>
              </w:rPr>
            </w:r>
            <w:r/>
          </w:p>
        </w:tc>
        <w:tc>
          <w:tcPr>
            <w:tcW w:w="3472" w:type="dxa"/>
            <w:vAlign w:val="center"/>
            <w:textDirection w:val="lrTb"/>
            <w:noWrap w:val="false"/>
          </w:tcPr>
          <w:p>
            <w:pPr>
              <w:pStyle w:val="933"/>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510"/>
        </w:trPr>
        <w:tc>
          <w:tcPr>
            <w:tcW w:w="2137" w:type="dxa"/>
            <w:vAlign w:val="center"/>
            <w:textDirection w:val="lrTb"/>
            <w:noWrap w:val="false"/>
          </w:tcPr>
          <w:p>
            <w:pPr>
              <w:pStyle w:val="933"/>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法定代表人</w:t>
            </w:r>
            <w:r>
              <w:rPr>
                <w:rFonts w:hint="eastAsia" w:ascii="宋体" w:hAnsi="宋体" w:cs="宋体"/>
                <w:b/>
                <w:bCs/>
                <w:color w:val="000000"/>
                <w:sz w:val="24"/>
                <w:highlight w:val="none"/>
              </w:rPr>
            </w:r>
            <w:r/>
          </w:p>
        </w:tc>
        <w:tc>
          <w:tcPr>
            <w:tcW w:w="2205" w:type="dxa"/>
            <w:vAlign w:val="center"/>
            <w:textDirection w:val="lrTb"/>
            <w:noWrap w:val="false"/>
          </w:tcPr>
          <w:p>
            <w:pPr>
              <w:pStyle w:val="933"/>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2048" w:type="dxa"/>
            <w:vAlign w:val="center"/>
            <w:textDirection w:val="lrTb"/>
            <w:noWrap w:val="false"/>
          </w:tcPr>
          <w:p>
            <w:pPr>
              <w:pStyle w:val="933"/>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联系人</w:t>
            </w:r>
            <w:r>
              <w:rPr>
                <w:rFonts w:hint="eastAsia" w:ascii="宋体" w:hAnsi="宋体" w:cs="宋体"/>
                <w:b/>
                <w:bCs/>
                <w:color w:val="000000"/>
                <w:sz w:val="24"/>
                <w:highlight w:val="none"/>
              </w:rPr>
            </w:r>
            <w:r/>
          </w:p>
        </w:tc>
        <w:tc>
          <w:tcPr>
            <w:tcW w:w="3472" w:type="dxa"/>
            <w:vAlign w:val="center"/>
            <w:textDirection w:val="lrTb"/>
            <w:noWrap w:val="false"/>
          </w:tcPr>
          <w:p>
            <w:pPr>
              <w:pStyle w:val="933"/>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510"/>
        </w:trPr>
        <w:tc>
          <w:tcPr>
            <w:tcW w:w="2137" w:type="dxa"/>
            <w:vAlign w:val="center"/>
            <w:textDirection w:val="lrTb"/>
            <w:noWrap w:val="false"/>
          </w:tcPr>
          <w:p>
            <w:pPr>
              <w:pStyle w:val="933"/>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联系地址</w:t>
            </w:r>
            <w:r>
              <w:rPr>
                <w:rFonts w:hint="eastAsia" w:ascii="宋体" w:hAnsi="宋体" w:cs="宋体"/>
                <w:b/>
                <w:bCs/>
                <w:color w:val="000000"/>
                <w:sz w:val="24"/>
                <w:highlight w:val="none"/>
              </w:rPr>
            </w:r>
            <w:r/>
          </w:p>
        </w:tc>
        <w:tc>
          <w:tcPr>
            <w:tcW w:w="2205" w:type="dxa"/>
            <w:vAlign w:val="center"/>
            <w:textDirection w:val="lrTb"/>
            <w:noWrap w:val="false"/>
          </w:tcPr>
          <w:p>
            <w:pPr>
              <w:pStyle w:val="933"/>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2048" w:type="dxa"/>
            <w:vAlign w:val="center"/>
            <w:textDirection w:val="lrTb"/>
            <w:noWrap w:val="false"/>
          </w:tcPr>
          <w:p>
            <w:pPr>
              <w:pStyle w:val="933"/>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联系电话</w:t>
            </w:r>
            <w:r>
              <w:rPr>
                <w:rFonts w:hint="eastAsia" w:ascii="宋体" w:hAnsi="宋体" w:cs="宋体"/>
                <w:b/>
                <w:bCs/>
                <w:color w:val="000000"/>
                <w:sz w:val="24"/>
                <w:highlight w:val="none"/>
              </w:rPr>
            </w:r>
            <w:r/>
          </w:p>
        </w:tc>
        <w:tc>
          <w:tcPr>
            <w:tcW w:w="3472" w:type="dxa"/>
            <w:vAlign w:val="center"/>
            <w:textDirection w:val="lrTb"/>
            <w:noWrap w:val="false"/>
          </w:tcPr>
          <w:p>
            <w:pPr>
              <w:pStyle w:val="933"/>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710"/>
        </w:trPr>
        <w:tc>
          <w:tcPr>
            <w:tcW w:w="2137" w:type="dxa"/>
            <w:vAlign w:val="center"/>
            <w:textDirection w:val="lrTb"/>
            <w:noWrap w:val="false"/>
          </w:tcPr>
          <w:p>
            <w:pPr>
              <w:pStyle w:val="933"/>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诚信档案记录情况</w:t>
            </w:r>
            <w:r>
              <w:rPr>
                <w:rFonts w:hint="eastAsia" w:ascii="宋体" w:hAnsi="宋体" w:cs="宋体"/>
                <w:b/>
                <w:bCs/>
                <w:color w:val="000000"/>
                <w:sz w:val="24"/>
                <w:highlight w:val="none"/>
              </w:rPr>
            </w:r>
            <w:r/>
          </w:p>
        </w:tc>
        <w:tc>
          <w:tcPr>
            <w:gridSpan w:val="3"/>
            <w:tcW w:w="7725" w:type="dxa"/>
            <w:vAlign w:val="center"/>
            <w:textDirection w:val="lrTb"/>
            <w:noWrap w:val="false"/>
          </w:tcPr>
          <w:p>
            <w:pPr>
              <w:pStyle w:val="933"/>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4575"/>
        </w:trPr>
        <w:tc>
          <w:tcPr>
            <w:tcW w:w="2137" w:type="dxa"/>
            <w:vAlign w:val="center"/>
            <w:vMerge w:val="restart"/>
            <w:textDirection w:val="lrTb"/>
            <w:noWrap w:val="false"/>
          </w:tcPr>
          <w:p>
            <w:pPr>
              <w:pStyle w:val="933"/>
              <w:jc w:val="center"/>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信用承诺</w:t>
            </w:r>
            <w:r>
              <w:rPr>
                <w:rFonts w:hint="eastAsia" w:ascii="宋体" w:hAnsi="宋体" w:cs="宋体"/>
                <w:color w:val="000000"/>
                <w:sz w:val="24"/>
                <w:highlight w:val="none"/>
              </w:rPr>
            </w:r>
            <w:r/>
          </w:p>
        </w:tc>
        <w:tc>
          <w:tcPr>
            <w:gridSpan w:val="3"/>
            <w:tcW w:w="7725" w:type="dxa"/>
            <w:vAlign w:val="center"/>
            <w:textDirection w:val="lrTb"/>
            <w:noWrap w:val="false"/>
          </w:tcPr>
          <w:p>
            <w:pPr>
              <w:pStyle w:val="933"/>
              <w:ind w:firstLine="480"/>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我公司自愿参加贵中心（公司）组织的本次采购活动，严格遵守《中华人民共和国政府采购法》及相关</w:t>
            </w:r>
            <w:r>
              <w:rPr>
                <w:rFonts w:hint="eastAsia" w:ascii="宋体" w:hAnsi="宋体" w:cs="宋体"/>
                <w:color w:val="000000"/>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ascii="宋体" w:hAnsi="宋体" w:cs="宋体"/>
                <w:color w:val="000000"/>
                <w:sz w:val="24"/>
                <w:highlight w:val="none"/>
              </w:rPr>
            </w:r>
            <w:r/>
          </w:p>
        </w:tc>
      </w:tr>
      <w:tr>
        <w:trPr>
          <w:trHeight w:val="1945"/>
        </w:trPr>
        <w:tc>
          <w:tcPr>
            <w:tcW w:w="2137" w:type="dxa"/>
            <w:vAlign w:val="center"/>
            <w:vMerge w:val="continue"/>
            <w:textDirection w:val="lrTb"/>
            <w:noWrap w:val="false"/>
          </w:tcPr>
          <w:p>
            <w:pPr>
              <w:pStyle w:val="933"/>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3"/>
            <w:tcW w:w="7725" w:type="dxa"/>
            <w:vAlign w:val="center"/>
            <w:textDirection w:val="lrTb"/>
            <w:noWrap w:val="false"/>
          </w:tcPr>
          <w:p>
            <w:pPr>
              <w:pStyle w:val="933"/>
              <w:widowControl/>
              <w:rPr>
                <w:rFonts w:hint="eastAsia" w:ascii="宋体" w:hAnsi="宋体" w:cs="宋体"/>
                <w:color w:val="000000"/>
                <w:sz w:val="24"/>
                <w:highlight w:val="none"/>
              </w:rPr>
            </w:pPr>
            <w:r>
              <w:rPr>
                <w:rFonts w:hint="eastAsia" w:ascii="宋体" w:hAnsi="宋体" w:cs="宋体"/>
                <w:color w:val="000000"/>
                <w:sz w:val="24"/>
                <w:highlight w:val="none"/>
              </w:rPr>
              <w:t xml:space="preserve">供应商名称（盖章）∶</w:t>
            </w:r>
            <w:r>
              <w:rPr>
                <w:rFonts w:hint="eastAsia" w:ascii="宋体" w:hAnsi="宋体" w:cs="宋体"/>
                <w:color w:val="000000"/>
                <w:sz w:val="24"/>
                <w:highlight w:val="none"/>
              </w:rPr>
            </w:r>
            <w:r/>
          </w:p>
          <w:p>
            <w:pPr>
              <w:pStyle w:val="933"/>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法定代表人（签字）∶</w:t>
            </w:r>
            <w:r>
              <w:rPr>
                <w:rFonts w:hint="eastAsia" w:ascii="宋体" w:hAnsi="宋体" w:cs="宋体"/>
                <w:color w:val="000000"/>
                <w:sz w:val="24"/>
                <w:highlight w:val="none"/>
              </w:rPr>
            </w:r>
            <w:r/>
          </w:p>
          <w:p>
            <w:pPr>
              <w:pStyle w:val="933"/>
              <w:widowControl/>
              <w:rPr>
                <w:rFonts w:hint="eastAsia" w:ascii="宋体" w:hAnsi="宋体" w:cs="宋体"/>
                <w:color w:val="000000"/>
                <w:sz w:val="24"/>
                <w:highlight w:val="none"/>
              </w:rPr>
            </w:pPr>
            <w:r>
              <w:rPr>
                <w:rFonts w:hint="eastAsia" w:ascii="宋体" w:hAnsi="宋体" w:cs="宋体"/>
                <w:color w:val="000000"/>
                <w:sz w:val="24"/>
                <w:highlight w:val="none"/>
              </w:rPr>
              <w:t xml:space="preserve">二O  年  月  日</w:t>
            </w:r>
            <w:r>
              <w:rPr>
                <w:rFonts w:hint="eastAsia" w:ascii="宋体" w:hAnsi="宋体" w:cs="宋体"/>
                <w:color w:val="000000"/>
                <w:sz w:val="24"/>
                <w:highlight w:val="none"/>
              </w:rPr>
            </w:r>
            <w:r/>
          </w:p>
        </w:tc>
      </w:tr>
    </w:tbl>
    <w:p>
      <w:pPr>
        <w:pStyle w:val="933"/>
        <w:ind w:firstLine="630"/>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933"/>
        <w:jc w:val="left"/>
        <w:spacing w:line="240" w:lineRule="atLeast"/>
        <w:widowControl/>
        <w:rPr>
          <w:rFonts w:hint="eastAsia" w:ascii="宋体" w:hAnsi="宋体" w:cs="宋体"/>
          <w:b/>
          <w:color w:val="000000"/>
          <w:szCs w:val="21"/>
          <w:highlight w:val="none"/>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b/>
          <w:color w:val="000000"/>
          <w:szCs w:val="21"/>
          <w:highlight w:val="none"/>
          <w:lang w:val="zh-CN"/>
        </w:rPr>
      </w:r>
      <w:r/>
    </w:p>
    <w:p>
      <w:pPr>
        <w:pStyle w:val="933"/>
        <w:jc w:val="left"/>
        <w:spacing w:line="360" w:lineRule="auto"/>
        <w:widowControl/>
        <w:rPr>
          <w:rFonts w:hint="eastAsia" w:ascii="宋体" w:hAnsi="宋体" w:cs="宋体"/>
          <w:b/>
          <w:color w:val="000000"/>
          <w:szCs w:val="21"/>
          <w:highlight w:val="none"/>
          <w:lang w:val="zh-CN"/>
        </w:rPr>
        <w:outlineLvl w:val="1"/>
      </w:pPr>
      <w:r>
        <w:rPr>
          <w:rFonts w:hint="eastAsia" w:ascii="宋体" w:hAnsi="宋体" w:cs="宋体"/>
          <w:b/>
          <w:color w:val="000000"/>
          <w:szCs w:val="21"/>
          <w:highlight w:val="none"/>
          <w:lang w:val="zh-CN"/>
        </w:rPr>
        <w:t xml:space="preserve">目录五、分项报价表</w:t>
      </w:r>
      <w:r>
        <w:rPr>
          <w:rFonts w:hint="eastAsia" w:ascii="宋体" w:hAnsi="宋体" w:cs="宋体"/>
          <w:b/>
          <w:color w:val="000000"/>
          <w:szCs w:val="21"/>
          <w:highlight w:val="none"/>
          <w:lang w:val="zh-CN"/>
        </w:rPr>
      </w:r>
      <w:r/>
    </w:p>
    <w:p>
      <w:pPr>
        <w:pStyle w:val="933"/>
        <w:jc w:val="center"/>
        <w:spacing w:line="360" w:lineRule="auto"/>
        <w:widowControl/>
        <w:rPr>
          <w:rFonts w:hint="eastAsia" w:ascii="宋体" w:hAnsi="宋体" w:cs="宋体"/>
          <w:b/>
          <w:color w:val="000000"/>
          <w:sz w:val="32"/>
          <w:szCs w:val="32"/>
          <w:highlight w:val="none"/>
          <w:lang w:val="zh-CN"/>
        </w:rPr>
      </w:pPr>
      <w:r>
        <w:rPr>
          <w:rFonts w:hint="eastAsia" w:ascii="宋体" w:hAnsi="宋体" w:cs="宋体"/>
          <w:b/>
          <w:color w:val="000000"/>
          <w:sz w:val="32"/>
          <w:szCs w:val="32"/>
          <w:highlight w:val="none"/>
          <w:lang w:val="zh-CN"/>
        </w:rPr>
        <w:t xml:space="preserve">分项报价表</w:t>
      </w:r>
      <w:r>
        <w:rPr>
          <w:rFonts w:hint="eastAsia" w:ascii="宋体" w:hAnsi="宋体" w:cs="宋体"/>
          <w:b/>
          <w:color w:val="000000"/>
          <w:sz w:val="32"/>
          <w:szCs w:val="32"/>
          <w:highlight w:val="none"/>
          <w:lang w:val="zh-CN"/>
        </w:rPr>
      </w:r>
      <w:r/>
    </w:p>
    <w:p>
      <w:pPr>
        <w:pStyle w:val="933"/>
        <w:jc w:val="center"/>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根据采购清单逐条拟制，须说明投标产品的品牌、规格型号、数量、单价、总价等</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1003"/>
        <w:gridCol w:w="1031"/>
        <w:gridCol w:w="1082"/>
        <w:gridCol w:w="857"/>
        <w:gridCol w:w="772"/>
        <w:gridCol w:w="1137"/>
        <w:gridCol w:w="1111"/>
        <w:gridCol w:w="2078"/>
      </w:tblGrid>
      <w:tr>
        <w:trPr>
          <w:trHeight w:val="397"/>
        </w:trPr>
        <w:tc>
          <w:tcPr>
            <w:gridSpan w:val="6"/>
            <w:tcW w:w="5527" w:type="dxa"/>
            <w:vAlign w:val="center"/>
            <w:textDirection w:val="lrTb"/>
            <w:noWrap w:val="false"/>
          </w:tcPr>
          <w:p>
            <w:pPr>
              <w:pStyle w:val="933"/>
              <w:rPr>
                <w:color w:val="000000"/>
                <w:highlight w:val="none"/>
                <w:lang w:val="zh-CN"/>
              </w:rPr>
            </w:pPr>
            <w:r>
              <w:rPr>
                <w:color w:val="000000"/>
                <w:highlight w:val="none"/>
              </w:rPr>
              <w:t xml:space="preserve">项目名称：</w:t>
            </w:r>
            <w:r>
              <w:rPr>
                <w:color w:val="000000"/>
                <w:highlight w:val="none"/>
                <w:lang w:val="zh-CN"/>
              </w:rPr>
            </w:r>
            <w:r/>
          </w:p>
        </w:tc>
        <w:tc>
          <w:tcPr>
            <w:gridSpan w:val="3"/>
            <w:tcW w:w="4326" w:type="dxa"/>
            <w:vAlign w:val="center"/>
            <w:textDirection w:val="lrTb"/>
            <w:noWrap w:val="false"/>
          </w:tcPr>
          <w:p>
            <w:pPr>
              <w:pStyle w:val="933"/>
              <w:rPr>
                <w:color w:val="000000"/>
                <w:highlight w:val="none"/>
                <w:lang w:val="zh-CN"/>
              </w:rPr>
            </w:pPr>
            <w:r>
              <w:rPr>
                <w:color w:val="000000"/>
                <w:highlight w:val="none"/>
              </w:rPr>
              <w:t xml:space="preserve">项目编号：</w:t>
            </w:r>
            <w:r>
              <w:rPr>
                <w:color w:val="000000"/>
                <w:highlight w:val="none"/>
                <w:lang w:val="zh-CN"/>
              </w:rPr>
            </w:r>
            <w:r/>
          </w:p>
        </w:tc>
      </w:tr>
      <w:tr>
        <w:trPr>
          <w:trHeight w:val="397"/>
        </w:trPr>
        <w:tc>
          <w:tcPr>
            <w:tcW w:w="397" w:type="dxa"/>
            <w:vAlign w:val="center"/>
            <w:textDirection w:val="lrTb"/>
            <w:noWrap w:val="false"/>
          </w:tcPr>
          <w:p>
            <w:pPr>
              <w:pStyle w:val="933"/>
              <w:jc w:val="center"/>
              <w:rPr>
                <w:color w:val="000000"/>
                <w:highlight w:val="none"/>
                <w:lang w:val="zh-CN"/>
              </w:rPr>
            </w:pPr>
            <w:r>
              <w:rPr>
                <w:color w:val="000000"/>
                <w:highlight w:val="none"/>
              </w:rPr>
              <w:t xml:space="preserve">序号</w:t>
            </w:r>
            <w:r>
              <w:rPr>
                <w:color w:val="000000"/>
                <w:highlight w:val="none"/>
                <w:lang w:val="zh-CN"/>
              </w:rPr>
            </w:r>
            <w:r/>
          </w:p>
        </w:tc>
        <w:tc>
          <w:tcPr>
            <w:tcW w:w="509" w:type="dxa"/>
            <w:vAlign w:val="center"/>
            <w:textDirection w:val="lrTb"/>
            <w:noWrap w:val="false"/>
          </w:tcPr>
          <w:p>
            <w:pPr>
              <w:pStyle w:val="933"/>
              <w:jc w:val="center"/>
              <w:rPr>
                <w:color w:val="000000"/>
                <w:highlight w:val="none"/>
                <w:lang w:val="zh-CN"/>
              </w:rPr>
            </w:pPr>
            <w:r>
              <w:rPr>
                <w:color w:val="000000"/>
                <w:highlight w:val="none"/>
              </w:rPr>
              <w:t xml:space="preserve">名称</w:t>
            </w:r>
            <w:r>
              <w:rPr>
                <w:color w:val="000000"/>
                <w:highlight w:val="none"/>
                <w:lang w:val="zh-CN"/>
              </w:rPr>
            </w:r>
            <w:r/>
          </w:p>
        </w:tc>
        <w:tc>
          <w:tcPr>
            <w:tcW w:w="523" w:type="dxa"/>
            <w:vAlign w:val="center"/>
            <w:textDirection w:val="lrTb"/>
            <w:noWrap w:val="false"/>
          </w:tcPr>
          <w:p>
            <w:pPr>
              <w:pStyle w:val="933"/>
              <w:jc w:val="center"/>
              <w:rPr>
                <w:color w:val="000000"/>
                <w:highlight w:val="none"/>
                <w:lang w:val="zh-CN"/>
              </w:rPr>
            </w:pPr>
            <w:r>
              <w:rPr>
                <w:color w:val="000000"/>
                <w:highlight w:val="none"/>
              </w:rPr>
              <w:t xml:space="preserve">品牌</w:t>
            </w:r>
            <w:r>
              <w:rPr>
                <w:color w:val="000000"/>
                <w:highlight w:val="none"/>
                <w:lang w:val="zh-CN"/>
              </w:rPr>
            </w:r>
            <w:r/>
          </w:p>
        </w:tc>
        <w:tc>
          <w:tcPr>
            <w:tcW w:w="549" w:type="dxa"/>
            <w:vAlign w:val="center"/>
            <w:textDirection w:val="lrTb"/>
            <w:noWrap w:val="false"/>
          </w:tcPr>
          <w:p>
            <w:pPr>
              <w:pStyle w:val="933"/>
              <w:jc w:val="center"/>
              <w:rPr>
                <w:color w:val="000000"/>
                <w:highlight w:val="none"/>
              </w:rPr>
            </w:pPr>
            <w:r>
              <w:rPr>
                <w:color w:val="000000"/>
                <w:highlight w:val="none"/>
              </w:rPr>
              <w:t xml:space="preserve">规格</w:t>
            </w:r>
            <w:r>
              <w:rPr>
                <w:color w:val="000000"/>
                <w:highlight w:val="none"/>
              </w:rPr>
            </w:r>
            <w:r/>
          </w:p>
          <w:p>
            <w:pPr>
              <w:pStyle w:val="933"/>
              <w:jc w:val="center"/>
              <w:rPr>
                <w:color w:val="000000"/>
                <w:highlight w:val="none"/>
              </w:rPr>
            </w:pPr>
            <w:r>
              <w:rPr>
                <w:color w:val="000000"/>
                <w:highlight w:val="none"/>
              </w:rPr>
              <w:t xml:space="preserve">型号</w:t>
            </w:r>
            <w:r>
              <w:rPr>
                <w:color w:val="000000"/>
                <w:highlight w:val="none"/>
              </w:rPr>
            </w:r>
            <w:r/>
          </w:p>
        </w:tc>
        <w:tc>
          <w:tcPr>
            <w:tcW w:w="435" w:type="dxa"/>
            <w:vAlign w:val="center"/>
            <w:textDirection w:val="lrTb"/>
            <w:noWrap w:val="false"/>
          </w:tcPr>
          <w:p>
            <w:pPr>
              <w:pStyle w:val="933"/>
              <w:jc w:val="center"/>
              <w:rPr>
                <w:color w:val="000000"/>
                <w:highlight w:val="none"/>
                <w:lang w:val="zh-CN"/>
              </w:rPr>
            </w:pPr>
            <w:r>
              <w:rPr>
                <w:color w:val="000000"/>
                <w:highlight w:val="none"/>
              </w:rPr>
              <w:t xml:space="preserve">产地</w:t>
            </w:r>
            <w:r>
              <w:rPr>
                <w:color w:val="000000"/>
                <w:highlight w:val="none"/>
                <w:lang w:val="zh-CN"/>
              </w:rPr>
            </w:r>
            <w:r/>
          </w:p>
        </w:tc>
        <w:tc>
          <w:tcPr>
            <w:tcW w:w="389" w:type="dxa"/>
            <w:vAlign w:val="center"/>
            <w:textDirection w:val="lrTb"/>
            <w:noWrap w:val="false"/>
          </w:tcPr>
          <w:p>
            <w:pPr>
              <w:pStyle w:val="933"/>
              <w:jc w:val="center"/>
              <w:rPr>
                <w:color w:val="000000"/>
                <w:highlight w:val="none"/>
              </w:rPr>
            </w:pPr>
            <w:r>
              <w:rPr>
                <w:color w:val="000000"/>
                <w:highlight w:val="none"/>
              </w:rPr>
              <w:t xml:space="preserve">数量</w:t>
            </w:r>
            <w:r>
              <w:rPr>
                <w:color w:val="000000"/>
                <w:highlight w:val="none"/>
              </w:rPr>
            </w:r>
            <w:r/>
          </w:p>
        </w:tc>
        <w:tc>
          <w:tcPr>
            <w:tcW w:w="577" w:type="dxa"/>
            <w:vAlign w:val="center"/>
            <w:textDirection w:val="lrTb"/>
            <w:noWrap w:val="false"/>
          </w:tcPr>
          <w:p>
            <w:pPr>
              <w:pStyle w:val="933"/>
              <w:jc w:val="center"/>
              <w:rPr>
                <w:color w:val="000000"/>
                <w:highlight w:val="none"/>
                <w:lang w:val="zh-CN"/>
              </w:rPr>
            </w:pPr>
            <w:r>
              <w:rPr>
                <w:color w:val="000000"/>
                <w:highlight w:val="none"/>
              </w:rPr>
              <w:t xml:space="preserve">单价</w:t>
            </w:r>
            <w:r>
              <w:rPr>
                <w:color w:val="000000"/>
                <w:highlight w:val="none"/>
                <w:lang w:val="zh-CN"/>
              </w:rPr>
            </w:r>
            <w:r/>
          </w:p>
        </w:tc>
        <w:tc>
          <w:tcPr>
            <w:tcW w:w="564" w:type="dxa"/>
            <w:vAlign w:val="center"/>
            <w:textDirection w:val="lrTb"/>
            <w:noWrap w:val="false"/>
          </w:tcPr>
          <w:p>
            <w:pPr>
              <w:pStyle w:val="933"/>
              <w:jc w:val="center"/>
              <w:rPr>
                <w:color w:val="000000"/>
                <w:highlight w:val="none"/>
              </w:rPr>
            </w:pPr>
            <w:r>
              <w:rPr>
                <w:color w:val="000000"/>
                <w:highlight w:val="none"/>
              </w:rPr>
              <w:t xml:space="preserve">合计</w:t>
            </w:r>
            <w:r>
              <w:rPr>
                <w:color w:val="000000"/>
                <w:highlight w:val="none"/>
              </w:rPr>
            </w:r>
            <w:r/>
          </w:p>
        </w:tc>
        <w:tc>
          <w:tcPr>
            <w:tcW w:w="1053" w:type="dxa"/>
            <w:vAlign w:val="center"/>
            <w:textDirection w:val="lrTb"/>
            <w:noWrap w:val="false"/>
          </w:tcPr>
          <w:p>
            <w:pPr>
              <w:pStyle w:val="933"/>
              <w:jc w:val="center"/>
              <w:rPr>
                <w:color w:val="000000"/>
                <w:highlight w:val="none"/>
                <w:lang w:val="zh-CN"/>
              </w:rPr>
            </w:pPr>
            <w:r>
              <w:rPr>
                <w:color w:val="000000"/>
                <w:highlight w:val="none"/>
              </w:rPr>
              <w:t xml:space="preserve">是否属于小、微型企业的产品</w:t>
            </w:r>
            <w:r>
              <w:rPr>
                <w:color w:val="000000"/>
                <w:highlight w:val="none"/>
                <w:lang w:val="zh-CN"/>
              </w:rPr>
            </w:r>
            <w:r/>
          </w:p>
        </w:tc>
      </w:tr>
      <w:tr>
        <w:trPr>
          <w:trHeight w:val="397"/>
        </w:trPr>
        <w:tc>
          <w:tcPr>
            <w:tcW w:w="397" w:type="dxa"/>
            <w:vAlign w:val="center"/>
            <w:textDirection w:val="lrTb"/>
            <w:noWrap w:val="false"/>
          </w:tcPr>
          <w:p>
            <w:pPr>
              <w:pStyle w:val="933"/>
              <w:rPr>
                <w:color w:val="000000"/>
                <w:highlight w:val="none"/>
                <w:lang w:val="zh-CN"/>
              </w:rPr>
            </w:pPr>
            <w:r>
              <w:rPr>
                <w:color w:val="000000"/>
                <w:highlight w:val="none"/>
                <w:lang w:val="zh-CN"/>
              </w:rPr>
            </w:r>
            <w:r/>
          </w:p>
        </w:tc>
        <w:tc>
          <w:tcPr>
            <w:tcW w:w="509" w:type="dxa"/>
            <w:vAlign w:val="center"/>
            <w:textDirection w:val="lrTb"/>
            <w:noWrap w:val="false"/>
          </w:tcPr>
          <w:p>
            <w:pPr>
              <w:pStyle w:val="933"/>
              <w:rPr>
                <w:color w:val="000000"/>
                <w:highlight w:val="none"/>
                <w:lang w:val="zh-CN"/>
              </w:rPr>
            </w:pPr>
            <w:r>
              <w:rPr>
                <w:color w:val="000000"/>
                <w:highlight w:val="none"/>
                <w:lang w:val="zh-CN"/>
              </w:rPr>
            </w:r>
            <w:r/>
          </w:p>
        </w:tc>
        <w:tc>
          <w:tcPr>
            <w:tcW w:w="523" w:type="dxa"/>
            <w:vAlign w:val="center"/>
            <w:textDirection w:val="lrTb"/>
            <w:noWrap w:val="false"/>
          </w:tcPr>
          <w:p>
            <w:pPr>
              <w:pStyle w:val="933"/>
              <w:rPr>
                <w:color w:val="000000"/>
                <w:highlight w:val="none"/>
                <w:lang w:val="zh-CN"/>
              </w:rPr>
            </w:pPr>
            <w:r>
              <w:rPr>
                <w:color w:val="000000"/>
                <w:highlight w:val="none"/>
                <w:lang w:val="zh-CN"/>
              </w:rPr>
            </w:r>
            <w:r/>
          </w:p>
        </w:tc>
        <w:tc>
          <w:tcPr>
            <w:tcW w:w="549" w:type="dxa"/>
            <w:vAlign w:val="center"/>
            <w:textDirection w:val="lrTb"/>
            <w:noWrap w:val="false"/>
          </w:tcPr>
          <w:p>
            <w:pPr>
              <w:pStyle w:val="933"/>
              <w:rPr>
                <w:color w:val="000000"/>
                <w:highlight w:val="none"/>
              </w:rPr>
            </w:pPr>
            <w:r>
              <w:rPr>
                <w:color w:val="000000"/>
                <w:highlight w:val="none"/>
              </w:rPr>
            </w:r>
            <w:r/>
          </w:p>
        </w:tc>
        <w:tc>
          <w:tcPr>
            <w:tcW w:w="435" w:type="dxa"/>
            <w:vAlign w:val="center"/>
            <w:textDirection w:val="lrTb"/>
            <w:noWrap w:val="false"/>
          </w:tcPr>
          <w:p>
            <w:pPr>
              <w:pStyle w:val="933"/>
              <w:rPr>
                <w:color w:val="000000"/>
                <w:highlight w:val="none"/>
                <w:lang w:val="zh-CN"/>
              </w:rPr>
            </w:pPr>
            <w:r>
              <w:rPr>
                <w:color w:val="000000"/>
                <w:highlight w:val="none"/>
                <w:lang w:val="zh-CN"/>
              </w:rPr>
            </w:r>
            <w:r/>
          </w:p>
        </w:tc>
        <w:tc>
          <w:tcPr>
            <w:tcW w:w="389" w:type="dxa"/>
            <w:vAlign w:val="center"/>
            <w:textDirection w:val="lrTb"/>
            <w:noWrap w:val="false"/>
          </w:tcPr>
          <w:p>
            <w:pPr>
              <w:pStyle w:val="933"/>
              <w:rPr>
                <w:color w:val="000000"/>
                <w:highlight w:val="none"/>
              </w:rPr>
            </w:pPr>
            <w:r>
              <w:rPr>
                <w:color w:val="000000"/>
                <w:highlight w:val="none"/>
              </w:rPr>
            </w:r>
            <w:r/>
          </w:p>
        </w:tc>
        <w:tc>
          <w:tcPr>
            <w:tcW w:w="577" w:type="dxa"/>
            <w:vAlign w:val="center"/>
            <w:textDirection w:val="lrTb"/>
            <w:noWrap w:val="false"/>
          </w:tcPr>
          <w:p>
            <w:pPr>
              <w:pStyle w:val="933"/>
              <w:rPr>
                <w:color w:val="000000"/>
                <w:highlight w:val="none"/>
                <w:lang w:val="zh-CN"/>
              </w:rPr>
            </w:pPr>
            <w:r>
              <w:rPr>
                <w:color w:val="000000"/>
                <w:highlight w:val="none"/>
                <w:lang w:val="zh-CN"/>
              </w:rPr>
            </w:r>
            <w:r/>
          </w:p>
        </w:tc>
        <w:tc>
          <w:tcPr>
            <w:tcW w:w="564" w:type="dxa"/>
            <w:vAlign w:val="center"/>
            <w:textDirection w:val="lrTb"/>
            <w:noWrap w:val="false"/>
          </w:tcPr>
          <w:p>
            <w:pPr>
              <w:pStyle w:val="933"/>
              <w:rPr>
                <w:color w:val="000000"/>
                <w:highlight w:val="none"/>
              </w:rPr>
            </w:pPr>
            <w:r>
              <w:rPr>
                <w:color w:val="000000"/>
                <w:highlight w:val="none"/>
              </w:rPr>
            </w:r>
            <w:r/>
          </w:p>
        </w:tc>
        <w:tc>
          <w:tcPr>
            <w:tcW w:w="1053" w:type="dxa"/>
            <w:vAlign w:val="center"/>
            <w:textDirection w:val="lrTb"/>
            <w:noWrap w:val="false"/>
          </w:tcPr>
          <w:p>
            <w:pPr>
              <w:pStyle w:val="933"/>
              <w:rPr>
                <w:color w:val="000000"/>
                <w:highlight w:val="none"/>
                <w:lang w:val="zh-CN"/>
              </w:rPr>
            </w:pPr>
            <w:r>
              <w:rPr>
                <w:color w:val="000000"/>
                <w:highlight w:val="none"/>
                <w:lang w:val="zh-CN"/>
              </w:rPr>
            </w:r>
            <w:r/>
          </w:p>
        </w:tc>
      </w:tr>
      <w:tr>
        <w:trPr>
          <w:trHeight w:val="397"/>
        </w:trPr>
        <w:tc>
          <w:tcPr>
            <w:tcW w:w="397" w:type="dxa"/>
            <w:vAlign w:val="center"/>
            <w:textDirection w:val="lrTb"/>
            <w:noWrap w:val="false"/>
          </w:tcPr>
          <w:p>
            <w:pPr>
              <w:pStyle w:val="933"/>
              <w:rPr>
                <w:color w:val="000000"/>
                <w:highlight w:val="none"/>
                <w:lang w:val="zh-CN"/>
              </w:rPr>
            </w:pPr>
            <w:r>
              <w:rPr>
                <w:color w:val="000000"/>
                <w:highlight w:val="none"/>
                <w:lang w:val="zh-CN"/>
              </w:rPr>
            </w:r>
            <w:r/>
          </w:p>
        </w:tc>
        <w:tc>
          <w:tcPr>
            <w:tcW w:w="509" w:type="dxa"/>
            <w:vAlign w:val="center"/>
            <w:textDirection w:val="lrTb"/>
            <w:noWrap w:val="false"/>
          </w:tcPr>
          <w:p>
            <w:pPr>
              <w:pStyle w:val="933"/>
              <w:rPr>
                <w:color w:val="000000"/>
                <w:highlight w:val="none"/>
                <w:lang w:val="zh-CN"/>
              </w:rPr>
            </w:pPr>
            <w:r>
              <w:rPr>
                <w:color w:val="000000"/>
                <w:highlight w:val="none"/>
                <w:lang w:val="zh-CN"/>
              </w:rPr>
            </w:r>
            <w:r/>
          </w:p>
        </w:tc>
        <w:tc>
          <w:tcPr>
            <w:tcW w:w="523" w:type="dxa"/>
            <w:vAlign w:val="center"/>
            <w:textDirection w:val="lrTb"/>
            <w:noWrap w:val="false"/>
          </w:tcPr>
          <w:p>
            <w:pPr>
              <w:pStyle w:val="933"/>
              <w:rPr>
                <w:color w:val="000000"/>
                <w:highlight w:val="none"/>
                <w:lang w:val="zh-CN"/>
              </w:rPr>
            </w:pPr>
            <w:r>
              <w:rPr>
                <w:color w:val="000000"/>
                <w:highlight w:val="none"/>
                <w:lang w:val="zh-CN"/>
              </w:rPr>
            </w:r>
            <w:r/>
          </w:p>
        </w:tc>
        <w:tc>
          <w:tcPr>
            <w:tcW w:w="549" w:type="dxa"/>
            <w:vAlign w:val="center"/>
            <w:textDirection w:val="lrTb"/>
            <w:noWrap w:val="false"/>
          </w:tcPr>
          <w:p>
            <w:pPr>
              <w:pStyle w:val="933"/>
              <w:rPr>
                <w:color w:val="000000"/>
                <w:highlight w:val="none"/>
              </w:rPr>
            </w:pPr>
            <w:r>
              <w:rPr>
                <w:color w:val="000000"/>
                <w:highlight w:val="none"/>
              </w:rPr>
            </w:r>
            <w:r/>
          </w:p>
        </w:tc>
        <w:tc>
          <w:tcPr>
            <w:tcW w:w="435" w:type="dxa"/>
            <w:vAlign w:val="center"/>
            <w:textDirection w:val="lrTb"/>
            <w:noWrap w:val="false"/>
          </w:tcPr>
          <w:p>
            <w:pPr>
              <w:pStyle w:val="933"/>
              <w:rPr>
                <w:color w:val="000000"/>
                <w:highlight w:val="none"/>
                <w:lang w:val="zh-CN"/>
              </w:rPr>
            </w:pPr>
            <w:r>
              <w:rPr>
                <w:color w:val="000000"/>
                <w:highlight w:val="none"/>
                <w:lang w:val="zh-CN"/>
              </w:rPr>
            </w:r>
            <w:r/>
          </w:p>
        </w:tc>
        <w:tc>
          <w:tcPr>
            <w:tcW w:w="389" w:type="dxa"/>
            <w:vAlign w:val="center"/>
            <w:textDirection w:val="lrTb"/>
            <w:noWrap w:val="false"/>
          </w:tcPr>
          <w:p>
            <w:pPr>
              <w:pStyle w:val="933"/>
              <w:rPr>
                <w:color w:val="000000"/>
                <w:highlight w:val="none"/>
              </w:rPr>
            </w:pPr>
            <w:r>
              <w:rPr>
                <w:color w:val="000000"/>
                <w:highlight w:val="none"/>
              </w:rPr>
            </w:r>
            <w:r/>
          </w:p>
        </w:tc>
        <w:tc>
          <w:tcPr>
            <w:tcW w:w="577" w:type="dxa"/>
            <w:vAlign w:val="center"/>
            <w:textDirection w:val="lrTb"/>
            <w:noWrap w:val="false"/>
          </w:tcPr>
          <w:p>
            <w:pPr>
              <w:pStyle w:val="933"/>
              <w:rPr>
                <w:color w:val="000000"/>
                <w:highlight w:val="none"/>
                <w:lang w:val="zh-CN"/>
              </w:rPr>
            </w:pPr>
            <w:r>
              <w:rPr>
                <w:color w:val="000000"/>
                <w:highlight w:val="none"/>
                <w:lang w:val="zh-CN"/>
              </w:rPr>
            </w:r>
            <w:r/>
          </w:p>
        </w:tc>
        <w:tc>
          <w:tcPr>
            <w:tcW w:w="564" w:type="dxa"/>
            <w:vAlign w:val="center"/>
            <w:textDirection w:val="lrTb"/>
            <w:noWrap w:val="false"/>
          </w:tcPr>
          <w:p>
            <w:pPr>
              <w:pStyle w:val="933"/>
              <w:rPr>
                <w:color w:val="000000"/>
                <w:highlight w:val="none"/>
              </w:rPr>
            </w:pPr>
            <w:r>
              <w:rPr>
                <w:color w:val="000000"/>
                <w:highlight w:val="none"/>
              </w:rPr>
            </w:r>
            <w:r/>
          </w:p>
        </w:tc>
        <w:tc>
          <w:tcPr>
            <w:tcW w:w="1053" w:type="dxa"/>
            <w:vAlign w:val="center"/>
            <w:textDirection w:val="lrTb"/>
            <w:noWrap w:val="false"/>
          </w:tcPr>
          <w:p>
            <w:pPr>
              <w:pStyle w:val="933"/>
              <w:rPr>
                <w:color w:val="000000"/>
                <w:highlight w:val="none"/>
                <w:lang w:val="zh-CN"/>
              </w:rPr>
            </w:pPr>
            <w:r>
              <w:rPr>
                <w:color w:val="000000"/>
                <w:highlight w:val="none"/>
                <w:lang w:val="zh-CN"/>
              </w:rPr>
            </w:r>
            <w:r/>
          </w:p>
        </w:tc>
      </w:tr>
      <w:tr>
        <w:trPr>
          <w:trHeight w:val="397"/>
        </w:trPr>
        <w:tc>
          <w:tcPr>
            <w:tcW w:w="397" w:type="dxa"/>
            <w:vAlign w:val="center"/>
            <w:textDirection w:val="lrTb"/>
            <w:noWrap w:val="false"/>
          </w:tcPr>
          <w:p>
            <w:pPr>
              <w:pStyle w:val="933"/>
              <w:rPr>
                <w:color w:val="000000"/>
                <w:highlight w:val="none"/>
                <w:lang w:val="zh-CN"/>
              </w:rPr>
            </w:pPr>
            <w:r>
              <w:rPr>
                <w:color w:val="000000"/>
                <w:highlight w:val="none"/>
                <w:lang w:val="zh-CN"/>
              </w:rPr>
            </w:r>
            <w:r/>
          </w:p>
        </w:tc>
        <w:tc>
          <w:tcPr>
            <w:tcW w:w="509" w:type="dxa"/>
            <w:vAlign w:val="center"/>
            <w:textDirection w:val="lrTb"/>
            <w:noWrap w:val="false"/>
          </w:tcPr>
          <w:p>
            <w:pPr>
              <w:pStyle w:val="933"/>
              <w:rPr>
                <w:color w:val="000000"/>
                <w:highlight w:val="none"/>
                <w:lang w:val="zh-CN"/>
              </w:rPr>
            </w:pPr>
            <w:r>
              <w:rPr>
                <w:color w:val="000000"/>
                <w:highlight w:val="none"/>
                <w:lang w:val="zh-CN"/>
              </w:rPr>
            </w:r>
            <w:r/>
          </w:p>
        </w:tc>
        <w:tc>
          <w:tcPr>
            <w:tcW w:w="523" w:type="dxa"/>
            <w:vAlign w:val="center"/>
            <w:textDirection w:val="lrTb"/>
            <w:noWrap w:val="false"/>
          </w:tcPr>
          <w:p>
            <w:pPr>
              <w:pStyle w:val="933"/>
              <w:rPr>
                <w:color w:val="000000"/>
                <w:highlight w:val="none"/>
                <w:lang w:val="zh-CN"/>
              </w:rPr>
            </w:pPr>
            <w:r>
              <w:rPr>
                <w:color w:val="000000"/>
                <w:highlight w:val="none"/>
                <w:lang w:val="zh-CN"/>
              </w:rPr>
            </w:r>
            <w:r/>
          </w:p>
        </w:tc>
        <w:tc>
          <w:tcPr>
            <w:tcW w:w="549" w:type="dxa"/>
            <w:vAlign w:val="center"/>
            <w:textDirection w:val="lrTb"/>
            <w:noWrap w:val="false"/>
          </w:tcPr>
          <w:p>
            <w:pPr>
              <w:pStyle w:val="933"/>
              <w:rPr>
                <w:color w:val="000000"/>
                <w:highlight w:val="none"/>
              </w:rPr>
            </w:pPr>
            <w:r>
              <w:rPr>
                <w:color w:val="000000"/>
                <w:highlight w:val="none"/>
              </w:rPr>
            </w:r>
            <w:r/>
          </w:p>
        </w:tc>
        <w:tc>
          <w:tcPr>
            <w:tcW w:w="435" w:type="dxa"/>
            <w:vAlign w:val="center"/>
            <w:textDirection w:val="lrTb"/>
            <w:noWrap w:val="false"/>
          </w:tcPr>
          <w:p>
            <w:pPr>
              <w:pStyle w:val="933"/>
              <w:rPr>
                <w:color w:val="000000"/>
                <w:highlight w:val="none"/>
                <w:lang w:val="zh-CN"/>
              </w:rPr>
            </w:pPr>
            <w:r>
              <w:rPr>
                <w:color w:val="000000"/>
                <w:highlight w:val="none"/>
                <w:lang w:val="zh-CN"/>
              </w:rPr>
            </w:r>
            <w:r/>
          </w:p>
        </w:tc>
        <w:tc>
          <w:tcPr>
            <w:tcW w:w="389" w:type="dxa"/>
            <w:vAlign w:val="center"/>
            <w:textDirection w:val="lrTb"/>
            <w:noWrap w:val="false"/>
          </w:tcPr>
          <w:p>
            <w:pPr>
              <w:pStyle w:val="933"/>
              <w:rPr>
                <w:color w:val="000000"/>
                <w:highlight w:val="none"/>
              </w:rPr>
            </w:pPr>
            <w:r>
              <w:rPr>
                <w:color w:val="000000"/>
                <w:highlight w:val="none"/>
              </w:rPr>
            </w:r>
            <w:r/>
          </w:p>
        </w:tc>
        <w:tc>
          <w:tcPr>
            <w:tcW w:w="577" w:type="dxa"/>
            <w:vAlign w:val="center"/>
            <w:textDirection w:val="lrTb"/>
            <w:noWrap w:val="false"/>
          </w:tcPr>
          <w:p>
            <w:pPr>
              <w:pStyle w:val="933"/>
              <w:rPr>
                <w:color w:val="000000"/>
                <w:highlight w:val="none"/>
                <w:lang w:val="zh-CN"/>
              </w:rPr>
            </w:pPr>
            <w:r>
              <w:rPr>
                <w:color w:val="000000"/>
                <w:highlight w:val="none"/>
                <w:lang w:val="zh-CN"/>
              </w:rPr>
            </w:r>
            <w:r/>
          </w:p>
        </w:tc>
        <w:tc>
          <w:tcPr>
            <w:tcW w:w="564" w:type="dxa"/>
            <w:vAlign w:val="center"/>
            <w:textDirection w:val="lrTb"/>
            <w:noWrap w:val="false"/>
          </w:tcPr>
          <w:p>
            <w:pPr>
              <w:pStyle w:val="933"/>
              <w:rPr>
                <w:color w:val="000000"/>
                <w:highlight w:val="none"/>
              </w:rPr>
            </w:pPr>
            <w:r>
              <w:rPr>
                <w:color w:val="000000"/>
                <w:highlight w:val="none"/>
              </w:rPr>
            </w:r>
            <w:r/>
          </w:p>
        </w:tc>
        <w:tc>
          <w:tcPr>
            <w:tcW w:w="1053" w:type="dxa"/>
            <w:vAlign w:val="center"/>
            <w:textDirection w:val="lrTb"/>
            <w:noWrap w:val="false"/>
          </w:tcPr>
          <w:p>
            <w:pPr>
              <w:pStyle w:val="933"/>
              <w:rPr>
                <w:color w:val="000000"/>
                <w:highlight w:val="none"/>
                <w:lang w:val="zh-CN"/>
              </w:rPr>
            </w:pPr>
            <w:r>
              <w:rPr>
                <w:color w:val="000000"/>
                <w:highlight w:val="none"/>
                <w:lang w:val="zh-CN"/>
              </w:rPr>
            </w:r>
            <w:r/>
          </w:p>
        </w:tc>
      </w:tr>
      <w:tr>
        <w:trPr>
          <w:trHeight w:val="397"/>
        </w:trPr>
        <w:tc>
          <w:tcPr>
            <w:gridSpan w:val="9"/>
            <w:tcW w:w="9853" w:type="dxa"/>
            <w:vAlign w:val="center"/>
            <w:textDirection w:val="lrTb"/>
            <w:noWrap w:val="false"/>
          </w:tcPr>
          <w:p>
            <w:pPr>
              <w:pStyle w:val="933"/>
              <w:rPr>
                <w:color w:val="000000"/>
                <w:highlight w:val="none"/>
                <w:lang w:val="zh-CN"/>
              </w:rPr>
            </w:pPr>
            <w:r>
              <w:rPr>
                <w:color w:val="000000"/>
                <w:highlight w:val="none"/>
              </w:rPr>
              <w:t xml:space="preserve">总价小计：</w:t>
            </w:r>
            <w:r>
              <w:rPr>
                <w:color w:val="000000"/>
                <w:highlight w:val="none"/>
                <w:lang w:val="zh-CN"/>
              </w:rPr>
            </w:r>
            <w:r/>
          </w:p>
        </w:tc>
      </w:tr>
      <w:tr>
        <w:trPr>
          <w:trHeight w:val="397"/>
        </w:trPr>
        <w:tc>
          <w:tcPr>
            <w:gridSpan w:val="9"/>
            <w:tcW w:w="9853" w:type="dxa"/>
            <w:vAlign w:val="center"/>
            <w:textDirection w:val="lrTb"/>
            <w:noWrap w:val="false"/>
          </w:tcPr>
          <w:p>
            <w:pPr>
              <w:pStyle w:val="933"/>
              <w:rPr>
                <w:color w:val="000000"/>
                <w:highlight w:val="none"/>
              </w:rPr>
            </w:pPr>
            <w:r>
              <w:rPr>
                <w:color w:val="000000"/>
                <w:highlight w:val="none"/>
              </w:rPr>
              <w:t xml:space="preserve">本项目中提供的符合本国产品标准的产品成本之和占该项目提供的全部产品成本之和的比例为</w:t>
            </w:r>
            <w:r>
              <w:rPr>
                <w:rFonts w:hint="eastAsia"/>
                <w:color w:val="000000"/>
                <w:highlight w:val="none"/>
              </w:rPr>
              <w:t xml:space="preserve">       </w:t>
            </w:r>
            <w:r>
              <w:rPr>
                <w:color w:val="000000"/>
                <w:highlight w:val="none"/>
              </w:rPr>
              <w:t xml:space="preserve">%。</w:t>
            </w:r>
            <w:r>
              <w:rPr>
                <w:color w:val="000000"/>
                <w:highlight w:val="none"/>
              </w:rPr>
            </w:r>
            <w:r/>
          </w:p>
        </w:tc>
      </w:tr>
    </w:tbl>
    <w:p>
      <w:pPr>
        <w:pStyle w:val="972"/>
        <w:rPr>
          <w:rFonts w:hint="eastAsia"/>
          <w:color w:val="000000"/>
          <w:highlight w:val="none"/>
        </w:rPr>
      </w:pPr>
      <w:r>
        <w:rPr>
          <w:rFonts w:hint="eastAsia"/>
          <w:color w:val="000000"/>
          <w:highlight w:val="none"/>
        </w:rPr>
      </w:r>
      <w:r/>
    </w:p>
    <w:p>
      <w:pPr>
        <w:pStyle w:val="933"/>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933"/>
        <w:jc w:val="left"/>
        <w:spacing w:line="360" w:lineRule="auto"/>
        <w:widowControl/>
        <w:rPr>
          <w:rFonts w:hint="eastAsia" w:ascii="宋体" w:hAnsi="宋体" w:cs="宋体"/>
          <w:b/>
          <w:color w:val="000000"/>
          <w:szCs w:val="21"/>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color w:val="000000"/>
          <w:szCs w:val="21"/>
          <w:highlight w:val="none"/>
          <w:lang w:val="zh-CN"/>
        </w:rPr>
        <w:t xml:space="preserve">投标人名称：</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（盖章）</w:t>
      </w:r>
      <w:r>
        <w:rPr>
          <w:rFonts w:hint="eastAsia" w:ascii="宋体" w:hAnsi="宋体" w:cs="宋体"/>
          <w:b/>
          <w:color w:val="000000"/>
          <w:szCs w:val="21"/>
          <w:highlight w:val="none"/>
        </w:rPr>
      </w:r>
      <w:r/>
    </w:p>
    <w:p>
      <w:pPr>
        <w:pStyle w:val="933"/>
        <w:jc w:val="left"/>
        <w:spacing w:line="360" w:lineRule="auto"/>
        <w:widowControl/>
        <w:rPr>
          <w:rFonts w:hint="eastAsia" w:ascii="宋体" w:hAnsi="宋体" w:cs="宋体"/>
          <w:b/>
          <w:color w:val="000000"/>
          <w:szCs w:val="21"/>
          <w:highlight w:val="none"/>
          <w:lang w:val="zh-CN"/>
        </w:rPr>
        <w:outlineLvl w:val="1"/>
      </w:pPr>
      <w:r>
        <w:rPr>
          <w:rFonts w:hint="eastAsia" w:ascii="宋体" w:hAnsi="宋体" w:cs="宋体"/>
          <w:b/>
          <w:color w:val="000000"/>
          <w:szCs w:val="21"/>
          <w:highlight w:val="none"/>
          <w:lang w:val="zh-CN"/>
        </w:rPr>
        <w:t xml:space="preserve">目录六、技术条款偏离表格式</w:t>
      </w:r>
      <w:r>
        <w:rPr>
          <w:rFonts w:hint="eastAsia" w:ascii="宋体" w:hAnsi="宋体" w:cs="宋体"/>
          <w:b/>
          <w:color w:val="000000"/>
          <w:szCs w:val="21"/>
          <w:highlight w:val="none"/>
          <w:lang w:val="zh-CN"/>
        </w:rPr>
      </w:r>
      <w:r/>
    </w:p>
    <w:p>
      <w:pPr>
        <w:pStyle w:val="933"/>
        <w:jc w:val="center"/>
        <w:widowControl/>
        <w:rPr>
          <w:rFonts w:hint="eastAsia" w:ascii="宋体" w:hAnsi="宋体" w:cs="宋体"/>
          <w:color w:val="000000"/>
          <w:sz w:val="36"/>
          <w:szCs w:val="36"/>
          <w:highlight w:val="none"/>
          <w:lang w:val="zh-CN"/>
        </w:rPr>
      </w:pPr>
      <w:r>
        <w:rPr>
          <w:rFonts w:hint="eastAsia" w:ascii="宋体" w:hAnsi="宋体" w:cs="宋体"/>
          <w:color w:val="000000"/>
          <w:sz w:val="36"/>
          <w:szCs w:val="36"/>
          <w:highlight w:val="none"/>
          <w:lang w:val="zh-CN"/>
        </w:rPr>
        <w:t xml:space="preserve">技术条款偏离表</w:t>
      </w:r>
      <w:r>
        <w:rPr>
          <w:rFonts w:hint="eastAsia" w:ascii="宋体" w:hAnsi="宋体" w:cs="宋体"/>
          <w:color w:val="000000"/>
          <w:sz w:val="36"/>
          <w:szCs w:val="36"/>
          <w:highlight w:val="none"/>
          <w:lang w:val="zh-CN"/>
        </w:rPr>
      </w:r>
      <w:r/>
    </w:p>
    <w:tbl>
      <w:tblPr>
        <w:tblW w:w="9823"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30"/>
        <w:gridCol w:w="2040"/>
        <w:gridCol w:w="2715"/>
        <w:gridCol w:w="2895"/>
        <w:gridCol w:w="1343"/>
      </w:tblGrid>
      <w:tr>
        <w:trPr>
          <w:trHeight w:val="680"/>
        </w:trPr>
        <w:tc>
          <w:tcPr>
            <w:gridSpan w:val="3"/>
            <w:tcW w:w="5585" w:type="dxa"/>
            <w:vAlign w:val="center"/>
            <w:textDirection w:val="lrTb"/>
            <w:noWrap w:val="false"/>
          </w:tcPr>
          <w:p>
            <w:pPr>
              <w:pStyle w:val="933"/>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项目名称：</w:t>
            </w:r>
            <w:r>
              <w:rPr>
                <w:rFonts w:hint="eastAsia" w:ascii="宋体" w:hAnsi="宋体" w:cs="宋体"/>
                <w:color w:val="000000"/>
                <w:szCs w:val="21"/>
                <w:highlight w:val="none"/>
                <w:lang w:val="zh-CN"/>
              </w:rPr>
            </w:r>
            <w:r/>
          </w:p>
        </w:tc>
        <w:tc>
          <w:tcPr>
            <w:gridSpan w:val="2"/>
            <w:tcW w:w="4238" w:type="dxa"/>
            <w:vAlign w:val="center"/>
            <w:textDirection w:val="lrTb"/>
            <w:noWrap w:val="false"/>
          </w:tcPr>
          <w:p>
            <w:pPr>
              <w:pStyle w:val="933"/>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项目编号：</w:t>
            </w:r>
            <w:r>
              <w:rPr>
                <w:rFonts w:hint="eastAsia" w:ascii="宋体" w:hAnsi="宋体" w:cs="宋体"/>
                <w:color w:val="000000"/>
                <w:szCs w:val="21"/>
                <w:highlight w:val="none"/>
                <w:lang w:val="zh-CN"/>
              </w:rPr>
            </w:r>
            <w:r/>
          </w:p>
        </w:tc>
      </w:tr>
      <w:tr>
        <w:trPr>
          <w:trHeight w:val="680"/>
        </w:trPr>
        <w:tc>
          <w:tcPr>
            <w:tcW w:w="830"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序号</w:t>
            </w:r>
            <w:r>
              <w:rPr>
                <w:rFonts w:hint="eastAsia" w:ascii="宋体" w:hAnsi="宋体" w:cs="宋体"/>
                <w:color w:val="000000"/>
                <w:szCs w:val="21"/>
                <w:highlight w:val="none"/>
                <w:lang w:val="zh-CN"/>
              </w:rPr>
            </w:r>
            <w:r/>
          </w:p>
        </w:tc>
        <w:tc>
          <w:tcPr>
            <w:tcW w:w="2040"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招标文件条目号</w:t>
            </w:r>
            <w:r>
              <w:rPr>
                <w:rFonts w:hint="eastAsia" w:ascii="宋体" w:hAnsi="宋体" w:cs="宋体"/>
                <w:color w:val="000000"/>
                <w:szCs w:val="21"/>
                <w:highlight w:val="none"/>
                <w:lang w:val="zh-CN"/>
              </w:rPr>
            </w:r>
            <w:r/>
          </w:p>
        </w:tc>
        <w:tc>
          <w:tcPr>
            <w:tcW w:w="2715"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招标文件要求的技术要求</w:t>
            </w:r>
            <w:r>
              <w:rPr>
                <w:rFonts w:hint="eastAsia" w:ascii="宋体" w:hAnsi="宋体" w:cs="宋体"/>
                <w:color w:val="000000"/>
                <w:szCs w:val="21"/>
                <w:highlight w:val="none"/>
                <w:lang w:val="zh-CN"/>
              </w:rPr>
            </w:r>
            <w:r/>
          </w:p>
        </w:tc>
        <w:tc>
          <w:tcPr>
            <w:tcW w:w="2895"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投标响应</w:t>
            </w:r>
            <w:r>
              <w:rPr>
                <w:rFonts w:hint="eastAsia" w:ascii="宋体" w:hAnsi="宋体" w:cs="宋体"/>
                <w:color w:val="000000"/>
                <w:szCs w:val="21"/>
                <w:highlight w:val="none"/>
                <w:lang w:val="zh-CN"/>
              </w:rPr>
            </w:r>
            <w:r/>
          </w:p>
        </w:tc>
        <w:tc>
          <w:tcPr>
            <w:tcW w:w="1343"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偏离</w:t>
            </w:r>
            <w:r>
              <w:rPr>
                <w:rFonts w:hint="eastAsia" w:ascii="宋体" w:hAnsi="宋体" w:cs="宋体"/>
                <w:color w:val="000000"/>
                <w:szCs w:val="21"/>
                <w:highlight w:val="none"/>
                <w:lang w:val="zh-CN"/>
              </w:rPr>
            </w:r>
            <w:r/>
          </w:p>
        </w:tc>
      </w:tr>
      <w:tr>
        <w:trPr>
          <w:trHeight w:val="680"/>
        </w:trPr>
        <w:tc>
          <w:tcPr>
            <w:tcW w:w="830"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2040"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2715"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2895"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43"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rHeight w:val="680"/>
        </w:trPr>
        <w:tc>
          <w:tcPr>
            <w:tcW w:w="830"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2040"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2715"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2895"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43"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rHeight w:val="680"/>
        </w:trPr>
        <w:tc>
          <w:tcPr>
            <w:tcW w:w="830"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2040"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2715"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2895"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43"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bl>
    <w:p>
      <w:pPr>
        <w:pStyle w:val="933"/>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933"/>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供应商名称：（盖章）</w:t>
      </w:r>
      <w:r>
        <w:rPr>
          <w:rFonts w:hint="eastAsia" w:ascii="宋体" w:hAnsi="宋体" w:cs="宋体"/>
          <w:color w:val="000000"/>
          <w:szCs w:val="21"/>
          <w:highlight w:val="none"/>
          <w:lang w:val="zh-CN"/>
        </w:rPr>
      </w:r>
      <w:r/>
    </w:p>
    <w:p>
      <w:pPr>
        <w:pStyle w:val="933"/>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说明：如果行数不够，请自行增加。</w:t>
      </w:r>
      <w:r>
        <w:rPr>
          <w:rFonts w:hint="eastAsia" w:ascii="宋体" w:hAnsi="宋体" w:cs="宋体"/>
          <w:color w:val="000000"/>
          <w:szCs w:val="21"/>
          <w:highlight w:val="none"/>
          <w:lang w:val="zh-CN"/>
        </w:rPr>
      </w:r>
      <w:r/>
    </w:p>
    <w:p>
      <w:pPr>
        <w:pStyle w:val="933"/>
        <w:jc w:val="left"/>
        <w:spacing w:line="360" w:lineRule="auto"/>
        <w:widowControl/>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933"/>
        <w:jc w:val="left"/>
        <w:spacing w:line="360" w:lineRule="auto"/>
        <w:widowControl/>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933"/>
        <w:jc w:val="left"/>
        <w:spacing w:line="360" w:lineRule="auto"/>
        <w:widowControl/>
        <w:rPr>
          <w:rFonts w:hint="eastAsia" w:ascii="宋体" w:hAnsi="宋体" w:cs="宋体"/>
          <w:b/>
          <w:color w:val="000000"/>
          <w:szCs w:val="21"/>
          <w:highlight w:val="none"/>
          <w:lang w:val="zh-CN"/>
        </w:rPr>
        <w:outlineLvl w:val="1"/>
      </w:pPr>
      <w:r>
        <w:rPr>
          <w:rFonts w:hint="eastAsia" w:ascii="宋体" w:hAnsi="宋体" w:cs="宋体"/>
          <w:b/>
          <w:color w:val="000000"/>
          <w:szCs w:val="21"/>
          <w:highlight w:val="none"/>
          <w:lang w:val="zh-CN"/>
        </w:rPr>
        <w:t xml:space="preserve">目录七、商务条款偏离表格式</w:t>
      </w:r>
      <w:r>
        <w:rPr>
          <w:rFonts w:hint="eastAsia" w:ascii="宋体" w:hAnsi="宋体" w:cs="宋体"/>
          <w:b/>
          <w:color w:val="000000"/>
          <w:szCs w:val="21"/>
          <w:highlight w:val="none"/>
          <w:lang w:val="zh-CN"/>
        </w:rPr>
      </w:r>
      <w:r/>
    </w:p>
    <w:p>
      <w:pPr>
        <w:pStyle w:val="933"/>
        <w:jc w:val="center"/>
        <w:widowControl/>
        <w:rPr>
          <w:rFonts w:hint="eastAsia" w:ascii="宋体" w:hAnsi="宋体" w:cs="宋体"/>
          <w:color w:val="000000"/>
          <w:sz w:val="36"/>
          <w:szCs w:val="36"/>
          <w:highlight w:val="none"/>
          <w:lang w:val="zh-CN"/>
        </w:rPr>
      </w:pPr>
      <w:r>
        <w:rPr>
          <w:rFonts w:hint="eastAsia" w:ascii="宋体" w:hAnsi="宋体" w:cs="宋体"/>
          <w:color w:val="000000"/>
          <w:sz w:val="36"/>
          <w:szCs w:val="36"/>
          <w:highlight w:val="none"/>
          <w:lang w:val="zh-CN"/>
        </w:rPr>
        <w:t xml:space="preserve">商务条款偏离表</w:t>
      </w:r>
      <w:r>
        <w:rPr>
          <w:rFonts w:hint="eastAsia" w:ascii="宋体" w:hAnsi="宋体" w:cs="宋体"/>
          <w:color w:val="000000"/>
          <w:sz w:val="36"/>
          <w:szCs w:val="36"/>
          <w:highlight w:val="none"/>
          <w:lang w:val="zh-CN"/>
        </w:rPr>
      </w:r>
      <w:r/>
    </w:p>
    <w:tbl>
      <w:tblPr>
        <w:tblW w:w="9847"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0"/>
        <w:gridCol w:w="2092"/>
        <w:gridCol w:w="2700"/>
        <w:gridCol w:w="2873"/>
        <w:gridCol w:w="1372"/>
      </w:tblGrid>
      <w:tr>
        <w:trPr>
          <w:trHeight w:val="794"/>
          <w:tblHeader/>
        </w:trPr>
        <w:tc>
          <w:tcPr>
            <w:gridSpan w:val="3"/>
            <w:tcW w:w="5602" w:type="dxa"/>
            <w:vAlign w:val="center"/>
            <w:textDirection w:val="lrTb"/>
            <w:noWrap w:val="false"/>
          </w:tcPr>
          <w:p>
            <w:pPr>
              <w:pStyle w:val="933"/>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项目名称：</w:t>
            </w:r>
            <w:r>
              <w:rPr>
                <w:rFonts w:hint="eastAsia" w:ascii="宋体" w:hAnsi="宋体" w:cs="宋体"/>
                <w:color w:val="000000"/>
                <w:szCs w:val="21"/>
                <w:highlight w:val="none"/>
                <w:lang w:val="zh-CN"/>
              </w:rPr>
            </w:r>
            <w:r/>
          </w:p>
        </w:tc>
        <w:tc>
          <w:tcPr>
            <w:gridSpan w:val="2"/>
            <w:tcW w:w="4245" w:type="dxa"/>
            <w:vAlign w:val="center"/>
            <w:textDirection w:val="lrTb"/>
            <w:noWrap w:val="false"/>
          </w:tcPr>
          <w:p>
            <w:pPr>
              <w:pStyle w:val="933"/>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项目编号：</w:t>
            </w:r>
            <w:r>
              <w:rPr>
                <w:rFonts w:hint="eastAsia" w:ascii="宋体" w:hAnsi="宋体" w:cs="宋体"/>
                <w:color w:val="000000"/>
                <w:szCs w:val="21"/>
                <w:highlight w:val="none"/>
                <w:lang w:val="zh-CN"/>
              </w:rPr>
            </w:r>
            <w:r/>
          </w:p>
        </w:tc>
      </w:tr>
      <w:tr>
        <w:trPr>
          <w:trHeight w:val="794"/>
        </w:trPr>
        <w:tc>
          <w:tcPr>
            <w:tcW w:w="810"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序号</w:t>
            </w:r>
            <w:r>
              <w:rPr>
                <w:rFonts w:hint="eastAsia" w:ascii="宋体" w:hAnsi="宋体" w:cs="宋体"/>
                <w:color w:val="000000"/>
                <w:szCs w:val="21"/>
                <w:highlight w:val="none"/>
                <w:lang w:val="zh-CN"/>
              </w:rPr>
            </w:r>
            <w:r/>
          </w:p>
        </w:tc>
        <w:tc>
          <w:tcPr>
            <w:tcW w:w="2092"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招标文件条目号</w:t>
            </w:r>
            <w:r>
              <w:rPr>
                <w:rFonts w:hint="eastAsia" w:ascii="宋体" w:hAnsi="宋体" w:cs="宋体"/>
                <w:color w:val="000000"/>
                <w:szCs w:val="21"/>
                <w:highlight w:val="none"/>
                <w:lang w:val="zh-CN"/>
              </w:rPr>
            </w:r>
            <w:r/>
          </w:p>
        </w:tc>
        <w:tc>
          <w:tcPr>
            <w:tcW w:w="2700"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招标文件要求的商务条款</w:t>
            </w:r>
            <w:r>
              <w:rPr>
                <w:rFonts w:hint="eastAsia" w:ascii="宋体" w:hAnsi="宋体" w:cs="宋体"/>
                <w:color w:val="000000"/>
                <w:szCs w:val="21"/>
                <w:highlight w:val="none"/>
                <w:lang w:val="zh-CN"/>
              </w:rPr>
            </w:r>
            <w:r/>
          </w:p>
        </w:tc>
        <w:tc>
          <w:tcPr>
            <w:tcW w:w="2873"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投标响应</w:t>
            </w:r>
            <w:r>
              <w:rPr>
                <w:rFonts w:hint="eastAsia" w:ascii="宋体" w:hAnsi="宋体" w:cs="宋体"/>
                <w:color w:val="000000"/>
                <w:szCs w:val="21"/>
                <w:highlight w:val="none"/>
                <w:lang w:val="zh-CN"/>
              </w:rPr>
            </w:r>
            <w:r/>
          </w:p>
        </w:tc>
        <w:tc>
          <w:tcPr>
            <w:tcW w:w="1372"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偏离</w:t>
            </w:r>
            <w:r>
              <w:rPr>
                <w:rFonts w:hint="eastAsia" w:ascii="宋体" w:hAnsi="宋体" w:cs="宋体"/>
                <w:color w:val="000000"/>
                <w:szCs w:val="21"/>
                <w:highlight w:val="none"/>
                <w:lang w:val="zh-CN"/>
              </w:rPr>
            </w:r>
            <w:r/>
          </w:p>
        </w:tc>
      </w:tr>
      <w:tr>
        <w:trPr>
          <w:trHeight w:val="794"/>
        </w:trPr>
        <w:tc>
          <w:tcPr>
            <w:tcW w:w="810"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2092"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2700"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2873"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72"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rHeight w:val="794"/>
        </w:trPr>
        <w:tc>
          <w:tcPr>
            <w:tcW w:w="810"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2092"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2700"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2873"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72"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rHeight w:val="794"/>
        </w:trPr>
        <w:tc>
          <w:tcPr>
            <w:tcW w:w="810"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2092"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2700"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2873"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72" w:type="dxa"/>
            <w:vAlign w:val="center"/>
            <w:textDirection w:val="lrTb"/>
            <w:noWrap w:val="false"/>
          </w:tcPr>
          <w:p>
            <w:pPr>
              <w:pStyle w:val="933"/>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bl>
    <w:p>
      <w:pPr>
        <w:pStyle w:val="933"/>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933"/>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供应商名称：（盖章）</w:t>
      </w:r>
      <w:r>
        <w:rPr>
          <w:rFonts w:hint="eastAsia" w:ascii="宋体" w:hAnsi="宋体" w:cs="宋体"/>
          <w:color w:val="000000"/>
          <w:szCs w:val="21"/>
          <w:highlight w:val="none"/>
          <w:lang w:val="zh-CN"/>
        </w:rPr>
      </w:r>
      <w:r/>
    </w:p>
    <w:p>
      <w:pPr>
        <w:pStyle w:val="933"/>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说明：如果行数不够，请自行增加。</w:t>
      </w:r>
      <w:r>
        <w:rPr>
          <w:rFonts w:hint="eastAsia" w:ascii="宋体" w:hAnsi="宋体" w:cs="宋体"/>
          <w:color w:val="000000"/>
          <w:szCs w:val="21"/>
          <w:highlight w:val="none"/>
          <w:lang w:val="zh-CN"/>
        </w:rPr>
      </w:r>
      <w:r/>
    </w:p>
    <w:p>
      <w:pPr>
        <w:pStyle w:val="933"/>
        <w:spacing w:line="240" w:lineRule="atLeast"/>
        <w:rPr>
          <w:rFonts w:hint="eastAsia" w:ascii="宋体" w:hAnsi="宋体" w:cs="宋体"/>
          <w:b/>
          <w:color w:val="000000"/>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b/>
          <w:color w:val="000000"/>
          <w:highlight w:val="none"/>
        </w:rPr>
      </w:r>
      <w:r/>
    </w:p>
    <w:p>
      <w:pPr>
        <w:pStyle w:val="933"/>
        <w:spacing w:line="240" w:lineRule="atLeast"/>
        <w:rPr>
          <w:rFonts w:hint="eastAsia" w:ascii="宋体" w:hAnsi="宋体" w:cs="宋体"/>
          <w:b/>
          <w:color w:val="000000"/>
          <w:highlight w:val="none"/>
        </w:rPr>
        <w:outlineLvl w:val="1"/>
      </w:pPr>
      <w:r>
        <w:rPr>
          <w:rFonts w:hint="eastAsia" w:ascii="宋体" w:hAnsi="宋体" w:cs="宋体"/>
          <w:b/>
          <w:color w:val="000000"/>
          <w:highlight w:val="none"/>
        </w:rPr>
        <w:t xml:space="preserve">目录八、项目实施或集成方案</w:t>
      </w:r>
      <w:r>
        <w:rPr>
          <w:rFonts w:hint="eastAsia" w:ascii="宋体" w:hAnsi="宋体" w:cs="宋体"/>
          <w:b/>
          <w:color w:val="000000"/>
          <w:highlight w:val="none"/>
        </w:rPr>
      </w:r>
      <w:r/>
    </w:p>
    <w:p>
      <w:pPr>
        <w:pStyle w:val="933"/>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933"/>
        <w:jc w:val="center"/>
        <w:spacing w:line="240" w:lineRule="atLeast"/>
        <w:rPr>
          <w:rFonts w:hint="eastAsia" w:ascii="宋体" w:hAnsi="宋体" w:cs="宋体"/>
          <w:color w:val="000000"/>
          <w:sz w:val="36"/>
          <w:szCs w:val="36"/>
          <w:highlight w:val="none"/>
        </w:rPr>
      </w:pPr>
      <w:r>
        <w:rPr>
          <w:rFonts w:hint="eastAsia" w:ascii="宋体" w:hAnsi="宋体" w:cs="宋体"/>
          <w:color w:val="000000"/>
          <w:sz w:val="36"/>
          <w:szCs w:val="36"/>
          <w:highlight w:val="none"/>
          <w:lang w:val="zh-CN"/>
        </w:rPr>
        <w:t xml:space="preserve">项目实施或集成方案（若有）</w:t>
      </w:r>
      <w:r>
        <w:rPr>
          <w:rFonts w:hint="eastAsia" w:ascii="宋体" w:hAnsi="宋体" w:cs="宋体"/>
          <w:color w:val="000000"/>
          <w:sz w:val="36"/>
          <w:szCs w:val="36"/>
          <w:highlight w:val="none"/>
        </w:rPr>
      </w:r>
      <w:r/>
    </w:p>
    <w:p>
      <w:pPr>
        <w:pStyle w:val="933"/>
        <w:spacing w:line="240" w:lineRule="atLeast"/>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933"/>
        <w:spacing w:line="240" w:lineRule="atLeast"/>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933"/>
        <w:spacing w:line="240" w:lineRule="atLeas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33"/>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933"/>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933"/>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933"/>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933"/>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933"/>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933"/>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933"/>
        <w:spacing w:line="240" w:lineRule="atLeast"/>
        <w:rPr>
          <w:rFonts w:hint="eastAsia" w:ascii="宋体" w:hAnsi="宋体" w:cs="宋体"/>
          <w:b/>
          <w:color w:val="000000"/>
          <w:highlight w:val="none"/>
        </w:rPr>
        <w:outlineLvl w:val="1"/>
      </w:pPr>
      <w:r>
        <w:rPr>
          <w:rFonts w:hint="eastAsia" w:ascii="宋体" w:hAnsi="宋体" w:cs="宋体"/>
          <w:b/>
          <w:color w:val="000000"/>
          <w:highlight w:val="none"/>
        </w:rPr>
        <w:t xml:space="preserve">目录九、服务与承诺</w:t>
      </w:r>
      <w:r>
        <w:rPr>
          <w:rFonts w:hint="eastAsia" w:ascii="宋体" w:hAnsi="宋体" w:cs="宋体"/>
          <w:b/>
          <w:color w:val="000000"/>
          <w:highlight w:val="none"/>
        </w:rPr>
      </w:r>
      <w:r/>
    </w:p>
    <w:p>
      <w:pPr>
        <w:pStyle w:val="933"/>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933"/>
        <w:jc w:val="center"/>
        <w:spacing w:line="240" w:lineRule="atLeast"/>
        <w:rPr>
          <w:rFonts w:hint="eastAsia" w:ascii="宋体" w:hAnsi="宋体" w:cs="宋体"/>
          <w:color w:val="000000"/>
          <w:sz w:val="36"/>
          <w:szCs w:val="36"/>
          <w:highlight w:val="none"/>
          <w:lang w:val="zh-CN"/>
        </w:rPr>
      </w:pPr>
      <w:r>
        <w:rPr>
          <w:rFonts w:hint="eastAsia" w:ascii="宋体" w:hAnsi="宋体" w:cs="宋体"/>
          <w:color w:val="000000"/>
          <w:sz w:val="36"/>
          <w:szCs w:val="36"/>
          <w:highlight w:val="none"/>
          <w:lang w:val="zh-CN"/>
        </w:rPr>
        <w:t xml:space="preserve">服务与承诺</w:t>
      </w:r>
      <w:r>
        <w:rPr>
          <w:rFonts w:hint="eastAsia" w:ascii="宋体" w:hAnsi="宋体" w:cs="宋体"/>
          <w:color w:val="000000"/>
          <w:sz w:val="36"/>
          <w:szCs w:val="36"/>
          <w:highlight w:val="none"/>
          <w:lang w:val="zh-CN"/>
        </w:rPr>
      </w:r>
      <w:r/>
    </w:p>
    <w:p>
      <w:pPr>
        <w:pStyle w:val="933"/>
        <w:spacing w:line="240" w:lineRule="atLeast"/>
        <w:rPr>
          <w:rFonts w:hint="eastAsia" w:ascii="宋体" w:hAnsi="宋体" w:cs="宋体"/>
          <w:color w:val="000000"/>
          <w:sz w:val="36"/>
          <w:szCs w:val="36"/>
          <w:highlight w:val="none"/>
          <w:lang w:val="zh-CN"/>
        </w:rPr>
      </w:pPr>
      <w:r>
        <w:rPr>
          <w:rFonts w:hint="eastAsia" w:ascii="宋体" w:hAnsi="宋体" w:cs="宋体"/>
          <w:color w:val="000000"/>
          <w:sz w:val="36"/>
          <w:szCs w:val="36"/>
          <w:highlight w:val="none"/>
          <w:lang w:val="zh-CN"/>
        </w:rPr>
      </w:r>
      <w:r/>
    </w:p>
    <w:p>
      <w:pPr>
        <w:pStyle w:val="933"/>
        <w:spacing w:line="240" w:lineRule="atLeast"/>
        <w:rPr>
          <w:rFonts w:hint="eastAsia" w:ascii="宋体" w:hAnsi="宋体" w:cs="宋体"/>
          <w:color w:val="000000"/>
          <w:highlight w:val="none"/>
        </w:rPr>
      </w:pPr>
      <w:r>
        <w:rPr>
          <w:rFonts w:hint="eastAsia" w:ascii="宋体" w:hAnsi="宋体" w:cs="宋体"/>
          <w:color w:val="000000"/>
          <w:highlight w:val="none"/>
        </w:rPr>
      </w:r>
      <w:r/>
    </w:p>
    <w:p>
      <w:pPr>
        <w:pStyle w:val="933"/>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933"/>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933"/>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933"/>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933"/>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933"/>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933"/>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933"/>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933"/>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933"/>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933"/>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933"/>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933"/>
        <w:spacing w:line="240" w:lineRule="atLeast"/>
        <w:rPr>
          <w:rFonts w:hint="eastAsia" w:ascii="宋体" w:hAnsi="宋体" w:cs="宋体"/>
          <w:b/>
          <w:color w:val="000000"/>
          <w:highlight w:val="none"/>
        </w:rPr>
        <w:outlineLvl w:val="1"/>
      </w:pPr>
      <w:r>
        <w:rPr>
          <w:rFonts w:hint="eastAsia" w:ascii="宋体" w:hAnsi="宋体" w:cs="宋体"/>
          <w:b/>
          <w:color w:val="000000"/>
          <w:highlight w:val="none"/>
        </w:rPr>
        <w:t xml:space="preserve">目录十、投标需要的其他证明文件及材料</w:t>
      </w:r>
      <w:r>
        <w:rPr>
          <w:rFonts w:hint="eastAsia" w:ascii="宋体" w:hAnsi="宋体" w:cs="宋体"/>
          <w:b/>
          <w:color w:val="000000"/>
          <w:highlight w:val="none"/>
        </w:rPr>
      </w:r>
      <w:r/>
    </w:p>
    <w:p>
      <w:pPr>
        <w:pStyle w:val="933"/>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933"/>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933"/>
        <w:jc w:val="center"/>
        <w:spacing w:line="240" w:lineRule="atLeast"/>
        <w:rPr>
          <w:rFonts w:hint="eastAsia" w:ascii="宋体" w:hAnsi="宋体" w:cs="宋体"/>
          <w:color w:val="000000"/>
          <w:highlight w:val="none"/>
        </w:rPr>
      </w:pPr>
      <w:r>
        <w:rPr>
          <w:rFonts w:hint="eastAsia" w:ascii="宋体" w:hAnsi="宋体" w:cs="宋体"/>
          <w:color w:val="000000"/>
          <w:sz w:val="36"/>
          <w:szCs w:val="36"/>
          <w:highlight w:val="none"/>
          <w:lang w:val="zh-CN"/>
        </w:rPr>
        <w:t xml:space="preserve">投标需要的其他证明文件及材料（若有）</w:t>
      </w:r>
      <w:r>
        <w:rPr>
          <w:rFonts w:hint="eastAsia" w:ascii="宋体" w:hAnsi="宋体" w:cs="宋体"/>
          <w:color w:val="000000"/>
          <w:highlight w:val="none"/>
        </w:rPr>
      </w:r>
      <w:r/>
    </w:p>
    <w:p>
      <w:pPr>
        <w:pStyle w:val="933"/>
        <w:spacing w:line="240" w:lineRule="atLeast"/>
        <w:rPr>
          <w:rFonts w:hint="eastAsia" w:ascii="宋体" w:hAnsi="宋体" w:cs="宋体"/>
          <w:b/>
          <w:color w:val="000000"/>
          <w:highlight w:val="none"/>
        </w:rPr>
      </w:pPr>
      <w:r>
        <w:rPr>
          <w:rFonts w:hint="eastAsia" w:ascii="宋体" w:hAnsi="宋体" w:cs="宋体"/>
          <w:b/>
          <w:color w:val="000000"/>
          <w:highlight w:val="none"/>
        </w:rPr>
      </w:r>
      <w:r/>
    </w:p>
    <w:p>
      <w:pPr>
        <w:pStyle w:val="933"/>
        <w:spacing w:line="360" w:lineRule="auto"/>
        <w:rPr>
          <w:rFonts w:hint="eastAsia" w:ascii="宋体" w:hAnsi="宋体" w:cs="宋体"/>
          <w:b/>
          <w:color w:val="000000"/>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b/>
          <w:color w:val="000000"/>
          <w:highlight w:val="none"/>
        </w:rPr>
      </w:r>
      <w:r/>
    </w:p>
    <w:p>
      <w:pPr>
        <w:pStyle w:val="933"/>
        <w:spacing w:line="360" w:lineRule="auto"/>
        <w:rPr>
          <w:rFonts w:hint="eastAsia" w:ascii="宋体" w:hAnsi="宋体" w:cs="宋体"/>
          <w:b/>
          <w:color w:val="000000"/>
          <w:highlight w:val="none"/>
        </w:rPr>
        <w:outlineLvl w:val="1"/>
      </w:pPr>
      <w:r>
        <w:rPr>
          <w:rFonts w:hint="eastAsia" w:ascii="宋体" w:hAnsi="宋体" w:cs="宋体"/>
          <w:b/>
          <w:color w:val="000000"/>
          <w:highlight w:val="none"/>
        </w:rPr>
        <w:t xml:space="preserve">附件一、中小企业声明函格式</w:t>
      </w:r>
      <w:r>
        <w:rPr>
          <w:rFonts w:hint="eastAsia" w:ascii="宋体" w:hAnsi="宋体" w:cs="宋体"/>
          <w:b/>
          <w:color w:val="000000"/>
          <w:highlight w:val="none"/>
        </w:rPr>
      </w:r>
      <w:r/>
    </w:p>
    <w:p>
      <w:pPr>
        <w:pStyle w:val="933"/>
        <w:jc w:val="center"/>
        <w:rPr>
          <w:rFonts w:hint="eastAsia" w:ascii="宋体" w:hAnsi="宋体" w:cs="宋体"/>
          <w:color w:val="000000"/>
          <w:highlight w:val="none"/>
        </w:rPr>
      </w:pPr>
      <w:r/>
      <w:bookmarkStart w:id="36" w:name="_bookmark0"/>
      <w:r/>
      <w:bookmarkEnd w:id="36"/>
      <w:r>
        <w:rPr>
          <w:rFonts w:hint="eastAsia" w:ascii="宋体" w:hAnsi="宋体" w:cs="宋体"/>
          <w:color w:val="000000"/>
          <w:sz w:val="36"/>
          <w:szCs w:val="36"/>
          <w:highlight w:val="none"/>
        </w:rPr>
        <w:t xml:space="preserve">中小企业声明函（货物）</w:t>
      </w:r>
      <w:r>
        <w:rPr>
          <w:rFonts w:hint="eastAsia" w:ascii="宋体" w:hAnsi="宋体" w:cs="宋体"/>
          <w:color w:val="000000"/>
          <w:highlight w:val="none"/>
        </w:rPr>
      </w:r>
      <w:r/>
    </w:p>
    <w:p>
      <w:pPr>
        <w:pStyle w:val="933"/>
        <w:rPr>
          <w:rFonts w:hint="eastAsia" w:ascii="宋体" w:hAnsi="宋体" w:cs="宋体"/>
          <w:color w:val="000000"/>
          <w:highlight w:val="none"/>
        </w:rPr>
      </w:pPr>
      <w:r>
        <w:rPr>
          <w:rFonts w:hint="eastAsia" w:ascii="宋体" w:hAnsi="宋体" w:cs="宋体"/>
          <w:color w:val="000000"/>
          <w:highlight w:val="none"/>
        </w:rPr>
      </w:r>
      <w:r/>
    </w:p>
    <w:p>
      <w:pPr>
        <w:pStyle w:val="933"/>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本公司（联合体）郑重声明，根据《政府采购促进中小企业发展管理办法》（财库﹝2020﹞46 号）的规定，本公司（联合体）参加</w:t>
      </w:r>
      <w:r>
        <w:rPr>
          <w:rFonts w:hint="eastAsia" w:ascii="宋体" w:hAnsi="宋体" w:cs="宋体"/>
          <w:color w:val="000000"/>
          <w:highlight w:val="none"/>
          <w:u w:val="single"/>
        </w:rPr>
        <w:t xml:space="preserve">（单位名称）</w:t>
      </w:r>
      <w:r>
        <w:rPr>
          <w:rFonts w:hint="eastAsia" w:ascii="宋体" w:hAnsi="宋体" w:cs="宋体"/>
          <w:color w:val="000000"/>
          <w:highlight w:val="none"/>
        </w:rPr>
        <w:t xml:space="preserve">的</w:t>
      </w:r>
      <w:r>
        <w:rPr>
          <w:rFonts w:hint="eastAsia" w:ascii="宋体" w:hAnsi="宋体" w:cs="宋体"/>
          <w:color w:val="000000"/>
          <w:highlight w:val="none"/>
          <w:u w:val="single"/>
        </w:rPr>
        <w:t xml:space="preserve">（项目名称）</w:t>
      </w:r>
      <w:r>
        <w:rPr>
          <w:rFonts w:hint="eastAsia" w:ascii="宋体" w:hAnsi="宋体" w:cs="宋体"/>
          <w:color w:val="000000"/>
          <w:highlight w:val="none"/>
        </w:rPr>
        <w:t xml:space="preserve">采购活动，提供的货物全部由符合政策要求的中小企业制造。相关企业（含联合体中的中小企业、签订分包意向协议的中小企业） 的具体情况如下：</w:t>
      </w:r>
      <w:r>
        <w:rPr>
          <w:rFonts w:hint="eastAsia" w:ascii="宋体" w:hAnsi="宋体" w:cs="宋体"/>
          <w:color w:val="000000"/>
          <w:highlight w:val="none"/>
        </w:rPr>
      </w:r>
      <w:r/>
    </w:p>
    <w:p>
      <w:pPr>
        <w:pStyle w:val="933"/>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u w:val="single"/>
        </w:rPr>
        <w:t xml:space="preserve">（标的名称）</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（工业）</w:t>
      </w:r>
      <w:r>
        <w:rPr>
          <w:rFonts w:hint="eastAsia" w:ascii="宋体" w:hAnsi="宋体" w:cs="宋体"/>
          <w:color w:val="000000"/>
          <w:highlight w:val="none"/>
        </w:rPr>
        <w:t xml:space="preserve">行业；制造商为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rPr>
        <w:t xml:space="preserve">人，营业收入为 </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rPr>
        <w:t xml:space="preserve">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万元，属于</w:t>
      </w:r>
      <w:r>
        <w:rPr>
          <w:rFonts w:hint="eastAsia" w:ascii="宋体" w:hAnsi="宋体" w:cs="宋体"/>
          <w:color w:val="000000"/>
          <w:highlight w:val="none"/>
          <w:u w:val="single"/>
        </w:rPr>
        <w:t xml:space="preserve">（中型企业、小型企业、微型企业）</w:t>
      </w:r>
      <w:r>
        <w:rPr>
          <w:rFonts w:hint="eastAsia" w:ascii="宋体" w:hAnsi="宋体" w:cs="宋体"/>
          <w:color w:val="000000"/>
          <w:highlight w:val="none"/>
        </w:rPr>
        <w:t xml:space="preserve">；</w:t>
      </w:r>
      <w:r>
        <w:rPr>
          <w:rFonts w:hint="eastAsia" w:ascii="宋体" w:hAnsi="宋体" w:cs="宋体"/>
          <w:color w:val="000000"/>
          <w:highlight w:val="none"/>
        </w:rPr>
      </w:r>
      <w:r/>
    </w:p>
    <w:p>
      <w:pPr>
        <w:pStyle w:val="933"/>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u w:val="single"/>
        </w:rPr>
        <w:t xml:space="preserve">（标的名称）</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（工业）</w:t>
      </w:r>
      <w:r>
        <w:rPr>
          <w:rFonts w:hint="eastAsia" w:ascii="宋体" w:hAnsi="宋体" w:cs="宋体"/>
          <w:color w:val="000000"/>
          <w:highlight w:val="none"/>
        </w:rPr>
        <w:t xml:space="preserve">行业；制造商为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rPr>
        <w:t xml:space="preserve">人，营业收入为</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rPr>
        <w:t xml:space="preserve">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万元，属于</w:t>
      </w:r>
      <w:r>
        <w:rPr>
          <w:rFonts w:hint="eastAsia" w:ascii="宋体" w:hAnsi="宋体" w:cs="宋体"/>
          <w:color w:val="000000"/>
          <w:highlight w:val="none"/>
          <w:u w:val="single"/>
        </w:rPr>
        <w:t xml:space="preserve">（中型企业、小型企业、微型企业）</w:t>
      </w:r>
      <w:r>
        <w:rPr>
          <w:rFonts w:hint="eastAsia" w:ascii="宋体" w:hAnsi="宋体" w:cs="宋体"/>
          <w:color w:val="000000"/>
          <w:highlight w:val="none"/>
        </w:rPr>
        <w:t xml:space="preserve">；</w:t>
      </w:r>
      <w:r>
        <w:rPr>
          <w:rFonts w:hint="eastAsia" w:ascii="宋体" w:hAnsi="宋体" w:cs="宋体"/>
          <w:color w:val="000000"/>
          <w:highlight w:val="none"/>
        </w:rPr>
      </w:r>
      <w:r/>
    </w:p>
    <w:p>
      <w:pPr>
        <w:pStyle w:val="933"/>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rPr>
      </w:r>
      <w:r/>
    </w:p>
    <w:p>
      <w:pPr>
        <w:pStyle w:val="933"/>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highlight w:val="none"/>
        </w:rPr>
      </w:r>
      <w:r/>
    </w:p>
    <w:p>
      <w:pPr>
        <w:pStyle w:val="933"/>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本企业对上述声明内容的真实性负责。如有虚假，将依法承担相应责任。</w:t>
      </w:r>
      <w:r>
        <w:rPr>
          <w:rFonts w:hint="eastAsia" w:ascii="宋体" w:hAnsi="宋体" w:cs="宋体"/>
          <w:color w:val="000000"/>
          <w:highlight w:val="none"/>
        </w:rPr>
      </w:r>
      <w:r/>
    </w:p>
    <w:p>
      <w:pPr>
        <w:pStyle w:val="933"/>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33"/>
        <w:ind w:firstLine="420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企业名称（盖章）：</w:t>
      </w:r>
      <w:r>
        <w:rPr>
          <w:rFonts w:hint="eastAsia" w:ascii="宋体" w:hAnsi="宋体" w:cs="宋体"/>
          <w:color w:val="000000"/>
          <w:highlight w:val="none"/>
        </w:rPr>
      </w:r>
      <w:r/>
    </w:p>
    <w:p>
      <w:pPr>
        <w:pStyle w:val="933"/>
        <w:ind w:firstLine="420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日期：</w:t>
      </w:r>
      <w:r>
        <w:rPr>
          <w:rFonts w:hint="eastAsia" w:ascii="宋体" w:hAnsi="宋体" w:cs="宋体"/>
          <w:color w:val="000000"/>
          <w:highlight w:val="none"/>
        </w:rPr>
      </w:r>
      <w:r/>
    </w:p>
    <w:p>
      <w:pPr>
        <w:pStyle w:val="933"/>
        <w:jc w:val="left"/>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rPr>
          <w:rFonts w:hint="eastAsia" w:ascii="宋体" w:hAnsi="宋体" w:cs="宋体"/>
          <w:b/>
          <w:bCs/>
          <w:color w:val="000000"/>
          <w:highlight w:val="none"/>
        </w:rPr>
      </w:r>
      <w:r/>
    </w:p>
    <w:p>
      <w:pPr>
        <w:pStyle w:val="933"/>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注2：从业人员、营业收入、资产总额填报上一年度数据，无上一年度数据的新成立企业可不填报。</w:t>
      </w:r>
      <w:r>
        <w:rPr>
          <w:rFonts w:hint="eastAsia" w:ascii="宋体" w:hAnsi="宋体" w:cs="宋体"/>
          <w:color w:val="000000"/>
          <w:highlight w:val="none"/>
        </w:rPr>
      </w:r>
      <w:r/>
    </w:p>
    <w:p>
      <w:pPr>
        <w:pStyle w:val="933"/>
        <w:spacing w:line="360" w:lineRule="auto"/>
        <w:widowControl/>
        <w:rPr>
          <w:rFonts w:hint="eastAsia" w:ascii="宋体" w:hAnsi="宋体" w:cs="宋体"/>
          <w:b/>
          <w:color w:val="000000"/>
          <w:highlight w:val="none"/>
        </w:rPr>
      </w:pPr>
      <w:r>
        <w:rPr>
          <w:rFonts w:hint="eastAsia" w:ascii="宋体" w:hAnsi="宋体" w:cs="宋体"/>
          <w:color w:val="000000"/>
          <w:highlight w:val="none"/>
        </w:rPr>
        <w:t xml:space="preserve">注3：供应商如不提供此声明函，价格将不做相应扣除。</w:t>
      </w:r>
      <w:r>
        <w:rPr>
          <w:rFonts w:hint="eastAsia" w:ascii="宋体" w:hAnsi="宋体" w:cs="宋体"/>
          <w:b/>
          <w:color w:val="000000"/>
          <w:highlight w:val="none"/>
        </w:rPr>
      </w:r>
      <w:r/>
    </w:p>
    <w:p>
      <w:pPr>
        <w:pStyle w:val="933"/>
        <w:spacing w:line="360" w:lineRule="auto"/>
        <w:widowControl/>
        <w:rPr>
          <w:rFonts w:hint="eastAsia" w:ascii="宋体" w:hAnsi="宋体" w:cs="宋体"/>
          <w:b/>
          <w:color w:val="000000"/>
          <w:highlight w:val="none"/>
        </w:rPr>
      </w:pPr>
      <w:r>
        <w:rPr>
          <w:rFonts w:hint="eastAsia" w:ascii="宋体" w:hAnsi="宋体" w:cs="宋体"/>
          <w:b/>
          <w:color w:val="000000"/>
          <w:highlight w:val="none"/>
        </w:rPr>
      </w:r>
      <w:r/>
    </w:p>
    <w:p>
      <w:pPr>
        <w:pStyle w:val="933"/>
        <w:spacing w:line="360" w:lineRule="auto"/>
        <w:widowControl/>
        <w:rPr>
          <w:rFonts w:hint="eastAsia" w:ascii="宋体" w:hAnsi="宋体" w:cs="宋体"/>
          <w:b/>
          <w:color w:val="000000"/>
          <w:highlight w:val="none"/>
        </w:rPr>
        <w:outlineLvl w:val="1"/>
      </w:pPr>
      <w:r>
        <w:rPr>
          <w:rFonts w:hint="eastAsia" w:ascii="宋体" w:hAnsi="宋体" w:cs="宋体"/>
          <w:b/>
          <w:color w:val="000000"/>
          <w:highlight w:val="none"/>
        </w:rPr>
        <w:t xml:space="preserve">附件二、无重大违法记录声明格式</w:t>
      </w:r>
      <w:r>
        <w:rPr>
          <w:rFonts w:hint="eastAsia" w:ascii="宋体" w:hAnsi="宋体" w:cs="宋体"/>
          <w:b/>
          <w:color w:val="000000"/>
          <w:highlight w:val="none"/>
        </w:rPr>
      </w:r>
      <w:r/>
    </w:p>
    <w:p>
      <w:pPr>
        <w:pStyle w:val="933"/>
        <w:jc w:val="center"/>
        <w:spacing w:line="360" w:lineRule="auto"/>
        <w:rPr>
          <w:rFonts w:hint="eastAsia" w:ascii="宋体" w:hAnsi="宋体" w:cs="宋体"/>
          <w:color w:val="000000"/>
          <w:highlight w:val="none"/>
        </w:rPr>
      </w:pPr>
      <w:r>
        <w:rPr>
          <w:rFonts w:hint="eastAsia" w:ascii="宋体" w:hAnsi="宋体" w:cs="宋体"/>
          <w:color w:val="000000"/>
          <w:sz w:val="36"/>
          <w:szCs w:val="36"/>
          <w:highlight w:val="none"/>
        </w:rPr>
        <w:t xml:space="preserve">无重大违法记录声明</w:t>
      </w:r>
      <w:r>
        <w:rPr>
          <w:rFonts w:hint="eastAsia" w:ascii="宋体" w:hAnsi="宋体" w:cs="宋体"/>
          <w:color w:val="000000"/>
          <w:highlight w:val="none"/>
        </w:rPr>
      </w:r>
      <w:r/>
    </w:p>
    <w:p>
      <w:pPr>
        <w:pStyle w:val="933"/>
        <w:spacing w:line="360" w:lineRule="auto"/>
        <w:rPr>
          <w:rFonts w:hint="eastAsia" w:ascii="宋体" w:hAnsi="宋体" w:cs="宋体"/>
          <w:color w:val="000000"/>
          <w:highlight w:val="none"/>
        </w:rPr>
      </w:pPr>
      <w:r>
        <w:rPr>
          <w:rFonts w:hint="eastAsia" w:ascii="宋体" w:hAnsi="宋体" w:cs="宋体"/>
          <w:color w:val="000000"/>
          <w:highlight w:val="none"/>
        </w:rPr>
        <w:t xml:space="preserve">南京师范大学附属中学：</w:t>
      </w:r>
      <w:r>
        <w:rPr>
          <w:rFonts w:hint="eastAsia" w:ascii="宋体" w:hAnsi="宋体" w:cs="宋体"/>
          <w:color w:val="000000"/>
          <w:highlight w:val="none"/>
        </w:rPr>
      </w:r>
      <w:r/>
    </w:p>
    <w:p>
      <w:pPr>
        <w:pStyle w:val="933"/>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我单位（供应商名称）郑重声明：</w:t>
      </w:r>
      <w:r>
        <w:rPr>
          <w:rFonts w:hint="eastAsia" w:ascii="宋体" w:hAnsi="宋体" w:cs="宋体"/>
          <w:color w:val="000000"/>
          <w:highlight w:val="none"/>
        </w:rPr>
      </w:r>
      <w:r/>
    </w:p>
    <w:p>
      <w:pPr>
        <w:pStyle w:val="933"/>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参加政府采购活动前3年内在经营活动中</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（在下划线上如实填写：有或没有）重大违法记录。</w:t>
      </w:r>
      <w:r>
        <w:rPr>
          <w:rFonts w:hint="eastAsia" w:ascii="宋体" w:hAnsi="宋体" w:cs="宋体"/>
          <w:color w:val="000000"/>
          <w:highlight w:val="none"/>
        </w:rPr>
      </w:r>
      <w:r/>
    </w:p>
    <w:p>
      <w:pPr>
        <w:pStyle w:val="933"/>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color w:val="000000"/>
          <w:highlight w:val="none"/>
        </w:rPr>
      </w:r>
      <w:r/>
    </w:p>
    <w:p>
      <w:pPr>
        <w:pStyle w:val="933"/>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33"/>
        <w:ind w:firstLine="4620"/>
        <w:spacing w:line="360" w:lineRule="auto"/>
        <w:rPr>
          <w:rFonts w:hint="eastAsia" w:ascii="宋体" w:hAnsi="宋体" w:cs="宋体"/>
          <w:color w:val="000000"/>
          <w:highlight w:val="none"/>
        </w:rPr>
      </w:pPr>
      <w:r>
        <w:rPr>
          <w:rFonts w:hint="eastAsia" w:ascii="宋体" w:hAnsi="宋体" w:cs="宋体"/>
          <w:color w:val="000000"/>
          <w:highlight w:val="none"/>
        </w:rPr>
        <w:t xml:space="preserve">声明人（公章）：</w:t>
      </w:r>
      <w:r>
        <w:rPr>
          <w:rFonts w:hint="eastAsia" w:ascii="宋体" w:hAnsi="宋体" w:cs="宋体"/>
          <w:color w:val="000000"/>
          <w:highlight w:val="none"/>
        </w:rPr>
      </w:r>
      <w:r/>
    </w:p>
    <w:p>
      <w:pPr>
        <w:pStyle w:val="933"/>
        <w:ind w:firstLine="4620"/>
        <w:spacing w:line="360" w:lineRule="auto"/>
        <w:rPr>
          <w:rFonts w:hint="eastAsia" w:ascii="宋体" w:hAnsi="宋体" w:cs="宋体"/>
          <w:color w:val="000000"/>
          <w:highlight w:val="none"/>
        </w:rPr>
      </w:pPr>
      <w:r>
        <w:rPr>
          <w:rFonts w:hint="eastAsia" w:ascii="宋体" w:hAnsi="宋体" w:cs="宋体"/>
          <w:color w:val="000000"/>
          <w:highlight w:val="none"/>
        </w:rPr>
        <w:t xml:space="preserve">日　　　　  期：          年     月    日</w:t>
      </w:r>
      <w:r>
        <w:rPr>
          <w:rFonts w:hint="eastAsia" w:ascii="宋体" w:hAnsi="宋体" w:cs="宋体"/>
          <w:color w:val="000000"/>
          <w:highlight w:val="none"/>
        </w:rPr>
      </w:r>
      <w:r/>
    </w:p>
    <w:p>
      <w:pPr>
        <w:pStyle w:val="933"/>
        <w:ind w:firstLine="462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33"/>
        <w:spacing w:line="360" w:lineRule="auto"/>
        <w:rPr>
          <w:rFonts w:hint="eastAsia" w:ascii="宋体" w:hAnsi="宋体" w:cs="宋体"/>
          <w:b/>
          <w:color w:val="000000"/>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b/>
          <w:color w:val="000000"/>
          <w:highlight w:val="none"/>
        </w:rPr>
      </w:r>
      <w:r/>
    </w:p>
    <w:p>
      <w:pPr>
        <w:pStyle w:val="933"/>
        <w:spacing w:line="360" w:lineRule="auto"/>
        <w:rPr>
          <w:rFonts w:hint="eastAsia" w:ascii="宋体" w:hAnsi="宋体" w:cs="宋体"/>
          <w:b/>
          <w:color w:val="000000"/>
          <w:highlight w:val="none"/>
        </w:rPr>
        <w:outlineLvl w:val="1"/>
      </w:pPr>
      <w:r>
        <w:rPr>
          <w:rFonts w:hint="eastAsia" w:ascii="宋体" w:hAnsi="宋体" w:cs="宋体"/>
          <w:b/>
          <w:color w:val="000000"/>
          <w:highlight w:val="none"/>
        </w:rPr>
        <w:t xml:space="preserve">附件三、具备履行合同所必需的设备和专业技术能力的声明格式</w:t>
      </w:r>
      <w:r>
        <w:rPr>
          <w:rFonts w:hint="eastAsia" w:ascii="宋体" w:hAnsi="宋体" w:cs="宋体"/>
          <w:b/>
          <w:color w:val="000000"/>
          <w:highlight w:val="none"/>
        </w:rPr>
      </w:r>
      <w:r/>
    </w:p>
    <w:p>
      <w:pPr>
        <w:pStyle w:val="933"/>
        <w:jc w:val="center"/>
        <w:spacing w:line="360" w:lineRule="auto"/>
        <w:rPr>
          <w:rFonts w:hint="eastAsia" w:ascii="宋体" w:hAnsi="宋体" w:cs="宋体"/>
          <w:color w:val="000000"/>
          <w:sz w:val="36"/>
          <w:szCs w:val="36"/>
          <w:highlight w:val="none"/>
        </w:rPr>
      </w:pPr>
      <w:r>
        <w:rPr>
          <w:rFonts w:hint="eastAsia" w:ascii="宋体" w:hAnsi="宋体" w:cs="宋体"/>
          <w:color w:val="000000"/>
          <w:sz w:val="36"/>
          <w:szCs w:val="36"/>
          <w:highlight w:val="none"/>
        </w:rPr>
        <w:t xml:space="preserve">具备履行合同所必需的设备和专业技术能力的声明格式</w:t>
      </w:r>
      <w:r>
        <w:rPr>
          <w:rFonts w:hint="eastAsia" w:ascii="宋体" w:hAnsi="宋体" w:cs="宋体"/>
          <w:color w:val="000000"/>
          <w:sz w:val="36"/>
          <w:szCs w:val="36"/>
          <w:highlight w:val="none"/>
        </w:rPr>
      </w:r>
      <w:r/>
    </w:p>
    <w:p>
      <w:pPr>
        <w:pStyle w:val="933"/>
        <w:spacing w:line="360" w:lineRule="auto"/>
        <w:rPr>
          <w:rFonts w:hint="eastAsia" w:ascii="宋体" w:hAnsi="宋体" w:cs="宋体"/>
          <w:color w:val="000000"/>
          <w:highlight w:val="none"/>
        </w:rPr>
      </w:pPr>
      <w:r>
        <w:rPr>
          <w:rFonts w:hint="eastAsia" w:ascii="宋体" w:hAnsi="宋体" w:cs="宋体"/>
          <w:color w:val="000000"/>
          <w:highlight w:val="none"/>
        </w:rPr>
        <w:t xml:space="preserve">南京师范大学附属中学：</w:t>
      </w:r>
      <w:r>
        <w:rPr>
          <w:rFonts w:hint="eastAsia" w:ascii="宋体" w:hAnsi="宋体" w:cs="宋体"/>
          <w:color w:val="000000"/>
          <w:highlight w:val="none"/>
        </w:rPr>
      </w:r>
      <w:r/>
    </w:p>
    <w:p>
      <w:pPr>
        <w:pStyle w:val="933"/>
        <w:ind w:firstLine="492"/>
        <w:spacing w:line="460" w:lineRule="exact"/>
        <w:rPr>
          <w:rFonts w:hint="eastAsia" w:ascii="宋体" w:hAnsi="宋体" w:cs="宋体"/>
          <w:color w:val="000000"/>
          <w:highlight w:val="none"/>
        </w:rPr>
      </w:pPr>
      <w:r>
        <w:rPr>
          <w:rFonts w:hint="eastAsia" w:ascii="宋体" w:hAnsi="宋体" w:cs="宋体"/>
          <w:color w:val="000000"/>
          <w:highlight w:val="none"/>
        </w:rPr>
        <w:t xml:space="preserve">我单位（供应商名称）郑重声明：我公司具备履行本项采购合同所必需的设备和专业技术能力，为履行本项采购合同我单位具备如下主要设备和主要专业技术能力：</w:t>
      </w:r>
      <w:r>
        <w:rPr>
          <w:rFonts w:hint="eastAsia" w:ascii="宋体" w:hAnsi="宋体" w:cs="宋体"/>
          <w:color w:val="000000"/>
          <w:highlight w:val="none"/>
        </w:rPr>
      </w:r>
      <w:r/>
    </w:p>
    <w:p>
      <w:pPr>
        <w:pStyle w:val="933"/>
        <w:ind w:firstLine="492"/>
        <w:spacing w:line="460" w:lineRule="exact"/>
        <w:rPr>
          <w:rFonts w:hint="eastAsia" w:ascii="宋体" w:hAnsi="宋体" w:cs="宋体"/>
          <w:color w:val="000000"/>
          <w:highlight w:val="none"/>
        </w:rPr>
      </w:pPr>
      <w:r>
        <w:rPr>
          <w:rFonts w:hint="eastAsia" w:ascii="宋体" w:hAnsi="宋体" w:cs="宋体"/>
          <w:color w:val="000000"/>
          <w:highlight w:val="none"/>
        </w:rPr>
        <w:t xml:space="preserve">主要设备有：。（若有）</w:t>
      </w:r>
      <w:r>
        <w:rPr>
          <w:rFonts w:hint="eastAsia" w:ascii="宋体" w:hAnsi="宋体" w:cs="宋体"/>
          <w:color w:val="000000"/>
          <w:highlight w:val="none"/>
        </w:rPr>
      </w:r>
      <w:r/>
    </w:p>
    <w:p>
      <w:pPr>
        <w:pStyle w:val="933"/>
        <w:ind w:firstLine="492"/>
        <w:spacing w:line="460" w:lineRule="exact"/>
        <w:rPr>
          <w:rFonts w:hint="eastAsia" w:ascii="宋体" w:hAnsi="宋体" w:cs="宋体"/>
          <w:color w:val="000000"/>
          <w:highlight w:val="none"/>
        </w:rPr>
      </w:pPr>
      <w:r>
        <w:rPr>
          <w:rFonts w:hint="eastAsia" w:ascii="宋体" w:hAnsi="宋体" w:cs="宋体"/>
          <w:color w:val="000000"/>
          <w:highlight w:val="none"/>
        </w:rPr>
        <w:t xml:space="preserve">主要专业技术能力有：。（若有）</w:t>
      </w:r>
      <w:r>
        <w:rPr>
          <w:rFonts w:hint="eastAsia" w:ascii="宋体" w:hAnsi="宋体" w:cs="宋体"/>
          <w:color w:val="000000"/>
          <w:highlight w:val="none"/>
        </w:rPr>
      </w:r>
      <w:r/>
    </w:p>
    <w:p>
      <w:pPr>
        <w:pStyle w:val="933"/>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33"/>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33"/>
        <w:ind w:firstLine="5250"/>
        <w:spacing w:line="360" w:lineRule="auto"/>
        <w:rPr>
          <w:rFonts w:hint="eastAsia" w:ascii="宋体" w:hAnsi="宋体" w:cs="宋体"/>
          <w:color w:val="000000"/>
          <w:highlight w:val="none"/>
        </w:rPr>
      </w:pPr>
      <w:r>
        <w:rPr>
          <w:rFonts w:hint="eastAsia" w:ascii="宋体" w:hAnsi="宋体" w:cs="宋体"/>
          <w:color w:val="000000"/>
          <w:highlight w:val="none"/>
        </w:rPr>
        <w:t xml:space="preserve">声明人（公章）：</w:t>
      </w:r>
      <w:r>
        <w:rPr>
          <w:rFonts w:hint="eastAsia" w:ascii="宋体" w:hAnsi="宋体" w:cs="宋体"/>
          <w:color w:val="000000"/>
          <w:highlight w:val="none"/>
        </w:rPr>
      </w:r>
      <w:r/>
    </w:p>
    <w:p>
      <w:pPr>
        <w:pStyle w:val="933"/>
        <w:ind w:firstLine="5250"/>
        <w:spacing w:line="360" w:lineRule="auto"/>
        <w:rPr>
          <w:rFonts w:hint="eastAsia" w:ascii="宋体" w:hAnsi="宋体" w:cs="宋体"/>
          <w:color w:val="000000"/>
          <w:highlight w:val="none"/>
        </w:rPr>
      </w:pPr>
      <w:r>
        <w:rPr>
          <w:rFonts w:hint="eastAsia" w:ascii="宋体" w:hAnsi="宋体" w:cs="宋体"/>
          <w:color w:val="000000"/>
          <w:highlight w:val="none"/>
        </w:rPr>
        <w:t xml:space="preserve">日          期：        年     月    日</w:t>
      </w:r>
      <w:r>
        <w:rPr>
          <w:rFonts w:hint="eastAsia" w:ascii="宋体" w:hAnsi="宋体" w:cs="宋体"/>
          <w:color w:val="000000"/>
          <w:highlight w:val="none"/>
        </w:rPr>
      </w:r>
      <w:r/>
    </w:p>
    <w:p>
      <w:pPr>
        <w:pStyle w:val="933"/>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33"/>
        <w:ind w:firstLine="492"/>
        <w:spacing w:line="460" w:lineRule="exact"/>
        <w:rPr>
          <w:rFonts w:hint="eastAsia" w:ascii="宋体" w:hAnsi="宋体" w:cs="宋体"/>
          <w:color w:val="000000"/>
          <w:highlight w:val="none"/>
        </w:rPr>
      </w:pPr>
      <w:r>
        <w:rPr>
          <w:rFonts w:hint="eastAsia" w:ascii="宋体" w:hAnsi="宋体" w:cs="宋体"/>
          <w:color w:val="000000"/>
          <w:highlight w:val="none"/>
        </w:rPr>
        <w:t xml:space="preserve">其他证明材料及文件：（如果投标人认为需要提供的话）  </w:t>
      </w:r>
      <w:r>
        <w:rPr>
          <w:rFonts w:hint="eastAsia" w:ascii="宋体" w:hAnsi="宋体" w:cs="宋体"/>
          <w:color w:val="000000"/>
          <w:highlight w:val="none"/>
        </w:rPr>
      </w:r>
      <w:r/>
    </w:p>
    <w:p>
      <w:pPr>
        <w:pStyle w:val="933"/>
        <w:ind w:firstLine="4638"/>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3"/>
        <w:ind w:firstLine="4638"/>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372"/>
        <w:ind w:left="0"/>
        <w:jc w:val="both"/>
        <w:spacing w:line="360" w:lineRule="auto"/>
        <w:rPr>
          <w:rFonts w:hint="eastAsia"/>
          <w:color w:val="000000"/>
          <w:sz w:val="21"/>
          <w:szCs w:val="21"/>
          <w:highlight w:val="none"/>
        </w:rPr>
        <w:outlineLvl w:val="1"/>
      </w:pPr>
      <w:r>
        <w:rPr>
          <w:rFonts w:hint="eastAsia"/>
          <w:color w:val="000000"/>
          <w:sz w:val="21"/>
          <w:szCs w:val="21"/>
          <w:highlight w:val="none"/>
        </w:rPr>
        <w:t xml:space="preserve">附件四、残疾人福利性单位声明函格式</w:t>
      </w:r>
      <w:r>
        <w:rPr>
          <w:rFonts w:hint="eastAsia"/>
          <w:color w:val="000000"/>
          <w:sz w:val="21"/>
          <w:szCs w:val="21"/>
          <w:highlight w:val="none"/>
        </w:rPr>
      </w:r>
      <w:r/>
    </w:p>
    <w:p>
      <w:pPr>
        <w:pStyle w:val="1372"/>
        <w:ind w:left="0"/>
        <w:jc w:val="center"/>
        <w:spacing w:line="360" w:lineRule="auto"/>
        <w:rPr>
          <w:rFonts w:hint="eastAsia"/>
          <w:b w:val="0"/>
          <w:bCs w:val="0"/>
          <w:color w:val="000000"/>
          <w:sz w:val="36"/>
          <w:szCs w:val="36"/>
          <w:highlight w:val="none"/>
          <w:lang w:val="en-US" w:bidi="ar-SA"/>
        </w:rPr>
        <w:outlineLvl w:val="9"/>
      </w:pPr>
      <w:r>
        <w:rPr>
          <w:rFonts w:hint="eastAsia"/>
          <w:b w:val="0"/>
          <w:bCs w:val="0"/>
          <w:color w:val="000000"/>
          <w:sz w:val="36"/>
          <w:szCs w:val="36"/>
          <w:highlight w:val="none"/>
          <w:lang w:val="en-US" w:bidi="ar-SA"/>
        </w:rPr>
        <w:t xml:space="preserve">残疾人福利性单位声明函</w:t>
      </w:r>
      <w:r>
        <w:rPr>
          <w:rFonts w:hint="eastAsia"/>
          <w:b w:val="0"/>
          <w:bCs w:val="0"/>
          <w:color w:val="000000"/>
          <w:sz w:val="36"/>
          <w:szCs w:val="36"/>
          <w:highlight w:val="none"/>
          <w:lang w:val="en-US" w:bidi="ar-SA"/>
        </w:rPr>
      </w:r>
      <w:r/>
    </w:p>
    <w:p>
      <w:pPr>
        <w:pStyle w:val="969"/>
        <w:ind w:firstLine="420"/>
        <w:jc w:val="left"/>
        <w:spacing w:after="0" w:line="360" w:lineRule="auto"/>
        <w:tabs>
          <w:tab w:val="left" w:pos="3711" w:leader="none"/>
          <w:tab w:val="left" w:pos="5151"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单位的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1"/>
          <w:szCs w:val="21"/>
          <w:highlight w:val="none"/>
        </w:rPr>
      </w:r>
      <w:r/>
    </w:p>
    <w:p>
      <w:pPr>
        <w:pStyle w:val="969"/>
        <w:ind w:firstLine="420"/>
        <w:jc w:val="left"/>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本单位对上述声明的真实性负责。如有虚假，将依法承担相应责任。</w:t>
      </w:r>
      <w:r>
        <w:rPr>
          <w:rFonts w:hint="eastAsia" w:ascii="宋体" w:hAnsi="宋体" w:cs="宋体"/>
          <w:color w:val="000000"/>
          <w:sz w:val="21"/>
          <w:szCs w:val="21"/>
          <w:highlight w:val="none"/>
        </w:rPr>
      </w:r>
      <w:r/>
    </w:p>
    <w:p>
      <w:pPr>
        <w:pStyle w:val="969"/>
        <w:ind w:firstLine="420"/>
        <w:jc w:val="left"/>
        <w:spacing w:after="0" w:line="360" w:lineRule="auto"/>
        <w:tabs>
          <w:tab w:val="left" w:pos="7098"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单位名称（盖章）：</w:t>
      </w:r>
      <w:r>
        <w:rPr>
          <w:rFonts w:hint="eastAsia" w:ascii="宋体" w:hAnsi="宋体" w:cs="宋体"/>
          <w:color w:val="000000"/>
          <w:sz w:val="21"/>
          <w:szCs w:val="21"/>
          <w:highlight w:val="none"/>
        </w:rPr>
      </w:r>
      <w:r/>
    </w:p>
    <w:p>
      <w:pPr>
        <w:pStyle w:val="969"/>
        <w:ind w:firstLine="420"/>
        <w:jc w:val="left"/>
        <w:spacing w:after="0" w:line="360" w:lineRule="auto"/>
        <w:tabs>
          <w:tab w:val="left" w:pos="7098" w:leader="none"/>
        </w:tabs>
        <w:rPr>
          <w:rFonts w:hint="eastAsia" w:ascii="宋体" w:hAnsi="宋体" w:cs="宋体"/>
          <w:color w:val="000000"/>
          <w:highlight w:val="none"/>
        </w:rPr>
      </w:pPr>
      <w:r>
        <w:rPr>
          <w:rFonts w:hint="eastAsia" w:ascii="宋体" w:hAnsi="宋体" w:cs="宋体"/>
          <w:color w:val="000000"/>
          <w:sz w:val="21"/>
          <w:szCs w:val="21"/>
          <w:highlight w:val="none"/>
        </w:rPr>
        <w:t xml:space="preserve">日期：</w:t>
      </w:r>
      <w:r>
        <w:rPr>
          <w:rFonts w:hint="eastAsia" w:ascii="宋体" w:hAnsi="宋体" w:cs="宋体"/>
          <w:color w:val="000000"/>
          <w:highlight w:val="none"/>
        </w:rPr>
      </w:r>
      <w:r/>
    </w:p>
    <w:p>
      <w:pPr>
        <w:pStyle w:val="1372"/>
        <w:ind w:left="0"/>
        <w:rPr>
          <w:rFonts w:hint="eastAsia"/>
          <w:color w:val="000000"/>
          <w:sz w:val="21"/>
          <w:szCs w:val="21"/>
          <w:highlight w:val="none"/>
        </w:rPr>
        <w:outlineLvl w:val="9"/>
      </w:pPr>
      <w:r>
        <w:rPr>
          <w:rFonts w:hint="eastAsia"/>
          <w:color w:val="000000"/>
          <w:sz w:val="21"/>
          <w:szCs w:val="21"/>
          <w:highlight w:val="none"/>
        </w:rPr>
      </w:r>
      <w:r/>
    </w:p>
    <w:p>
      <w:pPr>
        <w:pStyle w:val="1372"/>
        <w:ind w:left="0"/>
        <w:rPr>
          <w:rFonts w:hint="eastAsia"/>
          <w:color w:val="000000"/>
          <w:sz w:val="21"/>
          <w:szCs w:val="21"/>
          <w:highlight w:val="none"/>
        </w:rPr>
        <w:outlineLvl w:val="9"/>
      </w:pPr>
      <w:r>
        <w:rPr>
          <w:rFonts w:hint="eastAsia"/>
          <w:color w:val="000000"/>
          <w:sz w:val="21"/>
          <w:szCs w:val="21"/>
          <w:highlight w:val="none"/>
        </w:rPr>
      </w:r>
      <w:r/>
    </w:p>
    <w:p>
      <w:pPr>
        <w:pStyle w:val="1372"/>
        <w:ind w:left="0"/>
        <w:rPr>
          <w:rFonts w:hint="eastAsia"/>
          <w:color w:val="000000"/>
          <w:sz w:val="21"/>
          <w:szCs w:val="21"/>
          <w:highlight w:val="none"/>
        </w:rPr>
        <w:outlineLvl w:val="9"/>
      </w:pPr>
      <w:r>
        <w:rPr>
          <w:rFonts w:hint="eastAsia"/>
          <w:color w:val="000000"/>
          <w:sz w:val="21"/>
          <w:szCs w:val="21"/>
          <w:highlight w:val="none"/>
        </w:rPr>
      </w:r>
      <w:r/>
    </w:p>
    <w:p>
      <w:pPr>
        <w:pStyle w:val="1372"/>
        <w:ind w:left="0"/>
        <w:rPr>
          <w:rFonts w:hint="eastAsia"/>
          <w:color w:val="000000"/>
          <w:sz w:val="21"/>
          <w:szCs w:val="21"/>
          <w:highlight w:val="none"/>
        </w:rPr>
        <w:outlineLvl w:val="9"/>
      </w:pPr>
      <w:r>
        <w:rPr>
          <w:rFonts w:hint="eastAsia"/>
          <w:color w:val="000000"/>
          <w:sz w:val="21"/>
          <w:szCs w:val="21"/>
          <w:highlight w:val="none"/>
        </w:rPr>
      </w:r>
      <w:r/>
    </w:p>
    <w:p>
      <w:pPr>
        <w:pStyle w:val="1372"/>
        <w:ind w:left="0"/>
        <w:spacing w:line="360" w:lineRule="auto"/>
        <w:rPr>
          <w:rFonts w:hint="eastAsia"/>
          <w:color w:val="000000"/>
          <w:highlight w:val="none"/>
        </w:rPr>
        <w:outlineLvl w:val="1"/>
      </w:pPr>
      <w:r>
        <w:rPr>
          <w:rFonts w:hint="eastAsia"/>
          <w:color w:val="000000"/>
          <w:sz w:val="21"/>
          <w:szCs w:val="21"/>
          <w:highlight w:val="none"/>
        </w:rPr>
        <w:t xml:space="preserve">附件五、属于监狱企业的证明文件</w:t>
      </w:r>
      <w:r>
        <w:rPr>
          <w:rFonts w:hint="eastAsia"/>
          <w:color w:val="000000"/>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提供由省级以上监狱管理局、戒毒管理局（含新疆生产建设兵团）出具的属于监狱企业的证明文件。</w:t>
      </w:r>
      <w:r>
        <w:rPr>
          <w:rFonts w:hint="eastAsia" w:ascii="宋体" w:hAnsi="宋体" w:cs="宋体"/>
          <w:color w:val="000000"/>
          <w:szCs w:val="21"/>
          <w:highlight w:val="none"/>
        </w:rPr>
      </w:r>
      <w:r/>
    </w:p>
    <w:p>
      <w:pPr>
        <w:pStyle w:val="972"/>
        <w:rPr>
          <w:rFonts w:hint="eastAsia" w:ascii="宋体" w:hAnsi="宋体"/>
          <w:color w:val="000000"/>
          <w:szCs w:val="21"/>
          <w:highlight w:val="none"/>
        </w:rPr>
      </w:pPr>
      <w:r>
        <w:rPr>
          <w:rFonts w:hint="eastAsia" w:ascii="宋体" w:hAnsi="宋体"/>
          <w:color w:val="000000"/>
          <w:szCs w:val="21"/>
          <w:highlight w:val="none"/>
        </w:rPr>
      </w:r>
      <w:r/>
    </w:p>
    <w:p>
      <w:pPr>
        <w:pStyle w:val="1372"/>
        <w:ind w:left="0"/>
        <w:spacing w:line="360" w:lineRule="auto"/>
        <w:rPr>
          <w:color w:val="000000"/>
          <w:sz w:val="21"/>
          <w:szCs w:val="21"/>
          <w:highlight w:val="none"/>
        </w:rPr>
        <w:outlineLvl w:val="1"/>
      </w:pPr>
      <w:r>
        <w:rPr>
          <w:rFonts w:hint="eastAsia" w:ascii="Times New Roman" w:hAnsi="Times New Roman" w:cs="Times New Roman"/>
          <w:color w:val="000000"/>
          <w:highlight w:val="none"/>
          <w:lang w:val="en-US"/>
        </w:rPr>
        <w:br w:type="page" w:clear="all"/>
      </w:r>
      <w:r>
        <w:rPr>
          <w:rFonts w:hint="eastAsia"/>
          <w:color w:val="000000"/>
          <w:sz w:val="21"/>
          <w:szCs w:val="21"/>
          <w:highlight w:val="none"/>
          <w:lang w:val="en-US"/>
        </w:rPr>
        <w:t xml:space="preserve">附件六、</w:t>
      </w:r>
      <w:r>
        <w:rPr>
          <w:color w:val="000000"/>
          <w:sz w:val="21"/>
          <w:szCs w:val="21"/>
          <w:highlight w:val="none"/>
        </w:rPr>
        <w:t xml:space="preserve">关于符合本国产品标准的声明函</w:t>
      </w:r>
      <w:r>
        <w:rPr>
          <w:color w:val="000000"/>
          <w:sz w:val="21"/>
          <w:szCs w:val="21"/>
          <w:highlight w:val="none"/>
        </w:rPr>
      </w:r>
      <w:r/>
    </w:p>
    <w:p>
      <w:pPr>
        <w:pStyle w:val="933"/>
        <w:ind w:firstLine="480"/>
        <w:rPr>
          <w:color w:val="000000"/>
          <w:highlight w:val="none"/>
        </w:rPr>
      </w:pPr>
      <w:r>
        <w:rPr>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highlight w:val="none"/>
        </w:rPr>
      </w:r>
      <w:r/>
    </w:p>
    <w:p>
      <w:pPr>
        <w:pStyle w:val="933"/>
        <w:ind w:firstLine="480"/>
        <w:rPr>
          <w:color w:val="000000"/>
          <w:highlight w:val="none"/>
        </w:rPr>
      </w:pPr>
      <w:r>
        <w:rPr>
          <w:color w:val="000000"/>
          <w:highlight w:val="none"/>
        </w:rPr>
        <w:t xml:space="preserve">1.</w:t>
      </w:r>
      <w:r>
        <w:rPr>
          <w:b/>
          <w:bCs/>
          <w:color w:val="000000"/>
          <w:highlight w:val="none"/>
          <w:u w:val="single"/>
        </w:rPr>
        <w:t xml:space="preserve">（产品名称1）</w:t>
      </w:r>
      <w:r>
        <w:rPr>
          <w:b/>
          <w:bCs/>
          <w:color w:val="000000"/>
          <w:highlight w:val="none"/>
          <w:u w:val="single"/>
          <w:vertAlign w:val="superscript"/>
        </w:rPr>
        <w:t xml:space="preserve">1</w:t>
      </w:r>
      <w:r>
        <w:rPr>
          <w:color w:val="000000"/>
          <w:highlight w:val="none"/>
        </w:rPr>
        <w:t xml:space="preserve">，生产厂为</w:t>
      </w:r>
      <w:r>
        <w:rPr>
          <w:b/>
          <w:bCs/>
          <w:color w:val="000000"/>
          <w:highlight w:val="none"/>
          <w:u w:val="single"/>
        </w:rPr>
        <w:t xml:space="preserve">（厂名）</w:t>
      </w:r>
      <w:r>
        <w:rPr>
          <w:b/>
          <w:bCs/>
          <w:color w:val="000000"/>
          <w:highlight w:val="none"/>
          <w:u w:val="single"/>
          <w:vertAlign w:val="superscript"/>
        </w:rPr>
        <w:t xml:space="preserve">2</w:t>
      </w:r>
      <w:r>
        <w:rPr>
          <w:color w:val="000000"/>
          <w:highlight w:val="none"/>
        </w:rPr>
        <w:t xml:space="preserve">，厂址为</w:t>
      </w:r>
      <w:r>
        <w:rPr>
          <w:b/>
          <w:bCs/>
          <w:color w:val="000000"/>
          <w:highlight w:val="none"/>
          <w:u w:val="single"/>
        </w:rPr>
        <w:t xml:space="preserve">（生产厂址）</w:t>
      </w:r>
      <w:r>
        <w:rPr>
          <w:color w:val="000000"/>
          <w:highlight w:val="none"/>
        </w:rPr>
        <w:t xml:space="preserve">。</w:t>
      </w:r>
      <w:r>
        <w:rPr>
          <w:b/>
          <w:bCs/>
          <w:strike/>
          <w:color w:val="000000"/>
          <w:highlight w:val="none"/>
          <w:u w:val="single"/>
        </w:rPr>
        <w:t xml:space="preserve">（产品名称1）</w:t>
      </w:r>
      <w:r>
        <w:rPr>
          <w:color w:val="000000"/>
          <w:highlight w:val="none"/>
        </w:rPr>
        <w:t xml:space="preserve">的中国境内生产的组件成本占比≥</w:t>
      </w:r>
      <w:r>
        <w:rPr>
          <w:b/>
          <w:bCs/>
          <w:strike/>
          <w:color w:val="000000"/>
          <w:highlight w:val="none"/>
          <w:u w:val="single"/>
        </w:rPr>
        <w:t xml:space="preserve">（规定比例）</w:t>
      </w:r>
      <w:r>
        <w:rPr>
          <w:b/>
          <w:bCs/>
          <w:strike/>
          <w:color w:val="000000"/>
          <w:highlight w:val="none"/>
          <w:u w:val="single"/>
          <w:vertAlign w:val="superscript"/>
        </w:rPr>
        <w:t xml:space="preserve">3</w:t>
      </w:r>
      <w:r>
        <w:rPr>
          <w:color w:val="000000"/>
          <w:highlight w:val="none"/>
        </w:rPr>
        <w:t xml:space="preserve">。</w:t>
      </w:r>
      <w:r>
        <w:rPr>
          <w:b/>
          <w:bCs/>
          <w:strike/>
          <w:color w:val="000000"/>
          <w:highlight w:val="none"/>
          <w:u w:val="single"/>
        </w:rPr>
        <w:t xml:space="preserve">（产品名称1）</w:t>
      </w:r>
      <w:r>
        <w:rPr>
          <w:color w:val="000000"/>
          <w:highlight w:val="none"/>
        </w:rPr>
        <w:t xml:space="preserve">的</w:t>
      </w:r>
      <w:r>
        <w:rPr>
          <w:b/>
          <w:bCs/>
          <w:strike/>
          <w:color w:val="000000"/>
          <w:highlight w:val="none"/>
          <w:u w:val="single"/>
        </w:rPr>
        <w:t xml:space="preserve">（关键组件）</w:t>
      </w:r>
      <w:r>
        <w:rPr>
          <w:b/>
          <w:bCs/>
          <w:strike/>
          <w:color w:val="000000"/>
          <w:highlight w:val="none"/>
          <w:u w:val="single"/>
          <w:vertAlign w:val="superscript"/>
        </w:rPr>
        <w:t xml:space="preserve">4</w:t>
      </w:r>
      <w:r>
        <w:rPr>
          <w:color w:val="000000"/>
          <w:highlight w:val="none"/>
        </w:rPr>
        <w:t xml:space="preserve">在中国境内生产。</w:t>
      </w:r>
      <w:r>
        <w:rPr>
          <w:b/>
          <w:bCs/>
          <w:strike/>
          <w:color w:val="000000"/>
          <w:highlight w:val="none"/>
          <w:u w:val="single"/>
        </w:rPr>
        <w:t xml:space="preserve">（产品名称1）</w:t>
      </w:r>
      <w:r>
        <w:rPr>
          <w:color w:val="000000"/>
          <w:highlight w:val="none"/>
        </w:rPr>
        <w:t xml:space="preserve">的</w:t>
      </w:r>
      <w:r>
        <w:rPr>
          <w:b/>
          <w:bCs/>
          <w:strike/>
          <w:color w:val="000000"/>
          <w:highlight w:val="none"/>
          <w:u w:val="single"/>
        </w:rPr>
        <w:t xml:space="preserve">（关键工序）</w:t>
      </w:r>
      <w:r>
        <w:rPr>
          <w:b/>
          <w:bCs/>
          <w:strike/>
          <w:color w:val="000000"/>
          <w:highlight w:val="none"/>
          <w:u w:val="single"/>
          <w:vertAlign w:val="superscript"/>
        </w:rPr>
        <w:t xml:space="preserve">5</w:t>
      </w:r>
      <w:r>
        <w:rPr>
          <w:color w:val="000000"/>
          <w:highlight w:val="none"/>
        </w:rPr>
        <w:t xml:space="preserve">在中国境内完成。</w:t>
      </w:r>
      <w:r>
        <w:rPr>
          <w:color w:val="000000"/>
          <w:highlight w:val="none"/>
        </w:rPr>
      </w:r>
      <w:r/>
    </w:p>
    <w:p>
      <w:pPr>
        <w:pStyle w:val="933"/>
        <w:ind w:firstLine="480"/>
        <w:rPr>
          <w:color w:val="000000"/>
          <w:highlight w:val="none"/>
        </w:rPr>
      </w:pPr>
      <w:r>
        <w:rPr>
          <w:color w:val="000000"/>
          <w:highlight w:val="none"/>
        </w:rPr>
        <w:t xml:space="preserve">2.</w:t>
      </w:r>
      <w:r>
        <w:rPr>
          <w:b/>
          <w:bCs/>
          <w:color w:val="000000"/>
          <w:highlight w:val="none"/>
          <w:u w:val="single"/>
        </w:rPr>
        <w:t xml:space="preserve">（产品名称2）</w:t>
      </w:r>
      <w:r>
        <w:rPr>
          <w:color w:val="000000"/>
          <w:highlight w:val="none"/>
        </w:rPr>
        <w:t xml:space="preserve">，生产厂为</w:t>
      </w:r>
      <w:r>
        <w:rPr>
          <w:b/>
          <w:bCs/>
          <w:color w:val="000000"/>
          <w:highlight w:val="none"/>
          <w:u w:val="single"/>
        </w:rPr>
        <w:t xml:space="preserve">（厂名）</w:t>
      </w:r>
      <w:r>
        <w:rPr>
          <w:color w:val="000000"/>
          <w:highlight w:val="none"/>
        </w:rPr>
        <w:t xml:space="preserve">，厂址为</w:t>
      </w:r>
      <w:r>
        <w:rPr>
          <w:b/>
          <w:bCs/>
          <w:color w:val="000000"/>
          <w:highlight w:val="none"/>
          <w:u w:val="single"/>
        </w:rPr>
        <w:t xml:space="preserve">（生产厂址）</w:t>
      </w:r>
      <w:r>
        <w:rPr>
          <w:color w:val="000000"/>
          <w:highlight w:val="none"/>
        </w:rPr>
        <w:t xml:space="preserve">。</w:t>
      </w:r>
      <w:r>
        <w:rPr>
          <w:b/>
          <w:bCs/>
          <w:strike/>
          <w:color w:val="000000"/>
          <w:highlight w:val="none"/>
          <w:u w:val="single"/>
        </w:rPr>
        <w:t xml:space="preserve">（产品名称2）</w:t>
      </w:r>
      <w:r>
        <w:rPr>
          <w:color w:val="000000"/>
          <w:highlight w:val="none"/>
        </w:rPr>
        <w:t xml:space="preserve">的中国境内生产的组件成本占比≥</w:t>
      </w:r>
      <w:r>
        <w:rPr>
          <w:b/>
          <w:bCs/>
          <w:strike/>
          <w:color w:val="000000"/>
          <w:highlight w:val="none"/>
          <w:u w:val="single"/>
        </w:rPr>
        <w:t xml:space="preserve">（规定比例）</w:t>
      </w:r>
      <w:r>
        <w:rPr>
          <w:color w:val="000000"/>
          <w:highlight w:val="none"/>
        </w:rPr>
        <w:t xml:space="preserve">。</w:t>
      </w:r>
      <w:r>
        <w:rPr>
          <w:b/>
          <w:bCs/>
          <w:strike/>
          <w:color w:val="000000"/>
          <w:highlight w:val="none"/>
          <w:u w:val="single"/>
        </w:rPr>
        <w:t xml:space="preserve">（产品名称2）</w:t>
      </w:r>
      <w:r>
        <w:rPr>
          <w:color w:val="000000"/>
          <w:highlight w:val="none"/>
        </w:rPr>
        <w:t xml:space="preserve">的</w:t>
      </w:r>
      <w:r>
        <w:rPr>
          <w:b/>
          <w:bCs/>
          <w:strike/>
          <w:color w:val="000000"/>
          <w:highlight w:val="none"/>
          <w:u w:val="single"/>
        </w:rPr>
        <w:t xml:space="preserve">（关键组件）</w:t>
      </w:r>
      <w:r>
        <w:rPr>
          <w:color w:val="000000"/>
          <w:highlight w:val="none"/>
        </w:rPr>
        <w:t xml:space="preserve">在中国境内生产。</w:t>
      </w:r>
      <w:r>
        <w:rPr>
          <w:b/>
          <w:bCs/>
          <w:strike/>
          <w:color w:val="000000"/>
          <w:highlight w:val="none"/>
          <w:u w:val="single"/>
        </w:rPr>
        <w:t xml:space="preserve">（产品名称2）</w:t>
      </w:r>
      <w:r>
        <w:rPr>
          <w:color w:val="000000"/>
          <w:highlight w:val="none"/>
        </w:rPr>
        <w:t xml:space="preserve">的</w:t>
      </w:r>
      <w:r>
        <w:rPr>
          <w:b/>
          <w:bCs/>
          <w:strike/>
          <w:color w:val="000000"/>
          <w:highlight w:val="none"/>
          <w:u w:val="single"/>
        </w:rPr>
        <w:t xml:space="preserve">（关键工序）</w:t>
      </w:r>
      <w:r>
        <w:rPr>
          <w:color w:val="000000"/>
          <w:highlight w:val="none"/>
        </w:rPr>
        <w:t xml:space="preserve">在中国境内完成。</w:t>
      </w:r>
      <w:r>
        <w:rPr>
          <w:color w:val="000000"/>
          <w:highlight w:val="none"/>
        </w:rPr>
      </w:r>
      <w:r/>
    </w:p>
    <w:p>
      <w:pPr>
        <w:pStyle w:val="933"/>
        <w:ind w:firstLine="480"/>
        <w:rPr>
          <w:color w:val="000000"/>
          <w:highlight w:val="none"/>
        </w:rPr>
      </w:pPr>
      <w:r>
        <w:rPr>
          <w:color w:val="000000"/>
          <w:highlight w:val="none"/>
        </w:rPr>
        <w:t xml:space="preserve">……</w:t>
      </w:r>
      <w:r>
        <w:rPr>
          <w:color w:val="000000"/>
          <w:highlight w:val="none"/>
        </w:rPr>
      </w:r>
      <w:r/>
    </w:p>
    <w:p>
      <w:pPr>
        <w:pStyle w:val="933"/>
        <w:ind w:firstLine="480"/>
        <w:rPr>
          <w:color w:val="000000"/>
          <w:highlight w:val="none"/>
        </w:rPr>
      </w:pPr>
      <w:r>
        <w:rPr>
          <w:color w:val="000000"/>
          <w:highlight w:val="none"/>
        </w:rPr>
        <w:t xml:space="preserve">本公司（单位）对上述声明内容的真实性负责。如有虚假，愿承担相应法律责任。</w:t>
      </w:r>
      <w:r>
        <w:rPr>
          <w:color w:val="000000"/>
          <w:highlight w:val="none"/>
        </w:rPr>
      </w:r>
      <w:r/>
    </w:p>
    <w:p>
      <w:pPr>
        <w:pStyle w:val="933"/>
        <w:ind w:firstLine="480"/>
        <w:rPr>
          <w:color w:val="000000"/>
          <w:highlight w:val="none"/>
        </w:rPr>
      </w:pPr>
      <w:r>
        <w:rPr>
          <w:color w:val="000000"/>
          <w:highlight w:val="none"/>
        </w:rPr>
      </w:r>
      <w:r/>
    </w:p>
    <w:p>
      <w:pPr>
        <w:pStyle w:val="933"/>
        <w:ind w:firstLine="480"/>
        <w:jc w:val="right"/>
        <w:rPr>
          <w:color w:val="000000"/>
          <w:highlight w:val="none"/>
        </w:rPr>
      </w:pPr>
      <w:r>
        <w:rPr>
          <w:color w:val="000000"/>
          <w:highlight w:val="none"/>
        </w:rPr>
        <w:t xml:space="preserve">公司（单位）名称（盖章）：</w:t>
      </w:r>
      <w:r>
        <w:rPr>
          <w:color w:val="000000"/>
          <w:highlight w:val="none"/>
        </w:rPr>
      </w:r>
      <w:r/>
    </w:p>
    <w:p>
      <w:pPr>
        <w:pStyle w:val="933"/>
        <w:ind w:firstLine="480"/>
        <w:jc w:val="right"/>
        <w:rPr>
          <w:color w:val="000000"/>
          <w:highlight w:val="none"/>
        </w:rPr>
      </w:pPr>
      <w:r>
        <w:rPr>
          <w:color w:val="000000"/>
          <w:highlight w:val="none"/>
        </w:rPr>
        <w:t xml:space="preserve">日期：    年    月    日</w:t>
      </w:r>
      <w:r>
        <w:rPr>
          <w:color w:val="000000"/>
          <w:highlight w:val="none"/>
        </w:rPr>
      </w:r>
      <w:r/>
    </w:p>
    <w:p>
      <w:pPr>
        <w:pStyle w:val="933"/>
        <w:rPr>
          <w:color w:val="000000"/>
          <w:highlight w:val="none"/>
        </w:rPr>
      </w:pPr>
      <w:r>
        <w:rPr>
          <w:color w:val="000000"/>
          <w:highlight w:val="none"/>
        </w:rPr>
        <w:t xml:space="preserve">__________________</w:t>
      </w:r>
      <w:r>
        <w:rPr>
          <w:color w:val="000000"/>
          <w:highlight w:val="none"/>
        </w:rPr>
      </w:r>
      <w:r/>
    </w:p>
    <w:p>
      <w:pPr>
        <w:pStyle w:val="933"/>
        <w:rPr>
          <w:color w:val="000000"/>
          <w:highlight w:val="none"/>
        </w:rPr>
      </w:pPr>
      <w:r>
        <w:rPr>
          <w:color w:val="000000"/>
          <w:highlight w:val="none"/>
        </w:rPr>
        <w:t xml:space="preserve">1.产品如有型号，请在“产品名称”栏一并填写。</w:t>
      </w:r>
      <w:r>
        <w:rPr>
          <w:color w:val="000000"/>
          <w:highlight w:val="none"/>
        </w:rPr>
      </w:r>
      <w:r/>
    </w:p>
    <w:p>
      <w:pPr>
        <w:pStyle w:val="933"/>
        <w:rPr>
          <w:color w:val="000000"/>
          <w:highlight w:val="none"/>
        </w:rPr>
      </w:pPr>
      <w:r>
        <w:rPr>
          <w:color w:val="000000"/>
          <w:highlight w:val="none"/>
        </w:rPr>
        <w:t xml:space="preserve">2.生产厂名与厂址应与生产厂营业执照载明的相关信息保持一致。</w:t>
      </w:r>
      <w:r>
        <w:rPr>
          <w:color w:val="000000"/>
          <w:highlight w:val="none"/>
        </w:rPr>
      </w:r>
      <w:r/>
    </w:p>
    <w:p>
      <w:pPr>
        <w:pStyle w:val="933"/>
        <w:rPr>
          <w:color w:val="000000"/>
          <w:highlight w:val="none"/>
        </w:rPr>
      </w:pPr>
      <w:r>
        <w:rPr>
          <w:color w:val="000000"/>
          <w:highlight w:val="none"/>
        </w:rPr>
        <w:t xml:space="preserve">3.该产品的中国境内生产的组件成本占比相关要求实施前，“规定比例”栏可不填，下同。</w:t>
      </w:r>
      <w:r>
        <w:rPr>
          <w:color w:val="000000"/>
          <w:highlight w:val="none"/>
        </w:rPr>
      </w:r>
      <w:r/>
    </w:p>
    <w:p>
      <w:pPr>
        <w:pStyle w:val="933"/>
        <w:rPr>
          <w:color w:val="000000"/>
          <w:highlight w:val="none"/>
        </w:rPr>
      </w:pPr>
      <w:r>
        <w:rPr>
          <w:color w:val="000000"/>
          <w:highlight w:val="none"/>
        </w:rPr>
        <w:t xml:space="preserve">4.该产品的关键组件要求实施前，“关键组件”栏可不填，下同。</w:t>
      </w:r>
      <w:r>
        <w:rPr>
          <w:color w:val="000000"/>
          <w:highlight w:val="none"/>
        </w:rPr>
      </w:r>
      <w:r/>
    </w:p>
    <w:p>
      <w:pPr>
        <w:pStyle w:val="933"/>
        <w:rPr>
          <w:color w:val="000000"/>
          <w:highlight w:val="none"/>
        </w:rPr>
      </w:pPr>
      <w:r>
        <w:rPr>
          <w:color w:val="000000"/>
          <w:highlight w:val="none"/>
        </w:rPr>
        <w:t xml:space="preserve">5.该产品的关键工序要求实施前，“关键工序”栏可不填，下同。</w:t>
      </w:r>
      <w:r>
        <w:rPr>
          <w:color w:val="000000"/>
          <w:highlight w:val="none"/>
        </w:rPr>
      </w:r>
      <w:r/>
    </w:p>
    <w:p>
      <w:pPr>
        <w:pStyle w:val="933"/>
        <w:rPr>
          <w:color w:val="000000"/>
          <w:highlight w:val="none"/>
        </w:rPr>
      </w:pPr>
      <w:r>
        <w:rPr>
          <w:color w:val="000000"/>
          <w:highlight w:val="none"/>
        </w:rPr>
        <w:t xml:space="preserve">6.用删除线划除的地方无需填写。</w:t>
      </w:r>
      <w:r>
        <w:rPr>
          <w:color w:val="000000"/>
          <w:highlight w:val="none"/>
        </w:rPr>
      </w:r>
      <w:r/>
    </w:p>
    <w:p>
      <w:pPr>
        <w:pStyle w:val="933"/>
        <w:rPr>
          <w:rFonts w:hint="eastAsia"/>
          <w:color w:val="000000"/>
          <w:highlight w:val="none"/>
          <w:lang w:val="zh-CN"/>
        </w:rPr>
      </w:pPr>
      <w:r>
        <w:rPr>
          <w:rFonts w:hint="eastAsia"/>
          <w:color w:val="000000"/>
          <w:highlight w:val="none"/>
          <w:lang w:val="zh-CN"/>
        </w:rPr>
      </w:r>
      <w:r/>
    </w:p>
    <w:sectPr>
      <w:footnotePr/>
      <w:endnotePr>
        <w:numFmt w:val="decimal"/>
      </w:endnotePr>
      <w:type w:val="nextPage"/>
      <w:pgSz w:w="11906" w:h="16838" w:orient="portrait"/>
      <w:pgMar w:top="850" w:right="850" w:bottom="850" w:left="1417" w:header="567"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方正大黑简体">
    <w:panose1 w:val="020B0503020202020204"/>
  </w:font>
  <w:font w:name="Georgia">
    <w:panose1 w:val="02040502050405020303"/>
  </w:font>
  <w:font w:name="方正小标宋_GBK">
    <w:panose1 w:val="020B0503020202020204"/>
  </w:font>
  <w:font w:name="华文细黑">
    <w:panose1 w:val="02010600040101010101"/>
  </w:font>
  <w:font w:name="华文楷体">
    <w:panose1 w:val="02010600040101010101"/>
  </w:font>
  <w:font w:name="楷体_GB2312">
    <w:panose1 w:val="02010609060101010101"/>
  </w:font>
  <w:font w:name="Tahoma">
    <w:panose1 w:val="020B0604030504040204"/>
  </w:font>
  <w:font w:name="汉仪大黑简">
    <w:panose1 w:val="020B0503020202020204"/>
  </w:font>
  <w:font w:name="仿宋">
    <w:panose1 w:val="02010609060101010101"/>
  </w:font>
  <w:font w:name="方正楷体_GB2312">
    <w:panose1 w:val="020B0503020202020204"/>
  </w:font>
  <w:font w:name="Cambria">
    <w:panose1 w:val="0204050305040603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11885" cy="16700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11885" cy="167005"/>
                      </a:xfrm>
                      <a:prstGeom prst="rect">
                        <a:avLst/>
                      </a:prstGeom>
                      <a:noFill/>
                      <a:ln w="6350">
                        <a:noFill/>
                      </a:ln>
                    </wps:spPr>
                    <wps:txbx>
                      <w:txbxContent>
                        <w:p>
                          <w:pPr>
                            <w:pStyle w:val="987"/>
                            <w:tabs>
                              <w:tab w:val="clear" w:pos="4153" w:leader="none"/>
                              <w:tab w:val="clear" w:pos="8306" w:leader="none"/>
                            </w:tabs>
                          </w:pPr>
                          <w:r>
                            <w:t xml:space="preserve">第 </w:t>
                          </w:r>
                          <w:r>
                            <w:fldChar w:fldCharType="begin"/>
                          </w:r>
                          <w:r>
                            <w:instrText xml:space="preserve"> PAGE  \* MERGEFORMAT </w:instrText>
                          </w:r>
                          <w:r>
                            <w:fldChar w:fldCharType="separate"/>
                          </w:r>
                          <w:r>
                            <w:t xml:space="preserve">28</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pPr>
                            <w:pStyle w:val="933"/>
                          </w:pPr>
                          <w:r/>
                          <w:r/>
                        </w:p>
                      </w:txbxContent>
                    </wps:txbx>
                    <wps:bodyPr wrap="square" lIns="0" tIns="0" rIns="0" bIns="0" upright="1"/>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87.5pt;height:13.1pt;mso-wrap-distance-left:9.0pt;mso-wrap-distance-top:0.0pt;mso-wrap-distance-right:9.0pt;mso-wrap-distance-bottom:0.0pt;visibility:visible;" filled="f" stroked="f" strokeweight="0.50pt">
              <v:textbox inset="0,0,0,0">
                <w:txbxContent>
                  <w:p>
                    <w:pPr>
                      <w:pStyle w:val="987"/>
                      <w:tabs>
                        <w:tab w:val="clear" w:pos="4153" w:leader="none"/>
                        <w:tab w:val="clear" w:pos="8306" w:leader="none"/>
                      </w:tabs>
                    </w:pPr>
                    <w:r>
                      <w:t xml:space="preserve">第 </w:t>
                    </w:r>
                    <w:r>
                      <w:fldChar w:fldCharType="begin"/>
                    </w:r>
                    <w:r>
                      <w:instrText xml:space="preserve"> PAGE  \* MERGEFORMAT </w:instrText>
                    </w:r>
                    <w:r>
                      <w:fldChar w:fldCharType="separate"/>
                    </w:r>
                    <w:r>
                      <w:t xml:space="preserve">28</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pPr>
                      <w:pStyle w:val="93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w:r/>
  </w:p>
  <w:p>
    <w:pPr>
      <w:pStyle w:val="933"/>
    </w:pPr>
    <w:r/>
    <w:r/>
  </w:p>
  <w:p>
    <w:pPr>
      <w:pStyle w:val="9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7"/>
                            <w:tabs>
                              <w:tab w:val="clear" w:pos="4153" w:leader="none"/>
                              <w:tab w:val="clear" w:pos="8306" w:leader="none"/>
                            </w:tabs>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pPr>
                            <w:pStyle w:val="93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7"/>
                      <w:tabs>
                        <w:tab w:val="clear" w:pos="4153" w:leader="none"/>
                        <w:tab w:val="clear" w:pos="8306" w:leader="none"/>
                      </w:tabs>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pPr>
                      <w:pStyle w:val="93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left"/>
      <w:tabs>
        <w:tab w:val="center" w:pos="4153" w:leader="none"/>
        <w:tab w:val="right" w:pos="8306" w:leader="none"/>
      </w:tabs>
      <w:rPr>
        <w:rFonts w:hint="eastAsia" w:ascii="仿宋" w:hAnsi="仿宋" w:eastAsia="仿宋" w:cs="仿宋"/>
        <w:sz w:val="24"/>
        <w:szCs w:val="24"/>
      </w:rPr>
    </w:pPr>
    <w:r>
      <w:rPr>
        <w:rFonts w:hint="eastAsia" w:ascii="仿宋" w:hAnsi="仿宋" w:eastAsia="仿宋" w:cs="仿宋"/>
        <w:sz w:val="24"/>
        <w:szCs w:val="24"/>
      </w:rPr>
      <w:t xml:space="preserve">江苏嘉里工程咨询有限公司</w:t>
    </w:r>
    <w:r>
      <w:rPr>
        <w:rFonts w:hint="eastAsia" w:ascii="仿宋" w:hAnsi="仿宋" w:eastAsia="仿宋" w:cs="仿宋"/>
        <w:sz w:val="24"/>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933"/>
        <w:ind w:left="2280" w:hanging="720"/>
        <w:tabs>
          <w:tab w:val="num" w:pos="2280" w:leader="none"/>
        </w:tabs>
      </w:pPr>
      <w:rPr>
        <w:rFonts w:hint="eastAsia"/>
      </w:rPr>
    </w:lvl>
    <w:lvl w:ilvl="1">
      <w:start w:val="1"/>
      <w:numFmt w:val="lowerLetter"/>
      <w:isLgl w:val="false"/>
      <w:suff w:val="tab"/>
      <w:lvlText w:val="%2)"/>
      <w:lvlJc w:val="left"/>
      <w:pPr>
        <w:pStyle w:val="933"/>
        <w:ind w:left="2400" w:hanging="420"/>
        <w:tabs>
          <w:tab w:val="num" w:pos="2400" w:leader="none"/>
        </w:tabs>
      </w:pPr>
    </w:lvl>
    <w:lvl w:ilvl="2">
      <w:start w:val="1"/>
      <w:numFmt w:val="lowerRoman"/>
      <w:isLgl w:val="false"/>
      <w:suff w:val="tab"/>
      <w:lvlText w:val="%3."/>
      <w:lvlJc w:val="right"/>
      <w:pPr>
        <w:pStyle w:val="933"/>
        <w:ind w:left="2820" w:hanging="420"/>
        <w:tabs>
          <w:tab w:val="num" w:pos="2820" w:leader="none"/>
        </w:tabs>
      </w:pPr>
    </w:lvl>
    <w:lvl w:ilvl="3">
      <w:start w:val="1"/>
      <w:numFmt w:val="decimal"/>
      <w:isLgl w:val="false"/>
      <w:suff w:val="tab"/>
      <w:lvlText w:val="%4."/>
      <w:lvlJc w:val="left"/>
      <w:pPr>
        <w:pStyle w:val="933"/>
        <w:ind w:left="3240" w:hanging="420"/>
        <w:tabs>
          <w:tab w:val="num" w:pos="3240" w:leader="none"/>
        </w:tabs>
      </w:pPr>
    </w:lvl>
    <w:lvl w:ilvl="4">
      <w:start w:val="1"/>
      <w:numFmt w:val="lowerLetter"/>
      <w:isLgl w:val="false"/>
      <w:suff w:val="tab"/>
      <w:lvlText w:val="%5)"/>
      <w:lvlJc w:val="left"/>
      <w:pPr>
        <w:pStyle w:val="933"/>
        <w:ind w:left="3660" w:hanging="420"/>
        <w:tabs>
          <w:tab w:val="num" w:pos="3660" w:leader="none"/>
        </w:tabs>
      </w:pPr>
    </w:lvl>
    <w:lvl w:ilvl="5">
      <w:start w:val="1"/>
      <w:numFmt w:val="lowerRoman"/>
      <w:isLgl w:val="false"/>
      <w:suff w:val="tab"/>
      <w:lvlText w:val="%6."/>
      <w:lvlJc w:val="right"/>
      <w:pPr>
        <w:pStyle w:val="933"/>
        <w:ind w:left="4080" w:hanging="420"/>
        <w:tabs>
          <w:tab w:val="num" w:pos="4080" w:leader="none"/>
        </w:tabs>
      </w:pPr>
    </w:lvl>
    <w:lvl w:ilvl="6">
      <w:start w:val="1"/>
      <w:numFmt w:val="decimal"/>
      <w:isLgl w:val="false"/>
      <w:suff w:val="tab"/>
      <w:lvlText w:val="%7."/>
      <w:lvlJc w:val="left"/>
      <w:pPr>
        <w:pStyle w:val="933"/>
        <w:ind w:left="4500" w:hanging="420"/>
        <w:tabs>
          <w:tab w:val="num" w:pos="4500" w:leader="none"/>
        </w:tabs>
      </w:pPr>
    </w:lvl>
    <w:lvl w:ilvl="7">
      <w:start w:val="1"/>
      <w:numFmt w:val="lowerLetter"/>
      <w:isLgl w:val="false"/>
      <w:suff w:val="tab"/>
      <w:lvlText w:val="%8)"/>
      <w:lvlJc w:val="left"/>
      <w:pPr>
        <w:pStyle w:val="933"/>
        <w:ind w:left="4920" w:hanging="420"/>
        <w:tabs>
          <w:tab w:val="num" w:pos="4920" w:leader="none"/>
        </w:tabs>
      </w:pPr>
    </w:lvl>
    <w:lvl w:ilvl="8">
      <w:start w:val="1"/>
      <w:numFmt w:val="lowerRoman"/>
      <w:isLgl w:val="false"/>
      <w:suff w:val="tab"/>
      <w:lvlText w:val="%9."/>
      <w:lvlJc w:val="right"/>
      <w:pPr>
        <w:pStyle w:val="933"/>
        <w:ind w:left="5340" w:hanging="420"/>
        <w:tabs>
          <w:tab w:val="num" w:pos="534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name w:val="Heading 1"/>
    <w:basedOn w:val="933"/>
    <w:next w:val="933"/>
    <w:link w:val="758"/>
    <w:uiPriority w:val="9"/>
    <w:qFormat/>
    <w:pPr>
      <w:keepLines/>
      <w:keepNext/>
      <w:spacing w:before="480" w:after="200"/>
      <w:outlineLvl w:val="0"/>
    </w:pPr>
    <w:rPr>
      <w:rFonts w:ascii="Arial" w:hAnsi="Arial" w:eastAsia="Arial" w:cs="Arial"/>
      <w:sz w:val="40"/>
      <w:szCs w:val="40"/>
    </w:rPr>
  </w:style>
  <w:style w:type="character" w:styleId="758">
    <w:name w:val="Heading 1 Char"/>
    <w:link w:val="757"/>
    <w:uiPriority w:val="9"/>
    <w:rPr>
      <w:rFonts w:ascii="Arial" w:hAnsi="Arial" w:eastAsia="Arial" w:cs="Arial"/>
      <w:sz w:val="40"/>
      <w:szCs w:val="40"/>
    </w:rPr>
  </w:style>
  <w:style w:type="paragraph" w:styleId="759">
    <w:name w:val="Heading 2"/>
    <w:basedOn w:val="933"/>
    <w:next w:val="933"/>
    <w:link w:val="760"/>
    <w:uiPriority w:val="9"/>
    <w:unhideWhenUsed/>
    <w:qFormat/>
    <w:pPr>
      <w:keepLines/>
      <w:keepNext/>
      <w:spacing w:before="360" w:after="200"/>
      <w:outlineLvl w:val="1"/>
    </w:pPr>
    <w:rPr>
      <w:rFonts w:ascii="Arial" w:hAnsi="Arial" w:eastAsia="Arial" w:cs="Arial"/>
      <w:sz w:val="34"/>
    </w:rPr>
  </w:style>
  <w:style w:type="character" w:styleId="760">
    <w:name w:val="Heading 2 Char"/>
    <w:link w:val="759"/>
    <w:uiPriority w:val="9"/>
    <w:rPr>
      <w:rFonts w:ascii="Arial" w:hAnsi="Arial" w:eastAsia="Arial" w:cs="Arial"/>
      <w:sz w:val="34"/>
    </w:rPr>
  </w:style>
  <w:style w:type="paragraph" w:styleId="761">
    <w:name w:val="Heading 3"/>
    <w:basedOn w:val="933"/>
    <w:next w:val="933"/>
    <w:link w:val="762"/>
    <w:uiPriority w:val="9"/>
    <w:unhideWhenUsed/>
    <w:qFormat/>
    <w:pPr>
      <w:keepLines/>
      <w:keepNext/>
      <w:spacing w:before="320" w:after="200"/>
      <w:outlineLvl w:val="2"/>
    </w:pPr>
    <w:rPr>
      <w:rFonts w:ascii="Arial" w:hAnsi="Arial" w:eastAsia="Arial" w:cs="Arial"/>
      <w:sz w:val="30"/>
      <w:szCs w:val="30"/>
    </w:rPr>
  </w:style>
  <w:style w:type="character" w:styleId="762">
    <w:name w:val="Heading 3 Char"/>
    <w:link w:val="761"/>
    <w:uiPriority w:val="9"/>
    <w:rPr>
      <w:rFonts w:ascii="Arial" w:hAnsi="Arial" w:eastAsia="Arial" w:cs="Arial"/>
      <w:sz w:val="30"/>
      <w:szCs w:val="30"/>
    </w:rPr>
  </w:style>
  <w:style w:type="paragraph" w:styleId="763">
    <w:name w:val="Heading 4"/>
    <w:basedOn w:val="933"/>
    <w:next w:val="933"/>
    <w:link w:val="764"/>
    <w:uiPriority w:val="9"/>
    <w:unhideWhenUsed/>
    <w:qFormat/>
    <w:pPr>
      <w:keepLines/>
      <w:keepNext/>
      <w:spacing w:before="320" w:after="200"/>
      <w:outlineLvl w:val="3"/>
    </w:pPr>
    <w:rPr>
      <w:rFonts w:ascii="Arial" w:hAnsi="Arial" w:eastAsia="Arial" w:cs="Arial"/>
      <w:b/>
      <w:bCs/>
      <w:sz w:val="26"/>
      <w:szCs w:val="26"/>
    </w:rPr>
  </w:style>
  <w:style w:type="character" w:styleId="764">
    <w:name w:val="Heading 4 Char"/>
    <w:link w:val="763"/>
    <w:uiPriority w:val="9"/>
    <w:rPr>
      <w:rFonts w:ascii="Arial" w:hAnsi="Arial" w:eastAsia="Arial" w:cs="Arial"/>
      <w:b/>
      <w:bCs/>
      <w:sz w:val="26"/>
      <w:szCs w:val="26"/>
    </w:rPr>
  </w:style>
  <w:style w:type="paragraph" w:styleId="765">
    <w:name w:val="Heading 5"/>
    <w:basedOn w:val="933"/>
    <w:next w:val="933"/>
    <w:link w:val="766"/>
    <w:uiPriority w:val="9"/>
    <w:unhideWhenUsed/>
    <w:qFormat/>
    <w:pPr>
      <w:keepLines/>
      <w:keepNext/>
      <w:spacing w:before="320" w:after="200"/>
      <w:outlineLvl w:val="4"/>
    </w:pPr>
    <w:rPr>
      <w:rFonts w:ascii="Arial" w:hAnsi="Arial" w:eastAsia="Arial" w:cs="Arial"/>
      <w:b/>
      <w:bCs/>
      <w:sz w:val="24"/>
      <w:szCs w:val="24"/>
    </w:rPr>
  </w:style>
  <w:style w:type="character" w:styleId="766">
    <w:name w:val="Heading 5 Char"/>
    <w:link w:val="765"/>
    <w:uiPriority w:val="9"/>
    <w:rPr>
      <w:rFonts w:ascii="Arial" w:hAnsi="Arial" w:eastAsia="Arial" w:cs="Arial"/>
      <w:b/>
      <w:bCs/>
      <w:sz w:val="24"/>
      <w:szCs w:val="24"/>
    </w:rPr>
  </w:style>
  <w:style w:type="paragraph" w:styleId="767">
    <w:name w:val="Heading 6"/>
    <w:basedOn w:val="933"/>
    <w:next w:val="933"/>
    <w:link w:val="768"/>
    <w:uiPriority w:val="9"/>
    <w:unhideWhenUsed/>
    <w:qFormat/>
    <w:pPr>
      <w:keepLines/>
      <w:keepNext/>
      <w:spacing w:before="320" w:after="200"/>
      <w:outlineLvl w:val="5"/>
    </w:pPr>
    <w:rPr>
      <w:rFonts w:ascii="Arial" w:hAnsi="Arial" w:eastAsia="Arial" w:cs="Arial"/>
      <w:b/>
      <w:bCs/>
      <w:sz w:val="22"/>
      <w:szCs w:val="22"/>
    </w:rPr>
  </w:style>
  <w:style w:type="character" w:styleId="768">
    <w:name w:val="Heading 6 Char"/>
    <w:link w:val="767"/>
    <w:uiPriority w:val="9"/>
    <w:rPr>
      <w:rFonts w:ascii="Arial" w:hAnsi="Arial" w:eastAsia="Arial" w:cs="Arial"/>
      <w:b/>
      <w:bCs/>
      <w:sz w:val="22"/>
      <w:szCs w:val="22"/>
    </w:rPr>
  </w:style>
  <w:style w:type="paragraph" w:styleId="769">
    <w:name w:val="Heading 7"/>
    <w:basedOn w:val="933"/>
    <w:next w:val="933"/>
    <w:link w:val="770"/>
    <w:uiPriority w:val="9"/>
    <w:unhideWhenUsed/>
    <w:qFormat/>
    <w:pPr>
      <w:keepLines/>
      <w:keepNext/>
      <w:spacing w:before="320" w:after="200"/>
      <w:outlineLvl w:val="6"/>
    </w:pPr>
    <w:rPr>
      <w:rFonts w:ascii="Arial" w:hAnsi="Arial" w:eastAsia="Arial" w:cs="Arial"/>
      <w:b/>
      <w:bCs/>
      <w:i/>
      <w:iCs/>
      <w:sz w:val="22"/>
      <w:szCs w:val="22"/>
    </w:rPr>
  </w:style>
  <w:style w:type="character" w:styleId="770">
    <w:name w:val="Heading 7 Char"/>
    <w:link w:val="769"/>
    <w:uiPriority w:val="9"/>
    <w:rPr>
      <w:rFonts w:ascii="Arial" w:hAnsi="Arial" w:eastAsia="Arial" w:cs="Arial"/>
      <w:b/>
      <w:bCs/>
      <w:i/>
      <w:iCs/>
      <w:sz w:val="22"/>
      <w:szCs w:val="22"/>
    </w:rPr>
  </w:style>
  <w:style w:type="paragraph" w:styleId="771">
    <w:name w:val="Heading 8"/>
    <w:basedOn w:val="933"/>
    <w:next w:val="933"/>
    <w:link w:val="772"/>
    <w:uiPriority w:val="9"/>
    <w:unhideWhenUsed/>
    <w:qFormat/>
    <w:pPr>
      <w:keepLines/>
      <w:keepNext/>
      <w:spacing w:before="320" w:after="200"/>
      <w:outlineLvl w:val="7"/>
    </w:pPr>
    <w:rPr>
      <w:rFonts w:ascii="Arial" w:hAnsi="Arial" w:eastAsia="Arial" w:cs="Arial"/>
      <w:i/>
      <w:iCs/>
      <w:sz w:val="22"/>
      <w:szCs w:val="22"/>
    </w:rPr>
  </w:style>
  <w:style w:type="character" w:styleId="772">
    <w:name w:val="Heading 8 Char"/>
    <w:link w:val="771"/>
    <w:uiPriority w:val="9"/>
    <w:rPr>
      <w:rFonts w:ascii="Arial" w:hAnsi="Arial" w:eastAsia="Arial" w:cs="Arial"/>
      <w:i/>
      <w:iCs/>
      <w:sz w:val="22"/>
      <w:szCs w:val="22"/>
    </w:rPr>
  </w:style>
  <w:style w:type="paragraph" w:styleId="773">
    <w:name w:val="Heading 9"/>
    <w:basedOn w:val="933"/>
    <w:next w:val="933"/>
    <w:link w:val="774"/>
    <w:uiPriority w:val="9"/>
    <w:unhideWhenUsed/>
    <w:qFormat/>
    <w:pPr>
      <w:keepLines/>
      <w:keepNext/>
      <w:spacing w:before="320" w:after="200"/>
      <w:outlineLvl w:val="8"/>
    </w:pPr>
    <w:rPr>
      <w:rFonts w:ascii="Arial" w:hAnsi="Arial" w:eastAsia="Arial" w:cs="Arial"/>
      <w:i/>
      <w:iCs/>
      <w:sz w:val="21"/>
      <w:szCs w:val="21"/>
    </w:rPr>
  </w:style>
  <w:style w:type="character" w:styleId="774">
    <w:name w:val="Heading 9 Char"/>
    <w:link w:val="773"/>
    <w:uiPriority w:val="9"/>
    <w:rPr>
      <w:rFonts w:ascii="Arial" w:hAnsi="Arial" w:eastAsia="Arial" w:cs="Arial"/>
      <w:i/>
      <w:iCs/>
      <w:sz w:val="21"/>
      <w:szCs w:val="21"/>
    </w:rPr>
  </w:style>
  <w:style w:type="paragraph" w:styleId="775">
    <w:name w:val="List Paragraph"/>
    <w:basedOn w:val="933"/>
    <w:uiPriority w:val="34"/>
    <w:qFormat/>
    <w:pPr>
      <w:contextualSpacing/>
      <w:ind w:left="720"/>
    </w:pPr>
  </w:style>
  <w:style w:type="paragraph" w:styleId="776">
    <w:name w:val="No Spacing"/>
    <w:uiPriority w:val="1"/>
    <w:qFormat/>
    <w:pPr>
      <w:spacing w:before="0" w:after="0" w:line="240" w:lineRule="auto"/>
    </w:pPr>
  </w:style>
  <w:style w:type="paragraph" w:styleId="777">
    <w:name w:val="Title"/>
    <w:basedOn w:val="933"/>
    <w:next w:val="933"/>
    <w:link w:val="778"/>
    <w:uiPriority w:val="10"/>
    <w:qFormat/>
    <w:pPr>
      <w:contextualSpacing/>
      <w:spacing w:before="300" w:after="200"/>
    </w:pPr>
    <w:rPr>
      <w:sz w:val="48"/>
      <w:szCs w:val="48"/>
    </w:rPr>
  </w:style>
  <w:style w:type="character" w:styleId="778">
    <w:name w:val="Title Char"/>
    <w:link w:val="777"/>
    <w:uiPriority w:val="10"/>
    <w:rPr>
      <w:sz w:val="48"/>
      <w:szCs w:val="48"/>
    </w:rPr>
  </w:style>
  <w:style w:type="paragraph" w:styleId="779">
    <w:name w:val="Subtitle"/>
    <w:basedOn w:val="933"/>
    <w:next w:val="933"/>
    <w:link w:val="780"/>
    <w:uiPriority w:val="11"/>
    <w:qFormat/>
    <w:pPr>
      <w:spacing w:before="200" w:after="200"/>
    </w:pPr>
    <w:rPr>
      <w:sz w:val="24"/>
      <w:szCs w:val="24"/>
    </w:rPr>
  </w:style>
  <w:style w:type="character" w:styleId="780">
    <w:name w:val="Subtitle Char"/>
    <w:link w:val="779"/>
    <w:uiPriority w:val="11"/>
    <w:rPr>
      <w:sz w:val="24"/>
      <w:szCs w:val="24"/>
    </w:rPr>
  </w:style>
  <w:style w:type="paragraph" w:styleId="781">
    <w:name w:val="Quote"/>
    <w:basedOn w:val="933"/>
    <w:next w:val="933"/>
    <w:link w:val="1130"/>
    <w:uiPriority w:val="29"/>
    <w:qFormat/>
    <w:pPr>
      <w:ind w:left="720" w:right="720"/>
    </w:pPr>
    <w:rPr>
      <w:i/>
    </w:rPr>
  </w:style>
  <w:style w:type="paragraph" w:styleId="782">
    <w:name w:val="Intense Quote"/>
    <w:basedOn w:val="933"/>
    <w:next w:val="933"/>
    <w:link w:val="11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3">
    <w:name w:val="Header"/>
    <w:basedOn w:val="933"/>
    <w:link w:val="784"/>
    <w:uiPriority w:val="99"/>
    <w:unhideWhenUsed/>
    <w:pPr>
      <w:spacing w:after="0" w:line="240" w:lineRule="auto"/>
      <w:tabs>
        <w:tab w:val="center" w:pos="7143" w:leader="none"/>
        <w:tab w:val="right" w:pos="14287" w:leader="none"/>
      </w:tabs>
    </w:pPr>
  </w:style>
  <w:style w:type="character" w:styleId="784">
    <w:name w:val="Header Char"/>
    <w:link w:val="783"/>
    <w:uiPriority w:val="99"/>
  </w:style>
  <w:style w:type="paragraph" w:styleId="785">
    <w:name w:val="Footer"/>
    <w:basedOn w:val="933"/>
    <w:link w:val="788"/>
    <w:uiPriority w:val="99"/>
    <w:unhideWhenUsed/>
    <w:pPr>
      <w:spacing w:after="0" w:line="240" w:lineRule="auto"/>
      <w:tabs>
        <w:tab w:val="center" w:pos="7143" w:leader="none"/>
        <w:tab w:val="right" w:pos="14287" w:leader="none"/>
      </w:tabs>
    </w:pPr>
  </w:style>
  <w:style w:type="character" w:styleId="786">
    <w:name w:val="Footer Char"/>
    <w:link w:val="785"/>
    <w:uiPriority w:val="99"/>
  </w:style>
  <w:style w:type="paragraph" w:styleId="787">
    <w:name w:val="Caption"/>
    <w:basedOn w:val="933"/>
    <w:next w:val="933"/>
    <w:uiPriority w:val="35"/>
    <w:semiHidden/>
    <w:unhideWhenUsed/>
    <w:qFormat/>
    <w:pPr>
      <w:spacing w:line="276" w:lineRule="auto"/>
    </w:pPr>
    <w:rPr>
      <w:b/>
      <w:bCs/>
      <w:color w:val="4f81bd" w:themeColor="accent1"/>
      <w:sz w:val="18"/>
      <w:szCs w:val="18"/>
    </w:rPr>
  </w:style>
  <w:style w:type="character" w:styleId="788">
    <w:name w:val="Caption Char"/>
    <w:basedOn w:val="787"/>
    <w:link w:val="785"/>
    <w:uiPriority w:val="99"/>
  </w:style>
  <w:style w:type="table" w:styleId="7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5">
    <w:name w:val="Hyperlink"/>
    <w:uiPriority w:val="99"/>
    <w:unhideWhenUsed/>
    <w:rPr>
      <w:color w:val="0000ff" w:themeColor="hyperlink"/>
      <w:u w:val="single"/>
    </w:rPr>
  </w:style>
  <w:style w:type="paragraph" w:styleId="916">
    <w:name w:val="footnote text"/>
    <w:basedOn w:val="933"/>
    <w:link w:val="917"/>
    <w:uiPriority w:val="99"/>
    <w:semiHidden/>
    <w:unhideWhenUsed/>
    <w:pPr>
      <w:spacing w:after="40" w:line="240" w:lineRule="auto"/>
    </w:pPr>
    <w:rPr>
      <w:sz w:val="18"/>
    </w:rPr>
  </w:style>
  <w:style w:type="character" w:styleId="917">
    <w:name w:val="Footnote Text Char"/>
    <w:link w:val="916"/>
    <w:uiPriority w:val="99"/>
    <w:rPr>
      <w:sz w:val="18"/>
    </w:rPr>
  </w:style>
  <w:style w:type="character" w:styleId="918">
    <w:name w:val="footnote reference"/>
    <w:uiPriority w:val="99"/>
    <w:unhideWhenUsed/>
    <w:rPr>
      <w:vertAlign w:val="superscript"/>
    </w:rPr>
  </w:style>
  <w:style w:type="paragraph" w:styleId="919">
    <w:name w:val="endnote text"/>
    <w:basedOn w:val="933"/>
    <w:link w:val="920"/>
    <w:uiPriority w:val="99"/>
    <w:semiHidden/>
    <w:unhideWhenUsed/>
    <w:pPr>
      <w:spacing w:after="0" w:line="240" w:lineRule="auto"/>
    </w:pPr>
    <w:rPr>
      <w:sz w:val="20"/>
    </w:rPr>
  </w:style>
  <w:style w:type="character" w:styleId="920">
    <w:name w:val="Endnote Text Char"/>
    <w:link w:val="919"/>
    <w:uiPriority w:val="99"/>
    <w:rPr>
      <w:sz w:val="20"/>
    </w:rPr>
  </w:style>
  <w:style w:type="character" w:styleId="921">
    <w:name w:val="endnote reference"/>
    <w:uiPriority w:val="99"/>
    <w:semiHidden/>
    <w:unhideWhenUsed/>
    <w:rPr>
      <w:vertAlign w:val="superscript"/>
    </w:rPr>
  </w:style>
  <w:style w:type="paragraph" w:styleId="922">
    <w:name w:val="toc 1"/>
    <w:basedOn w:val="933"/>
    <w:next w:val="933"/>
    <w:uiPriority w:val="39"/>
    <w:unhideWhenUsed/>
    <w:pPr>
      <w:ind w:left="0" w:right="0" w:firstLine="0"/>
      <w:spacing w:after="57"/>
    </w:pPr>
  </w:style>
  <w:style w:type="paragraph" w:styleId="923">
    <w:name w:val="toc 2"/>
    <w:basedOn w:val="933"/>
    <w:next w:val="933"/>
    <w:uiPriority w:val="39"/>
    <w:unhideWhenUsed/>
    <w:pPr>
      <w:ind w:left="283" w:right="0" w:firstLine="0"/>
      <w:spacing w:after="57"/>
    </w:pPr>
  </w:style>
  <w:style w:type="paragraph" w:styleId="924">
    <w:name w:val="toc 3"/>
    <w:basedOn w:val="933"/>
    <w:next w:val="933"/>
    <w:uiPriority w:val="39"/>
    <w:unhideWhenUsed/>
    <w:pPr>
      <w:ind w:left="567" w:right="0" w:firstLine="0"/>
      <w:spacing w:after="57"/>
    </w:pPr>
  </w:style>
  <w:style w:type="paragraph" w:styleId="925">
    <w:name w:val="toc 4"/>
    <w:basedOn w:val="933"/>
    <w:next w:val="933"/>
    <w:uiPriority w:val="39"/>
    <w:unhideWhenUsed/>
    <w:pPr>
      <w:ind w:left="850" w:right="0" w:firstLine="0"/>
      <w:spacing w:after="57"/>
    </w:pPr>
  </w:style>
  <w:style w:type="paragraph" w:styleId="926">
    <w:name w:val="toc 5"/>
    <w:basedOn w:val="933"/>
    <w:next w:val="933"/>
    <w:uiPriority w:val="39"/>
    <w:unhideWhenUsed/>
    <w:pPr>
      <w:ind w:left="1134" w:right="0" w:firstLine="0"/>
      <w:spacing w:after="57"/>
    </w:pPr>
  </w:style>
  <w:style w:type="paragraph" w:styleId="927">
    <w:name w:val="toc 6"/>
    <w:basedOn w:val="933"/>
    <w:next w:val="933"/>
    <w:uiPriority w:val="39"/>
    <w:unhideWhenUsed/>
    <w:pPr>
      <w:ind w:left="1417" w:right="0" w:firstLine="0"/>
      <w:spacing w:after="57"/>
    </w:pPr>
  </w:style>
  <w:style w:type="paragraph" w:styleId="928">
    <w:name w:val="toc 7"/>
    <w:basedOn w:val="933"/>
    <w:next w:val="933"/>
    <w:uiPriority w:val="39"/>
    <w:unhideWhenUsed/>
    <w:pPr>
      <w:ind w:left="1701" w:right="0" w:firstLine="0"/>
      <w:spacing w:after="57"/>
    </w:pPr>
  </w:style>
  <w:style w:type="paragraph" w:styleId="929">
    <w:name w:val="toc 8"/>
    <w:basedOn w:val="933"/>
    <w:next w:val="933"/>
    <w:uiPriority w:val="39"/>
    <w:unhideWhenUsed/>
    <w:pPr>
      <w:ind w:left="1984" w:right="0" w:firstLine="0"/>
      <w:spacing w:after="57"/>
    </w:pPr>
  </w:style>
  <w:style w:type="paragraph" w:styleId="930">
    <w:name w:val="toc 9"/>
    <w:basedOn w:val="933"/>
    <w:next w:val="933"/>
    <w:uiPriority w:val="39"/>
    <w:unhideWhenUsed/>
    <w:pPr>
      <w:ind w:left="2268" w:right="0" w:firstLine="0"/>
      <w:spacing w:after="57"/>
    </w:pPr>
  </w:style>
  <w:style w:type="paragraph" w:styleId="931">
    <w:name w:val="TOC Heading"/>
    <w:uiPriority w:val="39"/>
    <w:unhideWhenUsed/>
  </w:style>
  <w:style w:type="paragraph" w:styleId="932">
    <w:name w:val="table of figures"/>
    <w:basedOn w:val="933"/>
    <w:next w:val="933"/>
    <w:uiPriority w:val="99"/>
    <w:unhideWhenUsed/>
    <w:pPr>
      <w:spacing w:after="0" w:afterAutospacing="0"/>
    </w:pPr>
  </w:style>
  <w:style w:type="paragraph" w:styleId="933" w:default="1">
    <w:name w:val="Normal"/>
    <w:next w:val="945"/>
    <w:link w:val="933"/>
    <w:qFormat/>
    <w:pPr>
      <w:jc w:val="both"/>
      <w:widowControl w:val="off"/>
    </w:pPr>
    <w:rPr>
      <w:sz w:val="21"/>
      <w:szCs w:val="24"/>
      <w:lang w:val="en-US" w:eastAsia="zh-CN" w:bidi="ar-SA"/>
    </w:rPr>
  </w:style>
  <w:style w:type="paragraph" w:styleId="934">
    <w:name w:val="标题 1"/>
    <w:basedOn w:val="933"/>
    <w:next w:val="933"/>
    <w:link w:val="947"/>
    <w:uiPriority w:val="9"/>
    <w:qFormat/>
    <w:pPr>
      <w:keepLines/>
      <w:keepNext/>
      <w:spacing w:before="340" w:after="330" w:line="576" w:lineRule="auto"/>
      <w:outlineLvl w:val="0"/>
    </w:pPr>
    <w:rPr>
      <w:b/>
      <w:bCs/>
      <w:sz w:val="44"/>
      <w:szCs w:val="44"/>
    </w:rPr>
  </w:style>
  <w:style w:type="paragraph" w:styleId="935">
    <w:name w:val="标题 2"/>
    <w:basedOn w:val="933"/>
    <w:next w:val="933"/>
    <w:link w:val="948"/>
    <w:uiPriority w:val="9"/>
    <w:qFormat/>
    <w:pPr>
      <w:keepLines/>
      <w:keepNext/>
      <w:spacing w:before="260" w:after="260" w:line="413" w:lineRule="auto"/>
      <w:outlineLvl w:val="1"/>
    </w:pPr>
    <w:rPr>
      <w:rFonts w:ascii="Arial" w:hAnsi="Arial" w:eastAsia="黑体"/>
      <w:b/>
      <w:bCs/>
      <w:sz w:val="32"/>
      <w:szCs w:val="32"/>
    </w:rPr>
  </w:style>
  <w:style w:type="paragraph" w:styleId="936">
    <w:name w:val="标题 3"/>
    <w:basedOn w:val="933"/>
    <w:next w:val="933"/>
    <w:link w:val="949"/>
    <w:uiPriority w:val="9"/>
    <w:qFormat/>
    <w:pPr>
      <w:keepLines/>
      <w:keepNext/>
      <w:spacing w:before="260" w:after="260" w:line="413" w:lineRule="auto"/>
      <w:outlineLvl w:val="2"/>
    </w:pPr>
    <w:rPr>
      <w:b/>
      <w:bCs/>
      <w:sz w:val="32"/>
      <w:szCs w:val="32"/>
    </w:rPr>
  </w:style>
  <w:style w:type="paragraph" w:styleId="937">
    <w:name w:val="标题 4"/>
    <w:basedOn w:val="933"/>
    <w:next w:val="933"/>
    <w:link w:val="950"/>
    <w:uiPriority w:val="9"/>
    <w:qFormat/>
    <w:pPr>
      <w:keepLines/>
      <w:keepNext/>
      <w:spacing w:before="120" w:after="120"/>
      <w:outlineLvl w:val="3"/>
    </w:pPr>
    <w:rPr>
      <w:rFonts w:ascii="Arial" w:hAnsi="Arial" w:eastAsia="黑体"/>
      <w:b/>
      <w:sz w:val="20"/>
      <w:szCs w:val="20"/>
    </w:rPr>
  </w:style>
  <w:style w:type="paragraph" w:styleId="938">
    <w:name w:val="标题 5"/>
    <w:basedOn w:val="933"/>
    <w:next w:val="933"/>
    <w:link w:val="951"/>
    <w:uiPriority w:val="9"/>
    <w:qFormat/>
    <w:pPr>
      <w:ind w:left="1008" w:hanging="1008"/>
      <w:keepLines/>
      <w:keepNext/>
      <w:spacing w:before="280" w:after="290" w:line="372" w:lineRule="auto"/>
      <w:tabs>
        <w:tab w:val="left" w:pos="1008" w:leader="none"/>
      </w:tabs>
      <w:outlineLvl w:val="4"/>
    </w:pPr>
    <w:rPr>
      <w:b/>
      <w:bCs/>
      <w:sz w:val="28"/>
      <w:szCs w:val="28"/>
    </w:rPr>
  </w:style>
  <w:style w:type="paragraph" w:styleId="939">
    <w:name w:val="标题 6"/>
    <w:basedOn w:val="933"/>
    <w:next w:val="933"/>
    <w:link w:val="952"/>
    <w:uiPriority w:val="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940">
    <w:name w:val="标题 7"/>
    <w:basedOn w:val="933"/>
    <w:next w:val="933"/>
    <w:link w:val="953"/>
    <w:uiPriority w:val="9"/>
    <w:qFormat/>
    <w:pPr>
      <w:ind w:left="1296" w:hanging="1296"/>
      <w:keepLines/>
      <w:keepNext/>
      <w:spacing w:before="240" w:after="64" w:line="317" w:lineRule="auto"/>
      <w:tabs>
        <w:tab w:val="left" w:pos="1296" w:leader="none"/>
      </w:tabs>
      <w:outlineLvl w:val="6"/>
    </w:pPr>
    <w:rPr>
      <w:b/>
      <w:bCs/>
      <w:sz w:val="24"/>
    </w:rPr>
  </w:style>
  <w:style w:type="paragraph" w:styleId="941">
    <w:name w:val="标题 8"/>
    <w:basedOn w:val="933"/>
    <w:next w:val="933"/>
    <w:link w:val="954"/>
    <w:uiPriority w:val="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42">
    <w:name w:val="标题 9"/>
    <w:basedOn w:val="933"/>
    <w:next w:val="933"/>
    <w:link w:val="955"/>
    <w:uiPriority w:val="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43">
    <w:name w:val="默认段落字体"/>
    <w:next w:val="943"/>
    <w:link w:val="933"/>
    <w:uiPriority w:val="1"/>
    <w:unhideWhenUsed/>
    <w:qFormat/>
  </w:style>
  <w:style w:type="table" w:styleId="944">
    <w:name w:val="普通表格"/>
    <w:next w:val="944"/>
    <w:link w:val="933"/>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45">
    <w:name w:val="正文文本缩进"/>
    <w:basedOn w:val="933"/>
    <w:next w:val="933"/>
    <w:link w:val="946"/>
    <w:uiPriority w:val="99"/>
    <w:qFormat/>
    <w:pPr>
      <w:ind w:left="420"/>
      <w:spacing w:after="120"/>
    </w:pPr>
    <w:rPr>
      <w:sz w:val="24"/>
    </w:rPr>
  </w:style>
  <w:style w:type="character" w:styleId="946">
    <w:name w:val="正文文本缩进 Char"/>
    <w:next w:val="946"/>
    <w:link w:val="945"/>
    <w:uiPriority w:val="99"/>
    <w:qFormat/>
    <w:rPr>
      <w:rFonts w:ascii="Times New Roman" w:hAnsi="Times New Roman" w:eastAsia="宋体" w:cs="Times New Roman"/>
      <w:sz w:val="24"/>
      <w:szCs w:val="24"/>
    </w:rPr>
  </w:style>
  <w:style w:type="character" w:styleId="947">
    <w:name w:val="标题 1 Char"/>
    <w:next w:val="947"/>
    <w:link w:val="934"/>
    <w:uiPriority w:val="9"/>
    <w:qFormat/>
    <w:rPr>
      <w:rFonts w:ascii="Times New Roman" w:hAnsi="Times New Roman" w:eastAsia="宋体" w:cs="Times New Roman"/>
      <w:b/>
      <w:bCs/>
      <w:sz w:val="44"/>
      <w:szCs w:val="44"/>
    </w:rPr>
  </w:style>
  <w:style w:type="character" w:styleId="948">
    <w:name w:val="标题 2 Char"/>
    <w:next w:val="948"/>
    <w:link w:val="935"/>
    <w:uiPriority w:val="9"/>
    <w:qFormat/>
    <w:rPr>
      <w:rFonts w:ascii="Arial" w:hAnsi="Arial" w:eastAsia="黑体" w:cs="Times New Roman"/>
      <w:b/>
      <w:bCs/>
      <w:sz w:val="32"/>
      <w:szCs w:val="32"/>
    </w:rPr>
  </w:style>
  <w:style w:type="character" w:styleId="949">
    <w:name w:val="标题 3 Char"/>
    <w:next w:val="949"/>
    <w:link w:val="936"/>
    <w:uiPriority w:val="9"/>
    <w:qFormat/>
    <w:rPr>
      <w:rFonts w:ascii="Times New Roman" w:hAnsi="Times New Roman" w:eastAsia="宋体" w:cs="Times New Roman"/>
      <w:b/>
      <w:bCs/>
      <w:sz w:val="32"/>
      <w:szCs w:val="32"/>
    </w:rPr>
  </w:style>
  <w:style w:type="character" w:styleId="950">
    <w:name w:val="标题 4 Char"/>
    <w:next w:val="950"/>
    <w:link w:val="937"/>
    <w:uiPriority w:val="9"/>
    <w:qFormat/>
    <w:rPr>
      <w:rFonts w:ascii="Arial" w:hAnsi="Arial" w:eastAsia="黑体" w:cs="Times New Roman"/>
      <w:b/>
      <w:sz w:val="20"/>
      <w:szCs w:val="20"/>
    </w:rPr>
  </w:style>
  <w:style w:type="character" w:styleId="951">
    <w:name w:val="标题 5 Char"/>
    <w:next w:val="951"/>
    <w:link w:val="938"/>
    <w:uiPriority w:val="9"/>
    <w:qFormat/>
    <w:rPr>
      <w:rFonts w:ascii="Times New Roman" w:hAnsi="Times New Roman" w:eastAsia="宋体" w:cs="Times New Roman"/>
      <w:b/>
      <w:bCs/>
      <w:sz w:val="28"/>
      <w:szCs w:val="28"/>
    </w:rPr>
  </w:style>
  <w:style w:type="character" w:styleId="952">
    <w:name w:val="标题 6 Char"/>
    <w:next w:val="952"/>
    <w:link w:val="939"/>
    <w:uiPriority w:val="9"/>
    <w:qFormat/>
    <w:rPr>
      <w:rFonts w:ascii="Arial" w:hAnsi="Arial" w:eastAsia="黑体" w:cs="Times New Roman"/>
      <w:b/>
      <w:bCs/>
      <w:sz w:val="24"/>
      <w:szCs w:val="24"/>
    </w:rPr>
  </w:style>
  <w:style w:type="character" w:styleId="953">
    <w:name w:val="标题 7 Char"/>
    <w:next w:val="953"/>
    <w:link w:val="940"/>
    <w:uiPriority w:val="9"/>
    <w:qFormat/>
    <w:rPr>
      <w:rFonts w:ascii="Times New Roman" w:hAnsi="Times New Roman" w:eastAsia="宋体" w:cs="Times New Roman"/>
      <w:b/>
      <w:bCs/>
      <w:sz w:val="24"/>
      <w:szCs w:val="24"/>
    </w:rPr>
  </w:style>
  <w:style w:type="character" w:styleId="954">
    <w:name w:val="标题 8 Char"/>
    <w:next w:val="954"/>
    <w:link w:val="941"/>
    <w:uiPriority w:val="9"/>
    <w:qFormat/>
    <w:rPr>
      <w:rFonts w:ascii="Arial" w:hAnsi="Arial" w:eastAsia="黑体" w:cs="Times New Roman"/>
      <w:sz w:val="24"/>
      <w:szCs w:val="24"/>
    </w:rPr>
  </w:style>
  <w:style w:type="character" w:styleId="955">
    <w:name w:val="标题 9 Char"/>
    <w:next w:val="955"/>
    <w:link w:val="942"/>
    <w:uiPriority w:val="9"/>
    <w:qFormat/>
    <w:rPr>
      <w:rFonts w:ascii="Arial" w:hAnsi="Arial" w:eastAsia="黑体" w:cs="Times New Roman"/>
      <w:sz w:val="21"/>
      <w:szCs w:val="21"/>
    </w:rPr>
  </w:style>
  <w:style w:type="paragraph" w:styleId="956">
    <w:name w:val="列表 3"/>
    <w:basedOn w:val="933"/>
    <w:next w:val="956"/>
    <w:link w:val="933"/>
    <w:uiPriority w:val="99"/>
    <w:qFormat/>
    <w:pPr>
      <w:ind w:left="1260" w:hanging="420"/>
    </w:pPr>
    <w:rPr>
      <w:szCs w:val="20"/>
    </w:rPr>
  </w:style>
  <w:style w:type="paragraph" w:styleId="957">
    <w:name w:val="目录 7"/>
    <w:basedOn w:val="933"/>
    <w:next w:val="933"/>
    <w:link w:val="933"/>
    <w:uiPriority w:val="39"/>
    <w:semiHidden/>
    <w:qFormat/>
    <w:pPr>
      <w:ind w:left="1260"/>
      <w:jc w:val="left"/>
    </w:pPr>
    <w:rPr>
      <w:szCs w:val="21"/>
    </w:rPr>
  </w:style>
  <w:style w:type="paragraph" w:styleId="958">
    <w:name w:val="列表编号 2"/>
    <w:basedOn w:val="933"/>
    <w:next w:val="958"/>
    <w:link w:val="933"/>
    <w:uiPriority w:val="99"/>
    <w:qFormat/>
    <w:pPr>
      <w:ind w:left="1440" w:hanging="1440"/>
      <w:spacing w:line="360" w:lineRule="auto"/>
      <w:tabs>
        <w:tab w:val="left" w:pos="1440" w:leader="none"/>
      </w:tabs>
    </w:pPr>
    <w:rPr>
      <w:sz w:val="24"/>
    </w:rPr>
  </w:style>
  <w:style w:type="paragraph" w:styleId="959">
    <w:name w:val="列表编号"/>
    <w:basedOn w:val="933"/>
    <w:next w:val="959"/>
    <w:link w:val="933"/>
    <w:uiPriority w:val="99"/>
    <w:qFormat/>
    <w:pPr>
      <w:ind w:left="2952" w:hanging="432"/>
      <w:tabs>
        <w:tab w:val="left" w:pos="2952" w:leader="none"/>
      </w:tabs>
    </w:pPr>
  </w:style>
  <w:style w:type="paragraph" w:styleId="960">
    <w:name w:val="正文缩进"/>
    <w:basedOn w:val="933"/>
    <w:next w:val="960"/>
    <w:link w:val="933"/>
    <w:uiPriority w:val="99"/>
    <w:qFormat/>
    <w:pPr>
      <w:ind w:firstLine="420"/>
    </w:pPr>
    <w:rPr>
      <w:szCs w:val="20"/>
    </w:rPr>
  </w:style>
  <w:style w:type="paragraph" w:styleId="961">
    <w:name w:val="文档结构图"/>
    <w:basedOn w:val="933"/>
    <w:next w:val="961"/>
    <w:link w:val="962"/>
    <w:uiPriority w:val="99"/>
    <w:semiHidden/>
    <w:qFormat/>
    <w:pPr>
      <w:shd w:val="clear" w:color="auto" w:fill="000080"/>
    </w:pPr>
    <w:rPr>
      <w:sz w:val="24"/>
    </w:rPr>
  </w:style>
  <w:style w:type="character" w:styleId="962">
    <w:name w:val="文档结构图 Char"/>
    <w:next w:val="962"/>
    <w:link w:val="961"/>
    <w:uiPriority w:val="99"/>
    <w:semiHidden/>
    <w:qFormat/>
    <w:rPr>
      <w:rFonts w:ascii="Times New Roman" w:hAnsi="Times New Roman" w:eastAsia="宋体" w:cs="Times New Roman"/>
      <w:sz w:val="24"/>
      <w:szCs w:val="24"/>
      <w:shd w:val="clear" w:color="auto" w:fill="000080"/>
    </w:rPr>
  </w:style>
  <w:style w:type="paragraph" w:styleId="963">
    <w:name w:val="批注文字"/>
    <w:basedOn w:val="933"/>
    <w:next w:val="963"/>
    <w:link w:val="964"/>
    <w:uiPriority w:val="99"/>
    <w:qFormat/>
    <w:pPr>
      <w:jc w:val="left"/>
    </w:pPr>
  </w:style>
  <w:style w:type="character" w:styleId="964">
    <w:name w:val="批注文字 Char1"/>
    <w:next w:val="964"/>
    <w:link w:val="963"/>
    <w:uiPriority w:val="99"/>
    <w:qFormat/>
    <w:rPr>
      <w:rFonts w:ascii="Times New Roman" w:hAnsi="Times New Roman" w:eastAsia="宋体" w:cs="Times New Roman"/>
      <w:sz w:val="21"/>
      <w:szCs w:val="24"/>
    </w:rPr>
  </w:style>
  <w:style w:type="paragraph" w:styleId="965">
    <w:name w:val="称呼"/>
    <w:basedOn w:val="933"/>
    <w:next w:val="933"/>
    <w:link w:val="966"/>
    <w:uiPriority w:val="99"/>
    <w:qFormat/>
    <w:rPr>
      <w:rFonts w:ascii="仿宋_GB2312" w:eastAsia="仿宋_GB2312"/>
      <w:sz w:val="20"/>
      <w:szCs w:val="20"/>
    </w:rPr>
  </w:style>
  <w:style w:type="character" w:styleId="966">
    <w:name w:val="称呼 Char"/>
    <w:next w:val="966"/>
    <w:link w:val="965"/>
    <w:uiPriority w:val="99"/>
    <w:qFormat/>
    <w:rPr>
      <w:rFonts w:ascii="仿宋_GB2312" w:hAnsi="Times New Roman" w:eastAsia="仿宋_GB2312" w:cs="Times New Roman"/>
      <w:sz w:val="20"/>
      <w:szCs w:val="20"/>
    </w:rPr>
  </w:style>
  <w:style w:type="paragraph" w:styleId="967">
    <w:name w:val="正文文本 3"/>
    <w:basedOn w:val="933"/>
    <w:next w:val="967"/>
    <w:link w:val="968"/>
    <w:uiPriority w:val="99"/>
    <w:qFormat/>
    <w:pPr>
      <w:spacing w:after="120"/>
    </w:pPr>
    <w:rPr>
      <w:sz w:val="16"/>
      <w:szCs w:val="16"/>
    </w:rPr>
  </w:style>
  <w:style w:type="character" w:styleId="968">
    <w:name w:val="正文文本 3 Char"/>
    <w:next w:val="968"/>
    <w:link w:val="967"/>
    <w:uiPriority w:val="99"/>
    <w:qFormat/>
    <w:rPr>
      <w:rFonts w:ascii="Times New Roman" w:hAnsi="Times New Roman" w:eastAsia="宋体" w:cs="Times New Roman"/>
      <w:sz w:val="16"/>
      <w:szCs w:val="16"/>
    </w:rPr>
  </w:style>
  <w:style w:type="paragraph" w:styleId="969">
    <w:name w:val="正文文本"/>
    <w:basedOn w:val="933"/>
    <w:next w:val="969"/>
    <w:link w:val="970"/>
    <w:uiPriority w:val="99"/>
    <w:unhideWhenUsed/>
    <w:qFormat/>
    <w:pPr>
      <w:spacing w:after="120"/>
    </w:pPr>
    <w:rPr>
      <w:sz w:val="24"/>
    </w:rPr>
  </w:style>
  <w:style w:type="character" w:styleId="970">
    <w:name w:val="正文文本 Char"/>
    <w:next w:val="970"/>
    <w:link w:val="969"/>
    <w:qFormat/>
    <w:rPr>
      <w:rFonts w:ascii="Times New Roman" w:hAnsi="Times New Roman" w:eastAsia="宋体" w:cs="Times New Roman"/>
      <w:sz w:val="21"/>
      <w:szCs w:val="24"/>
    </w:rPr>
  </w:style>
  <w:style w:type="paragraph" w:styleId="971">
    <w:name w:val="列表 2"/>
    <w:basedOn w:val="933"/>
    <w:next w:val="971"/>
    <w:link w:val="933"/>
    <w:uiPriority w:val="99"/>
    <w:qFormat/>
    <w:pPr>
      <w:ind w:left="100" w:hanging="200"/>
    </w:pPr>
    <w:rPr>
      <w:szCs w:val="21"/>
    </w:rPr>
  </w:style>
  <w:style w:type="paragraph" w:styleId="972">
    <w:name w:val="索引 4"/>
    <w:basedOn w:val="933"/>
    <w:next w:val="933"/>
    <w:link w:val="933"/>
    <w:semiHidden/>
    <w:qFormat/>
    <w:pPr>
      <w:ind w:left="1260"/>
    </w:pPr>
    <w:rPr>
      <w:rFonts w:ascii="Calibri" w:hAnsi="Calibri" w:eastAsia="Calibri" w:cs="宋体"/>
      <w:sz w:val="20"/>
      <w:lang w:val="zh-CN"/>
    </w:rPr>
  </w:style>
  <w:style w:type="paragraph" w:styleId="973">
    <w:name w:val="目录 5"/>
    <w:basedOn w:val="933"/>
    <w:next w:val="933"/>
    <w:link w:val="933"/>
    <w:uiPriority w:val="39"/>
    <w:semiHidden/>
    <w:qFormat/>
    <w:pPr>
      <w:ind w:left="840"/>
      <w:jc w:val="left"/>
    </w:pPr>
    <w:rPr>
      <w:szCs w:val="21"/>
    </w:rPr>
  </w:style>
  <w:style w:type="paragraph" w:styleId="974">
    <w:name w:val="目录 3"/>
    <w:basedOn w:val="933"/>
    <w:next w:val="933"/>
    <w:link w:val="933"/>
    <w:uiPriority w:val="39"/>
    <w:semiHidden/>
    <w:qFormat/>
    <w:pPr>
      <w:ind w:left="840"/>
    </w:pPr>
  </w:style>
  <w:style w:type="paragraph" w:styleId="975">
    <w:name w:val="纯文本"/>
    <w:basedOn w:val="933"/>
    <w:next w:val="975"/>
    <w:link w:val="976"/>
    <w:qFormat/>
    <w:rPr>
      <w:rFonts w:ascii="宋体" w:hAnsi="Courier New"/>
      <w:szCs w:val="21"/>
    </w:rPr>
  </w:style>
  <w:style w:type="character" w:styleId="976">
    <w:name w:val="纯文本 Char"/>
    <w:next w:val="976"/>
    <w:link w:val="975"/>
    <w:qFormat/>
    <w:rPr>
      <w:rFonts w:ascii="宋体" w:hAnsi="Courier New" w:eastAsia="宋体" w:cs="Times New Roman"/>
      <w:sz w:val="21"/>
      <w:szCs w:val="21"/>
    </w:rPr>
  </w:style>
  <w:style w:type="paragraph" w:styleId="977">
    <w:name w:val="目录 8"/>
    <w:basedOn w:val="933"/>
    <w:next w:val="933"/>
    <w:link w:val="933"/>
    <w:uiPriority w:val="39"/>
    <w:semiHidden/>
    <w:qFormat/>
    <w:pPr>
      <w:ind w:left="1470"/>
      <w:jc w:val="left"/>
    </w:pPr>
    <w:rPr>
      <w:szCs w:val="21"/>
    </w:rPr>
  </w:style>
  <w:style w:type="paragraph" w:styleId="978">
    <w:name w:val="索引 3"/>
    <w:basedOn w:val="933"/>
    <w:next w:val="933"/>
    <w:link w:val="933"/>
    <w:uiPriority w:val="99"/>
    <w:semiHidden/>
    <w:qFormat/>
    <w:pPr>
      <w:ind w:left="840"/>
    </w:pPr>
    <w:rPr>
      <w:szCs w:val="20"/>
    </w:rPr>
  </w:style>
  <w:style w:type="paragraph" w:styleId="979">
    <w:name w:val="日期"/>
    <w:basedOn w:val="933"/>
    <w:next w:val="933"/>
    <w:link w:val="980"/>
    <w:uiPriority w:val="99"/>
    <w:qFormat/>
    <w:pPr>
      <w:ind w:left="100"/>
    </w:pPr>
    <w:rPr>
      <w:sz w:val="20"/>
      <w:szCs w:val="20"/>
    </w:rPr>
  </w:style>
  <w:style w:type="character" w:styleId="980">
    <w:name w:val="日期 Char"/>
    <w:next w:val="980"/>
    <w:link w:val="979"/>
    <w:uiPriority w:val="99"/>
    <w:qFormat/>
    <w:rPr>
      <w:rFonts w:ascii="Times New Roman" w:hAnsi="Times New Roman" w:eastAsia="宋体" w:cs="Times New Roman"/>
      <w:sz w:val="20"/>
      <w:szCs w:val="20"/>
    </w:rPr>
  </w:style>
  <w:style w:type="paragraph" w:styleId="981">
    <w:name w:val="正文文本缩进 2"/>
    <w:basedOn w:val="933"/>
    <w:next w:val="981"/>
    <w:link w:val="982"/>
    <w:uiPriority w:val="99"/>
    <w:qFormat/>
    <w:pPr>
      <w:ind w:firstLine="480"/>
      <w:spacing w:line="400" w:lineRule="exact"/>
    </w:pPr>
    <w:rPr>
      <w:rFonts w:ascii="宋体" w:hAnsi="宋体"/>
      <w:sz w:val="24"/>
    </w:rPr>
  </w:style>
  <w:style w:type="character" w:styleId="982">
    <w:name w:val="正文文本缩进 2 Char"/>
    <w:next w:val="982"/>
    <w:link w:val="981"/>
    <w:uiPriority w:val="99"/>
    <w:qFormat/>
    <w:rPr>
      <w:rFonts w:ascii="宋体" w:hAnsi="宋体" w:eastAsia="宋体" w:cs="Times New Roman"/>
      <w:sz w:val="24"/>
      <w:szCs w:val="24"/>
    </w:rPr>
  </w:style>
  <w:style w:type="paragraph" w:styleId="983">
    <w:name w:val="尾注文本"/>
    <w:basedOn w:val="933"/>
    <w:next w:val="983"/>
    <w:link w:val="984"/>
    <w:uiPriority w:val="99"/>
    <w:semiHidden/>
    <w:qFormat/>
    <w:pPr>
      <w:jc w:val="left"/>
    </w:pPr>
    <w:rPr>
      <w:sz w:val="24"/>
    </w:rPr>
  </w:style>
  <w:style w:type="character" w:styleId="984">
    <w:name w:val="尾注文本 Char"/>
    <w:next w:val="984"/>
    <w:link w:val="983"/>
    <w:uiPriority w:val="99"/>
    <w:semiHidden/>
    <w:qFormat/>
    <w:rPr>
      <w:rFonts w:ascii="Times New Roman" w:hAnsi="Times New Roman" w:eastAsia="宋体" w:cs="Times New Roman"/>
      <w:sz w:val="24"/>
      <w:szCs w:val="24"/>
    </w:rPr>
  </w:style>
  <w:style w:type="paragraph" w:styleId="985">
    <w:name w:val="批注框文本"/>
    <w:basedOn w:val="933"/>
    <w:next w:val="985"/>
    <w:link w:val="986"/>
    <w:uiPriority w:val="99"/>
    <w:semiHidden/>
    <w:qFormat/>
    <w:rPr>
      <w:sz w:val="18"/>
      <w:szCs w:val="18"/>
    </w:rPr>
  </w:style>
  <w:style w:type="character" w:styleId="986">
    <w:name w:val="批注框文本 Char"/>
    <w:next w:val="986"/>
    <w:link w:val="985"/>
    <w:uiPriority w:val="99"/>
    <w:semiHidden/>
    <w:qFormat/>
    <w:rPr>
      <w:rFonts w:ascii="Times New Roman" w:hAnsi="Times New Roman" w:eastAsia="宋体" w:cs="Times New Roman"/>
      <w:sz w:val="18"/>
      <w:szCs w:val="18"/>
    </w:rPr>
  </w:style>
  <w:style w:type="paragraph" w:styleId="987">
    <w:name w:val="页脚"/>
    <w:basedOn w:val="933"/>
    <w:next w:val="987"/>
    <w:link w:val="988"/>
    <w:uiPriority w:val="99"/>
    <w:unhideWhenUsed/>
    <w:qFormat/>
    <w:pPr>
      <w:jc w:val="left"/>
      <w:tabs>
        <w:tab w:val="center" w:pos="4153" w:leader="none"/>
        <w:tab w:val="right" w:pos="8306" w:leader="none"/>
      </w:tabs>
    </w:pPr>
    <w:rPr>
      <w:sz w:val="18"/>
      <w:szCs w:val="18"/>
    </w:rPr>
  </w:style>
  <w:style w:type="character" w:styleId="988">
    <w:name w:val="页脚 Char1"/>
    <w:next w:val="988"/>
    <w:link w:val="987"/>
    <w:qFormat/>
    <w:rPr>
      <w:sz w:val="18"/>
      <w:szCs w:val="18"/>
    </w:rPr>
  </w:style>
  <w:style w:type="paragraph" w:styleId="989">
    <w:name w:val="页眉"/>
    <w:basedOn w:val="933"/>
    <w:next w:val="989"/>
    <w:link w:val="99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90">
    <w:name w:val="页眉 Char"/>
    <w:next w:val="990"/>
    <w:link w:val="989"/>
    <w:uiPriority w:val="99"/>
    <w:qFormat/>
    <w:rPr>
      <w:rFonts w:cs="Times New Roman"/>
      <w:sz w:val="18"/>
      <w:szCs w:val="18"/>
    </w:rPr>
  </w:style>
  <w:style w:type="paragraph" w:styleId="991">
    <w:name w:val="签名"/>
    <w:basedOn w:val="933"/>
    <w:next w:val="991"/>
    <w:link w:val="992"/>
    <w:uiPriority w:val="99"/>
    <w:qFormat/>
    <w:pPr>
      <w:jc w:val="center"/>
      <w:spacing w:after="600" w:line="312" w:lineRule="atLeast"/>
    </w:pPr>
    <w:rPr>
      <w:rFonts w:eastAsia="仿宋_GB2312"/>
      <w:sz w:val="20"/>
      <w:szCs w:val="20"/>
    </w:rPr>
  </w:style>
  <w:style w:type="character" w:styleId="992">
    <w:name w:val="签名 Char"/>
    <w:next w:val="992"/>
    <w:link w:val="991"/>
    <w:uiPriority w:val="99"/>
    <w:qFormat/>
    <w:rPr>
      <w:rFonts w:ascii="Times New Roman" w:hAnsi="Times New Roman" w:eastAsia="仿宋_GB2312" w:cs="Times New Roman"/>
      <w:sz w:val="20"/>
      <w:szCs w:val="20"/>
    </w:rPr>
  </w:style>
  <w:style w:type="paragraph" w:styleId="993">
    <w:name w:val="目录 1"/>
    <w:basedOn w:val="933"/>
    <w:next w:val="933"/>
    <w:link w:val="933"/>
    <w:uiPriority w:val="39"/>
    <w:semiHidden/>
    <w:qFormat/>
  </w:style>
  <w:style w:type="paragraph" w:styleId="994">
    <w:name w:val="目录 4"/>
    <w:basedOn w:val="933"/>
    <w:next w:val="933"/>
    <w:link w:val="933"/>
    <w:uiPriority w:val="39"/>
    <w:semiHidden/>
    <w:qFormat/>
    <w:pPr>
      <w:ind w:left="630"/>
      <w:jc w:val="left"/>
    </w:pPr>
    <w:rPr>
      <w:szCs w:val="21"/>
    </w:rPr>
  </w:style>
  <w:style w:type="paragraph" w:styleId="995">
    <w:name w:val="索引标题"/>
    <w:basedOn w:val="933"/>
    <w:next w:val="996"/>
    <w:link w:val="933"/>
    <w:uiPriority w:val="99"/>
    <w:semiHidden/>
    <w:qFormat/>
    <w:rPr>
      <w:szCs w:val="20"/>
    </w:rPr>
  </w:style>
  <w:style w:type="paragraph" w:styleId="996">
    <w:name w:val="索引 1"/>
    <w:basedOn w:val="933"/>
    <w:next w:val="933"/>
    <w:link w:val="933"/>
    <w:uiPriority w:val="99"/>
    <w:semiHidden/>
    <w:qFormat/>
    <w:pPr>
      <w:jc w:val="center"/>
      <w:tabs>
        <w:tab w:val="left" w:pos="1260" w:leader="none"/>
      </w:tabs>
    </w:pPr>
    <w:rPr>
      <w:rFonts w:ascii="仿宋_GB2312" w:hAnsi="宋体" w:eastAsia="仿宋_GB2312"/>
      <w:sz w:val="30"/>
      <w:szCs w:val="20"/>
    </w:rPr>
  </w:style>
  <w:style w:type="paragraph" w:styleId="997">
    <w:name w:val="副标题"/>
    <w:basedOn w:val="933"/>
    <w:next w:val="933"/>
    <w:link w:val="998"/>
    <w:uiPriority w:val="11"/>
    <w:qFormat/>
    <w:pPr>
      <w:jc w:val="left"/>
      <w:spacing w:after="600" w:line="276" w:lineRule="auto"/>
      <w:widowControl/>
    </w:pPr>
    <w:rPr>
      <w:rFonts w:ascii="Cambria" w:hAnsi="Cambria"/>
      <w:i/>
      <w:iCs/>
      <w:spacing w:val="13"/>
      <w:sz w:val="24"/>
      <w:lang w:eastAsia="en-US"/>
    </w:rPr>
  </w:style>
  <w:style w:type="character" w:styleId="998">
    <w:name w:val="副标题 Char"/>
    <w:next w:val="998"/>
    <w:link w:val="997"/>
    <w:uiPriority w:val="11"/>
    <w:qFormat/>
    <w:rPr>
      <w:rFonts w:ascii="Cambria" w:hAnsi="Cambria" w:eastAsia="宋体" w:cs="Times New Roman"/>
      <w:i/>
      <w:iCs/>
      <w:spacing w:val="13"/>
      <w:sz w:val="24"/>
      <w:szCs w:val="24"/>
      <w:lang w:eastAsia="en-US"/>
    </w:rPr>
  </w:style>
  <w:style w:type="paragraph" w:styleId="999">
    <w:name w:val="列表"/>
    <w:basedOn w:val="933"/>
    <w:next w:val="999"/>
    <w:link w:val="933"/>
    <w:uiPriority w:val="99"/>
    <w:qFormat/>
    <w:pPr>
      <w:ind w:left="200" w:hanging="200"/>
    </w:pPr>
    <w:rPr>
      <w:szCs w:val="21"/>
    </w:rPr>
  </w:style>
  <w:style w:type="paragraph" w:styleId="1000">
    <w:name w:val="脚注文本"/>
    <w:basedOn w:val="933"/>
    <w:next w:val="1000"/>
    <w:link w:val="1001"/>
    <w:uiPriority w:val="99"/>
    <w:semiHidden/>
    <w:qFormat/>
    <w:pPr>
      <w:jc w:val="left"/>
    </w:pPr>
    <w:rPr>
      <w:sz w:val="18"/>
      <w:szCs w:val="18"/>
    </w:rPr>
  </w:style>
  <w:style w:type="character" w:styleId="1001">
    <w:name w:val="脚注文本 Char"/>
    <w:next w:val="1001"/>
    <w:link w:val="1000"/>
    <w:uiPriority w:val="99"/>
    <w:semiHidden/>
    <w:qFormat/>
    <w:rPr>
      <w:rFonts w:ascii="Times New Roman" w:hAnsi="Times New Roman" w:eastAsia="宋体" w:cs="Times New Roman"/>
      <w:sz w:val="18"/>
      <w:szCs w:val="18"/>
    </w:rPr>
  </w:style>
  <w:style w:type="paragraph" w:styleId="1002">
    <w:name w:val="目录 6"/>
    <w:basedOn w:val="933"/>
    <w:next w:val="933"/>
    <w:link w:val="933"/>
    <w:uiPriority w:val="39"/>
    <w:semiHidden/>
    <w:qFormat/>
    <w:pPr>
      <w:ind w:left="1050"/>
      <w:jc w:val="left"/>
    </w:pPr>
    <w:rPr>
      <w:szCs w:val="21"/>
    </w:rPr>
  </w:style>
  <w:style w:type="paragraph" w:styleId="1003">
    <w:name w:val="正文文本缩进 3"/>
    <w:basedOn w:val="933"/>
    <w:next w:val="1003"/>
    <w:link w:val="1004"/>
    <w:uiPriority w:val="99"/>
    <w:qFormat/>
    <w:pPr>
      <w:ind w:left="480"/>
      <w:spacing w:before="120" w:after="120" w:line="264" w:lineRule="auto"/>
    </w:pPr>
    <w:rPr>
      <w:b/>
      <w:bCs/>
      <w:sz w:val="20"/>
      <w:szCs w:val="20"/>
    </w:rPr>
  </w:style>
  <w:style w:type="character" w:styleId="1004">
    <w:name w:val="正文文本缩进 3 Char"/>
    <w:next w:val="1004"/>
    <w:link w:val="1003"/>
    <w:uiPriority w:val="99"/>
    <w:qFormat/>
    <w:rPr>
      <w:rFonts w:ascii="Times New Roman" w:hAnsi="Times New Roman" w:eastAsia="宋体" w:cs="Times New Roman"/>
      <w:b/>
      <w:bCs/>
      <w:sz w:val="20"/>
      <w:szCs w:val="20"/>
    </w:rPr>
  </w:style>
  <w:style w:type="paragraph" w:styleId="1005">
    <w:name w:val="图表目录"/>
    <w:basedOn w:val="933"/>
    <w:next w:val="933"/>
    <w:link w:val="933"/>
    <w:uiPriority w:val="99"/>
    <w:semiHidden/>
    <w:qFormat/>
    <w:pPr>
      <w:ind w:left="840" w:hanging="420"/>
    </w:pPr>
    <w:rPr>
      <w:szCs w:val="21"/>
    </w:rPr>
  </w:style>
  <w:style w:type="paragraph" w:styleId="1006">
    <w:name w:val="目录 2"/>
    <w:basedOn w:val="933"/>
    <w:next w:val="933"/>
    <w:link w:val="933"/>
    <w:uiPriority w:val="39"/>
    <w:semiHidden/>
    <w:qFormat/>
    <w:pPr>
      <w:ind w:left="420"/>
    </w:pPr>
  </w:style>
  <w:style w:type="paragraph" w:styleId="1007">
    <w:name w:val="目录 9"/>
    <w:basedOn w:val="933"/>
    <w:next w:val="933"/>
    <w:link w:val="933"/>
    <w:uiPriority w:val="39"/>
    <w:semiHidden/>
    <w:qFormat/>
    <w:pPr>
      <w:ind w:left="1680"/>
      <w:jc w:val="left"/>
    </w:pPr>
    <w:rPr>
      <w:szCs w:val="21"/>
    </w:rPr>
  </w:style>
  <w:style w:type="paragraph" w:styleId="1008">
    <w:name w:val="正文文本 2"/>
    <w:basedOn w:val="933"/>
    <w:next w:val="1008"/>
    <w:link w:val="1009"/>
    <w:uiPriority w:val="99"/>
    <w:qFormat/>
    <w:pPr>
      <w:jc w:val="center"/>
    </w:pPr>
    <w:rPr>
      <w:b/>
      <w:bCs/>
      <w:sz w:val="20"/>
      <w:szCs w:val="20"/>
    </w:rPr>
  </w:style>
  <w:style w:type="character" w:styleId="1009">
    <w:name w:val="正文文本 2 Char"/>
    <w:next w:val="1009"/>
    <w:link w:val="1008"/>
    <w:uiPriority w:val="99"/>
    <w:qFormat/>
    <w:rPr>
      <w:rFonts w:ascii="Times New Roman" w:hAnsi="Times New Roman" w:eastAsia="宋体" w:cs="Times New Roman"/>
      <w:b/>
      <w:bCs/>
      <w:sz w:val="20"/>
      <w:szCs w:val="20"/>
    </w:rPr>
  </w:style>
  <w:style w:type="paragraph" w:styleId="1010">
    <w:name w:val="HTML 预设格式"/>
    <w:basedOn w:val="933"/>
    <w:next w:val="1010"/>
    <w:link w:val="101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11">
    <w:name w:val="HTML 预设格式 Char"/>
    <w:next w:val="1011"/>
    <w:link w:val="1010"/>
    <w:uiPriority w:val="99"/>
    <w:qFormat/>
    <w:rPr>
      <w:rFonts w:ascii="宋体" w:hAnsi="宋体" w:eastAsia="宋体" w:cs="宋体"/>
      <w:sz w:val="24"/>
      <w:szCs w:val="24"/>
    </w:rPr>
  </w:style>
  <w:style w:type="paragraph" w:styleId="1012">
    <w:name w:val="普通(网站)"/>
    <w:basedOn w:val="933"/>
    <w:next w:val="1012"/>
    <w:link w:val="933"/>
    <w:qFormat/>
    <w:pPr>
      <w:jc w:val="left"/>
      <w:spacing w:before="100" w:beforeAutospacing="1" w:after="100" w:afterAutospacing="1"/>
      <w:widowControl/>
    </w:pPr>
    <w:rPr>
      <w:rFonts w:ascii="宋体" w:hAnsi="宋体" w:cs="宋体"/>
      <w:sz w:val="24"/>
    </w:rPr>
  </w:style>
  <w:style w:type="paragraph" w:styleId="1013">
    <w:name w:val="索引 2"/>
    <w:basedOn w:val="933"/>
    <w:next w:val="933"/>
    <w:link w:val="933"/>
    <w:uiPriority w:val="99"/>
    <w:semiHidden/>
    <w:qFormat/>
    <w:pPr>
      <w:ind w:left="420"/>
      <w:jc w:val="center"/>
    </w:pPr>
    <w:rPr>
      <w:rFonts w:ascii="宋体" w:hAnsi="宋体"/>
      <w:b/>
      <w:sz w:val="32"/>
      <w:szCs w:val="20"/>
    </w:rPr>
  </w:style>
  <w:style w:type="paragraph" w:styleId="1014">
    <w:name w:val="标题"/>
    <w:basedOn w:val="933"/>
    <w:next w:val="1014"/>
    <w:link w:val="1015"/>
    <w:qFormat/>
    <w:pPr>
      <w:jc w:val="center"/>
      <w:spacing w:line="420" w:lineRule="exact"/>
      <w:widowControl/>
    </w:pPr>
    <w:rPr>
      <w:rFonts w:eastAsia="黑体"/>
      <w:b/>
      <w:sz w:val="20"/>
      <w:szCs w:val="20"/>
      <w:lang w:val="en-GB"/>
    </w:rPr>
  </w:style>
  <w:style w:type="character" w:styleId="1015">
    <w:name w:val="标题 Char"/>
    <w:next w:val="1015"/>
    <w:link w:val="1014"/>
    <w:qFormat/>
    <w:rPr>
      <w:rFonts w:ascii="Times New Roman" w:hAnsi="Times New Roman" w:eastAsia="黑体" w:cs="Times New Roman"/>
      <w:b/>
      <w:sz w:val="20"/>
      <w:szCs w:val="20"/>
      <w:lang w:val="en-GB"/>
    </w:rPr>
  </w:style>
  <w:style w:type="paragraph" w:styleId="1016">
    <w:name w:val="批注主题"/>
    <w:basedOn w:val="963"/>
    <w:next w:val="963"/>
    <w:link w:val="1017"/>
    <w:uiPriority w:val="99"/>
    <w:semiHidden/>
    <w:qFormat/>
    <w:rPr>
      <w:b/>
      <w:bCs/>
      <w:sz w:val="24"/>
    </w:rPr>
  </w:style>
  <w:style w:type="character" w:styleId="1017">
    <w:name w:val="批注主题 Char"/>
    <w:next w:val="1017"/>
    <w:link w:val="1016"/>
    <w:uiPriority w:val="99"/>
    <w:semiHidden/>
    <w:qFormat/>
    <w:rPr>
      <w:rFonts w:ascii="Times New Roman" w:hAnsi="Times New Roman" w:eastAsia="宋体" w:cs="Times New Roman"/>
      <w:b/>
      <w:bCs/>
      <w:sz w:val="24"/>
      <w:szCs w:val="24"/>
    </w:rPr>
  </w:style>
  <w:style w:type="paragraph" w:styleId="1018">
    <w:name w:val="正文首行缩进"/>
    <w:basedOn w:val="969"/>
    <w:next w:val="1018"/>
    <w:link w:val="1019"/>
    <w:uiPriority w:val="99"/>
    <w:qFormat/>
    <w:pPr>
      <w:ind w:firstLine="420"/>
    </w:pPr>
  </w:style>
  <w:style w:type="character" w:styleId="1019">
    <w:name w:val="正文首行缩进 Char"/>
    <w:next w:val="1019"/>
    <w:link w:val="1018"/>
    <w:uiPriority w:val="99"/>
    <w:qFormat/>
    <w:rPr>
      <w:rFonts w:ascii="Times New Roman" w:hAnsi="Times New Roman" w:eastAsia="宋体" w:cs="Times New Roman"/>
      <w:sz w:val="24"/>
      <w:szCs w:val="24"/>
    </w:rPr>
  </w:style>
  <w:style w:type="paragraph" w:styleId="1020">
    <w:name w:val="正文首行缩进 2"/>
    <w:basedOn w:val="945"/>
    <w:next w:val="1018"/>
    <w:link w:val="1021"/>
    <w:uiPriority w:val="99"/>
    <w:qFormat/>
    <w:pPr>
      <w:ind w:left="0" w:firstLine="420"/>
      <w:spacing w:after="0" w:line="360" w:lineRule="auto"/>
    </w:pPr>
    <w:rPr>
      <w:rFonts w:ascii="宋体" w:hAnsi="宋体"/>
      <w:sz w:val="20"/>
      <w:szCs w:val="20"/>
    </w:rPr>
  </w:style>
  <w:style w:type="character" w:styleId="1021">
    <w:name w:val="正文首行缩进 2 Char"/>
    <w:next w:val="1021"/>
    <w:link w:val="1020"/>
    <w:uiPriority w:val="99"/>
    <w:qFormat/>
    <w:rPr>
      <w:rFonts w:ascii="宋体" w:hAnsi="宋体" w:eastAsia="宋体" w:cs="Times New Roman"/>
      <w:sz w:val="20"/>
      <w:szCs w:val="20"/>
    </w:rPr>
  </w:style>
  <w:style w:type="table" w:styleId="1022">
    <w:name w:val="网格型"/>
    <w:basedOn w:val="944"/>
    <w:next w:val="1022"/>
    <w:link w:val="933"/>
    <w:qFormat/>
    <w:pPr>
      <w:jc w:val="both"/>
      <w:widowControl w:val="off"/>
    </w:pPr>
    <w:tblPr/>
  </w:style>
  <w:style w:type="character" w:styleId="1023">
    <w:name w:val="要点"/>
    <w:next w:val="1023"/>
    <w:link w:val="933"/>
    <w:uiPriority w:val="22"/>
    <w:qFormat/>
    <w:rPr>
      <w:b/>
    </w:rPr>
  </w:style>
  <w:style w:type="character" w:styleId="1024">
    <w:name w:val="尾注引用"/>
    <w:next w:val="1024"/>
    <w:link w:val="933"/>
    <w:uiPriority w:val="99"/>
    <w:semiHidden/>
    <w:qFormat/>
    <w:rPr>
      <w:vertAlign w:val="superscript"/>
    </w:rPr>
  </w:style>
  <w:style w:type="character" w:styleId="1025">
    <w:name w:val="页码"/>
    <w:next w:val="1025"/>
    <w:link w:val="933"/>
    <w:uiPriority w:val="99"/>
    <w:qFormat/>
    <w:rPr>
      <w:rFonts w:cs="Times New Roman"/>
    </w:rPr>
  </w:style>
  <w:style w:type="character" w:styleId="1026">
    <w:name w:val="已访问的超链接"/>
    <w:next w:val="1026"/>
    <w:link w:val="933"/>
    <w:uiPriority w:val="99"/>
    <w:qFormat/>
    <w:rPr>
      <w:color w:val="0076be"/>
      <w:u w:val="none"/>
    </w:rPr>
  </w:style>
  <w:style w:type="character" w:styleId="1027">
    <w:name w:val="强调"/>
    <w:next w:val="1027"/>
    <w:link w:val="933"/>
    <w:uiPriority w:val="20"/>
    <w:qFormat/>
    <w:rPr>
      <w:b/>
      <w:i/>
      <w:spacing w:val="10"/>
      <w:shd w:val="clear" w:color="auto" w:fill="auto"/>
    </w:rPr>
  </w:style>
  <w:style w:type="character" w:styleId="1028">
    <w:name w:val="行号"/>
    <w:next w:val="1028"/>
    <w:link w:val="933"/>
    <w:uiPriority w:val="99"/>
    <w:qFormat/>
    <w:rPr>
      <w:rFonts w:cs="Times New Roman"/>
    </w:rPr>
  </w:style>
  <w:style w:type="character" w:styleId="1029">
    <w:name w:val="HTML 打字机"/>
    <w:next w:val="1029"/>
    <w:link w:val="933"/>
    <w:uiPriority w:val="99"/>
    <w:qFormat/>
    <w:rPr>
      <w:rFonts w:ascii="宋体" w:hAnsi="宋体" w:eastAsia="宋体"/>
      <w:sz w:val="24"/>
    </w:rPr>
  </w:style>
  <w:style w:type="character" w:styleId="1030">
    <w:name w:val="超链接"/>
    <w:next w:val="1030"/>
    <w:link w:val="933"/>
    <w:uiPriority w:val="99"/>
    <w:qFormat/>
    <w:rPr>
      <w:color w:val="0076be"/>
      <w:u w:val="none"/>
    </w:rPr>
  </w:style>
  <w:style w:type="character" w:styleId="1031">
    <w:name w:val="批注引用"/>
    <w:next w:val="1031"/>
    <w:link w:val="933"/>
    <w:qFormat/>
    <w:rPr>
      <w:sz w:val="21"/>
    </w:rPr>
  </w:style>
  <w:style w:type="character" w:styleId="1032">
    <w:name w:val="脚注引用"/>
    <w:next w:val="1032"/>
    <w:link w:val="933"/>
    <w:uiPriority w:val="99"/>
    <w:semiHidden/>
    <w:qFormat/>
    <w:rPr>
      <w:vertAlign w:val="superscript"/>
    </w:rPr>
  </w:style>
  <w:style w:type="character" w:styleId="1033">
    <w:name w:val="HTML 样本"/>
    <w:next w:val="1033"/>
    <w:link w:val="933"/>
    <w:uiPriority w:val="99"/>
    <w:qFormat/>
    <w:rPr>
      <w:rFonts w:ascii="Courier New" w:hAnsi="宋体" w:eastAsia="宋体"/>
    </w:rPr>
  </w:style>
  <w:style w:type="paragraph" w:styleId="1034">
    <w:name w:val="正文首行缩进 21"/>
    <w:basedOn w:val="1035"/>
    <w:next w:val="933"/>
    <w:link w:val="933"/>
    <w:qFormat/>
    <w:pPr>
      <w:ind w:firstLine="420"/>
    </w:pPr>
    <w:rPr>
      <w:rFonts w:ascii="Calibri" w:hAnsi="Calibri" w:cs="Calibri"/>
      <w:szCs w:val="24"/>
    </w:rPr>
  </w:style>
  <w:style w:type="paragraph" w:styleId="1035">
    <w:name w:val="正文文本缩进12"/>
    <w:basedOn w:val="933"/>
    <w:next w:val="1036"/>
    <w:link w:val="933"/>
    <w:qFormat/>
    <w:pPr>
      <w:ind w:firstLine="645"/>
    </w:pPr>
    <w:rPr>
      <w:rFonts w:ascii="方正楷体_GB2312" w:eastAsia="方正楷体_GB2312"/>
      <w:sz w:val="32"/>
    </w:rPr>
  </w:style>
  <w:style w:type="paragraph" w:styleId="1036">
    <w:name w:val="寄信人地址11"/>
    <w:basedOn w:val="933"/>
    <w:next w:val="1036"/>
    <w:link w:val="933"/>
    <w:qFormat/>
    <w:rPr>
      <w:rFonts w:ascii="Arial" w:hAnsi="Arial"/>
    </w:rPr>
  </w:style>
  <w:style w:type="paragraph" w:styleId="1037">
    <w:name w:val="首行缩进"/>
    <w:basedOn w:val="933"/>
    <w:next w:val="1037"/>
    <w:link w:val="933"/>
    <w:qFormat/>
    <w:pPr>
      <w:ind w:left="420" w:firstLine="480"/>
      <w:spacing w:line="400" w:lineRule="exact"/>
    </w:pPr>
    <w:rPr>
      <w:szCs w:val="20"/>
    </w:rPr>
  </w:style>
  <w:style w:type="character" w:styleId="1038">
    <w:name w:val="正文文本 字符"/>
    <w:next w:val="1038"/>
    <w:link w:val="933"/>
    <w:uiPriority w:val="99"/>
    <w:semiHidden/>
    <w:qFormat/>
    <w:rPr>
      <w:rFonts w:ascii="Times New Roman" w:hAnsi="Times New Roman" w:eastAsia="宋体" w:cs="Times New Roman"/>
      <w:sz w:val="24"/>
      <w:szCs w:val="24"/>
    </w:rPr>
  </w:style>
  <w:style w:type="paragraph" w:styleId="1039">
    <w:name w:val="BodyText1"/>
    <w:basedOn w:val="933"/>
    <w:next w:val="1039"/>
    <w:link w:val="933"/>
    <w:qFormat/>
    <w:pPr>
      <w:spacing w:after="120"/>
    </w:pPr>
    <w:rPr>
      <w:rFonts w:ascii="Calibri"/>
      <w:sz w:val="20"/>
    </w:rPr>
  </w:style>
  <w:style w:type="paragraph" w:styleId="1040">
    <w:name w:val="样式2"/>
    <w:basedOn w:val="933"/>
    <w:next w:val="1040"/>
    <w:link w:val="933"/>
    <w:qFormat/>
    <w:pPr>
      <w:ind w:left="200"/>
      <w:spacing w:line="360" w:lineRule="auto"/>
    </w:pPr>
    <w:rPr>
      <w:rFonts w:ascii="宋体" w:hAnsi="宋体"/>
      <w:b/>
      <w:sz w:val="24"/>
    </w:rPr>
  </w:style>
  <w:style w:type="paragraph" w:styleId="1041">
    <w:name w:val="部分1"/>
    <w:basedOn w:val="933"/>
    <w:next w:val="1041"/>
    <w:link w:val="933"/>
    <w:qFormat/>
    <w:pPr>
      <w:jc w:val="center"/>
      <w:keepNext/>
      <w:pageBreakBefore/>
      <w:spacing w:line="360" w:lineRule="auto"/>
      <w:tabs>
        <w:tab w:val="left" w:pos="360" w:leader="none"/>
      </w:tabs>
      <w:outlineLvl w:val="0"/>
    </w:pPr>
    <w:rPr>
      <w:rFonts w:eastAsia="黑体"/>
      <w:b/>
      <w:sz w:val="36"/>
      <w:szCs w:val="20"/>
    </w:rPr>
  </w:style>
  <w:style w:type="paragraph" w:styleId="1042">
    <w:name w:val="xl27"/>
    <w:basedOn w:val="933"/>
    <w:next w:val="1042"/>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43">
    <w:name w:val="正文缩进2字符"/>
    <w:basedOn w:val="933"/>
    <w:next w:val="1043"/>
    <w:link w:val="933"/>
    <w:qFormat/>
    <w:pPr>
      <w:ind w:firstLine="200"/>
      <w:spacing w:line="300" w:lineRule="auto"/>
    </w:pPr>
    <w:rPr>
      <w:rFonts w:ascii="仿宋_GB2312" w:eastAsia="仿宋_GB2312"/>
      <w:sz w:val="32"/>
      <w:szCs w:val="32"/>
    </w:rPr>
  </w:style>
  <w:style w:type="paragraph" w:styleId="1044">
    <w:name w:val="Table Text Char"/>
    <w:next w:val="1044"/>
    <w:link w:val="933"/>
    <w:qFormat/>
    <w:pPr>
      <w:spacing w:before="80" w:after="80"/>
    </w:pPr>
    <w:rPr>
      <w:rFonts w:ascii="Arial" w:hAnsi="Arial" w:cs="Arial"/>
      <w:sz w:val="18"/>
      <w:szCs w:val="28"/>
      <w:lang w:val="en-US" w:eastAsia="zh-CN" w:bidi="ar-SA"/>
    </w:rPr>
  </w:style>
  <w:style w:type="paragraph" w:styleId="1045">
    <w:name w:val="小四 段落 宋体 Char Char Char Char"/>
    <w:basedOn w:val="933"/>
    <w:next w:val="1045"/>
    <w:link w:val="933"/>
    <w:qFormat/>
    <w:pPr>
      <w:ind w:right="-33" w:firstLine="480"/>
      <w:jc w:val="left"/>
      <w:spacing w:line="360" w:lineRule="auto"/>
    </w:pPr>
    <w:rPr>
      <w:sz w:val="24"/>
    </w:rPr>
  </w:style>
  <w:style w:type="paragraph" w:styleId="1046">
    <w:name w:val="Char Char Char"/>
    <w:basedOn w:val="933"/>
    <w:next w:val="1046"/>
    <w:link w:val="933"/>
    <w:qFormat/>
    <w:rPr>
      <w:rFonts w:ascii="Tahoma" w:hAnsi="Tahoma"/>
      <w:sz w:val="24"/>
      <w:szCs w:val="20"/>
    </w:rPr>
  </w:style>
  <w:style w:type="paragraph" w:styleId="1047">
    <w:name w:val="样式 段后: 0.25 行"/>
    <w:basedOn w:val="933"/>
    <w:next w:val="1047"/>
    <w:link w:val="933"/>
    <w:qFormat/>
    <w:pPr>
      <w:ind w:firstLine="420"/>
      <w:jc w:val="left"/>
      <w:spacing w:line="300" w:lineRule="auto"/>
      <w:widowControl/>
    </w:pPr>
    <w:rPr>
      <w:rFonts w:ascii="Arial" w:hAnsi="Arial" w:cs="宋体"/>
      <w:sz w:val="22"/>
      <w:szCs w:val="20"/>
      <w:lang w:eastAsia="en-US"/>
    </w:rPr>
  </w:style>
  <w:style w:type="paragraph" w:styleId="1048">
    <w:name w:val="正文表标题"/>
    <w:next w:val="1049"/>
    <w:link w:val="933"/>
    <w:qFormat/>
    <w:pPr>
      <w:ind w:left="900" w:hanging="420"/>
      <w:jc w:val="center"/>
      <w:tabs>
        <w:tab w:val="left" w:pos="900" w:leader="none"/>
      </w:tabs>
    </w:pPr>
    <w:rPr>
      <w:rFonts w:ascii="黑体" w:eastAsia="黑体"/>
      <w:sz w:val="21"/>
      <w:lang w:val="en-US" w:eastAsia="zh-CN" w:bidi="ar-SA"/>
    </w:rPr>
  </w:style>
  <w:style w:type="paragraph" w:styleId="1049">
    <w:name w:val="段"/>
    <w:next w:val="1049"/>
    <w:link w:val="933"/>
    <w:qFormat/>
    <w:pPr>
      <w:ind w:firstLine="200"/>
      <w:jc w:val="both"/>
    </w:pPr>
    <w:rPr>
      <w:rFonts w:ascii="宋体"/>
      <w:sz w:val="21"/>
      <w:lang w:val="en-US" w:eastAsia="zh-CN" w:bidi="ar-SA"/>
    </w:rPr>
  </w:style>
  <w:style w:type="paragraph" w:styleId="1050">
    <w:name w:val="qw"/>
    <w:next w:val="1050"/>
    <w:link w:val="933"/>
    <w:qFormat/>
    <w:pPr>
      <w:jc w:val="both"/>
      <w:spacing w:line="312" w:lineRule="atLeast"/>
      <w:widowControl w:val="off"/>
    </w:pPr>
    <w:rPr>
      <w:rFonts w:ascii="宋体"/>
      <w:sz w:val="24"/>
      <w:lang w:val="en-US" w:eastAsia="zh-CN" w:bidi="ar-SA"/>
    </w:rPr>
  </w:style>
  <w:style w:type="paragraph" w:styleId="1051">
    <w:name w:val="样式 加点正文 + 段前: 0.5 行 段后: 0.5 行1"/>
    <w:basedOn w:val="933"/>
    <w:next w:val="1051"/>
    <w:link w:val="933"/>
    <w:qFormat/>
    <w:pPr>
      <w:ind w:left="1268" w:hanging="420"/>
      <w:spacing w:line="300" w:lineRule="auto"/>
      <w:tabs>
        <w:tab w:val="left" w:pos="1268" w:leader="none"/>
      </w:tabs>
    </w:pPr>
    <w:rPr>
      <w:sz w:val="24"/>
      <w:szCs w:val="20"/>
    </w:rPr>
  </w:style>
  <w:style w:type="paragraph" w:styleId="1052">
    <w:name w:val="样式 标题 3H3sect1.2.3BOD 0Heading 3 - oldh3l3CTLevel 3 Head..."/>
    <w:basedOn w:val="936"/>
    <w:next w:val="1052"/>
    <w:link w:val="933"/>
    <w:qFormat/>
    <w:pPr>
      <w:jc w:val="left"/>
      <w:spacing w:line="240" w:lineRule="auto"/>
    </w:pPr>
    <w:rPr>
      <w:rFonts w:cs="宋体"/>
      <w:sz w:val="30"/>
      <w:szCs w:val="20"/>
    </w:rPr>
  </w:style>
  <w:style w:type="paragraph" w:styleId="1053">
    <w:name w:val="正文 + 宋体"/>
    <w:basedOn w:val="933"/>
    <w:next w:val="1053"/>
    <w:link w:val="933"/>
    <w:qFormat/>
    <w:pPr>
      <w:ind w:firstLine="420"/>
      <w:spacing w:line="360" w:lineRule="auto"/>
    </w:pPr>
  </w:style>
  <w:style w:type="paragraph" w:styleId="1054">
    <w:name w:val="样式 样式 首行缩进:  2 字符 + 行距: 1.5 倍行距"/>
    <w:basedOn w:val="933"/>
    <w:next w:val="1054"/>
    <w:link w:val="933"/>
    <w:qFormat/>
    <w:pPr>
      <w:ind w:firstLine="470"/>
      <w:spacing w:line="360" w:lineRule="auto"/>
    </w:pPr>
    <w:rPr>
      <w:sz w:val="24"/>
      <w:szCs w:val="20"/>
    </w:rPr>
  </w:style>
  <w:style w:type="paragraph" w:styleId="1055">
    <w:name w:val="_Style 82"/>
    <w:next w:val="1055"/>
    <w:link w:val="933"/>
    <w:qFormat/>
    <w:rPr>
      <w:sz w:val="22"/>
      <w:szCs w:val="22"/>
      <w:lang w:val="en-US" w:eastAsia="zh-CN" w:bidi="ar-SA"/>
    </w:rPr>
  </w:style>
  <w:style w:type="paragraph" w:styleId="1056">
    <w:name w:val="Char Char1 Char Char Char Char1 Char Char Char Char Char Char"/>
    <w:basedOn w:val="933"/>
    <w:next w:val="1056"/>
    <w:link w:val="933"/>
    <w:qFormat/>
    <w:rPr>
      <w:rFonts w:ascii="Tahoma" w:hAnsi="Tahoma"/>
      <w:sz w:val="24"/>
      <w:szCs w:val="20"/>
    </w:rPr>
  </w:style>
  <w:style w:type="paragraph" w:styleId="1057">
    <w:name w:val="flNote"/>
    <w:basedOn w:val="933"/>
    <w:next w:val="1057"/>
    <w:link w:val="933"/>
    <w:qFormat/>
    <w:pPr>
      <w:jc w:val="center"/>
      <w:spacing w:before="567" w:line="360" w:lineRule="atLeast"/>
    </w:pPr>
    <w:rPr>
      <w:rFonts w:eastAsia="黑体"/>
      <w:b/>
      <w:sz w:val="24"/>
      <w:szCs w:val="20"/>
    </w:rPr>
  </w:style>
  <w:style w:type="paragraph" w:styleId="1058">
    <w:name w:val="flType"/>
    <w:basedOn w:val="1059"/>
    <w:next w:val="1058"/>
    <w:link w:val="933"/>
    <w:qFormat/>
    <w:pPr>
      <w:spacing w:after="284"/>
    </w:pPr>
    <w:rPr>
      <w:rFonts w:eastAsia="宋体"/>
      <w:b w:val="0"/>
    </w:rPr>
  </w:style>
  <w:style w:type="paragraph" w:styleId="1059">
    <w:name w:val="flName"/>
    <w:basedOn w:val="1057"/>
    <w:next w:val="1059"/>
    <w:link w:val="933"/>
    <w:qFormat/>
    <w:pPr>
      <w:spacing w:before="0" w:line="113" w:lineRule="atLeast"/>
    </w:pPr>
  </w:style>
  <w:style w:type="paragraph" w:styleId="1060">
    <w:name w:val="样式 样式 首行缩进:  0.74 厘米 行距: 1.5 倍行距 + 段后: 0.5 行"/>
    <w:basedOn w:val="933"/>
    <w:next w:val="1060"/>
    <w:link w:val="933"/>
    <w:qFormat/>
    <w:pPr>
      <w:ind w:firstLine="420"/>
      <w:spacing w:line="360" w:lineRule="auto"/>
    </w:pPr>
    <w:rPr>
      <w:rFonts w:ascii="楷体_GB2312" w:eastAsia="楷体_GB2312"/>
      <w:bCs/>
      <w:sz w:val="24"/>
      <w:szCs w:val="20"/>
    </w:rPr>
  </w:style>
  <w:style w:type="paragraph" w:styleId="1061">
    <w:name w:val="Pa5"/>
    <w:basedOn w:val="933"/>
    <w:next w:val="933"/>
    <w:link w:val="933"/>
    <w:qFormat/>
    <w:pPr>
      <w:jc w:val="left"/>
      <w:spacing w:line="241" w:lineRule="atLeast"/>
    </w:pPr>
    <w:rPr>
      <w:rFonts w:ascii="汉仪大黑简" w:eastAsia="汉仪大黑简"/>
      <w:sz w:val="24"/>
    </w:rPr>
  </w:style>
  <w:style w:type="paragraph" w:styleId="1062">
    <w:name w:val="xl52"/>
    <w:basedOn w:val="933"/>
    <w:next w:val="1062"/>
    <w:link w:val="933"/>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063">
    <w:name w:val="标题2，章节第二层"/>
    <w:basedOn w:val="933"/>
    <w:next w:val="1064"/>
    <w:link w:val="933"/>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64">
    <w:name w:val="正文格式"/>
    <w:basedOn w:val="933"/>
    <w:next w:val="1064"/>
    <w:link w:val="933"/>
    <w:qFormat/>
    <w:pPr>
      <w:ind w:left="178" w:right="44" w:hanging="178"/>
      <w:jc w:val="left"/>
      <w:spacing w:line="360" w:lineRule="auto"/>
      <w:widowControl/>
    </w:pPr>
    <w:rPr>
      <w:rFonts w:ascii="宋体" w:hAnsi="宋体"/>
      <w:bCs/>
      <w:szCs w:val="21"/>
    </w:rPr>
  </w:style>
  <w:style w:type="paragraph" w:styleId="1065">
    <w:name w:val="Test2"/>
    <w:basedOn w:val="935"/>
    <w:next w:val="1065"/>
    <w:link w:val="933"/>
    <w:qFormat/>
    <w:pPr>
      <w:jc w:val="center"/>
      <w:spacing w:line="480" w:lineRule="exact"/>
      <w:widowControl/>
    </w:pPr>
    <w:rPr>
      <w:rFonts w:ascii="黑体"/>
      <w:sz w:val="24"/>
      <w:szCs w:val="24"/>
    </w:rPr>
  </w:style>
  <w:style w:type="paragraph" w:styleId="1066">
    <w:name w:val="二级条标题"/>
    <w:basedOn w:val="933"/>
    <w:next w:val="1049"/>
    <w:link w:val="933"/>
    <w:qFormat/>
    <w:pPr>
      <w:ind w:hanging="420"/>
      <w:widowControl/>
      <w:tabs>
        <w:tab w:val="left" w:pos="2240" w:leader="none"/>
      </w:tabs>
      <w:outlineLvl w:val="3"/>
    </w:pPr>
    <w:rPr>
      <w:rFonts w:eastAsia="黑体"/>
      <w:szCs w:val="20"/>
    </w:rPr>
  </w:style>
  <w:style w:type="paragraph" w:styleId="1067">
    <w:name w:val="Char2"/>
    <w:basedOn w:val="961"/>
    <w:next w:val="1067"/>
    <w:link w:val="933"/>
    <w:qFormat/>
    <w:rPr>
      <w:rFonts w:ascii="Tahoma" w:hAnsi="Tahoma"/>
    </w:rPr>
  </w:style>
  <w:style w:type="paragraph" w:styleId="1068">
    <w:name w:val="xl31"/>
    <w:basedOn w:val="933"/>
    <w:next w:val="1068"/>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069">
    <w:name w:val="标准文本"/>
    <w:basedOn w:val="933"/>
    <w:next w:val="1069"/>
    <w:link w:val="933"/>
    <w:qFormat/>
    <w:pPr>
      <w:ind w:firstLine="480"/>
      <w:spacing w:line="360" w:lineRule="auto"/>
    </w:pPr>
    <w:rPr>
      <w:rFonts w:cs="宋体"/>
      <w:sz w:val="24"/>
    </w:rPr>
  </w:style>
  <w:style w:type="paragraph" w:styleId="1070">
    <w:name w:val="马刚标题4"/>
    <w:basedOn w:val="1071"/>
    <w:next w:val="933"/>
    <w:link w:val="933"/>
    <w:qFormat/>
    <w:pPr>
      <w:spacing w:before="100" w:after="40"/>
      <w:tabs>
        <w:tab w:val="left" w:pos="567" w:leader="none"/>
        <w:tab w:val="left" w:pos="735" w:leader="none"/>
        <w:tab w:val="left" w:pos="1050" w:leader="none"/>
      </w:tabs>
      <w:outlineLvl w:val="3"/>
    </w:pPr>
    <w:rPr>
      <w:b w:val="0"/>
    </w:rPr>
  </w:style>
  <w:style w:type="paragraph" w:styleId="1071">
    <w:name w:val="马刚标题3"/>
    <w:basedOn w:val="933"/>
    <w:next w:val="933"/>
    <w:link w:val="933"/>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72">
    <w:name w:val="普通 (Web)"/>
    <w:basedOn w:val="933"/>
    <w:next w:val="1072"/>
    <w:link w:val="933"/>
    <w:qFormat/>
    <w:pPr>
      <w:jc w:val="left"/>
      <w:spacing w:before="100" w:beforeAutospacing="1" w:after="100" w:afterAutospacing="1"/>
      <w:widowControl/>
    </w:pPr>
    <w:rPr>
      <w:rFonts w:ascii="宋体" w:hAnsi="宋体"/>
      <w:sz w:val="24"/>
    </w:rPr>
  </w:style>
  <w:style w:type="paragraph" w:styleId="1073">
    <w:name w:val="Char1 Char Char Char"/>
    <w:basedOn w:val="933"/>
    <w:next w:val="1073"/>
    <w:link w:val="933"/>
    <w:qFormat/>
    <w:rPr>
      <w:rFonts w:ascii="Tahoma" w:hAnsi="Tahoma" w:cs="Tahoma"/>
      <w:sz w:val="24"/>
      <w:szCs w:val="20"/>
    </w:rPr>
  </w:style>
  <w:style w:type="paragraph" w:styleId="1074">
    <w:name w:val="Char Char Char Char Char Char Char Char Char Char Char Char Char Char Char Char Char Char Char Char Char1"/>
    <w:basedOn w:val="933"/>
    <w:next w:val="1074"/>
    <w:link w:val="933"/>
    <w:qFormat/>
    <w:rPr>
      <w:rFonts w:ascii="Tahoma" w:hAnsi="Tahoma"/>
      <w:sz w:val="24"/>
      <w:szCs w:val="20"/>
    </w:rPr>
  </w:style>
  <w:style w:type="paragraph" w:styleId="1075">
    <w:name w:val="xl36"/>
    <w:basedOn w:val="933"/>
    <w:next w:val="1075"/>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6">
    <w:name w:val="font6"/>
    <w:basedOn w:val="933"/>
    <w:next w:val="1076"/>
    <w:link w:val="933"/>
    <w:qFormat/>
    <w:pPr>
      <w:jc w:val="left"/>
      <w:spacing w:before="100" w:beforeAutospacing="1" w:after="100" w:afterAutospacing="1"/>
      <w:widowControl/>
    </w:pPr>
    <w:rPr>
      <w:rFonts w:ascii="宋体" w:hAnsi="宋体" w:cs="宋体"/>
      <w:b/>
      <w:bCs/>
      <w:sz w:val="20"/>
      <w:szCs w:val="20"/>
    </w:rPr>
  </w:style>
  <w:style w:type="paragraph" w:styleId="1077">
    <w:name w:val="xl37"/>
    <w:basedOn w:val="933"/>
    <w:next w:val="1077"/>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078">
    <w:name w:val="xl58"/>
    <w:basedOn w:val="933"/>
    <w:next w:val="1078"/>
    <w:link w:val="933"/>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079">
    <w:name w:val="font10"/>
    <w:basedOn w:val="933"/>
    <w:next w:val="1079"/>
    <w:link w:val="933"/>
    <w:qFormat/>
    <w:pPr>
      <w:jc w:val="left"/>
      <w:spacing w:before="100" w:beforeAutospacing="1" w:after="100" w:afterAutospacing="1"/>
      <w:widowControl/>
    </w:pPr>
    <w:rPr>
      <w:rFonts w:ascii="楷体_GB2312" w:hAnsi="宋体" w:eastAsia="楷体_GB2312" w:cs="宋体"/>
      <w:b/>
      <w:bCs/>
      <w:sz w:val="18"/>
      <w:szCs w:val="18"/>
    </w:rPr>
  </w:style>
  <w:style w:type="paragraph" w:styleId="1080">
    <w:name w:val="xl56"/>
    <w:basedOn w:val="933"/>
    <w:next w:val="1080"/>
    <w:link w:val="933"/>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081">
    <w:name w:val="样式"/>
    <w:basedOn w:val="933"/>
    <w:next w:val="1081"/>
    <w:link w:val="933"/>
    <w:qFormat/>
    <w:pPr>
      <w:spacing w:before="120" w:after="120" w:line="360" w:lineRule="auto"/>
    </w:pPr>
    <w:rPr>
      <w:rFonts w:ascii="宋体"/>
      <w:sz w:val="24"/>
      <w:szCs w:val="20"/>
    </w:rPr>
  </w:style>
  <w:style w:type="paragraph" w:styleId="1082">
    <w:name w:val="方案正文"/>
    <w:basedOn w:val="933"/>
    <w:next w:val="1082"/>
    <w:link w:val="933"/>
    <w:qFormat/>
    <w:pPr>
      <w:ind w:firstLine="359"/>
      <w:jc w:val="left"/>
      <w:spacing w:before="156" w:line="360" w:lineRule="auto"/>
    </w:pPr>
    <w:rPr>
      <w:rFonts w:ascii="Arial" w:hAnsi="Arial" w:cs="宋体"/>
      <w:sz w:val="24"/>
      <w:szCs w:val="21"/>
    </w:rPr>
  </w:style>
  <w:style w:type="paragraph" w:styleId="1083">
    <w:name w:val="a0"/>
    <w:basedOn w:val="933"/>
    <w:next w:val="1083"/>
    <w:link w:val="933"/>
    <w:qFormat/>
    <w:pPr>
      <w:spacing w:before="100" w:beforeAutospacing="1" w:after="100" w:afterAutospacing="1"/>
      <w:widowControl/>
    </w:pPr>
    <w:rPr>
      <w:rFonts w:ascii="宋体" w:hAnsi="宋体" w:cs="宋体"/>
      <w:sz w:val="24"/>
    </w:rPr>
  </w:style>
  <w:style w:type="paragraph" w:styleId="1084">
    <w:name w:val="retrait3"/>
    <w:basedOn w:val="933"/>
    <w:next w:val="1084"/>
    <w:link w:val="933"/>
    <w:qFormat/>
    <w:pPr>
      <w:ind w:left="851"/>
      <w:jc w:val="left"/>
      <w:spacing w:before="20" w:after="20"/>
      <w:widowControl/>
    </w:pPr>
    <w:rPr>
      <w:rFonts w:ascii="Arial" w:hAnsi="Arial"/>
      <w:sz w:val="24"/>
      <w:szCs w:val="20"/>
      <w:lang w:val="en-GB"/>
    </w:rPr>
  </w:style>
  <w:style w:type="paragraph" w:styleId="1085">
    <w:name w:val="图标"/>
    <w:basedOn w:val="933"/>
    <w:next w:val="933"/>
    <w:link w:val="93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6">
    <w:name w:val="Char1 Char Char Char1"/>
    <w:basedOn w:val="933"/>
    <w:next w:val="1086"/>
    <w:link w:val="933"/>
    <w:qFormat/>
    <w:rPr>
      <w:rFonts w:ascii="Tahoma" w:hAnsi="Tahoma"/>
      <w:sz w:val="24"/>
      <w:szCs w:val="20"/>
    </w:rPr>
  </w:style>
  <w:style w:type="paragraph" w:styleId="1087">
    <w:name w:val="table_lines"/>
    <w:basedOn w:val="933"/>
    <w:next w:val="1087"/>
    <w:link w:val="933"/>
    <w:qFormat/>
    <w:pPr>
      <w:jc w:val="left"/>
      <w:widowControl/>
    </w:pPr>
    <w:rPr>
      <w:sz w:val="20"/>
      <w:szCs w:val="20"/>
      <w:lang w:val="de-DE" w:eastAsia="de-DE"/>
    </w:rPr>
  </w:style>
  <w:style w:type="paragraph" w:styleId="1088">
    <w:name w:val="Char Char1"/>
    <w:basedOn w:val="933"/>
    <w:next w:val="1088"/>
    <w:link w:val="933"/>
    <w:qFormat/>
    <w:rPr>
      <w:rFonts w:ascii="Tahoma" w:hAnsi="Tahoma"/>
      <w:sz w:val="24"/>
      <w:szCs w:val="20"/>
    </w:rPr>
  </w:style>
  <w:style w:type="paragraph" w:styleId="1089">
    <w:name w:val="Item List Char Char"/>
    <w:next w:val="1089"/>
    <w:link w:val="933"/>
    <w:qFormat/>
    <w:pPr>
      <w:jc w:val="both"/>
      <w:spacing w:line="288" w:lineRule="auto"/>
    </w:pPr>
    <w:rPr>
      <w:rFonts w:ascii="Arial" w:hAnsi="Arial" w:cs="Arial"/>
      <w:b/>
      <w:bCs/>
      <w:sz w:val="21"/>
      <w:szCs w:val="28"/>
      <w:lang w:val="en-US" w:eastAsia="zh-CN" w:bidi="ar-SA"/>
    </w:rPr>
  </w:style>
  <w:style w:type="paragraph" w:styleId="1090">
    <w:name w:val="样式 样式 标题 3H3sect1.2.3BOD 0Heading 3 - oldh3l3CTLevel 3 Head... +..."/>
    <w:basedOn w:val="933"/>
    <w:next w:val="1090"/>
    <w:link w:val="933"/>
    <w:qFormat/>
    <w:pPr>
      <w:jc w:val="left"/>
      <w:keepLines/>
      <w:keepNext/>
      <w:outlineLvl w:val="2"/>
    </w:pPr>
    <w:rPr>
      <w:rFonts w:cs="宋体"/>
      <w:b/>
      <w:bCs/>
      <w:sz w:val="24"/>
      <w:szCs w:val="20"/>
    </w:rPr>
  </w:style>
  <w:style w:type="paragraph" w:styleId="1091">
    <w:name w:val="Char Char1 Char1"/>
    <w:basedOn w:val="933"/>
    <w:next w:val="1091"/>
    <w:link w:val="933"/>
    <w:qFormat/>
    <w:pPr>
      <w:jc w:val="left"/>
      <w:spacing w:after="160" w:line="240" w:lineRule="exact"/>
      <w:widowControl/>
    </w:pPr>
    <w:rPr>
      <w:rFonts w:ascii="Verdana" w:hAnsi="Verdana"/>
      <w:sz w:val="20"/>
      <w:szCs w:val="20"/>
      <w:lang w:eastAsia="en-US"/>
    </w:rPr>
  </w:style>
  <w:style w:type="paragraph" w:styleId="1092">
    <w:name w:val="正文2"/>
    <w:basedOn w:val="933"/>
    <w:next w:val="1092"/>
    <w:link w:val="933"/>
    <w:qFormat/>
    <w:pPr>
      <w:ind w:firstLine="510"/>
      <w:spacing w:before="156" w:line="360" w:lineRule="auto"/>
    </w:pPr>
    <w:rPr>
      <w:sz w:val="24"/>
      <w:szCs w:val="20"/>
    </w:rPr>
  </w:style>
  <w:style w:type="paragraph" w:styleId="1093">
    <w:name w:val="font13"/>
    <w:basedOn w:val="933"/>
    <w:next w:val="1093"/>
    <w:link w:val="933"/>
    <w:qFormat/>
    <w:pPr>
      <w:jc w:val="left"/>
      <w:spacing w:before="100" w:beforeAutospacing="1" w:after="100" w:afterAutospacing="1"/>
      <w:widowControl/>
    </w:pPr>
    <w:rPr>
      <w:i/>
      <w:iCs/>
      <w:sz w:val="36"/>
      <w:szCs w:val="36"/>
    </w:rPr>
  </w:style>
  <w:style w:type="paragraph" w:styleId="1094">
    <w:name w:val="默认段落字体 Para Char"/>
    <w:basedOn w:val="933"/>
    <w:next w:val="1094"/>
    <w:link w:val="933"/>
    <w:qFormat/>
    <w:pPr>
      <w:spacing w:line="360" w:lineRule="auto"/>
    </w:pPr>
    <w:rPr>
      <w:sz w:val="24"/>
    </w:rPr>
  </w:style>
  <w:style w:type="paragraph" w:styleId="1095">
    <w:name w:val="af17cgridlangnp1033langf"/>
    <w:next w:val="1095"/>
    <w:link w:val="933"/>
    <w:qFormat/>
    <w:pPr>
      <w:ind w:left="567" w:firstLine="510"/>
      <w:jc w:val="both"/>
      <w:spacing w:before="156" w:line="360" w:lineRule="atLeast"/>
      <w:widowControl w:val="off"/>
    </w:pPr>
    <w:rPr>
      <w:lang w:val="en-US" w:eastAsia="zh-CN" w:bidi="ar-SA"/>
    </w:rPr>
  </w:style>
  <w:style w:type="paragraph" w:styleId="1096">
    <w:name w:val="正文1"/>
    <w:basedOn w:val="933"/>
    <w:next w:val="933"/>
    <w:link w:val="933"/>
    <w:qFormat/>
    <w:pPr>
      <w:ind w:firstLine="510"/>
      <w:spacing w:before="156" w:line="360" w:lineRule="auto"/>
    </w:pPr>
    <w:rPr>
      <w:sz w:val="24"/>
      <w:szCs w:val="20"/>
    </w:rPr>
  </w:style>
  <w:style w:type="paragraph" w:styleId="1097">
    <w:name w:val="Char Char Char Char Char Char Char Char Char1"/>
    <w:basedOn w:val="933"/>
    <w:next w:val="1097"/>
    <w:link w:val="933"/>
    <w:qFormat/>
    <w:pPr>
      <w:ind w:left="360" w:hanging="360"/>
      <w:tabs>
        <w:tab w:val="left" w:pos="360" w:leader="none"/>
      </w:tabs>
    </w:pPr>
    <w:rPr>
      <w:sz w:val="24"/>
    </w:rPr>
  </w:style>
  <w:style w:type="paragraph" w:styleId="1098">
    <w:name w:val="xl41"/>
    <w:basedOn w:val="933"/>
    <w:next w:val="1098"/>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9">
    <w:name w:val="正文文本 21"/>
    <w:basedOn w:val="933"/>
    <w:next w:val="1099"/>
    <w:link w:val="933"/>
    <w:qFormat/>
    <w:pPr>
      <w:ind w:left="720" w:hanging="720"/>
      <w:widowControl/>
    </w:pPr>
    <w:rPr>
      <w:sz w:val="24"/>
      <w:szCs w:val="20"/>
      <w:lang w:val="en-GB"/>
    </w:rPr>
  </w:style>
  <w:style w:type="paragraph" w:styleId="1100">
    <w:name w:val="Char Char Char Char Char Char Char Char Char Char Char Char Char Char Char Char Char Char Char Char Char Char Char1"/>
    <w:basedOn w:val="933"/>
    <w:next w:val="1100"/>
    <w:link w:val="933"/>
    <w:qFormat/>
    <w:rPr>
      <w:rFonts w:ascii="Tahoma" w:hAnsi="Tahoma" w:cs="Tahoma"/>
      <w:sz w:val="24"/>
      <w:szCs w:val="20"/>
    </w:rPr>
  </w:style>
  <w:style w:type="paragraph" w:styleId="1101">
    <w:name w:val="Char Char Char Char Char Char Char Char Char Char Char Char Char Char1"/>
    <w:basedOn w:val="933"/>
    <w:next w:val="1101"/>
    <w:link w:val="933"/>
    <w:qFormat/>
    <w:rPr>
      <w:rFonts w:ascii="Tahoma" w:hAnsi="Tahoma" w:cs="Tahoma"/>
      <w:sz w:val="24"/>
      <w:szCs w:val="20"/>
    </w:rPr>
  </w:style>
  <w:style w:type="paragraph" w:styleId="1102">
    <w:name w:val="Default Text"/>
    <w:basedOn w:val="933"/>
    <w:next w:val="1102"/>
    <w:link w:val="933"/>
    <w:qFormat/>
    <w:pPr>
      <w:jc w:val="left"/>
      <w:widowControl/>
    </w:pPr>
    <w:rPr>
      <w:sz w:val="24"/>
      <w:szCs w:val="20"/>
      <w:lang w:eastAsia="en-US"/>
    </w:rPr>
  </w:style>
  <w:style w:type="paragraph" w:styleId="1103">
    <w:name w:val="xl62"/>
    <w:basedOn w:val="933"/>
    <w:next w:val="1103"/>
    <w:link w:val="933"/>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04">
    <w:name w:val="xl63"/>
    <w:basedOn w:val="933"/>
    <w:next w:val="1104"/>
    <w:link w:val="933"/>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105">
    <w:name w:val="xl45"/>
    <w:basedOn w:val="933"/>
    <w:next w:val="1105"/>
    <w:link w:val="933"/>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106">
    <w:name w:val="纯文本1"/>
    <w:basedOn w:val="933"/>
    <w:next w:val="1106"/>
    <w:link w:val="933"/>
    <w:qFormat/>
    <w:rPr>
      <w:rFonts w:ascii="宋体" w:hAnsi="宋体" w:eastAsia="楷体_GB2312" w:cs="宋体"/>
      <w:sz w:val="28"/>
      <w:szCs w:val="20"/>
    </w:rPr>
  </w:style>
  <w:style w:type="paragraph" w:styleId="1107">
    <w:name w:val="xl53"/>
    <w:basedOn w:val="933"/>
    <w:next w:val="1107"/>
    <w:link w:val="933"/>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08">
    <w:name w:val="font14"/>
    <w:basedOn w:val="933"/>
    <w:next w:val="1108"/>
    <w:link w:val="933"/>
    <w:qFormat/>
    <w:pPr>
      <w:jc w:val="left"/>
      <w:spacing w:before="100" w:beforeAutospacing="1" w:after="100" w:afterAutospacing="1"/>
      <w:widowControl/>
    </w:pPr>
    <w:rPr>
      <w:sz w:val="36"/>
      <w:szCs w:val="36"/>
    </w:rPr>
  </w:style>
  <w:style w:type="paragraph" w:styleId="1109">
    <w:name w:val="章标题"/>
    <w:next w:val="1049"/>
    <w:link w:val="933"/>
    <w:qFormat/>
    <w:pPr>
      <w:jc w:val="both"/>
      <w:outlineLvl w:val="1"/>
    </w:pPr>
    <w:rPr>
      <w:rFonts w:eastAsia="黑体"/>
      <w:sz w:val="21"/>
      <w:lang w:val="en-US" w:eastAsia="zh-CN" w:bidi="ar-SA"/>
    </w:rPr>
  </w:style>
  <w:style w:type="paragraph" w:styleId="1110">
    <w:name w:val="正文文本缩进1"/>
    <w:basedOn w:val="933"/>
    <w:next w:val="1110"/>
    <w:link w:val="933"/>
    <w:qFormat/>
    <w:pPr>
      <w:ind w:left="420"/>
      <w:spacing w:after="120"/>
    </w:pPr>
  </w:style>
  <w:style w:type="paragraph" w:styleId="1111">
    <w:name w:val="xl54"/>
    <w:basedOn w:val="933"/>
    <w:next w:val="1111"/>
    <w:link w:val="933"/>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12">
    <w:name w:val="Char Char1 Char"/>
    <w:basedOn w:val="933"/>
    <w:next w:val="1112"/>
    <w:link w:val="933"/>
    <w:qFormat/>
    <w:pPr>
      <w:jc w:val="left"/>
      <w:spacing w:after="160" w:line="240" w:lineRule="exact"/>
      <w:widowControl/>
    </w:pPr>
    <w:rPr>
      <w:rFonts w:ascii="Verdana" w:hAnsi="Verdana"/>
      <w:sz w:val="20"/>
      <w:szCs w:val="20"/>
      <w:lang w:eastAsia="en-US"/>
    </w:rPr>
  </w:style>
  <w:style w:type="paragraph" w:styleId="1113">
    <w:name w:val="项目符号，一级"/>
    <w:basedOn w:val="1064"/>
    <w:next w:val="1064"/>
    <w:link w:val="933"/>
    <w:qFormat/>
    <w:pPr>
      <w:ind w:left="376" w:firstLine="0"/>
      <w:spacing w:line="240" w:lineRule="atLeast"/>
      <w:tabs>
        <w:tab w:val="left" w:pos="1320" w:leader="none"/>
      </w:tabs>
    </w:pPr>
    <w:rPr>
      <w:bCs w:val="0"/>
      <w:color w:val="000000"/>
      <w:szCs w:val="24"/>
    </w:rPr>
  </w:style>
  <w:style w:type="paragraph" w:styleId="1114">
    <w:name w:val="xl60"/>
    <w:basedOn w:val="933"/>
    <w:next w:val="1114"/>
    <w:link w:val="933"/>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15">
    <w:name w:val="标题3"/>
    <w:basedOn w:val="936"/>
    <w:next w:val="1115"/>
    <w:link w:val="933"/>
    <w:qFormat/>
    <w:pPr>
      <w:keepLines w:val="0"/>
      <w:keepNext w:val="0"/>
      <w:spacing w:before="0" w:after="0" w:line="360" w:lineRule="auto"/>
    </w:pPr>
    <w:rPr>
      <w:rFonts w:eastAsia="仿宋_GB2312"/>
      <w:b w:val="0"/>
      <w:sz w:val="30"/>
    </w:rPr>
  </w:style>
  <w:style w:type="paragraph" w:styleId="1116">
    <w:name w:val="样式3"/>
    <w:basedOn w:val="933"/>
    <w:next w:val="933"/>
    <w:link w:val="933"/>
    <w:qFormat/>
    <w:pPr>
      <w:spacing w:line="360" w:lineRule="auto"/>
    </w:pPr>
    <w:rPr>
      <w:szCs w:val="20"/>
    </w:rPr>
  </w:style>
  <w:style w:type="paragraph" w:styleId="1117">
    <w:name w:val="xl35"/>
    <w:basedOn w:val="933"/>
    <w:next w:val="1117"/>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18">
    <w:name w:val="Char Char1 Char Char2 Char Char"/>
    <w:basedOn w:val="933"/>
    <w:next w:val="1118"/>
    <w:link w:val="933"/>
    <w:qFormat/>
    <w:pPr>
      <w:jc w:val="left"/>
      <w:spacing w:after="160" w:line="240" w:lineRule="exact"/>
      <w:widowControl/>
    </w:pPr>
  </w:style>
  <w:style w:type="paragraph" w:styleId="1119">
    <w:name w:val="正文 + Arial Char"/>
    <w:basedOn w:val="933"/>
    <w:next w:val="1119"/>
    <w:link w:val="933"/>
    <w:qFormat/>
    <w:pPr>
      <w:ind w:left="315" w:hanging="315"/>
      <w:spacing w:line="300" w:lineRule="auto"/>
      <w:widowControl/>
      <w:tabs>
        <w:tab w:val="left" w:pos="315" w:leader="none"/>
      </w:tabs>
    </w:pPr>
    <w:rPr>
      <w:rFonts w:ascii="Arial" w:hAnsi="Arial" w:cs="Arial"/>
      <w:b/>
      <w:color w:val="000000"/>
      <w:szCs w:val="20"/>
    </w:rPr>
  </w:style>
  <w:style w:type="paragraph" w:styleId="1120">
    <w:name w:val="table_1stline"/>
    <w:basedOn w:val="933"/>
    <w:next w:val="1120"/>
    <w:link w:val="933"/>
    <w:qFormat/>
    <w:pPr>
      <w:jc w:val="left"/>
      <w:spacing w:before="120"/>
      <w:widowControl/>
    </w:pPr>
    <w:rPr>
      <w:bCs/>
      <w:sz w:val="20"/>
      <w:szCs w:val="20"/>
      <w:lang w:val="de-DE" w:eastAsia="de-DE"/>
    </w:rPr>
  </w:style>
  <w:style w:type="paragraph" w:styleId="1121">
    <w:name w:val="tableau"/>
    <w:basedOn w:val="933"/>
    <w:next w:val="1121"/>
    <w:link w:val="933"/>
    <w:qFormat/>
    <w:pPr>
      <w:jc w:val="center"/>
      <w:spacing w:before="20" w:after="20"/>
      <w:widowControl/>
    </w:pPr>
    <w:rPr>
      <w:rFonts w:ascii="Arial" w:hAnsi="Arial"/>
      <w:sz w:val="16"/>
      <w:szCs w:val="20"/>
      <w:lang w:val="en-GB" w:eastAsia="en-US"/>
    </w:rPr>
  </w:style>
  <w:style w:type="paragraph" w:styleId="1122">
    <w:name w:val="Char Char Char Char1"/>
    <w:basedOn w:val="961"/>
    <w:next w:val="1122"/>
    <w:link w:val="933"/>
    <w:qFormat/>
    <w:pPr>
      <w:spacing w:line="360" w:lineRule="auto"/>
    </w:pPr>
    <w:rPr>
      <w:rFonts w:ascii="Tahoma" w:hAnsi="Tahoma"/>
    </w:rPr>
  </w:style>
  <w:style w:type="paragraph" w:styleId="1123">
    <w:name w:val="font9"/>
    <w:basedOn w:val="933"/>
    <w:next w:val="1123"/>
    <w:link w:val="933"/>
    <w:qFormat/>
    <w:pPr>
      <w:jc w:val="left"/>
      <w:spacing w:before="100" w:beforeAutospacing="1" w:after="100" w:afterAutospacing="1"/>
      <w:widowControl/>
    </w:pPr>
    <w:rPr>
      <w:b/>
      <w:bCs/>
      <w:sz w:val="20"/>
      <w:szCs w:val="20"/>
    </w:rPr>
  </w:style>
  <w:style w:type="paragraph" w:styleId="1124">
    <w:name w:val="Char Char Char Char Char Char Char1 Char"/>
    <w:basedOn w:val="933"/>
    <w:next w:val="1124"/>
    <w:link w:val="933"/>
    <w:qFormat/>
    <w:rPr>
      <w:rFonts w:ascii="Tahoma" w:hAnsi="Tahoma" w:cs="Tahoma"/>
      <w:sz w:val="24"/>
      <w:szCs w:val="20"/>
    </w:rPr>
  </w:style>
  <w:style w:type="paragraph" w:styleId="1125">
    <w:name w:val="插图"/>
    <w:basedOn w:val="933"/>
    <w:next w:val="1125"/>
    <w:link w:val="933"/>
    <w:qFormat/>
    <w:pPr>
      <w:jc w:val="center"/>
      <w:tabs>
        <w:tab w:val="left" w:pos="1620" w:leader="none"/>
      </w:tabs>
    </w:pPr>
    <w:rPr>
      <w:bCs/>
      <w:color w:val="000000"/>
      <w:szCs w:val="22"/>
    </w:rPr>
  </w:style>
  <w:style w:type="paragraph" w:styleId="1126">
    <w:name w:val="Char1"/>
    <w:basedOn w:val="933"/>
    <w:next w:val="1126"/>
    <w:link w:val="933"/>
    <w:qFormat/>
    <w:rPr>
      <w:rFonts w:ascii="仿宋_GB2312" w:hAnsi="宋体" w:eastAsia="仿宋_GB2312" w:cs="宋体"/>
      <w:b/>
      <w:sz w:val="32"/>
      <w:szCs w:val="32"/>
    </w:rPr>
  </w:style>
  <w:style w:type="paragraph" w:styleId="1127">
    <w:name w:val="xl47"/>
    <w:basedOn w:val="933"/>
    <w:next w:val="1127"/>
    <w:link w:val="93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8">
    <w:name w:val="xl48"/>
    <w:basedOn w:val="933"/>
    <w:next w:val="1128"/>
    <w:link w:val="933"/>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129">
    <w:name w:val="引用1"/>
    <w:basedOn w:val="933"/>
    <w:next w:val="933"/>
    <w:link w:val="1130"/>
    <w:uiPriority w:val="29"/>
    <w:qFormat/>
    <w:pPr>
      <w:ind w:left="360" w:right="360"/>
      <w:jc w:val="left"/>
      <w:spacing w:before="200" w:line="276" w:lineRule="auto"/>
      <w:widowControl/>
    </w:pPr>
    <w:rPr>
      <w:rFonts w:ascii="Calibri" w:hAnsi="Calibri"/>
      <w:i/>
      <w:iCs/>
      <w:sz w:val="22"/>
      <w:szCs w:val="20"/>
      <w:lang w:eastAsia="en-US"/>
    </w:rPr>
  </w:style>
  <w:style w:type="character" w:styleId="1130">
    <w:name w:val="Quote Char"/>
    <w:next w:val="1130"/>
    <w:link w:val="1129"/>
    <w:uiPriority w:val="29"/>
    <w:qFormat/>
    <w:rPr>
      <w:rFonts w:ascii="Calibri" w:hAnsi="Calibri" w:eastAsia="宋体" w:cs="Times New Roman"/>
      <w:i/>
      <w:iCs/>
      <w:sz w:val="22"/>
      <w:lang w:eastAsia="en-US"/>
    </w:rPr>
  </w:style>
  <w:style w:type="paragraph" w:styleId="1131">
    <w:name w:val="Char Char1 Char Char Char Char Char Char Char"/>
    <w:basedOn w:val="933"/>
    <w:next w:val="1131"/>
    <w:link w:val="933"/>
    <w:qFormat/>
    <w:rPr>
      <w:rFonts w:ascii="Tahoma" w:hAnsi="Tahoma" w:cs="Tahoma"/>
      <w:sz w:val="24"/>
      <w:szCs w:val="20"/>
    </w:rPr>
  </w:style>
  <w:style w:type="paragraph" w:styleId="1132">
    <w:name w:val="列表内容"/>
    <w:basedOn w:val="933"/>
    <w:next w:val="933"/>
    <w:link w:val="933"/>
    <w:qFormat/>
    <w:pPr>
      <w:ind w:left="840" w:hanging="420"/>
      <w:jc w:val="left"/>
      <w:widowControl/>
      <w:tabs>
        <w:tab w:val="left" w:pos="840" w:leader="none"/>
      </w:tabs>
    </w:pPr>
    <w:rPr>
      <w:sz w:val="18"/>
    </w:rPr>
  </w:style>
  <w:style w:type="paragraph" w:styleId="1133">
    <w:name w:val="Body Text(ch)"/>
    <w:basedOn w:val="933"/>
    <w:next w:val="969"/>
    <w:link w:val="933"/>
    <w:qFormat/>
    <w:pPr>
      <w:spacing w:after="120"/>
    </w:pPr>
    <w:rPr>
      <w:rFonts w:ascii="宋体" w:hAnsi="Arial"/>
      <w:bCs/>
      <w:iCs/>
    </w:rPr>
  </w:style>
  <w:style w:type="paragraph" w:styleId="1134">
    <w:name w:val="Body Text 211"/>
    <w:basedOn w:val="933"/>
    <w:next w:val="1134"/>
    <w:link w:val="933"/>
    <w:qFormat/>
    <w:pPr>
      <w:ind w:left="720" w:hanging="720"/>
      <w:widowControl/>
    </w:pPr>
    <w:rPr>
      <w:sz w:val="24"/>
      <w:szCs w:val="20"/>
      <w:lang w:val="en-GB"/>
    </w:rPr>
  </w:style>
  <w:style w:type="paragraph" w:styleId="1135">
    <w:name w:val="font5"/>
    <w:basedOn w:val="933"/>
    <w:next w:val="1135"/>
    <w:link w:val="933"/>
    <w:qFormat/>
    <w:pPr>
      <w:jc w:val="left"/>
      <w:spacing w:before="100" w:beforeAutospacing="1" w:after="100" w:afterAutospacing="1"/>
      <w:widowControl/>
    </w:pPr>
    <w:rPr>
      <w:rFonts w:ascii="宋体" w:hAnsi="宋体" w:cs="宋体"/>
      <w:sz w:val="18"/>
      <w:szCs w:val="18"/>
    </w:rPr>
  </w:style>
  <w:style w:type="paragraph" w:styleId="1136">
    <w:name w:val="xl28"/>
    <w:basedOn w:val="933"/>
    <w:next w:val="1136"/>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37">
    <w:name w:val="Body Text 21"/>
    <w:basedOn w:val="933"/>
    <w:next w:val="1137"/>
    <w:link w:val="933"/>
    <w:qFormat/>
    <w:pPr>
      <w:ind w:left="720" w:hanging="720"/>
      <w:widowControl/>
    </w:pPr>
    <w:rPr>
      <w:sz w:val="24"/>
      <w:szCs w:val="20"/>
      <w:lang w:val="en-GB"/>
    </w:rPr>
  </w:style>
  <w:style w:type="paragraph" w:styleId="1138">
    <w:name w:val="列出段落1"/>
    <w:basedOn w:val="933"/>
    <w:next w:val="1138"/>
    <w:link w:val="933"/>
    <w:uiPriority w:val="34"/>
    <w:qFormat/>
    <w:pPr>
      <w:ind w:firstLine="420"/>
    </w:pPr>
    <w:rPr>
      <w:rFonts w:ascii="Calibri" w:hAnsi="Calibri"/>
      <w:szCs w:val="22"/>
    </w:rPr>
  </w:style>
  <w:style w:type="paragraph" w:styleId="1139">
    <w:name w:val="华宇段落1 Char"/>
    <w:basedOn w:val="933"/>
    <w:next w:val="1139"/>
    <w:link w:val="933"/>
    <w:qFormat/>
    <w:pPr>
      <w:ind w:firstLine="200"/>
      <w:spacing w:line="360" w:lineRule="auto"/>
    </w:pPr>
    <w:rPr>
      <w:bCs/>
      <w:sz w:val="24"/>
    </w:rPr>
  </w:style>
  <w:style w:type="paragraph" w:styleId="1140">
    <w:name w:val="正文 New"/>
    <w:next w:val="1140"/>
    <w:link w:val="933"/>
    <w:qFormat/>
    <w:pPr>
      <w:jc w:val="both"/>
      <w:widowControl w:val="off"/>
    </w:pPr>
    <w:rPr>
      <w:sz w:val="21"/>
      <w:lang w:val="en-US" w:eastAsia="zh-CN" w:bidi="ar-SA"/>
    </w:rPr>
  </w:style>
  <w:style w:type="paragraph" w:styleId="1141">
    <w:name w:val="马刚标题1"/>
    <w:basedOn w:val="934"/>
    <w:next w:val="933"/>
    <w:link w:val="933"/>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42">
    <w:name w:val="Char Char Char Char Char"/>
    <w:basedOn w:val="933"/>
    <w:next w:val="1142"/>
    <w:link w:val="933"/>
    <w:qFormat/>
    <w:rPr>
      <w:rFonts w:ascii="Tahoma" w:hAnsi="Tahoma"/>
      <w:sz w:val="24"/>
      <w:szCs w:val="20"/>
    </w:rPr>
  </w:style>
  <w:style w:type="paragraph" w:styleId="1143">
    <w:name w:val="明显引用1"/>
    <w:basedOn w:val="933"/>
    <w:next w:val="933"/>
    <w:link w:val="1144"/>
    <w:uiPriority w:val="30"/>
    <w:qFormat/>
    <w:pPr>
      <w:ind w:left="1008" w:right="1152"/>
      <w:spacing w:before="200" w:after="280" w:line="276" w:lineRule="auto"/>
      <w:widowControl/>
      <w:pBdr>
        <w:bottom w:val="single" w:color="000000" w:sz="4" w:space="1"/>
      </w:pBdr>
    </w:pPr>
    <w:rPr>
      <w:rFonts w:ascii="Calibri" w:hAnsi="Calibri"/>
      <w:b/>
      <w:bCs/>
      <w:i/>
      <w:iCs/>
      <w:sz w:val="22"/>
      <w:szCs w:val="20"/>
      <w:lang w:eastAsia="en-US"/>
    </w:rPr>
  </w:style>
  <w:style w:type="character" w:styleId="1144">
    <w:name w:val="Intense Quote Char"/>
    <w:next w:val="1144"/>
    <w:link w:val="1143"/>
    <w:uiPriority w:val="30"/>
    <w:qFormat/>
    <w:rPr>
      <w:rFonts w:ascii="Calibri" w:hAnsi="Calibri" w:eastAsia="宋体" w:cs="Times New Roman"/>
      <w:b/>
      <w:bCs/>
      <w:i/>
      <w:iCs/>
      <w:sz w:val="22"/>
      <w:lang w:eastAsia="en-US"/>
    </w:rPr>
  </w:style>
  <w:style w:type="paragraph" w:styleId="1145">
    <w:name w:val="xl57"/>
    <w:basedOn w:val="933"/>
    <w:next w:val="1145"/>
    <w:link w:val="933"/>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46">
    <w:name w:val="样式4 Char"/>
    <w:basedOn w:val="933"/>
    <w:next w:val="1146"/>
    <w:link w:val="933"/>
    <w:qFormat/>
    <w:pPr>
      <w:ind w:firstLine="480"/>
      <w:jc w:val="left"/>
      <w:spacing w:line="360" w:lineRule="auto"/>
      <w:widowControl/>
    </w:pPr>
    <w:rPr>
      <w:rFonts w:cs="宋体"/>
      <w:color w:val="000000"/>
      <w:sz w:val="24"/>
    </w:rPr>
  </w:style>
  <w:style w:type="paragraph" w:styleId="1147">
    <w:name w:val="xl30"/>
    <w:basedOn w:val="933"/>
    <w:next w:val="1147"/>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48">
    <w:name w:val="1"/>
    <w:basedOn w:val="933"/>
    <w:next w:val="1008"/>
    <w:link w:val="933"/>
    <w:qFormat/>
    <w:pPr>
      <w:spacing w:line="360" w:lineRule="auto"/>
    </w:pPr>
    <w:rPr>
      <w:rFonts w:eastAsia="仿宋_GB2312"/>
      <w:sz w:val="24"/>
    </w:rPr>
  </w:style>
  <w:style w:type="paragraph" w:styleId="1149">
    <w:name w:val="小四 段落 宋体 Char Char Char"/>
    <w:basedOn w:val="959"/>
    <w:next w:val="1149"/>
    <w:link w:val="933"/>
    <w:qFormat/>
    <w:pPr>
      <w:ind w:left="0" w:right="-33" w:firstLine="545"/>
      <w:jc w:val="left"/>
      <w:spacing w:line="360" w:lineRule="auto"/>
      <w:tabs>
        <w:tab w:val="clear" w:pos="2952" w:leader="none"/>
      </w:tabs>
    </w:pPr>
    <w:rPr>
      <w:sz w:val="24"/>
    </w:rPr>
  </w:style>
  <w:style w:type="paragraph" w:styleId="1150">
    <w:name w:val="正文 首行缩进:  2 字符 Char Char"/>
    <w:basedOn w:val="933"/>
    <w:next w:val="1150"/>
    <w:link w:val="933"/>
    <w:qFormat/>
    <w:pPr>
      <w:ind w:firstLine="480"/>
      <w:spacing w:line="360" w:lineRule="auto"/>
    </w:pPr>
    <w:rPr>
      <w:rFonts w:ascii="楷体_GB2312" w:eastAsia="楷体_GB2312"/>
      <w:bCs/>
      <w:sz w:val="24"/>
    </w:rPr>
  </w:style>
  <w:style w:type="paragraph" w:styleId="1151">
    <w:name w:val="xl50"/>
    <w:basedOn w:val="933"/>
    <w:next w:val="1151"/>
    <w:link w:val="933"/>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52">
    <w:name w:val="Char Char Char Char Char Char Char Char Char Char Char Char Char"/>
    <w:basedOn w:val="933"/>
    <w:next w:val="1152"/>
    <w:link w:val="933"/>
    <w:qFormat/>
    <w:pPr>
      <w:jc w:val="left"/>
      <w:spacing w:after="160" w:line="240" w:lineRule="exact"/>
      <w:widowControl/>
    </w:pPr>
  </w:style>
  <w:style w:type="paragraph" w:styleId="1153">
    <w:name w:val="列出段落2"/>
    <w:basedOn w:val="933"/>
    <w:next w:val="1153"/>
    <w:link w:val="933"/>
    <w:qFormat/>
    <w:pPr>
      <w:ind w:left="720"/>
      <w:jc w:val="left"/>
      <w:widowControl/>
    </w:pPr>
    <w:rPr>
      <w:rFonts w:ascii="Arial" w:hAnsi="Arial" w:eastAsia="黑体" w:cs="Arial"/>
      <w:sz w:val="24"/>
      <w:lang w:eastAsia="en-US"/>
    </w:rPr>
  </w:style>
  <w:style w:type="paragraph" w:styleId="1154">
    <w:name w:val="符号与编号 Char"/>
    <w:basedOn w:val="933"/>
    <w:next w:val="1154"/>
    <w:link w:val="933"/>
    <w:qFormat/>
    <w:pPr>
      <w:ind w:left="720"/>
      <w:spacing w:line="400" w:lineRule="atLeast"/>
      <w:tabs>
        <w:tab w:val="left" w:pos="720" w:leader="none"/>
      </w:tabs>
    </w:pPr>
    <w:rPr>
      <w:sz w:val="24"/>
    </w:rPr>
  </w:style>
  <w:style w:type="paragraph" w:styleId="1155">
    <w:name w:val="正文--表格内正文"/>
    <w:basedOn w:val="933"/>
    <w:next w:val="1155"/>
    <w:link w:val="933"/>
    <w:qFormat/>
    <w:pPr>
      <w:jc w:val="center"/>
      <w:spacing w:line="240" w:lineRule="atLeast"/>
    </w:pPr>
    <w:rPr>
      <w:rFonts w:ascii="宋体" w:hAnsi="宋体"/>
      <w:color w:val="000000"/>
      <w:sz w:val="24"/>
    </w:rPr>
  </w:style>
  <w:style w:type="paragraph" w:styleId="1156">
    <w:name w:val="xl42"/>
    <w:basedOn w:val="933"/>
    <w:next w:val="1156"/>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7">
    <w:name w:val="正文 居中"/>
    <w:basedOn w:val="933"/>
    <w:next w:val="1157"/>
    <w:link w:val="933"/>
    <w:qFormat/>
    <w:pPr>
      <w:jc w:val="center"/>
      <w:spacing w:line="360" w:lineRule="auto"/>
    </w:pPr>
    <w:rPr>
      <w:sz w:val="24"/>
      <w:szCs w:val="20"/>
    </w:rPr>
  </w:style>
  <w:style w:type="paragraph" w:styleId="1158">
    <w:name w:val="一级标题"/>
    <w:basedOn w:val="933"/>
    <w:next w:val="1158"/>
    <w:link w:val="933"/>
    <w:qFormat/>
    <w:pPr>
      <w:ind w:left="900" w:hanging="420"/>
      <w:spacing w:line="360" w:lineRule="auto"/>
      <w:tabs>
        <w:tab w:val="left" w:pos="903" w:leader="none"/>
      </w:tabs>
    </w:pPr>
    <w:rPr>
      <w:rFonts w:ascii="Arial" w:hAnsi="Arial" w:cs="Arial"/>
      <w:sz w:val="24"/>
      <w:szCs w:val="20"/>
    </w:rPr>
  </w:style>
  <w:style w:type="paragraph" w:styleId="1159">
    <w:name w:val="xl26"/>
    <w:basedOn w:val="933"/>
    <w:next w:val="1159"/>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60">
    <w:name w:val="标题1，章节第一层"/>
    <w:basedOn w:val="1064"/>
    <w:next w:val="1064"/>
    <w:link w:val="933"/>
    <w:qFormat/>
    <w:pPr>
      <w:ind w:left="482"/>
      <w:tabs>
        <w:tab w:val="left" w:pos="693" w:leader="none"/>
      </w:tabs>
      <w:outlineLvl w:val="0"/>
    </w:pPr>
    <w:rPr>
      <w:color w:val="000000"/>
      <w:sz w:val="24"/>
      <w:szCs w:val="24"/>
    </w:rPr>
  </w:style>
  <w:style w:type="paragraph" w:styleId="1161">
    <w:name w:val="小四 段落 宋体"/>
    <w:basedOn w:val="959"/>
    <w:next w:val="1161"/>
    <w:link w:val="933"/>
    <w:qFormat/>
    <w:pPr>
      <w:ind w:left="113" w:right="113" w:firstLine="425"/>
      <w:jc w:val="left"/>
      <w:spacing w:line="360" w:lineRule="auto"/>
      <w:tabs>
        <w:tab w:val="clear" w:pos="2952" w:leader="none"/>
      </w:tabs>
    </w:pPr>
    <w:rPr>
      <w:sz w:val="24"/>
    </w:rPr>
  </w:style>
  <w:style w:type="paragraph" w:styleId="1162">
    <w:name w:val="greytypebeni"/>
    <w:basedOn w:val="933"/>
    <w:next w:val="1162"/>
    <w:link w:val="933"/>
    <w:qFormat/>
    <w:pPr>
      <w:jc w:val="left"/>
      <w:widowControl/>
    </w:pPr>
    <w:rPr>
      <w:rFonts w:ascii="宋体" w:hAnsi="宋体" w:cs="宋体"/>
      <w:sz w:val="24"/>
    </w:rPr>
  </w:style>
  <w:style w:type="paragraph" w:styleId="1163">
    <w:name w:val="Char Char Char Char Char Char Char Char Char Char Char"/>
    <w:basedOn w:val="933"/>
    <w:next w:val="1163"/>
    <w:link w:val="933"/>
    <w:qFormat/>
    <w:rPr>
      <w:rFonts w:ascii="Tahoma" w:hAnsi="Tahoma"/>
      <w:sz w:val="24"/>
      <w:szCs w:val="20"/>
    </w:rPr>
  </w:style>
  <w:style w:type="paragraph" w:styleId="1164">
    <w:name w:val="List Paragraph1"/>
    <w:basedOn w:val="933"/>
    <w:next w:val="1164"/>
    <w:link w:val="933"/>
    <w:qFormat/>
    <w:pPr>
      <w:ind w:left="720"/>
      <w:jc w:val="left"/>
      <w:widowControl/>
    </w:pPr>
    <w:rPr>
      <w:rFonts w:ascii="Arial" w:hAnsi="Arial" w:eastAsia="黑体"/>
      <w:sz w:val="24"/>
      <w:lang w:eastAsia="en-US"/>
    </w:rPr>
  </w:style>
  <w:style w:type="paragraph" w:styleId="1165">
    <w:name w:val="批注框文本1"/>
    <w:basedOn w:val="933"/>
    <w:next w:val="1165"/>
    <w:link w:val="933"/>
    <w:qFormat/>
    <w:rPr>
      <w:sz w:val="18"/>
      <w:szCs w:val="18"/>
    </w:rPr>
  </w:style>
  <w:style w:type="paragraph" w:styleId="1166">
    <w:name w:val="Pa6"/>
    <w:basedOn w:val="933"/>
    <w:next w:val="933"/>
    <w:link w:val="933"/>
    <w:qFormat/>
    <w:pPr>
      <w:jc w:val="left"/>
      <w:spacing w:line="241" w:lineRule="atLeast"/>
    </w:pPr>
    <w:rPr>
      <w:rFonts w:ascii="汉仪大黑简" w:eastAsia="汉仪大黑简"/>
      <w:sz w:val="24"/>
    </w:rPr>
  </w:style>
  <w:style w:type="paragraph" w:styleId="1167">
    <w:name w:val="样式1"/>
    <w:basedOn w:val="933"/>
    <w:next w:val="1167"/>
    <w:link w:val="933"/>
    <w:qFormat/>
    <w:pPr>
      <w:ind w:firstLine="480"/>
      <w:spacing w:line="300" w:lineRule="auto"/>
    </w:pPr>
    <w:rPr>
      <w:sz w:val="24"/>
    </w:rPr>
  </w:style>
  <w:style w:type="paragraph" w:styleId="1168">
    <w:name w:val="列出段落11"/>
    <w:basedOn w:val="933"/>
    <w:next w:val="1168"/>
    <w:link w:val="933"/>
    <w:qFormat/>
    <w:pPr>
      <w:ind w:firstLine="200"/>
    </w:pPr>
    <w:rPr>
      <w:rFonts w:ascii="Calibri" w:hAnsi="Calibri" w:cs="宋体"/>
      <w:szCs w:val="22"/>
    </w:rPr>
  </w:style>
  <w:style w:type="paragraph" w:styleId="1169">
    <w:name w:val="样式 段后: 0.5 行 左  0.75 字符"/>
    <w:basedOn w:val="933"/>
    <w:next w:val="1169"/>
    <w:link w:val="933"/>
    <w:qFormat/>
    <w:pPr>
      <w:ind w:firstLine="420"/>
      <w:spacing w:line="360" w:lineRule="auto"/>
      <w:widowControl/>
    </w:pPr>
    <w:rPr>
      <w:rFonts w:hAnsi="Arial" w:cs="Arial"/>
      <w:szCs w:val="21"/>
    </w:rPr>
  </w:style>
  <w:style w:type="paragraph" w:styleId="1170">
    <w:name w:val="Char Char Char Char Char Char Char1"/>
    <w:basedOn w:val="933"/>
    <w:next w:val="1170"/>
    <w:link w:val="933"/>
    <w:qFormat/>
    <w:rPr>
      <w:rFonts w:ascii="Tahoma" w:hAnsi="Tahoma"/>
      <w:sz w:val="24"/>
      <w:szCs w:val="20"/>
    </w:rPr>
  </w:style>
  <w:style w:type="paragraph" w:styleId="1171">
    <w:name w:val="xl32"/>
    <w:basedOn w:val="933"/>
    <w:next w:val="1171"/>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72">
    <w:name w:val="表格"/>
    <w:basedOn w:val="933"/>
    <w:next w:val="1172"/>
    <w:link w:val="933"/>
    <w:qFormat/>
    <w:pPr>
      <w:ind w:firstLine="21"/>
    </w:pPr>
    <w:rPr>
      <w:rFonts w:ascii="宋体" w:hAnsi="宋体" w:cs="宋体"/>
      <w:sz w:val="20"/>
      <w:szCs w:val="20"/>
    </w:rPr>
  </w:style>
  <w:style w:type="paragraph" w:styleId="1173">
    <w:name w:val="p0"/>
    <w:basedOn w:val="933"/>
    <w:next w:val="1173"/>
    <w:link w:val="933"/>
    <w:qFormat/>
    <w:pPr>
      <w:jc w:val="left"/>
      <w:spacing w:before="100" w:beforeAutospacing="1" w:after="100" w:afterAutospacing="1"/>
      <w:widowControl/>
    </w:pPr>
    <w:rPr>
      <w:rFonts w:ascii="宋体" w:hAnsi="宋体" w:cs="宋体"/>
      <w:sz w:val="24"/>
    </w:rPr>
  </w:style>
  <w:style w:type="paragraph" w:styleId="1174">
    <w:name w:val="Char Char Char Char Char Char Char Char Char Char"/>
    <w:basedOn w:val="933"/>
    <w:next w:val="1174"/>
    <w:link w:val="933"/>
    <w:qFormat/>
    <w:pPr>
      <w:spacing w:line="360" w:lineRule="auto"/>
    </w:pPr>
    <w:rPr>
      <w:sz w:val="24"/>
      <w:szCs w:val="20"/>
    </w:rPr>
  </w:style>
  <w:style w:type="paragraph" w:styleId="1175">
    <w:name w:val="Char"/>
    <w:basedOn w:val="933"/>
    <w:next w:val="1175"/>
    <w:link w:val="933"/>
    <w:qFormat/>
    <w:pPr>
      <w:spacing w:line="360" w:lineRule="auto"/>
    </w:pPr>
    <w:rPr>
      <w:rFonts w:ascii="Tahoma" w:hAnsi="Tahoma"/>
      <w:sz w:val="24"/>
      <w:szCs w:val="20"/>
    </w:rPr>
  </w:style>
  <w:style w:type="paragraph" w:styleId="1176">
    <w:name w:val="Char Char Char Char"/>
    <w:basedOn w:val="961"/>
    <w:next w:val="1176"/>
    <w:link w:val="933"/>
    <w:qFormat/>
    <w:pPr>
      <w:spacing w:line="360" w:lineRule="auto"/>
    </w:pPr>
    <w:rPr>
      <w:rFonts w:ascii="Tahoma" w:hAnsi="Tahoma"/>
    </w:rPr>
  </w:style>
  <w:style w:type="paragraph" w:styleId="1177">
    <w:name w:val="方案文档"/>
    <w:basedOn w:val="933"/>
    <w:next w:val="1177"/>
    <w:link w:val="933"/>
    <w:qFormat/>
    <w:pPr>
      <w:jc w:val="center"/>
      <w:spacing w:before="60" w:after="60" w:line="360" w:lineRule="auto"/>
    </w:pPr>
    <w:rPr>
      <w:rFonts w:ascii="宋体" w:hAnsi="宋体"/>
      <w:sz w:val="24"/>
      <w:szCs w:val="20"/>
      <w:lang w:val="zh-CN"/>
    </w:rPr>
  </w:style>
  <w:style w:type="paragraph" w:styleId="1178">
    <w:name w:val="a"/>
    <w:basedOn w:val="933"/>
    <w:next w:val="1178"/>
    <w:link w:val="933"/>
    <w:qFormat/>
    <w:pPr>
      <w:spacing w:before="100" w:beforeAutospacing="1" w:after="100" w:afterAutospacing="1"/>
      <w:widowControl/>
    </w:pPr>
    <w:rPr>
      <w:rFonts w:ascii="宋体" w:hAnsi="宋体" w:cs="宋体"/>
      <w:sz w:val="24"/>
    </w:rPr>
  </w:style>
  <w:style w:type="paragraph" w:styleId="1179">
    <w:name w:val="公文正文"/>
    <w:basedOn w:val="945"/>
    <w:next w:val="1179"/>
    <w:link w:val="933"/>
    <w:qFormat/>
    <w:pPr>
      <w:ind w:left="0" w:firstLine="200"/>
      <w:spacing w:after="0"/>
    </w:pPr>
    <w:rPr>
      <w:rFonts w:ascii="仿宋_GB2312" w:hAnsi="宋体" w:eastAsia="仿宋_GB2312"/>
      <w:sz w:val="28"/>
    </w:rPr>
  </w:style>
  <w:style w:type="paragraph" w:styleId="1180">
    <w:name w:val="xl55"/>
    <w:basedOn w:val="933"/>
    <w:next w:val="1180"/>
    <w:link w:val="933"/>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181">
    <w:name w:val="xl34"/>
    <w:basedOn w:val="933"/>
    <w:next w:val="1181"/>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82">
    <w:name w:val="Char11"/>
    <w:basedOn w:val="933"/>
    <w:next w:val="1182"/>
    <w:link w:val="933"/>
    <w:qFormat/>
    <w:rPr>
      <w:rFonts w:ascii="仿宋_GB2312" w:eastAsia="仿宋_GB2312"/>
      <w:b/>
      <w:sz w:val="32"/>
      <w:szCs w:val="32"/>
    </w:rPr>
  </w:style>
  <w:style w:type="paragraph" w:styleId="1183">
    <w:name w:val="xl43"/>
    <w:basedOn w:val="933"/>
    <w:next w:val="1183"/>
    <w:link w:val="93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184">
    <w:name w:val="表蕊"/>
    <w:basedOn w:val="933"/>
    <w:next w:val="1184"/>
    <w:link w:val="933"/>
    <w:qFormat/>
    <w:pPr>
      <w:jc w:val="left"/>
      <w:spacing w:line="320" w:lineRule="atLeast"/>
    </w:pPr>
    <w:rPr>
      <w:rFonts w:eastAsia="楷体_GB2312"/>
      <w:spacing w:val="-10"/>
      <w:szCs w:val="20"/>
    </w:rPr>
  </w:style>
  <w:style w:type="paragraph" w:styleId="1185">
    <w:name w:val="xl49"/>
    <w:basedOn w:val="933"/>
    <w:next w:val="1185"/>
    <w:link w:val="933"/>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186">
    <w:name w:val="font7"/>
    <w:basedOn w:val="933"/>
    <w:next w:val="1186"/>
    <w:link w:val="933"/>
    <w:qFormat/>
    <w:pPr>
      <w:jc w:val="left"/>
      <w:spacing w:before="100" w:beforeAutospacing="1" w:after="100" w:afterAutospacing="1"/>
      <w:widowControl/>
    </w:pPr>
    <w:rPr>
      <w:rFonts w:ascii="宋体" w:hAnsi="宋体"/>
      <w:b/>
      <w:bCs/>
      <w:sz w:val="24"/>
    </w:rPr>
  </w:style>
  <w:style w:type="paragraph" w:styleId="1187">
    <w:name w:val="文档正文"/>
    <w:basedOn w:val="933"/>
    <w:next w:val="1187"/>
    <w:link w:val="933"/>
    <w:qFormat/>
    <w:pPr>
      <w:spacing w:line="360" w:lineRule="auto"/>
    </w:pPr>
    <w:rPr>
      <w:rFonts w:ascii="宋体" w:hAnsi="宋体"/>
      <w:b/>
      <w:bCs/>
    </w:rPr>
  </w:style>
  <w:style w:type="paragraph" w:styleId="1188">
    <w:name w:val="段 Char"/>
    <w:next w:val="1188"/>
    <w:link w:val="933"/>
    <w:qFormat/>
    <w:pPr>
      <w:ind w:firstLine="200"/>
      <w:jc w:val="both"/>
    </w:pPr>
    <w:rPr>
      <w:rFonts w:ascii="宋体"/>
      <w:sz w:val="21"/>
      <w:lang w:val="en-US" w:eastAsia="zh-CN" w:bidi="ar-SA"/>
    </w:rPr>
  </w:style>
  <w:style w:type="paragraph" w:styleId="1189">
    <w:name w:val="xl38"/>
    <w:basedOn w:val="933"/>
    <w:next w:val="1189"/>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0">
    <w:name w:val="公文标题 2"/>
    <w:basedOn w:val="933"/>
    <w:next w:val="1179"/>
    <w:link w:val="933"/>
    <w:qFormat/>
    <w:pPr>
      <w:outlineLvl w:val="1"/>
    </w:pPr>
    <w:rPr>
      <w:rFonts w:ascii="仿宋_GB2312" w:hAnsi="宋体" w:eastAsia="仿宋_GB2312"/>
      <w:sz w:val="28"/>
    </w:rPr>
  </w:style>
  <w:style w:type="paragraph" w:styleId="1191">
    <w:name w:val="标题4，章节第四层"/>
    <w:basedOn w:val="933"/>
    <w:next w:val="933"/>
    <w:link w:val="933"/>
    <w:qFormat/>
    <w:pPr>
      <w:spacing w:line="360" w:lineRule="auto"/>
      <w:tabs>
        <w:tab w:val="left" w:pos="0" w:leader="none"/>
      </w:tabs>
      <w:outlineLvl w:val="3"/>
    </w:pPr>
    <w:rPr>
      <w:rFonts w:ascii="宋体" w:hAnsi="宋体"/>
      <w:b/>
      <w:sz w:val="24"/>
    </w:rPr>
  </w:style>
  <w:style w:type="paragraph" w:styleId="1192">
    <w:name w:val="Char Char Char1"/>
    <w:basedOn w:val="961"/>
    <w:next w:val="1192"/>
    <w:link w:val="933"/>
    <w:qFormat/>
    <w:pPr>
      <w:spacing w:line="436" w:lineRule="exact"/>
    </w:pPr>
  </w:style>
  <w:style w:type="paragraph" w:styleId="1193">
    <w:name w:val="Normal Indent1"/>
    <w:basedOn w:val="933"/>
    <w:next w:val="1193"/>
    <w:link w:val="933"/>
    <w:qFormat/>
    <w:pPr>
      <w:ind w:firstLine="420"/>
    </w:pPr>
    <w:rPr>
      <w:sz w:val="20"/>
      <w:szCs w:val="20"/>
    </w:rPr>
  </w:style>
  <w:style w:type="paragraph" w:styleId="1194">
    <w:name w:val="正文 首行缩进:  2 字符 Char"/>
    <w:basedOn w:val="933"/>
    <w:next w:val="1194"/>
    <w:link w:val="933"/>
    <w:qFormat/>
    <w:pPr>
      <w:ind w:firstLine="480"/>
      <w:spacing w:line="360" w:lineRule="auto"/>
    </w:pPr>
    <w:rPr>
      <w:rFonts w:cs="宋体"/>
      <w:sz w:val="24"/>
      <w:szCs w:val="20"/>
    </w:rPr>
  </w:style>
  <w:style w:type="paragraph" w:styleId="1195">
    <w:name w:val="font12"/>
    <w:basedOn w:val="933"/>
    <w:next w:val="1195"/>
    <w:link w:val="933"/>
    <w:qFormat/>
    <w:pPr>
      <w:jc w:val="left"/>
      <w:spacing w:before="100" w:beforeAutospacing="1" w:after="100" w:afterAutospacing="1"/>
      <w:widowControl/>
    </w:pPr>
    <w:rPr>
      <w:rFonts w:ascii="宋体" w:hAnsi="宋体" w:cs="宋体"/>
      <w:sz w:val="36"/>
      <w:szCs w:val="36"/>
    </w:rPr>
  </w:style>
  <w:style w:type="paragraph" w:styleId="1196">
    <w:name w:val="Char Char"/>
    <w:basedOn w:val="933"/>
    <w:next w:val="1196"/>
    <w:link w:val="933"/>
    <w:qFormat/>
    <w:rPr>
      <w:rFonts w:ascii="Tahoma" w:hAnsi="Tahoma"/>
      <w:sz w:val="24"/>
      <w:szCs w:val="20"/>
    </w:rPr>
  </w:style>
  <w:style w:type="paragraph" w:styleId="1197">
    <w:name w:val="表头_5"/>
    <w:basedOn w:val="933"/>
    <w:next w:val="1197"/>
    <w:link w:val="933"/>
    <w:qFormat/>
    <w:pPr>
      <w:spacing w:line="360" w:lineRule="auto"/>
    </w:pPr>
    <w:rPr>
      <w:b/>
      <w:bCs/>
      <w:sz w:val="28"/>
      <w:szCs w:val="21"/>
    </w:rPr>
  </w:style>
  <w:style w:type="paragraph" w:styleId="1198">
    <w:name w:val="Char Char110"/>
    <w:basedOn w:val="933"/>
    <w:next w:val="1198"/>
    <w:link w:val="933"/>
    <w:qFormat/>
    <w:rPr>
      <w:rFonts w:ascii="Tahoma" w:hAnsi="Tahoma" w:cs="Tahoma"/>
      <w:sz w:val="24"/>
      <w:szCs w:val="20"/>
    </w:rPr>
  </w:style>
  <w:style w:type="paragraph" w:styleId="1199">
    <w:name w:val="标题 4宋体"/>
    <w:basedOn w:val="937"/>
    <w:next w:val="1199"/>
    <w:link w:val="933"/>
    <w:qFormat/>
    <w:pPr>
      <w:jc w:val="left"/>
      <w:keepLines w:val="0"/>
      <w:spacing w:before="0" w:after="0" w:line="360" w:lineRule="auto"/>
    </w:pPr>
    <w:rPr>
      <w:rFonts w:ascii="宋体" w:hAnsi="宋体" w:eastAsia="宋体"/>
      <w:bCs/>
      <w:color w:val="000000"/>
      <w:sz w:val="24"/>
    </w:rPr>
  </w:style>
  <w:style w:type="paragraph" w:styleId="1200">
    <w:name w:val="zw"/>
    <w:basedOn w:val="933"/>
    <w:next w:val="1200"/>
    <w:link w:val="933"/>
    <w:qFormat/>
    <w:pPr>
      <w:ind w:firstLine="480"/>
      <w:jc w:val="left"/>
      <w:spacing w:line="360" w:lineRule="auto"/>
      <w:widowControl/>
    </w:pPr>
    <w:rPr>
      <w:rFonts w:ascii="宋体" w:hAnsi="宋体"/>
      <w:bCs/>
      <w:sz w:val="24"/>
      <w:szCs w:val="20"/>
    </w:rPr>
  </w:style>
  <w:style w:type="paragraph" w:styleId="1201">
    <w:name w:val="Char2 Char Char Char Char Char Char1"/>
    <w:basedOn w:val="933"/>
    <w:next w:val="1201"/>
    <w:link w:val="933"/>
    <w:qFormat/>
    <w:pPr>
      <w:ind w:hanging="425"/>
      <w:keepNext/>
      <w:spacing w:before="80" w:after="80"/>
      <w:widowControl/>
      <w:tabs>
        <w:tab w:val="left" w:pos="425" w:leader="none"/>
      </w:tabs>
    </w:pPr>
    <w:rPr>
      <w:rFonts w:ascii="Arial" w:hAnsi="Arial" w:cs="Arial"/>
      <w:sz w:val="20"/>
      <w:szCs w:val="20"/>
    </w:rPr>
  </w:style>
  <w:style w:type="paragraph" w:styleId="1202">
    <w:name w:val="条1"/>
    <w:basedOn w:val="933"/>
    <w:next w:val="1202"/>
    <w:link w:val="933"/>
    <w:qFormat/>
    <w:pPr>
      <w:ind w:left="780" w:hanging="360"/>
      <w:spacing w:before="156" w:line="360" w:lineRule="auto"/>
      <w:tabs>
        <w:tab w:val="left" w:pos="780" w:leader="none"/>
      </w:tabs>
    </w:pPr>
    <w:rPr>
      <w:rFonts w:eastAsia="黑体"/>
      <w:sz w:val="24"/>
      <w:szCs w:val="20"/>
    </w:rPr>
  </w:style>
  <w:style w:type="paragraph" w:styleId="1203">
    <w:name w:val="Char Char Char Char Char Char Char Char Char Char Char1"/>
    <w:basedOn w:val="933"/>
    <w:next w:val="1203"/>
    <w:link w:val="933"/>
    <w:qFormat/>
    <w:rPr>
      <w:rFonts w:ascii="Tahoma" w:hAnsi="Tahoma" w:cs="Tahoma"/>
      <w:sz w:val="24"/>
      <w:szCs w:val="20"/>
    </w:rPr>
  </w:style>
  <w:style w:type="paragraph" w:styleId="1204">
    <w:name w:val="丁华标题2"/>
    <w:basedOn w:val="935"/>
    <w:next w:val="1205"/>
    <w:link w:val="933"/>
    <w:qFormat/>
    <w:pPr>
      <w:ind w:left="567" w:hanging="567"/>
      <w:jc w:val="left"/>
      <w:spacing w:before="120" w:after="120"/>
      <w:tabs>
        <w:tab w:val="left" w:pos="567" w:leader="none"/>
      </w:tabs>
    </w:pPr>
    <w:rPr>
      <w:color w:val="000000"/>
      <w:sz w:val="28"/>
      <w:szCs w:val="20"/>
    </w:rPr>
  </w:style>
  <w:style w:type="paragraph" w:styleId="1205">
    <w:name w:val="丁华正文"/>
    <w:basedOn w:val="1003"/>
    <w:next w:val="1205"/>
    <w:link w:val="933"/>
    <w:qFormat/>
    <w:pPr>
      <w:ind w:left="0" w:firstLine="510"/>
      <w:spacing w:before="0" w:after="0" w:line="360" w:lineRule="auto"/>
    </w:pPr>
    <w:rPr>
      <w:rFonts w:ascii="宋体" w:hAnsi="Arial"/>
      <w:bCs w:val="0"/>
      <w:color w:val="000000"/>
      <w:szCs w:val="16"/>
    </w:rPr>
  </w:style>
  <w:style w:type="paragraph" w:styleId="1206">
    <w:name w:val="4"/>
    <w:basedOn w:val="933"/>
    <w:next w:val="1003"/>
    <w:link w:val="933"/>
    <w:qFormat/>
    <w:pPr>
      <w:ind w:firstLine="420"/>
      <w:spacing w:line="360" w:lineRule="auto"/>
    </w:pPr>
    <w:rPr>
      <w:color w:val="ff0000"/>
      <w:sz w:val="24"/>
    </w:rPr>
  </w:style>
  <w:style w:type="paragraph" w:styleId="1207">
    <w:name w:val="正文 New New New New New"/>
    <w:next w:val="1207"/>
    <w:link w:val="933"/>
    <w:qFormat/>
    <w:pPr>
      <w:jc w:val="both"/>
      <w:widowControl w:val="off"/>
    </w:pPr>
    <w:rPr>
      <w:sz w:val="21"/>
      <w:szCs w:val="24"/>
      <w:lang w:val="en-US" w:eastAsia="zh-CN" w:bidi="ar-SA"/>
    </w:rPr>
  </w:style>
  <w:style w:type="paragraph" w:styleId="1208">
    <w:name w:val="大标题"/>
    <w:basedOn w:val="933"/>
    <w:next w:val="933"/>
    <w:link w:val="933"/>
    <w:qFormat/>
    <w:pPr>
      <w:ind w:hanging="420"/>
      <w:pageBreakBefore/>
      <w:spacing w:line="360" w:lineRule="auto"/>
      <w:tabs>
        <w:tab w:val="left" w:pos="420" w:leader="none"/>
      </w:tabs>
      <w:outlineLvl w:val="0"/>
    </w:pPr>
    <w:rPr>
      <w:b/>
      <w:iCs/>
      <w:sz w:val="44"/>
    </w:rPr>
  </w:style>
  <w:style w:type="paragraph" w:styleId="1209">
    <w:name w:val="Char Char Char Char Char Char Char"/>
    <w:basedOn w:val="933"/>
    <w:next w:val="1209"/>
    <w:link w:val="933"/>
    <w:qFormat/>
    <w:pPr>
      <w:jc w:val="left"/>
    </w:pPr>
    <w:rPr>
      <w:rFonts w:ascii="Tahoma" w:hAnsi="Tahoma"/>
      <w:sz w:val="24"/>
      <w:szCs w:val="20"/>
    </w:rPr>
  </w:style>
  <w:style w:type="paragraph" w:styleId="1210">
    <w:name w:val="xl61"/>
    <w:basedOn w:val="933"/>
    <w:next w:val="1210"/>
    <w:link w:val="933"/>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11">
    <w:name w:val="xl46"/>
    <w:basedOn w:val="933"/>
    <w:next w:val="1211"/>
    <w:link w:val="933"/>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12">
    <w:name w:val="xl51"/>
    <w:basedOn w:val="933"/>
    <w:next w:val="1212"/>
    <w:link w:val="933"/>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13">
    <w:name w:val="Char Char Char Char Char Char Char Char Char Char Char Char Char Char"/>
    <w:basedOn w:val="933"/>
    <w:next w:val="1213"/>
    <w:link w:val="933"/>
    <w:qFormat/>
    <w:rPr>
      <w:rFonts w:ascii="Tahoma" w:hAnsi="Tahoma"/>
      <w:sz w:val="24"/>
      <w:szCs w:val="20"/>
    </w:rPr>
  </w:style>
  <w:style w:type="paragraph" w:styleId="1214">
    <w:name w:val="xl44"/>
    <w:basedOn w:val="933"/>
    <w:next w:val="1214"/>
    <w:link w:val="93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15">
    <w:name w:val="符号与编号 Char Char"/>
    <w:basedOn w:val="933"/>
    <w:next w:val="1215"/>
    <w:link w:val="933"/>
    <w:qFormat/>
    <w:pPr>
      <w:ind w:left="839" w:hanging="419"/>
      <w:spacing w:line="400" w:lineRule="atLeast"/>
      <w:tabs>
        <w:tab w:val="left" w:pos="840" w:leader="none"/>
      </w:tabs>
    </w:pPr>
    <w:rPr>
      <w:sz w:val="24"/>
    </w:rPr>
  </w:style>
  <w:style w:type="paragraph" w:styleId="1216">
    <w:name w:val="默认段落字体 Para Char Char Char Char Char Char Char Char Char1 Char Char Char Char Char Char Char"/>
    <w:basedOn w:val="961"/>
    <w:next w:val="1216"/>
    <w:link w:val="933"/>
    <w:qFormat/>
    <w:rPr>
      <w:szCs w:val="20"/>
    </w:rPr>
  </w:style>
  <w:style w:type="paragraph" w:styleId="1217">
    <w:name w:val="普通正文"/>
    <w:basedOn w:val="933"/>
    <w:next w:val="1217"/>
    <w:link w:val="933"/>
    <w:qFormat/>
    <w:pPr>
      <w:ind w:firstLine="480"/>
      <w:jc w:val="left"/>
      <w:spacing w:before="120" w:after="120" w:line="360" w:lineRule="auto"/>
    </w:pPr>
    <w:rPr>
      <w:rFonts w:ascii="Arial" w:hAnsi="Arial"/>
      <w:sz w:val="24"/>
    </w:rPr>
  </w:style>
  <w:style w:type="paragraph" w:styleId="1218">
    <w:name w:val="表格内容"/>
    <w:basedOn w:val="933"/>
    <w:next w:val="1218"/>
    <w:link w:val="933"/>
    <w:qFormat/>
    <w:pPr>
      <w:jc w:val="center"/>
      <w:spacing w:before="60" w:line="300" w:lineRule="auto"/>
      <w:widowControl/>
    </w:pPr>
    <w:rPr>
      <w:szCs w:val="20"/>
    </w:rPr>
  </w:style>
  <w:style w:type="paragraph" w:styleId="1219">
    <w:name w:val="正文文本 New New"/>
    <w:basedOn w:val="933"/>
    <w:next w:val="1219"/>
    <w:link w:val="933"/>
    <w:qFormat/>
    <w:pPr>
      <w:ind w:firstLine="200"/>
      <w:spacing w:before="60" w:after="60" w:line="360" w:lineRule="auto"/>
      <w:widowControl/>
    </w:pPr>
    <w:rPr>
      <w:rFonts w:eastAsia="华文楷体"/>
      <w:sz w:val="24"/>
    </w:rPr>
  </w:style>
  <w:style w:type="paragraph" w:styleId="1220">
    <w:name w:val="font8"/>
    <w:basedOn w:val="933"/>
    <w:next w:val="1220"/>
    <w:link w:val="933"/>
    <w:qFormat/>
    <w:pPr>
      <w:jc w:val="left"/>
      <w:spacing w:before="100" w:beforeAutospacing="1" w:after="100" w:afterAutospacing="1"/>
      <w:widowControl/>
    </w:pPr>
    <w:rPr>
      <w:rFonts w:ascii="宋体" w:hAnsi="宋体" w:cs="宋体"/>
      <w:b/>
      <w:bCs/>
      <w:i/>
      <w:iCs/>
      <w:sz w:val="20"/>
      <w:szCs w:val="20"/>
    </w:rPr>
  </w:style>
  <w:style w:type="paragraph" w:styleId="1221">
    <w:name w:val="Char Char Char Char Char Char Char Char Char Char Char1 Char Char Char1"/>
    <w:basedOn w:val="933"/>
    <w:next w:val="1221"/>
    <w:link w:val="933"/>
    <w:qFormat/>
    <w:pPr>
      <w:ind w:firstLine="200"/>
      <w:jc w:val="left"/>
    </w:pPr>
    <w:rPr>
      <w:rFonts w:ascii="Tahoma" w:hAnsi="Tahoma"/>
      <w:sz w:val="24"/>
    </w:rPr>
  </w:style>
  <w:style w:type="paragraph" w:styleId="1222">
    <w:name w:val="xl25"/>
    <w:basedOn w:val="933"/>
    <w:next w:val="1222"/>
    <w:link w:val="933"/>
    <w:qFormat/>
    <w:pPr>
      <w:jc w:val="center"/>
      <w:spacing w:before="100" w:beforeAutospacing="1" w:after="100" w:afterAutospacing="1"/>
      <w:widowControl/>
      <w:pBdr>
        <w:right w:val="single" w:color="000000" w:sz="4" w:space="0"/>
      </w:pBdr>
    </w:pPr>
    <w:rPr>
      <w:szCs w:val="21"/>
    </w:rPr>
  </w:style>
  <w:style w:type="paragraph" w:styleId="1223">
    <w:name w:val="标准小四"/>
    <w:basedOn w:val="933"/>
    <w:next w:val="1223"/>
    <w:link w:val="933"/>
    <w:qFormat/>
    <w:pPr>
      <w:ind w:firstLine="480"/>
      <w:spacing w:line="360" w:lineRule="auto"/>
    </w:pPr>
    <w:rPr>
      <w:rFonts w:ascii="Arial" w:hAnsi="Arial"/>
      <w:sz w:val="24"/>
      <w:szCs w:val="21"/>
    </w:rPr>
  </w:style>
  <w:style w:type="paragraph" w:styleId="1224">
    <w:name w:val="附录1"/>
    <w:next w:val="1224"/>
    <w:link w:val="933"/>
    <w:qFormat/>
    <w:pPr>
      <w:ind w:left="902" w:hanging="420"/>
      <w:spacing w:before="240" w:line="600" w:lineRule="atLeast"/>
      <w:tabs>
        <w:tab w:val="left" w:pos="907" w:leader="none"/>
      </w:tabs>
    </w:pPr>
    <w:rPr>
      <w:b/>
      <w:i/>
      <w:sz w:val="28"/>
      <w:lang w:val="en-US" w:eastAsia="zh-CN" w:bidi="ar-SA"/>
    </w:rPr>
  </w:style>
  <w:style w:type="paragraph" w:styleId="1225">
    <w:name w:val="标题3，章节第三层"/>
    <w:basedOn w:val="933"/>
    <w:next w:val="1064"/>
    <w:link w:val="933"/>
    <w:qFormat/>
    <w:pPr>
      <w:spacing w:before="78" w:line="300" w:lineRule="auto"/>
      <w:outlineLvl w:val="2"/>
    </w:pPr>
    <w:rPr>
      <w:rFonts w:ascii="Arial" w:hAnsi="Arial" w:eastAsia="华文细黑"/>
      <w:sz w:val="30"/>
    </w:rPr>
  </w:style>
  <w:style w:type="paragraph" w:styleId="1226">
    <w:name w:val="7"/>
    <w:basedOn w:val="933"/>
    <w:next w:val="1012"/>
    <w:link w:val="933"/>
    <w:qFormat/>
    <w:pPr>
      <w:jc w:val="left"/>
      <w:spacing w:before="100" w:beforeAutospacing="1" w:after="100" w:afterAutospacing="1"/>
      <w:widowControl/>
    </w:pPr>
    <w:rPr>
      <w:rFonts w:ascii="宋体" w:hAnsi="宋体"/>
      <w:sz w:val="24"/>
      <w:szCs w:val="20"/>
    </w:rPr>
  </w:style>
  <w:style w:type="paragraph" w:styleId="1227">
    <w:name w:val="xl59"/>
    <w:basedOn w:val="933"/>
    <w:next w:val="1227"/>
    <w:link w:val="933"/>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28">
    <w:name w:val="无间隔1"/>
    <w:next w:val="1228"/>
    <w:link w:val="933"/>
    <w:uiPriority w:val="1"/>
    <w:qFormat/>
    <w:pPr>
      <w:jc w:val="both"/>
      <w:widowControl w:val="off"/>
    </w:pPr>
    <w:rPr>
      <w:rFonts w:eastAsia="微软雅黑"/>
      <w:sz w:val="24"/>
      <w:szCs w:val="22"/>
      <w:lang w:val="en-US" w:eastAsia="zh-CN" w:bidi="ar-SA"/>
    </w:rPr>
  </w:style>
  <w:style w:type="paragraph" w:styleId="1229">
    <w:name w:val="Char Char Char Char Char Char Char Char Char Char Char Char Char Char Char Char Char Char Char Char Char"/>
    <w:basedOn w:val="933"/>
    <w:next w:val="1229"/>
    <w:link w:val="933"/>
    <w:qFormat/>
    <w:rPr>
      <w:rFonts w:ascii="Tahoma" w:hAnsi="Tahoma" w:cs="Tahoma"/>
      <w:sz w:val="24"/>
      <w:szCs w:val="20"/>
    </w:rPr>
  </w:style>
  <w:style w:type="paragraph" w:styleId="1230">
    <w:name w:val="Char Char Char Char Char Char Char Char1"/>
    <w:basedOn w:val="933"/>
    <w:next w:val="1230"/>
    <w:link w:val="933"/>
    <w:qFormat/>
    <w:pPr>
      <w:jc w:val="left"/>
      <w:spacing w:after="160" w:line="240" w:lineRule="exact"/>
      <w:widowControl/>
    </w:pPr>
    <w:rPr>
      <w:rFonts w:ascii="Verdana" w:hAnsi="Verdana"/>
      <w:sz w:val="20"/>
      <w:szCs w:val="20"/>
      <w:lang w:eastAsia="en-US"/>
    </w:rPr>
  </w:style>
  <w:style w:type="paragraph" w:styleId="1231">
    <w:name w:val="Char Char Char Char Char Char Char Char Char Char Char Char Char Char Char Char Char Char Char Char Char Char Char"/>
    <w:basedOn w:val="933"/>
    <w:next w:val="1231"/>
    <w:link w:val="933"/>
    <w:qFormat/>
    <w:rPr>
      <w:rFonts w:ascii="Tahoma" w:hAnsi="Tahoma"/>
      <w:sz w:val="24"/>
      <w:szCs w:val="20"/>
    </w:rPr>
  </w:style>
  <w:style w:type="paragraph" w:styleId="1232">
    <w:name w:val="xl33"/>
    <w:basedOn w:val="933"/>
    <w:next w:val="1232"/>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33">
    <w:name w:val="Default"/>
    <w:next w:val="1233"/>
    <w:link w:val="933"/>
    <w:qFormat/>
    <w:pPr>
      <w:widowControl w:val="off"/>
    </w:pPr>
    <w:rPr>
      <w:rFonts w:ascii="宋体" w:cs="宋体"/>
      <w:color w:val="000000"/>
      <w:sz w:val="24"/>
      <w:szCs w:val="24"/>
      <w:lang w:val="en-US" w:eastAsia="zh-CN" w:bidi="ar-SA"/>
    </w:rPr>
  </w:style>
  <w:style w:type="paragraph" w:styleId="1234">
    <w:name w:val="Char Char Char Char Char Char Char Char Char"/>
    <w:basedOn w:val="933"/>
    <w:next w:val="1234"/>
    <w:link w:val="933"/>
    <w:qFormat/>
    <w:pPr>
      <w:ind w:left="200" w:hanging="200"/>
      <w:tabs>
        <w:tab w:val="left" w:pos="360" w:leader="none"/>
      </w:tabs>
    </w:pPr>
    <w:rPr>
      <w:sz w:val="24"/>
    </w:rPr>
  </w:style>
  <w:style w:type="paragraph" w:styleId="1235">
    <w:name w:val="批注主题1"/>
    <w:basedOn w:val="963"/>
    <w:next w:val="963"/>
    <w:link w:val="933"/>
    <w:qFormat/>
    <w:rPr>
      <w:b/>
      <w:bCs/>
    </w:rPr>
  </w:style>
  <w:style w:type="paragraph" w:styleId="1236">
    <w:name w:val="Char Char1 Char Char Char Char"/>
    <w:basedOn w:val="961"/>
    <w:next w:val="1236"/>
    <w:link w:val="933"/>
    <w:qFormat/>
    <w:pPr>
      <w:ind w:left="357"/>
      <w:jc w:val="left"/>
      <w:spacing w:line="436" w:lineRule="exact"/>
      <w:outlineLvl w:val="3"/>
    </w:pPr>
    <w:rPr>
      <w:rFonts w:ascii="Tahoma" w:hAnsi="Tahoma" w:cs="Tahoma"/>
      <w:b/>
    </w:rPr>
  </w:style>
  <w:style w:type="paragraph" w:styleId="1237">
    <w:name w:val="xl29"/>
    <w:basedOn w:val="933"/>
    <w:next w:val="1237"/>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38">
    <w:name w:val="标题5，章节第五层"/>
    <w:basedOn w:val="933"/>
    <w:next w:val="933"/>
    <w:link w:val="933"/>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39">
    <w:name w:val="正文--wdh"/>
    <w:basedOn w:val="933"/>
    <w:next w:val="1239"/>
    <w:link w:val="933"/>
    <w:qFormat/>
    <w:pPr>
      <w:spacing w:line="360" w:lineRule="auto"/>
    </w:pPr>
    <w:rPr>
      <w:sz w:val="24"/>
    </w:rPr>
  </w:style>
  <w:style w:type="paragraph" w:styleId="1240">
    <w:name w:val="Char Char Char Char Char Char Char Char"/>
    <w:basedOn w:val="933"/>
    <w:next w:val="1240"/>
    <w:link w:val="933"/>
    <w:qFormat/>
    <w:pPr>
      <w:jc w:val="left"/>
      <w:spacing w:after="160" w:line="240" w:lineRule="exact"/>
      <w:widowControl/>
    </w:pPr>
    <w:rPr>
      <w:rFonts w:ascii="Verdana" w:hAnsi="Verdana"/>
      <w:sz w:val="20"/>
      <w:szCs w:val="20"/>
      <w:lang w:eastAsia="en-US"/>
    </w:rPr>
  </w:style>
  <w:style w:type="paragraph" w:styleId="1241">
    <w:name w:val="项目符号：一级"/>
    <w:basedOn w:val="1064"/>
    <w:next w:val="1064"/>
    <w:link w:val="933"/>
    <w:qFormat/>
    <w:pPr>
      <w:ind w:right="-134"/>
    </w:pPr>
    <w:rPr>
      <w:bCs w:val="0"/>
    </w:rPr>
  </w:style>
  <w:style w:type="paragraph" w:styleId="1242">
    <w:name w:val="小四 段落 宋体 Char"/>
    <w:basedOn w:val="959"/>
    <w:next w:val="1242"/>
    <w:link w:val="933"/>
    <w:qFormat/>
    <w:pPr>
      <w:ind w:left="0" w:right="-33" w:firstLine="600"/>
      <w:jc w:val="left"/>
      <w:tabs>
        <w:tab w:val="clear" w:pos="2952" w:leader="none"/>
      </w:tabs>
    </w:pPr>
    <w:rPr>
      <w:rFonts w:ascii="仿宋_GB2312" w:eastAsia="仿宋_GB2312"/>
      <w:sz w:val="30"/>
      <w:szCs w:val="30"/>
    </w:rPr>
  </w:style>
  <w:style w:type="paragraph" w:styleId="1243">
    <w:name w:val="xl40"/>
    <w:basedOn w:val="933"/>
    <w:next w:val="1243"/>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44">
    <w:name w:val="普通文字"/>
    <w:basedOn w:val="933"/>
    <w:next w:val="933"/>
    <w:link w:val="933"/>
    <w:qFormat/>
    <w:rPr>
      <w:rFonts w:ascii="宋体" w:hAnsi="宋体" w:cs="宋体"/>
      <w:sz w:val="24"/>
      <w:szCs w:val="20"/>
    </w:rPr>
  </w:style>
  <w:style w:type="paragraph" w:styleId="1245">
    <w:name w:val="默认段落字体 Para Char Char Char Char Char Char Char"/>
    <w:basedOn w:val="933"/>
    <w:next w:val="1245"/>
    <w:link w:val="933"/>
    <w:qFormat/>
    <w:rPr>
      <w:rFonts w:ascii="Tahoma" w:hAnsi="Tahoma"/>
      <w:sz w:val="24"/>
      <w:szCs w:val="20"/>
    </w:rPr>
  </w:style>
  <w:style w:type="paragraph" w:styleId="1246">
    <w:name w:val="符号与编号"/>
    <w:basedOn w:val="933"/>
    <w:next w:val="1246"/>
    <w:link w:val="933"/>
    <w:qFormat/>
    <w:pPr>
      <w:ind w:left="900" w:hanging="420"/>
      <w:spacing w:line="400" w:lineRule="atLeast"/>
      <w:tabs>
        <w:tab w:val="left" w:pos="900" w:leader="none"/>
      </w:tabs>
    </w:pPr>
    <w:rPr>
      <w:sz w:val="24"/>
    </w:rPr>
  </w:style>
  <w:style w:type="paragraph" w:styleId="1247">
    <w:name w:val="样式 首行缩进:  2 字符"/>
    <w:basedOn w:val="933"/>
    <w:next w:val="1247"/>
    <w:link w:val="933"/>
    <w:qFormat/>
    <w:pPr>
      <w:ind w:firstLine="480"/>
      <w:spacing w:line="360" w:lineRule="auto"/>
    </w:pPr>
    <w:rPr>
      <w:rFonts w:cs="宋体"/>
      <w:sz w:val="24"/>
      <w:szCs w:val="20"/>
    </w:rPr>
  </w:style>
  <w:style w:type="paragraph" w:styleId="1248">
    <w:name w:val="标题1"/>
    <w:basedOn w:val="933"/>
    <w:next w:val="933"/>
    <w:link w:val="93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49">
    <w:name w:val="正文lzq"/>
    <w:basedOn w:val="933"/>
    <w:next w:val="1249"/>
    <w:link w:val="933"/>
    <w:qFormat/>
    <w:pPr>
      <w:ind w:firstLine="480"/>
      <w:spacing w:line="360" w:lineRule="auto"/>
    </w:pPr>
    <w:rPr>
      <w:sz w:val="24"/>
      <w:szCs w:val="20"/>
    </w:rPr>
  </w:style>
  <w:style w:type="paragraph" w:styleId="1250">
    <w:name w:val="样式 标题 2H2h2sect 1.2Heading 2 HiddenHeading 2 CCBSheading 2..."/>
    <w:basedOn w:val="935"/>
    <w:next w:val="1250"/>
    <w:link w:val="933"/>
    <w:qFormat/>
    <w:pPr>
      <w:ind w:left="576" w:hanging="36"/>
      <w:jc w:val="left"/>
      <w:spacing w:line="240" w:lineRule="auto"/>
      <w:tabs>
        <w:tab w:val="left" w:pos="576" w:leader="none"/>
      </w:tabs>
    </w:pPr>
    <w:rPr>
      <w:rFonts w:ascii="宋体" w:hAnsi="宋体" w:eastAsia="宋体"/>
      <w:sz w:val="28"/>
      <w:szCs w:val="20"/>
    </w:rPr>
  </w:style>
  <w:style w:type="paragraph" w:styleId="1251">
    <w:name w:val="表格内文字"/>
    <w:basedOn w:val="933"/>
    <w:next w:val="1251"/>
    <w:link w:val="933"/>
    <w:qFormat/>
    <w:pPr>
      <w:spacing w:line="300" w:lineRule="atLeast"/>
    </w:pPr>
    <w:rPr>
      <w:sz w:val="18"/>
    </w:rPr>
  </w:style>
  <w:style w:type="paragraph" w:styleId="1252">
    <w:name w:val="xl39"/>
    <w:basedOn w:val="933"/>
    <w:next w:val="1252"/>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3">
    <w:name w:val="content_lineheight"/>
    <w:basedOn w:val="933"/>
    <w:next w:val="1253"/>
    <w:link w:val="933"/>
    <w:qFormat/>
    <w:pPr>
      <w:jc w:val="left"/>
      <w:spacing w:before="100" w:beforeAutospacing="1" w:after="100" w:afterAutospacing="1"/>
      <w:widowControl/>
    </w:pPr>
    <w:rPr>
      <w:rFonts w:ascii="宋体" w:hAnsi="宋体"/>
      <w:sz w:val="24"/>
    </w:rPr>
  </w:style>
  <w:style w:type="paragraph" w:styleId="1254">
    <w:name w:val="xl24"/>
    <w:basedOn w:val="933"/>
    <w:next w:val="1254"/>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55">
    <w:name w:val="font11"/>
    <w:basedOn w:val="933"/>
    <w:next w:val="1255"/>
    <w:link w:val="933"/>
    <w:qFormat/>
    <w:pPr>
      <w:jc w:val="left"/>
      <w:spacing w:before="100" w:beforeAutospacing="1" w:after="100" w:afterAutospacing="1"/>
      <w:widowControl/>
    </w:pPr>
    <w:rPr>
      <w:b/>
      <w:bCs/>
      <w:sz w:val="18"/>
      <w:szCs w:val="18"/>
    </w:rPr>
  </w:style>
  <w:style w:type="paragraph" w:styleId="1256">
    <w:name w:val="111111"/>
    <w:basedOn w:val="933"/>
    <w:next w:val="1256"/>
    <w:link w:val="933"/>
    <w:qFormat/>
    <w:pPr>
      <w:jc w:val="center"/>
      <w:spacing w:before="120" w:after="120"/>
    </w:pPr>
    <w:rPr>
      <w:rFonts w:ascii="宋体" w:hAnsi="宋体" w:eastAsia="黑体" w:cs="宋体"/>
      <w:b/>
      <w:bCs/>
      <w:szCs w:val="21"/>
    </w:rPr>
  </w:style>
  <w:style w:type="paragraph" w:styleId="1257">
    <w:name w:val="段落"/>
    <w:next w:val="1257"/>
    <w:link w:val="933"/>
    <w:qFormat/>
    <w:pPr>
      <w:ind w:firstLine="480"/>
      <w:jc w:val="both"/>
      <w:spacing w:before="120" w:after="120" w:line="360" w:lineRule="auto"/>
    </w:pPr>
    <w:rPr>
      <w:rFonts w:eastAsia="仿宋_GB2312"/>
      <w:sz w:val="24"/>
      <w:szCs w:val="24"/>
      <w:lang w:val="en-US" w:eastAsia="zh-CN" w:bidi="ar-SA"/>
    </w:rPr>
  </w:style>
  <w:style w:type="paragraph" w:styleId="1258">
    <w:name w:val="样式 标题 2第一章 标题 2Heading 2 HiddenHeading 2 CCBSheading 2H2h2..."/>
    <w:basedOn w:val="935"/>
    <w:next w:val="1258"/>
    <w:link w:val="933"/>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259">
    <w:name w:val="我的正文"/>
    <w:basedOn w:val="933"/>
    <w:next w:val="1259"/>
    <w:link w:val="933"/>
    <w:qFormat/>
    <w:pPr>
      <w:ind w:firstLine="420"/>
      <w:jc w:val="left"/>
      <w:spacing w:line="360" w:lineRule="auto"/>
      <w:widowControl/>
    </w:pPr>
    <w:rPr>
      <w:rFonts w:ascii="宋体" w:hAnsi="宋体" w:cs="宋体"/>
      <w:szCs w:val="21"/>
    </w:rPr>
  </w:style>
  <w:style w:type="paragraph" w:styleId="1260">
    <w:name w:val="项目符号，二级"/>
    <w:basedOn w:val="1064"/>
    <w:next w:val="1064"/>
    <w:link w:val="933"/>
    <w:qFormat/>
    <w:pPr>
      <w:ind w:left="1337" w:right="-27" w:firstLine="480"/>
      <w:tabs>
        <w:tab w:val="left" w:pos="1211" w:leader="none"/>
        <w:tab w:val="left" w:pos="1337" w:leader="none"/>
      </w:tabs>
    </w:pPr>
    <w:rPr>
      <w:bCs w:val="0"/>
      <w:color w:val="000000"/>
      <w:sz w:val="24"/>
      <w:szCs w:val="24"/>
    </w:rPr>
  </w:style>
  <w:style w:type="paragraph" w:styleId="1261">
    <w:name w:val="小四 段落 宋体 Char Char"/>
    <w:basedOn w:val="933"/>
    <w:next w:val="1261"/>
    <w:link w:val="933"/>
    <w:qFormat/>
    <w:pPr>
      <w:ind w:firstLine="480"/>
      <w:spacing w:line="360" w:lineRule="auto"/>
    </w:pPr>
    <w:rPr>
      <w:rFonts w:ascii="宋体" w:hAnsi="宋体"/>
      <w:sz w:val="24"/>
    </w:rPr>
  </w:style>
  <w:style w:type="character" w:styleId="1262">
    <w:name w:val="font111"/>
    <w:next w:val="1262"/>
    <w:link w:val="933"/>
    <w:qFormat/>
    <w:rPr>
      <w:rFonts w:hint="eastAsia" w:ascii="宋体" w:hAnsi="宋体" w:eastAsia="宋体" w:cs="宋体"/>
      <w:color w:val="000000"/>
      <w:sz w:val="20"/>
      <w:szCs w:val="20"/>
      <w:u w:val="none"/>
    </w:rPr>
  </w:style>
  <w:style w:type="character" w:styleId="1263">
    <w:name w:val="Char Char24"/>
    <w:next w:val="1263"/>
    <w:link w:val="933"/>
    <w:qFormat/>
    <w:rPr>
      <w:b/>
      <w:sz w:val="28"/>
    </w:rPr>
  </w:style>
  <w:style w:type="character" w:styleId="1264">
    <w:name w:val="Char Char23"/>
    <w:next w:val="1264"/>
    <w:link w:val="933"/>
    <w:qFormat/>
    <w:rPr>
      <w:rFonts w:ascii="Arial" w:hAnsi="Arial" w:eastAsia="黑体"/>
      <w:b/>
      <w:sz w:val="24"/>
    </w:rPr>
  </w:style>
  <w:style w:type="character" w:styleId="1265">
    <w:name w:val="华宇段落1 Char Char Char"/>
    <w:next w:val="1265"/>
    <w:link w:val="933"/>
    <w:qFormat/>
    <w:rPr>
      <w:rFonts w:eastAsia="宋体"/>
      <w:sz w:val="24"/>
      <w:lang w:val="en-US" w:eastAsia="zh-CN"/>
    </w:rPr>
  </w:style>
  <w:style w:type="character" w:styleId="1266">
    <w:name w:val="样式 首行缩进:  2 字符 Char Char Char"/>
    <w:next w:val="1266"/>
    <w:link w:val="933"/>
    <w:qFormat/>
    <w:rPr>
      <w:rFonts w:eastAsia="宋体"/>
      <w:sz w:val="24"/>
      <w:lang w:val="en-US" w:eastAsia="zh-CN"/>
    </w:rPr>
  </w:style>
  <w:style w:type="character" w:styleId="1267">
    <w:name w:val="Char Char6"/>
    <w:next w:val="1267"/>
    <w:link w:val="933"/>
    <w:qFormat/>
    <w:rPr>
      <w:rFonts w:eastAsia="宋体"/>
      <w:sz w:val="24"/>
      <w:lang w:val="en-US" w:eastAsia="zh-CN"/>
    </w:rPr>
  </w:style>
  <w:style w:type="character" w:styleId="1268">
    <w:name w:val="Char Char31"/>
    <w:next w:val="1268"/>
    <w:link w:val="933"/>
    <w:qFormat/>
    <w:rPr>
      <w:rFonts w:ascii="Arial" w:hAnsi="Arial" w:eastAsia="黑体"/>
      <w:b/>
      <w:sz w:val="28"/>
      <w:lang w:val="en-US" w:eastAsia="zh-CN"/>
    </w:rPr>
  </w:style>
  <w:style w:type="character" w:styleId="1269">
    <w:name w:val="纯文本 Char Char Char1"/>
    <w:next w:val="1269"/>
    <w:link w:val="933"/>
    <w:qFormat/>
    <w:rPr>
      <w:rFonts w:ascii="宋体" w:hAnsi="Courier New" w:eastAsia="宋体"/>
      <w:sz w:val="21"/>
      <w:lang w:val="en-US" w:eastAsia="zh-CN"/>
    </w:rPr>
  </w:style>
  <w:style w:type="character" w:styleId="1270">
    <w:name w:val="小四 段落 宋体 Char Char Char1"/>
    <w:next w:val="1270"/>
    <w:link w:val="933"/>
    <w:qFormat/>
    <w:rPr>
      <w:rFonts w:ascii="宋体" w:hAnsi="宋体" w:eastAsia="宋体"/>
      <w:sz w:val="24"/>
      <w:lang w:val="en-US" w:eastAsia="zh-CN"/>
    </w:rPr>
  </w:style>
  <w:style w:type="character" w:styleId="1271">
    <w:name w:val="Char Char7"/>
    <w:next w:val="1271"/>
    <w:link w:val="933"/>
    <w:qFormat/>
    <w:rPr>
      <w:rFonts w:eastAsia="宋体"/>
      <w:b/>
      <w:sz w:val="24"/>
      <w:lang w:val="en-US" w:eastAsia="zh-CN"/>
    </w:rPr>
  </w:style>
  <w:style w:type="character" w:styleId="1272">
    <w:name w:val="concon"/>
    <w:next w:val="1272"/>
    <w:link w:val="933"/>
    <w:qFormat/>
  </w:style>
  <w:style w:type="character" w:styleId="1273">
    <w:name w:val="标题 3 Char1"/>
    <w:next w:val="1273"/>
    <w:link w:val="933"/>
    <w:qFormat/>
    <w:rPr>
      <w:rFonts w:eastAsia="宋体"/>
      <w:b/>
      <w:sz w:val="32"/>
      <w:lang w:val="en-US" w:eastAsia="zh-CN"/>
    </w:rPr>
  </w:style>
  <w:style w:type="character" w:styleId="1274">
    <w:name w:val="Char Char33"/>
    <w:next w:val="1274"/>
    <w:link w:val="933"/>
    <w:qFormat/>
    <w:rPr>
      <w:rFonts w:ascii="Arial" w:hAnsi="Arial" w:eastAsia="黑体"/>
      <w:b/>
      <w:sz w:val="32"/>
      <w:lang w:val="en-US" w:eastAsia="zh-CN"/>
    </w:rPr>
  </w:style>
  <w:style w:type="character" w:styleId="1275">
    <w:name w:val="小四 段落 宋体 Char Char Char Char Char Char Char"/>
    <w:next w:val="1275"/>
    <w:link w:val="933"/>
    <w:qFormat/>
    <w:rPr>
      <w:rFonts w:eastAsia="宋体"/>
      <w:sz w:val="24"/>
      <w:lang w:val="en-US" w:eastAsia="zh-CN"/>
    </w:rPr>
  </w:style>
  <w:style w:type="character" w:styleId="1276">
    <w:name w:val="Char Char17"/>
    <w:next w:val="1276"/>
    <w:link w:val="933"/>
    <w:qFormat/>
    <w:rPr>
      <w:rFonts w:ascii="宋体" w:hAnsi="Courier New"/>
      <w:sz w:val="21"/>
    </w:rPr>
  </w:style>
  <w:style w:type="character" w:styleId="1277">
    <w:name w:val="Char Char32"/>
    <w:next w:val="1277"/>
    <w:link w:val="933"/>
    <w:qFormat/>
    <w:rPr>
      <w:rFonts w:eastAsia="宋体"/>
      <w:b/>
      <w:sz w:val="32"/>
      <w:lang w:val="en-US" w:eastAsia="zh-CN"/>
    </w:rPr>
  </w:style>
  <w:style w:type="character" w:styleId="1278">
    <w:name w:val="小四 段落 宋体 Char Char Char Char1"/>
    <w:next w:val="1278"/>
    <w:link w:val="933"/>
    <w:qFormat/>
    <w:rPr>
      <w:rFonts w:eastAsia="宋体"/>
      <w:sz w:val="24"/>
      <w:lang w:val="en-US" w:eastAsia="zh-CN"/>
    </w:rPr>
  </w:style>
  <w:style w:type="character" w:styleId="1279">
    <w:name w:val="标准小四 Char"/>
    <w:next w:val="1279"/>
    <w:link w:val="933"/>
    <w:qFormat/>
    <w:rPr>
      <w:rFonts w:ascii="Arial" w:hAnsi="Arial" w:eastAsia="宋体"/>
      <w:sz w:val="21"/>
      <w:lang w:val="en-US" w:eastAsia="zh-CN"/>
    </w:rPr>
  </w:style>
  <w:style w:type="character" w:styleId="1280">
    <w:name w:val="标题 3 Char Char"/>
    <w:next w:val="1280"/>
    <w:link w:val="933"/>
    <w:qFormat/>
    <w:rPr>
      <w:rFonts w:eastAsia="仿宋_GB2312"/>
      <w:b/>
      <w:sz w:val="32"/>
      <w:lang w:val="en-US" w:eastAsia="zh-CN"/>
    </w:rPr>
  </w:style>
  <w:style w:type="character" w:styleId="1281">
    <w:name w:val="已访问的超链接1"/>
    <w:next w:val="1281"/>
    <w:link w:val="933"/>
    <w:qFormat/>
    <w:rPr>
      <w:color w:val="000000"/>
      <w:u w:val="none"/>
    </w:rPr>
  </w:style>
  <w:style w:type="character" w:styleId="1282">
    <w:name w:val="正文缩进 Char1"/>
    <w:next w:val="1282"/>
    <w:link w:val="933"/>
    <w:qFormat/>
    <w:rPr>
      <w:rFonts w:eastAsia="宋体"/>
    </w:rPr>
  </w:style>
  <w:style w:type="character" w:styleId="1283">
    <w:name w:val="Char Char27"/>
    <w:next w:val="1283"/>
    <w:link w:val="933"/>
    <w:qFormat/>
    <w:rPr>
      <w:b/>
      <w:sz w:val="44"/>
    </w:rPr>
  </w:style>
  <w:style w:type="character" w:styleId="1284">
    <w:name w:val="font21"/>
    <w:next w:val="1284"/>
    <w:link w:val="933"/>
    <w:qFormat/>
    <w:rPr>
      <w:rFonts w:hint="eastAsia" w:ascii="宋体" w:hAnsi="宋体" w:eastAsia="宋体" w:cs="宋体"/>
      <w:color w:val="000000"/>
      <w:sz w:val="20"/>
      <w:szCs w:val="20"/>
      <w:u w:val="none"/>
    </w:rPr>
  </w:style>
  <w:style w:type="character" w:styleId="1285">
    <w:name w:val="Char Char22"/>
    <w:next w:val="1285"/>
    <w:link w:val="933"/>
    <w:qFormat/>
    <w:rPr>
      <w:b/>
      <w:sz w:val="24"/>
    </w:rPr>
  </w:style>
  <w:style w:type="character" w:styleId="1286">
    <w:name w:val="样式 宋体 小四"/>
    <w:next w:val="1286"/>
    <w:link w:val="933"/>
    <w:qFormat/>
    <w:rPr>
      <w:rFonts w:ascii="宋体" w:eastAsia="宋体"/>
      <w:sz w:val="24"/>
    </w:rPr>
  </w:style>
  <w:style w:type="character" w:styleId="1287">
    <w:name w:val="纯文本 Char Char Char"/>
    <w:next w:val="1287"/>
    <w:link w:val="933"/>
    <w:qFormat/>
    <w:rPr>
      <w:rFonts w:ascii="宋体" w:hAnsi="Courier New" w:eastAsia="宋体"/>
      <w:sz w:val="21"/>
      <w:lang w:val="en-US" w:eastAsia="zh-CN"/>
    </w:rPr>
  </w:style>
  <w:style w:type="character" w:styleId="1288">
    <w:name w:val="content_lineheight1"/>
    <w:next w:val="1288"/>
    <w:link w:val="933"/>
    <w:qFormat/>
    <w:rPr>
      <w:rFonts w:cs="Times New Roman"/>
    </w:rPr>
  </w:style>
  <w:style w:type="character" w:styleId="1289">
    <w:name w:val="ih151"/>
    <w:next w:val="1289"/>
    <w:link w:val="933"/>
    <w:qFormat/>
    <w:rPr>
      <w:color w:val="666666"/>
      <w:sz w:val="18"/>
      <w:u w:val="none"/>
    </w:rPr>
  </w:style>
  <w:style w:type="character" w:styleId="1290">
    <w:name w:val="样式 首行缩进:  2 字符 Char Char"/>
    <w:next w:val="1290"/>
    <w:link w:val="933"/>
    <w:qFormat/>
    <w:rPr>
      <w:rFonts w:eastAsia="宋体"/>
      <w:sz w:val="24"/>
      <w:lang w:val="en-US" w:eastAsia="zh-CN"/>
    </w:rPr>
  </w:style>
  <w:style w:type="character" w:styleId="1291">
    <w:name w:val="subtitle1"/>
    <w:next w:val="1291"/>
    <w:link w:val="933"/>
    <w:qFormat/>
    <w:rPr>
      <w:rFonts w:ascii="Georgia" w:hAnsi="Georgia"/>
      <w:b/>
      <w:color w:val="666666"/>
      <w:sz w:val="18"/>
    </w:rPr>
  </w:style>
  <w:style w:type="character" w:styleId="1292">
    <w:name w:val="Char Char30"/>
    <w:next w:val="1292"/>
    <w:link w:val="933"/>
    <w:qFormat/>
    <w:rPr>
      <w:rFonts w:eastAsia="宋体"/>
      <w:b/>
      <w:sz w:val="28"/>
      <w:lang w:val="en-US" w:eastAsia="zh-CN"/>
    </w:rPr>
  </w:style>
  <w:style w:type="character" w:styleId="1293">
    <w:name w:val="Char Char15"/>
    <w:next w:val="1293"/>
    <w:link w:val="933"/>
    <w:qFormat/>
    <w:rPr>
      <w:rFonts w:ascii="Arial" w:hAnsi="Arial" w:eastAsia="黑体"/>
      <w:sz w:val="21"/>
      <w:lang w:val="en-US" w:eastAsia="zh-CN"/>
    </w:rPr>
  </w:style>
  <w:style w:type="character" w:styleId="1294">
    <w:name w:val="style131"/>
    <w:next w:val="1294"/>
    <w:link w:val="933"/>
    <w:qFormat/>
    <w:rPr>
      <w:sz w:val="18"/>
    </w:rPr>
  </w:style>
  <w:style w:type="character" w:styleId="1295">
    <w:name w:val="Char Char11"/>
    <w:next w:val="1295"/>
    <w:link w:val="933"/>
    <w:qFormat/>
    <w:rPr>
      <w:rFonts w:ascii="宋体" w:hAnsi="宋体" w:eastAsia="宋体"/>
      <w:sz w:val="24"/>
      <w:lang w:val="en-US" w:eastAsia="zh-CN"/>
    </w:rPr>
  </w:style>
  <w:style w:type="character" w:styleId="1296">
    <w:name w:val="Char Char28"/>
    <w:next w:val="1296"/>
    <w:link w:val="933"/>
    <w:qFormat/>
    <w:rPr>
      <w:rFonts w:ascii="Arial" w:hAnsi="Arial" w:eastAsia="黑体"/>
      <w:b/>
      <w:sz w:val="32"/>
    </w:rPr>
  </w:style>
  <w:style w:type="character" w:styleId="1297">
    <w:name w:val="方案文档 Char Char"/>
    <w:next w:val="1297"/>
    <w:link w:val="933"/>
    <w:qFormat/>
    <w:rPr>
      <w:rFonts w:ascii="宋体" w:hAnsi="宋体" w:eastAsia="宋体"/>
      <w:sz w:val="24"/>
      <w:lang w:val="zh-CN" w:eastAsia="zh-CN"/>
    </w:rPr>
  </w:style>
  <w:style w:type="character" w:styleId="1298">
    <w:name w:val="标准文本 Char Char Char"/>
    <w:next w:val="1298"/>
    <w:link w:val="933"/>
    <w:qFormat/>
    <w:rPr>
      <w:rFonts w:eastAsia="宋体"/>
      <w:sz w:val="24"/>
      <w:lang w:val="en-US" w:eastAsia="zh-CN"/>
    </w:rPr>
  </w:style>
  <w:style w:type="character" w:styleId="1299">
    <w:name w:val="t1"/>
    <w:next w:val="1299"/>
    <w:link w:val="933"/>
    <w:qFormat/>
  </w:style>
  <w:style w:type="character" w:styleId="1300">
    <w:name w:val="Char Char21"/>
    <w:next w:val="1300"/>
    <w:link w:val="933"/>
    <w:qFormat/>
    <w:rPr>
      <w:rFonts w:ascii="Arial" w:hAnsi="Arial" w:eastAsia="黑体"/>
      <w:sz w:val="24"/>
    </w:rPr>
  </w:style>
  <w:style w:type="character" w:styleId="1301">
    <w:name w:val="normalfont1"/>
    <w:next w:val="1301"/>
    <w:link w:val="933"/>
    <w:qFormat/>
    <w:rPr>
      <w:rFonts w:ascii="??" w:hAnsi="??"/>
      <w:sz w:val="18"/>
      <w:u w:val="none"/>
    </w:rPr>
  </w:style>
  <w:style w:type="character" w:styleId="1302">
    <w:name w:val="小四 段落 宋体 Char Char Char Char Char"/>
    <w:next w:val="1302"/>
    <w:link w:val="933"/>
    <w:qFormat/>
    <w:rPr>
      <w:rFonts w:eastAsia="宋体"/>
      <w:sz w:val="24"/>
      <w:lang w:val="en-US" w:eastAsia="zh-CN"/>
    </w:rPr>
  </w:style>
  <w:style w:type="character" w:styleId="1303">
    <w:name w:val="h Char Char"/>
    <w:next w:val="1303"/>
    <w:link w:val="933"/>
    <w:qFormat/>
    <w:rPr>
      <w:rFonts w:eastAsia="宋体"/>
      <w:sz w:val="18"/>
      <w:lang w:val="en-US" w:eastAsia="zh-CN"/>
    </w:rPr>
  </w:style>
  <w:style w:type="character" w:styleId="1304">
    <w:name w:val="不明显参考1"/>
    <w:next w:val="1304"/>
    <w:link w:val="933"/>
    <w:uiPriority w:val="31"/>
    <w:qFormat/>
    <w:rPr>
      <w:smallCaps/>
    </w:rPr>
  </w:style>
  <w:style w:type="character" w:styleId="1305">
    <w:name w:val="apple-converted-space"/>
    <w:next w:val="1305"/>
    <w:link w:val="933"/>
    <w:qFormat/>
    <w:rPr>
      <w:rFonts w:cs="Times New Roman"/>
    </w:rPr>
  </w:style>
  <w:style w:type="character" w:styleId="1306">
    <w:name w:val="Char Char20"/>
    <w:next w:val="1306"/>
    <w:link w:val="933"/>
    <w:qFormat/>
    <w:rPr>
      <w:rFonts w:ascii="Arial" w:hAnsi="Arial" w:eastAsia="黑体"/>
      <w:sz w:val="21"/>
    </w:rPr>
  </w:style>
  <w:style w:type="character" w:styleId="1307">
    <w:name w:val="纯文本 Char1"/>
    <w:next w:val="1307"/>
    <w:link w:val="933"/>
    <w:qFormat/>
    <w:rPr>
      <w:rFonts w:ascii="宋体" w:hAnsi="Courier New"/>
      <w:sz w:val="21"/>
    </w:rPr>
  </w:style>
  <w:style w:type="character" w:styleId="1308">
    <w:name w:val="无间隔 Char"/>
    <w:next w:val="1308"/>
    <w:link w:val="933"/>
    <w:qFormat/>
    <w:rPr>
      <w:rFonts w:ascii="Calibri" w:hAnsi="Calibri" w:eastAsia="微软雅黑"/>
      <w:sz w:val="22"/>
      <w:lang w:val="en-US" w:eastAsia="zh-CN"/>
    </w:rPr>
  </w:style>
  <w:style w:type="character" w:styleId="1309">
    <w:name w:val="Char Char2"/>
    <w:next w:val="1309"/>
    <w:link w:val="933"/>
    <w:qFormat/>
    <w:rPr>
      <w:rFonts w:ascii="宋体" w:hAnsi="Courier New" w:eastAsia="宋体"/>
      <w:sz w:val="21"/>
      <w:lang w:val="en-US" w:eastAsia="zh-CN"/>
    </w:rPr>
  </w:style>
  <w:style w:type="character" w:styleId="1310">
    <w:name w:val="Char Char34"/>
    <w:next w:val="1310"/>
    <w:link w:val="933"/>
    <w:qFormat/>
    <w:rPr>
      <w:rFonts w:eastAsia="宋体"/>
      <w:b/>
      <w:sz w:val="44"/>
      <w:lang w:val="en-US" w:eastAsia="zh-CN"/>
    </w:rPr>
  </w:style>
  <w:style w:type="character" w:styleId="1311">
    <w:name w:val="font61"/>
    <w:next w:val="1311"/>
    <w:link w:val="933"/>
    <w:qFormat/>
    <w:rPr>
      <w:rFonts w:hint="eastAsia" w:ascii="宋体" w:hAnsi="宋体" w:eastAsia="宋体" w:cs="宋体"/>
      <w:color w:val="ff0000"/>
      <w:sz w:val="20"/>
      <w:szCs w:val="20"/>
      <w:u w:val="none"/>
    </w:rPr>
  </w:style>
  <w:style w:type="character" w:styleId="1312">
    <w:name w:val="Char Char9"/>
    <w:next w:val="1312"/>
    <w:link w:val="933"/>
    <w:qFormat/>
    <w:rPr>
      <w:rFonts w:eastAsia="宋体"/>
      <w:sz w:val="21"/>
      <w:lang w:val="en-US" w:eastAsia="zh-CN"/>
    </w:rPr>
  </w:style>
  <w:style w:type="character" w:styleId="1313">
    <w:name w:val="纯文本 Char Char"/>
    <w:next w:val="1313"/>
    <w:link w:val="933"/>
    <w:qFormat/>
    <w:rPr>
      <w:rFonts w:ascii="宋体" w:hAnsi="Courier New" w:eastAsia="宋体"/>
      <w:sz w:val="21"/>
      <w:lang w:val="en-US" w:eastAsia="zh-CN"/>
    </w:rPr>
  </w:style>
  <w:style w:type="character" w:styleId="1314">
    <w:name w:val="content"/>
    <w:next w:val="1314"/>
    <w:link w:val="933"/>
    <w:qFormat/>
    <w:rPr>
      <w:rFonts w:cs="Times New Roman"/>
    </w:rPr>
  </w:style>
  <w:style w:type="character" w:styleId="1315">
    <w:name w:val="标准小四 Char Char Char"/>
    <w:next w:val="1315"/>
    <w:link w:val="933"/>
    <w:qFormat/>
    <w:rPr>
      <w:rFonts w:ascii="Arial" w:hAnsi="Arial" w:eastAsia="宋体"/>
      <w:sz w:val="21"/>
      <w:lang w:val="en-US" w:eastAsia="zh-CN"/>
    </w:rPr>
  </w:style>
  <w:style w:type="character" w:styleId="1316">
    <w:name w:val="3zw"/>
    <w:next w:val="1316"/>
    <w:link w:val="933"/>
    <w:qFormat/>
    <w:rPr>
      <w:rFonts w:cs="Times New Roman"/>
    </w:rPr>
  </w:style>
  <w:style w:type="character" w:styleId="1317">
    <w:name w:val="样式 首行缩进:  2 字符 Char"/>
    <w:next w:val="1317"/>
    <w:link w:val="933"/>
    <w:qFormat/>
    <w:rPr>
      <w:rFonts w:eastAsia="宋体"/>
      <w:sz w:val="24"/>
      <w:lang w:val="en-US" w:eastAsia="zh-CN"/>
    </w:rPr>
  </w:style>
  <w:style w:type="character" w:styleId="1318">
    <w:name w:val="medium_text1"/>
    <w:next w:val="1318"/>
    <w:link w:val="933"/>
    <w:qFormat/>
    <w:rPr>
      <w:sz w:val="24"/>
    </w:rPr>
  </w:style>
  <w:style w:type="character" w:styleId="1319">
    <w:name w:val="Char Char16"/>
    <w:next w:val="1319"/>
    <w:link w:val="933"/>
    <w:qFormat/>
    <w:rPr>
      <w:rFonts w:ascii="Arial" w:hAnsi="Arial" w:eastAsia="黑体"/>
      <w:sz w:val="24"/>
      <w:lang w:val="en-US" w:eastAsia="zh-CN"/>
    </w:rPr>
  </w:style>
  <w:style w:type="character" w:styleId="1320">
    <w:name w:val="font91"/>
    <w:next w:val="1320"/>
    <w:link w:val="933"/>
    <w:qFormat/>
    <w:rPr>
      <w:rFonts w:hint="eastAsia" w:ascii="宋体" w:hAnsi="宋体" w:eastAsia="宋体" w:cs="宋体"/>
      <w:color w:val="000000"/>
      <w:sz w:val="20"/>
      <w:szCs w:val="20"/>
      <w:u w:val="none"/>
    </w:rPr>
  </w:style>
  <w:style w:type="character" w:styleId="1321">
    <w:name w:val="Char Char3"/>
    <w:next w:val="1321"/>
    <w:link w:val="933"/>
    <w:qFormat/>
    <w:rPr>
      <w:rFonts w:eastAsia="宋体"/>
      <w:sz w:val="18"/>
      <w:lang w:val="en-US" w:eastAsia="zh-CN"/>
    </w:rPr>
  </w:style>
  <w:style w:type="character" w:styleId="1322">
    <w:name w:val="标题 Char1"/>
    <w:next w:val="1322"/>
    <w:link w:val="933"/>
    <w:qFormat/>
    <w:rPr>
      <w:rFonts w:ascii="Cambria" w:eastAsia="宋体"/>
      <w:b/>
      <w:sz w:val="32"/>
    </w:rPr>
  </w:style>
  <w:style w:type="character" w:styleId="1323">
    <w:name w:val="标准小四 Char Char"/>
    <w:next w:val="1323"/>
    <w:link w:val="933"/>
    <w:qFormat/>
    <w:rPr>
      <w:rFonts w:ascii="Arial" w:hAnsi="Arial" w:eastAsia="宋体"/>
      <w:sz w:val="21"/>
      <w:lang w:val="en-US" w:eastAsia="zh-CN"/>
    </w:rPr>
  </w:style>
  <w:style w:type="character" w:styleId="1324">
    <w:name w:val="普通文字 Char Char3"/>
    <w:next w:val="1324"/>
    <w:link w:val="933"/>
    <w:qFormat/>
    <w:rPr>
      <w:rFonts w:ascii="宋体" w:hAnsi="Courier New" w:eastAsia="宋体"/>
      <w:sz w:val="21"/>
      <w:lang w:val="en-US" w:eastAsia="zh-CN"/>
    </w:rPr>
  </w:style>
  <w:style w:type="character" w:styleId="1325">
    <w:name w:val="case31"/>
    <w:next w:val="1325"/>
    <w:link w:val="933"/>
    <w:qFormat/>
    <w:rPr>
      <w:sz w:val="21"/>
    </w:rPr>
  </w:style>
  <w:style w:type="character" w:styleId="1326">
    <w:name w:val="明显参考1"/>
    <w:next w:val="1326"/>
    <w:link w:val="933"/>
    <w:uiPriority w:val="32"/>
    <w:qFormat/>
    <w:rPr>
      <w:smallCaps/>
      <w:spacing w:val="5"/>
      <w:u w:val="single"/>
    </w:rPr>
  </w:style>
  <w:style w:type="character" w:styleId="1327">
    <w:name w:val="textcontents"/>
    <w:next w:val="1327"/>
    <w:link w:val="933"/>
    <w:qFormat/>
    <w:rPr>
      <w:rFonts w:cs="Times New Roman"/>
    </w:rPr>
  </w:style>
  <w:style w:type="character" w:styleId="1328">
    <w:name w:val="页脚 Char"/>
    <w:next w:val="1328"/>
    <w:link w:val="933"/>
    <w:uiPriority w:val="99"/>
    <w:semiHidden/>
    <w:qFormat/>
    <w:rPr>
      <w:rFonts w:cs="Times New Roman"/>
      <w:sz w:val="18"/>
      <w:szCs w:val="18"/>
    </w:rPr>
  </w:style>
  <w:style w:type="character" w:styleId="1329">
    <w:name w:val="普通文字1 Char"/>
    <w:next w:val="1329"/>
    <w:link w:val="933"/>
    <w:qFormat/>
    <w:rPr>
      <w:rFonts w:ascii="宋体" w:eastAsia="宋体"/>
      <w:sz w:val="21"/>
      <w:lang w:val="en-US" w:eastAsia="zh-CN"/>
    </w:rPr>
  </w:style>
  <w:style w:type="character" w:styleId="1330">
    <w:name w:val="Char Char29"/>
    <w:next w:val="1330"/>
    <w:link w:val="933"/>
    <w:qFormat/>
    <w:rPr>
      <w:rFonts w:ascii="Times New Roman" w:hAnsi="Times New Roman" w:eastAsia="宋体"/>
      <w:b/>
      <w:sz w:val="44"/>
    </w:rPr>
  </w:style>
  <w:style w:type="character" w:styleId="1331">
    <w:name w:val="title_emph1"/>
    <w:next w:val="1331"/>
    <w:link w:val="933"/>
    <w:qFormat/>
    <w:rPr>
      <w:rFonts w:ascii="Arial"/>
      <w:b/>
      <w:sz w:val="18"/>
    </w:rPr>
  </w:style>
  <w:style w:type="character" w:styleId="1332">
    <w:name w:val="111111 Char Char"/>
    <w:next w:val="1332"/>
    <w:link w:val="933"/>
    <w:qFormat/>
    <w:rPr>
      <w:rFonts w:ascii="宋体" w:hAnsi="宋体" w:eastAsia="黑体"/>
      <w:b/>
      <w:sz w:val="21"/>
      <w:lang w:val="en-US" w:eastAsia="zh-CN"/>
    </w:rPr>
  </w:style>
  <w:style w:type="character" w:styleId="1333">
    <w:name w:val="书籍标题1"/>
    <w:next w:val="1333"/>
    <w:link w:val="933"/>
    <w:uiPriority w:val="33"/>
    <w:qFormat/>
    <w:rPr>
      <w:i/>
      <w:smallCaps/>
      <w:spacing w:val="5"/>
    </w:rPr>
  </w:style>
  <w:style w:type="character" w:styleId="1334">
    <w:name w:val="Char Char13"/>
    <w:next w:val="1334"/>
    <w:link w:val="933"/>
    <w:qFormat/>
    <w:rPr>
      <w:rFonts w:ascii="宋体" w:hAnsi="宋体" w:eastAsia="宋体"/>
      <w:sz w:val="24"/>
      <w:lang w:val="en-US" w:eastAsia="zh-CN"/>
    </w:rPr>
  </w:style>
  <w:style w:type="character" w:styleId="1335">
    <w:name w:val="Char Char8"/>
    <w:next w:val="1335"/>
    <w:link w:val="933"/>
    <w:qFormat/>
    <w:rPr>
      <w:rFonts w:eastAsia="宋体"/>
      <w:sz w:val="18"/>
      <w:lang w:val="en-US" w:eastAsia="zh-CN"/>
    </w:rPr>
  </w:style>
  <w:style w:type="character" w:styleId="1336">
    <w:name w:val="引用 Char"/>
    <w:next w:val="1336"/>
    <w:link w:val="933"/>
    <w:qFormat/>
    <w:rPr>
      <w:rFonts w:ascii="Calibri" w:hAnsi="Calibri" w:eastAsia="宋体"/>
      <w:i/>
      <w:sz w:val="22"/>
      <w:lang w:val="en-US" w:eastAsia="en-US"/>
    </w:rPr>
  </w:style>
  <w:style w:type="character" w:styleId="1337">
    <w:name w:val="A2"/>
    <w:next w:val="1337"/>
    <w:link w:val="933"/>
    <w:qFormat/>
    <w:rPr>
      <w:color w:val="000000"/>
      <w:sz w:val="18"/>
    </w:rPr>
  </w:style>
  <w:style w:type="character" w:styleId="1338">
    <w:name w:val="Char Char5"/>
    <w:next w:val="1338"/>
    <w:link w:val="933"/>
    <w:qFormat/>
    <w:rPr>
      <w:rFonts w:eastAsia="宋体"/>
      <w:sz w:val="24"/>
      <w:lang w:val="en-US" w:eastAsia="zh-CN"/>
    </w:rPr>
  </w:style>
  <w:style w:type="character" w:styleId="1339">
    <w:name w:val="不明显强调1"/>
    <w:next w:val="1339"/>
    <w:link w:val="933"/>
    <w:uiPriority w:val="19"/>
    <w:qFormat/>
    <w:rPr>
      <w:i/>
    </w:rPr>
  </w:style>
  <w:style w:type="character" w:styleId="1340">
    <w:name w:val="标准文本 Char Char"/>
    <w:next w:val="1340"/>
    <w:link w:val="933"/>
    <w:qFormat/>
    <w:rPr>
      <w:rFonts w:eastAsia="宋体"/>
      <w:sz w:val="24"/>
      <w:lang w:val="en-US" w:eastAsia="zh-CN"/>
    </w:rPr>
  </w:style>
  <w:style w:type="character" w:styleId="1341">
    <w:name w:val="明显引用 Char"/>
    <w:next w:val="1341"/>
    <w:link w:val="933"/>
    <w:qFormat/>
    <w:rPr>
      <w:rFonts w:ascii="Calibri" w:hAnsi="Calibri" w:eastAsia="宋体"/>
      <w:b/>
      <w:i/>
      <w:sz w:val="22"/>
      <w:lang w:val="en-US" w:eastAsia="en-US"/>
    </w:rPr>
  </w:style>
  <w:style w:type="character" w:styleId="1342">
    <w:name w:val="Char Char14"/>
    <w:next w:val="1342"/>
    <w:link w:val="933"/>
    <w:qFormat/>
    <w:rPr>
      <w:rFonts w:eastAsia="黑体"/>
      <w:b/>
      <w:sz w:val="28"/>
      <w:lang w:val="en-GB" w:eastAsia="zh-CN"/>
    </w:rPr>
  </w:style>
  <w:style w:type="character" w:styleId="1343">
    <w:name w:val="Char Char25"/>
    <w:next w:val="1343"/>
    <w:link w:val="933"/>
    <w:qFormat/>
    <w:rPr>
      <w:rFonts w:ascii="Arial" w:hAnsi="Arial" w:eastAsia="黑体"/>
      <w:b/>
      <w:sz w:val="28"/>
    </w:rPr>
  </w:style>
  <w:style w:type="character" w:styleId="1344">
    <w:name w:val="小四 段落 宋体 Char Char Char Char Char Char Char Char"/>
    <w:next w:val="1344"/>
    <w:link w:val="933"/>
    <w:qFormat/>
    <w:rPr>
      <w:rFonts w:eastAsia="宋体"/>
      <w:sz w:val="24"/>
      <w:lang w:val="en-US" w:eastAsia="zh-CN"/>
    </w:rPr>
  </w:style>
  <w:style w:type="character" w:styleId="1345">
    <w:name w:val="批注文字 Char"/>
    <w:next w:val="1345"/>
    <w:link w:val="933"/>
    <w:uiPriority w:val="99"/>
    <w:semiHidden/>
    <w:qFormat/>
    <w:rPr>
      <w:rFonts w:ascii="Times New Roman" w:hAnsi="Times New Roman" w:eastAsia="宋体" w:cs="Times New Roman"/>
      <w:sz w:val="20"/>
      <w:szCs w:val="20"/>
    </w:rPr>
  </w:style>
  <w:style w:type="character" w:styleId="1346">
    <w:name w:val="华宇段落1 Char Char Char Char"/>
    <w:next w:val="1346"/>
    <w:link w:val="933"/>
    <w:qFormat/>
    <w:rPr>
      <w:rFonts w:eastAsia="宋体"/>
      <w:sz w:val="24"/>
      <w:lang w:val="en-US" w:eastAsia="zh-CN"/>
    </w:rPr>
  </w:style>
  <w:style w:type="character" w:styleId="1347">
    <w:name w:val="小四 段落 宋体 Char Char Char Char Char Char"/>
    <w:next w:val="1347"/>
    <w:link w:val="933"/>
    <w:qFormat/>
    <w:rPr>
      <w:rFonts w:eastAsia="宋体"/>
      <w:sz w:val="24"/>
      <w:lang w:val="en-US" w:eastAsia="zh-CN"/>
    </w:rPr>
  </w:style>
  <w:style w:type="character" w:styleId="1348">
    <w:name w:val="标题 3 Char Char Char Char Char Char Char Char Char Char Char Char Char Char Char Char Char Char Char Char Char Char Char Char Char Char Char Char Char Char Char Char Char Char Char Char Char Char Char Char Char Char Char Char Char Char Char Char Cha Cha"/>
    <w:next w:val="1348"/>
    <w:link w:val="933"/>
    <w:qFormat/>
    <w:rPr>
      <w:rFonts w:eastAsia="宋体"/>
      <w:b/>
      <w:sz w:val="32"/>
      <w:lang w:val="en-US" w:eastAsia="zh-CN"/>
    </w:rPr>
  </w:style>
  <w:style w:type="character" w:styleId="1349">
    <w:name w:val="2nd level Char"/>
    <w:next w:val="1349"/>
    <w:link w:val="933"/>
    <w:qFormat/>
    <w:rPr>
      <w:rFonts w:ascii="Arial" w:hAnsi="Arial" w:eastAsia="黑体"/>
      <w:b/>
      <w:sz w:val="32"/>
      <w:lang w:val="en-US" w:eastAsia="zh-CN"/>
    </w:rPr>
  </w:style>
  <w:style w:type="character" w:styleId="1350">
    <w:name w:val="华宇段落1 Char Char"/>
    <w:next w:val="1350"/>
    <w:link w:val="933"/>
    <w:qFormat/>
    <w:rPr>
      <w:rFonts w:eastAsia="宋体"/>
      <w:sz w:val="24"/>
      <w:lang w:val="en-US" w:eastAsia="zh-CN"/>
    </w:rPr>
  </w:style>
  <w:style w:type="character" w:styleId="1351">
    <w:name w:val="Char Char12"/>
    <w:next w:val="1351"/>
    <w:link w:val="933"/>
    <w:qFormat/>
    <w:rPr>
      <w:rFonts w:ascii="Arial" w:hAnsi="Arial" w:eastAsia="黑体"/>
      <w:sz w:val="21"/>
      <w:lang w:val="en-US" w:eastAsia="zh-CN"/>
    </w:rPr>
  </w:style>
  <w:style w:type="character" w:styleId="1352">
    <w:name w:val="Title1 Char"/>
    <w:next w:val="1352"/>
    <w:link w:val="933"/>
    <w:qFormat/>
    <w:rPr>
      <w:rFonts w:eastAsia="宋体"/>
      <w:b/>
      <w:sz w:val="44"/>
      <w:lang w:val="en-US" w:eastAsia="zh-CN"/>
    </w:rPr>
  </w:style>
  <w:style w:type="character" w:styleId="1353">
    <w:name w:val="Char Char19"/>
    <w:next w:val="1353"/>
    <w:link w:val="933"/>
    <w:qFormat/>
    <w:rPr>
      <w:rFonts w:ascii="Arial" w:hAnsi="Arial" w:eastAsia="黑体"/>
      <w:b/>
      <w:sz w:val="24"/>
      <w:lang w:val="en-US" w:eastAsia="zh-CN"/>
    </w:rPr>
  </w:style>
  <w:style w:type="character" w:styleId="1354">
    <w:name w:val="样式 非加粗"/>
    <w:next w:val="1354"/>
    <w:link w:val="933"/>
    <w:qFormat/>
    <w:rPr>
      <w:rFonts w:eastAsia="宋体"/>
      <w:sz w:val="28"/>
    </w:rPr>
  </w:style>
  <w:style w:type="character" w:styleId="1355">
    <w:name w:val="正文 + 宋体 Char"/>
    <w:next w:val="1355"/>
    <w:link w:val="933"/>
    <w:qFormat/>
    <w:rPr>
      <w:rFonts w:eastAsia="宋体"/>
      <w:sz w:val="24"/>
      <w:lang w:val="en-US" w:eastAsia="zh-CN"/>
    </w:rPr>
  </w:style>
  <w:style w:type="character" w:styleId="1356">
    <w:name w:val="Char Char4"/>
    <w:next w:val="1356"/>
    <w:link w:val="933"/>
    <w:qFormat/>
    <w:rPr>
      <w:rFonts w:ascii="方正大黑简体" w:eastAsia="方正大黑简体"/>
      <w:position w:val="6"/>
      <w:sz w:val="30"/>
      <w:lang w:val="en-US" w:eastAsia="zh-CN"/>
    </w:rPr>
  </w:style>
  <w:style w:type="character" w:styleId="1357">
    <w:name w:val="Char Char26"/>
    <w:next w:val="1357"/>
    <w:link w:val="933"/>
    <w:qFormat/>
    <w:rPr>
      <w:b/>
      <w:sz w:val="32"/>
    </w:rPr>
  </w:style>
  <w:style w:type="character" w:styleId="1358">
    <w:name w:val="小四 段落 宋体 Char1"/>
    <w:next w:val="1358"/>
    <w:link w:val="933"/>
    <w:qFormat/>
    <w:rPr>
      <w:rFonts w:eastAsia="宋体"/>
      <w:sz w:val="24"/>
      <w:lang w:val="en-US" w:eastAsia="zh-CN"/>
    </w:rPr>
  </w:style>
  <w:style w:type="character" w:styleId="1359">
    <w:name w:val="apple-style-span"/>
    <w:next w:val="1359"/>
    <w:link w:val="933"/>
    <w:qFormat/>
    <w:rPr>
      <w:rFonts w:cs="Times New Roman"/>
    </w:rPr>
  </w:style>
  <w:style w:type="character" w:styleId="1360">
    <w:name w:val="Char Char18"/>
    <w:next w:val="1360"/>
    <w:link w:val="933"/>
    <w:qFormat/>
    <w:rPr>
      <w:rFonts w:eastAsia="宋体"/>
      <w:b/>
      <w:sz w:val="24"/>
      <w:lang w:val="en-US" w:eastAsia="zh-CN"/>
    </w:rPr>
  </w:style>
  <w:style w:type="character" w:styleId="1361">
    <w:name w:val="标准文本 Char"/>
    <w:next w:val="1361"/>
    <w:link w:val="933"/>
    <w:qFormat/>
    <w:rPr>
      <w:rFonts w:eastAsia="宋体"/>
      <w:sz w:val="24"/>
      <w:lang w:val="en-US" w:eastAsia="zh-CN"/>
    </w:rPr>
  </w:style>
  <w:style w:type="character" w:styleId="1362">
    <w:name w:val="font5 Char Char"/>
    <w:next w:val="1362"/>
    <w:link w:val="933"/>
    <w:qFormat/>
    <w:rPr>
      <w:rFonts w:ascii="宋体" w:hAnsi="宋体" w:eastAsia="宋体"/>
      <w:sz w:val="28"/>
      <w:lang w:val="en-US" w:eastAsia="zh-CN"/>
    </w:rPr>
  </w:style>
  <w:style w:type="character" w:styleId="1363">
    <w:name w:val="Char Char10"/>
    <w:next w:val="1363"/>
    <w:link w:val="933"/>
    <w:qFormat/>
    <w:rPr>
      <w:rFonts w:eastAsia="宋体"/>
      <w:b/>
      <w:sz w:val="24"/>
      <w:lang w:val="en-US" w:eastAsia="zh-CN"/>
    </w:rPr>
  </w:style>
  <w:style w:type="character" w:styleId="1364">
    <w:name w:val="特点 Char1"/>
    <w:next w:val="1364"/>
    <w:link w:val="933"/>
    <w:qFormat/>
    <w:rPr>
      <w:rFonts w:eastAsia="宋体"/>
      <w:sz w:val="21"/>
      <w:lang w:val="en-US" w:eastAsia="zh-CN"/>
    </w:rPr>
  </w:style>
  <w:style w:type="character" w:styleId="1365">
    <w:name w:val="明显强调1"/>
    <w:next w:val="1365"/>
    <w:link w:val="933"/>
    <w:uiPriority w:val="21"/>
    <w:qFormat/>
    <w:rPr>
      <w:b/>
    </w:rPr>
  </w:style>
  <w:style w:type="character" w:styleId="1366">
    <w:name w:val="listbenefit"/>
    <w:next w:val="1366"/>
    <w:link w:val="933"/>
    <w:qFormat/>
  </w:style>
  <w:style w:type="paragraph" w:styleId="1367">
    <w:name w:val="正文文本缩进 31"/>
    <w:basedOn w:val="933"/>
    <w:next w:val="1367"/>
    <w:link w:val="933"/>
    <w:qFormat/>
    <w:pPr>
      <w:ind w:firstLine="504"/>
      <w:spacing w:line="360" w:lineRule="auto"/>
      <w:tabs>
        <w:tab w:val="left" w:pos="0" w:leader="none"/>
      </w:tabs>
    </w:pPr>
    <w:rPr>
      <w:rFonts w:ascii="宋体"/>
      <w:b/>
      <w:bCs/>
      <w:sz w:val="24"/>
    </w:rPr>
  </w:style>
  <w:style w:type="paragraph" w:styleId="1368">
    <w:name w:val="正文 A"/>
    <w:next w:val="1368"/>
    <w:link w:val="933"/>
    <w:uiPriority w:val="99"/>
    <w:qFormat/>
    <w:pPr>
      <w:jc w:val="both"/>
      <w:widowControl w:val="off"/>
      <w:pBdr>
        <w:top w:val="none" w:color="FFFFFF" w:sz="0" w:space="31"/>
        <w:left w:val="none" w:color="FFFFFF" w:sz="0" w:space="31"/>
        <w:bottom w:val="none" w:color="FFFFFF" w:sz="0" w:space="31"/>
        <w:right w:val="none" w:color="FFFFFF" w:sz="0" w:space="31"/>
      </w:pBdr>
    </w:pPr>
    <w:rPr>
      <w:rFonts w:ascii="Arial Unicode MS" w:hAnsi="Arial Unicode MS" w:eastAsia="Arial Unicode MS" w:cs="Arial Unicode MS"/>
      <w:color w:val="000000"/>
      <w:sz w:val="21"/>
      <w:szCs w:val="22"/>
      <w:lang w:val="en-US" w:eastAsia="zh-CN" w:bidi="ar-SA"/>
    </w:rPr>
  </w:style>
  <w:style w:type="paragraph" w:styleId="1369">
    <w:name w:val="列出段落"/>
    <w:basedOn w:val="933"/>
    <w:next w:val="1369"/>
    <w:link w:val="1370"/>
    <w:uiPriority w:val="34"/>
    <w:qFormat/>
    <w:pPr>
      <w:ind w:firstLine="420"/>
      <w:spacing w:line="360" w:lineRule="auto"/>
    </w:pPr>
    <w:rPr>
      <w:rFonts w:ascii="Calibri" w:hAnsi="Calibri"/>
      <w:sz w:val="20"/>
      <w:szCs w:val="20"/>
    </w:rPr>
  </w:style>
  <w:style w:type="character" w:styleId="1370">
    <w:name w:val="列出段落 Char"/>
    <w:next w:val="1370"/>
    <w:link w:val="1369"/>
    <w:qFormat/>
    <w:rPr>
      <w:rFonts w:ascii="Calibri" w:hAnsi="Calibri"/>
    </w:rPr>
  </w:style>
  <w:style w:type="paragraph" w:styleId="1371">
    <w:name w:val="ewb-con-p2"/>
    <w:basedOn w:val="933"/>
    <w:next w:val="1371"/>
    <w:link w:val="933"/>
    <w:qFormat/>
    <w:pPr>
      <w:jc w:val="left"/>
      <w:spacing w:before="100" w:beforeAutospacing="1" w:after="100" w:afterAutospacing="1"/>
      <w:widowControl/>
    </w:pPr>
    <w:rPr>
      <w:rFonts w:ascii="宋体" w:hAnsi="宋体" w:cs="宋体"/>
      <w:sz w:val="24"/>
    </w:rPr>
  </w:style>
  <w:style w:type="paragraph" w:styleId="1372">
    <w:name w:val="标题 41"/>
    <w:basedOn w:val="933"/>
    <w:next w:val="1372"/>
    <w:link w:val="933"/>
    <w:uiPriority w:val="1"/>
    <w:qFormat/>
    <w:pPr>
      <w:ind w:left="618"/>
      <w:jc w:val="left"/>
      <w:outlineLvl w:val="4"/>
    </w:pPr>
    <w:rPr>
      <w:rFonts w:ascii="宋体" w:hAnsi="宋体" w:cs="宋体"/>
      <w:b/>
      <w:bCs/>
      <w:sz w:val="24"/>
      <w:lang w:val="zh-CN" w:bidi="zh-CN"/>
    </w:rPr>
  </w:style>
  <w:style w:type="character" w:styleId="1373">
    <w:name w:val="批注文字 字符"/>
    <w:next w:val="1373"/>
    <w:link w:val="933"/>
    <w:qFormat/>
    <w:rPr>
      <w:rFonts w:ascii="Times New Roman" w:hAnsi="Times New Roman" w:eastAsia="宋体" w:cs="Times New Roman"/>
      <w:sz w:val="21"/>
      <w:szCs w:val="24"/>
    </w:rPr>
  </w:style>
  <w:style w:type="paragraph" w:styleId="1374">
    <w:name w:val="msolistparagraph"/>
    <w:basedOn w:val="933"/>
    <w:next w:val="1374"/>
    <w:link w:val="933"/>
    <w:qFormat/>
    <w:pPr>
      <w:ind w:left="420" w:firstLine="420"/>
      <w:spacing w:line="400" w:lineRule="exact"/>
    </w:pPr>
    <w:rPr>
      <w:rFonts w:ascii="Calibri" w:hAnsi="Calibri"/>
    </w:rPr>
  </w:style>
  <w:style w:type="character" w:styleId="1375">
    <w:name w:val="font41"/>
    <w:next w:val="1375"/>
    <w:link w:val="933"/>
    <w:qFormat/>
    <w:rPr>
      <w:rFonts w:hint="eastAsia" w:ascii="宋体" w:hAnsi="宋体" w:eastAsia="宋体" w:cs="宋体"/>
      <w:color w:val="000000"/>
      <w:sz w:val="18"/>
      <w:szCs w:val="18"/>
      <w:u w:val="none"/>
    </w:rPr>
  </w:style>
  <w:style w:type="character" w:styleId="1376">
    <w:name w:val="msosubtleemphasis"/>
    <w:next w:val="1376"/>
    <w:link w:val="933"/>
    <w:qFormat/>
    <w:rPr>
      <w:i/>
      <w:color w:val="404040"/>
    </w:rPr>
  </w:style>
  <w:style w:type="paragraph" w:styleId="1377">
    <w:name w:val="Table Paragraph"/>
    <w:basedOn w:val="933"/>
    <w:next w:val="1377"/>
    <w:link w:val="933"/>
    <w:uiPriority w:val="1"/>
    <w:qFormat/>
    <w:pPr>
      <w:jc w:val="left"/>
    </w:pPr>
    <w:rPr>
      <w:rFonts w:ascii="宋体" w:hAnsi="宋体" w:cs="宋体"/>
      <w:sz w:val="22"/>
      <w:szCs w:val="22"/>
      <w:lang w:val="zh-CN" w:bidi="zh-CN"/>
    </w:rPr>
  </w:style>
  <w:style w:type="paragraph" w:styleId="1378">
    <w:name w:val="正文3"/>
    <w:basedOn w:val="933"/>
    <w:next w:val="1378"/>
    <w:link w:val="933"/>
    <w:qFormat/>
    <w:pPr>
      <w:jc w:val="left"/>
      <w:spacing w:after="200" w:line="300" w:lineRule="atLeast"/>
      <w:widowControl/>
    </w:pPr>
    <w:rPr>
      <w:rFonts w:ascii="Calibri" w:hAnsi="Calibri" w:cs="宋体"/>
      <w:sz w:val="22"/>
      <w:szCs w:val="22"/>
    </w:rPr>
  </w:style>
  <w:style w:type="character" w:styleId="1379">
    <w:name w:val="font81"/>
    <w:next w:val="1379"/>
    <w:link w:val="933"/>
    <w:qFormat/>
    <w:rPr>
      <w:rFonts w:ascii="Calibri" w:hAnsi="Calibri" w:cs="Calibri"/>
      <w:color w:val="ff0000"/>
      <w:sz w:val="20"/>
      <w:szCs w:val="20"/>
      <w:u w:val="none"/>
    </w:rPr>
  </w:style>
  <w:style w:type="character" w:styleId="1380">
    <w:name w:val="font51"/>
    <w:next w:val="1380"/>
    <w:link w:val="933"/>
    <w:qFormat/>
    <w:rPr>
      <w:rFonts w:hint="eastAsia" w:ascii="宋体" w:hAnsi="宋体" w:eastAsia="宋体" w:cs="宋体"/>
      <w:color w:val="ff0000"/>
      <w:sz w:val="20"/>
      <w:szCs w:val="20"/>
      <w:u w:val="none"/>
    </w:rPr>
  </w:style>
  <w:style w:type="character" w:styleId="1381">
    <w:name w:val="font101"/>
    <w:next w:val="1381"/>
    <w:link w:val="933"/>
    <w:qFormat/>
    <w:rPr>
      <w:rFonts w:ascii="Calibri" w:hAnsi="Calibri" w:cs="Calibri"/>
      <w:color w:val="000000"/>
      <w:sz w:val="22"/>
      <w:szCs w:val="22"/>
      <w:u w:val="none"/>
    </w:rPr>
  </w:style>
  <w:style w:type="character" w:styleId="1382">
    <w:name w:val="font71"/>
    <w:next w:val="1382"/>
    <w:link w:val="933"/>
    <w:qFormat/>
    <w:rPr>
      <w:rFonts w:ascii="Arial" w:hAnsi="Arial" w:cs="Arial"/>
      <w:color w:val="000000"/>
      <w:sz w:val="22"/>
      <w:szCs w:val="22"/>
      <w:u w:val="none"/>
    </w:rPr>
  </w:style>
  <w:style w:type="character" w:styleId="1383">
    <w:name w:val="15"/>
    <w:next w:val="1383"/>
    <w:link w:val="933"/>
    <w:qFormat/>
    <w:rPr>
      <w:rFonts w:hint="eastAsia" w:ascii="黑体" w:hAnsi="宋体" w:eastAsia="黑体"/>
      <w:sz w:val="32"/>
      <w:szCs w:val="32"/>
    </w:rPr>
  </w:style>
  <w:style w:type="character" w:styleId="1384">
    <w:name w:val="NormalCharacter1"/>
    <w:next w:val="1384"/>
    <w:link w:val="933"/>
    <w:qFormat/>
    <w:rPr>
      <w:sz w:val="21"/>
      <w:lang w:val="en-US" w:eastAsia="zh-CN" w:bidi="ar-SA"/>
    </w:rPr>
  </w:style>
  <w:style w:type="table" w:styleId="1385">
    <w:name w:val="网格型1"/>
    <w:basedOn w:val="944"/>
    <w:next w:val="1385"/>
    <w:link w:val="933"/>
    <w:qFormat/>
    <w:pPr>
      <w:jc w:val="both"/>
      <w:widowControl w:val="off"/>
    </w:pPr>
    <w:tblPr/>
  </w:style>
  <w:style w:type="paragraph" w:styleId="1386">
    <w:name w:val="修订1"/>
    <w:next w:val="1386"/>
    <w:link w:val="933"/>
    <w:uiPriority w:val="99"/>
    <w:unhideWhenUsed/>
    <w:qFormat/>
    <w:rPr>
      <w:sz w:val="21"/>
      <w:szCs w:val="24"/>
      <w:lang w:val="en-US" w:eastAsia="zh-CN" w:bidi="ar-SA"/>
    </w:rPr>
  </w:style>
  <w:style w:type="character" w:styleId="1387">
    <w:name w:val="font01"/>
    <w:next w:val="1387"/>
    <w:link w:val="933"/>
    <w:qFormat/>
    <w:rPr>
      <w:rFonts w:ascii="Calibri" w:hAnsi="Calibri" w:cs="Calibri"/>
      <w:color w:val="000000"/>
      <w:sz w:val="22"/>
      <w:szCs w:val="22"/>
      <w:u w:val="none"/>
    </w:rPr>
  </w:style>
  <w:style w:type="table" w:styleId="1388">
    <w:name w:val="Table Normal"/>
    <w:next w:val="1388"/>
    <w:link w:val="933"/>
    <w:unhideWhenUsed/>
    <w:qFormat/>
    <w:rPr>
      <w:rFonts w:ascii="Arial" w:hAnsi="Arial" w:cs="Arial"/>
      <w:lang w:val="en-US" w:eastAsia="zh-CN" w:bidi="ar-SA"/>
    </w:rPr>
    <w:tblPr/>
  </w:style>
  <w:style w:type="table" w:styleId="1389">
    <w:name w:val="Table Normal1"/>
    <w:next w:val="1389"/>
    <w:link w:val="933"/>
    <w:unhideWhenUsed/>
    <w:qFormat/>
    <w:rPr>
      <w:rFonts w:ascii="Arial" w:hAnsi="Arial" w:cs="Arial"/>
      <w:lang w:val="en-US" w:eastAsia="zh-CN" w:bidi="ar-SA"/>
    </w:rPr>
    <w:tblPr/>
  </w:style>
  <w:style w:type="table" w:styleId="1390">
    <w:name w:val="Table Normal2"/>
    <w:next w:val="1390"/>
    <w:link w:val="933"/>
    <w:unhideWhenUsed/>
    <w:qFormat/>
    <w:rPr>
      <w:rFonts w:ascii="Arial" w:hAnsi="Arial" w:cs="Arial"/>
      <w:lang w:val="en-US" w:eastAsia="zh-CN" w:bidi="ar-SA"/>
    </w:rPr>
    <w:tblPr/>
  </w:style>
  <w:style w:type="paragraph" w:styleId="1391">
    <w:name w:val="修订"/>
    <w:next w:val="1391"/>
    <w:link w:val="933"/>
    <w:uiPriority w:val="99"/>
    <w:unhideWhenUsed/>
    <w:rPr>
      <w:sz w:val="21"/>
      <w:szCs w:val="24"/>
      <w:lang w:val="en-US" w:eastAsia="zh-CN" w:bidi="ar-SA"/>
    </w:rPr>
  </w:style>
  <w:style w:type="paragraph" w:styleId="1392">
    <w:name w:val="Table Text"/>
    <w:basedOn w:val="933"/>
    <w:next w:val="1392"/>
    <w:link w:val="933"/>
    <w:semiHidden/>
    <w:qFormat/>
    <w:rPr>
      <w:rFonts w:ascii="宋体" w:hAnsi="宋体" w:eastAsia="宋体" w:cs="宋体"/>
      <w:sz w:val="24"/>
      <w:szCs w:val="24"/>
    </w:rPr>
  </w:style>
  <w:style w:type="character" w:styleId="1393">
    <w:name w:val="project_name"/>
    <w:next w:val="1393"/>
    <w:link w:val="933"/>
    <w:uiPriority w:val="99"/>
    <w:qFormat/>
    <w:rPr>
      <w:rFonts w:cs="Times New Roman"/>
    </w:rPr>
  </w:style>
  <w:style w:type="character" w:styleId="1394">
    <w:name w:val="active16"/>
    <w:next w:val="1394"/>
    <w:link w:val="933"/>
    <w:rPr>
      <w:color w:val="ffffff"/>
      <w:shd w:val="clear" w:color="auto" w:fill="0f5bb9"/>
    </w:rPr>
  </w:style>
  <w:style w:type="paragraph" w:styleId="1395">
    <w:name w:val="AONormal"/>
    <w:next w:val="1395"/>
    <w:link w:val="933"/>
    <w:qFormat/>
    <w:pPr>
      <w:ind w:firstLine="440"/>
      <w:spacing w:line="400" w:lineRule="exact"/>
    </w:pPr>
    <w:rPr>
      <w:rFonts w:ascii="华文楷体" w:hAnsi="华文楷体" w:eastAsia="华文楷体" w:cs="华文楷体"/>
      <w:sz w:val="22"/>
      <w:szCs w:val="21"/>
      <w:lang w:val="en-US" w:eastAsia="zh-CN" w:bidi="ar-SA"/>
    </w:rPr>
  </w:style>
  <w:style w:type="character" w:styleId="1396">
    <w:name w:val="font31"/>
    <w:next w:val="1396"/>
    <w:link w:val="933"/>
    <w:qFormat/>
    <w:rPr>
      <w:rFonts w:hint="eastAsia" w:ascii="宋体" w:hAnsi="宋体" w:eastAsia="宋体" w:cs="宋体"/>
      <w:color w:val="000000"/>
      <w:sz w:val="18"/>
      <w:szCs w:val="18"/>
      <w:u w:val="none"/>
    </w:rPr>
  </w:style>
  <w:style w:type="character" w:styleId="1397">
    <w:name w:val="font112"/>
    <w:next w:val="1397"/>
    <w:link w:val="933"/>
    <w:qFormat/>
    <w:rPr>
      <w:rFonts w:ascii="Times New Roman" w:hAnsi="Times New Roman" w:cs="Times New Roman"/>
      <w:color w:val="000000"/>
      <w:sz w:val="18"/>
      <w:szCs w:val="18"/>
      <w:u w:val="none"/>
    </w:rPr>
  </w:style>
  <w:style w:type="character" w:styleId="1398" w:default="1">
    <w:name w:val="Default Paragraph Font"/>
    <w:uiPriority w:val="1"/>
    <w:semiHidden/>
    <w:unhideWhenUsed/>
  </w:style>
  <w:style w:type="numbering" w:styleId="1399" w:default="1">
    <w:name w:val="No List"/>
    <w:uiPriority w:val="99"/>
    <w:semiHidden/>
    <w:unhideWhenUsed/>
  </w:style>
  <w:style w:type="table" w:styleId="14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wmf"/><Relationship Id="rId14" Type="http://schemas.openxmlformats.org/officeDocument/2006/relationships/image" Target="media/image2.wmf"/><Relationship Id="rId15" Type="http://schemas.openxmlformats.org/officeDocument/2006/relationships/image" Target="media/image3.wmf"/><Relationship Id="rId16"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焦</dc:creator>
  <cp:lastModifiedBy>胡安良</cp:lastModifiedBy>
  <cp:revision>4</cp:revision>
  <dcterms:created xsi:type="dcterms:W3CDTF">2023-08-02T06:12:00Z</dcterms:created>
  <dcterms:modified xsi:type="dcterms:W3CDTF">2026-08-31T02:23:51Z</dcterms:modified>
</cp:coreProperties>
</file>